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9E3BD77" w14:textId="77777777" w:rsidTr="416F280B">
        <w:trPr>
          <w:trHeight w:val="1863"/>
        </w:trPr>
        <w:tc>
          <w:tcPr>
            <w:tcW w:w="3652" w:type="dxa"/>
            <w:tcBorders>
              <w:top w:val="nil"/>
              <w:left w:val="nil"/>
              <w:bottom w:val="nil"/>
              <w:right w:val="nil"/>
            </w:tcBorders>
          </w:tcPr>
          <w:p w14:paraId="00731470" w14:textId="42FB06E3" w:rsidR="008E7846" w:rsidRPr="00096AA7" w:rsidRDefault="00DB05C2" w:rsidP="00DB05C2">
            <w:pPr>
              <w:pStyle w:val="Date"/>
              <w:framePr w:hSpace="0" w:wrap="auto" w:vAnchor="margin" w:hAnchor="text" w:yAlign="inline"/>
              <w:suppressOverlap w:val="0"/>
            </w:pPr>
            <w:r>
              <w:t>March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DF49740" w14:textId="77777777" w:rsidTr="0032583B">
        <w:trPr>
          <w:trHeight w:val="868"/>
        </w:trPr>
        <w:tc>
          <w:tcPr>
            <w:tcW w:w="9079" w:type="dxa"/>
          </w:tcPr>
          <w:p w14:paraId="10E86197" w14:textId="77777777" w:rsidR="0032583B" w:rsidRPr="00A964D1" w:rsidRDefault="0032583B" w:rsidP="00DB05C2">
            <w:pPr>
              <w:pStyle w:val="Title"/>
              <w:framePr w:hSpace="0" w:wrap="auto" w:vAnchor="margin" w:yAlign="inline"/>
            </w:pPr>
            <w:r w:rsidRPr="00A964D1">
              <w:t xml:space="preserve">Australian Public Assessment Report for </w:t>
            </w:r>
            <w:proofErr w:type="spellStart"/>
            <w:r w:rsidR="000B1082">
              <w:t>Trastuzumab</w:t>
            </w:r>
            <w:proofErr w:type="spellEnd"/>
          </w:p>
        </w:tc>
      </w:tr>
      <w:tr w:rsidR="0032583B" w:rsidRPr="00B64760" w14:paraId="294C16FA" w14:textId="77777777" w:rsidTr="0032583B">
        <w:tc>
          <w:tcPr>
            <w:tcW w:w="9079" w:type="dxa"/>
          </w:tcPr>
          <w:p w14:paraId="6B5B5155" w14:textId="471B8881" w:rsidR="0032583B" w:rsidRPr="008E7846" w:rsidRDefault="0032583B" w:rsidP="00DB05C2">
            <w:pPr>
              <w:pStyle w:val="Subtitle"/>
              <w:framePr w:hSpace="0" w:wrap="auto" w:vAnchor="margin" w:yAlign="inline"/>
            </w:pPr>
            <w:r w:rsidRPr="008E7846">
              <w:t xml:space="preserve">Proprietary Product Name: </w:t>
            </w:r>
            <w:proofErr w:type="spellStart"/>
            <w:r w:rsidR="002F2E8A" w:rsidRPr="000B1082">
              <w:t>O</w:t>
            </w:r>
            <w:r w:rsidR="002F2E8A">
              <w:t>givri</w:t>
            </w:r>
            <w:proofErr w:type="spellEnd"/>
          </w:p>
        </w:tc>
      </w:tr>
      <w:tr w:rsidR="0032583B" w:rsidRPr="00B64760" w14:paraId="743A9E3D" w14:textId="77777777" w:rsidTr="0032583B">
        <w:trPr>
          <w:trHeight w:val="486"/>
        </w:trPr>
        <w:tc>
          <w:tcPr>
            <w:tcW w:w="9079" w:type="dxa"/>
          </w:tcPr>
          <w:p w14:paraId="671A3A47" w14:textId="146C5DA6" w:rsidR="0032583B" w:rsidRPr="008E7846" w:rsidRDefault="0032583B" w:rsidP="00DB05C2">
            <w:pPr>
              <w:pStyle w:val="Subtitle"/>
              <w:framePr w:hSpace="0" w:wrap="auto" w:vAnchor="margin" w:yAlign="inline"/>
            </w:pPr>
            <w:r w:rsidRPr="008E7846">
              <w:t xml:space="preserve">Sponsor: </w:t>
            </w:r>
            <w:proofErr w:type="spellStart"/>
            <w:r w:rsidR="000B1082" w:rsidRPr="000B1082">
              <w:t>Alphapharm</w:t>
            </w:r>
            <w:proofErr w:type="spellEnd"/>
            <w:r w:rsidR="000B1082" w:rsidRPr="000B1082">
              <w:t xml:space="preserve"> Pty Ltd</w:t>
            </w:r>
          </w:p>
        </w:tc>
      </w:tr>
    </w:tbl>
    <w:p w14:paraId="07D5924F" w14:textId="77777777" w:rsidR="008E7846" w:rsidRPr="0085156D" w:rsidRDefault="008E7846" w:rsidP="0085156D">
      <w:r w:rsidRPr="0085156D">
        <w:br w:type="page"/>
      </w:r>
    </w:p>
    <w:p w14:paraId="275A95D3" w14:textId="77777777" w:rsidR="008E7846" w:rsidRPr="001F6CBA" w:rsidRDefault="008E7846" w:rsidP="008E7846">
      <w:pPr>
        <w:pStyle w:val="NonTOCHeading2"/>
      </w:pPr>
      <w:r w:rsidRPr="001F6CBA">
        <w:lastRenderedPageBreak/>
        <w:t>About the Therapeutic Goods Administration (TGA)</w:t>
      </w:r>
    </w:p>
    <w:p w14:paraId="5932912C" w14:textId="77777777" w:rsidR="008E7846" w:rsidRDefault="008E7846" w:rsidP="005B305D">
      <w:pPr>
        <w:pStyle w:val="ListBullet"/>
      </w:pPr>
      <w:r>
        <w:t xml:space="preserve">The Therapeutic Goods Administration (TGA) is </w:t>
      </w:r>
      <w:r w:rsidR="00E624A5">
        <w:t xml:space="preserve">part </w:t>
      </w:r>
      <w:r>
        <w:t>of the Australian Government Department of Health and is responsible for regulating medicines and medical devices.</w:t>
      </w:r>
    </w:p>
    <w:p w14:paraId="03F836CE"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45B2CF0" w14:textId="77777777" w:rsidR="008E7846" w:rsidRDefault="008E7846" w:rsidP="008E7846">
      <w:pPr>
        <w:pStyle w:val="ListBullet"/>
        <w:numPr>
          <w:ilvl w:val="0"/>
          <w:numId w:val="3"/>
        </w:numPr>
        <w:ind w:left="357" w:hanging="357"/>
      </w:pPr>
      <w:r>
        <w:t xml:space="preserve">The work of the TGA </w:t>
      </w:r>
      <w:proofErr w:type="gramStart"/>
      <w:r>
        <w:t>is based</w:t>
      </w:r>
      <w:proofErr w:type="gramEnd"/>
      <w:r>
        <w:t xml:space="preserve"> on applying scientific and clinical expertise to decision-making, to ensure that the benefits to consumers outweigh any risks associated with the use of medicines and medical devices.</w:t>
      </w:r>
    </w:p>
    <w:p w14:paraId="18D7E48F"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2D67EE9C"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0739940B" w14:textId="77777777" w:rsidR="008E7846" w:rsidRDefault="008E7846" w:rsidP="00875A6B">
      <w:pPr>
        <w:pStyle w:val="NonTOCHeading2"/>
      </w:pPr>
      <w:r>
        <w:t xml:space="preserve">About </w:t>
      </w:r>
      <w:proofErr w:type="spellStart"/>
      <w:r>
        <w:t>AusPARs</w:t>
      </w:r>
      <w:proofErr w:type="spellEnd"/>
    </w:p>
    <w:p w14:paraId="46F11468" w14:textId="77777777"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29A8AC47" w14:textId="77777777" w:rsidR="008E7846" w:rsidRDefault="008E7846" w:rsidP="008E7846">
      <w:pPr>
        <w:pStyle w:val="ListBullet"/>
        <w:numPr>
          <w:ilvl w:val="0"/>
          <w:numId w:val="3"/>
        </w:numPr>
        <w:ind w:left="357" w:hanging="357"/>
      </w:pPr>
      <w:proofErr w:type="spellStart"/>
      <w:r>
        <w:t>AusPARs</w:t>
      </w:r>
      <w:proofErr w:type="spellEnd"/>
      <w:r>
        <w:t xml:space="preserve"> </w:t>
      </w:r>
      <w:proofErr w:type="gramStart"/>
      <w:r>
        <w:t>are prepared and published by the TGA</w:t>
      </w:r>
      <w:proofErr w:type="gramEnd"/>
      <w:r>
        <w:t>.</w:t>
      </w:r>
    </w:p>
    <w:p w14:paraId="46E5F91B"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w:t>
      </w:r>
      <w:proofErr w:type="gramStart"/>
      <w:r>
        <w:t>is prepared</w:t>
      </w:r>
      <w:proofErr w:type="gramEnd"/>
      <w:r>
        <w:t xml:space="preserve"> for submissions that relate to new chemical entities, generic medicines, major variations and extensions of indications.</w:t>
      </w:r>
    </w:p>
    <w:p w14:paraId="7F926E6D"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2FA341D6" w14:textId="77777777" w:rsidR="00B452CE" w:rsidRDefault="008E7846" w:rsidP="00FF5755">
      <w:pPr>
        <w:pStyle w:val="ListBullet"/>
        <w:numPr>
          <w:ilvl w:val="0"/>
          <w:numId w:val="3"/>
        </w:numPr>
        <w:ind w:left="357" w:hanging="357"/>
      </w:pPr>
      <w:r>
        <w:t xml:space="preserve">A new </w:t>
      </w:r>
      <w:proofErr w:type="spellStart"/>
      <w:r>
        <w:t>AusPAR</w:t>
      </w:r>
      <w:proofErr w:type="spellEnd"/>
      <w:r>
        <w:t xml:space="preserve"> </w:t>
      </w:r>
      <w:proofErr w:type="gramStart"/>
      <w:r>
        <w:t>will be developed</w:t>
      </w:r>
      <w:proofErr w:type="gramEnd"/>
      <w:r>
        <w:t xml:space="preserve"> to reflect changes to indications and/or major variations to a prescription medicine subject to evaluation by the TGA.</w:t>
      </w:r>
    </w:p>
    <w:p w14:paraId="25217A7F" w14:textId="77777777" w:rsidR="00924482" w:rsidRPr="00DF1D7F" w:rsidRDefault="00924482" w:rsidP="00F54B65">
      <w:pPr>
        <w:pStyle w:val="LegalSubheading"/>
        <w:spacing w:before="3120"/>
      </w:pPr>
      <w:r w:rsidRPr="00DF1D7F">
        <w:t>Copyright</w:t>
      </w:r>
    </w:p>
    <w:p w14:paraId="1065261E" w14:textId="77777777" w:rsidR="00924482" w:rsidRDefault="00924482" w:rsidP="00924482">
      <w:pPr>
        <w:pStyle w:val="LegalCopy"/>
      </w:pPr>
      <w:r w:rsidRPr="00191B3B">
        <w:rPr>
          <w:rFonts w:cs="Arial"/>
          <w:lang w:val="en-GB"/>
        </w:rPr>
        <w:t>© Comm</w:t>
      </w:r>
      <w:r w:rsidR="000B1082">
        <w:rPr>
          <w:rFonts w:cs="Arial"/>
          <w:lang w:val="en-GB"/>
        </w:rPr>
        <w:t>onwealth of Australia 2020</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w:t>
      </w:r>
      <w:proofErr w:type="gramStart"/>
      <w:r w:rsidRPr="00191B3B">
        <w:rPr>
          <w:rFonts w:cs="Arial"/>
          <w:lang w:val="en-GB"/>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191B3B">
        <w:rPr>
          <w:rFonts w:cs="Arial"/>
          <w:lang w:val="en-GB"/>
        </w:rPr>
        <w:t xml:space="preserve">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191B3B">
        <w:rPr>
          <w:rFonts w:cs="Arial"/>
          <w:lang w:val="en-GB"/>
        </w:rPr>
        <w:t>sent</w:t>
      </w:r>
      <w:proofErr w:type="gramEnd"/>
      <w:r w:rsidRPr="00191B3B">
        <w:rPr>
          <w:rFonts w:cs="Arial"/>
          <w:lang w:val="en-GB"/>
        </w:rPr>
        <w:t xml:space="preserve">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1374076C"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54D6863" w14:textId="77777777" w:rsidR="0089635C" w:rsidRPr="0089635C" w:rsidRDefault="0089635C" w:rsidP="0010788A">
          <w:pPr>
            <w:pStyle w:val="Contents"/>
          </w:pPr>
          <w:r w:rsidRPr="0010788A">
            <w:t>Contents</w:t>
          </w:r>
        </w:p>
        <w:p w14:paraId="1709C0F2" w14:textId="0D26A352" w:rsidR="003B3FA2"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5445576" w:history="1">
            <w:r w:rsidR="003B3FA2" w:rsidRPr="00A734D3">
              <w:rPr>
                <w:rStyle w:val="Hyperlink"/>
                <w:noProof/>
              </w:rPr>
              <w:t>Common abbreviations</w:t>
            </w:r>
            <w:r w:rsidR="003B3FA2">
              <w:rPr>
                <w:noProof/>
                <w:webHidden/>
              </w:rPr>
              <w:tab/>
            </w:r>
            <w:r w:rsidR="003B3FA2">
              <w:rPr>
                <w:noProof/>
                <w:webHidden/>
              </w:rPr>
              <w:fldChar w:fldCharType="begin"/>
            </w:r>
            <w:r w:rsidR="003B3FA2">
              <w:rPr>
                <w:noProof/>
                <w:webHidden/>
              </w:rPr>
              <w:instrText xml:space="preserve"> PAGEREF _Toc35445576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6C3BB4B1" w14:textId="79D1531D" w:rsidR="003B3FA2" w:rsidRDefault="003636C5">
          <w:pPr>
            <w:pStyle w:val="TOC2"/>
            <w:rPr>
              <w:rFonts w:asciiTheme="minorHAnsi" w:eastAsiaTheme="minorEastAsia" w:hAnsiTheme="minorHAnsi" w:cstheme="minorBidi"/>
              <w:b w:val="0"/>
              <w:noProof/>
              <w:sz w:val="22"/>
              <w:lang w:eastAsia="en-AU"/>
            </w:rPr>
          </w:pPr>
          <w:hyperlink w:anchor="_Toc35445577" w:history="1">
            <w:r w:rsidR="003B3FA2" w:rsidRPr="00A734D3">
              <w:rPr>
                <w:rStyle w:val="Hyperlink"/>
                <w:noProof/>
              </w:rPr>
              <w:t>I. Introduction to product submission</w:t>
            </w:r>
            <w:r w:rsidR="003B3FA2">
              <w:rPr>
                <w:noProof/>
                <w:webHidden/>
              </w:rPr>
              <w:tab/>
            </w:r>
            <w:r w:rsidR="003B3FA2">
              <w:rPr>
                <w:noProof/>
                <w:webHidden/>
              </w:rPr>
              <w:fldChar w:fldCharType="begin"/>
            </w:r>
            <w:r w:rsidR="003B3FA2">
              <w:rPr>
                <w:noProof/>
                <w:webHidden/>
              </w:rPr>
              <w:instrText xml:space="preserve"> PAGEREF _Toc35445577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498FCDA8" w14:textId="2004C8F6" w:rsidR="003B3FA2" w:rsidRDefault="003636C5">
          <w:pPr>
            <w:pStyle w:val="TOC3"/>
            <w:rPr>
              <w:rFonts w:asciiTheme="minorHAnsi" w:eastAsiaTheme="minorEastAsia" w:hAnsiTheme="minorHAnsi" w:cstheme="minorBidi"/>
              <w:noProof/>
              <w:lang w:eastAsia="en-AU"/>
            </w:rPr>
          </w:pPr>
          <w:hyperlink w:anchor="_Toc35445578" w:history="1">
            <w:r w:rsidR="003B3FA2" w:rsidRPr="00A734D3">
              <w:rPr>
                <w:rStyle w:val="Hyperlink"/>
                <w:noProof/>
                <w:lang w:eastAsia="en-AU"/>
              </w:rPr>
              <w:t>Submission details</w:t>
            </w:r>
            <w:r w:rsidR="003B3FA2">
              <w:rPr>
                <w:noProof/>
                <w:webHidden/>
              </w:rPr>
              <w:tab/>
            </w:r>
            <w:r w:rsidR="003B3FA2">
              <w:rPr>
                <w:noProof/>
                <w:webHidden/>
              </w:rPr>
              <w:fldChar w:fldCharType="begin"/>
            </w:r>
            <w:r w:rsidR="003B3FA2">
              <w:rPr>
                <w:noProof/>
                <w:webHidden/>
              </w:rPr>
              <w:instrText xml:space="preserve"> PAGEREF _Toc35445578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2CD17A7A" w14:textId="3D9DE99F" w:rsidR="003B3FA2" w:rsidRDefault="003636C5">
          <w:pPr>
            <w:pStyle w:val="TOC3"/>
            <w:rPr>
              <w:rFonts w:asciiTheme="minorHAnsi" w:eastAsiaTheme="minorEastAsia" w:hAnsiTheme="minorHAnsi" w:cstheme="minorBidi"/>
              <w:noProof/>
              <w:lang w:eastAsia="en-AU"/>
            </w:rPr>
          </w:pPr>
          <w:hyperlink w:anchor="_Toc35445579" w:history="1">
            <w:r w:rsidR="003B3FA2" w:rsidRPr="00A734D3">
              <w:rPr>
                <w:rStyle w:val="Hyperlink"/>
                <w:noProof/>
              </w:rPr>
              <w:t>Product background</w:t>
            </w:r>
            <w:r w:rsidR="003B3FA2">
              <w:rPr>
                <w:noProof/>
                <w:webHidden/>
              </w:rPr>
              <w:tab/>
            </w:r>
            <w:r w:rsidR="003B3FA2">
              <w:rPr>
                <w:noProof/>
                <w:webHidden/>
              </w:rPr>
              <w:fldChar w:fldCharType="begin"/>
            </w:r>
            <w:r w:rsidR="003B3FA2">
              <w:rPr>
                <w:noProof/>
                <w:webHidden/>
              </w:rPr>
              <w:instrText xml:space="preserve"> PAGEREF _Toc35445579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7B5468FE" w14:textId="3414C76A" w:rsidR="003B3FA2" w:rsidRDefault="003636C5">
          <w:pPr>
            <w:pStyle w:val="TOC3"/>
            <w:rPr>
              <w:rFonts w:asciiTheme="minorHAnsi" w:eastAsiaTheme="minorEastAsia" w:hAnsiTheme="minorHAnsi" w:cstheme="minorBidi"/>
              <w:noProof/>
              <w:lang w:eastAsia="en-AU"/>
            </w:rPr>
          </w:pPr>
          <w:hyperlink w:anchor="_Toc35445580" w:history="1">
            <w:r w:rsidR="003B3FA2" w:rsidRPr="00A734D3">
              <w:rPr>
                <w:rStyle w:val="Hyperlink"/>
                <w:noProof/>
              </w:rPr>
              <w:t>Regulatory status</w:t>
            </w:r>
            <w:r w:rsidR="003B3FA2">
              <w:rPr>
                <w:noProof/>
                <w:webHidden/>
              </w:rPr>
              <w:tab/>
            </w:r>
            <w:r w:rsidR="003B3FA2">
              <w:rPr>
                <w:noProof/>
                <w:webHidden/>
              </w:rPr>
              <w:fldChar w:fldCharType="begin"/>
            </w:r>
            <w:r w:rsidR="003B3FA2">
              <w:rPr>
                <w:noProof/>
                <w:webHidden/>
              </w:rPr>
              <w:instrText xml:space="preserve"> PAGEREF _Toc35445580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704CCDD5" w14:textId="6B49430A" w:rsidR="003B3FA2" w:rsidRDefault="003636C5">
          <w:pPr>
            <w:pStyle w:val="TOC3"/>
            <w:rPr>
              <w:rFonts w:asciiTheme="minorHAnsi" w:eastAsiaTheme="minorEastAsia" w:hAnsiTheme="minorHAnsi" w:cstheme="minorBidi"/>
              <w:noProof/>
              <w:lang w:eastAsia="en-AU"/>
            </w:rPr>
          </w:pPr>
          <w:hyperlink w:anchor="_Toc35445581" w:history="1">
            <w:r w:rsidR="003B3FA2" w:rsidRPr="00A734D3">
              <w:rPr>
                <w:rStyle w:val="Hyperlink"/>
                <w:noProof/>
              </w:rPr>
              <w:t>Product Information</w:t>
            </w:r>
            <w:r w:rsidR="003B3FA2">
              <w:rPr>
                <w:noProof/>
                <w:webHidden/>
              </w:rPr>
              <w:tab/>
            </w:r>
            <w:r w:rsidR="003B3FA2">
              <w:rPr>
                <w:noProof/>
                <w:webHidden/>
              </w:rPr>
              <w:fldChar w:fldCharType="begin"/>
            </w:r>
            <w:r w:rsidR="003B3FA2">
              <w:rPr>
                <w:noProof/>
                <w:webHidden/>
              </w:rPr>
              <w:instrText xml:space="preserve"> PAGEREF _Toc35445581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4D81646E" w14:textId="624E0F45" w:rsidR="003B3FA2" w:rsidRDefault="003636C5">
          <w:pPr>
            <w:pStyle w:val="TOC2"/>
            <w:rPr>
              <w:rFonts w:asciiTheme="minorHAnsi" w:eastAsiaTheme="minorEastAsia" w:hAnsiTheme="minorHAnsi" w:cstheme="minorBidi"/>
              <w:b w:val="0"/>
              <w:noProof/>
              <w:sz w:val="22"/>
              <w:lang w:eastAsia="en-AU"/>
            </w:rPr>
          </w:pPr>
          <w:hyperlink w:anchor="_Toc35445582" w:history="1">
            <w:r w:rsidR="003B3FA2" w:rsidRPr="00A734D3">
              <w:rPr>
                <w:rStyle w:val="Hyperlink"/>
                <w:noProof/>
              </w:rPr>
              <w:t>II. Registration time line</w:t>
            </w:r>
            <w:r w:rsidR="003B3FA2">
              <w:rPr>
                <w:noProof/>
                <w:webHidden/>
              </w:rPr>
              <w:tab/>
            </w:r>
            <w:r w:rsidR="003B3FA2">
              <w:rPr>
                <w:noProof/>
                <w:webHidden/>
              </w:rPr>
              <w:fldChar w:fldCharType="begin"/>
            </w:r>
            <w:r w:rsidR="003B3FA2">
              <w:rPr>
                <w:noProof/>
                <w:webHidden/>
              </w:rPr>
              <w:instrText xml:space="preserve"> PAGEREF _Toc35445582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77F6BA22" w14:textId="663DFFC3" w:rsidR="003B3FA2" w:rsidRDefault="003636C5">
          <w:pPr>
            <w:pStyle w:val="TOC2"/>
            <w:rPr>
              <w:rFonts w:asciiTheme="minorHAnsi" w:eastAsiaTheme="minorEastAsia" w:hAnsiTheme="minorHAnsi" w:cstheme="minorBidi"/>
              <w:b w:val="0"/>
              <w:noProof/>
              <w:sz w:val="22"/>
              <w:lang w:eastAsia="en-AU"/>
            </w:rPr>
          </w:pPr>
          <w:hyperlink w:anchor="_Toc35445583" w:history="1">
            <w:r w:rsidR="003B3FA2" w:rsidRPr="00A734D3">
              <w:rPr>
                <w:rStyle w:val="Hyperlink"/>
                <w:noProof/>
              </w:rPr>
              <w:t>III. Overall conclusion and risk/benefit assessment</w:t>
            </w:r>
            <w:r w:rsidR="003B3FA2">
              <w:rPr>
                <w:noProof/>
                <w:webHidden/>
              </w:rPr>
              <w:tab/>
            </w:r>
            <w:r w:rsidR="003B3FA2">
              <w:rPr>
                <w:noProof/>
                <w:webHidden/>
              </w:rPr>
              <w:fldChar w:fldCharType="begin"/>
            </w:r>
            <w:r w:rsidR="003B3FA2">
              <w:rPr>
                <w:noProof/>
                <w:webHidden/>
              </w:rPr>
              <w:instrText xml:space="preserve"> PAGEREF _Toc35445583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4F4F92F3" w14:textId="0539A3D1" w:rsidR="003B3FA2" w:rsidRDefault="003636C5">
          <w:pPr>
            <w:pStyle w:val="TOC3"/>
            <w:rPr>
              <w:rFonts w:asciiTheme="minorHAnsi" w:eastAsiaTheme="minorEastAsia" w:hAnsiTheme="minorHAnsi" w:cstheme="minorBidi"/>
              <w:noProof/>
              <w:lang w:eastAsia="en-AU"/>
            </w:rPr>
          </w:pPr>
          <w:hyperlink w:anchor="_Toc35445584" w:history="1">
            <w:r w:rsidR="003B3FA2" w:rsidRPr="00A734D3">
              <w:rPr>
                <w:rStyle w:val="Hyperlink"/>
                <w:noProof/>
              </w:rPr>
              <w:t>Introduction</w:t>
            </w:r>
            <w:r w:rsidR="003B3FA2">
              <w:rPr>
                <w:noProof/>
                <w:webHidden/>
              </w:rPr>
              <w:tab/>
            </w:r>
            <w:r w:rsidR="003B3FA2">
              <w:rPr>
                <w:noProof/>
                <w:webHidden/>
              </w:rPr>
              <w:fldChar w:fldCharType="begin"/>
            </w:r>
            <w:r w:rsidR="003B3FA2">
              <w:rPr>
                <w:noProof/>
                <w:webHidden/>
              </w:rPr>
              <w:instrText xml:space="preserve"> PAGEREF _Toc35445584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3AC563FF" w14:textId="49027AFC" w:rsidR="003B3FA2" w:rsidRDefault="003636C5">
          <w:pPr>
            <w:pStyle w:val="TOC3"/>
            <w:rPr>
              <w:rFonts w:asciiTheme="minorHAnsi" w:eastAsiaTheme="minorEastAsia" w:hAnsiTheme="minorHAnsi" w:cstheme="minorBidi"/>
              <w:noProof/>
              <w:lang w:eastAsia="en-AU"/>
            </w:rPr>
          </w:pPr>
          <w:hyperlink w:anchor="_Toc35445585" w:history="1">
            <w:r w:rsidR="003B3FA2" w:rsidRPr="00A734D3">
              <w:rPr>
                <w:rStyle w:val="Hyperlink"/>
                <w:noProof/>
              </w:rPr>
              <w:t>Quality</w:t>
            </w:r>
            <w:r w:rsidR="003B3FA2">
              <w:rPr>
                <w:noProof/>
                <w:webHidden/>
              </w:rPr>
              <w:tab/>
            </w:r>
            <w:r w:rsidR="003B3FA2">
              <w:rPr>
                <w:noProof/>
                <w:webHidden/>
              </w:rPr>
              <w:fldChar w:fldCharType="begin"/>
            </w:r>
            <w:r w:rsidR="003B3FA2">
              <w:rPr>
                <w:noProof/>
                <w:webHidden/>
              </w:rPr>
              <w:instrText xml:space="preserve"> PAGEREF _Toc35445585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419A00CF" w14:textId="2C85BE00" w:rsidR="003B3FA2" w:rsidRDefault="003636C5">
          <w:pPr>
            <w:pStyle w:val="TOC3"/>
            <w:rPr>
              <w:rFonts w:asciiTheme="minorHAnsi" w:eastAsiaTheme="minorEastAsia" w:hAnsiTheme="minorHAnsi" w:cstheme="minorBidi"/>
              <w:noProof/>
              <w:lang w:eastAsia="en-AU"/>
            </w:rPr>
          </w:pPr>
          <w:hyperlink w:anchor="_Toc35445586" w:history="1">
            <w:r w:rsidR="003B3FA2" w:rsidRPr="00A734D3">
              <w:rPr>
                <w:rStyle w:val="Hyperlink"/>
                <w:noProof/>
              </w:rPr>
              <w:t>Nonclinical</w:t>
            </w:r>
            <w:r w:rsidR="003B3FA2">
              <w:rPr>
                <w:noProof/>
                <w:webHidden/>
              </w:rPr>
              <w:tab/>
            </w:r>
            <w:r w:rsidR="003B3FA2">
              <w:rPr>
                <w:noProof/>
                <w:webHidden/>
              </w:rPr>
              <w:fldChar w:fldCharType="begin"/>
            </w:r>
            <w:r w:rsidR="003B3FA2">
              <w:rPr>
                <w:noProof/>
                <w:webHidden/>
              </w:rPr>
              <w:instrText xml:space="preserve"> PAGEREF _Toc35445586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4C1DD080" w14:textId="4A141B43" w:rsidR="003B3FA2" w:rsidRDefault="003636C5">
          <w:pPr>
            <w:pStyle w:val="TOC3"/>
            <w:rPr>
              <w:rFonts w:asciiTheme="minorHAnsi" w:eastAsiaTheme="minorEastAsia" w:hAnsiTheme="minorHAnsi" w:cstheme="minorBidi"/>
              <w:noProof/>
              <w:lang w:eastAsia="en-AU"/>
            </w:rPr>
          </w:pPr>
          <w:hyperlink w:anchor="_Toc35445587" w:history="1">
            <w:r w:rsidR="003B3FA2" w:rsidRPr="00A734D3">
              <w:rPr>
                <w:rStyle w:val="Hyperlink"/>
                <w:noProof/>
              </w:rPr>
              <w:t>Clinical</w:t>
            </w:r>
            <w:r w:rsidR="003B3FA2">
              <w:rPr>
                <w:noProof/>
                <w:webHidden/>
              </w:rPr>
              <w:tab/>
            </w:r>
            <w:r w:rsidR="003B3FA2">
              <w:rPr>
                <w:noProof/>
                <w:webHidden/>
              </w:rPr>
              <w:fldChar w:fldCharType="begin"/>
            </w:r>
            <w:r w:rsidR="003B3FA2">
              <w:rPr>
                <w:noProof/>
                <w:webHidden/>
              </w:rPr>
              <w:instrText xml:space="preserve"> PAGEREF _Toc35445587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2ED4AD65" w14:textId="7F117C16" w:rsidR="003B3FA2" w:rsidRDefault="003636C5">
          <w:pPr>
            <w:pStyle w:val="TOC3"/>
            <w:rPr>
              <w:rFonts w:asciiTheme="minorHAnsi" w:eastAsiaTheme="minorEastAsia" w:hAnsiTheme="minorHAnsi" w:cstheme="minorBidi"/>
              <w:noProof/>
              <w:lang w:eastAsia="en-AU"/>
            </w:rPr>
          </w:pPr>
          <w:hyperlink w:anchor="_Toc35445588" w:history="1">
            <w:r w:rsidR="003B3FA2" w:rsidRPr="00A734D3">
              <w:rPr>
                <w:rStyle w:val="Hyperlink"/>
                <w:noProof/>
                <w:lang w:eastAsia="en-AU"/>
              </w:rPr>
              <w:t>Risk management plan</w:t>
            </w:r>
            <w:r w:rsidR="003B3FA2">
              <w:rPr>
                <w:noProof/>
                <w:webHidden/>
              </w:rPr>
              <w:tab/>
            </w:r>
            <w:r w:rsidR="003B3FA2">
              <w:rPr>
                <w:noProof/>
                <w:webHidden/>
              </w:rPr>
              <w:fldChar w:fldCharType="begin"/>
            </w:r>
            <w:r w:rsidR="003B3FA2">
              <w:rPr>
                <w:noProof/>
                <w:webHidden/>
              </w:rPr>
              <w:instrText xml:space="preserve"> PAGEREF _Toc35445588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300CCEF0" w14:textId="0C0FDBFE" w:rsidR="003B3FA2" w:rsidRDefault="003636C5">
          <w:pPr>
            <w:pStyle w:val="TOC3"/>
            <w:rPr>
              <w:rFonts w:asciiTheme="minorHAnsi" w:eastAsiaTheme="minorEastAsia" w:hAnsiTheme="minorHAnsi" w:cstheme="minorBidi"/>
              <w:noProof/>
              <w:lang w:eastAsia="en-AU"/>
            </w:rPr>
          </w:pPr>
          <w:hyperlink w:anchor="_Toc35445589" w:history="1">
            <w:r w:rsidR="003B3FA2" w:rsidRPr="00A734D3">
              <w:rPr>
                <w:rStyle w:val="Hyperlink"/>
                <w:noProof/>
              </w:rPr>
              <w:t>Risk-benefit analysis</w:t>
            </w:r>
            <w:r w:rsidR="003B3FA2">
              <w:rPr>
                <w:noProof/>
                <w:webHidden/>
              </w:rPr>
              <w:tab/>
            </w:r>
            <w:r w:rsidR="003B3FA2">
              <w:rPr>
                <w:noProof/>
                <w:webHidden/>
              </w:rPr>
              <w:fldChar w:fldCharType="begin"/>
            </w:r>
            <w:r w:rsidR="003B3FA2">
              <w:rPr>
                <w:noProof/>
                <w:webHidden/>
              </w:rPr>
              <w:instrText xml:space="preserve"> PAGEREF _Toc35445589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766B9F75" w14:textId="165E108E" w:rsidR="003B3FA2" w:rsidRDefault="003636C5">
          <w:pPr>
            <w:pStyle w:val="TOC3"/>
            <w:rPr>
              <w:rFonts w:asciiTheme="minorHAnsi" w:eastAsiaTheme="minorEastAsia" w:hAnsiTheme="minorHAnsi" w:cstheme="minorBidi"/>
              <w:noProof/>
              <w:lang w:eastAsia="en-AU"/>
            </w:rPr>
          </w:pPr>
          <w:hyperlink w:anchor="_Toc35445590" w:history="1">
            <w:r w:rsidR="003B3FA2" w:rsidRPr="00A734D3">
              <w:rPr>
                <w:rStyle w:val="Hyperlink"/>
                <w:noProof/>
              </w:rPr>
              <w:t>Outcome</w:t>
            </w:r>
            <w:r w:rsidR="003B3FA2">
              <w:rPr>
                <w:noProof/>
                <w:webHidden/>
              </w:rPr>
              <w:tab/>
            </w:r>
            <w:r w:rsidR="003B3FA2">
              <w:rPr>
                <w:noProof/>
                <w:webHidden/>
              </w:rPr>
              <w:fldChar w:fldCharType="begin"/>
            </w:r>
            <w:r w:rsidR="003B3FA2">
              <w:rPr>
                <w:noProof/>
                <w:webHidden/>
              </w:rPr>
              <w:instrText xml:space="preserve"> PAGEREF _Toc35445590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19D13648" w14:textId="768731A0" w:rsidR="003B3FA2" w:rsidRDefault="003636C5">
          <w:pPr>
            <w:pStyle w:val="TOC2"/>
            <w:rPr>
              <w:rFonts w:asciiTheme="minorHAnsi" w:eastAsiaTheme="minorEastAsia" w:hAnsiTheme="minorHAnsi" w:cstheme="minorBidi"/>
              <w:b w:val="0"/>
              <w:noProof/>
              <w:sz w:val="22"/>
              <w:lang w:eastAsia="en-AU"/>
            </w:rPr>
          </w:pPr>
          <w:hyperlink w:anchor="_Toc35445591" w:history="1">
            <w:r w:rsidR="003B3FA2" w:rsidRPr="00A734D3">
              <w:rPr>
                <w:rStyle w:val="Hyperlink"/>
                <w:noProof/>
              </w:rPr>
              <w:t>Attachment 1. Product Information</w:t>
            </w:r>
            <w:r w:rsidR="003B3FA2">
              <w:rPr>
                <w:noProof/>
                <w:webHidden/>
              </w:rPr>
              <w:tab/>
            </w:r>
            <w:r w:rsidR="003B3FA2">
              <w:rPr>
                <w:noProof/>
                <w:webHidden/>
              </w:rPr>
              <w:fldChar w:fldCharType="begin"/>
            </w:r>
            <w:r w:rsidR="003B3FA2">
              <w:rPr>
                <w:noProof/>
                <w:webHidden/>
              </w:rPr>
              <w:instrText xml:space="preserve"> PAGEREF _Toc35445591 \h </w:instrText>
            </w:r>
            <w:r w:rsidR="003B3FA2">
              <w:rPr>
                <w:noProof/>
                <w:webHidden/>
              </w:rPr>
            </w:r>
            <w:r w:rsidR="003B3FA2">
              <w:rPr>
                <w:noProof/>
                <w:webHidden/>
              </w:rPr>
              <w:fldChar w:fldCharType="separate"/>
            </w:r>
            <w:r w:rsidR="00180DE4">
              <w:rPr>
                <w:noProof/>
                <w:webHidden/>
              </w:rPr>
              <w:t>2</w:t>
            </w:r>
            <w:r w:rsidR="003B3FA2">
              <w:rPr>
                <w:noProof/>
                <w:webHidden/>
              </w:rPr>
              <w:fldChar w:fldCharType="end"/>
            </w:r>
          </w:hyperlink>
        </w:p>
        <w:p w14:paraId="26D74D84" w14:textId="6C306118" w:rsidR="003A7F6C" w:rsidRPr="00B811C6" w:rsidRDefault="00960520" w:rsidP="00B811C6">
          <w:pPr>
            <w:pStyle w:val="TOC2"/>
          </w:pPr>
          <w:r>
            <w:fldChar w:fldCharType="end"/>
          </w:r>
        </w:p>
      </w:sdtContent>
    </w:sdt>
    <w:bookmarkStart w:id="3" w:name="_Toc314842482" w:displacedByCustomXml="prev"/>
    <w:p w14:paraId="31F8C4A1" w14:textId="77777777" w:rsidR="00C52E24" w:rsidRPr="00C52E24" w:rsidRDefault="00441C3F" w:rsidP="00FE57E9">
      <w:pPr>
        <w:pStyle w:val="Heading2"/>
        <w:pageBreakBefore/>
      </w:pPr>
      <w:bookmarkStart w:id="4" w:name="_Toc351716269"/>
      <w:bookmarkStart w:id="5" w:name="_Toc351718881"/>
      <w:bookmarkStart w:id="6" w:name="_Toc355338616"/>
      <w:bookmarkStart w:id="7" w:name="_Toc356306144"/>
      <w:bookmarkStart w:id="8" w:name="_Toc35445576"/>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594"/>
      </w:tblGrid>
      <w:tr w:rsidR="00FD119B" w:rsidRPr="00FD119B" w14:paraId="36C562EA" w14:textId="77777777" w:rsidTr="00C745ED">
        <w:trPr>
          <w:cnfStyle w:val="100000000000" w:firstRow="1" w:lastRow="0" w:firstColumn="0" w:lastColumn="0" w:oddVBand="0" w:evenVBand="0" w:oddHBand="0" w:evenHBand="0" w:firstRowFirstColumn="0" w:firstRowLastColumn="0" w:lastRowFirstColumn="0" w:lastRowLastColumn="0"/>
        </w:trPr>
        <w:tc>
          <w:tcPr>
            <w:tcW w:w="1890" w:type="dxa"/>
          </w:tcPr>
          <w:p w14:paraId="2F9C1F31" w14:textId="77777777" w:rsidR="00FD119B" w:rsidRPr="00FD119B" w:rsidRDefault="00FD119B" w:rsidP="00C745ED">
            <w:pPr>
              <w:rPr>
                <w:lang w:eastAsia="en-US"/>
              </w:rPr>
            </w:pPr>
            <w:r w:rsidRPr="00FD119B">
              <w:rPr>
                <w:lang w:eastAsia="en-US"/>
              </w:rPr>
              <w:t>Abbreviation</w:t>
            </w:r>
          </w:p>
        </w:tc>
        <w:tc>
          <w:tcPr>
            <w:tcW w:w="6830" w:type="dxa"/>
          </w:tcPr>
          <w:p w14:paraId="13657850" w14:textId="77777777" w:rsidR="00FD119B" w:rsidRPr="00FD119B" w:rsidRDefault="00FD119B" w:rsidP="00C745ED">
            <w:pPr>
              <w:rPr>
                <w:lang w:eastAsia="en-US"/>
              </w:rPr>
            </w:pPr>
            <w:r w:rsidRPr="00FD119B">
              <w:rPr>
                <w:lang w:eastAsia="en-US"/>
              </w:rPr>
              <w:t>Meaning</w:t>
            </w:r>
          </w:p>
        </w:tc>
      </w:tr>
      <w:tr w:rsidR="00C745ED" w:rsidRPr="006B7C7B" w14:paraId="535FBDAB" w14:textId="77777777" w:rsidTr="00C745ED">
        <w:tc>
          <w:tcPr>
            <w:tcW w:w="1890" w:type="dxa"/>
          </w:tcPr>
          <w:p w14:paraId="4D707A48" w14:textId="77777777" w:rsidR="00C745ED" w:rsidRPr="006B7C7B" w:rsidRDefault="00C745ED" w:rsidP="00C745ED">
            <w:pPr>
              <w:rPr>
                <w:rFonts w:asciiTheme="minorHAnsi" w:hAnsiTheme="minorHAnsi" w:cs="†p˜øwcÊ"/>
                <w:lang w:val="en-US"/>
              </w:rPr>
            </w:pPr>
            <w:r>
              <w:rPr>
                <w:rFonts w:asciiTheme="minorHAnsi" w:hAnsiTheme="minorHAnsi" w:cs="†p˜øwcÊ"/>
                <w:lang w:val="en-US"/>
              </w:rPr>
              <w:t>ADA</w:t>
            </w:r>
          </w:p>
        </w:tc>
        <w:tc>
          <w:tcPr>
            <w:tcW w:w="6830" w:type="dxa"/>
          </w:tcPr>
          <w:p w14:paraId="6F0FFCBC" w14:textId="7221D387" w:rsidR="00C745ED" w:rsidRPr="006B7C7B" w:rsidRDefault="00C745ED" w:rsidP="00C745ED">
            <w:pPr>
              <w:rPr>
                <w:rFonts w:asciiTheme="minorHAnsi" w:hAnsiTheme="minorHAnsi" w:cs="†p˜øwcÊ"/>
                <w:lang w:val="en-US"/>
              </w:rPr>
            </w:pPr>
            <w:r w:rsidRPr="006B7C7B">
              <w:rPr>
                <w:rFonts w:asciiTheme="minorHAnsi" w:hAnsiTheme="minorHAnsi" w:cs="†p˜øwcÊ"/>
                <w:lang w:val="en-US"/>
              </w:rPr>
              <w:t>Anti-drug antibody</w:t>
            </w:r>
            <w:r w:rsidR="00612479">
              <w:rPr>
                <w:rFonts w:asciiTheme="minorHAnsi" w:hAnsiTheme="minorHAnsi" w:cs="†p˜øwcÊ"/>
                <w:lang w:val="en-US"/>
              </w:rPr>
              <w:t>/antibodies</w:t>
            </w:r>
          </w:p>
        </w:tc>
      </w:tr>
      <w:tr w:rsidR="00C745ED" w:rsidRPr="006B7C7B" w14:paraId="34417418" w14:textId="77777777" w:rsidTr="00C745ED">
        <w:tc>
          <w:tcPr>
            <w:tcW w:w="1890" w:type="dxa"/>
          </w:tcPr>
          <w:p w14:paraId="1AFC2F40" w14:textId="77777777" w:rsidR="00C745ED" w:rsidRPr="006B7C7B" w:rsidRDefault="00C745ED" w:rsidP="00C745ED">
            <w:pPr>
              <w:rPr>
                <w:rFonts w:asciiTheme="minorHAnsi" w:hAnsiTheme="minorHAnsi" w:cs="†p˜øwcÊ"/>
                <w:lang w:val="en-US"/>
              </w:rPr>
            </w:pPr>
            <w:r>
              <w:rPr>
                <w:rFonts w:asciiTheme="minorHAnsi" w:hAnsiTheme="minorHAnsi" w:cs="†p˜øwcÊ"/>
                <w:lang w:val="en-US"/>
              </w:rPr>
              <w:t>ADCC</w:t>
            </w:r>
          </w:p>
        </w:tc>
        <w:tc>
          <w:tcPr>
            <w:tcW w:w="6830" w:type="dxa"/>
          </w:tcPr>
          <w:p w14:paraId="57AD73D4" w14:textId="77777777" w:rsidR="00C745ED" w:rsidRPr="006B7C7B" w:rsidRDefault="00C745ED" w:rsidP="00C745ED">
            <w:pPr>
              <w:rPr>
                <w:rFonts w:asciiTheme="minorHAnsi" w:hAnsiTheme="minorHAnsi" w:cs="†p˜øwcÊ"/>
                <w:lang w:val="en-US"/>
              </w:rPr>
            </w:pPr>
            <w:r w:rsidRPr="006B7C7B">
              <w:rPr>
                <w:rFonts w:asciiTheme="minorHAnsi" w:hAnsiTheme="minorHAnsi" w:cs="†p˜øwcÊ"/>
                <w:lang w:val="en-US"/>
              </w:rPr>
              <w:t>Antibody-dependent cell-mediated cytotoxicity</w:t>
            </w:r>
          </w:p>
        </w:tc>
      </w:tr>
      <w:tr w:rsidR="00C745ED" w:rsidRPr="006B7C7B" w14:paraId="1D2BD768" w14:textId="77777777" w:rsidTr="00C745ED">
        <w:tc>
          <w:tcPr>
            <w:tcW w:w="1890" w:type="dxa"/>
          </w:tcPr>
          <w:p w14:paraId="4E0F7BA8" w14:textId="77777777" w:rsidR="00C745ED" w:rsidRPr="006B7C7B" w:rsidRDefault="00C745ED" w:rsidP="00C745ED">
            <w:pPr>
              <w:rPr>
                <w:rFonts w:asciiTheme="minorHAnsi" w:hAnsiTheme="minorHAnsi" w:cs="†p˜øwcÊ"/>
                <w:lang w:val="en-US"/>
              </w:rPr>
            </w:pPr>
            <w:r>
              <w:rPr>
                <w:rFonts w:asciiTheme="minorHAnsi" w:hAnsiTheme="minorHAnsi" w:cs="†p˜øwcÊ"/>
                <w:lang w:val="en-US"/>
              </w:rPr>
              <w:t>AE</w:t>
            </w:r>
          </w:p>
        </w:tc>
        <w:tc>
          <w:tcPr>
            <w:tcW w:w="6830" w:type="dxa"/>
          </w:tcPr>
          <w:p w14:paraId="4307CC0D" w14:textId="77777777" w:rsidR="00C745ED" w:rsidRPr="006B7C7B" w:rsidRDefault="00C745ED" w:rsidP="00C745ED">
            <w:pPr>
              <w:rPr>
                <w:rFonts w:asciiTheme="minorHAnsi" w:hAnsiTheme="minorHAnsi" w:cs="†p˜øwcÊ"/>
                <w:lang w:val="en-US"/>
              </w:rPr>
            </w:pPr>
            <w:r w:rsidRPr="006B7C7B">
              <w:rPr>
                <w:rFonts w:asciiTheme="minorHAnsi" w:hAnsiTheme="minorHAnsi" w:cs="†p˜øwcÊ"/>
                <w:lang w:val="en-US"/>
              </w:rPr>
              <w:t>Adverse event</w:t>
            </w:r>
          </w:p>
        </w:tc>
      </w:tr>
      <w:tr w:rsidR="000A0880" w:rsidRPr="006B7C7B" w14:paraId="4169B7B4" w14:textId="77777777" w:rsidTr="00C745ED">
        <w:tc>
          <w:tcPr>
            <w:tcW w:w="1890" w:type="dxa"/>
          </w:tcPr>
          <w:p w14:paraId="1D3CB174" w14:textId="0FB958B9" w:rsidR="000A0880" w:rsidRDefault="000A0880" w:rsidP="00C745ED">
            <w:pPr>
              <w:rPr>
                <w:rFonts w:asciiTheme="minorHAnsi" w:hAnsiTheme="minorHAnsi" w:cs="†p˜øwcÊ"/>
                <w:lang w:val="en-US"/>
              </w:rPr>
            </w:pPr>
            <w:r>
              <w:rPr>
                <w:rFonts w:asciiTheme="minorHAnsi" w:hAnsiTheme="minorHAnsi" w:cs="†p˜øwcÊ"/>
                <w:lang w:val="en-US"/>
              </w:rPr>
              <w:t>ARTG</w:t>
            </w:r>
          </w:p>
        </w:tc>
        <w:tc>
          <w:tcPr>
            <w:tcW w:w="6830" w:type="dxa"/>
          </w:tcPr>
          <w:p w14:paraId="3C7075F3" w14:textId="548D6D00" w:rsidR="000A0880" w:rsidRPr="006B7C7B" w:rsidRDefault="000A0880" w:rsidP="00C745ED">
            <w:pPr>
              <w:rPr>
                <w:rFonts w:asciiTheme="minorHAnsi" w:hAnsiTheme="minorHAnsi" w:cs="†p˜øwcÊ"/>
                <w:lang w:val="en-US"/>
              </w:rPr>
            </w:pPr>
            <w:r>
              <w:rPr>
                <w:rFonts w:asciiTheme="minorHAnsi" w:hAnsiTheme="minorHAnsi" w:cs="†p˜øwcÊ"/>
                <w:lang w:val="en-US"/>
              </w:rPr>
              <w:t>Australian Register of Therapeutic Goods</w:t>
            </w:r>
          </w:p>
        </w:tc>
      </w:tr>
      <w:tr w:rsidR="00C745ED" w:rsidRPr="006B7C7B" w14:paraId="312587FB" w14:textId="77777777" w:rsidTr="00C745ED">
        <w:tc>
          <w:tcPr>
            <w:tcW w:w="1890" w:type="dxa"/>
          </w:tcPr>
          <w:p w14:paraId="35F36B9A" w14:textId="77777777" w:rsidR="00C745ED" w:rsidRPr="006B7C7B" w:rsidRDefault="00C745ED" w:rsidP="00C745ED">
            <w:pPr>
              <w:rPr>
                <w:rFonts w:asciiTheme="minorHAnsi" w:hAnsiTheme="minorHAnsi" w:cs="†p˜øwcÊ"/>
                <w:lang w:val="en-US"/>
              </w:rPr>
            </w:pPr>
            <w:r>
              <w:rPr>
                <w:rFonts w:asciiTheme="minorHAnsi" w:hAnsiTheme="minorHAnsi" w:cs="†p˜øwcÊ"/>
                <w:lang w:val="en-US"/>
              </w:rPr>
              <w:t>AUC</w:t>
            </w:r>
          </w:p>
        </w:tc>
        <w:tc>
          <w:tcPr>
            <w:tcW w:w="6830" w:type="dxa"/>
          </w:tcPr>
          <w:p w14:paraId="5673BCF9" w14:textId="4B180F5D" w:rsidR="00C745ED" w:rsidRPr="006B7C7B" w:rsidRDefault="00C745ED" w:rsidP="00612479">
            <w:pPr>
              <w:rPr>
                <w:rFonts w:asciiTheme="minorHAnsi" w:hAnsiTheme="minorHAnsi" w:cs="†p˜øwcÊ"/>
                <w:lang w:val="en-US"/>
              </w:rPr>
            </w:pPr>
            <w:r w:rsidRPr="006B7C7B">
              <w:rPr>
                <w:rFonts w:asciiTheme="minorHAnsi" w:hAnsiTheme="minorHAnsi" w:cs="†p˜øwcÊ"/>
                <w:lang w:val="en-US"/>
              </w:rPr>
              <w:t>Area under the curve or area under the serum concentration versus time curve</w:t>
            </w:r>
          </w:p>
        </w:tc>
      </w:tr>
      <w:tr w:rsidR="00612479" w:rsidRPr="006B7C7B" w14:paraId="13E6C06E" w14:textId="77777777" w:rsidTr="00C745ED">
        <w:tc>
          <w:tcPr>
            <w:tcW w:w="1890" w:type="dxa"/>
          </w:tcPr>
          <w:p w14:paraId="03B8AE1E" w14:textId="550CACD4" w:rsidR="00612479" w:rsidRDefault="00612479" w:rsidP="00C745ED">
            <w:pPr>
              <w:rPr>
                <w:rFonts w:asciiTheme="minorHAnsi" w:hAnsiTheme="minorHAnsi" w:cs="†p˜øwcÊ"/>
                <w:lang w:val="en-US"/>
              </w:rPr>
            </w:pPr>
            <w:r w:rsidRPr="006B7C7B">
              <w:rPr>
                <w:rFonts w:asciiTheme="minorHAnsi" w:hAnsiTheme="minorHAnsi" w:cs="†p˜øwcÊ"/>
                <w:lang w:val="en-US"/>
              </w:rPr>
              <w:t>AUC</w:t>
            </w:r>
            <w:r w:rsidRPr="003217AA">
              <w:rPr>
                <w:rFonts w:asciiTheme="minorHAnsi" w:hAnsiTheme="minorHAnsi" w:cs="†p˜øwcÊ"/>
                <w:vertAlign w:val="subscript"/>
                <w:lang w:val="en-US"/>
              </w:rPr>
              <w:t>0-∞</w:t>
            </w:r>
          </w:p>
        </w:tc>
        <w:tc>
          <w:tcPr>
            <w:tcW w:w="6830" w:type="dxa"/>
          </w:tcPr>
          <w:p w14:paraId="5EFC6620" w14:textId="65670926" w:rsidR="00612479" w:rsidRPr="006B7C7B" w:rsidRDefault="00612479" w:rsidP="00C745ED">
            <w:pPr>
              <w:rPr>
                <w:rFonts w:asciiTheme="minorHAnsi" w:hAnsiTheme="minorHAnsi" w:cs="†p˜øwcÊ"/>
                <w:lang w:val="en-US"/>
              </w:rPr>
            </w:pPr>
            <w:r>
              <w:rPr>
                <w:rFonts w:asciiTheme="minorHAnsi" w:hAnsiTheme="minorHAnsi" w:cs="†p˜øwcÊ"/>
                <w:lang w:val="en-US"/>
              </w:rPr>
              <w:t xml:space="preserve">Area under the curve </w:t>
            </w:r>
            <w:r w:rsidRPr="006B7C7B">
              <w:rPr>
                <w:rFonts w:asciiTheme="minorHAnsi" w:hAnsiTheme="minorHAnsi" w:cs="†p˜øwcÊ"/>
                <w:lang w:val="en-US"/>
              </w:rPr>
              <w:t>or area under the serum concentration versus time curve</w:t>
            </w:r>
            <w:r>
              <w:rPr>
                <w:rFonts w:asciiTheme="minorHAnsi" w:hAnsiTheme="minorHAnsi" w:cs="†p˜øwcÊ"/>
                <w:lang w:val="en-US"/>
              </w:rPr>
              <w:t xml:space="preserve"> from time 0 (dosing) extrapolated to infinity</w:t>
            </w:r>
          </w:p>
        </w:tc>
      </w:tr>
      <w:tr w:rsidR="00612479" w:rsidRPr="006B7C7B" w14:paraId="54B8B4FC" w14:textId="77777777" w:rsidTr="00C745ED">
        <w:tc>
          <w:tcPr>
            <w:tcW w:w="1890" w:type="dxa"/>
          </w:tcPr>
          <w:p w14:paraId="2F8AE801" w14:textId="6D851C3A" w:rsidR="00612479" w:rsidRDefault="00612479" w:rsidP="00C745ED">
            <w:pPr>
              <w:rPr>
                <w:rFonts w:asciiTheme="minorHAnsi" w:hAnsiTheme="minorHAnsi" w:cs="†p˜øwcÊ"/>
                <w:lang w:val="en-US"/>
              </w:rPr>
            </w:pPr>
            <w:r w:rsidRPr="006B7C7B">
              <w:rPr>
                <w:rFonts w:asciiTheme="minorHAnsi" w:hAnsiTheme="minorHAnsi" w:cs="†p˜øwcÊ"/>
                <w:lang w:val="en-US"/>
              </w:rPr>
              <w:t>AUC</w:t>
            </w:r>
            <w:r w:rsidRPr="003217AA">
              <w:rPr>
                <w:rFonts w:asciiTheme="minorHAnsi" w:hAnsiTheme="minorHAnsi" w:cs="†p˜øwcÊ"/>
                <w:vertAlign w:val="subscript"/>
                <w:lang w:val="en-US"/>
              </w:rPr>
              <w:t>0-last</w:t>
            </w:r>
          </w:p>
        </w:tc>
        <w:tc>
          <w:tcPr>
            <w:tcW w:w="6830" w:type="dxa"/>
          </w:tcPr>
          <w:p w14:paraId="7EF33EAF" w14:textId="3CD6DB36" w:rsidR="00612479" w:rsidRPr="006B7C7B" w:rsidRDefault="00612479" w:rsidP="00C745ED">
            <w:pPr>
              <w:rPr>
                <w:rFonts w:asciiTheme="minorHAnsi" w:hAnsiTheme="minorHAnsi" w:cs="†p˜øwcÊ"/>
                <w:lang w:val="en-US"/>
              </w:rPr>
            </w:pPr>
            <w:r>
              <w:rPr>
                <w:rFonts w:asciiTheme="minorHAnsi" w:hAnsiTheme="minorHAnsi" w:cs="†p˜øwcÊ"/>
                <w:lang w:val="en-US"/>
              </w:rPr>
              <w:t xml:space="preserve">Area under the curve </w:t>
            </w:r>
            <w:r w:rsidRPr="006B7C7B">
              <w:rPr>
                <w:rFonts w:asciiTheme="minorHAnsi" w:hAnsiTheme="minorHAnsi" w:cs="†p˜øwcÊ"/>
                <w:lang w:val="en-US"/>
              </w:rPr>
              <w:t>or area under the serum concentration versus time curve</w:t>
            </w:r>
            <w:r>
              <w:rPr>
                <w:rFonts w:asciiTheme="minorHAnsi" w:hAnsiTheme="minorHAnsi" w:cs="†p˜øwcÊ"/>
                <w:lang w:val="en-US"/>
              </w:rPr>
              <w:t xml:space="preserve"> from time 0 (dosing) to last measured concentration</w:t>
            </w:r>
          </w:p>
        </w:tc>
      </w:tr>
      <w:tr w:rsidR="005D1716" w:rsidRPr="006B7C7B" w14:paraId="44C5A971" w14:textId="77777777" w:rsidTr="00C745ED">
        <w:tc>
          <w:tcPr>
            <w:tcW w:w="1890" w:type="dxa"/>
          </w:tcPr>
          <w:p w14:paraId="19F6DE1E" w14:textId="6702FA57" w:rsidR="005D1716" w:rsidRDefault="005D1716" w:rsidP="00C745ED">
            <w:pPr>
              <w:rPr>
                <w:rFonts w:asciiTheme="minorHAnsi" w:hAnsiTheme="minorHAnsi" w:cs="†p˜øwcÊ"/>
                <w:lang w:val="en-US"/>
              </w:rPr>
            </w:pPr>
            <w:r>
              <w:rPr>
                <w:rFonts w:asciiTheme="minorHAnsi" w:hAnsiTheme="minorHAnsi" w:cs="†p˜øwcÊ"/>
                <w:lang w:val="en-US"/>
              </w:rPr>
              <w:t>CHMP</w:t>
            </w:r>
          </w:p>
        </w:tc>
        <w:tc>
          <w:tcPr>
            <w:tcW w:w="6830" w:type="dxa"/>
          </w:tcPr>
          <w:p w14:paraId="2EB3DA2D" w14:textId="600FC61A" w:rsidR="005D1716" w:rsidRPr="006B7C7B" w:rsidRDefault="005D1716" w:rsidP="005D1716">
            <w:pPr>
              <w:rPr>
                <w:rFonts w:asciiTheme="minorHAnsi" w:hAnsiTheme="minorHAnsi" w:cs="†p˜øwcÊ"/>
                <w:lang w:val="en-US"/>
              </w:rPr>
            </w:pPr>
            <w:r>
              <w:t>Committee for Medicinal Products for Human Use (EU)</w:t>
            </w:r>
          </w:p>
        </w:tc>
      </w:tr>
      <w:tr w:rsidR="00C745ED" w:rsidRPr="006B7C7B" w14:paraId="2B51DAF0" w14:textId="77777777" w:rsidTr="00C745ED">
        <w:tc>
          <w:tcPr>
            <w:tcW w:w="1890" w:type="dxa"/>
          </w:tcPr>
          <w:p w14:paraId="07DE74C4" w14:textId="77777777" w:rsidR="00C745ED" w:rsidRPr="006B7C7B" w:rsidRDefault="00C745ED" w:rsidP="00C745ED">
            <w:pPr>
              <w:rPr>
                <w:rFonts w:asciiTheme="minorHAnsi" w:hAnsiTheme="minorHAnsi" w:cs="†p˜øwcÊ"/>
                <w:lang w:val="en-US"/>
              </w:rPr>
            </w:pPr>
            <w:r>
              <w:rPr>
                <w:rFonts w:asciiTheme="minorHAnsi" w:hAnsiTheme="minorHAnsi" w:cs="†p˜øwcÊ"/>
                <w:lang w:val="en-US"/>
              </w:rPr>
              <w:t>CI</w:t>
            </w:r>
          </w:p>
        </w:tc>
        <w:tc>
          <w:tcPr>
            <w:tcW w:w="6830" w:type="dxa"/>
          </w:tcPr>
          <w:p w14:paraId="7C3228BD" w14:textId="77777777" w:rsidR="00C745ED" w:rsidRPr="006B7C7B" w:rsidRDefault="00C745ED" w:rsidP="00C745ED">
            <w:pPr>
              <w:rPr>
                <w:rFonts w:asciiTheme="minorHAnsi" w:hAnsiTheme="minorHAnsi" w:cs="†p˜øwcÊ"/>
                <w:lang w:val="en-US"/>
              </w:rPr>
            </w:pPr>
            <w:r w:rsidRPr="006B7C7B">
              <w:rPr>
                <w:rFonts w:asciiTheme="minorHAnsi" w:hAnsiTheme="minorHAnsi" w:cs="†p˜øwcÊ"/>
                <w:lang w:val="en-US"/>
              </w:rPr>
              <w:t>Confidence interval</w:t>
            </w:r>
          </w:p>
        </w:tc>
      </w:tr>
      <w:tr w:rsidR="00C745ED" w:rsidRPr="006B7C7B" w14:paraId="65367A44" w14:textId="77777777" w:rsidTr="00C745ED">
        <w:tc>
          <w:tcPr>
            <w:tcW w:w="1890" w:type="dxa"/>
          </w:tcPr>
          <w:p w14:paraId="7E4901D3" w14:textId="77777777" w:rsidR="00C745ED" w:rsidRPr="006B7C7B" w:rsidRDefault="003217AA" w:rsidP="00C745ED">
            <w:pPr>
              <w:rPr>
                <w:rFonts w:asciiTheme="minorHAnsi" w:hAnsiTheme="minorHAnsi" w:cs="†p˜øwcÊ"/>
                <w:lang w:val="en-US"/>
              </w:rPr>
            </w:pPr>
            <w:proofErr w:type="spellStart"/>
            <w:r>
              <w:t>C</w:t>
            </w:r>
            <w:r w:rsidRPr="003217AA">
              <w:rPr>
                <w:vertAlign w:val="subscript"/>
              </w:rPr>
              <w:t>max</w:t>
            </w:r>
            <w:proofErr w:type="spellEnd"/>
          </w:p>
        </w:tc>
        <w:tc>
          <w:tcPr>
            <w:tcW w:w="6830" w:type="dxa"/>
          </w:tcPr>
          <w:p w14:paraId="51D7F749" w14:textId="77777777" w:rsidR="00C745ED" w:rsidRPr="006B7C7B" w:rsidRDefault="00C745ED" w:rsidP="00C745ED">
            <w:pPr>
              <w:rPr>
                <w:rFonts w:asciiTheme="minorHAnsi" w:hAnsiTheme="minorHAnsi" w:cs="†p˜øwcÊ"/>
                <w:lang w:val="en-US"/>
              </w:rPr>
            </w:pPr>
            <w:r w:rsidRPr="006B7C7B">
              <w:rPr>
                <w:rFonts w:asciiTheme="minorHAnsi" w:hAnsiTheme="minorHAnsi" w:cs="†p˜øwcÊ"/>
                <w:lang w:val="en-US"/>
              </w:rPr>
              <w:t xml:space="preserve">Maximum observed serum concentration after </w:t>
            </w:r>
            <w:r w:rsidR="003217AA">
              <w:rPr>
                <w:rFonts w:asciiTheme="minorHAnsi" w:hAnsiTheme="minorHAnsi" w:cs="†p˜øwcÊ"/>
                <w:lang w:val="en-US"/>
              </w:rPr>
              <w:t>IV</w:t>
            </w:r>
            <w:r w:rsidRPr="006B7C7B">
              <w:rPr>
                <w:rFonts w:asciiTheme="minorHAnsi" w:hAnsiTheme="minorHAnsi" w:cs="†p˜øwcÊ"/>
                <w:lang w:val="en-US"/>
              </w:rPr>
              <w:t xml:space="preserve"> infusion (just after end of infusion)</w:t>
            </w:r>
          </w:p>
        </w:tc>
      </w:tr>
      <w:tr w:rsidR="006D550E" w:rsidRPr="006B7C7B" w14:paraId="70DDEE46" w14:textId="77777777" w:rsidTr="00C745ED">
        <w:tc>
          <w:tcPr>
            <w:tcW w:w="1890" w:type="dxa"/>
          </w:tcPr>
          <w:p w14:paraId="23F7C3B1" w14:textId="0D0AD750" w:rsidR="006D550E" w:rsidRDefault="006D550E" w:rsidP="00C745ED">
            <w:r>
              <w:t>ECOG</w:t>
            </w:r>
          </w:p>
        </w:tc>
        <w:tc>
          <w:tcPr>
            <w:tcW w:w="6830" w:type="dxa"/>
          </w:tcPr>
          <w:p w14:paraId="731B1412" w14:textId="1BD88B03" w:rsidR="006D550E" w:rsidRPr="006B7C7B" w:rsidRDefault="006D550E" w:rsidP="00C745ED">
            <w:pPr>
              <w:rPr>
                <w:rFonts w:asciiTheme="minorHAnsi" w:hAnsiTheme="minorHAnsi" w:cs="†p˜øwcÊ"/>
                <w:lang w:val="en-US"/>
              </w:rPr>
            </w:pPr>
            <w:r>
              <w:rPr>
                <w:rFonts w:asciiTheme="minorHAnsi" w:hAnsiTheme="minorHAnsi" w:cs="†p˜øwcÊ"/>
                <w:lang w:val="en-US"/>
              </w:rPr>
              <w:t>Eastern Cooperative Oncology Group</w:t>
            </w:r>
          </w:p>
        </w:tc>
      </w:tr>
      <w:tr w:rsidR="00C745ED" w:rsidRPr="006B7C7B" w14:paraId="3B235877" w14:textId="77777777" w:rsidTr="00C745ED">
        <w:tc>
          <w:tcPr>
            <w:tcW w:w="1890" w:type="dxa"/>
          </w:tcPr>
          <w:p w14:paraId="75FD7F3B" w14:textId="77777777" w:rsidR="00C745ED" w:rsidRPr="006B7C7B" w:rsidRDefault="00C745ED" w:rsidP="00C745ED">
            <w:pPr>
              <w:rPr>
                <w:rFonts w:asciiTheme="minorHAnsi" w:hAnsiTheme="minorHAnsi" w:cs="†p˜øwcÊ"/>
                <w:lang w:val="en-US"/>
              </w:rPr>
            </w:pPr>
            <w:r>
              <w:rPr>
                <w:rFonts w:asciiTheme="minorHAnsi" w:hAnsiTheme="minorHAnsi" w:cs="†p˜øwcÊ"/>
                <w:lang w:val="en-US"/>
              </w:rPr>
              <w:t>EMA</w:t>
            </w:r>
          </w:p>
        </w:tc>
        <w:tc>
          <w:tcPr>
            <w:tcW w:w="6830" w:type="dxa"/>
          </w:tcPr>
          <w:p w14:paraId="1906F64B" w14:textId="19A46962" w:rsidR="00C745ED" w:rsidRPr="006B7C7B" w:rsidRDefault="00C745ED" w:rsidP="00C745ED">
            <w:pPr>
              <w:rPr>
                <w:rFonts w:asciiTheme="minorHAnsi" w:hAnsiTheme="minorHAnsi" w:cs="†p˜øwcÊ"/>
                <w:lang w:val="en-US"/>
              </w:rPr>
            </w:pPr>
            <w:r w:rsidRPr="006B7C7B">
              <w:rPr>
                <w:rFonts w:asciiTheme="minorHAnsi" w:hAnsiTheme="minorHAnsi" w:cs="†p˜øwcÊ"/>
                <w:lang w:val="en-US"/>
              </w:rPr>
              <w:t>European Medicines Agency</w:t>
            </w:r>
            <w:r w:rsidR="00612479">
              <w:rPr>
                <w:rFonts w:asciiTheme="minorHAnsi" w:hAnsiTheme="minorHAnsi" w:cs="†p˜øwcÊ"/>
                <w:lang w:val="en-US"/>
              </w:rPr>
              <w:t xml:space="preserve"> (EU)</w:t>
            </w:r>
          </w:p>
        </w:tc>
      </w:tr>
      <w:tr w:rsidR="00B634FA" w:rsidRPr="006B7C7B" w14:paraId="4E9A0793" w14:textId="77777777" w:rsidTr="00C745ED">
        <w:tc>
          <w:tcPr>
            <w:tcW w:w="1890" w:type="dxa"/>
          </w:tcPr>
          <w:p w14:paraId="56059011" w14:textId="77777777" w:rsidR="00B634FA" w:rsidRDefault="00B634FA" w:rsidP="00C745ED">
            <w:pPr>
              <w:rPr>
                <w:rFonts w:asciiTheme="minorHAnsi" w:hAnsiTheme="minorHAnsi" w:cs="†p˜øwcÊ"/>
                <w:lang w:val="en-US"/>
              </w:rPr>
            </w:pPr>
            <w:r>
              <w:t>ErbB-2</w:t>
            </w:r>
          </w:p>
        </w:tc>
        <w:tc>
          <w:tcPr>
            <w:tcW w:w="6830" w:type="dxa"/>
          </w:tcPr>
          <w:p w14:paraId="2E74B6EA" w14:textId="250B8361" w:rsidR="00B634FA" w:rsidRPr="006B7C7B" w:rsidRDefault="00B634FA" w:rsidP="00C745ED">
            <w:pPr>
              <w:rPr>
                <w:rFonts w:asciiTheme="minorHAnsi" w:hAnsiTheme="minorHAnsi" w:cs="†p˜øwcÊ"/>
                <w:lang w:val="en-US"/>
              </w:rPr>
            </w:pPr>
            <w:r>
              <w:t xml:space="preserve">Human epidermal growth factor receptor 2 (also </w:t>
            </w:r>
            <w:r w:rsidR="00612479">
              <w:t xml:space="preserve">known as </w:t>
            </w:r>
            <w:r>
              <w:t>HER2)</w:t>
            </w:r>
          </w:p>
        </w:tc>
      </w:tr>
      <w:tr w:rsidR="00612479" w:rsidRPr="006B7C7B" w14:paraId="527A4E23" w14:textId="77777777" w:rsidTr="00C745ED">
        <w:tc>
          <w:tcPr>
            <w:tcW w:w="1890" w:type="dxa"/>
          </w:tcPr>
          <w:p w14:paraId="3F5DA76F" w14:textId="39147419" w:rsidR="00612479" w:rsidRDefault="00612479" w:rsidP="00C745ED">
            <w:r>
              <w:t>EU</w:t>
            </w:r>
          </w:p>
        </w:tc>
        <w:tc>
          <w:tcPr>
            <w:tcW w:w="6830" w:type="dxa"/>
          </w:tcPr>
          <w:p w14:paraId="06ED2392" w14:textId="60B6C5B0" w:rsidR="00612479" w:rsidRDefault="00612479" w:rsidP="00C745ED">
            <w:r>
              <w:t>European Union</w:t>
            </w:r>
          </w:p>
        </w:tc>
      </w:tr>
      <w:tr w:rsidR="00C745ED" w:rsidRPr="006B7C7B" w14:paraId="74E29C63" w14:textId="77777777" w:rsidTr="00C745ED">
        <w:tc>
          <w:tcPr>
            <w:tcW w:w="1890" w:type="dxa"/>
          </w:tcPr>
          <w:p w14:paraId="062160B5" w14:textId="77777777" w:rsidR="00C745ED" w:rsidRPr="006B7C7B" w:rsidRDefault="00C745ED" w:rsidP="00C745ED">
            <w:pPr>
              <w:rPr>
                <w:rFonts w:asciiTheme="minorHAnsi" w:hAnsiTheme="minorHAnsi" w:cs="†p˜øwcÊ"/>
                <w:lang w:val="en-US"/>
              </w:rPr>
            </w:pPr>
            <w:r>
              <w:rPr>
                <w:rFonts w:asciiTheme="minorHAnsi" w:hAnsiTheme="minorHAnsi" w:cs="†p˜øwcÊ"/>
                <w:lang w:val="en-US"/>
              </w:rPr>
              <w:t>FDA</w:t>
            </w:r>
          </w:p>
        </w:tc>
        <w:tc>
          <w:tcPr>
            <w:tcW w:w="6830" w:type="dxa"/>
          </w:tcPr>
          <w:p w14:paraId="4987AC1C" w14:textId="5ECACC46" w:rsidR="00C745ED" w:rsidRPr="006B7C7B" w:rsidRDefault="00C745ED" w:rsidP="00C745ED">
            <w:pPr>
              <w:rPr>
                <w:rFonts w:asciiTheme="minorHAnsi" w:hAnsiTheme="minorHAnsi" w:cs="†p˜øwcÊ"/>
                <w:lang w:val="en-US"/>
              </w:rPr>
            </w:pPr>
            <w:r w:rsidRPr="006B7C7B">
              <w:rPr>
                <w:rFonts w:asciiTheme="minorHAnsi" w:hAnsiTheme="minorHAnsi" w:cs="†p˜øwcÊ"/>
                <w:lang w:val="en-US"/>
              </w:rPr>
              <w:t>Food and Drug Administration</w:t>
            </w:r>
            <w:r w:rsidR="00612479">
              <w:rPr>
                <w:rFonts w:asciiTheme="minorHAnsi" w:hAnsiTheme="minorHAnsi" w:cs="†p˜øwcÊ"/>
                <w:lang w:val="en-US"/>
              </w:rPr>
              <w:t xml:space="preserve"> (US)</w:t>
            </w:r>
          </w:p>
        </w:tc>
      </w:tr>
      <w:tr w:rsidR="005D1716" w:rsidRPr="006B7C7B" w14:paraId="22569581" w14:textId="77777777" w:rsidTr="00C745ED">
        <w:tc>
          <w:tcPr>
            <w:tcW w:w="1890" w:type="dxa"/>
          </w:tcPr>
          <w:p w14:paraId="0153F0BD" w14:textId="6EB230DE" w:rsidR="005D1716" w:rsidRDefault="005D1716" w:rsidP="00C745ED">
            <w:pPr>
              <w:rPr>
                <w:rFonts w:asciiTheme="minorHAnsi" w:hAnsiTheme="minorHAnsi" w:cs="†p˜øwcÊ"/>
                <w:lang w:val="en-US"/>
              </w:rPr>
            </w:pPr>
            <w:r>
              <w:rPr>
                <w:rFonts w:asciiTheme="minorHAnsi" w:hAnsiTheme="minorHAnsi" w:cs="†p˜øwcÊ"/>
                <w:lang w:val="en-US"/>
              </w:rPr>
              <w:t>GMP</w:t>
            </w:r>
          </w:p>
        </w:tc>
        <w:tc>
          <w:tcPr>
            <w:tcW w:w="6830" w:type="dxa"/>
          </w:tcPr>
          <w:p w14:paraId="0C473205" w14:textId="4509A348" w:rsidR="005D1716" w:rsidRPr="006B7C7B" w:rsidRDefault="005D1716" w:rsidP="00C745ED">
            <w:pPr>
              <w:rPr>
                <w:rFonts w:asciiTheme="minorHAnsi" w:hAnsiTheme="minorHAnsi" w:cs="†p˜øwcÊ"/>
                <w:lang w:val="en-US"/>
              </w:rPr>
            </w:pPr>
            <w:r>
              <w:rPr>
                <w:rFonts w:asciiTheme="minorHAnsi" w:hAnsiTheme="minorHAnsi" w:cs="†p˜øwcÊ"/>
                <w:lang w:val="en-US"/>
              </w:rPr>
              <w:t>Good Manufacturing Practice</w:t>
            </w:r>
          </w:p>
        </w:tc>
      </w:tr>
      <w:tr w:rsidR="00C745ED" w:rsidRPr="006B7C7B" w14:paraId="5870328D" w14:textId="77777777" w:rsidTr="00C745ED">
        <w:tc>
          <w:tcPr>
            <w:tcW w:w="1890" w:type="dxa"/>
          </w:tcPr>
          <w:p w14:paraId="34968996" w14:textId="77777777" w:rsidR="00C745ED" w:rsidRPr="006B7C7B" w:rsidRDefault="00C745ED" w:rsidP="00C745ED">
            <w:pPr>
              <w:rPr>
                <w:lang w:val="en-US"/>
              </w:rPr>
            </w:pPr>
            <w:r>
              <w:rPr>
                <w:lang w:val="en-US"/>
              </w:rPr>
              <w:t>HER2</w:t>
            </w:r>
          </w:p>
        </w:tc>
        <w:tc>
          <w:tcPr>
            <w:tcW w:w="6830" w:type="dxa"/>
          </w:tcPr>
          <w:p w14:paraId="0E2910A5" w14:textId="77777777" w:rsidR="00C745ED" w:rsidRPr="006B7C7B" w:rsidRDefault="00C745ED" w:rsidP="00C745ED">
            <w:pPr>
              <w:rPr>
                <w:lang w:val="en-US"/>
              </w:rPr>
            </w:pPr>
            <w:r w:rsidRPr="006B7C7B">
              <w:rPr>
                <w:lang w:val="en-US"/>
              </w:rPr>
              <w:t>Human epidermal growth factor receptor 2</w:t>
            </w:r>
          </w:p>
        </w:tc>
      </w:tr>
      <w:tr w:rsidR="00C40F6D" w:rsidRPr="006B7C7B" w14:paraId="0551994B" w14:textId="77777777" w:rsidTr="00C745ED">
        <w:tc>
          <w:tcPr>
            <w:tcW w:w="1890" w:type="dxa"/>
          </w:tcPr>
          <w:p w14:paraId="6350364B" w14:textId="77777777" w:rsidR="00C40F6D" w:rsidRDefault="00C40F6D" w:rsidP="00C745ED">
            <w:pPr>
              <w:rPr>
                <w:lang w:val="en-US"/>
              </w:rPr>
            </w:pPr>
            <w:r w:rsidRPr="00D73AFA">
              <w:t>HFI</w:t>
            </w:r>
          </w:p>
        </w:tc>
        <w:tc>
          <w:tcPr>
            <w:tcW w:w="6830" w:type="dxa"/>
          </w:tcPr>
          <w:p w14:paraId="173FCABE" w14:textId="75124DB4" w:rsidR="00C40F6D" w:rsidRPr="006B7C7B" w:rsidRDefault="00612479" w:rsidP="00C40F6D">
            <w:pPr>
              <w:rPr>
                <w:lang w:val="en-US"/>
              </w:rPr>
            </w:pPr>
            <w:r>
              <w:t>H</w:t>
            </w:r>
            <w:r w:rsidR="00C40F6D">
              <w:t>ereditary fructose intolerance</w:t>
            </w:r>
          </w:p>
        </w:tc>
      </w:tr>
      <w:tr w:rsidR="006D550E" w:rsidRPr="006B7C7B" w14:paraId="44AE970A" w14:textId="77777777" w:rsidTr="00C745ED">
        <w:tc>
          <w:tcPr>
            <w:tcW w:w="1890" w:type="dxa"/>
          </w:tcPr>
          <w:p w14:paraId="6CF8C884" w14:textId="78E53764" w:rsidR="006D550E" w:rsidRPr="00D73AFA" w:rsidRDefault="006D550E" w:rsidP="00C745ED">
            <w:r>
              <w:t>ICH</w:t>
            </w:r>
          </w:p>
        </w:tc>
        <w:tc>
          <w:tcPr>
            <w:tcW w:w="6830" w:type="dxa"/>
          </w:tcPr>
          <w:p w14:paraId="1F3162F8" w14:textId="0C8AF297" w:rsidR="006D550E" w:rsidRDefault="006D550E" w:rsidP="00C40F6D">
            <w:r>
              <w:t>International Conference on Harmonisation</w:t>
            </w:r>
          </w:p>
        </w:tc>
      </w:tr>
      <w:tr w:rsidR="006D550E" w:rsidRPr="006B7C7B" w14:paraId="2A7E9575" w14:textId="77777777" w:rsidTr="00C745ED">
        <w:tc>
          <w:tcPr>
            <w:tcW w:w="1890" w:type="dxa"/>
          </w:tcPr>
          <w:p w14:paraId="1FF80DC4" w14:textId="55386D3D" w:rsidR="006D550E" w:rsidRDefault="006D550E" w:rsidP="00C745ED">
            <w:r>
              <w:t>IHC</w:t>
            </w:r>
          </w:p>
        </w:tc>
        <w:tc>
          <w:tcPr>
            <w:tcW w:w="6830" w:type="dxa"/>
          </w:tcPr>
          <w:p w14:paraId="0A34E695" w14:textId="70C39ECA" w:rsidR="006D550E" w:rsidRDefault="006D550E" w:rsidP="00C40F6D">
            <w:r>
              <w:t>Immunohistochemistry</w:t>
            </w:r>
          </w:p>
        </w:tc>
      </w:tr>
      <w:tr w:rsidR="002D44DA" w:rsidRPr="006B7C7B" w14:paraId="7D6631A0" w14:textId="77777777" w:rsidTr="00C745ED">
        <w:tc>
          <w:tcPr>
            <w:tcW w:w="1890" w:type="dxa"/>
          </w:tcPr>
          <w:p w14:paraId="0A8B507F" w14:textId="548AC501" w:rsidR="002D44DA" w:rsidRPr="00D73AFA" w:rsidRDefault="002D44DA" w:rsidP="00C745ED">
            <w:r>
              <w:t>IM</w:t>
            </w:r>
          </w:p>
        </w:tc>
        <w:tc>
          <w:tcPr>
            <w:tcW w:w="6830" w:type="dxa"/>
          </w:tcPr>
          <w:p w14:paraId="1D9BCF23" w14:textId="6AB49732" w:rsidR="002D44DA" w:rsidRDefault="002D44DA" w:rsidP="00C40F6D">
            <w:r>
              <w:t>Intramuscular</w:t>
            </w:r>
          </w:p>
        </w:tc>
      </w:tr>
      <w:tr w:rsidR="00C745ED" w:rsidRPr="006B7C7B" w14:paraId="7686214C" w14:textId="77777777" w:rsidTr="00C745ED">
        <w:tc>
          <w:tcPr>
            <w:tcW w:w="1890" w:type="dxa"/>
          </w:tcPr>
          <w:p w14:paraId="2672838D" w14:textId="77777777" w:rsidR="00C745ED" w:rsidRPr="00D23B2A" w:rsidRDefault="00C745ED" w:rsidP="00D23B2A">
            <w:r w:rsidRPr="00D23B2A">
              <w:t>ITT</w:t>
            </w:r>
          </w:p>
        </w:tc>
        <w:tc>
          <w:tcPr>
            <w:tcW w:w="6830" w:type="dxa"/>
          </w:tcPr>
          <w:p w14:paraId="122D7FA2" w14:textId="77777777" w:rsidR="00C745ED" w:rsidRPr="00D23B2A" w:rsidRDefault="00C745ED" w:rsidP="00D23B2A">
            <w:r w:rsidRPr="00D23B2A">
              <w:t>Intention-to-treat</w:t>
            </w:r>
          </w:p>
        </w:tc>
      </w:tr>
      <w:tr w:rsidR="00C745ED" w:rsidRPr="006B7C7B" w14:paraId="38C0E8DC" w14:textId="77777777" w:rsidTr="00C745ED">
        <w:tc>
          <w:tcPr>
            <w:tcW w:w="1890" w:type="dxa"/>
          </w:tcPr>
          <w:p w14:paraId="12B84A56" w14:textId="77777777" w:rsidR="00C745ED" w:rsidRPr="00D23B2A" w:rsidRDefault="003217AA" w:rsidP="00D23B2A">
            <w:r w:rsidRPr="00D23B2A">
              <w:lastRenderedPageBreak/>
              <w:t>IV</w:t>
            </w:r>
          </w:p>
        </w:tc>
        <w:tc>
          <w:tcPr>
            <w:tcW w:w="6830" w:type="dxa"/>
          </w:tcPr>
          <w:p w14:paraId="4308841B" w14:textId="77777777" w:rsidR="00C745ED" w:rsidRPr="00D23B2A" w:rsidRDefault="00C745ED" w:rsidP="00D23B2A">
            <w:r w:rsidRPr="00D23B2A">
              <w:t>Intravenous</w:t>
            </w:r>
          </w:p>
        </w:tc>
      </w:tr>
      <w:tr w:rsidR="00C745ED" w:rsidRPr="006B7C7B" w14:paraId="6550C501" w14:textId="77777777" w:rsidTr="00C745ED">
        <w:tc>
          <w:tcPr>
            <w:tcW w:w="1890" w:type="dxa"/>
          </w:tcPr>
          <w:p w14:paraId="5BB20CB9" w14:textId="77777777" w:rsidR="00C745ED" w:rsidRPr="00D23B2A" w:rsidRDefault="00C745ED" w:rsidP="00D23B2A">
            <w:r w:rsidRPr="00D23B2A">
              <w:t>LVEF</w:t>
            </w:r>
          </w:p>
        </w:tc>
        <w:tc>
          <w:tcPr>
            <w:tcW w:w="6830" w:type="dxa"/>
          </w:tcPr>
          <w:p w14:paraId="589EF603" w14:textId="01AB0E18" w:rsidR="00C745ED" w:rsidRPr="00D23B2A" w:rsidRDefault="00C745ED" w:rsidP="00D23B2A">
            <w:r w:rsidRPr="00D23B2A">
              <w:t>Left ventricular ejection fraction (</w:t>
            </w:r>
            <w:r w:rsidR="00612479" w:rsidRPr="00D23B2A">
              <w:t xml:space="preserve">via </w:t>
            </w:r>
            <w:r w:rsidRPr="00D23B2A">
              <w:t>echocardiography)</w:t>
            </w:r>
          </w:p>
        </w:tc>
      </w:tr>
      <w:tr w:rsidR="005D1716" w:rsidRPr="006B7C7B" w14:paraId="6A97B277" w14:textId="77777777" w:rsidTr="00C745ED">
        <w:tc>
          <w:tcPr>
            <w:tcW w:w="1890" w:type="dxa"/>
          </w:tcPr>
          <w:p w14:paraId="5EF224AD" w14:textId="58A65F83" w:rsidR="005D1716" w:rsidRPr="00D23B2A" w:rsidRDefault="005D1716" w:rsidP="00D23B2A">
            <w:r w:rsidRPr="00D23B2A">
              <w:t>MAA</w:t>
            </w:r>
          </w:p>
        </w:tc>
        <w:tc>
          <w:tcPr>
            <w:tcW w:w="6830" w:type="dxa"/>
          </w:tcPr>
          <w:p w14:paraId="0A75F72A" w14:textId="768AA904" w:rsidR="005D1716" w:rsidRPr="00D23B2A" w:rsidRDefault="005D1716" w:rsidP="00C745ED">
            <w:pPr>
              <w:ind w:left="0" w:right="0"/>
            </w:pPr>
            <w:r w:rsidRPr="00D23B2A">
              <w:t>Marketing Authorisation Application</w:t>
            </w:r>
          </w:p>
        </w:tc>
      </w:tr>
      <w:tr w:rsidR="00B634FA" w:rsidRPr="006B7C7B" w14:paraId="5C3188CF" w14:textId="77777777" w:rsidTr="00C745ED">
        <w:tc>
          <w:tcPr>
            <w:tcW w:w="1890" w:type="dxa"/>
          </w:tcPr>
          <w:p w14:paraId="66A29120" w14:textId="77777777" w:rsidR="00B634FA" w:rsidRPr="00D23B2A" w:rsidRDefault="00B634FA" w:rsidP="00D23B2A">
            <w:proofErr w:type="spellStart"/>
            <w:r w:rsidRPr="006D550E">
              <w:t>mAbs</w:t>
            </w:r>
            <w:proofErr w:type="spellEnd"/>
          </w:p>
        </w:tc>
        <w:tc>
          <w:tcPr>
            <w:tcW w:w="6830" w:type="dxa"/>
          </w:tcPr>
          <w:p w14:paraId="05A669B2" w14:textId="5A3BFA4F" w:rsidR="00B634FA" w:rsidRPr="00D23B2A" w:rsidRDefault="00612479" w:rsidP="00B634FA">
            <w:pPr>
              <w:ind w:left="0" w:right="0"/>
            </w:pPr>
            <w:r w:rsidRPr="007B282B">
              <w:t xml:space="preserve">Monoclonal </w:t>
            </w:r>
            <w:r w:rsidR="00B634FA" w:rsidRPr="00F33350">
              <w:t>antibodies</w:t>
            </w:r>
          </w:p>
        </w:tc>
      </w:tr>
      <w:tr w:rsidR="005D1716" w:rsidRPr="006B7C7B" w14:paraId="5957C594" w14:textId="77777777" w:rsidTr="00C745ED">
        <w:tc>
          <w:tcPr>
            <w:tcW w:w="1890" w:type="dxa"/>
          </w:tcPr>
          <w:p w14:paraId="0FCB675E" w14:textId="1743ABDD" w:rsidR="005D1716" w:rsidRDefault="005D1716" w:rsidP="00C745ED">
            <w:r>
              <w:t>ODAC</w:t>
            </w:r>
          </w:p>
        </w:tc>
        <w:tc>
          <w:tcPr>
            <w:tcW w:w="6830" w:type="dxa"/>
          </w:tcPr>
          <w:p w14:paraId="09493A8C" w14:textId="324D268B" w:rsidR="005D1716" w:rsidDel="00612479" w:rsidRDefault="005D1716" w:rsidP="00B634FA">
            <w:r>
              <w:t>Oncologic Drugs Advisory Committee (US)</w:t>
            </w:r>
          </w:p>
        </w:tc>
      </w:tr>
      <w:tr w:rsidR="00CC628C" w:rsidRPr="006B7C7B" w14:paraId="61704F63" w14:textId="77777777" w:rsidTr="00C745ED">
        <w:tc>
          <w:tcPr>
            <w:tcW w:w="1890" w:type="dxa"/>
          </w:tcPr>
          <w:p w14:paraId="735A6169" w14:textId="77777777" w:rsidR="00CC628C" w:rsidRDefault="00CC628C" w:rsidP="00C745ED">
            <w:r>
              <w:t>ORR</w:t>
            </w:r>
          </w:p>
        </w:tc>
        <w:tc>
          <w:tcPr>
            <w:tcW w:w="6830" w:type="dxa"/>
          </w:tcPr>
          <w:p w14:paraId="6D57EEC8" w14:textId="49FE95B8" w:rsidR="00CC628C" w:rsidRDefault="00612479" w:rsidP="00B634FA">
            <w:r>
              <w:t>O</w:t>
            </w:r>
            <w:r w:rsidRPr="00104FB6">
              <w:t xml:space="preserve">bjective </w:t>
            </w:r>
            <w:r w:rsidR="00A51385" w:rsidRPr="00104FB6">
              <w:t>response rate</w:t>
            </w:r>
          </w:p>
        </w:tc>
      </w:tr>
      <w:tr w:rsidR="00160004" w:rsidRPr="006B7C7B" w14:paraId="48621AA0" w14:textId="77777777" w:rsidTr="00C745ED">
        <w:tc>
          <w:tcPr>
            <w:tcW w:w="1890" w:type="dxa"/>
          </w:tcPr>
          <w:p w14:paraId="2CA275FD" w14:textId="77777777" w:rsidR="00160004" w:rsidRDefault="00160004" w:rsidP="00C745ED">
            <w:r>
              <w:t>OS</w:t>
            </w:r>
          </w:p>
        </w:tc>
        <w:tc>
          <w:tcPr>
            <w:tcW w:w="6830" w:type="dxa"/>
          </w:tcPr>
          <w:p w14:paraId="6F952966" w14:textId="77777777" w:rsidR="00160004" w:rsidRPr="00104FB6" w:rsidRDefault="00160004" w:rsidP="00160004">
            <w:r>
              <w:t>Overall survival</w:t>
            </w:r>
          </w:p>
        </w:tc>
      </w:tr>
      <w:tr w:rsidR="00A51385" w:rsidRPr="006B7C7B" w14:paraId="3ACE07A8" w14:textId="77777777" w:rsidTr="00C745ED">
        <w:tc>
          <w:tcPr>
            <w:tcW w:w="1890" w:type="dxa"/>
          </w:tcPr>
          <w:p w14:paraId="76A44D9B" w14:textId="77777777" w:rsidR="00A51385" w:rsidRDefault="00A51385" w:rsidP="00C745ED">
            <w:proofErr w:type="spellStart"/>
            <w:r>
              <w:t>pCR</w:t>
            </w:r>
            <w:proofErr w:type="spellEnd"/>
          </w:p>
        </w:tc>
        <w:tc>
          <w:tcPr>
            <w:tcW w:w="6830" w:type="dxa"/>
          </w:tcPr>
          <w:p w14:paraId="18421937" w14:textId="77777777" w:rsidR="00A51385" w:rsidRPr="00104FB6" w:rsidRDefault="00A51385" w:rsidP="00B634FA">
            <w:r>
              <w:t>Pathological complete response</w:t>
            </w:r>
          </w:p>
        </w:tc>
      </w:tr>
      <w:tr w:rsidR="00C745ED" w:rsidRPr="006B7C7B" w14:paraId="7472C720" w14:textId="77777777" w:rsidTr="00C745ED">
        <w:tc>
          <w:tcPr>
            <w:tcW w:w="1890" w:type="dxa"/>
          </w:tcPr>
          <w:p w14:paraId="0D08861C" w14:textId="77777777" w:rsidR="00C745ED" w:rsidRPr="006B7C7B" w:rsidRDefault="00C745ED" w:rsidP="00C745ED">
            <w:pPr>
              <w:rPr>
                <w:lang w:val="en-US"/>
              </w:rPr>
            </w:pPr>
            <w:r>
              <w:rPr>
                <w:lang w:val="en-US"/>
              </w:rPr>
              <w:t>PD</w:t>
            </w:r>
          </w:p>
        </w:tc>
        <w:tc>
          <w:tcPr>
            <w:tcW w:w="6830" w:type="dxa"/>
          </w:tcPr>
          <w:p w14:paraId="1B0D9DFE" w14:textId="5798BE85" w:rsidR="00C745ED" w:rsidRPr="006B7C7B" w:rsidRDefault="00C745ED" w:rsidP="00C745ED">
            <w:pPr>
              <w:rPr>
                <w:lang w:val="en-US"/>
              </w:rPr>
            </w:pPr>
            <w:proofErr w:type="spellStart"/>
            <w:r w:rsidRPr="006B7C7B">
              <w:rPr>
                <w:lang w:val="en-US"/>
              </w:rPr>
              <w:t>Pharmacodynamic</w:t>
            </w:r>
            <w:proofErr w:type="spellEnd"/>
            <w:r w:rsidR="00612479">
              <w:rPr>
                <w:lang w:val="en-US"/>
              </w:rPr>
              <w:t>(s)</w:t>
            </w:r>
          </w:p>
        </w:tc>
      </w:tr>
      <w:tr w:rsidR="00C745ED" w:rsidRPr="006B7C7B" w14:paraId="17489C17" w14:textId="77777777" w:rsidTr="00C745ED">
        <w:tc>
          <w:tcPr>
            <w:tcW w:w="1890" w:type="dxa"/>
          </w:tcPr>
          <w:p w14:paraId="724E1D1E" w14:textId="77777777" w:rsidR="00C745ED" w:rsidRPr="006B7C7B" w:rsidRDefault="00C745ED" w:rsidP="00C745ED">
            <w:pPr>
              <w:rPr>
                <w:lang w:val="en-US"/>
              </w:rPr>
            </w:pPr>
            <w:r>
              <w:rPr>
                <w:lang w:val="en-US"/>
              </w:rPr>
              <w:t>PE</w:t>
            </w:r>
          </w:p>
        </w:tc>
        <w:tc>
          <w:tcPr>
            <w:tcW w:w="6830" w:type="dxa"/>
          </w:tcPr>
          <w:p w14:paraId="39C009E6" w14:textId="77777777" w:rsidR="00C745ED" w:rsidRPr="006B7C7B" w:rsidRDefault="00C745ED" w:rsidP="00C745ED">
            <w:pPr>
              <w:rPr>
                <w:lang w:val="en-US"/>
              </w:rPr>
            </w:pPr>
            <w:r w:rsidRPr="006B7C7B">
              <w:rPr>
                <w:lang w:val="en-US"/>
              </w:rPr>
              <w:t>Point estimate</w:t>
            </w:r>
          </w:p>
        </w:tc>
      </w:tr>
      <w:tr w:rsidR="004C3033" w:rsidRPr="006B7C7B" w14:paraId="2BFDE2FC" w14:textId="77777777" w:rsidTr="00C745ED">
        <w:tc>
          <w:tcPr>
            <w:tcW w:w="1890" w:type="dxa"/>
          </w:tcPr>
          <w:p w14:paraId="5798E889" w14:textId="77777777" w:rsidR="004C3033" w:rsidRDefault="004C3033" w:rsidP="00C745ED">
            <w:pPr>
              <w:rPr>
                <w:lang w:val="en-US"/>
              </w:rPr>
            </w:pPr>
            <w:r>
              <w:rPr>
                <w:lang w:val="en-US"/>
              </w:rPr>
              <w:t>PEG</w:t>
            </w:r>
          </w:p>
        </w:tc>
        <w:tc>
          <w:tcPr>
            <w:tcW w:w="6830" w:type="dxa"/>
          </w:tcPr>
          <w:p w14:paraId="201DA2DE" w14:textId="77777777" w:rsidR="004C3033" w:rsidRPr="006B7C7B" w:rsidRDefault="004C3033" w:rsidP="00C745ED">
            <w:pPr>
              <w:rPr>
                <w:lang w:val="en-US"/>
              </w:rPr>
            </w:pPr>
            <w:r>
              <w:t>Polymers of ethylene glycol</w:t>
            </w:r>
          </w:p>
        </w:tc>
      </w:tr>
      <w:tr w:rsidR="00160004" w:rsidRPr="006B7C7B" w14:paraId="14BDD3DA" w14:textId="77777777" w:rsidTr="00C745ED">
        <w:tc>
          <w:tcPr>
            <w:tcW w:w="1890" w:type="dxa"/>
          </w:tcPr>
          <w:p w14:paraId="45F9AA33" w14:textId="77777777" w:rsidR="00160004" w:rsidRDefault="00160004" w:rsidP="00C745ED">
            <w:pPr>
              <w:rPr>
                <w:lang w:val="en-US"/>
              </w:rPr>
            </w:pPr>
            <w:r>
              <w:rPr>
                <w:lang w:val="en-US"/>
              </w:rPr>
              <w:t>PFS</w:t>
            </w:r>
          </w:p>
        </w:tc>
        <w:tc>
          <w:tcPr>
            <w:tcW w:w="6830" w:type="dxa"/>
          </w:tcPr>
          <w:p w14:paraId="16033967" w14:textId="77777777" w:rsidR="00160004" w:rsidRDefault="00160004" w:rsidP="00C745ED">
            <w:r>
              <w:t>Progression free survival</w:t>
            </w:r>
          </w:p>
        </w:tc>
      </w:tr>
      <w:tr w:rsidR="00C745ED" w:rsidRPr="006B7C7B" w14:paraId="0A337021" w14:textId="77777777" w:rsidTr="00C745ED">
        <w:tc>
          <w:tcPr>
            <w:tcW w:w="1890" w:type="dxa"/>
          </w:tcPr>
          <w:p w14:paraId="517504D9" w14:textId="7D99CDC5" w:rsidR="00C745ED" w:rsidRPr="006B7C7B" w:rsidRDefault="00C745ED" w:rsidP="00C745ED">
            <w:pPr>
              <w:rPr>
                <w:lang w:val="en-US"/>
              </w:rPr>
            </w:pPr>
            <w:r>
              <w:rPr>
                <w:lang w:val="en-US"/>
              </w:rPr>
              <w:t>PI</w:t>
            </w:r>
          </w:p>
        </w:tc>
        <w:tc>
          <w:tcPr>
            <w:tcW w:w="6830" w:type="dxa"/>
          </w:tcPr>
          <w:p w14:paraId="1147CA95" w14:textId="46C298B2" w:rsidR="00C745ED" w:rsidRPr="006B7C7B" w:rsidRDefault="004C3033" w:rsidP="00C745ED">
            <w:pPr>
              <w:rPr>
                <w:lang w:val="en-US"/>
              </w:rPr>
            </w:pPr>
            <w:r>
              <w:rPr>
                <w:lang w:val="en-US"/>
              </w:rPr>
              <w:t xml:space="preserve">Product </w:t>
            </w:r>
            <w:r w:rsidR="00612479">
              <w:rPr>
                <w:lang w:val="en-US"/>
              </w:rPr>
              <w:t>I</w:t>
            </w:r>
            <w:r>
              <w:rPr>
                <w:lang w:val="en-US"/>
              </w:rPr>
              <w:t>nformation</w:t>
            </w:r>
          </w:p>
        </w:tc>
      </w:tr>
      <w:tr w:rsidR="00C745ED" w:rsidRPr="006B7C7B" w14:paraId="215FA545" w14:textId="77777777" w:rsidTr="00C745ED">
        <w:tc>
          <w:tcPr>
            <w:tcW w:w="1890" w:type="dxa"/>
          </w:tcPr>
          <w:p w14:paraId="726145BA" w14:textId="77777777" w:rsidR="00C745ED" w:rsidRPr="006B7C7B" w:rsidRDefault="009017D2" w:rsidP="00C745ED">
            <w:pPr>
              <w:rPr>
                <w:lang w:val="en-US"/>
              </w:rPr>
            </w:pPr>
            <w:r>
              <w:rPr>
                <w:lang w:val="en-US"/>
              </w:rPr>
              <w:t>PK</w:t>
            </w:r>
          </w:p>
        </w:tc>
        <w:tc>
          <w:tcPr>
            <w:tcW w:w="6830" w:type="dxa"/>
          </w:tcPr>
          <w:p w14:paraId="18BCE310" w14:textId="77777777" w:rsidR="00C745ED" w:rsidRPr="006B7C7B" w:rsidRDefault="00C745ED" w:rsidP="00C745ED">
            <w:pPr>
              <w:rPr>
                <w:lang w:val="en-US"/>
              </w:rPr>
            </w:pPr>
            <w:r w:rsidRPr="006B7C7B">
              <w:rPr>
                <w:lang w:val="en-US"/>
              </w:rPr>
              <w:t>Pharmacokinetic(s)</w:t>
            </w:r>
          </w:p>
        </w:tc>
      </w:tr>
      <w:tr w:rsidR="00B634FA" w:rsidRPr="006B7C7B" w14:paraId="263A95E6" w14:textId="77777777" w:rsidTr="00C745ED">
        <w:tc>
          <w:tcPr>
            <w:tcW w:w="1890" w:type="dxa"/>
          </w:tcPr>
          <w:p w14:paraId="6D541457" w14:textId="77777777" w:rsidR="00B634FA" w:rsidRDefault="00B634FA" w:rsidP="00C745ED">
            <w:pPr>
              <w:rPr>
                <w:lang w:val="en-US"/>
              </w:rPr>
            </w:pPr>
            <w:proofErr w:type="spellStart"/>
            <w:r>
              <w:t>popPK</w:t>
            </w:r>
            <w:proofErr w:type="spellEnd"/>
          </w:p>
        </w:tc>
        <w:tc>
          <w:tcPr>
            <w:tcW w:w="6830" w:type="dxa"/>
          </w:tcPr>
          <w:p w14:paraId="4D9D4A5C" w14:textId="3268D13C" w:rsidR="00B634FA" w:rsidRPr="006B7C7B" w:rsidRDefault="00612479" w:rsidP="00B634FA">
            <w:pPr>
              <w:rPr>
                <w:lang w:val="en-US"/>
              </w:rPr>
            </w:pPr>
            <w:r>
              <w:t>P</w:t>
            </w:r>
            <w:r w:rsidR="00B634FA">
              <w:t>opulation pharmacokinetic</w:t>
            </w:r>
            <w:r>
              <w:t>(s)</w:t>
            </w:r>
          </w:p>
        </w:tc>
      </w:tr>
      <w:tr w:rsidR="005D1716" w:rsidRPr="006B7C7B" w14:paraId="2C024771" w14:textId="77777777" w:rsidTr="00C745ED">
        <w:tc>
          <w:tcPr>
            <w:tcW w:w="1890" w:type="dxa"/>
          </w:tcPr>
          <w:p w14:paraId="337EEC5F" w14:textId="6E7B9756" w:rsidR="005D1716" w:rsidRDefault="005D1716" w:rsidP="00C745ED">
            <w:r>
              <w:t>PRAC</w:t>
            </w:r>
          </w:p>
        </w:tc>
        <w:tc>
          <w:tcPr>
            <w:tcW w:w="6830" w:type="dxa"/>
          </w:tcPr>
          <w:p w14:paraId="273EB714" w14:textId="530629D9" w:rsidR="005D1716" w:rsidRDefault="005D1716" w:rsidP="00B634FA">
            <w:r>
              <w:t>Pharmacovigilance Risk Assessment Committee (EU)</w:t>
            </w:r>
          </w:p>
        </w:tc>
      </w:tr>
      <w:tr w:rsidR="006D550E" w:rsidRPr="006B7C7B" w14:paraId="02B50AA8" w14:textId="77777777" w:rsidTr="00C745ED">
        <w:tc>
          <w:tcPr>
            <w:tcW w:w="1890" w:type="dxa"/>
          </w:tcPr>
          <w:p w14:paraId="0EC4FB97" w14:textId="766674DE" w:rsidR="006D550E" w:rsidRDefault="006D550E" w:rsidP="00C745ED">
            <w:r>
              <w:t>RECIST</w:t>
            </w:r>
          </w:p>
        </w:tc>
        <w:tc>
          <w:tcPr>
            <w:tcW w:w="6830" w:type="dxa"/>
          </w:tcPr>
          <w:p w14:paraId="35F492EB" w14:textId="3EED73FE" w:rsidR="006D550E" w:rsidRDefault="006D550E" w:rsidP="00964429">
            <w:r>
              <w:t>Response Evaluat</w:t>
            </w:r>
            <w:r w:rsidR="00964429">
              <w:t>i</w:t>
            </w:r>
            <w:r>
              <w:t>on Criteria in Solid Tumours</w:t>
            </w:r>
          </w:p>
        </w:tc>
      </w:tr>
      <w:tr w:rsidR="006D550E" w:rsidRPr="006B7C7B" w14:paraId="4C97B81D" w14:textId="77777777" w:rsidTr="00C745ED">
        <w:tc>
          <w:tcPr>
            <w:tcW w:w="1890" w:type="dxa"/>
          </w:tcPr>
          <w:p w14:paraId="56EA39BE" w14:textId="737EFBFC" w:rsidR="006D550E" w:rsidRDefault="006D550E" w:rsidP="00C745ED">
            <w:r>
              <w:t>RMP</w:t>
            </w:r>
          </w:p>
        </w:tc>
        <w:tc>
          <w:tcPr>
            <w:tcW w:w="6830" w:type="dxa"/>
          </w:tcPr>
          <w:p w14:paraId="72B60982" w14:textId="6995EF60" w:rsidR="006D550E" w:rsidRDefault="006D550E" w:rsidP="00B634FA">
            <w:r>
              <w:t>Risk management plan</w:t>
            </w:r>
          </w:p>
        </w:tc>
      </w:tr>
      <w:tr w:rsidR="00C745ED" w:rsidRPr="006B7C7B" w14:paraId="23D4BAED" w14:textId="77777777" w:rsidTr="00C745ED">
        <w:tc>
          <w:tcPr>
            <w:tcW w:w="1890" w:type="dxa"/>
          </w:tcPr>
          <w:p w14:paraId="3095504D" w14:textId="77777777" w:rsidR="00C745ED" w:rsidRPr="006B7C7B" w:rsidRDefault="009017D2" w:rsidP="00C745ED">
            <w:pPr>
              <w:rPr>
                <w:lang w:val="en-US"/>
              </w:rPr>
            </w:pPr>
            <w:r>
              <w:rPr>
                <w:lang w:val="en-US"/>
              </w:rPr>
              <w:t>SAE</w:t>
            </w:r>
          </w:p>
        </w:tc>
        <w:tc>
          <w:tcPr>
            <w:tcW w:w="6830" w:type="dxa"/>
          </w:tcPr>
          <w:p w14:paraId="6B367934" w14:textId="77777777" w:rsidR="00C745ED" w:rsidRPr="006B7C7B" w:rsidRDefault="00C745ED" w:rsidP="00C745ED">
            <w:pPr>
              <w:rPr>
                <w:lang w:val="en-US"/>
              </w:rPr>
            </w:pPr>
            <w:r w:rsidRPr="006B7C7B">
              <w:rPr>
                <w:lang w:val="en-US"/>
              </w:rPr>
              <w:t>Serious adverse event</w:t>
            </w:r>
          </w:p>
        </w:tc>
      </w:tr>
      <w:tr w:rsidR="006D550E" w:rsidRPr="006B7C7B" w14:paraId="3FFBCDD6" w14:textId="77777777" w:rsidTr="00C745ED">
        <w:tc>
          <w:tcPr>
            <w:tcW w:w="1890" w:type="dxa"/>
          </w:tcPr>
          <w:p w14:paraId="0B96E03B" w14:textId="3A145FF0" w:rsidR="006D550E" w:rsidRDefault="006D550E" w:rsidP="00C745ED">
            <w:pPr>
              <w:rPr>
                <w:lang w:val="en-US"/>
              </w:rPr>
            </w:pPr>
            <w:proofErr w:type="spellStart"/>
            <w:r>
              <w:rPr>
                <w:lang w:val="en-US"/>
              </w:rPr>
              <w:t>SmPC</w:t>
            </w:r>
            <w:proofErr w:type="spellEnd"/>
          </w:p>
        </w:tc>
        <w:tc>
          <w:tcPr>
            <w:tcW w:w="6830" w:type="dxa"/>
          </w:tcPr>
          <w:p w14:paraId="3624E1EB" w14:textId="3AB141D2" w:rsidR="006D550E" w:rsidRPr="006B7C7B" w:rsidRDefault="006D550E" w:rsidP="00C745ED">
            <w:pPr>
              <w:rPr>
                <w:lang w:val="en-US"/>
              </w:rPr>
            </w:pPr>
            <w:r>
              <w:rPr>
                <w:lang w:val="en-US"/>
              </w:rPr>
              <w:t>Summary of Product Characteristics  (EU)</w:t>
            </w:r>
          </w:p>
        </w:tc>
      </w:tr>
      <w:tr w:rsidR="00C745ED" w:rsidRPr="006B7C7B" w14:paraId="2C2AF1DC" w14:textId="77777777" w:rsidTr="00C745ED">
        <w:tc>
          <w:tcPr>
            <w:tcW w:w="1890" w:type="dxa"/>
          </w:tcPr>
          <w:p w14:paraId="3313D377" w14:textId="77777777" w:rsidR="00C745ED" w:rsidRPr="006B7C7B" w:rsidRDefault="009017D2" w:rsidP="00C745ED">
            <w:pPr>
              <w:rPr>
                <w:lang w:val="en-US"/>
              </w:rPr>
            </w:pPr>
            <w:r>
              <w:rPr>
                <w:lang w:val="en-US"/>
              </w:rPr>
              <w:t>TEAE</w:t>
            </w:r>
          </w:p>
        </w:tc>
        <w:tc>
          <w:tcPr>
            <w:tcW w:w="6830" w:type="dxa"/>
          </w:tcPr>
          <w:p w14:paraId="1AA44D01" w14:textId="77777777" w:rsidR="00C745ED" w:rsidRPr="006B7C7B" w:rsidRDefault="00C745ED" w:rsidP="00C745ED">
            <w:pPr>
              <w:rPr>
                <w:lang w:val="en-US"/>
              </w:rPr>
            </w:pPr>
            <w:r w:rsidRPr="006B7C7B">
              <w:rPr>
                <w:lang w:val="en-US"/>
              </w:rPr>
              <w:t>Treatment-emergent adverse event</w:t>
            </w:r>
          </w:p>
        </w:tc>
      </w:tr>
      <w:tr w:rsidR="00160004" w:rsidRPr="006B7C7B" w14:paraId="585A05BE" w14:textId="77777777" w:rsidTr="00C745ED">
        <w:tc>
          <w:tcPr>
            <w:tcW w:w="1890" w:type="dxa"/>
          </w:tcPr>
          <w:p w14:paraId="068D5E3D" w14:textId="77777777" w:rsidR="00160004" w:rsidRDefault="00160004" w:rsidP="00C745ED">
            <w:pPr>
              <w:rPr>
                <w:lang w:val="en-US"/>
              </w:rPr>
            </w:pPr>
            <w:r>
              <w:t>TTP</w:t>
            </w:r>
          </w:p>
        </w:tc>
        <w:tc>
          <w:tcPr>
            <w:tcW w:w="6830" w:type="dxa"/>
          </w:tcPr>
          <w:p w14:paraId="7865116A" w14:textId="77777777" w:rsidR="00160004" w:rsidRPr="006B7C7B" w:rsidRDefault="00160004" w:rsidP="00160004">
            <w:pPr>
              <w:rPr>
                <w:lang w:val="en-US"/>
              </w:rPr>
            </w:pPr>
            <w:r>
              <w:t>Time to tumour progression</w:t>
            </w:r>
          </w:p>
        </w:tc>
      </w:tr>
      <w:tr w:rsidR="00612479" w:rsidRPr="006B7C7B" w14:paraId="67D2246D" w14:textId="77777777" w:rsidTr="00C745ED">
        <w:tc>
          <w:tcPr>
            <w:tcW w:w="1890" w:type="dxa"/>
          </w:tcPr>
          <w:p w14:paraId="5929D2B2" w14:textId="03CC67DB" w:rsidR="00612479" w:rsidRDefault="00612479" w:rsidP="00C745ED">
            <w:r>
              <w:t>US(A)</w:t>
            </w:r>
          </w:p>
        </w:tc>
        <w:tc>
          <w:tcPr>
            <w:tcW w:w="6830" w:type="dxa"/>
          </w:tcPr>
          <w:p w14:paraId="3484DAFE" w14:textId="53B8F282" w:rsidR="00612479" w:rsidRDefault="00612479" w:rsidP="00160004">
            <w:r>
              <w:t>United States (of America)</w:t>
            </w:r>
          </w:p>
        </w:tc>
      </w:tr>
    </w:tbl>
    <w:p w14:paraId="0D1EE2F9" w14:textId="77777777" w:rsidR="008E7846" w:rsidRDefault="00F53C07" w:rsidP="00FE57E9">
      <w:pPr>
        <w:pStyle w:val="Heading2"/>
        <w:pageBreakBefore/>
      </w:pPr>
      <w:bookmarkStart w:id="9" w:name="_Toc35445577"/>
      <w:r>
        <w:lastRenderedPageBreak/>
        <w:t>I.</w:t>
      </w:r>
      <w:r w:rsidR="008E7846">
        <w:t xml:space="preserve"> Introduction to product submission</w:t>
      </w:r>
      <w:bookmarkEnd w:id="1"/>
      <w:bookmarkEnd w:id="3"/>
      <w:bookmarkEnd w:id="9"/>
    </w:p>
    <w:p w14:paraId="74F6189C" w14:textId="77777777" w:rsidR="008E7846" w:rsidRDefault="008E7846" w:rsidP="008E7846">
      <w:pPr>
        <w:pStyle w:val="Heading3"/>
        <w:rPr>
          <w:lang w:eastAsia="en-AU"/>
        </w:rPr>
      </w:pPr>
      <w:bookmarkStart w:id="10" w:name="_Toc247691502"/>
      <w:bookmarkStart w:id="11" w:name="_Toc314842483"/>
      <w:bookmarkStart w:id="12" w:name="_Toc35445578"/>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5C342ABE" w14:textId="77777777" w:rsidTr="003735BC">
        <w:tc>
          <w:tcPr>
            <w:tcW w:w="2907" w:type="dxa"/>
          </w:tcPr>
          <w:p w14:paraId="201B14AE"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9F5225D" w14:textId="77777777" w:rsidR="008E7846" w:rsidRPr="003D1E62" w:rsidRDefault="00377064" w:rsidP="001B5C90">
            <w:r>
              <w:t>Biosimilar</w:t>
            </w:r>
          </w:p>
        </w:tc>
      </w:tr>
      <w:tr w:rsidR="008E7846" w:rsidRPr="003D1E62" w14:paraId="7538B0FC" w14:textId="77777777" w:rsidTr="003735BC">
        <w:tc>
          <w:tcPr>
            <w:tcW w:w="2907" w:type="dxa"/>
          </w:tcPr>
          <w:p w14:paraId="58589682" w14:textId="77777777" w:rsidR="008E7846" w:rsidRPr="003D1E62" w:rsidRDefault="008E7846" w:rsidP="003D1E62">
            <w:r w:rsidRPr="003D1E62">
              <w:rPr>
                <w:i/>
              </w:rPr>
              <w:t>Decision</w:t>
            </w:r>
            <w:r w:rsidRPr="003D1E62">
              <w:t>:</w:t>
            </w:r>
          </w:p>
        </w:tc>
        <w:tc>
          <w:tcPr>
            <w:tcW w:w="6307" w:type="dxa"/>
          </w:tcPr>
          <w:p w14:paraId="5992F11C" w14:textId="77777777" w:rsidR="008E7846" w:rsidRPr="003D1E62" w:rsidRDefault="008E7846" w:rsidP="00377064">
            <w:r w:rsidRPr="003D1E62">
              <w:t>Approved</w:t>
            </w:r>
          </w:p>
        </w:tc>
      </w:tr>
      <w:tr w:rsidR="008E7846" w:rsidRPr="003D1E62" w14:paraId="38B59149" w14:textId="77777777" w:rsidTr="003735BC">
        <w:tc>
          <w:tcPr>
            <w:tcW w:w="2907" w:type="dxa"/>
          </w:tcPr>
          <w:p w14:paraId="1AEAB061"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387D4464" w14:textId="77777777" w:rsidR="008E7846" w:rsidRPr="003D1E62" w:rsidRDefault="00377064" w:rsidP="001B5C90">
            <w:r>
              <w:t>5 December 2018</w:t>
            </w:r>
          </w:p>
        </w:tc>
      </w:tr>
      <w:tr w:rsidR="00ED2922" w:rsidRPr="003D1E62" w14:paraId="646D49B3" w14:textId="77777777" w:rsidTr="003735BC">
        <w:tc>
          <w:tcPr>
            <w:tcW w:w="2907" w:type="dxa"/>
          </w:tcPr>
          <w:p w14:paraId="28937902" w14:textId="77777777" w:rsidR="00ED2922" w:rsidRPr="00441C3F" w:rsidRDefault="00ED2922" w:rsidP="001B5C90">
            <w:pPr>
              <w:rPr>
                <w:i/>
              </w:rPr>
            </w:pPr>
            <w:r w:rsidRPr="00441C3F">
              <w:rPr>
                <w:i/>
              </w:rPr>
              <w:t>Date of entry onto ARTG</w:t>
            </w:r>
            <w:r w:rsidR="00500337">
              <w:rPr>
                <w:i/>
              </w:rPr>
              <w:t>:</w:t>
            </w:r>
          </w:p>
        </w:tc>
        <w:tc>
          <w:tcPr>
            <w:tcW w:w="6307" w:type="dxa"/>
          </w:tcPr>
          <w:p w14:paraId="3C961340" w14:textId="77777777" w:rsidR="00ED2922" w:rsidRPr="00441C3F" w:rsidRDefault="004526BC" w:rsidP="00D153D8">
            <w:pPr>
              <w:rPr>
                <w:i/>
              </w:rPr>
            </w:pPr>
            <w:r>
              <w:t>11 December 2018</w:t>
            </w:r>
          </w:p>
        </w:tc>
      </w:tr>
      <w:tr w:rsidR="00500337" w:rsidRPr="003D1E62" w14:paraId="6EDAC51E" w14:textId="77777777" w:rsidTr="003735BC">
        <w:tc>
          <w:tcPr>
            <w:tcW w:w="2907" w:type="dxa"/>
          </w:tcPr>
          <w:p w14:paraId="4FB154DB" w14:textId="77777777" w:rsidR="00500337" w:rsidRPr="00441C3F" w:rsidRDefault="004526BC" w:rsidP="001B5C90">
            <w:pPr>
              <w:rPr>
                <w:i/>
              </w:rPr>
            </w:pPr>
            <w:r>
              <w:rPr>
                <w:i/>
              </w:rPr>
              <w:t>ARTG numbers</w:t>
            </w:r>
            <w:r w:rsidR="00500337">
              <w:rPr>
                <w:i/>
              </w:rPr>
              <w:t>:</w:t>
            </w:r>
          </w:p>
        </w:tc>
        <w:tc>
          <w:tcPr>
            <w:tcW w:w="6307" w:type="dxa"/>
          </w:tcPr>
          <w:p w14:paraId="611146EC" w14:textId="77777777" w:rsidR="00500337" w:rsidRPr="00441C3F" w:rsidRDefault="004526BC" w:rsidP="00EC463D">
            <w:r>
              <w:t>288222, 288223</w:t>
            </w:r>
          </w:p>
        </w:tc>
      </w:tr>
      <w:tr w:rsidR="003735BC" w:rsidRPr="003D1E62" w14:paraId="1A7914B6" w14:textId="77777777" w:rsidTr="003735BC">
        <w:tc>
          <w:tcPr>
            <w:tcW w:w="2907" w:type="dxa"/>
          </w:tcPr>
          <w:p w14:paraId="59C8F3A0"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0D373857" w14:textId="77777777" w:rsidR="003735BC" w:rsidRPr="00487162" w:rsidRDefault="004526BC" w:rsidP="003735BC">
            <w:r>
              <w:t>No</w:t>
            </w:r>
          </w:p>
        </w:tc>
      </w:tr>
    </w:tbl>
    <w:p w14:paraId="321C38F3"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78A5C312" w14:textId="77777777" w:rsidTr="00BF1190">
        <w:tc>
          <w:tcPr>
            <w:tcW w:w="2907" w:type="dxa"/>
          </w:tcPr>
          <w:p w14:paraId="7FC189E8" w14:textId="77777777" w:rsidR="008E7846" w:rsidRPr="00487162" w:rsidRDefault="004526BC" w:rsidP="00E45619">
            <w:pPr>
              <w:rPr>
                <w:i/>
              </w:rPr>
            </w:pPr>
            <w:r>
              <w:rPr>
                <w:i/>
              </w:rPr>
              <w:t>Active ingredient</w:t>
            </w:r>
            <w:r w:rsidR="001B5C90">
              <w:rPr>
                <w:i/>
              </w:rPr>
              <w:t>:</w:t>
            </w:r>
          </w:p>
        </w:tc>
        <w:tc>
          <w:tcPr>
            <w:tcW w:w="6307" w:type="dxa"/>
          </w:tcPr>
          <w:p w14:paraId="3ED47BFF" w14:textId="77777777" w:rsidR="008E7846" w:rsidRPr="00487162" w:rsidRDefault="004526BC" w:rsidP="00E55CB0">
            <w:proofErr w:type="spellStart"/>
            <w:r>
              <w:t>Trastuzumab</w:t>
            </w:r>
            <w:proofErr w:type="spellEnd"/>
          </w:p>
        </w:tc>
      </w:tr>
      <w:tr w:rsidR="008E7846" w:rsidRPr="00487162" w14:paraId="56E41275" w14:textId="77777777" w:rsidTr="00BF1190">
        <w:tc>
          <w:tcPr>
            <w:tcW w:w="2907" w:type="dxa"/>
          </w:tcPr>
          <w:p w14:paraId="0A3976CA" w14:textId="77777777" w:rsidR="008E7846" w:rsidRPr="00487162" w:rsidRDefault="008E7846" w:rsidP="001B5C90">
            <w:pPr>
              <w:rPr>
                <w:i/>
              </w:rPr>
            </w:pPr>
            <w:r w:rsidRPr="00487162">
              <w:rPr>
                <w:i/>
              </w:rPr>
              <w:t>Product</w:t>
            </w:r>
            <w:r w:rsidR="004526BC">
              <w:rPr>
                <w:i/>
              </w:rPr>
              <w:t xml:space="preserve"> name</w:t>
            </w:r>
            <w:r w:rsidR="001B5C90">
              <w:rPr>
                <w:i/>
              </w:rPr>
              <w:t>:</w:t>
            </w:r>
          </w:p>
        </w:tc>
        <w:tc>
          <w:tcPr>
            <w:tcW w:w="6307" w:type="dxa"/>
          </w:tcPr>
          <w:p w14:paraId="598ED090" w14:textId="77777777" w:rsidR="008E7846" w:rsidRPr="00487162" w:rsidRDefault="004526BC" w:rsidP="00E45619">
            <w:proofErr w:type="spellStart"/>
            <w:r>
              <w:t>Ogivri</w:t>
            </w:r>
            <w:proofErr w:type="spellEnd"/>
          </w:p>
        </w:tc>
      </w:tr>
      <w:tr w:rsidR="008E7846" w:rsidRPr="00487162" w14:paraId="51F8DB15" w14:textId="77777777" w:rsidTr="00BF1190">
        <w:tc>
          <w:tcPr>
            <w:tcW w:w="2907" w:type="dxa"/>
          </w:tcPr>
          <w:p w14:paraId="06A4ECCC"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01CFCDE" w14:textId="77777777" w:rsidR="008E7846" w:rsidRDefault="004526BC" w:rsidP="00E45619">
            <w:proofErr w:type="spellStart"/>
            <w:r>
              <w:t>Alphapharm</w:t>
            </w:r>
            <w:proofErr w:type="spellEnd"/>
            <w:r>
              <w:t xml:space="preserve"> Pty Ltd</w:t>
            </w:r>
          </w:p>
          <w:p w14:paraId="731D914F" w14:textId="77777777" w:rsidR="004526BC" w:rsidRDefault="004526BC" w:rsidP="00E45619">
            <w:r>
              <w:t xml:space="preserve">PO Box R1462 </w:t>
            </w:r>
          </w:p>
          <w:p w14:paraId="505C7A89" w14:textId="77777777" w:rsidR="004526BC" w:rsidRDefault="004526BC" w:rsidP="00E45619">
            <w:r>
              <w:t>Royal Exchange</w:t>
            </w:r>
          </w:p>
          <w:p w14:paraId="06D5C525" w14:textId="77777777" w:rsidR="004526BC" w:rsidRPr="00487162" w:rsidRDefault="004526BC" w:rsidP="00E45619">
            <w:r>
              <w:t>NSW 1225</w:t>
            </w:r>
          </w:p>
        </w:tc>
      </w:tr>
      <w:tr w:rsidR="008E7846" w:rsidRPr="00487162" w14:paraId="20949168" w14:textId="77777777" w:rsidTr="00BF1190">
        <w:tc>
          <w:tcPr>
            <w:tcW w:w="2907" w:type="dxa"/>
          </w:tcPr>
          <w:p w14:paraId="52F988C6" w14:textId="77777777" w:rsidR="008E7846" w:rsidRPr="00487162" w:rsidRDefault="00F3308D" w:rsidP="00E45619">
            <w:pPr>
              <w:rPr>
                <w:i/>
              </w:rPr>
            </w:pPr>
            <w:r>
              <w:rPr>
                <w:i/>
              </w:rPr>
              <w:t>Dose forms</w:t>
            </w:r>
            <w:r w:rsidR="001B5C90">
              <w:rPr>
                <w:i/>
              </w:rPr>
              <w:t>:</w:t>
            </w:r>
          </w:p>
        </w:tc>
        <w:tc>
          <w:tcPr>
            <w:tcW w:w="6307" w:type="dxa"/>
          </w:tcPr>
          <w:p w14:paraId="4A00ED18" w14:textId="77777777" w:rsidR="008E7846" w:rsidRPr="00487162" w:rsidRDefault="00F3308D" w:rsidP="00E45619">
            <w:r>
              <w:t xml:space="preserve">Powder for injection 150 mg </w:t>
            </w:r>
            <w:r w:rsidR="009017D2">
              <w:t>vial; and Powder for injection 440 </w:t>
            </w:r>
            <w:r>
              <w:t xml:space="preserve">mg </w:t>
            </w:r>
            <w:r w:rsidR="009017D2">
              <w:t xml:space="preserve">vial </w:t>
            </w:r>
            <w:r>
              <w:t>with bacteriostatic water for injection</w:t>
            </w:r>
            <w:r w:rsidR="009017D2">
              <w:t xml:space="preserve"> vial</w:t>
            </w:r>
          </w:p>
        </w:tc>
      </w:tr>
      <w:tr w:rsidR="008E7846" w:rsidRPr="00487162" w14:paraId="42391D49" w14:textId="77777777" w:rsidTr="00BF1190">
        <w:tc>
          <w:tcPr>
            <w:tcW w:w="2907" w:type="dxa"/>
          </w:tcPr>
          <w:p w14:paraId="7E9AF488" w14:textId="6D7827CF" w:rsidR="008E7846" w:rsidRPr="00487162" w:rsidRDefault="00F3308D" w:rsidP="00E45619">
            <w:pPr>
              <w:rPr>
                <w:i/>
              </w:rPr>
            </w:pPr>
            <w:r>
              <w:rPr>
                <w:i/>
              </w:rPr>
              <w:t>Strength</w:t>
            </w:r>
            <w:r w:rsidR="00243828">
              <w:rPr>
                <w:i/>
              </w:rPr>
              <w:t>:</w:t>
            </w:r>
          </w:p>
        </w:tc>
        <w:tc>
          <w:tcPr>
            <w:tcW w:w="6307" w:type="dxa"/>
          </w:tcPr>
          <w:p w14:paraId="19A3F6A0" w14:textId="77777777" w:rsidR="008E7846" w:rsidRPr="00487162" w:rsidRDefault="00F3308D" w:rsidP="00F3308D">
            <w:r>
              <w:t>150 mg and 400 mg</w:t>
            </w:r>
          </w:p>
        </w:tc>
      </w:tr>
      <w:tr w:rsidR="008E7846" w:rsidRPr="00487162" w14:paraId="04A2B577" w14:textId="77777777" w:rsidTr="00BF1190">
        <w:tc>
          <w:tcPr>
            <w:tcW w:w="2907" w:type="dxa"/>
          </w:tcPr>
          <w:p w14:paraId="24254619" w14:textId="77777777" w:rsidR="008E7846" w:rsidRPr="00487162" w:rsidRDefault="00F3308D" w:rsidP="00E45619">
            <w:pPr>
              <w:rPr>
                <w:i/>
              </w:rPr>
            </w:pPr>
            <w:r>
              <w:rPr>
                <w:i/>
              </w:rPr>
              <w:t>Container</w:t>
            </w:r>
            <w:r w:rsidR="008E7846" w:rsidRPr="00487162">
              <w:rPr>
                <w:i/>
              </w:rPr>
              <w:t>:</w:t>
            </w:r>
          </w:p>
        </w:tc>
        <w:tc>
          <w:tcPr>
            <w:tcW w:w="6307" w:type="dxa"/>
          </w:tcPr>
          <w:p w14:paraId="44FEF8FC" w14:textId="160A4F56" w:rsidR="008E7846" w:rsidRPr="00487162" w:rsidRDefault="00612479" w:rsidP="00E45619">
            <w:r>
              <w:t>V</w:t>
            </w:r>
            <w:r w:rsidR="00F3308D">
              <w:t>ial</w:t>
            </w:r>
          </w:p>
        </w:tc>
      </w:tr>
      <w:tr w:rsidR="008E7846" w:rsidRPr="00487162" w14:paraId="32F56EE3" w14:textId="77777777" w:rsidTr="00BF1190">
        <w:tc>
          <w:tcPr>
            <w:tcW w:w="2907" w:type="dxa"/>
          </w:tcPr>
          <w:p w14:paraId="71184881" w14:textId="77777777" w:rsidR="008E7846" w:rsidRPr="00487162" w:rsidRDefault="00F3308D" w:rsidP="00E45619">
            <w:pPr>
              <w:rPr>
                <w:i/>
              </w:rPr>
            </w:pPr>
            <w:r>
              <w:rPr>
                <w:i/>
              </w:rPr>
              <w:t>Pack size</w:t>
            </w:r>
            <w:r w:rsidR="008E7846" w:rsidRPr="00487162">
              <w:rPr>
                <w:i/>
              </w:rPr>
              <w:t>:</w:t>
            </w:r>
          </w:p>
        </w:tc>
        <w:tc>
          <w:tcPr>
            <w:tcW w:w="6307" w:type="dxa"/>
          </w:tcPr>
          <w:p w14:paraId="4BA2787F" w14:textId="77777777" w:rsidR="008E7846" w:rsidRPr="00487162" w:rsidRDefault="00F3308D" w:rsidP="00E45619">
            <w:r>
              <w:t>1</w:t>
            </w:r>
          </w:p>
        </w:tc>
      </w:tr>
      <w:tr w:rsidR="008E7846" w:rsidRPr="00487162" w14:paraId="787A3D42" w14:textId="77777777" w:rsidTr="00BF1190">
        <w:tc>
          <w:tcPr>
            <w:tcW w:w="2907" w:type="dxa"/>
          </w:tcPr>
          <w:p w14:paraId="0CABD0A3"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66FAC58" w14:textId="77777777" w:rsidR="009017D2" w:rsidRPr="00446231" w:rsidRDefault="009017D2" w:rsidP="009017D2">
            <w:pPr>
              <w:rPr>
                <w:b/>
                <w:i/>
              </w:rPr>
            </w:pPr>
            <w:r w:rsidRPr="00446231">
              <w:rPr>
                <w:b/>
                <w:i/>
              </w:rPr>
              <w:t>Early Breast Cancer</w:t>
            </w:r>
          </w:p>
          <w:p w14:paraId="75338F78" w14:textId="77777777" w:rsidR="009017D2" w:rsidRPr="00446231" w:rsidRDefault="009017D2" w:rsidP="009017D2">
            <w:pPr>
              <w:rPr>
                <w:i/>
              </w:rPr>
            </w:pPr>
            <w:proofErr w:type="spellStart"/>
            <w:r w:rsidRPr="00446231">
              <w:rPr>
                <w:i/>
              </w:rPr>
              <w:t>Ogivri</w:t>
            </w:r>
            <w:proofErr w:type="spellEnd"/>
            <w:r w:rsidRPr="00446231">
              <w:rPr>
                <w:i/>
              </w:rPr>
              <w:t xml:space="preserve"> is indicated for the treatment of HER2-positive early breast cancer following surgery, and in association with chemotherapy an</w:t>
            </w:r>
            <w:r>
              <w:rPr>
                <w:i/>
              </w:rPr>
              <w:t>d, if applicable, radiotherapy.</w:t>
            </w:r>
          </w:p>
          <w:p w14:paraId="5613F730" w14:textId="77777777" w:rsidR="009017D2" w:rsidRPr="00446231" w:rsidRDefault="009017D2" w:rsidP="009017D2">
            <w:pPr>
              <w:rPr>
                <w:b/>
                <w:i/>
              </w:rPr>
            </w:pPr>
            <w:r>
              <w:rPr>
                <w:b/>
                <w:i/>
              </w:rPr>
              <w:t>Locally Advanced Breast Cancer</w:t>
            </w:r>
          </w:p>
          <w:p w14:paraId="56FECB5F" w14:textId="77777777" w:rsidR="009017D2" w:rsidRDefault="009017D2" w:rsidP="009017D2">
            <w:pPr>
              <w:rPr>
                <w:i/>
              </w:rPr>
            </w:pPr>
            <w:proofErr w:type="spellStart"/>
            <w:r>
              <w:rPr>
                <w:i/>
              </w:rPr>
              <w:t>Ogivri</w:t>
            </w:r>
            <w:proofErr w:type="spellEnd"/>
            <w:r w:rsidRPr="00446231">
              <w:rPr>
                <w:i/>
              </w:rPr>
              <w:t xml:space="preserve"> </w:t>
            </w:r>
            <w:proofErr w:type="gramStart"/>
            <w:r w:rsidRPr="00446231">
              <w:rPr>
                <w:i/>
              </w:rPr>
              <w:t>is indicated</w:t>
            </w:r>
            <w:proofErr w:type="gramEnd"/>
            <w:r w:rsidRPr="00446231">
              <w:rPr>
                <w:i/>
              </w:rPr>
              <w:t xml:space="preserve"> for the treatment of HER2-positive locally advanced breast cancer in combination with </w:t>
            </w:r>
            <w:proofErr w:type="spellStart"/>
            <w:r w:rsidRPr="00446231">
              <w:rPr>
                <w:i/>
              </w:rPr>
              <w:t>neoadjuvant</w:t>
            </w:r>
            <w:proofErr w:type="spellEnd"/>
            <w:r w:rsidRPr="00446231">
              <w:rPr>
                <w:i/>
              </w:rPr>
              <w:t xml:space="preserve"> chemotherap</w:t>
            </w:r>
            <w:r>
              <w:rPr>
                <w:i/>
              </w:rPr>
              <w:t>y followed by adjuvant OGIVRI.</w:t>
            </w:r>
          </w:p>
          <w:p w14:paraId="07CCDAAD" w14:textId="77777777" w:rsidR="009017D2" w:rsidRPr="001548D8" w:rsidRDefault="009017D2" w:rsidP="009017D2">
            <w:pPr>
              <w:rPr>
                <w:b/>
                <w:i/>
              </w:rPr>
            </w:pPr>
            <w:r w:rsidRPr="001548D8">
              <w:rPr>
                <w:b/>
                <w:i/>
              </w:rPr>
              <w:t>Metastatic Breast Cancer</w:t>
            </w:r>
          </w:p>
          <w:p w14:paraId="58EDC62F" w14:textId="77777777" w:rsidR="009017D2" w:rsidRPr="001548D8" w:rsidRDefault="009017D2" w:rsidP="009017D2">
            <w:pPr>
              <w:rPr>
                <w:i/>
              </w:rPr>
            </w:pPr>
            <w:proofErr w:type="spellStart"/>
            <w:r w:rsidRPr="00446231">
              <w:rPr>
                <w:i/>
              </w:rPr>
              <w:t>Ogivri</w:t>
            </w:r>
            <w:proofErr w:type="spellEnd"/>
            <w:r w:rsidRPr="001548D8">
              <w:rPr>
                <w:i/>
              </w:rPr>
              <w:t xml:space="preserve"> is indicated for the treatment of patients with metastatic breast cancer who have tumours that overexpress HER2:</w:t>
            </w:r>
          </w:p>
          <w:p w14:paraId="34D8E0C7" w14:textId="77777777" w:rsidR="009017D2" w:rsidRPr="001548D8" w:rsidRDefault="009017D2" w:rsidP="009017D2">
            <w:pPr>
              <w:rPr>
                <w:i/>
              </w:rPr>
            </w:pPr>
            <w:r w:rsidRPr="001548D8">
              <w:rPr>
                <w:i/>
              </w:rPr>
              <w:lastRenderedPageBreak/>
              <w:t>a) as monotherapy for the treatment of those patients who have received one or more chemotherapy regimen</w:t>
            </w:r>
            <w:r>
              <w:rPr>
                <w:i/>
              </w:rPr>
              <w:t>s for their metastatic disease;</w:t>
            </w:r>
          </w:p>
          <w:p w14:paraId="7F33F4C0" w14:textId="77777777" w:rsidR="009017D2" w:rsidRPr="001548D8" w:rsidRDefault="009017D2" w:rsidP="009017D2">
            <w:pPr>
              <w:rPr>
                <w:i/>
              </w:rPr>
            </w:pPr>
            <w:r w:rsidRPr="001548D8">
              <w:rPr>
                <w:i/>
              </w:rPr>
              <w:t xml:space="preserve">b) in combination with </w:t>
            </w:r>
            <w:proofErr w:type="spellStart"/>
            <w:r w:rsidRPr="001548D8">
              <w:rPr>
                <w:i/>
              </w:rPr>
              <w:t>taxanes</w:t>
            </w:r>
            <w:proofErr w:type="spellEnd"/>
            <w:r w:rsidRPr="001548D8">
              <w:rPr>
                <w:i/>
              </w:rPr>
              <w:t xml:space="preserve"> for the treatment of those patients who have not received chemotherapy fo</w:t>
            </w:r>
            <w:r>
              <w:rPr>
                <w:i/>
              </w:rPr>
              <w:t>r their metastatic disease; or</w:t>
            </w:r>
          </w:p>
          <w:p w14:paraId="07416E60" w14:textId="77777777" w:rsidR="009017D2" w:rsidRPr="001548D8" w:rsidRDefault="009017D2" w:rsidP="009017D2">
            <w:pPr>
              <w:rPr>
                <w:i/>
              </w:rPr>
            </w:pPr>
            <w:r w:rsidRPr="001548D8">
              <w:rPr>
                <w:i/>
              </w:rPr>
              <w:t xml:space="preserve">c) </w:t>
            </w:r>
            <w:proofErr w:type="gramStart"/>
            <w:r w:rsidRPr="001548D8">
              <w:rPr>
                <w:i/>
              </w:rPr>
              <w:t>in</w:t>
            </w:r>
            <w:proofErr w:type="gramEnd"/>
            <w:r w:rsidRPr="001548D8">
              <w:rPr>
                <w:i/>
              </w:rPr>
              <w:t xml:space="preserve"> combination with an aromatase inhibitor for the treatment of post-menopausal patients with hormone-receptor positive metastatic bre</w:t>
            </w:r>
            <w:r>
              <w:rPr>
                <w:i/>
              </w:rPr>
              <w:t>ast cancer.</w:t>
            </w:r>
          </w:p>
          <w:p w14:paraId="74341FD4" w14:textId="77777777" w:rsidR="009017D2" w:rsidRPr="001548D8" w:rsidRDefault="009017D2" w:rsidP="009017D2">
            <w:pPr>
              <w:rPr>
                <w:b/>
                <w:i/>
              </w:rPr>
            </w:pPr>
            <w:r>
              <w:rPr>
                <w:b/>
                <w:i/>
              </w:rPr>
              <w:t>Advanced Gastric Cancer</w:t>
            </w:r>
          </w:p>
          <w:p w14:paraId="0EB608BF" w14:textId="77777777" w:rsidR="008E7846" w:rsidRPr="007A580E" w:rsidRDefault="009017D2" w:rsidP="00E45619">
            <w:pPr>
              <w:rPr>
                <w:i/>
              </w:rPr>
            </w:pPr>
            <w:proofErr w:type="spellStart"/>
            <w:r w:rsidRPr="00446231">
              <w:rPr>
                <w:i/>
              </w:rPr>
              <w:t>Ogivri</w:t>
            </w:r>
            <w:proofErr w:type="spellEnd"/>
            <w:r w:rsidRPr="001548D8">
              <w:rPr>
                <w:i/>
              </w:rPr>
              <w:t xml:space="preserve"> is indicated in combination with cisplatin and either </w:t>
            </w:r>
            <w:proofErr w:type="spellStart"/>
            <w:r w:rsidRPr="001548D8">
              <w:rPr>
                <w:i/>
              </w:rPr>
              <w:t>capecitabine</w:t>
            </w:r>
            <w:proofErr w:type="spellEnd"/>
            <w:r w:rsidRPr="001548D8">
              <w:rPr>
                <w:i/>
              </w:rPr>
              <w:t xml:space="preserve"> or 5-FU for the treatment of patients with HER2 positive advanced adenocarcinoma of the stomach or gastro-oesophageal</w:t>
            </w:r>
            <w:r>
              <w:rPr>
                <w:i/>
              </w:rPr>
              <w:t xml:space="preserve"> junction who have not received prior anti-cancer treatment for their metastatic disease.</w:t>
            </w:r>
          </w:p>
        </w:tc>
      </w:tr>
      <w:tr w:rsidR="008E7846" w:rsidRPr="00487162" w14:paraId="7843D025" w14:textId="77777777" w:rsidTr="00BF1190">
        <w:tc>
          <w:tcPr>
            <w:tcW w:w="2907" w:type="dxa"/>
          </w:tcPr>
          <w:p w14:paraId="048CFDD3" w14:textId="77777777" w:rsidR="008E7846" w:rsidRPr="00487162" w:rsidRDefault="00F3308D" w:rsidP="00E45619">
            <w:pPr>
              <w:rPr>
                <w:i/>
              </w:rPr>
            </w:pPr>
            <w:r>
              <w:rPr>
                <w:i/>
              </w:rPr>
              <w:lastRenderedPageBreak/>
              <w:t>Routes</w:t>
            </w:r>
            <w:r w:rsidR="008E7846" w:rsidRPr="00487162">
              <w:rPr>
                <w:i/>
              </w:rPr>
              <w:t xml:space="preserve"> of administration:</w:t>
            </w:r>
          </w:p>
        </w:tc>
        <w:tc>
          <w:tcPr>
            <w:tcW w:w="6307" w:type="dxa"/>
          </w:tcPr>
          <w:p w14:paraId="2FF22A0C" w14:textId="77777777" w:rsidR="008E7846" w:rsidRPr="00487162" w:rsidRDefault="00F3308D" w:rsidP="00E45619">
            <w:r>
              <w:t>Intravenous</w:t>
            </w:r>
          </w:p>
        </w:tc>
      </w:tr>
      <w:tr w:rsidR="008E7846" w:rsidRPr="00487162" w14:paraId="6043EB61" w14:textId="77777777" w:rsidTr="00BF1190">
        <w:tc>
          <w:tcPr>
            <w:tcW w:w="2907" w:type="dxa"/>
          </w:tcPr>
          <w:p w14:paraId="5C9507B6" w14:textId="77777777" w:rsidR="008E7846" w:rsidRPr="00487162" w:rsidRDefault="008E7846" w:rsidP="00E45619">
            <w:pPr>
              <w:rPr>
                <w:i/>
              </w:rPr>
            </w:pPr>
            <w:r w:rsidRPr="00487162">
              <w:rPr>
                <w:i/>
              </w:rPr>
              <w:t>Dosage:</w:t>
            </w:r>
          </w:p>
        </w:tc>
        <w:tc>
          <w:tcPr>
            <w:tcW w:w="6307" w:type="dxa"/>
          </w:tcPr>
          <w:p w14:paraId="5C55BD16" w14:textId="447E1A23" w:rsidR="008E7846" w:rsidRPr="00487162" w:rsidRDefault="007A580E" w:rsidP="008D12AA">
            <w:r>
              <w:t>The dosage is the same as for the innovator product Herceptin</w:t>
            </w:r>
            <w:r w:rsidR="00612479">
              <w:t xml:space="preserve"> </w:t>
            </w:r>
            <w:proofErr w:type="spellStart"/>
            <w:r w:rsidR="00612479">
              <w:t>trast</w:t>
            </w:r>
            <w:r w:rsidR="008D12AA">
              <w:t>u</w:t>
            </w:r>
            <w:r w:rsidR="00612479">
              <w:t>zumab</w:t>
            </w:r>
            <w:proofErr w:type="spellEnd"/>
            <w:r>
              <w:t>.</w:t>
            </w:r>
          </w:p>
        </w:tc>
      </w:tr>
    </w:tbl>
    <w:p w14:paraId="28A9C1C8" w14:textId="77777777" w:rsidR="008E7846" w:rsidRDefault="008E7846" w:rsidP="008E7846">
      <w:pPr>
        <w:pStyle w:val="Heading3"/>
      </w:pPr>
      <w:bookmarkStart w:id="13" w:name="_Toc247691503"/>
      <w:bookmarkStart w:id="14" w:name="_Toc314842484"/>
      <w:bookmarkStart w:id="15" w:name="_Toc35445579"/>
      <w:r>
        <w:t>Product background</w:t>
      </w:r>
      <w:bookmarkEnd w:id="13"/>
      <w:bookmarkEnd w:id="14"/>
      <w:bookmarkEnd w:id="15"/>
    </w:p>
    <w:p w14:paraId="137BCB75" w14:textId="3AFC4821" w:rsidR="008E7846" w:rsidRDefault="00940A89" w:rsidP="00940A89">
      <w:r w:rsidRPr="00940A89">
        <w:t xml:space="preserve">This </w:t>
      </w:r>
      <w:proofErr w:type="spellStart"/>
      <w:r w:rsidRPr="00940A89">
        <w:t>AusPAR</w:t>
      </w:r>
      <w:proofErr w:type="spellEnd"/>
      <w:r w:rsidRPr="00940A89">
        <w:t xml:space="preserve"> describes the application by</w:t>
      </w:r>
      <w:r w:rsidR="009017D2">
        <w:t xml:space="preserve"> </w:t>
      </w:r>
      <w:proofErr w:type="spellStart"/>
      <w:r w:rsidR="009017D2">
        <w:t>Alphapharm</w:t>
      </w:r>
      <w:proofErr w:type="spellEnd"/>
      <w:r w:rsidR="009017D2">
        <w:t xml:space="preserve"> Pty Ltd</w:t>
      </w:r>
      <w:r w:rsidRPr="00940A89">
        <w:t xml:space="preserve"> </w:t>
      </w:r>
      <w:r w:rsidR="009017D2">
        <w:t>(</w:t>
      </w:r>
      <w:r w:rsidRPr="00940A89">
        <w:t>the sponsor</w:t>
      </w:r>
      <w:r w:rsidR="009017D2">
        <w:t>)</w:t>
      </w:r>
      <w:r w:rsidRPr="00940A89">
        <w:t xml:space="preserve"> to register </w:t>
      </w:r>
      <w:proofErr w:type="spellStart"/>
      <w:r w:rsidR="009017D2">
        <w:t>Ogivri</w:t>
      </w:r>
      <w:proofErr w:type="spellEnd"/>
      <w:r w:rsidR="009017D2">
        <w:t xml:space="preserve"> </w:t>
      </w:r>
      <w:proofErr w:type="spellStart"/>
      <w:r w:rsidR="009017D2">
        <w:t>trastuzumab</w:t>
      </w:r>
      <w:proofErr w:type="spellEnd"/>
      <w:r w:rsidR="009017D2">
        <w:t>, 1</w:t>
      </w:r>
      <w:r w:rsidR="00B634FA">
        <w:t>50 mg powder for injection vial,</w:t>
      </w:r>
      <w:r w:rsidR="009017D2">
        <w:t xml:space="preserve"> and</w:t>
      </w:r>
      <w:r w:rsidR="00B634FA">
        <w:t>,</w:t>
      </w:r>
      <w:r w:rsidR="009017D2">
        <w:t xml:space="preserve"> 440 mg powder for injection vial with bacteriostatic water for injection vial for the following indication:</w:t>
      </w:r>
    </w:p>
    <w:p w14:paraId="0F390B05" w14:textId="77777777" w:rsidR="009017D2" w:rsidRPr="00B634FA" w:rsidRDefault="009017D2" w:rsidP="009017D2">
      <w:pPr>
        <w:ind w:left="720"/>
        <w:rPr>
          <w:i/>
        </w:rPr>
      </w:pPr>
      <w:r w:rsidRPr="00B634FA">
        <w:rPr>
          <w:i/>
        </w:rPr>
        <w:t>Early Breast Cancer</w:t>
      </w:r>
    </w:p>
    <w:p w14:paraId="1A68652F" w14:textId="77777777" w:rsidR="009017D2" w:rsidRPr="00B634FA" w:rsidRDefault="009017D2" w:rsidP="009017D2">
      <w:pPr>
        <w:ind w:left="720"/>
        <w:rPr>
          <w:i/>
        </w:rPr>
      </w:pPr>
      <w:proofErr w:type="spellStart"/>
      <w:r w:rsidRPr="00B634FA">
        <w:rPr>
          <w:i/>
        </w:rPr>
        <w:t>Ogivri</w:t>
      </w:r>
      <w:proofErr w:type="spellEnd"/>
      <w:r w:rsidRPr="00B634FA">
        <w:rPr>
          <w:i/>
        </w:rPr>
        <w:t xml:space="preserve"> is indicated for the treatment of HER2-positive early breast cancer following surgery, and in association with chemotherapy and, if applicable, radiotherapy. </w:t>
      </w:r>
    </w:p>
    <w:p w14:paraId="31FE6F8D" w14:textId="77777777" w:rsidR="009017D2" w:rsidRPr="00B634FA" w:rsidRDefault="009017D2" w:rsidP="009017D2">
      <w:pPr>
        <w:ind w:left="720"/>
        <w:rPr>
          <w:i/>
        </w:rPr>
      </w:pPr>
      <w:r w:rsidRPr="00B634FA">
        <w:rPr>
          <w:i/>
        </w:rPr>
        <w:t>Locally Advanced Breast Cancer</w:t>
      </w:r>
    </w:p>
    <w:p w14:paraId="090A45E6" w14:textId="3D30C067" w:rsidR="009017D2" w:rsidRPr="00B634FA" w:rsidRDefault="00612479" w:rsidP="009017D2">
      <w:pPr>
        <w:ind w:left="720"/>
        <w:rPr>
          <w:i/>
        </w:rPr>
      </w:pPr>
      <w:proofErr w:type="spellStart"/>
      <w:r w:rsidRPr="00B634FA">
        <w:rPr>
          <w:i/>
        </w:rPr>
        <w:t>O</w:t>
      </w:r>
      <w:r>
        <w:rPr>
          <w:i/>
        </w:rPr>
        <w:t>givri</w:t>
      </w:r>
      <w:proofErr w:type="spellEnd"/>
      <w:r w:rsidRPr="00B634FA">
        <w:rPr>
          <w:i/>
        </w:rPr>
        <w:t xml:space="preserve"> </w:t>
      </w:r>
      <w:proofErr w:type="gramStart"/>
      <w:r w:rsidR="009017D2" w:rsidRPr="00B634FA">
        <w:rPr>
          <w:i/>
        </w:rPr>
        <w:t>is indicated</w:t>
      </w:r>
      <w:proofErr w:type="gramEnd"/>
      <w:r w:rsidR="009017D2" w:rsidRPr="00B634FA">
        <w:rPr>
          <w:i/>
        </w:rPr>
        <w:t xml:space="preserve"> for the treatment of HER2-positive locally advanced breast cancer in combination with </w:t>
      </w:r>
      <w:proofErr w:type="spellStart"/>
      <w:r w:rsidR="009017D2" w:rsidRPr="00B634FA">
        <w:rPr>
          <w:i/>
        </w:rPr>
        <w:t>neoadjuvant</w:t>
      </w:r>
      <w:proofErr w:type="spellEnd"/>
      <w:r w:rsidR="009017D2" w:rsidRPr="00B634FA">
        <w:rPr>
          <w:i/>
        </w:rPr>
        <w:t xml:space="preserve"> chemotherapy followed by adjuvant </w:t>
      </w:r>
      <w:proofErr w:type="spellStart"/>
      <w:r>
        <w:rPr>
          <w:i/>
        </w:rPr>
        <w:t>Ogivri</w:t>
      </w:r>
      <w:proofErr w:type="spellEnd"/>
      <w:r w:rsidR="009017D2" w:rsidRPr="00B634FA">
        <w:rPr>
          <w:i/>
        </w:rPr>
        <w:t>.</w:t>
      </w:r>
    </w:p>
    <w:p w14:paraId="6A283B94" w14:textId="77777777" w:rsidR="009017D2" w:rsidRPr="00B634FA" w:rsidRDefault="009017D2" w:rsidP="009017D2">
      <w:pPr>
        <w:ind w:left="720"/>
        <w:rPr>
          <w:i/>
        </w:rPr>
      </w:pPr>
      <w:r w:rsidRPr="00B634FA">
        <w:rPr>
          <w:i/>
        </w:rPr>
        <w:t>Metastatic Breast Cancer</w:t>
      </w:r>
    </w:p>
    <w:p w14:paraId="2482915B" w14:textId="77777777" w:rsidR="009017D2" w:rsidRPr="00B634FA" w:rsidRDefault="009017D2" w:rsidP="009017D2">
      <w:pPr>
        <w:ind w:left="720"/>
        <w:rPr>
          <w:i/>
        </w:rPr>
      </w:pPr>
      <w:proofErr w:type="spellStart"/>
      <w:r w:rsidRPr="00B634FA">
        <w:rPr>
          <w:i/>
        </w:rPr>
        <w:t>Ogivri</w:t>
      </w:r>
      <w:proofErr w:type="spellEnd"/>
      <w:r w:rsidRPr="00B634FA">
        <w:rPr>
          <w:i/>
        </w:rPr>
        <w:t xml:space="preserve"> </w:t>
      </w:r>
      <w:proofErr w:type="gramStart"/>
      <w:r w:rsidRPr="00B634FA">
        <w:rPr>
          <w:i/>
        </w:rPr>
        <w:t>is indicated</w:t>
      </w:r>
      <w:proofErr w:type="gramEnd"/>
      <w:r w:rsidRPr="00B634FA">
        <w:rPr>
          <w:i/>
        </w:rPr>
        <w:t xml:space="preserve"> for the treatment of patients with metastatic breast cancer who have tumours that overexpress HER2:</w:t>
      </w:r>
    </w:p>
    <w:p w14:paraId="400F1BD0" w14:textId="77777777" w:rsidR="009017D2" w:rsidRPr="00B634FA" w:rsidRDefault="009017D2" w:rsidP="009017D2">
      <w:pPr>
        <w:ind w:left="720"/>
        <w:rPr>
          <w:i/>
        </w:rPr>
      </w:pPr>
      <w:r w:rsidRPr="00B634FA">
        <w:rPr>
          <w:i/>
        </w:rPr>
        <w:t xml:space="preserve">a) </w:t>
      </w:r>
      <w:proofErr w:type="gramStart"/>
      <w:r w:rsidRPr="00B634FA">
        <w:rPr>
          <w:i/>
        </w:rPr>
        <w:t>as</w:t>
      </w:r>
      <w:proofErr w:type="gramEnd"/>
      <w:r w:rsidRPr="00B634FA">
        <w:rPr>
          <w:i/>
        </w:rPr>
        <w:t xml:space="preserve"> monotherapy for the treatment of those patients who have received one or more chemotherapy regimens for their metastatic disease;</w:t>
      </w:r>
    </w:p>
    <w:p w14:paraId="1EAAC68B" w14:textId="77777777" w:rsidR="009017D2" w:rsidRPr="00B634FA" w:rsidRDefault="009017D2" w:rsidP="009017D2">
      <w:pPr>
        <w:ind w:left="720"/>
        <w:rPr>
          <w:i/>
        </w:rPr>
      </w:pPr>
      <w:r w:rsidRPr="00B634FA">
        <w:rPr>
          <w:i/>
        </w:rPr>
        <w:t xml:space="preserve">b) </w:t>
      </w:r>
      <w:proofErr w:type="gramStart"/>
      <w:r w:rsidRPr="00B634FA">
        <w:rPr>
          <w:i/>
        </w:rPr>
        <w:t>in</w:t>
      </w:r>
      <w:proofErr w:type="gramEnd"/>
      <w:r w:rsidRPr="00B634FA">
        <w:rPr>
          <w:i/>
        </w:rPr>
        <w:t xml:space="preserve"> combination with </w:t>
      </w:r>
      <w:proofErr w:type="spellStart"/>
      <w:r w:rsidRPr="00B634FA">
        <w:rPr>
          <w:i/>
        </w:rPr>
        <w:t>taxanes</w:t>
      </w:r>
      <w:proofErr w:type="spellEnd"/>
      <w:r w:rsidRPr="00B634FA">
        <w:rPr>
          <w:i/>
        </w:rPr>
        <w:t xml:space="preserve"> for the treatment of those patients who have not received chemotherapy for their metastatic disease; or</w:t>
      </w:r>
    </w:p>
    <w:p w14:paraId="188F7D05" w14:textId="77777777" w:rsidR="009017D2" w:rsidRPr="00B634FA" w:rsidRDefault="009017D2" w:rsidP="009017D2">
      <w:pPr>
        <w:ind w:left="720"/>
        <w:rPr>
          <w:i/>
        </w:rPr>
      </w:pPr>
      <w:r w:rsidRPr="00B634FA">
        <w:rPr>
          <w:i/>
        </w:rPr>
        <w:t xml:space="preserve">c) </w:t>
      </w:r>
      <w:proofErr w:type="gramStart"/>
      <w:r w:rsidRPr="00B634FA">
        <w:rPr>
          <w:i/>
        </w:rPr>
        <w:t>in</w:t>
      </w:r>
      <w:proofErr w:type="gramEnd"/>
      <w:r w:rsidRPr="00B634FA">
        <w:rPr>
          <w:i/>
        </w:rPr>
        <w:t xml:space="preserve"> combination with an aromatase inhibitor for the treatment of post-menopausal patients with hormone-receptor positive metastatic breast cancer.</w:t>
      </w:r>
    </w:p>
    <w:p w14:paraId="53BBD6F9" w14:textId="77777777" w:rsidR="009017D2" w:rsidRPr="00B634FA" w:rsidRDefault="009017D2" w:rsidP="009017D2">
      <w:pPr>
        <w:ind w:left="720"/>
        <w:rPr>
          <w:i/>
        </w:rPr>
      </w:pPr>
      <w:r w:rsidRPr="00B634FA">
        <w:rPr>
          <w:i/>
        </w:rPr>
        <w:t>Advanced Gastric Cancer</w:t>
      </w:r>
    </w:p>
    <w:p w14:paraId="6832E419" w14:textId="77777777" w:rsidR="009017D2" w:rsidRPr="009017D2" w:rsidRDefault="009017D2" w:rsidP="009017D2">
      <w:pPr>
        <w:ind w:left="720"/>
        <w:rPr>
          <w:i/>
        </w:rPr>
      </w:pPr>
      <w:proofErr w:type="spellStart"/>
      <w:r>
        <w:rPr>
          <w:i/>
        </w:rPr>
        <w:t>Ogivri</w:t>
      </w:r>
      <w:proofErr w:type="spellEnd"/>
      <w:r>
        <w:rPr>
          <w:i/>
        </w:rPr>
        <w:t xml:space="preserve"> is indicated in combination with cisplatin and either </w:t>
      </w:r>
      <w:proofErr w:type="spellStart"/>
      <w:r>
        <w:rPr>
          <w:i/>
        </w:rPr>
        <w:t>capecitabine</w:t>
      </w:r>
      <w:proofErr w:type="spellEnd"/>
      <w:r>
        <w:rPr>
          <w:i/>
        </w:rPr>
        <w:t xml:space="preserve"> or 5-FU for the treatment of patients with HER2 positive advanced adenocarcinoma of the stomach or gastro-oesophageal junction who have not received prior anti-cancer treatment for their metastatic disease.</w:t>
      </w:r>
    </w:p>
    <w:p w14:paraId="03658487" w14:textId="305A5129" w:rsidR="009017D2" w:rsidRPr="00027138" w:rsidRDefault="00027138" w:rsidP="009017D2">
      <w:pPr>
        <w:rPr>
          <w:lang w:val="en-US"/>
        </w:rPr>
      </w:pPr>
      <w:r>
        <w:rPr>
          <w:lang w:val="en-US"/>
        </w:rPr>
        <w:lastRenderedPageBreak/>
        <w:t xml:space="preserve">The </w:t>
      </w:r>
      <w:r w:rsidR="00612479">
        <w:rPr>
          <w:lang w:val="en-US"/>
        </w:rPr>
        <w:t xml:space="preserve">proposed </w:t>
      </w:r>
      <w:r>
        <w:rPr>
          <w:lang w:val="en-US"/>
        </w:rPr>
        <w:t>product is a biosimilar product for the registered innovator product Herceptin</w:t>
      </w:r>
      <w:r w:rsidR="00612479">
        <w:rPr>
          <w:lang w:val="en-US"/>
        </w:rPr>
        <w:t xml:space="preserve"> </w:t>
      </w:r>
      <w:proofErr w:type="spellStart"/>
      <w:r w:rsidR="00612479">
        <w:rPr>
          <w:lang w:val="en-US"/>
        </w:rPr>
        <w:t>trastuzumab</w:t>
      </w:r>
      <w:proofErr w:type="spellEnd"/>
      <w:r>
        <w:rPr>
          <w:lang w:val="en-US"/>
        </w:rPr>
        <w:t xml:space="preserve">. </w:t>
      </w:r>
      <w:r w:rsidR="009017D2">
        <w:rPr>
          <w:lang w:val="en-US"/>
        </w:rPr>
        <w:t>T</w:t>
      </w:r>
      <w:r w:rsidR="009017D2" w:rsidRPr="00A423DF">
        <w:rPr>
          <w:lang w:val="en-US"/>
        </w:rPr>
        <w:t>he proposed indication</w:t>
      </w:r>
      <w:r w:rsidR="009017D2">
        <w:rPr>
          <w:lang w:val="en-US"/>
        </w:rPr>
        <w:t>s are</w:t>
      </w:r>
      <w:r w:rsidR="009017D2" w:rsidRPr="00A423DF">
        <w:rPr>
          <w:lang w:val="en-US"/>
        </w:rPr>
        <w:t xml:space="preserve"> as for the already registered product, </w:t>
      </w:r>
      <w:r w:rsidR="009017D2">
        <w:rPr>
          <w:lang w:val="en-US"/>
        </w:rPr>
        <w:t>Herceptin</w:t>
      </w:r>
      <w:r>
        <w:t>.</w:t>
      </w:r>
    </w:p>
    <w:p w14:paraId="6899E2AB" w14:textId="77777777" w:rsidR="00CA4514" w:rsidRDefault="00CA4514" w:rsidP="00027138">
      <w:pPr>
        <w:rPr>
          <w:lang w:eastAsia="ja-JP"/>
        </w:rPr>
      </w:pPr>
      <w:r w:rsidRPr="004F18A6">
        <w:rPr>
          <w:rFonts w:cs="‡pıøwcË"/>
          <w:lang w:val="en-US"/>
        </w:rPr>
        <w:t>The r</w:t>
      </w:r>
      <w:r>
        <w:rPr>
          <w:rFonts w:cs="‡pıøwcË"/>
          <w:lang w:val="en-US"/>
        </w:rPr>
        <w:t xml:space="preserve">ationale for the use of </w:t>
      </w:r>
      <w:r w:rsidR="003217AA">
        <w:rPr>
          <w:lang w:val="en-US"/>
        </w:rPr>
        <w:t>human epidermal growth factor receptor 2 (</w:t>
      </w:r>
      <w:r>
        <w:rPr>
          <w:rFonts w:cs="‡pıøwcË"/>
          <w:lang w:val="en-US"/>
        </w:rPr>
        <w:t>HER2</w:t>
      </w:r>
      <w:r w:rsidR="003217AA">
        <w:rPr>
          <w:rFonts w:cs="‡pıøwcË"/>
          <w:lang w:val="en-US"/>
        </w:rPr>
        <w:t>)</w:t>
      </w:r>
      <w:r>
        <w:rPr>
          <w:rFonts w:cs="‡pıøwcË"/>
          <w:lang w:val="en-US"/>
        </w:rPr>
        <w:t>-dir</w:t>
      </w:r>
      <w:r w:rsidRPr="004F18A6">
        <w:rPr>
          <w:rFonts w:cs="‡pıøwcË"/>
          <w:lang w:val="en-US"/>
        </w:rPr>
        <w:t>ected therapy is well established in both</w:t>
      </w:r>
      <w:r>
        <w:rPr>
          <w:rFonts w:cs="‡pıøwcË"/>
          <w:lang w:val="en-US"/>
        </w:rPr>
        <w:t xml:space="preserve"> HER2-positive</w:t>
      </w:r>
      <w:r w:rsidRPr="004F18A6">
        <w:rPr>
          <w:rFonts w:cs="‡pıøwcË"/>
          <w:lang w:val="en-US"/>
        </w:rPr>
        <w:t xml:space="preserve"> breast cancer and </w:t>
      </w:r>
      <w:r>
        <w:rPr>
          <w:rFonts w:cs="‡pıøwcË"/>
          <w:lang w:val="en-US"/>
        </w:rPr>
        <w:t>HER2-positive gastric cancer.</w:t>
      </w:r>
    </w:p>
    <w:p w14:paraId="729999BA" w14:textId="125203B7" w:rsidR="00027138" w:rsidRDefault="00027138" w:rsidP="00027138">
      <w:r>
        <w:rPr>
          <w:lang w:eastAsia="ja-JP"/>
        </w:rPr>
        <w:t>The s</w:t>
      </w:r>
      <w:r w:rsidRPr="001D3A6C">
        <w:rPr>
          <w:lang w:eastAsia="ja-JP"/>
        </w:rPr>
        <w:t>ponsor is seeking registration of a new vial size</w:t>
      </w:r>
      <w:r>
        <w:rPr>
          <w:lang w:eastAsia="ja-JP"/>
        </w:rPr>
        <w:t xml:space="preserve"> 440 mg</w:t>
      </w:r>
      <w:r w:rsidRPr="001D3A6C">
        <w:rPr>
          <w:lang w:eastAsia="ja-JP"/>
        </w:rPr>
        <w:t>, wit</w:t>
      </w:r>
      <w:r>
        <w:rPr>
          <w:lang w:eastAsia="ja-JP"/>
        </w:rPr>
        <w:t>h potential to vary the diluent</w:t>
      </w:r>
      <w:r w:rsidRPr="001D3A6C">
        <w:rPr>
          <w:lang w:eastAsia="ja-JP"/>
        </w:rPr>
        <w:t xml:space="preserve"> to allow repeat access and a longer storage time once </w:t>
      </w:r>
      <w:r w:rsidRPr="00DE1B6C">
        <w:rPr>
          <w:lang w:eastAsia="ja-JP"/>
        </w:rPr>
        <w:t>reconstituted. Herceptin</w:t>
      </w:r>
      <w:r w:rsidR="00612479">
        <w:rPr>
          <w:lang w:eastAsia="ja-JP"/>
        </w:rPr>
        <w:t xml:space="preserve"> </w:t>
      </w:r>
      <w:proofErr w:type="spellStart"/>
      <w:r w:rsidR="00612479">
        <w:rPr>
          <w:lang w:eastAsia="ja-JP"/>
        </w:rPr>
        <w:t>trastuzumab</w:t>
      </w:r>
      <w:proofErr w:type="spellEnd"/>
      <w:r w:rsidRPr="00DE1B6C">
        <w:rPr>
          <w:lang w:eastAsia="ja-JP"/>
        </w:rPr>
        <w:t xml:space="preserve"> is available as </w:t>
      </w:r>
      <w:r w:rsidR="00812B77" w:rsidRPr="00DE1B6C">
        <w:rPr>
          <w:lang w:eastAsia="ja-JP"/>
        </w:rPr>
        <w:t>600</w:t>
      </w:r>
      <w:r w:rsidRPr="00DE1B6C">
        <w:rPr>
          <w:lang w:eastAsia="ja-JP"/>
        </w:rPr>
        <w:t xml:space="preserve"> mg</w:t>
      </w:r>
      <w:r w:rsidR="00812B77" w:rsidRPr="00DE1B6C">
        <w:rPr>
          <w:lang w:eastAsia="ja-JP"/>
        </w:rPr>
        <w:t>/ 5 mL vial for subcutaneous administration.</w:t>
      </w:r>
      <w:r w:rsidRPr="00DE1B6C">
        <w:rPr>
          <w:lang w:eastAsia="ja-JP"/>
        </w:rPr>
        <w:t xml:space="preserve"> The 150</w:t>
      </w:r>
      <w:r w:rsidR="00612479">
        <w:rPr>
          <w:lang w:eastAsia="ja-JP"/>
        </w:rPr>
        <w:t> </w:t>
      </w:r>
      <w:r w:rsidRPr="00DE1B6C">
        <w:rPr>
          <w:lang w:eastAsia="ja-JP"/>
        </w:rPr>
        <w:t>mg size</w:t>
      </w:r>
      <w:r>
        <w:rPr>
          <w:lang w:eastAsia="ja-JP"/>
        </w:rPr>
        <w:t xml:space="preserve"> presentation is for single dose only.</w:t>
      </w:r>
    </w:p>
    <w:p w14:paraId="09AB6C16" w14:textId="505119FA" w:rsidR="00812B77" w:rsidRPr="00DA2A34" w:rsidRDefault="00812B77" w:rsidP="00812B77">
      <w:pPr>
        <w:rPr>
          <w:lang w:val="en-US"/>
        </w:rPr>
      </w:pPr>
      <w:r w:rsidRPr="00DA2A34">
        <w:rPr>
          <w:lang w:val="en-US"/>
        </w:rPr>
        <w:t xml:space="preserve">The </w:t>
      </w:r>
      <w:r>
        <w:rPr>
          <w:lang w:val="en-US"/>
        </w:rPr>
        <w:t xml:space="preserve">presentation also includes the </w:t>
      </w:r>
      <w:r w:rsidRPr="00DA2A34">
        <w:rPr>
          <w:lang w:val="en-US"/>
        </w:rPr>
        <w:t>introduction of sorbitol, a new excipient not in the reference product, Herceptin</w:t>
      </w:r>
      <w:r w:rsidR="000A0880">
        <w:rPr>
          <w:lang w:val="en-US"/>
        </w:rPr>
        <w:t xml:space="preserve"> </w:t>
      </w:r>
      <w:proofErr w:type="spellStart"/>
      <w:r w:rsidR="000A0880">
        <w:rPr>
          <w:lang w:val="en-US"/>
        </w:rPr>
        <w:t>trastuzumab</w:t>
      </w:r>
      <w:proofErr w:type="spellEnd"/>
      <w:r w:rsidR="00612479">
        <w:rPr>
          <w:lang w:val="en-US"/>
        </w:rPr>
        <w:t>. Inclusion of sorbitol</w:t>
      </w:r>
      <w:r w:rsidRPr="00DA2A34">
        <w:rPr>
          <w:lang w:val="en-US"/>
        </w:rPr>
        <w:t xml:space="preserve"> has introduced a new risk requiring a precaution warning against use in those with hereditary fructose </w:t>
      </w:r>
      <w:r w:rsidR="000A0880">
        <w:rPr>
          <w:lang w:val="en-US"/>
        </w:rPr>
        <w:t>intolerance (HFI)</w:t>
      </w:r>
      <w:r w:rsidR="00CA4514">
        <w:rPr>
          <w:lang w:val="en-US"/>
        </w:rPr>
        <w:t>.</w:t>
      </w:r>
    </w:p>
    <w:p w14:paraId="105E30AE" w14:textId="49227903" w:rsidR="00CA4514" w:rsidRDefault="00CA4514" w:rsidP="006326AD">
      <w:pPr>
        <w:rPr>
          <w:lang w:eastAsia="ja-JP"/>
        </w:rPr>
      </w:pPr>
      <w:r>
        <w:rPr>
          <w:lang w:eastAsia="ja-JP"/>
        </w:rPr>
        <w:t>No other biosimilar medicinal products for Herceptin</w:t>
      </w:r>
      <w:r w:rsidR="000A0880">
        <w:rPr>
          <w:lang w:eastAsia="ja-JP"/>
        </w:rPr>
        <w:t xml:space="preserve"> </w:t>
      </w:r>
      <w:proofErr w:type="spellStart"/>
      <w:r w:rsidR="000A0880">
        <w:rPr>
          <w:lang w:eastAsia="ja-JP"/>
        </w:rPr>
        <w:t>trastuzumab</w:t>
      </w:r>
      <w:proofErr w:type="spellEnd"/>
      <w:r>
        <w:rPr>
          <w:lang w:eastAsia="ja-JP"/>
        </w:rPr>
        <w:t xml:space="preserve"> have been registered in Australia, the </w:t>
      </w:r>
      <w:r w:rsidR="000A0880">
        <w:rPr>
          <w:lang w:eastAsia="ja-JP"/>
        </w:rPr>
        <w:t>United States of America (</w:t>
      </w:r>
      <w:r>
        <w:rPr>
          <w:lang w:eastAsia="ja-JP"/>
        </w:rPr>
        <w:t>US</w:t>
      </w:r>
      <w:r w:rsidR="000A0880">
        <w:rPr>
          <w:lang w:eastAsia="ja-JP"/>
        </w:rPr>
        <w:t>A)</w:t>
      </w:r>
      <w:r>
        <w:rPr>
          <w:lang w:eastAsia="ja-JP"/>
        </w:rPr>
        <w:t>,</w:t>
      </w:r>
      <w:r w:rsidR="000A0880">
        <w:rPr>
          <w:lang w:eastAsia="ja-JP"/>
        </w:rPr>
        <w:t xml:space="preserve"> European Union</w:t>
      </w:r>
      <w:r>
        <w:rPr>
          <w:lang w:eastAsia="ja-JP"/>
        </w:rPr>
        <w:t xml:space="preserve"> </w:t>
      </w:r>
      <w:r w:rsidR="000A0880">
        <w:rPr>
          <w:lang w:eastAsia="ja-JP"/>
        </w:rPr>
        <w:t>(</w:t>
      </w:r>
      <w:r>
        <w:rPr>
          <w:lang w:eastAsia="ja-JP"/>
        </w:rPr>
        <w:t>EU</w:t>
      </w:r>
      <w:r w:rsidR="000A0880">
        <w:rPr>
          <w:lang w:eastAsia="ja-JP"/>
        </w:rPr>
        <w:t>)</w:t>
      </w:r>
      <w:r>
        <w:rPr>
          <w:lang w:eastAsia="ja-JP"/>
        </w:rPr>
        <w:t xml:space="preserve"> or Canada at the time of evaluation of this submission (30 October 2017).</w:t>
      </w:r>
    </w:p>
    <w:p w14:paraId="087E4EE4" w14:textId="77777777" w:rsidR="008E7846" w:rsidRPr="003F31A2" w:rsidRDefault="00386150" w:rsidP="008E7846">
      <w:pPr>
        <w:pStyle w:val="Heading3"/>
      </w:pPr>
      <w:bookmarkStart w:id="16" w:name="_Toc314842485"/>
      <w:bookmarkStart w:id="17" w:name="_Toc247691504"/>
      <w:bookmarkStart w:id="18" w:name="_Toc35445580"/>
      <w:r>
        <w:t>Regulatory s</w:t>
      </w:r>
      <w:r w:rsidR="008E7846">
        <w:t>tatus</w:t>
      </w:r>
      <w:bookmarkEnd w:id="16"/>
      <w:bookmarkEnd w:id="17"/>
      <w:bookmarkEnd w:id="18"/>
    </w:p>
    <w:p w14:paraId="70A545D6" w14:textId="77777777" w:rsidR="00940A89" w:rsidRDefault="00940A89" w:rsidP="00940A89">
      <w:bookmarkStart w:id="19" w:name="_Toc247691505"/>
      <w:bookmarkStart w:id="20" w:name="_Toc314842486"/>
      <w:r w:rsidRPr="00940A89">
        <w:t>The product received initial registration on the Australian Register of Therap</w:t>
      </w:r>
      <w:r w:rsidR="007A580E">
        <w:t>eutic Goods (ARTG) on 11 December 2018.</w:t>
      </w:r>
    </w:p>
    <w:p w14:paraId="0F7507C0" w14:textId="374FB498" w:rsidR="00940A89" w:rsidRDefault="00940A89" w:rsidP="00940A89">
      <w:r w:rsidRPr="00940A89">
        <w:t>At the time the TGA considered this applica</w:t>
      </w:r>
      <w:r w:rsidR="003179D2">
        <w:t xml:space="preserve">tion, a similar application </w:t>
      </w:r>
      <w:r w:rsidRPr="00940A89">
        <w:t>was under co</w:t>
      </w:r>
      <w:r>
        <w:t xml:space="preserve">nsideration in </w:t>
      </w:r>
      <w:r w:rsidR="003179D2">
        <w:t xml:space="preserve">the </w:t>
      </w:r>
      <w:r w:rsidR="000A0880">
        <w:t>EU</w:t>
      </w:r>
      <w:r w:rsidR="003179D2">
        <w:t xml:space="preserve">, 150 mg </w:t>
      </w:r>
      <w:r w:rsidR="00964429">
        <w:t>strength</w:t>
      </w:r>
      <w:r w:rsidR="003179D2">
        <w:t xml:space="preserve"> (centralised procedure; Submitted 26 July 2016); </w:t>
      </w:r>
      <w:r w:rsidR="000A0880">
        <w:t>USA</w:t>
      </w:r>
      <w:r w:rsidR="003179D2">
        <w:t>, 440 mg strength, (submitted 3</w:t>
      </w:r>
      <w:r w:rsidR="000A0880">
        <w:t> </w:t>
      </w:r>
      <w:r w:rsidR="003179D2">
        <w:t>November 2016) and Canada 150</w:t>
      </w:r>
      <w:r w:rsidR="000A0880">
        <w:t> mg</w:t>
      </w:r>
      <w:r w:rsidR="003179D2">
        <w:t xml:space="preserve"> and 440 mg strengths (submitted 7 April 2017)</w:t>
      </w:r>
      <w:r>
        <w:t>.</w:t>
      </w:r>
    </w:p>
    <w:p w14:paraId="17B6FE89" w14:textId="77777777" w:rsidR="008E7846" w:rsidRDefault="008E7846" w:rsidP="00940A89">
      <w:pPr>
        <w:pStyle w:val="Heading3"/>
      </w:pPr>
      <w:bookmarkStart w:id="21" w:name="_Toc35445581"/>
      <w:r>
        <w:t>Product Information</w:t>
      </w:r>
      <w:bookmarkEnd w:id="19"/>
      <w:bookmarkEnd w:id="20"/>
      <w:bookmarkEnd w:id="21"/>
    </w:p>
    <w:p w14:paraId="624F8092" w14:textId="77777777" w:rsidR="00940A89" w:rsidRDefault="006136D7" w:rsidP="00940A89">
      <w:bookmarkStart w:id="22" w:name="_Toc247691506"/>
      <w:bookmarkStart w:id="23" w:name="_Toc314842487"/>
      <w:r w:rsidRPr="00940A89">
        <w:t xml:space="preserve">The Product Information (PI) </w:t>
      </w:r>
      <w:r>
        <w:t xml:space="preserve">approved with the </w:t>
      </w:r>
      <w:proofErr w:type="gramStart"/>
      <w:r>
        <w:t xml:space="preserve">submission which is described in </w:t>
      </w:r>
      <w:r w:rsidRPr="00940A89">
        <w:t xml:space="preserve">this </w:t>
      </w:r>
      <w:proofErr w:type="spellStart"/>
      <w:r w:rsidRPr="00940A89">
        <w:t>AusPAR</w:t>
      </w:r>
      <w:proofErr w:type="spellEnd"/>
      <w:proofErr w:type="gram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1F0440BA" w14:textId="77777777" w:rsidR="00500337" w:rsidRDefault="00500337" w:rsidP="00500337">
      <w:pPr>
        <w:pStyle w:val="Heading2"/>
      </w:pPr>
      <w:bookmarkStart w:id="24" w:name="_Toc504480011"/>
      <w:bookmarkStart w:id="25" w:name="_Toc35445582"/>
      <w:r>
        <w:t>II. Registration time line</w:t>
      </w:r>
      <w:bookmarkEnd w:id="24"/>
      <w:bookmarkEnd w:id="25"/>
    </w:p>
    <w:p w14:paraId="0133D154" w14:textId="77777777" w:rsidR="00500337" w:rsidRDefault="00500337" w:rsidP="00500337">
      <w:r>
        <w:t xml:space="preserve">The following table captures the key steps and dates for this application and which </w:t>
      </w:r>
      <w:proofErr w:type="gramStart"/>
      <w:r>
        <w:t>are detai</w:t>
      </w:r>
      <w:r w:rsidR="006412BA">
        <w:t xml:space="preserve">led and discussed in this </w:t>
      </w:r>
      <w:proofErr w:type="spellStart"/>
      <w:r w:rsidR="006412BA">
        <w:t>AusPAR</w:t>
      </w:r>
      <w:proofErr w:type="spellEnd"/>
      <w:proofErr w:type="gramEnd"/>
      <w:r>
        <w:t>.</w:t>
      </w:r>
    </w:p>
    <w:p w14:paraId="3BF22802" w14:textId="77777777" w:rsidR="00500337" w:rsidRPr="00377BD4" w:rsidRDefault="006A58A8" w:rsidP="00F3308D">
      <w:pPr>
        <w:pStyle w:val="TableTitle"/>
      </w:pPr>
      <w:r w:rsidRPr="006A58A8">
        <w:t>Table 1</w:t>
      </w:r>
      <w:r w:rsidR="00C40F6D">
        <w:t>:</w:t>
      </w:r>
      <w:r w:rsidRPr="006A58A8">
        <w:t xml:space="preserve"> Timeline f</w:t>
      </w:r>
      <w:r w:rsidR="00F3308D">
        <w:t>or Submission PM-2017-01084-1-4</w:t>
      </w:r>
    </w:p>
    <w:tbl>
      <w:tblPr>
        <w:tblStyle w:val="TableTGAblue"/>
        <w:tblW w:w="0" w:type="auto"/>
        <w:tblLook w:val="04A0" w:firstRow="1" w:lastRow="0" w:firstColumn="1" w:lastColumn="0" w:noHBand="0" w:noVBand="1"/>
      </w:tblPr>
      <w:tblGrid>
        <w:gridCol w:w="4249"/>
        <w:gridCol w:w="4235"/>
      </w:tblGrid>
      <w:tr w:rsidR="00500337" w14:paraId="6651E238"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53F599D0" w14:textId="77777777" w:rsidR="00500337" w:rsidRDefault="00500337" w:rsidP="00500337">
            <w:pPr>
              <w:ind w:left="0" w:right="0"/>
            </w:pPr>
            <w:r>
              <w:t>Description</w:t>
            </w:r>
          </w:p>
        </w:tc>
        <w:tc>
          <w:tcPr>
            <w:tcW w:w="4360" w:type="dxa"/>
          </w:tcPr>
          <w:p w14:paraId="101A91A3" w14:textId="77777777" w:rsidR="00500337" w:rsidRDefault="00500337" w:rsidP="00500337">
            <w:pPr>
              <w:ind w:left="0" w:right="0"/>
            </w:pPr>
            <w:r>
              <w:t>Date</w:t>
            </w:r>
          </w:p>
        </w:tc>
      </w:tr>
      <w:tr w:rsidR="00500337" w14:paraId="1B095FB1" w14:textId="77777777" w:rsidTr="00500337">
        <w:tc>
          <w:tcPr>
            <w:tcW w:w="4360" w:type="dxa"/>
          </w:tcPr>
          <w:p w14:paraId="6E606D89" w14:textId="77777777" w:rsidR="00500337" w:rsidRDefault="00500337" w:rsidP="00500337">
            <w:pPr>
              <w:ind w:left="0" w:right="0"/>
            </w:pPr>
            <w:r>
              <w:t>Submission dossier accepted and first round evaluation commenced</w:t>
            </w:r>
          </w:p>
        </w:tc>
        <w:tc>
          <w:tcPr>
            <w:tcW w:w="4360" w:type="dxa"/>
          </w:tcPr>
          <w:p w14:paraId="04570FE4" w14:textId="77777777" w:rsidR="00500337" w:rsidRDefault="006412BA" w:rsidP="00500337">
            <w:pPr>
              <w:ind w:left="0" w:right="0"/>
            </w:pPr>
            <w:r>
              <w:t>31 May 2017</w:t>
            </w:r>
          </w:p>
        </w:tc>
      </w:tr>
      <w:tr w:rsidR="00500337" w14:paraId="4966E90E" w14:textId="77777777" w:rsidTr="00500337">
        <w:tc>
          <w:tcPr>
            <w:tcW w:w="4360" w:type="dxa"/>
          </w:tcPr>
          <w:p w14:paraId="51A8D62D" w14:textId="77777777" w:rsidR="00500337" w:rsidRPr="009059D1" w:rsidRDefault="00500337" w:rsidP="00500337">
            <w:pPr>
              <w:ind w:left="0" w:right="0"/>
            </w:pPr>
            <w:r w:rsidRPr="009059D1">
              <w:t>First round evaluation completed</w:t>
            </w:r>
          </w:p>
        </w:tc>
        <w:tc>
          <w:tcPr>
            <w:tcW w:w="4360" w:type="dxa"/>
          </w:tcPr>
          <w:p w14:paraId="552D641F" w14:textId="77777777" w:rsidR="00500337" w:rsidRPr="009059D1" w:rsidRDefault="006412BA" w:rsidP="00500337">
            <w:pPr>
              <w:ind w:left="0" w:right="0"/>
            </w:pPr>
            <w:r w:rsidRPr="009059D1">
              <w:t>8 January 2018</w:t>
            </w:r>
          </w:p>
        </w:tc>
      </w:tr>
      <w:tr w:rsidR="00500337" w14:paraId="16E17685" w14:textId="77777777" w:rsidTr="00500337">
        <w:tc>
          <w:tcPr>
            <w:tcW w:w="4360" w:type="dxa"/>
          </w:tcPr>
          <w:p w14:paraId="0C07983A" w14:textId="77777777" w:rsidR="00500337" w:rsidRDefault="00500337" w:rsidP="00500337">
            <w:pPr>
              <w:ind w:left="0" w:right="0"/>
            </w:pPr>
            <w:r>
              <w:t>Sponsor provides responses on questions raised in first round evaluation</w:t>
            </w:r>
          </w:p>
        </w:tc>
        <w:tc>
          <w:tcPr>
            <w:tcW w:w="4360" w:type="dxa"/>
          </w:tcPr>
          <w:p w14:paraId="1A67B041" w14:textId="77777777" w:rsidR="00500337" w:rsidRDefault="006412BA" w:rsidP="00500337">
            <w:pPr>
              <w:ind w:left="0" w:right="0"/>
            </w:pPr>
            <w:r>
              <w:t>5 February 2018</w:t>
            </w:r>
          </w:p>
        </w:tc>
      </w:tr>
      <w:tr w:rsidR="00500337" w14:paraId="25A4B30B" w14:textId="77777777" w:rsidTr="00500337">
        <w:tc>
          <w:tcPr>
            <w:tcW w:w="4360" w:type="dxa"/>
          </w:tcPr>
          <w:p w14:paraId="628C9C0A" w14:textId="77777777" w:rsidR="00500337" w:rsidRDefault="00500337" w:rsidP="00500337">
            <w:pPr>
              <w:ind w:left="0" w:right="0"/>
            </w:pPr>
            <w:r>
              <w:lastRenderedPageBreak/>
              <w:t>Second round evaluation completed</w:t>
            </w:r>
          </w:p>
        </w:tc>
        <w:tc>
          <w:tcPr>
            <w:tcW w:w="4360" w:type="dxa"/>
          </w:tcPr>
          <w:p w14:paraId="474B0FA9" w14:textId="77777777" w:rsidR="00500337" w:rsidRDefault="006412BA" w:rsidP="00500337">
            <w:pPr>
              <w:ind w:left="0" w:right="0"/>
            </w:pPr>
            <w:r>
              <w:t>8 February 2018</w:t>
            </w:r>
          </w:p>
        </w:tc>
      </w:tr>
      <w:tr w:rsidR="00500337" w14:paraId="4CD9DFAA" w14:textId="77777777" w:rsidTr="00500337">
        <w:tc>
          <w:tcPr>
            <w:tcW w:w="4360" w:type="dxa"/>
          </w:tcPr>
          <w:p w14:paraId="3A756F02" w14:textId="77777777" w:rsidR="00500337" w:rsidRDefault="00500337" w:rsidP="006412BA">
            <w:pPr>
              <w:ind w:left="0" w:right="0"/>
            </w:pPr>
            <w:r>
              <w:t xml:space="preserve">Delegate’s </w:t>
            </w:r>
            <w:r w:rsidR="006412BA">
              <w:t>Overall benefit-risk assessment</w:t>
            </w:r>
          </w:p>
        </w:tc>
        <w:tc>
          <w:tcPr>
            <w:tcW w:w="4360" w:type="dxa"/>
          </w:tcPr>
          <w:p w14:paraId="46307A8A" w14:textId="77777777" w:rsidR="00500337" w:rsidRDefault="006412BA" w:rsidP="00500337">
            <w:pPr>
              <w:ind w:left="0" w:right="0"/>
            </w:pPr>
            <w:r>
              <w:t>18 September 2018</w:t>
            </w:r>
          </w:p>
        </w:tc>
      </w:tr>
      <w:tr w:rsidR="00500337" w14:paraId="579BD4DF" w14:textId="77777777" w:rsidTr="00500337">
        <w:tc>
          <w:tcPr>
            <w:tcW w:w="4360" w:type="dxa"/>
          </w:tcPr>
          <w:p w14:paraId="5D666D4C" w14:textId="77777777" w:rsidR="00500337" w:rsidRDefault="00500337" w:rsidP="00500337">
            <w:pPr>
              <w:ind w:left="0" w:right="0"/>
            </w:pPr>
            <w:r>
              <w:t>Registration decision (Outcome)</w:t>
            </w:r>
          </w:p>
        </w:tc>
        <w:tc>
          <w:tcPr>
            <w:tcW w:w="4360" w:type="dxa"/>
          </w:tcPr>
          <w:p w14:paraId="3D7BF612" w14:textId="77777777" w:rsidR="00500337" w:rsidRDefault="006412BA" w:rsidP="00500337">
            <w:pPr>
              <w:ind w:left="0" w:right="0"/>
            </w:pPr>
            <w:r>
              <w:t>5 December 2018</w:t>
            </w:r>
          </w:p>
        </w:tc>
      </w:tr>
      <w:tr w:rsidR="00500337" w14:paraId="62B9AD4D" w14:textId="77777777" w:rsidTr="00500337">
        <w:tc>
          <w:tcPr>
            <w:tcW w:w="4360" w:type="dxa"/>
          </w:tcPr>
          <w:p w14:paraId="10426208" w14:textId="39912584" w:rsidR="00500337" w:rsidRDefault="00500337" w:rsidP="00500337">
            <w:pPr>
              <w:ind w:left="0" w:right="0"/>
            </w:pPr>
            <w:r>
              <w:t xml:space="preserve">Completion of administrative activities and registration on </w:t>
            </w:r>
            <w:r w:rsidR="000A0880">
              <w:t xml:space="preserve">the </w:t>
            </w:r>
            <w:r>
              <w:t>ARTG</w:t>
            </w:r>
          </w:p>
        </w:tc>
        <w:tc>
          <w:tcPr>
            <w:tcW w:w="4360" w:type="dxa"/>
          </w:tcPr>
          <w:p w14:paraId="5DB7796A" w14:textId="77777777" w:rsidR="00500337" w:rsidRDefault="006412BA" w:rsidP="00500337">
            <w:pPr>
              <w:ind w:left="0" w:right="0"/>
            </w:pPr>
            <w:r>
              <w:t>11 December 2018</w:t>
            </w:r>
          </w:p>
        </w:tc>
      </w:tr>
      <w:tr w:rsidR="00500337" w14:paraId="7C9D4F63" w14:textId="77777777" w:rsidTr="00500337">
        <w:tc>
          <w:tcPr>
            <w:tcW w:w="4360" w:type="dxa"/>
          </w:tcPr>
          <w:p w14:paraId="083A3BFE" w14:textId="77777777" w:rsidR="00500337" w:rsidRDefault="00500337" w:rsidP="00500337">
            <w:pPr>
              <w:ind w:left="0" w:right="0"/>
            </w:pPr>
            <w:r>
              <w:t>Number of working days from submission dossier acceptance to registration decision*</w:t>
            </w:r>
          </w:p>
        </w:tc>
        <w:tc>
          <w:tcPr>
            <w:tcW w:w="4360" w:type="dxa"/>
          </w:tcPr>
          <w:p w14:paraId="3D1C2AA8" w14:textId="77777777" w:rsidR="00500337" w:rsidRDefault="006412BA" w:rsidP="00500337">
            <w:pPr>
              <w:ind w:left="0" w:right="0"/>
            </w:pPr>
            <w:r>
              <w:t>217</w:t>
            </w:r>
          </w:p>
        </w:tc>
      </w:tr>
    </w:tbl>
    <w:p w14:paraId="39FB796F"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7F6E6386" w14:textId="77777777" w:rsidR="008E7846" w:rsidRPr="00792A32" w:rsidRDefault="00456765" w:rsidP="008E7846">
      <w:pPr>
        <w:pStyle w:val="Heading2"/>
      </w:pPr>
      <w:bookmarkStart w:id="26" w:name="_Toc196046504"/>
      <w:bookmarkStart w:id="27" w:name="_Toc247691527"/>
      <w:bookmarkStart w:id="28" w:name="_Toc314842510"/>
      <w:bookmarkStart w:id="29" w:name="_Toc35445583"/>
      <w:bookmarkStart w:id="30" w:name="_Toc163441390"/>
      <w:bookmarkEnd w:id="2"/>
      <w:bookmarkEnd w:id="22"/>
      <w:bookmarkEnd w:id="23"/>
      <w:r>
        <w:t>I</w:t>
      </w:r>
      <w:r w:rsidR="00DA64CB">
        <w:t>I</w:t>
      </w:r>
      <w:r w:rsidR="008E7846">
        <w:t xml:space="preserve">I. </w:t>
      </w:r>
      <w:r w:rsidR="008E7846" w:rsidRPr="00792A32">
        <w:t xml:space="preserve">Overall </w:t>
      </w:r>
      <w:r w:rsidR="008E7846">
        <w:t>c</w:t>
      </w:r>
      <w:r w:rsidR="008E7846" w:rsidRPr="00792A32">
        <w:t xml:space="preserve">onclusion 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29"/>
    </w:p>
    <w:p w14:paraId="48ED0177" w14:textId="47EF5F96" w:rsidR="008E7846" w:rsidRDefault="008E7846" w:rsidP="008E7846">
      <w:bookmarkStart w:id="31" w:name="_Toc247691528"/>
      <w:r>
        <w:t xml:space="preserve">The submission was summarised in the following </w:t>
      </w:r>
      <w:r w:rsidRPr="00EF5C48">
        <w:t xml:space="preserve">Delegate’s </w:t>
      </w:r>
      <w:r>
        <w:t>overview</w:t>
      </w:r>
      <w:r w:rsidRPr="00EF5C48">
        <w:t xml:space="preserve"> and recommendation</w:t>
      </w:r>
      <w:r>
        <w:t>s</w:t>
      </w:r>
      <w:r w:rsidR="000A0880">
        <w:t>.</w:t>
      </w:r>
    </w:p>
    <w:p w14:paraId="475E20C0" w14:textId="77777777" w:rsidR="003A4F6E" w:rsidRDefault="003A4F6E" w:rsidP="003A4F6E">
      <w:pPr>
        <w:pStyle w:val="Heading3"/>
      </w:pPr>
      <w:bookmarkStart w:id="32" w:name="_Toc35445584"/>
      <w:r>
        <w:t>Introduction</w:t>
      </w:r>
      <w:bookmarkEnd w:id="32"/>
    </w:p>
    <w:p w14:paraId="011B3C85" w14:textId="77777777" w:rsidR="003A4F6E" w:rsidRDefault="003A4F6E" w:rsidP="003A4F6E">
      <w:pPr>
        <w:pStyle w:val="Heading4"/>
      </w:pPr>
      <w:bookmarkStart w:id="33" w:name="_Hlk33098807"/>
      <w:r>
        <w:t>Documents used to prepare the Delegate’s overview</w:t>
      </w:r>
    </w:p>
    <w:p w14:paraId="0CED7AD5" w14:textId="77777777" w:rsidR="003A4F6E" w:rsidRDefault="003A4F6E" w:rsidP="003A4F6E">
      <w:pPr>
        <w:pStyle w:val="ListBullet"/>
      </w:pPr>
      <w:r>
        <w:t>TGA biotechnology (Module 3), nonclinical (Module 4), and clinical (Module 5) evaluations.</w:t>
      </w:r>
    </w:p>
    <w:p w14:paraId="0D8DFFEB" w14:textId="61C5BE3B" w:rsidR="003A4F6E" w:rsidRDefault="000A0880" w:rsidP="00243828">
      <w:pPr>
        <w:pStyle w:val="ListBullet"/>
      </w:pPr>
      <w:proofErr w:type="gramStart"/>
      <w:r>
        <w:rPr>
          <w:rFonts w:asciiTheme="minorHAnsi" w:hAnsiTheme="minorHAnsi" w:cs="†p˜øwcÊ"/>
          <w:lang w:val="en-US"/>
        </w:rPr>
        <w:t>US</w:t>
      </w:r>
      <w:proofErr w:type="gramEnd"/>
      <w:r>
        <w:rPr>
          <w:rFonts w:asciiTheme="minorHAnsi" w:hAnsiTheme="minorHAnsi" w:cs="†p˜øwcÊ"/>
          <w:lang w:val="en-US"/>
        </w:rPr>
        <w:t xml:space="preserve"> </w:t>
      </w:r>
      <w:r w:rsidR="003217AA">
        <w:rPr>
          <w:rFonts w:asciiTheme="minorHAnsi" w:hAnsiTheme="minorHAnsi" w:cs="†p˜øwcÊ"/>
          <w:lang w:val="en-US"/>
        </w:rPr>
        <w:t>Food and Drug Administration</w:t>
      </w:r>
      <w:r w:rsidR="003217AA">
        <w:t xml:space="preserve"> (</w:t>
      </w:r>
      <w:r w:rsidR="003A4F6E">
        <w:t>FDA</w:t>
      </w:r>
      <w:r w:rsidR="003217AA">
        <w:t>)</w:t>
      </w:r>
      <w:r w:rsidR="003A4F6E">
        <w:t xml:space="preserve"> </w:t>
      </w:r>
      <w:r>
        <w:t>b</w:t>
      </w:r>
      <w:r w:rsidR="003A4F6E">
        <w:t xml:space="preserve">riefing document to </w:t>
      </w:r>
      <w:r>
        <w:t>the Oncologic Drugs Advisory Committee (</w:t>
      </w:r>
      <w:r w:rsidR="003A4F6E">
        <w:t>ODAC</w:t>
      </w:r>
      <w:r w:rsidR="00964429">
        <w:t>)</w:t>
      </w:r>
      <w:r w:rsidR="003A4F6E">
        <w:t xml:space="preserve"> dated 13 July</w:t>
      </w:r>
      <w:r w:rsidR="005506B7">
        <w:t>2017</w:t>
      </w:r>
      <w:r w:rsidR="003A4F6E">
        <w:t>, publicly available on the FDA web site.</w:t>
      </w:r>
    </w:p>
    <w:p w14:paraId="1B9FA4BD" w14:textId="36F9D59D" w:rsidR="003A4F6E" w:rsidRDefault="003217AA" w:rsidP="003A4F6E">
      <w:pPr>
        <w:pStyle w:val="ListBullet"/>
      </w:pPr>
      <w:r>
        <w:rPr>
          <w:rFonts w:asciiTheme="minorHAnsi" w:hAnsiTheme="minorHAnsi" w:cs="†p˜øwcÊ"/>
          <w:lang w:val="en-US"/>
        </w:rPr>
        <w:t>European Medicines Agency</w:t>
      </w:r>
      <w:r>
        <w:t xml:space="preserve"> (</w:t>
      </w:r>
      <w:r w:rsidR="003A4F6E">
        <w:t>EMA</w:t>
      </w:r>
      <w:r>
        <w:t>)</w:t>
      </w:r>
      <w:r w:rsidR="003A4F6E">
        <w:t xml:space="preserve"> Withdrawal Assessment Report, dated 18</w:t>
      </w:r>
      <w:r w:rsidR="000A0880">
        <w:t> </w:t>
      </w:r>
      <w:r w:rsidR="003A4F6E">
        <w:t>May</w:t>
      </w:r>
      <w:r w:rsidR="000A0880">
        <w:t> </w:t>
      </w:r>
      <w:r w:rsidR="003A4F6E">
        <w:t>2017, publicly available on the EMA web site.</w:t>
      </w:r>
    </w:p>
    <w:p w14:paraId="567FB7FE" w14:textId="1C9C92A1" w:rsidR="003A4F6E" w:rsidRDefault="003A4F6E" w:rsidP="003A4F6E">
      <w:pPr>
        <w:pStyle w:val="ListBullet"/>
      </w:pPr>
      <w:r>
        <w:t xml:space="preserve">EMA Rapporteurs’ Day 150 Joint </w:t>
      </w:r>
      <w:r w:rsidR="000A0880">
        <w:t>Committee for Medicinal Products for Human Use (</w:t>
      </w:r>
      <w:r>
        <w:t>CHMP</w:t>
      </w:r>
      <w:r w:rsidR="000A0880">
        <w:t>)</w:t>
      </w:r>
      <w:r>
        <w:t xml:space="preserve"> and</w:t>
      </w:r>
      <w:r w:rsidR="000A0880">
        <w:t xml:space="preserve"> Pharmacovigilance Risk Assessment Committee</w:t>
      </w:r>
      <w:r>
        <w:t xml:space="preserve"> </w:t>
      </w:r>
      <w:r w:rsidR="000A0880">
        <w:t>(</w:t>
      </w:r>
      <w:r>
        <w:t>PRAC</w:t>
      </w:r>
      <w:r w:rsidR="000A0880">
        <w:t>)</w:t>
      </w:r>
      <w:r>
        <w:t xml:space="preserve"> response assessment report, dated 28 Aug</w:t>
      </w:r>
      <w:r w:rsidR="000A0880">
        <w:t>ust</w:t>
      </w:r>
      <w:r>
        <w:t xml:space="preserve"> 2018.</w:t>
      </w:r>
    </w:p>
    <w:bookmarkEnd w:id="33"/>
    <w:p w14:paraId="7CC27ED9" w14:textId="77777777" w:rsidR="003A4F6E" w:rsidRDefault="003A4F6E" w:rsidP="00243828">
      <w:pPr>
        <w:pStyle w:val="Heading4"/>
      </w:pPr>
      <w:r>
        <w:t>Regulatory status</w:t>
      </w:r>
    </w:p>
    <w:p w14:paraId="4C893ED2" w14:textId="1912F22A" w:rsidR="003A4F6E" w:rsidRDefault="003A4F6E" w:rsidP="003A4F6E">
      <w:pPr>
        <w:pStyle w:val="Heading5"/>
        <w:rPr>
          <w:rFonts w:eastAsiaTheme="minorHAnsi"/>
        </w:rPr>
      </w:pPr>
      <w:r>
        <w:rPr>
          <w:rFonts w:eastAsiaTheme="minorHAnsi"/>
        </w:rPr>
        <w:t>E</w:t>
      </w:r>
      <w:r w:rsidR="000A0880">
        <w:rPr>
          <w:rFonts w:eastAsiaTheme="minorHAnsi"/>
        </w:rPr>
        <w:t>uropean Union</w:t>
      </w:r>
    </w:p>
    <w:p w14:paraId="483BDF05" w14:textId="68152B0D" w:rsidR="003A4F6E" w:rsidRDefault="003A4F6E" w:rsidP="003A4F6E">
      <w:pPr>
        <w:pStyle w:val="ListBullet"/>
      </w:pPr>
      <w:r>
        <w:t xml:space="preserve">A Marketing Authorisation Application (MAA) for the 150 mg presentation </w:t>
      </w:r>
      <w:proofErr w:type="gramStart"/>
      <w:r>
        <w:t>was submitted</w:t>
      </w:r>
      <w:proofErr w:type="gramEnd"/>
      <w:r>
        <w:t xml:space="preserve"> to the EMA in </w:t>
      </w:r>
      <w:r w:rsidR="00654B34">
        <w:t xml:space="preserve">July </w:t>
      </w:r>
      <w:r>
        <w:t>2016.</w:t>
      </w:r>
    </w:p>
    <w:p w14:paraId="3BE7AFC3" w14:textId="3E421A2E" w:rsidR="003A4F6E" w:rsidRPr="00DE1B6C" w:rsidRDefault="003A4F6E" w:rsidP="003A4F6E">
      <w:pPr>
        <w:pStyle w:val="ListBullet"/>
      </w:pPr>
      <w:r w:rsidRPr="00DE1B6C">
        <w:t xml:space="preserve">The evaluation was stopped (and the application withdrawn) in </w:t>
      </w:r>
      <w:r w:rsidR="00706E9E" w:rsidRPr="00DE1B6C">
        <w:t xml:space="preserve">August </w:t>
      </w:r>
      <w:r w:rsidRPr="00DE1B6C">
        <w:t xml:space="preserve">2017 following </w:t>
      </w:r>
      <w:r w:rsidR="000A0880">
        <w:t>Good Manufacturing Practice (</w:t>
      </w:r>
      <w:r w:rsidRPr="00DE1B6C">
        <w:t>GMP</w:t>
      </w:r>
      <w:r w:rsidR="000A0880">
        <w:t>)</w:t>
      </w:r>
      <w:r w:rsidRPr="00DE1B6C">
        <w:t xml:space="preserve"> inspection of the </w:t>
      </w:r>
      <w:r w:rsidR="00134F5D" w:rsidRPr="00DE1B6C">
        <w:t>Drug Product manufacturing site</w:t>
      </w:r>
      <w:r w:rsidR="00AD46E9" w:rsidRPr="00DE1B6C">
        <w:t xml:space="preserve"> at </w:t>
      </w:r>
      <w:proofErr w:type="spellStart"/>
      <w:r w:rsidR="00AD46E9" w:rsidRPr="00DE1B6C">
        <w:t>Biocon</w:t>
      </w:r>
      <w:proofErr w:type="spellEnd"/>
      <w:r w:rsidR="00AD46E9" w:rsidRPr="00DE1B6C">
        <w:t xml:space="preserve"> Ltd (Bangalore, India)</w:t>
      </w:r>
      <w:r w:rsidRPr="00DE1B6C">
        <w:t xml:space="preserve">. The EMA Withdrawal Assessment Report, dated 18 May 2017, is publicly available on the EMA website: </w:t>
      </w:r>
      <w:r w:rsidRPr="00DE1B6C">
        <w:rPr>
          <w:color w:val="0000FF"/>
          <w:u w:val="single"/>
        </w:rPr>
        <w:t>http://www.ema.europa.eu/docs/en_GB/document_library/Application_withdrawal_assessment_report/2017/11/WC500239508.pdf</w:t>
      </w:r>
    </w:p>
    <w:p w14:paraId="424EA9BA" w14:textId="77777777" w:rsidR="003A4F6E" w:rsidRPr="00890A77" w:rsidRDefault="003A4F6E" w:rsidP="003A4F6E">
      <w:r>
        <w:lastRenderedPageBreak/>
        <w:t xml:space="preserve">The following is from the Recommendations: The major objection precluding a recommendation of marketing authorisation, pertains to the following principal </w:t>
      </w:r>
      <w:r w:rsidRPr="00890A77">
        <w:t xml:space="preserve">deficiencies: Quality: the lack of a valid GMP certificate for the Drug Product manufacturing site </w:t>
      </w:r>
      <w:proofErr w:type="spellStart"/>
      <w:r w:rsidRPr="00890A77">
        <w:t>Biocon</w:t>
      </w:r>
      <w:proofErr w:type="spellEnd"/>
      <w:r w:rsidRPr="00890A77">
        <w:t xml:space="preserve"> Ltd (India).</w:t>
      </w:r>
    </w:p>
    <w:p w14:paraId="5ED20EE6" w14:textId="6E7B1E18" w:rsidR="003A4F6E" w:rsidRPr="00890A77" w:rsidRDefault="003A4F6E" w:rsidP="003A4F6E">
      <w:pPr>
        <w:pStyle w:val="ListBullet"/>
      </w:pPr>
      <w:r w:rsidRPr="00890A77">
        <w:t xml:space="preserve">The GMP follow-up inspection of the proposed drug </w:t>
      </w:r>
      <w:proofErr w:type="gramStart"/>
      <w:r w:rsidRPr="00890A77">
        <w:t>product manufacturing</w:t>
      </w:r>
      <w:proofErr w:type="gramEnd"/>
      <w:r w:rsidRPr="00890A77">
        <w:t xml:space="preserve"> site at </w:t>
      </w:r>
      <w:proofErr w:type="spellStart"/>
      <w:r w:rsidRPr="00890A77">
        <w:t>Biocon</w:t>
      </w:r>
      <w:proofErr w:type="spellEnd"/>
      <w:r w:rsidRPr="00890A77">
        <w:t xml:space="preserve"> Ltd (Bangalore, India</w:t>
      </w:r>
      <w:r w:rsidR="00964429" w:rsidRPr="00890A77">
        <w:t>) in</w:t>
      </w:r>
      <w:r w:rsidR="00AD46E9" w:rsidRPr="00890A77">
        <w:t xml:space="preserve"> March 2018 resulted in GMP compliance</w:t>
      </w:r>
      <w:r w:rsidRPr="00890A77">
        <w:t>.</w:t>
      </w:r>
    </w:p>
    <w:p w14:paraId="3B926E96" w14:textId="4082E4BB" w:rsidR="003A4F6E" w:rsidRPr="00890A77" w:rsidRDefault="003A4F6E" w:rsidP="003A4F6E">
      <w:pPr>
        <w:pStyle w:val="ListBullet"/>
      </w:pPr>
      <w:r w:rsidRPr="00890A77">
        <w:t>On 10 Sep 2018, the sponsor provided the TGA with the Rapporteurs’ Day 150 Joint CHMP and PRAC response assessment report, dated 28 Aug</w:t>
      </w:r>
      <w:r w:rsidR="005D1716">
        <w:t>ust</w:t>
      </w:r>
      <w:r w:rsidRPr="00890A77">
        <w:t xml:space="preserve"> 2018, which recommended approval.</w:t>
      </w:r>
    </w:p>
    <w:p w14:paraId="7BA952F2" w14:textId="02D6B8D3" w:rsidR="003A4F6E" w:rsidRPr="00890A77" w:rsidRDefault="003A4F6E" w:rsidP="003A4F6E">
      <w:pPr>
        <w:pStyle w:val="ListBullet"/>
      </w:pPr>
      <w:r w:rsidRPr="00890A77">
        <w:t xml:space="preserve">The EMA decision </w:t>
      </w:r>
      <w:proofErr w:type="gramStart"/>
      <w:r w:rsidRPr="00890A77">
        <w:t>is expected</w:t>
      </w:r>
      <w:proofErr w:type="gramEnd"/>
      <w:r w:rsidRPr="00890A77">
        <w:t xml:space="preserve"> </w:t>
      </w:r>
      <w:r w:rsidR="005D1716">
        <w:t>in the fourth quarter of</w:t>
      </w:r>
      <w:r w:rsidR="005D1716" w:rsidRPr="00890A77">
        <w:t xml:space="preserve"> </w:t>
      </w:r>
      <w:r w:rsidRPr="00890A77">
        <w:t>2018.</w:t>
      </w:r>
    </w:p>
    <w:p w14:paraId="29E001AE" w14:textId="7BFBA5D2" w:rsidR="003A4F6E" w:rsidRDefault="003A4F6E" w:rsidP="003A4F6E">
      <w:r w:rsidRPr="00FF53A0">
        <w:t>The reference biological medicine (Herceptin</w:t>
      </w:r>
      <w:r w:rsidR="005D1716">
        <w:t xml:space="preserve"> </w:t>
      </w:r>
      <w:proofErr w:type="spellStart"/>
      <w:r w:rsidR="005D1716">
        <w:t>trastuzumab</w:t>
      </w:r>
      <w:proofErr w:type="spellEnd"/>
      <w:r w:rsidRPr="00FF53A0">
        <w:t xml:space="preserve">) </w:t>
      </w:r>
      <w:proofErr w:type="gramStart"/>
      <w:r w:rsidRPr="00FF53A0">
        <w:t>is marketed</w:t>
      </w:r>
      <w:proofErr w:type="gramEnd"/>
      <w:r w:rsidRPr="00FF53A0">
        <w:t xml:space="preserve"> in the EU as a 150</w:t>
      </w:r>
      <w:r w:rsidR="005D1716">
        <w:t> </w:t>
      </w:r>
      <w:r w:rsidRPr="00FF53A0">
        <w:t>mg single-dose vial, only.</w:t>
      </w:r>
    </w:p>
    <w:p w14:paraId="11AD3C1E" w14:textId="69A8F809" w:rsidR="003A4F6E" w:rsidRDefault="005D1716" w:rsidP="003A4F6E">
      <w:pPr>
        <w:pStyle w:val="Heading5"/>
        <w:rPr>
          <w:rFonts w:eastAsiaTheme="minorHAnsi"/>
        </w:rPr>
      </w:pPr>
      <w:r>
        <w:rPr>
          <w:rFonts w:eastAsiaTheme="minorHAnsi"/>
        </w:rPr>
        <w:t>United States Food and Drug Administration</w:t>
      </w:r>
    </w:p>
    <w:p w14:paraId="3DE7FE73" w14:textId="6CC0E1A4" w:rsidR="003A4F6E" w:rsidRDefault="003A4F6E" w:rsidP="003A4F6E">
      <w:pPr>
        <w:pStyle w:val="ListBullet"/>
      </w:pPr>
      <w:r>
        <w:t xml:space="preserve">A dossier for the 440 mg presentation </w:t>
      </w:r>
      <w:proofErr w:type="gramStart"/>
      <w:r>
        <w:t>was submitted</w:t>
      </w:r>
      <w:proofErr w:type="gramEnd"/>
      <w:r>
        <w:t xml:space="preserve"> to the </w:t>
      </w:r>
      <w:r w:rsidR="005D1716">
        <w:t xml:space="preserve">US </w:t>
      </w:r>
      <w:r w:rsidR="00243828">
        <w:t>FDA in November 2016.</w:t>
      </w:r>
    </w:p>
    <w:p w14:paraId="08195A6C" w14:textId="291FD258" w:rsidR="003A4F6E" w:rsidRPr="008320E5" w:rsidRDefault="003A4F6E" w:rsidP="003A4F6E">
      <w:pPr>
        <w:pStyle w:val="ListBullet"/>
      </w:pPr>
      <w:r>
        <w:t xml:space="preserve">In July 2017, ODAC </w:t>
      </w:r>
      <w:r w:rsidRPr="008320E5">
        <w:t>recommend approval.</w:t>
      </w:r>
    </w:p>
    <w:p w14:paraId="76DC83AD" w14:textId="24FDA944" w:rsidR="003A4F6E" w:rsidRPr="003A4F6E" w:rsidRDefault="003A4F6E" w:rsidP="003A4F6E">
      <w:pPr>
        <w:pStyle w:val="ListBullet"/>
      </w:pPr>
      <w:proofErr w:type="spellStart"/>
      <w:r w:rsidRPr="008320E5">
        <w:t>Ogivri</w:t>
      </w:r>
      <w:proofErr w:type="spellEnd"/>
      <w:r w:rsidRPr="008320E5">
        <w:t xml:space="preserve"> </w:t>
      </w:r>
      <w:proofErr w:type="gramStart"/>
      <w:r w:rsidRPr="008320E5">
        <w:t>was approved</w:t>
      </w:r>
      <w:proofErr w:type="gramEnd"/>
      <w:r w:rsidRPr="008320E5">
        <w:t xml:space="preserve"> for marketing in the US in Dec</w:t>
      </w:r>
      <w:r w:rsidR="00414512">
        <w:t>ember</w:t>
      </w:r>
      <w:r w:rsidRPr="008320E5">
        <w:t xml:space="preserve"> 2017. All the indications approved for the reference biological medicine (Herceptin</w:t>
      </w:r>
      <w:r w:rsidR="005D1716">
        <w:t xml:space="preserve"> </w:t>
      </w:r>
      <w:proofErr w:type="spellStart"/>
      <w:r w:rsidR="005D1716">
        <w:t>trastuzumab</w:t>
      </w:r>
      <w:proofErr w:type="spellEnd"/>
      <w:r>
        <w:t xml:space="preserve">) </w:t>
      </w:r>
      <w:proofErr w:type="gramStart"/>
      <w:r>
        <w:t>were approved</w:t>
      </w:r>
      <w:proofErr w:type="gramEnd"/>
      <w:r>
        <w:t xml:space="preserve"> for </w:t>
      </w:r>
      <w:proofErr w:type="spellStart"/>
      <w:r>
        <w:t>Ogivri</w:t>
      </w:r>
      <w:proofErr w:type="spellEnd"/>
      <w:r>
        <w:t>.</w:t>
      </w:r>
    </w:p>
    <w:p w14:paraId="04B47272" w14:textId="4498B96B" w:rsidR="003A4F6E" w:rsidRDefault="003A4F6E" w:rsidP="003A4F6E">
      <w:r>
        <w:t xml:space="preserve">The FDA Briefing document to ODAC, dated 13 July </w:t>
      </w:r>
      <w:r w:rsidR="005506B7">
        <w:t>2017</w:t>
      </w:r>
      <w:r>
        <w:t>, is publicly available on the FDA web site.</w:t>
      </w:r>
    </w:p>
    <w:p w14:paraId="591D9FC6" w14:textId="60EFDB74" w:rsidR="003A4F6E" w:rsidRDefault="003A4F6E" w:rsidP="003A4F6E">
      <w:pPr>
        <w:pStyle w:val="Heading5"/>
        <w:rPr>
          <w:rFonts w:eastAsiaTheme="minorHAnsi"/>
        </w:rPr>
      </w:pPr>
      <w:r>
        <w:rPr>
          <w:rFonts w:eastAsiaTheme="minorHAnsi"/>
        </w:rPr>
        <w:t>Health Canada</w:t>
      </w:r>
    </w:p>
    <w:p w14:paraId="60875834" w14:textId="6B70C7A5" w:rsidR="003A4F6E" w:rsidRDefault="003A4F6E" w:rsidP="003A4F6E">
      <w:r>
        <w:t>Health Canada received the application in Apr</w:t>
      </w:r>
      <w:r w:rsidR="0032532E">
        <w:t>il</w:t>
      </w:r>
      <w:r>
        <w:t xml:space="preserve"> 2017 for both the 150 mg and 440 mg presentations.</w:t>
      </w:r>
    </w:p>
    <w:p w14:paraId="616A5606" w14:textId="3B82D0AC" w:rsidR="003A4F6E" w:rsidRDefault="003A4F6E" w:rsidP="003A4F6E">
      <w:pPr>
        <w:pStyle w:val="Heading5"/>
        <w:rPr>
          <w:rFonts w:eastAsiaTheme="minorHAnsi"/>
        </w:rPr>
      </w:pPr>
      <w:r>
        <w:rPr>
          <w:rFonts w:eastAsiaTheme="minorHAnsi"/>
        </w:rPr>
        <w:t>Australia</w:t>
      </w:r>
    </w:p>
    <w:p w14:paraId="47731938" w14:textId="77777777" w:rsidR="003A4F6E" w:rsidRDefault="003A4F6E" w:rsidP="003A4F6E">
      <w:pPr>
        <w:pStyle w:val="ListBullet"/>
      </w:pPr>
      <w:r>
        <w:t xml:space="preserve">The sponsor of </w:t>
      </w:r>
      <w:proofErr w:type="spellStart"/>
      <w:r>
        <w:t>Ogivri</w:t>
      </w:r>
      <w:proofErr w:type="spellEnd"/>
      <w:r>
        <w:t xml:space="preserve"> does not know whether EU-Herceptin or US-Herceptin </w:t>
      </w:r>
      <w:proofErr w:type="gramStart"/>
      <w:r>
        <w:t>is marketed</w:t>
      </w:r>
      <w:proofErr w:type="gramEnd"/>
      <w:r>
        <w:t xml:space="preserve"> in Australia.</w:t>
      </w:r>
    </w:p>
    <w:p w14:paraId="259B488B" w14:textId="46D4EC50" w:rsidR="003A4F6E" w:rsidRPr="003A4F6E" w:rsidRDefault="003A4F6E" w:rsidP="003A4F6E">
      <w:pPr>
        <w:pStyle w:val="ListBullet"/>
      </w:pPr>
      <w:r>
        <w:t xml:space="preserve">The pairwise-comparisons of </w:t>
      </w:r>
      <w:proofErr w:type="spellStart"/>
      <w:r>
        <w:t>Ogivri</w:t>
      </w:r>
      <w:proofErr w:type="spellEnd"/>
      <w:r>
        <w:t xml:space="preserve">, US-Herceptin and EU-Herceptin (analytical, functional, and </w:t>
      </w:r>
      <w:r w:rsidR="004C3033">
        <w:rPr>
          <w:lang w:val="en-US"/>
        </w:rPr>
        <w:t>pharmacokinetic(s) (</w:t>
      </w:r>
      <w:r>
        <w:t>PK) established the scientific bridge among the three products. The clinical and non-clinical studies that used EU-Herceptin also established similarity to US-Herceptin and vice versa.</w:t>
      </w:r>
    </w:p>
    <w:p w14:paraId="513AD61C" w14:textId="6CA78B11" w:rsidR="003A4F6E" w:rsidRDefault="003A4F6E" w:rsidP="000E6ECA">
      <w:r>
        <w:t>The reference biological medicine (Herceptin</w:t>
      </w:r>
      <w:r w:rsidR="00FE4B46">
        <w:t xml:space="preserve"> </w:t>
      </w:r>
      <w:proofErr w:type="spellStart"/>
      <w:r w:rsidR="00FE4B46">
        <w:t>trast</w:t>
      </w:r>
      <w:r w:rsidR="008D12AA">
        <w:t>u</w:t>
      </w:r>
      <w:r w:rsidR="00FE4B46">
        <w:t>zumab</w:t>
      </w:r>
      <w:proofErr w:type="spellEnd"/>
      <w:r>
        <w:t xml:space="preserve">) </w:t>
      </w:r>
      <w:proofErr w:type="gramStart"/>
      <w:r>
        <w:t>is approved</w:t>
      </w:r>
      <w:proofErr w:type="gramEnd"/>
      <w:r>
        <w:t xml:space="preserve"> for marketing as 60 mg and 150 mg presentations in Australia.</w:t>
      </w:r>
    </w:p>
    <w:p w14:paraId="5934D34D" w14:textId="77777777" w:rsidR="003A4F6E" w:rsidRDefault="003A4F6E" w:rsidP="000E6ECA">
      <w:r>
        <w:t xml:space="preserve">The sponsor is proposing to market the 150 mg and 440 mg presentations of </w:t>
      </w:r>
      <w:proofErr w:type="spellStart"/>
      <w:r>
        <w:t>Ogivri</w:t>
      </w:r>
      <w:proofErr w:type="spellEnd"/>
      <w:r>
        <w:t>.</w:t>
      </w:r>
    </w:p>
    <w:p w14:paraId="5A9B16B9" w14:textId="77777777" w:rsidR="000E6ECA" w:rsidRDefault="000E6ECA" w:rsidP="008B614E">
      <w:pPr>
        <w:pStyle w:val="Heading4"/>
      </w:pPr>
      <w:r>
        <w:t>Regulatory framework</w:t>
      </w:r>
    </w:p>
    <w:p w14:paraId="0AC3AAAD" w14:textId="77777777" w:rsidR="000E6ECA" w:rsidRDefault="000E6ECA" w:rsidP="000E6ECA">
      <w:r>
        <w:t>See, for example</w:t>
      </w:r>
      <w:r w:rsidR="00B634FA">
        <w:t>:</w:t>
      </w:r>
    </w:p>
    <w:p w14:paraId="0F775ECE" w14:textId="43E0486E" w:rsidR="000E6ECA" w:rsidRDefault="00FE4B46" w:rsidP="000E6ECA">
      <w:pPr>
        <w:pStyle w:val="Heading5"/>
        <w:rPr>
          <w:rFonts w:eastAsiaTheme="minorHAnsi"/>
        </w:rPr>
      </w:pPr>
      <w:r>
        <w:rPr>
          <w:rFonts w:eastAsiaTheme="minorHAnsi"/>
        </w:rPr>
        <w:t>European Medicines Agency</w:t>
      </w:r>
    </w:p>
    <w:p w14:paraId="717CC1E6" w14:textId="77777777" w:rsidR="000E6ECA" w:rsidRDefault="000E6ECA" w:rsidP="000E6ECA">
      <w:pPr>
        <w:pStyle w:val="ListBullet"/>
      </w:pPr>
      <w:r>
        <w:t xml:space="preserve">Weise M, et al. </w:t>
      </w:r>
      <w:proofErr w:type="spellStart"/>
      <w:r>
        <w:t>Biosimilars</w:t>
      </w:r>
      <w:proofErr w:type="spellEnd"/>
      <w:r>
        <w:t xml:space="preserve">: what clinicians should </w:t>
      </w:r>
      <w:proofErr w:type="gramStart"/>
      <w:r>
        <w:t>know.</w:t>
      </w:r>
      <w:proofErr w:type="gramEnd"/>
      <w:r>
        <w:t xml:space="preserve"> </w:t>
      </w:r>
      <w:r w:rsidRPr="000E6ECA">
        <w:rPr>
          <w:i/>
        </w:rPr>
        <w:t>Blood</w:t>
      </w:r>
      <w:r>
        <w:t xml:space="preserve"> 2012;</w:t>
      </w:r>
      <w:r w:rsidR="00B634FA">
        <w:t xml:space="preserve"> </w:t>
      </w:r>
      <w:r>
        <w:t>120:</w:t>
      </w:r>
      <w:r w:rsidR="00B634FA">
        <w:t xml:space="preserve"> </w:t>
      </w:r>
      <w:r>
        <w:t>5111-5117.</w:t>
      </w:r>
    </w:p>
    <w:p w14:paraId="5A27962E" w14:textId="77777777" w:rsidR="000E6ECA" w:rsidRDefault="000E6ECA" w:rsidP="000E6ECA">
      <w:pPr>
        <w:pStyle w:val="ListBullet"/>
      </w:pPr>
      <w:r>
        <w:t xml:space="preserve">Weise M, et al. </w:t>
      </w:r>
      <w:proofErr w:type="spellStart"/>
      <w:r>
        <w:t>Biosimilars</w:t>
      </w:r>
      <w:proofErr w:type="spellEnd"/>
      <w:r>
        <w:t xml:space="preserve">: the science of extrapolation. </w:t>
      </w:r>
      <w:r w:rsidRPr="000E6ECA">
        <w:rPr>
          <w:i/>
        </w:rPr>
        <w:t>Blood</w:t>
      </w:r>
      <w:r>
        <w:t xml:space="preserve"> 2014;</w:t>
      </w:r>
      <w:r w:rsidR="00B634FA">
        <w:t xml:space="preserve"> </w:t>
      </w:r>
      <w:r>
        <w:t>214:</w:t>
      </w:r>
      <w:r w:rsidR="00B634FA">
        <w:t xml:space="preserve"> </w:t>
      </w:r>
      <w:r>
        <w:t>3191-3196.</w:t>
      </w:r>
    </w:p>
    <w:p w14:paraId="3BB945D7" w14:textId="77E16A3A" w:rsidR="000E6ECA" w:rsidRDefault="00FE4B46" w:rsidP="000E6ECA">
      <w:pPr>
        <w:pStyle w:val="Heading5"/>
        <w:rPr>
          <w:rFonts w:eastAsiaTheme="minorHAnsi"/>
        </w:rPr>
      </w:pPr>
      <w:r>
        <w:rPr>
          <w:rFonts w:eastAsiaTheme="minorHAnsi"/>
        </w:rPr>
        <w:t>United States Food and Drug Administration</w:t>
      </w:r>
    </w:p>
    <w:p w14:paraId="4DB92EDC" w14:textId="486EF95A" w:rsidR="000E6ECA" w:rsidRDefault="000E6ECA" w:rsidP="000E6ECA">
      <w:pPr>
        <w:pStyle w:val="ListBullet"/>
      </w:pPr>
      <w:proofErr w:type="spellStart"/>
      <w:r>
        <w:t>Christl</w:t>
      </w:r>
      <w:proofErr w:type="spellEnd"/>
      <w:r>
        <w:t xml:space="preserve"> LA et al. </w:t>
      </w:r>
      <w:proofErr w:type="spellStart"/>
      <w:r>
        <w:t>Biosimilars</w:t>
      </w:r>
      <w:proofErr w:type="spellEnd"/>
      <w:r>
        <w:t xml:space="preserve">: The US regulatory framework. </w:t>
      </w:r>
      <w:r w:rsidRPr="000E6ECA">
        <w:rPr>
          <w:i/>
        </w:rPr>
        <w:t>Ann Rev Med</w:t>
      </w:r>
      <w:r>
        <w:t xml:space="preserve"> 2017; 68:</w:t>
      </w:r>
      <w:r w:rsidR="00FE4B46">
        <w:t> </w:t>
      </w:r>
      <w:r>
        <w:t>243</w:t>
      </w:r>
      <w:r w:rsidR="00FE4B46">
        <w:noBreakHyphen/>
      </w:r>
      <w:r>
        <w:t>254.</w:t>
      </w:r>
    </w:p>
    <w:p w14:paraId="54477B06" w14:textId="72A91EB4" w:rsidR="000E6ECA" w:rsidRPr="000E6ECA" w:rsidRDefault="000E6ECA" w:rsidP="000E6ECA">
      <w:pPr>
        <w:pStyle w:val="ListBullet"/>
      </w:pPr>
      <w:proofErr w:type="spellStart"/>
      <w:r>
        <w:lastRenderedPageBreak/>
        <w:t>Lemery</w:t>
      </w:r>
      <w:proofErr w:type="spellEnd"/>
      <w:r>
        <w:t xml:space="preserve"> SJ et al. FDA’s approach to regulating </w:t>
      </w:r>
      <w:proofErr w:type="spellStart"/>
      <w:r>
        <w:t>biosimilars</w:t>
      </w:r>
      <w:proofErr w:type="spellEnd"/>
      <w:r>
        <w:t xml:space="preserve">. </w:t>
      </w:r>
      <w:r w:rsidRPr="000E6ECA">
        <w:rPr>
          <w:i/>
        </w:rPr>
        <w:t>Clinical Cancer Res</w:t>
      </w:r>
      <w:r>
        <w:t xml:space="preserve"> 2017; 23:</w:t>
      </w:r>
      <w:r w:rsidR="00FE4B46">
        <w:t> </w:t>
      </w:r>
      <w:r>
        <w:t>1882</w:t>
      </w:r>
      <w:r w:rsidR="00FE4B46">
        <w:noBreakHyphen/>
      </w:r>
      <w:r>
        <w:t>1885.</w:t>
      </w:r>
    </w:p>
    <w:p w14:paraId="55476B7F" w14:textId="77777777" w:rsidR="000E6ECA" w:rsidRDefault="000E6ECA" w:rsidP="000E6ECA">
      <w:r>
        <w:t xml:space="preserve">The typical development program for </w:t>
      </w:r>
      <w:proofErr w:type="spellStart"/>
      <w:r>
        <w:t>biosimilars</w:t>
      </w:r>
      <w:proofErr w:type="spellEnd"/>
      <w:r>
        <w:t xml:space="preserve"> </w:t>
      </w:r>
      <w:proofErr w:type="gramStart"/>
      <w:r>
        <w:t>is abbreviated</w:t>
      </w:r>
      <w:proofErr w:type="gramEnd"/>
      <w:r>
        <w:t xml:space="preserve"> (compared to a new active substance) and a stepwise approach is used:</w:t>
      </w:r>
    </w:p>
    <w:p w14:paraId="2FF3CA91" w14:textId="37B957A0" w:rsidR="000E6ECA" w:rsidRDefault="0032532E" w:rsidP="008B614E">
      <w:pPr>
        <w:pStyle w:val="ListBullet"/>
      </w:pPr>
      <w:r>
        <w:rPr>
          <w:rFonts w:ascii="Symbol" w:hAnsi="Symbol" w:cs="Symbol"/>
          <w:i/>
        </w:rPr>
        <w:t></w:t>
      </w:r>
      <w:r w:rsidR="000E6ECA" w:rsidRPr="000E6ECA">
        <w:rPr>
          <w:i/>
        </w:rPr>
        <w:t>n-vitro</w:t>
      </w:r>
      <w:r w:rsidR="000E6ECA">
        <w:t xml:space="preserve"> (analytic) characterisation of the molecule:</w:t>
      </w:r>
    </w:p>
    <w:p w14:paraId="36AEF7F0" w14:textId="6CBD8048" w:rsidR="000E6ECA" w:rsidRDefault="000E6ECA" w:rsidP="008B614E">
      <w:pPr>
        <w:pStyle w:val="ListBullet2"/>
      </w:pPr>
      <w:r>
        <w:t>physicochemical/structural</w:t>
      </w:r>
      <w:r w:rsidR="00FE4B46">
        <w:t>; and</w:t>
      </w:r>
    </w:p>
    <w:p w14:paraId="716A952A" w14:textId="77777777" w:rsidR="000E6ECA" w:rsidRDefault="000E6ECA" w:rsidP="000E6ECA">
      <w:pPr>
        <w:pStyle w:val="ListBullet2"/>
      </w:pPr>
      <w:proofErr w:type="gramStart"/>
      <w:r>
        <w:t>functional</w:t>
      </w:r>
      <w:proofErr w:type="gramEnd"/>
      <w:r w:rsidR="00B634FA">
        <w:t>.</w:t>
      </w:r>
    </w:p>
    <w:p w14:paraId="20E96A70" w14:textId="77777777" w:rsidR="000E6ECA" w:rsidRDefault="00B634FA" w:rsidP="000E6ECA">
      <w:pPr>
        <w:pStyle w:val="ListBullet"/>
      </w:pPr>
      <w:r>
        <w:t>Non</w:t>
      </w:r>
      <w:r w:rsidR="000E6ECA">
        <w:t>clinical (animal) studies.</w:t>
      </w:r>
    </w:p>
    <w:p w14:paraId="35A52008" w14:textId="3AC9047D" w:rsidR="000E6ECA" w:rsidRDefault="000E6ECA" w:rsidP="000E6ECA">
      <w:pPr>
        <w:pStyle w:val="ListBullet"/>
      </w:pPr>
      <w:r>
        <w:t xml:space="preserve">Clinical pharmacology; </w:t>
      </w:r>
      <w:r w:rsidR="00B634FA">
        <w:t>that is, bioequivalence (</w:t>
      </w:r>
      <w:r w:rsidR="003217AA">
        <w:t>PK</w:t>
      </w:r>
      <w:r>
        <w:t>/</w:t>
      </w:r>
      <w:r w:rsidR="003217AA" w:rsidRPr="003217AA">
        <w:rPr>
          <w:lang w:val="en-US"/>
        </w:rPr>
        <w:t xml:space="preserve"> </w:t>
      </w:r>
      <w:proofErr w:type="spellStart"/>
      <w:r w:rsidR="00B634FA">
        <w:rPr>
          <w:lang w:val="en-US"/>
        </w:rPr>
        <w:t>p</w:t>
      </w:r>
      <w:r w:rsidR="003217AA">
        <w:rPr>
          <w:lang w:val="en-US"/>
        </w:rPr>
        <w:t>harmacodynamic</w:t>
      </w:r>
      <w:proofErr w:type="spellEnd"/>
      <w:r w:rsidR="003217AA">
        <w:t xml:space="preserve"> (</w:t>
      </w:r>
      <w:r>
        <w:t>PD</w:t>
      </w:r>
      <w:r w:rsidR="003217AA">
        <w:t>)</w:t>
      </w:r>
      <w:r>
        <w:t>)</w:t>
      </w:r>
    </w:p>
    <w:p w14:paraId="1ACAA87A" w14:textId="77777777" w:rsidR="000E6ECA" w:rsidRDefault="000E6ECA" w:rsidP="000E6ECA">
      <w:pPr>
        <w:pStyle w:val="ListBullet"/>
      </w:pPr>
      <w:r>
        <w:t>Supportive comparative clinical studies:</w:t>
      </w:r>
    </w:p>
    <w:p w14:paraId="6BAE146E" w14:textId="3CEF3F0B" w:rsidR="000E6ECA" w:rsidRDefault="000E6ECA" w:rsidP="000E6ECA">
      <w:pPr>
        <w:pStyle w:val="ListBullet2"/>
      </w:pPr>
      <w:r>
        <w:t>to check efficacy (especially if</w:t>
      </w:r>
      <w:r w:rsidR="00FE4B46">
        <w:t xml:space="preserve"> there is</w:t>
      </w:r>
      <w:r>
        <w:t xml:space="preserve"> no PD endpoint)</w:t>
      </w:r>
      <w:r w:rsidR="00FE4B46">
        <w:t>;</w:t>
      </w:r>
    </w:p>
    <w:p w14:paraId="10529E13" w14:textId="4152709F" w:rsidR="000E6ECA" w:rsidRDefault="000E6ECA" w:rsidP="000E6ECA">
      <w:pPr>
        <w:pStyle w:val="ListBullet2"/>
      </w:pPr>
      <w:r>
        <w:t>to check safety</w:t>
      </w:r>
      <w:r w:rsidR="00FE4B46">
        <w:t>; and</w:t>
      </w:r>
    </w:p>
    <w:p w14:paraId="4C86F7C6" w14:textId="12B7659F" w:rsidR="000E6ECA" w:rsidRDefault="00FE4B46" w:rsidP="000E6ECA">
      <w:pPr>
        <w:pStyle w:val="ListBullet2"/>
      </w:pPr>
      <w:proofErr w:type="gramStart"/>
      <w:r>
        <w:t>to</w:t>
      </w:r>
      <w:proofErr w:type="gramEnd"/>
      <w:r>
        <w:t xml:space="preserve"> </w:t>
      </w:r>
      <w:r w:rsidR="000E6ECA">
        <w:t>assess immunogenicity.</w:t>
      </w:r>
    </w:p>
    <w:p w14:paraId="70DC3B99" w14:textId="204DDF43" w:rsidR="000E6ECA" w:rsidRPr="000E6ECA" w:rsidRDefault="000E6ECA" w:rsidP="000E6ECA">
      <w:r>
        <w:t>If, based on the analytic characterisation of the molecule and the clinical pharmacology studies, there is no/little uncertainty about efficacy/safety, then a single-arm clinical study (duration</w:t>
      </w:r>
      <w:r w:rsidR="00FE4B46">
        <w:t xml:space="preserve"> of</w:t>
      </w:r>
      <w:r>
        <w:t xml:space="preserve"> 12 months</w:t>
      </w:r>
      <w:r w:rsidR="00FE4B46">
        <w:t xml:space="preserve"> for example</w:t>
      </w:r>
      <w:r>
        <w:t>) might be suffic</w:t>
      </w:r>
      <w:r w:rsidR="00B634FA">
        <w:t xml:space="preserve">ient to assess immunogenicity. </w:t>
      </w:r>
      <w:r>
        <w:t xml:space="preserve">For </w:t>
      </w:r>
      <w:proofErr w:type="spellStart"/>
      <w:r>
        <w:t>Ogivri</w:t>
      </w:r>
      <w:proofErr w:type="spellEnd"/>
      <w:r>
        <w:t>, the sponsor conducted a comparative clinical study</w:t>
      </w:r>
      <w:r w:rsidR="00B634FA">
        <w:t xml:space="preserve"> with contemporaneous controls.</w:t>
      </w:r>
    </w:p>
    <w:p w14:paraId="4BE74029" w14:textId="77777777" w:rsidR="000E6ECA" w:rsidRDefault="000E6ECA" w:rsidP="000E6ECA">
      <w:pPr>
        <w:pStyle w:val="ListBullet"/>
      </w:pPr>
      <w:r>
        <w:t xml:space="preserve">At each step, any residual uncertainty </w:t>
      </w:r>
      <w:proofErr w:type="gramStart"/>
      <w:r>
        <w:t>is identified</w:t>
      </w:r>
      <w:proofErr w:type="gramEnd"/>
      <w:r>
        <w:t xml:space="preserve"> and steps are taken to address that residual uncertainty.</w:t>
      </w:r>
    </w:p>
    <w:p w14:paraId="01954E2C" w14:textId="77777777" w:rsidR="000E6ECA" w:rsidRDefault="000E6ECA" w:rsidP="000E6ECA">
      <w:pPr>
        <w:pStyle w:val="ListBullet"/>
      </w:pPr>
      <w:proofErr w:type="gramStart"/>
      <w:r>
        <w:t>All the clinical studies for the reference biological medicine do not</w:t>
      </w:r>
      <w:proofErr w:type="gramEnd"/>
      <w:r>
        <w:t xml:space="preserve"> need to be repeated for the biosimilar. The aim is to establish similarity to the reference biological medicine, and then bridge to all the efficacy and safety studies that </w:t>
      </w:r>
      <w:proofErr w:type="gramStart"/>
      <w:r>
        <w:t>have already been done</w:t>
      </w:r>
      <w:proofErr w:type="gramEnd"/>
      <w:r>
        <w:t xml:space="preserve"> for the reference biological medicine. There is no need </w:t>
      </w:r>
      <w:proofErr w:type="gramStart"/>
      <w:r>
        <w:t>to independently establish</w:t>
      </w:r>
      <w:proofErr w:type="gramEnd"/>
      <w:r>
        <w:t xml:space="preserve"> the efficacy and safety of the biosimilar.</w:t>
      </w:r>
    </w:p>
    <w:p w14:paraId="57E4A954" w14:textId="77777777" w:rsidR="000E6ECA" w:rsidRDefault="000E6ECA" w:rsidP="000E6ECA">
      <w:pPr>
        <w:pStyle w:val="ListBullet"/>
      </w:pPr>
      <w:r>
        <w:t>The nature and extent of data required for regulatory approval are determined on a product-specific basis and depend on the level of evidence obtained in the preceding steps.</w:t>
      </w:r>
    </w:p>
    <w:p w14:paraId="7A40CFF5" w14:textId="11D31A9B" w:rsidR="000E6ECA" w:rsidRDefault="000E6ECA" w:rsidP="000E6ECA">
      <w:pPr>
        <w:pStyle w:val="ListBullet"/>
      </w:pPr>
      <w:r>
        <w:t xml:space="preserve">Most of the evidence to support the marketing approval of a biosimilar comes from the </w:t>
      </w:r>
      <w:r w:rsidRPr="00B634FA">
        <w:rPr>
          <w:i/>
        </w:rPr>
        <w:t>in-vitro</w:t>
      </w:r>
      <w:r>
        <w:t xml:space="preserve"> studies (analytic and functional). This </w:t>
      </w:r>
      <w:proofErr w:type="gramStart"/>
      <w:r>
        <w:t>is called</w:t>
      </w:r>
      <w:proofErr w:type="gramEnd"/>
      <w:r>
        <w:t xml:space="preserve"> the </w:t>
      </w:r>
      <w:r w:rsidR="00FE4B46">
        <w:rPr>
          <w:i/>
          <w:iCs/>
        </w:rPr>
        <w:t>‘</w:t>
      </w:r>
      <w:r>
        <w:rPr>
          <w:i/>
          <w:iCs/>
        </w:rPr>
        <w:t>reverse pyramid</w:t>
      </w:r>
      <w:r w:rsidR="00FE4B46">
        <w:rPr>
          <w:i/>
          <w:iCs/>
        </w:rPr>
        <w:t>’</w:t>
      </w:r>
      <w:r>
        <w:t xml:space="preserve"> approach; that is, it is the reverse of a new medicine, where most of the evidence to support marketing approval comes from the clinical development program; and, in particular, the </w:t>
      </w:r>
      <w:r w:rsidR="00B634FA">
        <w:t xml:space="preserve">Phase II </w:t>
      </w:r>
      <w:r>
        <w:t xml:space="preserve">and </w:t>
      </w:r>
      <w:r w:rsidR="00B634FA">
        <w:t>Phase III</w:t>
      </w:r>
      <w:r>
        <w:t xml:space="preserve"> studies.</w:t>
      </w:r>
    </w:p>
    <w:p w14:paraId="2376EA82" w14:textId="7BEA4D21" w:rsidR="000E6ECA" w:rsidRDefault="000E6ECA" w:rsidP="000E6ECA">
      <w:pPr>
        <w:pStyle w:val="ListBullet"/>
      </w:pPr>
      <w:proofErr w:type="gramStart"/>
      <w:r>
        <w:t xml:space="preserve">There is no one pivotal study that establishes </w:t>
      </w:r>
      <w:proofErr w:type="spellStart"/>
      <w:r>
        <w:t>biosimilarity</w:t>
      </w:r>
      <w:proofErr w:type="spellEnd"/>
      <w:r>
        <w:t>.</w:t>
      </w:r>
      <w:proofErr w:type="gramEnd"/>
      <w:r>
        <w:t xml:space="preserve"> The approach </w:t>
      </w:r>
      <w:r w:rsidR="00B634FA">
        <w:t xml:space="preserve">taken is </w:t>
      </w:r>
      <w:r w:rsidR="00FE4B46" w:rsidRPr="006A4D4F">
        <w:rPr>
          <w:i/>
        </w:rPr>
        <w:t>‘</w:t>
      </w:r>
      <w:r w:rsidR="00B634FA" w:rsidRPr="006A4D4F">
        <w:rPr>
          <w:i/>
        </w:rPr>
        <w:t>totality of evidence</w:t>
      </w:r>
      <w:r w:rsidR="00FE4B46" w:rsidRPr="006A4D4F">
        <w:rPr>
          <w:i/>
        </w:rPr>
        <w:t>’</w:t>
      </w:r>
      <w:r w:rsidR="00B634FA">
        <w:t>,</w:t>
      </w:r>
      <w:r>
        <w:t xml:space="preserve"> although, as above, most emphasis </w:t>
      </w:r>
      <w:proofErr w:type="gramStart"/>
      <w:r>
        <w:t>is put</w:t>
      </w:r>
      <w:proofErr w:type="gramEnd"/>
      <w:r>
        <w:t xml:space="preserve"> on the </w:t>
      </w:r>
      <w:r w:rsidRPr="00B634FA">
        <w:rPr>
          <w:i/>
        </w:rPr>
        <w:t>in-vitro</w:t>
      </w:r>
      <w:r>
        <w:t xml:space="preserve"> characterisation.</w:t>
      </w:r>
    </w:p>
    <w:p w14:paraId="240F447C" w14:textId="77777777" w:rsidR="000E6ECA" w:rsidRPr="000E6ECA" w:rsidRDefault="000E6ECA" w:rsidP="000E6ECA">
      <w:pPr>
        <w:pStyle w:val="ListBullet"/>
      </w:pPr>
      <w:r>
        <w:t>The comparative clinical study, if required, is the final step to reduce any remaining uncertainty.</w:t>
      </w:r>
    </w:p>
    <w:p w14:paraId="78C318EB" w14:textId="77777777" w:rsidR="000E6ECA" w:rsidRDefault="000E6ECA" w:rsidP="008B614E">
      <w:r>
        <w:t xml:space="preserve">The sponsor obtained endorsement for the development program for </w:t>
      </w:r>
      <w:proofErr w:type="spellStart"/>
      <w:r>
        <w:t>Ogivri</w:t>
      </w:r>
      <w:proofErr w:type="spellEnd"/>
      <w:r>
        <w:t xml:space="preserve"> from the FDA and EMA.</w:t>
      </w:r>
    </w:p>
    <w:p w14:paraId="6F9FE156" w14:textId="77777777" w:rsidR="000E6ECA" w:rsidRPr="00FE4B46" w:rsidRDefault="000E6ECA" w:rsidP="008B614E">
      <w:pPr>
        <w:pStyle w:val="Heading4"/>
        <w:rPr>
          <w:rStyle w:val="Heading4Char"/>
        </w:rPr>
      </w:pPr>
      <w:r w:rsidRPr="00FE4B46">
        <w:rPr>
          <w:rStyle w:val="Heading4Char"/>
          <w:b/>
          <w:bCs/>
        </w:rPr>
        <w:t>Excipients</w:t>
      </w:r>
    </w:p>
    <w:p w14:paraId="639484B8" w14:textId="0D9C272E" w:rsidR="000E6ECA" w:rsidRPr="002F749C" w:rsidRDefault="002F749C" w:rsidP="008B614E">
      <w:r>
        <w:t>T</w:t>
      </w:r>
      <w:r w:rsidRPr="002F749C">
        <w:t xml:space="preserve">he </w:t>
      </w:r>
      <w:r w:rsidR="000E6ECA" w:rsidRPr="002F749C">
        <w:t xml:space="preserve">formulation to be </w:t>
      </w:r>
      <w:proofErr w:type="gramStart"/>
      <w:r w:rsidR="000E6ECA" w:rsidRPr="002F749C">
        <w:t>marketed</w:t>
      </w:r>
      <w:proofErr w:type="gramEnd"/>
      <w:r w:rsidR="000E6ECA" w:rsidRPr="002F749C">
        <w:t xml:space="preserve"> in the EU, US, and Australia (and used in the clinical development program) has different excipients from EU-Herceptin and US-Herceptin. </w:t>
      </w:r>
      <w:r w:rsidR="000E6ECA" w:rsidRPr="002F749C">
        <w:lastRenderedPageBreak/>
        <w:t xml:space="preserve">Specifically, </w:t>
      </w:r>
      <w:proofErr w:type="spellStart"/>
      <w:r w:rsidR="000E6ECA" w:rsidRPr="002F749C">
        <w:t>macrogol</w:t>
      </w:r>
      <w:proofErr w:type="spellEnd"/>
      <w:r w:rsidR="000E6ECA" w:rsidRPr="002F749C">
        <w:t xml:space="preserve"> 3350 and sorbitol in </w:t>
      </w:r>
      <w:proofErr w:type="spellStart"/>
      <w:r w:rsidR="000E6ECA" w:rsidRPr="002F749C">
        <w:t>Ogivri</w:t>
      </w:r>
      <w:proofErr w:type="spellEnd"/>
      <w:r w:rsidR="000E6ECA" w:rsidRPr="002F749C">
        <w:t xml:space="preserve"> </w:t>
      </w:r>
      <w:proofErr w:type="spellStart"/>
      <w:r w:rsidR="00FE4B46">
        <w:t>trastuzumab</w:t>
      </w:r>
      <w:proofErr w:type="spellEnd"/>
      <w:r w:rsidR="00FE4B46">
        <w:t xml:space="preserve"> </w:t>
      </w:r>
      <w:r w:rsidR="000E6ECA" w:rsidRPr="002F749C">
        <w:t xml:space="preserve">replace </w:t>
      </w:r>
      <w:proofErr w:type="spellStart"/>
      <w:r w:rsidR="000E6ECA" w:rsidRPr="002F749C">
        <w:t>polysorbate</w:t>
      </w:r>
      <w:proofErr w:type="spellEnd"/>
      <w:r w:rsidR="000E6ECA" w:rsidRPr="002F749C">
        <w:t xml:space="preserve"> 20 and trehalose </w:t>
      </w:r>
      <w:proofErr w:type="spellStart"/>
      <w:r w:rsidR="000E6ECA" w:rsidRPr="002F749C">
        <w:t>dihydrate</w:t>
      </w:r>
      <w:proofErr w:type="spellEnd"/>
      <w:r w:rsidR="000E6ECA" w:rsidRPr="002F749C">
        <w:t xml:space="preserve"> in Herceptin</w:t>
      </w:r>
      <w:r w:rsidR="00FE4B46">
        <w:t xml:space="preserve"> </w:t>
      </w:r>
      <w:proofErr w:type="spellStart"/>
      <w:r w:rsidR="00FE4B46">
        <w:t>trastuzumab</w:t>
      </w:r>
      <w:proofErr w:type="spellEnd"/>
      <w:r w:rsidR="000E6ECA" w:rsidRPr="002F749C">
        <w:t>.</w:t>
      </w:r>
    </w:p>
    <w:p w14:paraId="53B47703" w14:textId="6B279D67" w:rsidR="003A4F6E" w:rsidRPr="002F749C" w:rsidRDefault="00C40F6D" w:rsidP="000E6ECA">
      <w:pPr>
        <w:pStyle w:val="TableTitle"/>
      </w:pPr>
      <w:r w:rsidRPr="002F749C">
        <w:t>Table 2:</w:t>
      </w:r>
      <w:r w:rsidR="000E6ECA" w:rsidRPr="002F749C">
        <w:t xml:space="preserve"> List of excipients in Herceptin </w:t>
      </w:r>
      <w:proofErr w:type="spellStart"/>
      <w:r w:rsidR="00FE4B46">
        <w:t>trastuzumab</w:t>
      </w:r>
      <w:proofErr w:type="spellEnd"/>
      <w:r w:rsidR="00FE4B46">
        <w:t xml:space="preserve"> </w:t>
      </w:r>
      <w:r w:rsidR="000E6ECA" w:rsidRPr="002F749C">
        <w:t xml:space="preserve">and in </w:t>
      </w:r>
      <w:proofErr w:type="spellStart"/>
      <w:r w:rsidR="000E6ECA" w:rsidRPr="002F749C">
        <w:t>Ogivri</w:t>
      </w:r>
      <w:proofErr w:type="spellEnd"/>
      <w:r w:rsidR="00FE4B46">
        <w:t xml:space="preserve"> </w:t>
      </w:r>
      <w:proofErr w:type="spellStart"/>
      <w:r w:rsidR="00FE4B46">
        <w:t>trastuzumab</w:t>
      </w:r>
      <w:proofErr w:type="spellEnd"/>
    </w:p>
    <w:p w14:paraId="4D4684B5" w14:textId="77777777" w:rsidR="003A4F6E" w:rsidRPr="002F749C" w:rsidRDefault="000E6ECA" w:rsidP="003A4F6E">
      <w:r w:rsidRPr="002F749C">
        <w:rPr>
          <w:noProof/>
          <w:lang w:eastAsia="en-AU"/>
        </w:rPr>
        <w:drawing>
          <wp:inline distT="0" distB="0" distL="0" distR="0" wp14:anchorId="2B45465F" wp14:editId="2F205A9E">
            <wp:extent cx="5400040" cy="1583055"/>
            <wp:effectExtent l="0" t="0" r="0" b="0"/>
            <wp:docPr id="2051725697" name="Picture 13" descr="List of excipients in Herceptin and in Ogiv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7">
                      <a:extLst>
                        <a:ext uri="{28A0092B-C50C-407E-A947-70E740481C1C}">
                          <a14:useLocalDpi xmlns:a14="http://schemas.microsoft.com/office/drawing/2010/main" val="0"/>
                        </a:ext>
                      </a:extLst>
                    </a:blip>
                    <a:stretch>
                      <a:fillRect/>
                    </a:stretch>
                  </pic:blipFill>
                  <pic:spPr>
                    <a:xfrm>
                      <a:off x="0" y="0"/>
                      <a:ext cx="5400040" cy="1583055"/>
                    </a:xfrm>
                    <a:prstGeom prst="rect">
                      <a:avLst/>
                    </a:prstGeom>
                  </pic:spPr>
                </pic:pic>
              </a:graphicData>
            </a:graphic>
          </wp:inline>
        </w:drawing>
      </w:r>
    </w:p>
    <w:p w14:paraId="255DECB2" w14:textId="77777777" w:rsidR="000E6ECA" w:rsidRPr="002F749C" w:rsidRDefault="000E6ECA" w:rsidP="008B614E">
      <w:r w:rsidRPr="002F749C">
        <w:t xml:space="preserve">The sorbitol and </w:t>
      </w:r>
      <w:proofErr w:type="spellStart"/>
      <w:r w:rsidRPr="002F749C">
        <w:t>macrogol</w:t>
      </w:r>
      <w:proofErr w:type="spellEnd"/>
      <w:r w:rsidRPr="002F749C">
        <w:t xml:space="preserve"> comply with applicable European </w:t>
      </w:r>
      <w:proofErr w:type="spellStart"/>
      <w:r w:rsidRPr="002F749C">
        <w:t>Pharmacopoeial</w:t>
      </w:r>
      <w:proofErr w:type="spellEnd"/>
      <w:r w:rsidRPr="002F749C">
        <w:t xml:space="preserve"> standards and </w:t>
      </w:r>
      <w:proofErr w:type="gramStart"/>
      <w:r w:rsidRPr="002F749C">
        <w:t>are used</w:t>
      </w:r>
      <w:proofErr w:type="gramEnd"/>
      <w:r w:rsidRPr="002F749C">
        <w:t xml:space="preserve"> in other injectable dosage forms.</w:t>
      </w:r>
    </w:p>
    <w:p w14:paraId="1F4E3372" w14:textId="77777777" w:rsidR="000E6ECA" w:rsidRDefault="000E6ECA" w:rsidP="000E6ECA">
      <w:pPr>
        <w:pStyle w:val="Heading5"/>
        <w:rPr>
          <w:rFonts w:eastAsiaTheme="minorHAnsi"/>
        </w:rPr>
      </w:pPr>
      <w:r w:rsidRPr="002F749C">
        <w:rPr>
          <w:rFonts w:eastAsiaTheme="minorHAnsi"/>
        </w:rPr>
        <w:t>Sorbitol</w:t>
      </w:r>
    </w:p>
    <w:p w14:paraId="16185A88" w14:textId="5A1AA88D" w:rsidR="000E6ECA" w:rsidRDefault="000E6ECA" w:rsidP="000E6ECA">
      <w:r>
        <w:t xml:space="preserve">The concern with sorbitol is </w:t>
      </w:r>
      <w:r w:rsidR="00FE4B46">
        <w:t>HDI</w:t>
      </w:r>
      <w:r>
        <w:t>, wh</w:t>
      </w:r>
      <w:r w:rsidR="00B634FA">
        <w:t>ich is rare</w:t>
      </w:r>
      <w:proofErr w:type="gramStart"/>
      <w:r w:rsidR="00FE4B46">
        <w:t>;</w:t>
      </w:r>
      <w:proofErr w:type="gramEnd"/>
      <w:r w:rsidR="00B634FA">
        <w:t xml:space="preserve"> prevalence </w:t>
      </w:r>
      <w:r w:rsidR="00FE4B46">
        <w:t xml:space="preserve">of </w:t>
      </w:r>
      <w:r w:rsidR="00B634FA">
        <w:t xml:space="preserve">about 1 in 15,000 to 1 in </w:t>
      </w:r>
      <w:r>
        <w:t xml:space="preserve">30,000. </w:t>
      </w:r>
      <w:proofErr w:type="gramStart"/>
      <w:r>
        <w:t>It is an autosomal recessive inborn error of metabolism that results from a deficiency of fructose 1-phosphate aldolase in the liver, intestine and kidney.</w:t>
      </w:r>
      <w:proofErr w:type="gramEnd"/>
    </w:p>
    <w:p w14:paraId="3F55DD23" w14:textId="4CAC0A5B" w:rsidR="000E6ECA" w:rsidRPr="000E6ECA" w:rsidRDefault="000E6ECA" w:rsidP="008B614E">
      <w:r>
        <w:t>Ingestion of fructose, sorbitol or sucrose causes abdominal pain, vomiting and symptomatic hypoglyc</w:t>
      </w:r>
      <w:r w:rsidR="00FE4B46">
        <w:t>a</w:t>
      </w:r>
      <w:r>
        <w:t xml:space="preserve">emia. It </w:t>
      </w:r>
      <w:proofErr w:type="gramStart"/>
      <w:r>
        <w:t>is typically diagnosed</w:t>
      </w:r>
      <w:proofErr w:type="gramEnd"/>
      <w:r>
        <w:t xml:space="preserve"> in the newborn at the time of weaning when food containing sucrose or fructose is given. Continued ingestion leads to poor feeding, growth retardation, and gradual liver and kidney failure. If large quantities of fructose </w:t>
      </w:r>
      <w:proofErr w:type="gramStart"/>
      <w:r>
        <w:t>are consumed</w:t>
      </w:r>
      <w:proofErr w:type="gramEnd"/>
      <w:r>
        <w:t xml:space="preserve">, seizures and progressive coma can occur. Dietary exclusion results </w:t>
      </w:r>
      <w:r w:rsidR="00B634FA">
        <w:t>in normal growth and longevity.</w:t>
      </w:r>
    </w:p>
    <w:p w14:paraId="5C11575D" w14:textId="77777777" w:rsidR="000E6ECA" w:rsidRDefault="000E6ECA" w:rsidP="000E6ECA">
      <w:r>
        <w:t>The infusion of</w:t>
      </w:r>
      <w:r w:rsidR="00B634FA">
        <w:t xml:space="preserve"> fructose or sorbitol </w:t>
      </w:r>
      <w:r>
        <w:t xml:space="preserve">containing solutions in patients with unsuspected disease can lead to potentially fatal </w:t>
      </w:r>
      <w:proofErr w:type="spellStart"/>
      <w:r>
        <w:t>hepato</w:t>
      </w:r>
      <w:proofErr w:type="spellEnd"/>
      <w:r>
        <w:t xml:space="preserve">-renal failure. For example, more than 20 cases </w:t>
      </w:r>
      <w:proofErr w:type="gramStart"/>
      <w:r>
        <w:t>have been reported</w:t>
      </w:r>
      <w:proofErr w:type="gramEnd"/>
      <w:r>
        <w:t xml:space="preserve"> in Germany.</w:t>
      </w:r>
    </w:p>
    <w:p w14:paraId="205167D9" w14:textId="46B36D94" w:rsidR="000E6ECA" w:rsidRDefault="000E6ECA" w:rsidP="000E6ECA">
      <w:r>
        <w:t xml:space="preserve">Sorbitol </w:t>
      </w:r>
      <w:proofErr w:type="gramStart"/>
      <w:r>
        <w:t>is used</w:t>
      </w:r>
      <w:proofErr w:type="gramEnd"/>
      <w:r>
        <w:t xml:space="preserve"> on many flavoured chewable tablets and oral suspensions, designed for paediatric use. It is also present in some parenteral medications (</w:t>
      </w:r>
      <w:r w:rsidR="00B634FA">
        <w:t>for example</w:t>
      </w:r>
      <w:r>
        <w:t xml:space="preserve">, </w:t>
      </w:r>
      <w:proofErr w:type="spellStart"/>
      <w:r>
        <w:t>filgrastim</w:t>
      </w:r>
      <w:proofErr w:type="spellEnd"/>
      <w:r>
        <w:t>) and vaccines (</w:t>
      </w:r>
      <w:r w:rsidR="00FE4B46">
        <w:t xml:space="preserve">such as </w:t>
      </w:r>
      <w:r>
        <w:t>certain influenza</w:t>
      </w:r>
      <w:r w:rsidR="00FE4B46">
        <w:t xml:space="preserve"> and</w:t>
      </w:r>
      <w:r>
        <w:t xml:space="preserve"> meningococcal</w:t>
      </w:r>
      <w:r w:rsidR="00FE4B46">
        <w:t xml:space="preserve"> vaccines</w:t>
      </w:r>
      <w:r>
        <w:t>).</w:t>
      </w:r>
    </w:p>
    <w:p w14:paraId="6E09BA3C" w14:textId="77777777" w:rsidR="000E6ECA" w:rsidRDefault="000E6ECA" w:rsidP="000E6ECA">
      <w:r>
        <w:t>For parenteral medicines, hospital pharmacists would clear the use of the medicine on a case-b</w:t>
      </w:r>
      <w:r w:rsidR="00B634FA">
        <w:t>y-case basis.</w:t>
      </w:r>
    </w:p>
    <w:p w14:paraId="063A77CD" w14:textId="77777777" w:rsidR="000E6ECA" w:rsidRDefault="000E6ECA" w:rsidP="000E6ECA">
      <w:r>
        <w:t xml:space="preserve">The following is from the sponsor of </w:t>
      </w:r>
      <w:proofErr w:type="spellStart"/>
      <w:r>
        <w:t>Ogivri</w:t>
      </w:r>
      <w:proofErr w:type="spellEnd"/>
      <w:r>
        <w:t>:</w:t>
      </w:r>
    </w:p>
    <w:p w14:paraId="0C12AB73" w14:textId="77777777" w:rsidR="000E6ECA" w:rsidRPr="00B634FA" w:rsidRDefault="00B634FA" w:rsidP="000E6ECA">
      <w:pPr>
        <w:ind w:left="720"/>
        <w:rPr>
          <w:iCs/>
        </w:rPr>
      </w:pPr>
      <w:r w:rsidRPr="00B634FA">
        <w:rPr>
          <w:iCs/>
        </w:rPr>
        <w:t>‘</w:t>
      </w:r>
      <w:r w:rsidR="000E6ECA" w:rsidRPr="00B634FA">
        <w:rPr>
          <w:iCs/>
        </w:rPr>
        <w:t xml:space="preserve">With the infusion of </w:t>
      </w:r>
      <w:proofErr w:type="spellStart"/>
      <w:r w:rsidR="000E6ECA" w:rsidRPr="00B634FA">
        <w:rPr>
          <w:iCs/>
        </w:rPr>
        <w:t>Ogivri</w:t>
      </w:r>
      <w:proofErr w:type="spellEnd"/>
      <w:r w:rsidR="000E6ECA" w:rsidRPr="00B634FA">
        <w:rPr>
          <w:iCs/>
        </w:rPr>
        <w:t xml:space="preserve"> the dose would be usually lower than 0.5 g since approved loading and maintenance dose of </w:t>
      </w:r>
      <w:proofErr w:type="spellStart"/>
      <w:r w:rsidR="000E6ECA" w:rsidRPr="00B634FA">
        <w:rPr>
          <w:iCs/>
        </w:rPr>
        <w:t>trastuzumab</w:t>
      </w:r>
      <w:proofErr w:type="spellEnd"/>
      <w:r w:rsidR="000E6ECA" w:rsidRPr="00B634FA">
        <w:rPr>
          <w:iCs/>
        </w:rPr>
        <w:t xml:space="preserve"> is not more than 8 mg/kg and 6 mg/kg, respectively. </w:t>
      </w:r>
      <w:proofErr w:type="gramStart"/>
      <w:r w:rsidR="000E6ECA" w:rsidRPr="00B634FA">
        <w:rPr>
          <w:iCs/>
        </w:rPr>
        <w:t>Taking into account this medicine is used in an adult metastatic breast cancer population with an average dose of sorbitol not usually larger than 0.5 g (approximately 50 times lower than reported in literature), and that most of the patients will be aware of their medical history of hereditary fructose intolerance by this age; chances of complication or any life-threatening consequences are quite small because the treating oncologist/physicians will be aware of the appropriate warning and precaution included in the product’s label.</w:t>
      </w:r>
      <w:r w:rsidRPr="00B634FA">
        <w:rPr>
          <w:iCs/>
        </w:rPr>
        <w:t>’</w:t>
      </w:r>
      <w:proofErr w:type="gramEnd"/>
    </w:p>
    <w:p w14:paraId="43480231" w14:textId="77777777" w:rsidR="000E6ECA" w:rsidRDefault="000E6ECA" w:rsidP="000E6ECA">
      <w:pPr>
        <w:pStyle w:val="Heading5"/>
        <w:rPr>
          <w:rFonts w:eastAsiaTheme="minorHAnsi"/>
        </w:rPr>
      </w:pPr>
      <w:proofErr w:type="spellStart"/>
      <w:r>
        <w:rPr>
          <w:rFonts w:eastAsiaTheme="minorHAnsi"/>
        </w:rPr>
        <w:t>Macrogols</w:t>
      </w:r>
      <w:proofErr w:type="spellEnd"/>
    </w:p>
    <w:p w14:paraId="3C88DA1B" w14:textId="77777777" w:rsidR="000E6ECA" w:rsidRDefault="000E6ECA" w:rsidP="000E6ECA">
      <w:proofErr w:type="spellStart"/>
      <w:r>
        <w:t>Macrogols</w:t>
      </w:r>
      <w:proofErr w:type="spellEnd"/>
      <w:r>
        <w:t xml:space="preserve"> are polymers of ethylene glycol (PEG) that are widely used as osmotic laxatives (higher-weight variants) or as excipients in pharmaceutical products (lower-weight variants). Solid variants </w:t>
      </w:r>
      <w:proofErr w:type="gramStart"/>
      <w:r>
        <w:t>are used</w:t>
      </w:r>
      <w:proofErr w:type="gramEnd"/>
      <w:r>
        <w:t xml:space="preserve"> in cosmetics, ointments, and lubricants.</w:t>
      </w:r>
    </w:p>
    <w:p w14:paraId="69242283" w14:textId="37F51210" w:rsidR="000E6ECA" w:rsidRDefault="000E6ECA" w:rsidP="000E6ECA">
      <w:r>
        <w:lastRenderedPageBreak/>
        <w:t xml:space="preserve">Some anti-neoplastic agents, which are given by </w:t>
      </w:r>
      <w:r w:rsidR="00B634FA">
        <w:rPr>
          <w:lang w:val="en-US"/>
        </w:rPr>
        <w:t>i</w:t>
      </w:r>
      <w:r w:rsidR="003217AA">
        <w:rPr>
          <w:lang w:val="en-US"/>
        </w:rPr>
        <w:t>ntravenous</w:t>
      </w:r>
      <w:r w:rsidR="003217AA">
        <w:t xml:space="preserve"> (</w:t>
      </w:r>
      <w:r>
        <w:t>IV</w:t>
      </w:r>
      <w:r w:rsidR="003217AA">
        <w:t>)</w:t>
      </w:r>
      <w:r>
        <w:t xml:space="preserve"> infusion, contain </w:t>
      </w:r>
      <w:proofErr w:type="spellStart"/>
      <w:r>
        <w:t>macrogol</w:t>
      </w:r>
      <w:proofErr w:type="spellEnd"/>
      <w:proofErr w:type="gramStart"/>
      <w:r>
        <w:t>;</w:t>
      </w:r>
      <w:proofErr w:type="gramEnd"/>
      <w:r>
        <w:t xml:space="preserve"> for example, various formulations of etoposide, docetaxel</w:t>
      </w:r>
      <w:r w:rsidR="00FE4B46">
        <w:t xml:space="preserve"> and</w:t>
      </w:r>
      <w:r>
        <w:t xml:space="preserve"> </w:t>
      </w:r>
      <w:proofErr w:type="spellStart"/>
      <w:r>
        <w:t>temsirolimus</w:t>
      </w:r>
      <w:proofErr w:type="spellEnd"/>
      <w:r>
        <w:t>.</w:t>
      </w:r>
    </w:p>
    <w:p w14:paraId="2A4CDA3A" w14:textId="77777777" w:rsidR="000E6ECA" w:rsidRDefault="000E6ECA" w:rsidP="000E6ECA">
      <w:r>
        <w:t xml:space="preserve">Case-reports of therapy-related reactions, including anaphylaxis, </w:t>
      </w:r>
      <w:proofErr w:type="gramStart"/>
      <w:r>
        <w:t>have been linked</w:t>
      </w:r>
      <w:proofErr w:type="gramEnd"/>
      <w:r>
        <w:t xml:space="preserve"> to </w:t>
      </w:r>
      <w:proofErr w:type="spellStart"/>
      <w:r>
        <w:t>macrogol</w:t>
      </w:r>
      <w:proofErr w:type="spellEnd"/>
      <w:r>
        <w:t xml:space="preserve"> excipients; for example, </w:t>
      </w:r>
      <w:r w:rsidR="00B634FA">
        <w:t>intramuscular (IM)</w:t>
      </w:r>
      <w:r>
        <w:t xml:space="preserve"> medroxyprogesterone, and bowel preparation for colonoscopy.</w:t>
      </w:r>
    </w:p>
    <w:p w14:paraId="615CA65B" w14:textId="648C9B4A" w:rsidR="000E6ECA" w:rsidRDefault="000E6ECA" w:rsidP="006A463C">
      <w:r>
        <w:t xml:space="preserve">Monoclonal antibodies </w:t>
      </w:r>
      <w:r w:rsidR="00B634FA">
        <w:t>(</w:t>
      </w:r>
      <w:proofErr w:type="spellStart"/>
      <w:r w:rsidR="00B634FA">
        <w:t>mAbs</w:t>
      </w:r>
      <w:proofErr w:type="spellEnd"/>
      <w:r w:rsidR="00B634FA">
        <w:t xml:space="preserve">) </w:t>
      </w:r>
      <w:r>
        <w:t xml:space="preserve">typically contain the excipient </w:t>
      </w:r>
      <w:proofErr w:type="spellStart"/>
      <w:r>
        <w:t>polysorbate</w:t>
      </w:r>
      <w:proofErr w:type="spellEnd"/>
      <w:r>
        <w:t xml:space="preserve">, not </w:t>
      </w:r>
      <w:proofErr w:type="spellStart"/>
      <w:r>
        <w:t>macrogol</w:t>
      </w:r>
      <w:proofErr w:type="spellEnd"/>
      <w:r>
        <w:t>. The function is</w:t>
      </w:r>
      <w:r w:rsidR="00B634FA">
        <w:t xml:space="preserve"> mainly to prevent aggregation</w:t>
      </w:r>
      <w:proofErr w:type="gramStart"/>
      <w:r w:rsidR="00B634FA">
        <w:t>;</w:t>
      </w:r>
      <w:proofErr w:type="gramEnd"/>
      <w:r>
        <w:t xml:space="preserve"> important because aggregated proteins are immunogenic and can induce a patient’s immune system to generate neutrali</w:t>
      </w:r>
      <w:r w:rsidR="00FE4B46">
        <w:t>s</w:t>
      </w:r>
      <w:r>
        <w:t>ing antibodies, reducing efficacy.</w:t>
      </w:r>
    </w:p>
    <w:p w14:paraId="3A66CF3E" w14:textId="012E5B3A" w:rsidR="000E6ECA" w:rsidRDefault="000E6ECA" w:rsidP="006A463C">
      <w:r>
        <w:t xml:space="preserve">Infusion-related reactions and anaphylaxis </w:t>
      </w:r>
      <w:proofErr w:type="gramStart"/>
      <w:r>
        <w:t>have been reported</w:t>
      </w:r>
      <w:proofErr w:type="gramEnd"/>
      <w:r>
        <w:t xml:space="preserve"> fo</w:t>
      </w:r>
      <w:r w:rsidR="006A463C">
        <w:t xml:space="preserve">r many </w:t>
      </w:r>
      <w:proofErr w:type="spellStart"/>
      <w:r w:rsidR="00B634FA">
        <w:t>mAbs</w:t>
      </w:r>
      <w:proofErr w:type="spellEnd"/>
      <w:r w:rsidR="006A463C">
        <w:t>.</w:t>
      </w:r>
      <w:r w:rsidR="00B634FA">
        <w:t xml:space="preserve"> </w:t>
      </w:r>
      <w:r>
        <w:t>Of course, it can be difficult to determine which agent in the product is causing the reaction/ anaphylaxi</w:t>
      </w:r>
      <w:r w:rsidR="006A463C">
        <w:t>s: the excipient or the active</w:t>
      </w:r>
      <w:r w:rsidR="0022573C">
        <w:t xml:space="preserve"> agent</w:t>
      </w:r>
      <w:r w:rsidR="006A463C">
        <w:t>.</w:t>
      </w:r>
    </w:p>
    <w:p w14:paraId="152963BB" w14:textId="77777777" w:rsidR="000E6ECA" w:rsidRDefault="000E6ECA" w:rsidP="006A463C">
      <w:r>
        <w:t>Infusion reactions and anaphylaxis have been</w:t>
      </w:r>
      <w:r w:rsidR="00B634FA">
        <w:t xml:space="preserve"> reported for a number of </w:t>
      </w:r>
      <w:proofErr w:type="spellStart"/>
      <w:r w:rsidR="00B634FA">
        <w:t>mAbs</w:t>
      </w:r>
      <w:proofErr w:type="spellEnd"/>
      <w:r w:rsidR="00B634FA">
        <w:t>;</w:t>
      </w:r>
      <w:r>
        <w:t xml:space="preserve"> rituximab, </w:t>
      </w:r>
      <w:proofErr w:type="spellStart"/>
      <w:r>
        <w:t>ofatumumab</w:t>
      </w:r>
      <w:proofErr w:type="spellEnd"/>
      <w:r>
        <w:t xml:space="preserve">, </w:t>
      </w:r>
      <w:proofErr w:type="spellStart"/>
      <w:r>
        <w:t>obinutuzumab</w:t>
      </w:r>
      <w:proofErr w:type="spellEnd"/>
      <w:r>
        <w:t xml:space="preserve">, </w:t>
      </w:r>
      <w:proofErr w:type="spellStart"/>
      <w:r>
        <w:t>trastuzumab</w:t>
      </w:r>
      <w:proofErr w:type="spellEnd"/>
      <w:r>
        <w:t xml:space="preserve">, </w:t>
      </w:r>
      <w:proofErr w:type="spellStart"/>
      <w:r>
        <w:t>cetuximab</w:t>
      </w:r>
      <w:proofErr w:type="spellEnd"/>
      <w:r>
        <w:t xml:space="preserve">, </w:t>
      </w:r>
      <w:proofErr w:type="spellStart"/>
      <w:r>
        <w:t>tocilizumab</w:t>
      </w:r>
      <w:proofErr w:type="spellEnd"/>
      <w:r>
        <w:t xml:space="preserve">, infliximab, </w:t>
      </w:r>
      <w:proofErr w:type="spellStart"/>
      <w:r>
        <w:t>etanercept</w:t>
      </w:r>
      <w:proofErr w:type="spellEnd"/>
      <w:r>
        <w:t xml:space="preserve">, </w:t>
      </w:r>
      <w:proofErr w:type="spellStart"/>
      <w:r>
        <w:t>adalimumab</w:t>
      </w:r>
      <w:proofErr w:type="spellEnd"/>
      <w:r>
        <w:t xml:space="preserve">, </w:t>
      </w:r>
      <w:proofErr w:type="spellStart"/>
      <w:r>
        <w:t>abciximab</w:t>
      </w:r>
      <w:proofErr w:type="spellEnd"/>
      <w:r>
        <w:t xml:space="preserve">, </w:t>
      </w:r>
      <w:proofErr w:type="spellStart"/>
      <w:r>
        <w:t>golimumab</w:t>
      </w:r>
      <w:proofErr w:type="spellEnd"/>
      <w:r>
        <w:t xml:space="preserve">, </w:t>
      </w:r>
      <w:proofErr w:type="spellStart"/>
      <w:r>
        <w:t>certolizumab</w:t>
      </w:r>
      <w:proofErr w:type="spellEnd"/>
      <w:r>
        <w:t xml:space="preserve">, </w:t>
      </w:r>
      <w:proofErr w:type="spellStart"/>
      <w:r>
        <w:t>brentuxima</w:t>
      </w:r>
      <w:r w:rsidR="00B634FA">
        <w:t>b</w:t>
      </w:r>
      <w:proofErr w:type="spellEnd"/>
      <w:r w:rsidR="00B634FA">
        <w:t xml:space="preserve">, bevacizumab, and </w:t>
      </w:r>
      <w:proofErr w:type="spellStart"/>
      <w:r w:rsidR="00B634FA">
        <w:t>omalizumab</w:t>
      </w:r>
      <w:proofErr w:type="spellEnd"/>
      <w:proofErr w:type="gramStart"/>
      <w:r w:rsidR="00B634FA">
        <w:t>;</w:t>
      </w:r>
      <w:proofErr w:type="gramEnd"/>
      <w:r>
        <w:t xml:space="preserve"> all of which are formulated</w:t>
      </w:r>
      <w:r w:rsidR="006A463C">
        <w:t xml:space="preserve"> with </w:t>
      </w:r>
      <w:proofErr w:type="spellStart"/>
      <w:r w:rsidR="006A463C">
        <w:t>polysorbate</w:t>
      </w:r>
      <w:proofErr w:type="spellEnd"/>
      <w:r w:rsidR="006A463C">
        <w:t xml:space="preserve"> surfactants.</w:t>
      </w:r>
    </w:p>
    <w:p w14:paraId="6FE3A71E" w14:textId="52CEC67C" w:rsidR="000E6ECA" w:rsidRDefault="007B282B" w:rsidP="006A463C">
      <w:r>
        <w:t xml:space="preserve">The </w:t>
      </w:r>
      <w:proofErr w:type="spellStart"/>
      <w:r w:rsidR="000E6ECA">
        <w:t>UpToDate</w:t>
      </w:r>
      <w:proofErr w:type="spellEnd"/>
      <w:r>
        <w:t xml:space="preserve"> database</w:t>
      </w:r>
      <w:r w:rsidR="000E6ECA">
        <w:t xml:space="preserve"> lists </w:t>
      </w:r>
      <w:proofErr w:type="spellStart"/>
      <w:r w:rsidR="000E6ECA">
        <w:t>trastuzumab</w:t>
      </w:r>
      <w:proofErr w:type="spellEnd"/>
      <w:r w:rsidR="000E6ECA">
        <w:t xml:space="preserve">, rituximab, and </w:t>
      </w:r>
      <w:proofErr w:type="spellStart"/>
      <w:r w:rsidR="000E6ECA">
        <w:t>cetuximab</w:t>
      </w:r>
      <w:proofErr w:type="spellEnd"/>
      <w:r w:rsidR="000E6ECA">
        <w:t xml:space="preserve"> as products that have been particularly associated with </w:t>
      </w:r>
      <w:proofErr w:type="spellStart"/>
      <w:r w:rsidR="000E6ECA">
        <w:t>analphylaxis</w:t>
      </w:r>
      <w:proofErr w:type="spellEnd"/>
      <w:r w:rsidR="000E6ECA">
        <w:t>.</w:t>
      </w:r>
      <w:r>
        <w:rPr>
          <w:rStyle w:val="FootnoteReference"/>
        </w:rPr>
        <w:footnoteReference w:id="2"/>
      </w:r>
    </w:p>
    <w:p w14:paraId="0B8F0DDB" w14:textId="77777777" w:rsidR="006A463C" w:rsidRDefault="006A463C" w:rsidP="008B614E">
      <w:pPr>
        <w:pStyle w:val="Heading5"/>
      </w:pPr>
      <w:proofErr w:type="spellStart"/>
      <w:r>
        <w:t>Polysorbates</w:t>
      </w:r>
      <w:proofErr w:type="spellEnd"/>
    </w:p>
    <w:p w14:paraId="0A134A07" w14:textId="77777777" w:rsidR="006A463C" w:rsidRDefault="006A463C" w:rsidP="006A463C">
      <w:proofErr w:type="spellStart"/>
      <w:r>
        <w:t>Polysorbates</w:t>
      </w:r>
      <w:proofErr w:type="spellEnd"/>
      <w:r>
        <w:t xml:space="preserve"> are also used in vaccines and small-molecules medicines and </w:t>
      </w:r>
      <w:proofErr w:type="gramStart"/>
      <w:r>
        <w:t>have also</w:t>
      </w:r>
      <w:proofErr w:type="gramEnd"/>
      <w:r>
        <w:t xml:space="preserve"> been linked to reactions and anaphylaxis for those products.</w:t>
      </w:r>
    </w:p>
    <w:p w14:paraId="210B9C40" w14:textId="571AE2A5" w:rsidR="006A463C" w:rsidRDefault="006A463C" w:rsidP="006A463C">
      <w:r>
        <w:t xml:space="preserve">Most </w:t>
      </w:r>
      <w:proofErr w:type="spellStart"/>
      <w:r w:rsidR="00B634FA">
        <w:t>m</w:t>
      </w:r>
      <w:r>
        <w:t>Ab</w:t>
      </w:r>
      <w:proofErr w:type="spellEnd"/>
      <w:r>
        <w:t xml:space="preserve"> formulations contain either </w:t>
      </w:r>
      <w:proofErr w:type="spellStart"/>
      <w:r w:rsidR="007B282B">
        <w:t>polysorbate</w:t>
      </w:r>
      <w:proofErr w:type="spellEnd"/>
      <w:r w:rsidR="007B282B">
        <w:t xml:space="preserve"> 20 (</w:t>
      </w:r>
      <w:r>
        <w:t>PS-20</w:t>
      </w:r>
      <w:r w:rsidR="007B282B">
        <w:t>)</w:t>
      </w:r>
      <w:r>
        <w:t xml:space="preserve"> or</w:t>
      </w:r>
      <w:r w:rsidR="007B282B">
        <w:t xml:space="preserve"> </w:t>
      </w:r>
      <w:proofErr w:type="spellStart"/>
      <w:r w:rsidR="007B282B">
        <w:t>polysorbate</w:t>
      </w:r>
      <w:proofErr w:type="spellEnd"/>
      <w:r w:rsidR="007B282B">
        <w:t xml:space="preserve"> 80</w:t>
      </w:r>
      <w:r>
        <w:t xml:space="preserve"> </w:t>
      </w:r>
      <w:r w:rsidR="007B282B">
        <w:t>(</w:t>
      </w:r>
      <w:r>
        <w:t>PS-80</w:t>
      </w:r>
      <w:r w:rsidR="007B282B">
        <w:t>)</w:t>
      </w:r>
      <w:r>
        <w:t xml:space="preserve">. </w:t>
      </w:r>
      <w:proofErr w:type="spellStart"/>
      <w:r>
        <w:t>Polysorbate</w:t>
      </w:r>
      <w:proofErr w:type="spellEnd"/>
      <w:r>
        <w:t xml:space="preserve"> surfactants are one such family of excipients incorporated into many </w:t>
      </w:r>
      <w:proofErr w:type="spellStart"/>
      <w:r>
        <w:t>biotherapeutics</w:t>
      </w:r>
      <w:proofErr w:type="spellEnd"/>
      <w:r>
        <w:t xml:space="preserve"> to prevent protein aggregation and associated loss of efficacy.</w:t>
      </w:r>
    </w:p>
    <w:p w14:paraId="55761572" w14:textId="3D75A52A" w:rsidR="006A463C" w:rsidRPr="005054EF" w:rsidRDefault="006A463C" w:rsidP="006A463C">
      <w:r w:rsidRPr="005A0FE5">
        <w:t xml:space="preserve">In the </w:t>
      </w:r>
      <w:r w:rsidR="00B634FA" w:rsidRPr="005A0FE5">
        <w:t>Phase III</w:t>
      </w:r>
      <w:r w:rsidRPr="005A0FE5">
        <w:t xml:space="preserve"> comparative study (</w:t>
      </w:r>
      <w:r w:rsidR="007B282B">
        <w:t>the HERITAGE trial</w:t>
      </w:r>
      <w:r w:rsidRPr="005A0FE5">
        <w:t xml:space="preserve">) for </w:t>
      </w:r>
      <w:proofErr w:type="spellStart"/>
      <w:r w:rsidRPr="005A0FE5">
        <w:t>Ogivri</w:t>
      </w:r>
      <w:proofErr w:type="spellEnd"/>
      <w:r w:rsidRPr="005A0FE5">
        <w:t xml:space="preserve">, the nature and severity of these infusion reactions were consistent with known </w:t>
      </w:r>
      <w:proofErr w:type="spellStart"/>
      <w:r w:rsidRPr="005A0FE5">
        <w:t>trastuzumab</w:t>
      </w:r>
      <w:proofErr w:type="spellEnd"/>
      <w:r w:rsidRPr="005A0FE5">
        <w:t xml:space="preserve"> and </w:t>
      </w:r>
      <w:proofErr w:type="spellStart"/>
      <w:r w:rsidRPr="00F535E5">
        <w:t>taxane</w:t>
      </w:r>
      <w:proofErr w:type="spellEnd"/>
      <w:r w:rsidRPr="00F535E5">
        <w:t xml:space="preserve"> infusion reactions</w:t>
      </w:r>
      <w:r w:rsidRPr="005054EF">
        <w:t>.</w:t>
      </w:r>
    </w:p>
    <w:p w14:paraId="2E219A38" w14:textId="77777777" w:rsidR="003A4F6E" w:rsidRPr="005A0FE5" w:rsidRDefault="006A463C" w:rsidP="003A4F6E">
      <w:r w:rsidRPr="005A0FE5">
        <w:t xml:space="preserve">Anaphylactic reaction events were reported in </w:t>
      </w:r>
      <w:proofErr w:type="gramStart"/>
      <w:r w:rsidRPr="005A0FE5">
        <w:t>2</w:t>
      </w:r>
      <w:proofErr w:type="gramEnd"/>
      <w:r w:rsidRPr="005A0FE5">
        <w:t xml:space="preserve"> patients in the </w:t>
      </w:r>
      <w:proofErr w:type="spellStart"/>
      <w:r w:rsidRPr="005A0FE5">
        <w:t>Ogivri</w:t>
      </w:r>
      <w:proofErr w:type="spellEnd"/>
      <w:r w:rsidRPr="005A0FE5">
        <w:t xml:space="preserve"> arm (none in the Herceptin arm). Both were reported as </w:t>
      </w:r>
      <w:r w:rsidR="004C3033" w:rsidRPr="005A0FE5">
        <w:rPr>
          <w:lang w:val="en-US"/>
        </w:rPr>
        <w:t>serious adverse events</w:t>
      </w:r>
      <w:r w:rsidR="004C3033" w:rsidRPr="005A0FE5">
        <w:t xml:space="preserve"> (</w:t>
      </w:r>
      <w:r w:rsidRPr="005A0FE5">
        <w:t>SAEs</w:t>
      </w:r>
      <w:r w:rsidR="004C3033" w:rsidRPr="005A0FE5">
        <w:t>)</w:t>
      </w:r>
      <w:r w:rsidRPr="005A0FE5">
        <w:t xml:space="preserve"> of Grade 3 intensity, and both resolved; </w:t>
      </w:r>
      <w:proofErr w:type="gramStart"/>
      <w:r w:rsidRPr="005A0FE5">
        <w:t>1</w:t>
      </w:r>
      <w:proofErr w:type="gramEnd"/>
      <w:r w:rsidRPr="005A0FE5">
        <w:t xml:space="preserve"> was considered related to </w:t>
      </w:r>
      <w:proofErr w:type="spellStart"/>
      <w:r w:rsidRPr="005A0FE5">
        <w:t>Ogivri</w:t>
      </w:r>
      <w:proofErr w:type="spellEnd"/>
      <w:r w:rsidRPr="005A0FE5">
        <w:t xml:space="preserve"> and resolved on the same day, the other event was unrelated to </w:t>
      </w:r>
      <w:proofErr w:type="spellStart"/>
      <w:r w:rsidRPr="005A0FE5">
        <w:t>Ogivri</w:t>
      </w:r>
      <w:proofErr w:type="spellEnd"/>
      <w:r w:rsidRPr="005A0FE5">
        <w:t xml:space="preserve"> but was considered related to concomitant medication (piperacillin/</w:t>
      </w:r>
      <w:proofErr w:type="spellStart"/>
      <w:r w:rsidRPr="005A0FE5">
        <w:t>tazobactam</w:t>
      </w:r>
      <w:proofErr w:type="spellEnd"/>
      <w:r w:rsidRPr="005A0FE5">
        <w:t>).</w:t>
      </w:r>
    </w:p>
    <w:p w14:paraId="5A262E15" w14:textId="77777777" w:rsidR="008E7846" w:rsidRPr="008B614E" w:rsidRDefault="008E7846" w:rsidP="008B614E">
      <w:pPr>
        <w:pStyle w:val="Heading3"/>
      </w:pPr>
      <w:bookmarkStart w:id="34" w:name="_Toc314842511"/>
      <w:bookmarkStart w:id="35" w:name="_Toc35445585"/>
      <w:r w:rsidRPr="00F535E5">
        <w:t>Quality</w:t>
      </w:r>
      <w:bookmarkEnd w:id="31"/>
      <w:bookmarkEnd w:id="34"/>
      <w:bookmarkEnd w:id="35"/>
    </w:p>
    <w:p w14:paraId="05C2D05F" w14:textId="77777777" w:rsidR="006412BA" w:rsidRDefault="00B634FA" w:rsidP="006412BA">
      <w:r>
        <w:t xml:space="preserve">The biological </w:t>
      </w:r>
      <w:r w:rsidR="006412BA">
        <w:t xml:space="preserve">medicines </w:t>
      </w:r>
      <w:r>
        <w:t xml:space="preserve">(quality) </w:t>
      </w:r>
      <w:r w:rsidR="006412BA">
        <w:t>evaluator had no objections to approval.</w:t>
      </w:r>
    </w:p>
    <w:p w14:paraId="1DC07FD7" w14:textId="77777777" w:rsidR="006412BA" w:rsidRDefault="006412BA" w:rsidP="006412BA">
      <w:proofErr w:type="spellStart"/>
      <w:r>
        <w:t>Ogivri</w:t>
      </w:r>
      <w:proofErr w:type="spellEnd"/>
      <w:r>
        <w:t xml:space="preserve"> </w:t>
      </w:r>
      <w:proofErr w:type="gramStart"/>
      <w:r>
        <w:t>was</w:t>
      </w:r>
      <w:r w:rsidRPr="00F15352">
        <w:t xml:space="preserve"> compared</w:t>
      </w:r>
      <w:proofErr w:type="gramEnd"/>
      <w:r w:rsidRPr="00F15352">
        <w:t xml:space="preserve"> to US-Herceptin and EU-Herceptin using a </w:t>
      </w:r>
      <w:r w:rsidR="00B634FA">
        <w:t>range</w:t>
      </w:r>
      <w:r w:rsidRPr="00F15352">
        <w:t xml:space="preserve"> of biochemical, biophysical, and functional assays, including assays that addressed each major potential mechanism of action. The analytical data submitted support</w:t>
      </w:r>
      <w:r>
        <w:t>ed</w:t>
      </w:r>
      <w:r w:rsidRPr="00F15352">
        <w:t xml:space="preserve"> the conclusion that </w:t>
      </w:r>
      <w:proofErr w:type="spellStart"/>
      <w:r>
        <w:t>Ogivri</w:t>
      </w:r>
      <w:proofErr w:type="spellEnd"/>
      <w:r w:rsidRPr="00F15352">
        <w:t xml:space="preserve"> is highly similar to US-Herceptin</w:t>
      </w:r>
      <w:r>
        <w:t xml:space="preserve"> and EU-Herceptin</w:t>
      </w:r>
      <w:r w:rsidRPr="00F15352">
        <w:t>. The amino acid sequenc</w:t>
      </w:r>
      <w:r>
        <w:t>es</w:t>
      </w:r>
      <w:r w:rsidRPr="00F15352">
        <w:t xml:space="preserve"> are identical. A comparison of the secondary and tertiary structures and the impurity profiles </w:t>
      </w:r>
      <w:r>
        <w:t xml:space="preserve">also </w:t>
      </w:r>
      <w:r w:rsidRPr="00F15352">
        <w:t xml:space="preserve">support the conclusion that </w:t>
      </w:r>
      <w:r>
        <w:t>they</w:t>
      </w:r>
      <w:r w:rsidR="00B634FA">
        <w:t xml:space="preserve"> are highly similar.</w:t>
      </w:r>
    </w:p>
    <w:p w14:paraId="7CF51ED6" w14:textId="42497364" w:rsidR="006412BA" w:rsidRPr="006412BA" w:rsidRDefault="006412BA" w:rsidP="006412BA">
      <w:r>
        <w:t xml:space="preserve">Critical functional assays, which reflect the primary mechanisms-of-action of </w:t>
      </w:r>
      <w:proofErr w:type="spellStart"/>
      <w:r>
        <w:t>trastuzumab</w:t>
      </w:r>
      <w:proofErr w:type="spellEnd"/>
      <w:r>
        <w:t xml:space="preserve"> (</w:t>
      </w:r>
      <w:r w:rsidRPr="009166AD">
        <w:t>binding to human epid</w:t>
      </w:r>
      <w:r>
        <w:t xml:space="preserve">ermal growth factor receptor 2 </w:t>
      </w:r>
      <w:r w:rsidR="003217AA">
        <w:t>(</w:t>
      </w:r>
      <w:r>
        <w:t>HER2</w:t>
      </w:r>
      <w:r w:rsidR="002F672C">
        <w:t xml:space="preserve">; also known as </w:t>
      </w:r>
      <w:r>
        <w:t>ErbB-2</w:t>
      </w:r>
      <w:r w:rsidR="003217AA">
        <w:t>)</w:t>
      </w:r>
      <w:r w:rsidRPr="009166AD">
        <w:t xml:space="preserve">, </w:t>
      </w:r>
      <w:r w:rsidRPr="009166AD">
        <w:lastRenderedPageBreak/>
        <w:t>inhibition of target cell proliferation, and antibody-d</w:t>
      </w:r>
      <w:r w:rsidR="003217AA">
        <w:t>ependent cellular cytotoxicity (ADCC)</w:t>
      </w:r>
      <w:r w:rsidRPr="009166AD">
        <w:t xml:space="preserve"> activity</w:t>
      </w:r>
      <w:r>
        <w:t>) also showed similarity.</w:t>
      </w:r>
    </w:p>
    <w:p w14:paraId="62ACFFBC" w14:textId="77777777" w:rsidR="008E7846" w:rsidRDefault="008E7846" w:rsidP="008E7846">
      <w:pPr>
        <w:pStyle w:val="Heading3"/>
      </w:pPr>
      <w:bookmarkStart w:id="36" w:name="_Toc314842512"/>
      <w:bookmarkStart w:id="37" w:name="_Toc35445586"/>
      <w:r>
        <w:t>Nonclinical</w:t>
      </w:r>
      <w:bookmarkEnd w:id="36"/>
      <w:bookmarkEnd w:id="37"/>
    </w:p>
    <w:p w14:paraId="21DBC337" w14:textId="77777777" w:rsidR="006412BA" w:rsidRDefault="006412BA" w:rsidP="006412BA">
      <w:pPr>
        <w:rPr>
          <w:lang w:eastAsia="en-AU"/>
        </w:rPr>
      </w:pPr>
      <w:bookmarkStart w:id="38" w:name="_Toc247691530"/>
      <w:bookmarkStart w:id="39" w:name="_Toc314842513"/>
      <w:r>
        <w:rPr>
          <w:lang w:eastAsia="en-AU"/>
        </w:rPr>
        <w:t>The nonclinical evaluator had no objections to approval.</w:t>
      </w:r>
    </w:p>
    <w:p w14:paraId="06DCC863" w14:textId="77777777" w:rsidR="006412BA" w:rsidRDefault="006412BA" w:rsidP="006412BA">
      <w:r>
        <w:t>The submitted nonclinical studies were:</w:t>
      </w:r>
    </w:p>
    <w:p w14:paraId="5F00224E" w14:textId="7D06A24D" w:rsidR="006412BA" w:rsidRDefault="00B634FA" w:rsidP="006412BA">
      <w:pPr>
        <w:pStyle w:val="ListBullet"/>
      </w:pPr>
      <w:r>
        <w:t xml:space="preserve">a single </w:t>
      </w:r>
      <w:r w:rsidR="006412BA">
        <w:t xml:space="preserve">dose comparative PK study in </w:t>
      </w:r>
      <w:proofErr w:type="spellStart"/>
      <w:r w:rsidR="006412BA">
        <w:t>cynomolgus</w:t>
      </w:r>
      <w:proofErr w:type="spellEnd"/>
      <w:r w:rsidR="006412BA">
        <w:t xml:space="preserve"> monkeys comparing</w:t>
      </w:r>
      <w:r>
        <w:t xml:space="preserve"> the biosimilar to </w:t>
      </w:r>
      <w:r w:rsidR="00964429">
        <w:t>EU-Herceptin; and</w:t>
      </w:r>
    </w:p>
    <w:p w14:paraId="2330E7D9" w14:textId="77777777" w:rsidR="006412BA" w:rsidRPr="006412BA" w:rsidRDefault="006412BA" w:rsidP="006412BA">
      <w:pPr>
        <w:pStyle w:val="ListBullet"/>
        <w:rPr>
          <w:rFonts w:eastAsia="MS Mincho" w:cstheme="minorBidi"/>
          <w:lang w:eastAsia="en-AU"/>
        </w:rPr>
      </w:pPr>
      <w:proofErr w:type="gramStart"/>
      <w:r>
        <w:t>a</w:t>
      </w:r>
      <w:proofErr w:type="gramEnd"/>
      <w:r>
        <w:t xml:space="preserve"> 4-week, repeat-dose toxicity and </w:t>
      </w:r>
      <w:proofErr w:type="spellStart"/>
      <w:r>
        <w:t>toxicokinetic</w:t>
      </w:r>
      <w:proofErr w:type="spellEnd"/>
      <w:r>
        <w:t xml:space="preserve"> study in </w:t>
      </w:r>
      <w:proofErr w:type="spellStart"/>
      <w:r>
        <w:t>cynomolgus</w:t>
      </w:r>
      <w:proofErr w:type="spellEnd"/>
      <w:r>
        <w:t xml:space="preserve"> monkeys comparing the biosimilar to EU-Herceptin.</w:t>
      </w:r>
    </w:p>
    <w:p w14:paraId="263B3DAF" w14:textId="77777777" w:rsidR="006412BA" w:rsidRDefault="006412BA" w:rsidP="006412BA">
      <w:r>
        <w:t xml:space="preserve">These studies did </w:t>
      </w:r>
      <w:r w:rsidRPr="004107B0">
        <w:t xml:space="preserve">not identify </w:t>
      </w:r>
      <w:r>
        <w:t xml:space="preserve">any </w:t>
      </w:r>
      <w:r w:rsidRPr="004107B0">
        <w:t xml:space="preserve">differences in the PK or toxicity profile of </w:t>
      </w:r>
      <w:r>
        <w:t>the proposed biosimilar</w:t>
      </w:r>
      <w:r w:rsidRPr="004107B0">
        <w:t xml:space="preserve"> compared to EU-H</w:t>
      </w:r>
      <w:r w:rsidR="00456ED3">
        <w:t xml:space="preserve">erceptin in </w:t>
      </w:r>
      <w:proofErr w:type="spellStart"/>
      <w:r w:rsidR="00456ED3">
        <w:t>cynomolgus</w:t>
      </w:r>
      <w:proofErr w:type="spellEnd"/>
      <w:r w:rsidR="00456ED3">
        <w:t xml:space="preserve"> monkeys.</w:t>
      </w:r>
    </w:p>
    <w:p w14:paraId="49BA31D9" w14:textId="77777777" w:rsidR="008E7846" w:rsidRDefault="008E7846" w:rsidP="008E7846">
      <w:pPr>
        <w:pStyle w:val="Heading3"/>
      </w:pPr>
      <w:bookmarkStart w:id="40" w:name="_Toc35445587"/>
      <w:r>
        <w:t>Clinical</w:t>
      </w:r>
      <w:bookmarkEnd w:id="38"/>
      <w:bookmarkEnd w:id="39"/>
      <w:bookmarkEnd w:id="40"/>
    </w:p>
    <w:p w14:paraId="0717326B" w14:textId="77777777" w:rsidR="00456ED3" w:rsidRDefault="00456ED3" w:rsidP="00456ED3">
      <w:bookmarkStart w:id="41" w:name="_Toc314842514"/>
      <w:r>
        <w:t xml:space="preserve">Three clinical studies (2 clinical pharmacology studies and 1 comparative clinical study) </w:t>
      </w:r>
      <w:proofErr w:type="gramStart"/>
      <w:r>
        <w:t>were submitted</w:t>
      </w:r>
      <w:proofErr w:type="gramEnd"/>
      <w:r>
        <w:t xml:space="preserve"> to reduce residual uncertainties following the analytic studies (and nonclinical studies).</w:t>
      </w:r>
    </w:p>
    <w:p w14:paraId="1FF5EB85" w14:textId="77777777" w:rsidR="00456ED3" w:rsidRPr="008C034E" w:rsidRDefault="00456ED3" w:rsidP="008B614E">
      <w:pPr>
        <w:pStyle w:val="Heading4"/>
      </w:pPr>
      <w:r>
        <w:t>Clinical pharmacology studies</w:t>
      </w:r>
    </w:p>
    <w:p w14:paraId="38590D15" w14:textId="165FC457" w:rsidR="00456ED3" w:rsidRDefault="00456ED3" w:rsidP="008B614E">
      <w:pPr>
        <w:pStyle w:val="ListBullet"/>
      </w:pPr>
      <w:r>
        <w:t>Study MYL-Her-1</w:t>
      </w:r>
      <w:r w:rsidR="00B634FA">
        <w:t>001 was a single</w:t>
      </w:r>
      <w:r w:rsidR="002F672C">
        <w:t xml:space="preserve"> </w:t>
      </w:r>
      <w:r w:rsidR="00B634FA">
        <w:t>cent</w:t>
      </w:r>
      <w:r w:rsidR="00222EAC">
        <w:t>re</w:t>
      </w:r>
      <w:r w:rsidR="00B634FA">
        <w:t xml:space="preserve">, single </w:t>
      </w:r>
      <w:r>
        <w:t>dose, 2-period, randomi</w:t>
      </w:r>
      <w:r w:rsidR="002F672C">
        <w:t>s</w:t>
      </w:r>
      <w:r>
        <w:t>ed, double</w:t>
      </w:r>
      <w:r w:rsidR="002F672C">
        <w:t xml:space="preserve"> </w:t>
      </w:r>
      <w:r>
        <w:t xml:space="preserve">blind, crossover study in healthy male volunteers. The </w:t>
      </w:r>
      <w:r w:rsidR="00964429">
        <w:t>participants</w:t>
      </w:r>
      <w:r>
        <w:t xml:space="preserve"> received </w:t>
      </w:r>
      <w:r w:rsidR="00964429">
        <w:t xml:space="preserve">either </w:t>
      </w:r>
      <w:r>
        <w:t xml:space="preserve">the </w:t>
      </w:r>
      <w:proofErr w:type="spellStart"/>
      <w:r>
        <w:t>Ogivri</w:t>
      </w:r>
      <w:proofErr w:type="spellEnd"/>
      <w:r>
        <w:t xml:space="preserve"> or EU-Herceptin in Period I and the reverse in Period II. The primary objective was to confirm bioequivalence between </w:t>
      </w:r>
      <w:proofErr w:type="spellStart"/>
      <w:r>
        <w:t>Ogivri</w:t>
      </w:r>
      <w:proofErr w:type="spellEnd"/>
      <w:r>
        <w:t xml:space="preserve"> and Herceptin administered at a dose of 8 mg/kg, administered as a single IV infusion over 90 minutes in healthy male volunteers</w:t>
      </w:r>
    </w:p>
    <w:p w14:paraId="4B57A835" w14:textId="7851694E" w:rsidR="00456ED3" w:rsidRDefault="00456ED3" w:rsidP="00456ED3">
      <w:pPr>
        <w:pStyle w:val="ListBullet"/>
      </w:pPr>
      <w:r>
        <w:t>S</w:t>
      </w:r>
      <w:r w:rsidRPr="00094602">
        <w:t>tudy MYL-Her-1</w:t>
      </w:r>
      <w:r w:rsidR="00B634FA">
        <w:t>002 was a single</w:t>
      </w:r>
      <w:r w:rsidR="002F672C">
        <w:t xml:space="preserve"> </w:t>
      </w:r>
      <w:r w:rsidR="00B634FA">
        <w:t>cent</w:t>
      </w:r>
      <w:r w:rsidR="00222EAC">
        <w:t>re</w:t>
      </w:r>
      <w:r w:rsidR="00B634FA">
        <w:t>, single dose, randomi</w:t>
      </w:r>
      <w:r w:rsidR="002F672C">
        <w:t>s</w:t>
      </w:r>
      <w:r w:rsidR="00B634FA">
        <w:t xml:space="preserve">ed, double </w:t>
      </w:r>
      <w:r w:rsidRPr="00094602">
        <w:t>blind, 3</w:t>
      </w:r>
      <w:r w:rsidR="002F672C">
        <w:noBreakHyphen/>
      </w:r>
      <w:r w:rsidRPr="00094602">
        <w:t xml:space="preserve">arm parallel-group study investigating the bioequivalence of </w:t>
      </w:r>
      <w:proofErr w:type="spellStart"/>
      <w:r>
        <w:t>Ogivri</w:t>
      </w:r>
      <w:proofErr w:type="spellEnd"/>
      <w:r w:rsidRPr="00094602">
        <w:t xml:space="preserve"> ver</w:t>
      </w:r>
      <w:r w:rsidR="00B634FA">
        <w:t>sus EU</w:t>
      </w:r>
      <w:r w:rsidR="00B634FA">
        <w:noBreakHyphen/>
      </w:r>
      <w:r>
        <w:t>Herceptin and US-</w:t>
      </w:r>
      <w:r w:rsidRPr="00094602">
        <w:t xml:space="preserve">Herceptin after 8 mg/kg as single dose administered as </w:t>
      </w:r>
      <w:r w:rsidR="002F672C">
        <w:t xml:space="preserve">an </w:t>
      </w:r>
      <w:r w:rsidRPr="00094602">
        <w:t xml:space="preserve">IV infusion over 90 minutes in healthy male </w:t>
      </w:r>
      <w:r>
        <w:t>volunteers.</w:t>
      </w:r>
    </w:p>
    <w:p w14:paraId="7CDCE153" w14:textId="77777777" w:rsidR="00456ED3" w:rsidRDefault="00456ED3" w:rsidP="008B614E">
      <w:r>
        <w:t xml:space="preserve">Healthy male volunteers </w:t>
      </w:r>
      <w:proofErr w:type="gramStart"/>
      <w:r>
        <w:t>were recruited</w:t>
      </w:r>
      <w:proofErr w:type="gramEnd"/>
      <w:r>
        <w:t xml:space="preserve"> to the studies because PK differences are more likely to be detected on this group.</w:t>
      </w:r>
    </w:p>
    <w:p w14:paraId="40BD38D2" w14:textId="77777777" w:rsidR="00456ED3" w:rsidRPr="008C034E" w:rsidRDefault="00456ED3" w:rsidP="008B614E">
      <w:pPr>
        <w:pStyle w:val="Heading4"/>
      </w:pPr>
      <w:r w:rsidRPr="008C034E">
        <w:t>Comparative clinical study</w:t>
      </w:r>
    </w:p>
    <w:p w14:paraId="363999F2" w14:textId="16445028" w:rsidR="00456ED3" w:rsidRDefault="00456ED3" w:rsidP="00456ED3">
      <w:pPr>
        <w:pStyle w:val="ListBullet"/>
      </w:pPr>
      <w:proofErr w:type="gramStart"/>
      <w:r>
        <w:t>Study MYL-Her-3001 (</w:t>
      </w:r>
      <w:r w:rsidR="002F672C">
        <w:t xml:space="preserve">also known as </w:t>
      </w:r>
      <w:r>
        <w:t xml:space="preserve">the </w:t>
      </w:r>
      <w:r w:rsidR="002F672C">
        <w:t>HERITAGE trial</w:t>
      </w:r>
      <w:r>
        <w:t>) was</w:t>
      </w:r>
      <w:r w:rsidRPr="00647744">
        <w:t xml:space="preserve"> a multicentr</w:t>
      </w:r>
      <w:r w:rsidR="002F672C">
        <w:t>e</w:t>
      </w:r>
      <w:r w:rsidRPr="00647744">
        <w:t>, double</w:t>
      </w:r>
      <w:r w:rsidR="002F672C">
        <w:t xml:space="preserve"> </w:t>
      </w:r>
      <w:r w:rsidRPr="00647744">
        <w:t>blind, randomi</w:t>
      </w:r>
      <w:r w:rsidR="002F672C">
        <w:t>s</w:t>
      </w:r>
      <w:r w:rsidRPr="00647744">
        <w:t xml:space="preserve">ed, parallel-group, pivotal confirmatory study to compare the efficacy and safety of </w:t>
      </w:r>
      <w:proofErr w:type="spellStart"/>
      <w:r>
        <w:t>Ogivri</w:t>
      </w:r>
      <w:proofErr w:type="spellEnd"/>
      <w:r w:rsidRPr="00647744">
        <w:t xml:space="preserve"> plus docetaxel or paclitaxel (</w:t>
      </w:r>
      <w:r w:rsidR="00B634FA">
        <w:t>that is</w:t>
      </w:r>
      <w:r>
        <w:t xml:space="preserve">, </w:t>
      </w:r>
      <w:proofErr w:type="spellStart"/>
      <w:r>
        <w:t>taxane</w:t>
      </w:r>
      <w:proofErr w:type="spellEnd"/>
      <w:r>
        <w:t>) versus EU-</w:t>
      </w:r>
      <w:r w:rsidRPr="00647744">
        <w:t xml:space="preserve">Herceptin plus a </w:t>
      </w:r>
      <w:proofErr w:type="spellStart"/>
      <w:r w:rsidRPr="00647744">
        <w:t>taxane</w:t>
      </w:r>
      <w:proofErr w:type="spellEnd"/>
      <w:r w:rsidRPr="00647744">
        <w:t xml:space="preserve"> in patients with </w:t>
      </w:r>
      <w:r w:rsidR="00B634FA">
        <w:t>ErbB-2</w:t>
      </w:r>
      <w:r w:rsidRPr="00647744">
        <w:t>-positive metastatic breast cancer (MBC; documented by central laboratory results) with continuation</w:t>
      </w:r>
      <w:r>
        <w:t xml:space="preserve"> (part 2 of the study)</w:t>
      </w:r>
      <w:r w:rsidRPr="00647744">
        <w:t xml:space="preserve"> of single-agent </w:t>
      </w:r>
      <w:proofErr w:type="spellStart"/>
      <w:r>
        <w:t>Ogivri</w:t>
      </w:r>
      <w:proofErr w:type="spellEnd"/>
      <w:r w:rsidRPr="00647744">
        <w:t xml:space="preserve"> versus Herceptin for patients who had at least stable disease in order to evaluate continued safety and immunogenicity.</w:t>
      </w:r>
      <w:proofErr w:type="gramEnd"/>
    </w:p>
    <w:p w14:paraId="5AD3A198" w14:textId="77777777" w:rsidR="00456ED3" w:rsidRPr="00C207E1" w:rsidRDefault="00456ED3" w:rsidP="00456ED3">
      <w:pPr>
        <w:pStyle w:val="Heading4"/>
      </w:pPr>
      <w:r w:rsidRPr="00C207E1">
        <w:t>Supportive studies</w:t>
      </w:r>
    </w:p>
    <w:p w14:paraId="03EB2568" w14:textId="4D83627A" w:rsidR="00456ED3" w:rsidRDefault="00456ED3" w:rsidP="008B614E">
      <w:pPr>
        <w:pStyle w:val="ListBullet"/>
      </w:pPr>
      <w:r>
        <w:t xml:space="preserve">The </w:t>
      </w:r>
      <w:r w:rsidR="00B634FA">
        <w:t>population pharmacokinetic (</w:t>
      </w:r>
      <w:proofErr w:type="spellStart"/>
      <w:r>
        <w:t>popPK</w:t>
      </w:r>
      <w:proofErr w:type="spellEnd"/>
      <w:r w:rsidR="00B634FA">
        <w:t>)</w:t>
      </w:r>
      <w:r>
        <w:t xml:space="preserve"> model showed good concordance be</w:t>
      </w:r>
      <w:r w:rsidR="00B634FA">
        <w:t xml:space="preserve">tween the </w:t>
      </w:r>
      <w:proofErr w:type="spellStart"/>
      <w:r w:rsidR="00B634FA">
        <w:t>Ogivri</w:t>
      </w:r>
      <w:proofErr w:type="spellEnd"/>
      <w:r w:rsidR="00B634FA">
        <w:t xml:space="preserve"> and Herceptin</w:t>
      </w:r>
      <w:r w:rsidR="002F672C">
        <w:t xml:space="preserve"> </w:t>
      </w:r>
      <w:proofErr w:type="spellStart"/>
      <w:r w:rsidR="002F672C">
        <w:t>trastuzumab</w:t>
      </w:r>
      <w:proofErr w:type="spellEnd"/>
      <w:r w:rsidR="00B634FA">
        <w:t>.</w:t>
      </w:r>
    </w:p>
    <w:p w14:paraId="6F06AA72" w14:textId="231696A6" w:rsidR="00456ED3" w:rsidRDefault="00456ED3" w:rsidP="00456ED3">
      <w:pPr>
        <w:pStyle w:val="ListBullet"/>
      </w:pPr>
      <w:r>
        <w:lastRenderedPageBreak/>
        <w:t>Study BM200-CT3-001-11</w:t>
      </w:r>
      <w:r w:rsidRPr="005B309E">
        <w:t xml:space="preserve"> </w:t>
      </w:r>
      <w:r>
        <w:t>(</w:t>
      </w:r>
      <w:r w:rsidRPr="005B309E">
        <w:t xml:space="preserve">with the </w:t>
      </w:r>
      <w:r w:rsidR="001C02F4">
        <w:t>[information redacted]</w:t>
      </w:r>
      <w:r>
        <w:t>; Bmab-200)</w:t>
      </w:r>
      <w:r w:rsidRPr="005B309E">
        <w:t xml:space="preserve"> suppor</w:t>
      </w:r>
      <w:r>
        <w:t xml:space="preserve">ted similarity to EU-Herceptin, based on PK parameters. It enrolled 135 women with metastatic breast cancer; dosed </w:t>
      </w:r>
      <w:r w:rsidR="00F33350">
        <w:t>every 3</w:t>
      </w:r>
      <w:r>
        <w:t>week</w:t>
      </w:r>
      <w:r w:rsidR="00F33350">
        <w:t>s</w:t>
      </w:r>
      <w:r>
        <w:t xml:space="preserve"> over 24 weeks (103 completed all 8 cycles). The 90% </w:t>
      </w:r>
      <w:r w:rsidR="003217AA">
        <w:rPr>
          <w:rFonts w:asciiTheme="minorHAnsi" w:hAnsiTheme="minorHAnsi" w:cs="†p˜øwcÊ"/>
          <w:lang w:val="en-US"/>
        </w:rPr>
        <w:t>confidence interval</w:t>
      </w:r>
      <w:r>
        <w:t xml:space="preserve"> </w:t>
      </w:r>
      <w:r w:rsidR="003217AA">
        <w:t>(</w:t>
      </w:r>
      <w:r w:rsidR="003217AA">
        <w:rPr>
          <w:rFonts w:asciiTheme="minorHAnsi" w:hAnsiTheme="minorHAnsi" w:cs="†p˜øwcÊ"/>
          <w:lang w:val="en-US"/>
        </w:rPr>
        <w:t>CI</w:t>
      </w:r>
      <w:r w:rsidR="003217AA">
        <w:t xml:space="preserve">) </w:t>
      </w:r>
      <w:r>
        <w:t xml:space="preserve">for </w:t>
      </w:r>
      <w:proofErr w:type="spellStart"/>
      <w:r w:rsidR="003217AA">
        <w:t>C</w:t>
      </w:r>
      <w:r w:rsidR="003217AA" w:rsidRPr="003217AA">
        <w:rPr>
          <w:vertAlign w:val="subscript"/>
        </w:rPr>
        <w:t>max</w:t>
      </w:r>
      <w:proofErr w:type="spellEnd"/>
      <w:r>
        <w:t xml:space="preserve"> and AUC</w:t>
      </w:r>
      <w:r w:rsidR="00F33350">
        <w:t>;</w:t>
      </w:r>
      <w:r w:rsidR="003217AA">
        <w:rPr>
          <w:rStyle w:val="FootnoteReference"/>
        </w:rPr>
        <w:footnoteReference w:id="3"/>
      </w:r>
      <w:r>
        <w:t xml:space="preserve"> were within the acceptance interval of 80% to 125%. </w:t>
      </w:r>
      <w:proofErr w:type="gramStart"/>
      <w:r>
        <w:t>It was the main clinical study that</w:t>
      </w:r>
      <w:proofErr w:type="gramEnd"/>
      <w:r>
        <w:t xml:space="preserve"> supported the marketing approval of Bmab-200 in India in Jan</w:t>
      </w:r>
      <w:r w:rsidR="0032532E">
        <w:t>uary</w:t>
      </w:r>
      <w:r w:rsidR="008D12AA">
        <w:t xml:space="preserve"> 2014.</w:t>
      </w:r>
    </w:p>
    <w:p w14:paraId="6DC5C2EF" w14:textId="77777777" w:rsidR="00011B32" w:rsidRDefault="00456ED3" w:rsidP="00456ED3">
      <w:pPr>
        <w:pStyle w:val="Heading4"/>
      </w:pPr>
      <w:r w:rsidRPr="00540C53">
        <w:t>P</w:t>
      </w:r>
      <w:r w:rsidR="00011B32">
        <w:t>harmacokinetics</w:t>
      </w:r>
    </w:p>
    <w:p w14:paraId="56D43DD7" w14:textId="2647C9A2" w:rsidR="00456ED3" w:rsidRPr="00540C53" w:rsidRDefault="00F33350" w:rsidP="00011B32">
      <w:r>
        <w:t>Tables 3 and 4 summarise the PKs</w:t>
      </w:r>
      <w:r w:rsidRPr="00540C53">
        <w:t xml:space="preserve"> </w:t>
      </w:r>
      <w:r w:rsidR="00456ED3" w:rsidRPr="00540C53">
        <w:t>results from the clinical pharmacology studies</w:t>
      </w:r>
      <w:r w:rsidR="00011B32">
        <w:t>.</w:t>
      </w:r>
    </w:p>
    <w:p w14:paraId="2755340E" w14:textId="7C17EC25" w:rsidR="00456ED3" w:rsidRDefault="00456ED3" w:rsidP="00456ED3">
      <w:pPr>
        <w:pStyle w:val="TableTitle"/>
      </w:pPr>
      <w:r>
        <w:t xml:space="preserve">Table </w:t>
      </w:r>
      <w:r w:rsidR="00C40F6D">
        <w:t>3</w:t>
      </w:r>
      <w:r>
        <w:t xml:space="preserve">: Study </w:t>
      </w:r>
      <w:r w:rsidRPr="00516C17">
        <w:t>M</w:t>
      </w:r>
      <w:r>
        <w:t>YL</w:t>
      </w:r>
      <w:r w:rsidRPr="00516C17">
        <w:t>-Her</w:t>
      </w:r>
      <w:r w:rsidR="00F33350">
        <w:t>-</w:t>
      </w:r>
      <w:r w:rsidRPr="00516C17">
        <w:t>1001</w:t>
      </w:r>
      <w:r w:rsidR="00F33350">
        <w:t xml:space="preserve"> pharmacokinetic results</w:t>
      </w:r>
    </w:p>
    <w:p w14:paraId="0ABAB37D" w14:textId="77777777" w:rsidR="00456ED3" w:rsidRDefault="00456ED3" w:rsidP="00456ED3">
      <w:r>
        <w:rPr>
          <w:noProof/>
          <w:lang w:eastAsia="en-AU"/>
        </w:rPr>
        <w:drawing>
          <wp:inline distT="0" distB="0" distL="0" distR="0" wp14:anchorId="27D926F5" wp14:editId="608CDF4F">
            <wp:extent cx="4714875" cy="1295400"/>
            <wp:effectExtent l="0" t="0" r="9525" b="0"/>
            <wp:docPr id="442566427" name="Picture 1" descr="Results of Study MYL-Her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4714875" cy="1295400"/>
                    </a:xfrm>
                    <a:prstGeom prst="rect">
                      <a:avLst/>
                    </a:prstGeom>
                  </pic:spPr>
                </pic:pic>
              </a:graphicData>
            </a:graphic>
          </wp:inline>
        </w:drawing>
      </w:r>
    </w:p>
    <w:p w14:paraId="378470F1" w14:textId="3CCB4F96" w:rsidR="00456ED3" w:rsidRDefault="00C40F6D" w:rsidP="00456ED3">
      <w:pPr>
        <w:pStyle w:val="TableTitle"/>
      </w:pPr>
      <w:r>
        <w:t>Table 4</w:t>
      </w:r>
      <w:r w:rsidR="00456ED3">
        <w:t>: Study MYL-Her-1002</w:t>
      </w:r>
      <w:r w:rsidR="00F33350">
        <w:t xml:space="preserve"> pharmacokinetic results</w:t>
      </w:r>
    </w:p>
    <w:p w14:paraId="6EED9FAB" w14:textId="77777777" w:rsidR="00456ED3" w:rsidRDefault="00456ED3" w:rsidP="00456ED3">
      <w:r>
        <w:rPr>
          <w:noProof/>
          <w:lang w:eastAsia="en-AU"/>
        </w:rPr>
        <w:drawing>
          <wp:inline distT="0" distB="0" distL="0" distR="0" wp14:anchorId="46AC14BC" wp14:editId="12E9B574">
            <wp:extent cx="4610098" cy="2019300"/>
            <wp:effectExtent l="0" t="0" r="0" b="0"/>
            <wp:docPr id="1982527051" name="Picture 2" descr="Results of Study MYL-Her-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4610098" cy="2019300"/>
                    </a:xfrm>
                    <a:prstGeom prst="rect">
                      <a:avLst/>
                    </a:prstGeom>
                  </pic:spPr>
                </pic:pic>
              </a:graphicData>
            </a:graphic>
          </wp:inline>
        </w:drawing>
      </w:r>
    </w:p>
    <w:p w14:paraId="2D136652" w14:textId="3DED154A" w:rsidR="00456ED3" w:rsidRDefault="00456ED3" w:rsidP="00456ED3">
      <w:r>
        <w:t>EU-Herceptin versus US-Herceptin</w:t>
      </w:r>
      <w:r w:rsidR="00F33350">
        <w:t>:</w:t>
      </w:r>
    </w:p>
    <w:p w14:paraId="5C4933BA" w14:textId="77777777" w:rsidR="00456ED3" w:rsidRDefault="003217AA" w:rsidP="00456ED3">
      <w:pPr>
        <w:pStyle w:val="ListBullet"/>
      </w:pPr>
      <w:proofErr w:type="spellStart"/>
      <w:r>
        <w:t>C</w:t>
      </w:r>
      <w:r w:rsidRPr="003217AA">
        <w:rPr>
          <w:vertAlign w:val="subscript"/>
        </w:rPr>
        <w:t>max</w:t>
      </w:r>
      <w:proofErr w:type="spellEnd"/>
      <w:r w:rsidR="00B634FA">
        <w:t xml:space="preserve">: </w:t>
      </w:r>
      <w:r w:rsidR="00456ED3">
        <w:t>97.1 (92.2, 102.4)</w:t>
      </w:r>
    </w:p>
    <w:p w14:paraId="7F523B89" w14:textId="2CB5F731" w:rsidR="00456ED3" w:rsidRPr="009F6B29" w:rsidRDefault="003217AA" w:rsidP="00456ED3">
      <w:pPr>
        <w:pStyle w:val="ListBullet"/>
      </w:pPr>
      <w:r>
        <w:rPr>
          <w:rFonts w:asciiTheme="minorHAnsi" w:hAnsiTheme="minorHAnsi" w:cs="†p˜øwcÊ"/>
          <w:lang w:val="en-US"/>
        </w:rPr>
        <w:t>AUC</w:t>
      </w:r>
      <w:r>
        <w:rPr>
          <w:rFonts w:asciiTheme="minorHAnsi" w:hAnsiTheme="minorHAnsi" w:cs="†p˜øwcÊ"/>
          <w:vertAlign w:val="subscript"/>
          <w:lang w:val="en-US"/>
        </w:rPr>
        <w:t>0-∞</w:t>
      </w:r>
      <w:r>
        <w:t>:98.5 (92.4, 105.1).</w:t>
      </w:r>
      <w:r w:rsidR="00F33350">
        <w:rPr>
          <w:rStyle w:val="FootnoteReference"/>
        </w:rPr>
        <w:footnoteReference w:id="4"/>
      </w:r>
    </w:p>
    <w:p w14:paraId="10C2F63A" w14:textId="77777777" w:rsidR="00456ED3" w:rsidRDefault="00456ED3" w:rsidP="00456ED3">
      <w:r>
        <w:t xml:space="preserve">These studies establish the pairwise bioequivalence of </w:t>
      </w:r>
      <w:proofErr w:type="spellStart"/>
      <w:r>
        <w:t>Ogivri</w:t>
      </w:r>
      <w:proofErr w:type="spellEnd"/>
      <w:r>
        <w:t>, US-Herceptin, EU-Herceptin: all the 90% CI are well within the acceptance interval of 80% to 125%.</w:t>
      </w:r>
    </w:p>
    <w:p w14:paraId="226CC180" w14:textId="77777777" w:rsidR="00456ED3" w:rsidRDefault="00456ED3" w:rsidP="00456ED3">
      <w:r>
        <w:t xml:space="preserve">The studies also checked the immunogenicity of </w:t>
      </w:r>
      <w:proofErr w:type="spellStart"/>
      <w:r>
        <w:t>Ogivri</w:t>
      </w:r>
      <w:proofErr w:type="spellEnd"/>
      <w:r>
        <w:t xml:space="preserve"> and Herceptin. </w:t>
      </w:r>
      <w:r w:rsidRPr="005B309E">
        <w:t xml:space="preserve">There were no detectable </w:t>
      </w:r>
      <w:r>
        <w:t>anti-drug antibodies (</w:t>
      </w:r>
      <w:r w:rsidRPr="005B309E">
        <w:t>ADAs</w:t>
      </w:r>
      <w:r>
        <w:t xml:space="preserve">), </w:t>
      </w:r>
      <w:r w:rsidRPr="005B309E">
        <w:t>indic</w:t>
      </w:r>
      <w:r>
        <w:t>ating no immunogenicity</w:t>
      </w:r>
      <w:r w:rsidRPr="005B309E">
        <w:t xml:space="preserve">. This </w:t>
      </w:r>
      <w:proofErr w:type="gramStart"/>
      <w:r w:rsidRPr="005B309E">
        <w:t>was expected</w:t>
      </w:r>
      <w:proofErr w:type="gramEnd"/>
      <w:r w:rsidRPr="005B309E">
        <w:t xml:space="preserve"> given the known low</w:t>
      </w:r>
      <w:r>
        <w:t xml:space="preserve"> immunogenicity of </w:t>
      </w:r>
      <w:proofErr w:type="spellStart"/>
      <w:r>
        <w:t>tras</w:t>
      </w:r>
      <w:r w:rsidRPr="005B309E">
        <w:t>tuzumab</w:t>
      </w:r>
      <w:proofErr w:type="spellEnd"/>
      <w:r w:rsidRPr="005B309E">
        <w:t xml:space="preserve"> and </w:t>
      </w:r>
      <w:r>
        <w:t>the</w:t>
      </w:r>
      <w:r w:rsidRPr="005B309E">
        <w:t xml:space="preserve"> single doses in healthy </w:t>
      </w:r>
      <w:r>
        <w:t>volunteers.</w:t>
      </w:r>
    </w:p>
    <w:p w14:paraId="41480858" w14:textId="77777777" w:rsidR="00011B32" w:rsidRPr="00540C53" w:rsidRDefault="00011B32" w:rsidP="00011B32">
      <w:pPr>
        <w:pStyle w:val="Heading4"/>
        <w:rPr>
          <w:u w:val="single"/>
        </w:rPr>
      </w:pPr>
      <w:r w:rsidRPr="00540C53">
        <w:t>Pharmacodynamics</w:t>
      </w:r>
    </w:p>
    <w:p w14:paraId="0374DE55" w14:textId="77777777" w:rsidR="00011B32" w:rsidRDefault="00011B32" w:rsidP="00011B32">
      <w:pPr>
        <w:pStyle w:val="ListBullet"/>
      </w:pPr>
      <w:r>
        <w:t xml:space="preserve">There are no established PD endpoints for </w:t>
      </w:r>
      <w:proofErr w:type="spellStart"/>
      <w:r>
        <w:t>trastuzumab</w:t>
      </w:r>
      <w:proofErr w:type="spellEnd"/>
      <w:r>
        <w:t>.</w:t>
      </w:r>
    </w:p>
    <w:p w14:paraId="3582057F" w14:textId="77777777" w:rsidR="00011B32" w:rsidRDefault="00011B32" w:rsidP="00011B32">
      <w:pPr>
        <w:pStyle w:val="ListBullet"/>
      </w:pPr>
      <w:r>
        <w:lastRenderedPageBreak/>
        <w:t xml:space="preserve">In </w:t>
      </w:r>
      <w:r w:rsidR="00B634FA">
        <w:t xml:space="preserve">Study </w:t>
      </w:r>
      <w:r>
        <w:t xml:space="preserve">Myl-Her-1001, </w:t>
      </w:r>
      <w:r w:rsidRPr="00A533BF">
        <w:rPr>
          <w:i/>
        </w:rPr>
        <w:t>ex vivo</w:t>
      </w:r>
      <w:r w:rsidRPr="000A105C">
        <w:t xml:space="preserve"> serum samples and peripheral blood mononuclear cells </w:t>
      </w:r>
      <w:proofErr w:type="gramStart"/>
      <w:r w:rsidRPr="000A105C">
        <w:t>were used</w:t>
      </w:r>
      <w:proofErr w:type="gramEnd"/>
      <w:r w:rsidRPr="000A105C">
        <w:t xml:space="preserve"> for exploratory investigation.</w:t>
      </w:r>
    </w:p>
    <w:p w14:paraId="5819AFD4" w14:textId="77777777" w:rsidR="00011B32" w:rsidRDefault="00011B32" w:rsidP="008B614E">
      <w:pPr>
        <w:pStyle w:val="ListBullet"/>
      </w:pPr>
      <w:r>
        <w:t>Because there is no validated PD marker (</w:t>
      </w:r>
      <w:r w:rsidRPr="000A105C">
        <w:t xml:space="preserve">predictive of the efficacy for </w:t>
      </w:r>
      <w:proofErr w:type="spellStart"/>
      <w:r w:rsidRPr="000A105C">
        <w:t>trastuzumab</w:t>
      </w:r>
      <w:proofErr w:type="spellEnd"/>
      <w:r>
        <w:t xml:space="preserve">), </w:t>
      </w:r>
      <w:r w:rsidRPr="000A105C">
        <w:t xml:space="preserve">the </w:t>
      </w:r>
      <w:r>
        <w:t>various</w:t>
      </w:r>
      <w:r w:rsidRPr="000A105C">
        <w:t xml:space="preserve"> PD endpoints </w:t>
      </w:r>
      <w:r>
        <w:t xml:space="preserve">that were investigated </w:t>
      </w:r>
      <w:r w:rsidRPr="000A105C">
        <w:t xml:space="preserve">cannot be considered as </w:t>
      </w:r>
      <w:r>
        <w:t>definitive evidence in support of similarity</w:t>
      </w:r>
      <w:r w:rsidRPr="000A105C">
        <w:t>.</w:t>
      </w:r>
      <w:r>
        <w:t xml:space="preserve"> Nevertheless, the PD findings do </w:t>
      </w:r>
      <w:r w:rsidRPr="000A105C">
        <w:t>not c</w:t>
      </w:r>
      <w:r>
        <w:t>ontradict the analytic, nonclinical a</w:t>
      </w:r>
      <w:r w:rsidR="00B634FA">
        <w:t>nd clinical data on similarity.</w:t>
      </w:r>
    </w:p>
    <w:p w14:paraId="6C7B37EC" w14:textId="6B4CDA70" w:rsidR="00011B32" w:rsidRDefault="00011B32" w:rsidP="008B614E">
      <w:r>
        <w:t>Note: Sections on the design, efficacy, and safety of the comparative clinical study</w:t>
      </w:r>
      <w:r w:rsidR="00F33350">
        <w:t xml:space="preserve"> (Study MYL-Her-3001/the HERITAGE trial)</w:t>
      </w:r>
      <w:r>
        <w:t xml:space="preserve"> are long, but their length does not reflect the relative importance of this study in establishing </w:t>
      </w:r>
      <w:proofErr w:type="spellStart"/>
      <w:r>
        <w:t>biosimilarity</w:t>
      </w:r>
      <w:proofErr w:type="spellEnd"/>
      <w:r>
        <w:t xml:space="preserve">. That is, </w:t>
      </w:r>
      <w:r w:rsidR="00F33350">
        <w:t>the HERITAGE trial</w:t>
      </w:r>
      <w:r>
        <w:t xml:space="preserve"> was the final step for a biosimilar that had already been shown to be highly similar to the reference biological medicine (Herceptin</w:t>
      </w:r>
      <w:r w:rsidR="00F33350">
        <w:t xml:space="preserve"> </w:t>
      </w:r>
      <w:proofErr w:type="spellStart"/>
      <w:r w:rsidR="00F33350">
        <w:t>trastuzumab</w:t>
      </w:r>
      <w:proofErr w:type="spellEnd"/>
      <w:r>
        <w:t>), based on analytic, functional, PK, and nonclinical (animal) studies.</w:t>
      </w:r>
    </w:p>
    <w:p w14:paraId="4E1D45C1" w14:textId="77777777" w:rsidR="00011B32" w:rsidRDefault="00011B32" w:rsidP="00222EAC">
      <w:pPr>
        <w:pStyle w:val="Heading4"/>
      </w:pPr>
      <w:r>
        <w:t>Design of the c</w:t>
      </w:r>
      <w:r w:rsidRPr="00540C53">
        <w:t xml:space="preserve">omparative </w:t>
      </w:r>
      <w:r>
        <w:t xml:space="preserve">Phase-III </w:t>
      </w:r>
      <w:r w:rsidRPr="00540C53">
        <w:t>clinical study</w:t>
      </w:r>
    </w:p>
    <w:p w14:paraId="5409E20A" w14:textId="7E64F8A3" w:rsidR="00011B32" w:rsidRDefault="00011B32" w:rsidP="00011B32">
      <w:r>
        <w:t xml:space="preserve">Study MYL-Her-3001 (the </w:t>
      </w:r>
      <w:r w:rsidR="00F33350">
        <w:t>HERITAGE trial</w:t>
      </w:r>
      <w:r>
        <w:t>)</w:t>
      </w:r>
    </w:p>
    <w:p w14:paraId="1A318D2D" w14:textId="77777777" w:rsidR="00011B32" w:rsidRPr="00011B32" w:rsidRDefault="00011B32" w:rsidP="00011B32">
      <w:pPr>
        <w:rPr>
          <w:rFonts w:eastAsia="Times New Roman"/>
        </w:rPr>
      </w:pPr>
      <w:r>
        <w:t xml:space="preserve">The results of this study </w:t>
      </w:r>
      <w:proofErr w:type="gramStart"/>
      <w:r>
        <w:t>have been published</w:t>
      </w:r>
      <w:proofErr w:type="gramEnd"/>
      <w:r w:rsidR="00B634FA">
        <w:t>.</w:t>
      </w:r>
      <w:r w:rsidR="00B634FA">
        <w:rPr>
          <w:rStyle w:val="FootnoteReference"/>
        </w:rPr>
        <w:footnoteReference w:id="5"/>
      </w:r>
    </w:p>
    <w:p w14:paraId="7A01AE44" w14:textId="77777777" w:rsidR="00011B32" w:rsidRDefault="00011B32" w:rsidP="00011B32">
      <w:pPr>
        <w:pStyle w:val="Heading5"/>
      </w:pPr>
      <w:r>
        <w:t xml:space="preserve">Role of this study in establishing </w:t>
      </w:r>
      <w:proofErr w:type="spellStart"/>
      <w:r>
        <w:t>biosimilarity</w:t>
      </w:r>
      <w:proofErr w:type="spellEnd"/>
    </w:p>
    <w:p w14:paraId="2D876C60" w14:textId="77777777" w:rsidR="00011B32" w:rsidRDefault="00011B32" w:rsidP="00011B32">
      <w:r>
        <w:t xml:space="preserve">This study </w:t>
      </w:r>
      <w:proofErr w:type="gramStart"/>
      <w:r>
        <w:t>was designed</w:t>
      </w:r>
      <w:proofErr w:type="gramEnd"/>
      <w:r>
        <w:t xml:space="preserve"> to check efficacy and safety for </w:t>
      </w:r>
      <w:proofErr w:type="spellStart"/>
      <w:r>
        <w:t>Ogivri</w:t>
      </w:r>
      <w:proofErr w:type="spellEnd"/>
      <w:r>
        <w:t>, which had already been shown to be structurally and functionally highly similar to a reference biological medicine (Herceptin). The earlier nonclinical (animal) studies were also supportive of similarity; and the clinical pharmacology stud</w:t>
      </w:r>
      <w:r w:rsidR="00B634FA">
        <w:t>ies established bioequivalence.</w:t>
      </w:r>
    </w:p>
    <w:p w14:paraId="3F557A83" w14:textId="77777777" w:rsidR="00011B32" w:rsidRDefault="00011B32" w:rsidP="00011B32">
      <w:r>
        <w:t xml:space="preserve">In other words, this comparative </w:t>
      </w:r>
      <w:r w:rsidR="00B634FA">
        <w:t>Phase III</w:t>
      </w:r>
      <w:r>
        <w:t xml:space="preserve"> study was not the main/pivotal evidence in the claim of </w:t>
      </w:r>
      <w:proofErr w:type="spellStart"/>
      <w:r>
        <w:t>biosimilarity</w:t>
      </w:r>
      <w:proofErr w:type="spellEnd"/>
      <w:r>
        <w:t>. It was the final step in development; a check of efficacy and safety</w:t>
      </w:r>
      <w:proofErr w:type="gramStart"/>
      <w:r>
        <w:t>;</w:t>
      </w:r>
      <w:proofErr w:type="gramEnd"/>
      <w:r>
        <w:t xml:space="preserve"> and an assessment of immunogenicity.</w:t>
      </w:r>
    </w:p>
    <w:p w14:paraId="4D49D30C" w14:textId="77777777" w:rsidR="00011B32" w:rsidRDefault="00011B32" w:rsidP="00011B32">
      <w:r>
        <w:t xml:space="preserve">For example, the pre-specified primary endpoint </w:t>
      </w:r>
      <w:r w:rsidR="00A51385">
        <w:t xml:space="preserve">objective response rate </w:t>
      </w:r>
      <w:r>
        <w:t xml:space="preserve">(ORR) was a short-term (24-week) surrogate endpoint. This would not typically be an acceptable endpoint in a confirmatory </w:t>
      </w:r>
      <w:r w:rsidR="00B634FA">
        <w:t>Phase III</w:t>
      </w:r>
      <w:r>
        <w:t xml:space="preserve"> study of a new medicine for metastatic breast cancer.</w:t>
      </w:r>
    </w:p>
    <w:p w14:paraId="24325CEF" w14:textId="77777777" w:rsidR="00011B32" w:rsidRPr="00540C53" w:rsidRDefault="00011B32" w:rsidP="00011B32">
      <w:pPr>
        <w:pStyle w:val="Heading5"/>
      </w:pPr>
      <w:r w:rsidRPr="00540C53">
        <w:t xml:space="preserve">Metastatic versus </w:t>
      </w:r>
      <w:proofErr w:type="spellStart"/>
      <w:r w:rsidRPr="00540C53">
        <w:t>neoadjuvant</w:t>
      </w:r>
      <w:proofErr w:type="spellEnd"/>
      <w:r w:rsidRPr="00540C53">
        <w:t xml:space="preserve"> setting</w:t>
      </w:r>
      <w:r>
        <w:t xml:space="preserve"> for the comparative clinical study</w:t>
      </w:r>
    </w:p>
    <w:p w14:paraId="3B24140B" w14:textId="77777777" w:rsidR="00011B32" w:rsidRDefault="00011B32" w:rsidP="00011B32">
      <w:r>
        <w:t xml:space="preserve">The comparative </w:t>
      </w:r>
      <w:r w:rsidR="00B634FA">
        <w:t>Phase III</w:t>
      </w:r>
      <w:r>
        <w:t xml:space="preserve"> study </w:t>
      </w:r>
      <w:proofErr w:type="gramStart"/>
      <w:r>
        <w:t>should be conducted</w:t>
      </w:r>
      <w:proofErr w:type="gramEnd"/>
      <w:r>
        <w:t xml:space="preserve"> in a homogeneous population and on a sensitive endpoint, so that the probability of identifying differences between the biosimilar and the reference biological medicine is maximised.</w:t>
      </w:r>
    </w:p>
    <w:p w14:paraId="7221ADF4" w14:textId="77777777" w:rsidR="00011B32" w:rsidRDefault="00011B32" w:rsidP="00011B32">
      <w:r>
        <w:t xml:space="preserve">Some commentators have postulated that women with early breast cancer in the </w:t>
      </w:r>
      <w:proofErr w:type="spellStart"/>
      <w:r>
        <w:t>neoadjuvant</w:t>
      </w:r>
      <w:proofErr w:type="spellEnd"/>
      <w:r>
        <w:t xml:space="preserve"> setting are a more homogeneous group </w:t>
      </w:r>
      <w:proofErr w:type="gramStart"/>
      <w:r>
        <w:t>than women with metastatic breast cancer</w:t>
      </w:r>
      <w:proofErr w:type="gramEnd"/>
      <w:r w:rsidR="00B634FA">
        <w:t>.</w:t>
      </w:r>
      <w:r w:rsidR="00B634FA">
        <w:rPr>
          <w:rStyle w:val="FootnoteReference"/>
        </w:rPr>
        <w:footnoteReference w:id="6"/>
      </w:r>
    </w:p>
    <w:p w14:paraId="111B602E" w14:textId="77777777" w:rsidR="00011B32" w:rsidRDefault="00011B32" w:rsidP="00011B32">
      <w:r>
        <w:t xml:space="preserve">A sensitive endpoint is one that </w:t>
      </w:r>
      <w:proofErr w:type="gramStart"/>
      <w:r>
        <w:t>can be reliably measured</w:t>
      </w:r>
      <w:proofErr w:type="gramEnd"/>
      <w:r>
        <w:t>. In terms of sample size and statistical power, it is also helpful if it has an event rate of around 50% (maximises the statistical power to detect differences for a given sample size).</w:t>
      </w:r>
    </w:p>
    <w:p w14:paraId="624585F9" w14:textId="77777777" w:rsidR="00011B32" w:rsidRDefault="00A51385" w:rsidP="00011B32">
      <w:r>
        <w:t xml:space="preserve">ORR has an event rate of 60% to </w:t>
      </w:r>
      <w:r w:rsidR="00011B32">
        <w:t xml:space="preserve">70% and so is arguably, as suitable for detecting differences between the biosimilar and the reference biological medicine as </w:t>
      </w:r>
      <w:r>
        <w:t>pathological complete response (</w:t>
      </w:r>
      <w:proofErr w:type="spellStart"/>
      <w:r w:rsidR="00011B32">
        <w:t>pCR</w:t>
      </w:r>
      <w:proofErr w:type="spellEnd"/>
      <w:r>
        <w:t>)</w:t>
      </w:r>
      <w:r w:rsidR="00011B32">
        <w:t>, which has an eve</w:t>
      </w:r>
      <w:r>
        <w:t>nt rate of between 45% and 55%.</w:t>
      </w:r>
    </w:p>
    <w:p w14:paraId="20318351" w14:textId="06B3CF4E" w:rsidR="00456ED3" w:rsidRDefault="00C40F6D" w:rsidP="00A5670E">
      <w:pPr>
        <w:pStyle w:val="TableTitle"/>
      </w:pPr>
      <w:r>
        <w:lastRenderedPageBreak/>
        <w:t>Table 5:</w:t>
      </w:r>
      <w:r w:rsidR="00A5670E">
        <w:t xml:space="preserve"> Comparison of </w:t>
      </w:r>
      <w:r w:rsidR="00A51385">
        <w:t xml:space="preserve">objective response rate </w:t>
      </w:r>
      <w:r w:rsidR="00A5670E">
        <w:t xml:space="preserve">and </w:t>
      </w:r>
      <w:r w:rsidR="00A51385">
        <w:t xml:space="preserve">pathological complete response for Herceptin </w:t>
      </w:r>
      <w:proofErr w:type="spellStart"/>
      <w:r w:rsidR="00A51385">
        <w:t>biosimilars</w:t>
      </w:r>
      <w:proofErr w:type="spellEnd"/>
    </w:p>
    <w:p w14:paraId="26877672" w14:textId="77777777" w:rsidR="00456ED3" w:rsidRDefault="00A5670E" w:rsidP="00456ED3">
      <w:r>
        <w:rPr>
          <w:noProof/>
          <w:lang w:eastAsia="en-AU"/>
        </w:rPr>
        <w:drawing>
          <wp:inline distT="0" distB="0" distL="0" distR="0" wp14:anchorId="03A033AF" wp14:editId="1BA75681">
            <wp:extent cx="5400040" cy="1805940"/>
            <wp:effectExtent l="0" t="0" r="0" b="3810"/>
            <wp:docPr id="1333928200" name="Picture 3" descr="Comparison of objective response rate (ORR) and pathological complete response (pCR) for Herceptin biosimilars (adapted from: Poplomata E et al 20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a:extLst>
                        <a:ext uri="{28A0092B-C50C-407E-A947-70E740481C1C}">
                          <a14:useLocalDpi xmlns:a14="http://schemas.microsoft.com/office/drawing/2010/main" val="0"/>
                        </a:ext>
                      </a:extLst>
                    </a:blip>
                    <a:stretch>
                      <a:fillRect/>
                    </a:stretch>
                  </pic:blipFill>
                  <pic:spPr>
                    <a:xfrm>
                      <a:off x="0" y="0"/>
                      <a:ext cx="5400040" cy="1805940"/>
                    </a:xfrm>
                    <a:prstGeom prst="rect">
                      <a:avLst/>
                    </a:prstGeom>
                  </pic:spPr>
                </pic:pic>
              </a:graphicData>
            </a:graphic>
          </wp:inline>
        </w:drawing>
      </w:r>
    </w:p>
    <w:p w14:paraId="4BBE0092" w14:textId="6487C4DF" w:rsidR="00F33350" w:rsidRDefault="00D574FA" w:rsidP="006A4D4F">
      <w:pPr>
        <w:pStyle w:val="FootnoteText"/>
      </w:pPr>
      <w:r>
        <w:t xml:space="preserve">ORR = objective response rate; </w:t>
      </w:r>
      <w:proofErr w:type="spellStart"/>
      <w:r>
        <w:t>pCR</w:t>
      </w:r>
      <w:proofErr w:type="spellEnd"/>
      <w:r>
        <w:t xml:space="preserve"> = pathological complete response; NCT number refers to clinicaltrials.gov identifier. </w:t>
      </w:r>
      <w:r w:rsidR="00F33350">
        <w:t>Table adapted from</w:t>
      </w:r>
      <w:r>
        <w:t>:</w:t>
      </w:r>
      <w:r w:rsidR="00F33350">
        <w:t xml:space="preserve"> </w:t>
      </w:r>
      <w:proofErr w:type="spellStart"/>
      <w:r w:rsidR="00F33350">
        <w:t>Poplomata</w:t>
      </w:r>
      <w:proofErr w:type="spellEnd"/>
      <w:r w:rsidR="00F33350">
        <w:t xml:space="preserve"> E et al. </w:t>
      </w:r>
      <w:r w:rsidR="00F33350" w:rsidRPr="00610713">
        <w:rPr>
          <w:lang w:eastAsia="en-AU"/>
        </w:rPr>
        <w:t xml:space="preserve">ABP 980: promising </w:t>
      </w:r>
      <w:proofErr w:type="spellStart"/>
      <w:r w:rsidR="00F33350" w:rsidRPr="00610713">
        <w:rPr>
          <w:lang w:eastAsia="en-AU"/>
        </w:rPr>
        <w:t>trastuzumab</w:t>
      </w:r>
      <w:proofErr w:type="spellEnd"/>
      <w:r w:rsidR="00F33350" w:rsidRPr="00610713">
        <w:rPr>
          <w:lang w:eastAsia="en-AU"/>
        </w:rPr>
        <w:t xml:space="preserve"> biosimilar for HER2-positive b</w:t>
      </w:r>
      <w:r w:rsidR="00F33350">
        <w:rPr>
          <w:lang w:eastAsia="en-AU"/>
        </w:rPr>
        <w:t xml:space="preserve">reast cancer. </w:t>
      </w:r>
      <w:proofErr w:type="spellStart"/>
      <w:r w:rsidR="00F33350" w:rsidRPr="00610713">
        <w:rPr>
          <w:i/>
        </w:rPr>
        <w:t>Exp</w:t>
      </w:r>
      <w:proofErr w:type="spellEnd"/>
      <w:r w:rsidR="00F33350" w:rsidRPr="00610713">
        <w:rPr>
          <w:i/>
        </w:rPr>
        <w:t xml:space="preserve"> Op </w:t>
      </w:r>
      <w:proofErr w:type="spellStart"/>
      <w:r w:rsidR="00F33350" w:rsidRPr="00610713">
        <w:rPr>
          <w:i/>
        </w:rPr>
        <w:t>Biol</w:t>
      </w:r>
      <w:proofErr w:type="spellEnd"/>
      <w:r w:rsidR="00F33350" w:rsidRPr="00610713">
        <w:rPr>
          <w:i/>
        </w:rPr>
        <w:t xml:space="preserve"> </w:t>
      </w:r>
      <w:proofErr w:type="spellStart"/>
      <w:r w:rsidR="00F33350" w:rsidRPr="00610713">
        <w:rPr>
          <w:i/>
        </w:rPr>
        <w:t>Ther</w:t>
      </w:r>
      <w:proofErr w:type="spellEnd"/>
      <w:r w:rsidR="00F33350">
        <w:t xml:space="preserve"> 2018; 18: 335-341</w:t>
      </w:r>
      <w:r>
        <w:t>.</w:t>
      </w:r>
    </w:p>
    <w:p w14:paraId="35D7B9D9" w14:textId="77777777" w:rsidR="00610713" w:rsidRDefault="00610713" w:rsidP="00610713">
      <w:r>
        <w:t>When asked about the metastatic setting, the sponsor replied:</w:t>
      </w:r>
    </w:p>
    <w:p w14:paraId="300189C8" w14:textId="142B6683" w:rsidR="00610713" w:rsidRDefault="00610713" w:rsidP="00610713">
      <w:pPr>
        <w:pStyle w:val="ListBullet"/>
      </w:pPr>
      <w:r>
        <w:t xml:space="preserve">At the time the </w:t>
      </w:r>
      <w:r w:rsidR="00D574FA">
        <w:t>HERITAGE trial</w:t>
      </w:r>
      <w:r>
        <w:t xml:space="preserve"> (</w:t>
      </w:r>
      <w:r w:rsidRPr="007F6E82">
        <w:t>NCT02472964</w:t>
      </w:r>
      <w:r>
        <w:t>)</w:t>
      </w:r>
      <w:proofErr w:type="gramStart"/>
      <w:r w:rsidR="00D574FA">
        <w:t>;</w:t>
      </w:r>
      <w:proofErr w:type="gramEnd"/>
      <w:r w:rsidR="00D574FA">
        <w:rPr>
          <w:rStyle w:val="FootnoteReference"/>
        </w:rPr>
        <w:footnoteReference w:id="7"/>
      </w:r>
      <w:r>
        <w:t xml:space="preserve"> was designed, </w:t>
      </w:r>
      <w:proofErr w:type="spellStart"/>
      <w:r>
        <w:t>neoadjuvant</w:t>
      </w:r>
      <w:proofErr w:type="spellEnd"/>
      <w:r>
        <w:t xml:space="preserve"> use of Herceptin, was considered off label in many of the countries, where the study was conducted.</w:t>
      </w:r>
    </w:p>
    <w:p w14:paraId="460F903A" w14:textId="490FD3F6" w:rsidR="00610713" w:rsidRDefault="00610713" w:rsidP="00610713">
      <w:pPr>
        <w:pStyle w:val="ListBullet"/>
      </w:pPr>
      <w:r>
        <w:t xml:space="preserve">The choice of the metastatic setting </w:t>
      </w:r>
      <w:proofErr w:type="gramStart"/>
      <w:r>
        <w:t xml:space="preserve">was discussed and agreed on with </w:t>
      </w:r>
      <w:r w:rsidR="002D44DA">
        <w:t xml:space="preserve">the </w:t>
      </w:r>
      <w:r>
        <w:t>FDA and EMA as part of the global development program</w:t>
      </w:r>
      <w:proofErr w:type="gramEnd"/>
      <w:r>
        <w:t>.</w:t>
      </w:r>
    </w:p>
    <w:p w14:paraId="5E1CE15A" w14:textId="77777777" w:rsidR="00610713" w:rsidRPr="00540C53" w:rsidRDefault="00610713" w:rsidP="00610713">
      <w:pPr>
        <w:pStyle w:val="Heading5"/>
      </w:pPr>
      <w:r w:rsidRPr="00540C53">
        <w:t>External validity</w:t>
      </w:r>
    </w:p>
    <w:p w14:paraId="14FE2333" w14:textId="09A6958C" w:rsidR="00610713" w:rsidRDefault="00610713" w:rsidP="00610713">
      <w:r>
        <w:t>The comparative clinica</w:t>
      </w:r>
      <w:r w:rsidR="00A51385">
        <w:t xml:space="preserve">l study </w:t>
      </w:r>
      <w:proofErr w:type="gramStart"/>
      <w:r w:rsidR="00A51385">
        <w:t>was conducted</w:t>
      </w:r>
      <w:proofErr w:type="gramEnd"/>
      <w:r w:rsidR="00A51385">
        <w:t xml:space="preserve"> in </w:t>
      </w:r>
      <w:r w:rsidR="00964429">
        <w:t>countries that</w:t>
      </w:r>
      <w:r>
        <w:t xml:space="preserve"> have different health systems and different approaches to the treatment of early breast cancer than Australia. That is, the women with metastatic breast cancer, who </w:t>
      </w:r>
      <w:proofErr w:type="gramStart"/>
      <w:r>
        <w:t>were recruited</w:t>
      </w:r>
      <w:proofErr w:type="gramEnd"/>
      <w:r>
        <w:t xml:space="preserve"> to this study, might have had different prior treatment, in the early stages of their disease, compared to women in Australia. For example, only 10% of women had previous treatment (before identification of a metastasis) with </w:t>
      </w:r>
      <w:proofErr w:type="spellStart"/>
      <w:r>
        <w:t>trastuzumab</w:t>
      </w:r>
      <w:proofErr w:type="spellEnd"/>
      <w:r>
        <w:t>.</w:t>
      </w:r>
    </w:p>
    <w:p w14:paraId="74990569" w14:textId="01C2F854" w:rsidR="00610713" w:rsidRDefault="00964429" w:rsidP="00610713">
      <w:r>
        <w:t>In addition</w:t>
      </w:r>
      <w:r w:rsidR="00610713">
        <w:t xml:space="preserve">, for about 85% of women the </w:t>
      </w:r>
      <w:proofErr w:type="spellStart"/>
      <w:r w:rsidR="00610713">
        <w:t>taxane</w:t>
      </w:r>
      <w:proofErr w:type="spellEnd"/>
      <w:r w:rsidR="00610713">
        <w:t xml:space="preserve"> was docetaxel; not paclitaxel (the clinical evaluator has advised that paclitaxel is more commonly used in Australia).</w:t>
      </w:r>
    </w:p>
    <w:p w14:paraId="2D717B97" w14:textId="77777777" w:rsidR="00610713" w:rsidRDefault="00610713" w:rsidP="00610713">
      <w:r>
        <w:t xml:space="preserve">Further, </w:t>
      </w:r>
      <w:proofErr w:type="spellStart"/>
      <w:r>
        <w:t>pertuzumab</w:t>
      </w:r>
      <w:proofErr w:type="spellEnd"/>
      <w:r>
        <w:t xml:space="preserve"> </w:t>
      </w:r>
      <w:proofErr w:type="gramStart"/>
      <w:r>
        <w:t>was not added</w:t>
      </w:r>
      <w:proofErr w:type="gramEnd"/>
      <w:r>
        <w:t xml:space="preserve"> to the regimen owing to the lack of worldwide availability of this antibody at the time of the study.</w:t>
      </w:r>
    </w:p>
    <w:p w14:paraId="759F1FCD" w14:textId="68D399DF" w:rsidR="00610713" w:rsidRDefault="00610713" w:rsidP="00610713">
      <w:r>
        <w:t xml:space="preserve">These differences in background treatment between the women in the Heritage study and women in Australia might arguably, be a deficiency in the evidence base for a new medicine; where such a </w:t>
      </w:r>
      <w:r w:rsidR="00B634FA">
        <w:t>Phase III</w:t>
      </w:r>
      <w:r>
        <w:t xml:space="preserve"> study would provide the pivotal evidence for marketing approval.</w:t>
      </w:r>
    </w:p>
    <w:p w14:paraId="7493F467" w14:textId="22BA3273" w:rsidR="00610713" w:rsidRDefault="00610713" w:rsidP="00610713">
      <w:r>
        <w:t xml:space="preserve">However, for a biosimilar, which </w:t>
      </w:r>
      <w:proofErr w:type="gramStart"/>
      <w:r>
        <w:t>has already been shown</w:t>
      </w:r>
      <w:proofErr w:type="gramEnd"/>
      <w:r>
        <w:t xml:space="preserve"> to be highly similar in </w:t>
      </w:r>
      <w:r w:rsidRPr="00B634FA">
        <w:rPr>
          <w:i/>
        </w:rPr>
        <w:t>in</w:t>
      </w:r>
      <w:r w:rsidR="002D44DA">
        <w:rPr>
          <w:i/>
        </w:rPr>
        <w:t> </w:t>
      </w:r>
      <w:r w:rsidRPr="00B634FA">
        <w:rPr>
          <w:i/>
        </w:rPr>
        <w:t>vitro</w:t>
      </w:r>
      <w:r>
        <w:t xml:space="preserve"> studies, the aim of the comparative clinical study (</w:t>
      </w:r>
      <w:r w:rsidR="00B634FA">
        <w:t>that is</w:t>
      </w:r>
      <w:r>
        <w:t xml:space="preserve">, </w:t>
      </w:r>
      <w:r w:rsidR="002D44DA">
        <w:t xml:space="preserve">the </w:t>
      </w:r>
      <w:r>
        <w:t>H</w:t>
      </w:r>
      <w:r w:rsidR="002D44DA">
        <w:t>ERITAGE trial</w:t>
      </w:r>
      <w:r>
        <w:t>) was to identify differences and red</w:t>
      </w:r>
      <w:r w:rsidR="00A51385">
        <w:t>uce any residual uncertainties.</w:t>
      </w:r>
    </w:p>
    <w:p w14:paraId="6B141A36" w14:textId="77777777" w:rsidR="00610713" w:rsidRPr="00FC1120" w:rsidRDefault="00610713" w:rsidP="00610713">
      <w:pPr>
        <w:pStyle w:val="Heading5"/>
      </w:pPr>
      <w:r>
        <w:t>D</w:t>
      </w:r>
      <w:r w:rsidRPr="00FC1120">
        <w:t>esign</w:t>
      </w:r>
    </w:p>
    <w:p w14:paraId="7D3E8120" w14:textId="1F2BBF82" w:rsidR="00610713" w:rsidRDefault="00B634FA" w:rsidP="00610713">
      <w:r>
        <w:t>Phase III</w:t>
      </w:r>
      <w:r w:rsidR="00610713">
        <w:t xml:space="preserve"> study (</w:t>
      </w:r>
      <w:r w:rsidR="002D44DA">
        <w:t>Study MYL-Her-3001 (the HERITAGE trial</w:t>
      </w:r>
      <w:r w:rsidR="00610713">
        <w:t xml:space="preserve">); </w:t>
      </w:r>
      <w:r w:rsidR="002D44DA">
        <w:t>a r</w:t>
      </w:r>
      <w:r w:rsidR="00610713">
        <w:t xml:space="preserve">andomised, </w:t>
      </w:r>
      <w:r w:rsidR="00964429">
        <w:t>double blind</w:t>
      </w:r>
      <w:r w:rsidR="00610713">
        <w:t>, parallel</w:t>
      </w:r>
      <w:r w:rsidR="002D44DA">
        <w:t xml:space="preserve"> study.</w:t>
      </w:r>
    </w:p>
    <w:p w14:paraId="61EC9E09" w14:textId="27409E28" w:rsidR="00610713" w:rsidRDefault="00610713" w:rsidP="00610713">
      <w:r>
        <w:lastRenderedPageBreak/>
        <w:t xml:space="preserve">95 sites in Bulgaria, Chile, </w:t>
      </w:r>
      <w:r w:rsidR="00964429">
        <w:t>Czech Republic</w:t>
      </w:r>
      <w:r>
        <w:t>, Hungary, India, Latvia, Philippines, Poland, Romania, Russia, Serbia, Slovakia, South Africa, Thailand, and Ukraine.</w:t>
      </w:r>
    </w:p>
    <w:p w14:paraId="4D77B163" w14:textId="624DA155" w:rsidR="00610713" w:rsidRDefault="00610713" w:rsidP="00610713">
      <w:r>
        <w:t>Recruitment: December 2012, and August 2015</w:t>
      </w:r>
      <w:r w:rsidR="00964429">
        <w:t>.</w:t>
      </w:r>
      <w:r>
        <w:t xml:space="preserve"> Last follow-up visit: January 2016</w:t>
      </w:r>
      <w:r w:rsidR="00A51385">
        <w:t>.</w:t>
      </w:r>
    </w:p>
    <w:p w14:paraId="03DCEEF2" w14:textId="77777777" w:rsidR="00456ED3" w:rsidRDefault="00B467A2" w:rsidP="00B467A2">
      <w:pPr>
        <w:pStyle w:val="Heading5"/>
      </w:pPr>
      <w:r>
        <w:t>Patients</w:t>
      </w:r>
    </w:p>
    <w:p w14:paraId="4DC7746F" w14:textId="77777777" w:rsidR="00B467A2" w:rsidRDefault="003217AA" w:rsidP="008B614E">
      <w:pPr>
        <w:pStyle w:val="Heading6"/>
      </w:pPr>
      <w:r>
        <w:rPr>
          <w:lang w:val="en-US"/>
        </w:rPr>
        <w:t>Intention-to-treat</w:t>
      </w:r>
      <w:r>
        <w:t xml:space="preserve"> (</w:t>
      </w:r>
      <w:r w:rsidR="00B467A2">
        <w:t>ITT</w:t>
      </w:r>
      <w:r w:rsidR="00A51385">
        <w:t>)</w:t>
      </w:r>
    </w:p>
    <w:p w14:paraId="77CA9AD7" w14:textId="77777777" w:rsidR="00B467A2" w:rsidRDefault="00B467A2" w:rsidP="00B467A2">
      <w:pPr>
        <w:pStyle w:val="ListBullet"/>
      </w:pPr>
      <w:proofErr w:type="spellStart"/>
      <w:r>
        <w:t>Ogivri</w:t>
      </w:r>
      <w:proofErr w:type="spellEnd"/>
      <w:r>
        <w:t>: n=230</w:t>
      </w:r>
    </w:p>
    <w:p w14:paraId="32A3261D" w14:textId="77777777" w:rsidR="00B467A2" w:rsidRPr="00B467A2" w:rsidRDefault="00B467A2" w:rsidP="00B467A2">
      <w:pPr>
        <w:pStyle w:val="ListBullet"/>
      </w:pPr>
      <w:r>
        <w:t>Herceptin: n=228</w:t>
      </w:r>
    </w:p>
    <w:p w14:paraId="37F9F1B0" w14:textId="77777777" w:rsidR="00B467A2" w:rsidRPr="005730E2" w:rsidRDefault="00B467A2" w:rsidP="008B614E">
      <w:pPr>
        <w:pStyle w:val="Heading6"/>
      </w:pPr>
      <w:r w:rsidRPr="005730E2">
        <w:t>Selected inclusion criteria</w:t>
      </w:r>
    </w:p>
    <w:p w14:paraId="0AB9CDE6" w14:textId="77777777" w:rsidR="00B467A2" w:rsidRDefault="00B467A2" w:rsidP="00B467A2">
      <w:pPr>
        <w:pStyle w:val="ListBullet"/>
      </w:pPr>
      <w:r>
        <w:t>metastatic breast cancer</w:t>
      </w:r>
    </w:p>
    <w:p w14:paraId="151CA5AF" w14:textId="77777777" w:rsidR="00B467A2" w:rsidRDefault="00B467A2" w:rsidP="00B467A2">
      <w:pPr>
        <w:pStyle w:val="ListBullet"/>
      </w:pPr>
      <w:r>
        <w:t>no prior systemic treatment (</w:t>
      </w:r>
      <w:r w:rsidR="00B634FA">
        <w:t>that is</w:t>
      </w:r>
      <w:r>
        <w:t xml:space="preserve">, chemotherapy, </w:t>
      </w:r>
      <w:proofErr w:type="spellStart"/>
      <w:r>
        <w:t>trastuzumab</w:t>
      </w:r>
      <w:proofErr w:type="spellEnd"/>
      <w:r>
        <w:t>) in the metastatic setting</w:t>
      </w:r>
    </w:p>
    <w:p w14:paraId="070CD5BD" w14:textId="00F68F5E" w:rsidR="00B467A2" w:rsidRDefault="002D44DA" w:rsidP="00B467A2">
      <w:pPr>
        <w:pStyle w:val="ListBullet"/>
      </w:pPr>
      <w:r>
        <w:t>ErbB-2</w:t>
      </w:r>
      <w:r w:rsidR="00B467A2">
        <w:t xml:space="preserve"> positive (defined as central laboratory documentation of </w:t>
      </w:r>
      <w:r>
        <w:t xml:space="preserve">ErbB-2 </w:t>
      </w:r>
      <w:r w:rsidR="00B467A2">
        <w:t xml:space="preserve">positive overexpression by immunohistochemistry </w:t>
      </w:r>
      <w:r w:rsidR="003217AA">
        <w:t>(</w:t>
      </w:r>
      <w:r w:rsidR="00B467A2">
        <w:t>IHC</w:t>
      </w:r>
      <w:r w:rsidR="003217AA">
        <w:t>)</w:t>
      </w:r>
      <w:r w:rsidR="00B467A2">
        <w:t xml:space="preserve">, </w:t>
      </w:r>
      <w:r w:rsidR="00A51385">
        <w:t>that is</w:t>
      </w:r>
      <w:r w:rsidR="00B467A2">
        <w:t xml:space="preserve">, IHC3+, or IHC2+ with fluorescent in situ hybridization confirmation </w:t>
      </w:r>
      <w:r w:rsidR="003217AA">
        <w:t>(</w:t>
      </w:r>
      <w:r w:rsidR="00B467A2">
        <w:t>ratio &gt;</w:t>
      </w:r>
      <w:r w:rsidR="00A51385">
        <w:t xml:space="preserve"> </w:t>
      </w:r>
      <w:r w:rsidR="00B467A2">
        <w:t>2</w:t>
      </w:r>
      <w:r w:rsidR="003217AA">
        <w:t>)</w:t>
      </w:r>
      <w:r w:rsidR="00B467A2">
        <w:t>)</w:t>
      </w:r>
    </w:p>
    <w:p w14:paraId="127058C1" w14:textId="0DE6A912" w:rsidR="00B467A2" w:rsidRDefault="002D44DA" w:rsidP="00B467A2">
      <w:pPr>
        <w:pStyle w:val="ListBullet"/>
      </w:pPr>
      <w:r>
        <w:t>Eastern Cooperative Oncology Group (</w:t>
      </w:r>
      <w:r w:rsidR="00B467A2">
        <w:t>ECOG</w:t>
      </w:r>
      <w:r>
        <w:t>) Performance Status score</w:t>
      </w:r>
      <w:r w:rsidR="00B467A2">
        <w:t>: 0</w:t>
      </w:r>
      <w:r>
        <w:t xml:space="preserve"> or </w:t>
      </w:r>
      <w:r w:rsidR="00B467A2">
        <w:t>1</w:t>
      </w:r>
    </w:p>
    <w:p w14:paraId="7B099437" w14:textId="77777777" w:rsidR="00B467A2" w:rsidRDefault="00B467A2" w:rsidP="00B467A2">
      <w:pPr>
        <w:pStyle w:val="ListBullet"/>
      </w:pPr>
      <w:r>
        <w:t>left ventricular ejection fraction (LVEF) within institutional range of normal</w:t>
      </w:r>
    </w:p>
    <w:p w14:paraId="3987F359" w14:textId="77777777" w:rsidR="00B467A2" w:rsidRDefault="00B467A2" w:rsidP="00B467A2">
      <w:pPr>
        <w:pStyle w:val="ListBullet"/>
      </w:pPr>
      <w:r>
        <w:t xml:space="preserve">at least 1 year since adjuvant therapy with </w:t>
      </w:r>
      <w:proofErr w:type="spellStart"/>
      <w:r>
        <w:t>trastuzumab</w:t>
      </w:r>
      <w:proofErr w:type="spellEnd"/>
    </w:p>
    <w:p w14:paraId="2F8F706E" w14:textId="7BD761E9" w:rsidR="00B467A2" w:rsidRDefault="00B467A2" w:rsidP="00B467A2">
      <w:pPr>
        <w:pStyle w:val="ListBullet"/>
      </w:pPr>
      <w:r>
        <w:t xml:space="preserve">any patients with </w:t>
      </w:r>
      <w:r w:rsidR="002D44DA">
        <w:t>central nervous system metastases</w:t>
      </w:r>
      <w:r>
        <w:t xml:space="preserve"> had to be stable following treatment: (</w:t>
      </w:r>
      <w:r w:rsidR="00A51385">
        <w:t>for example</w:t>
      </w:r>
      <w:r>
        <w:t>, radiotherapy, stereotactic radiosurgery)</w:t>
      </w:r>
    </w:p>
    <w:p w14:paraId="2CD8F04C" w14:textId="77777777" w:rsidR="00B467A2" w:rsidRDefault="00B467A2" w:rsidP="00B467A2">
      <w:pPr>
        <w:pStyle w:val="ListBullet"/>
      </w:pPr>
      <w:proofErr w:type="gramStart"/>
      <w:r>
        <w:t>hormonal</w:t>
      </w:r>
      <w:proofErr w:type="gramEnd"/>
      <w:r>
        <w:t xml:space="preserve"> agents had to be discontinued before beginning study therapy.</w:t>
      </w:r>
    </w:p>
    <w:p w14:paraId="19876044" w14:textId="77777777" w:rsidR="00B467A2" w:rsidRDefault="00B467A2" w:rsidP="00B467A2">
      <w:pPr>
        <w:pStyle w:val="Heading6"/>
      </w:pPr>
      <w:r>
        <w:t>Selected exclusion criteria</w:t>
      </w:r>
    </w:p>
    <w:p w14:paraId="7984BD35" w14:textId="77777777" w:rsidR="00B467A2" w:rsidRDefault="00B467A2" w:rsidP="00B467A2">
      <w:pPr>
        <w:pStyle w:val="ListBullet"/>
      </w:pPr>
      <w:r>
        <w:t>abnormal LVEF</w:t>
      </w:r>
    </w:p>
    <w:p w14:paraId="745B9668" w14:textId="3B636678" w:rsidR="00B467A2" w:rsidRDefault="00B81A44" w:rsidP="00B467A2">
      <w:pPr>
        <w:pStyle w:val="ListBullet"/>
      </w:pPr>
      <w:r>
        <w:t xml:space="preserve">unstable </w:t>
      </w:r>
      <w:r w:rsidR="00B467A2">
        <w:t xml:space="preserve">angina, heart failure, </w:t>
      </w:r>
      <w:r>
        <w:t>myocardial infarction</w:t>
      </w:r>
      <w:r w:rsidR="00B467A2">
        <w:t xml:space="preserve"> within the last 12</w:t>
      </w:r>
      <w:r>
        <w:t> </w:t>
      </w:r>
      <w:r w:rsidR="00B467A2">
        <w:t>months, other significant cardiac disease</w:t>
      </w:r>
    </w:p>
    <w:p w14:paraId="78A6133B" w14:textId="77777777" w:rsidR="00B467A2" w:rsidRDefault="00B467A2" w:rsidP="00B467A2">
      <w:pPr>
        <w:pStyle w:val="ListBullet"/>
      </w:pPr>
      <w:r>
        <w:t>Grade 2+ peripheral neuropathy</w:t>
      </w:r>
    </w:p>
    <w:p w14:paraId="163CBD97" w14:textId="6F5ED5F1" w:rsidR="00456ED3" w:rsidRDefault="00B81A44" w:rsidP="00B467A2">
      <w:pPr>
        <w:pStyle w:val="ListBullet"/>
      </w:pPr>
      <w:proofErr w:type="gramStart"/>
      <w:r>
        <w:t>other</w:t>
      </w:r>
      <w:proofErr w:type="gramEnd"/>
      <w:r>
        <w:t xml:space="preserve"> </w:t>
      </w:r>
      <w:r w:rsidR="00B467A2">
        <w:t>significant medical illness</w:t>
      </w:r>
      <w:r w:rsidR="00A51385">
        <w:t>.</w:t>
      </w:r>
    </w:p>
    <w:p w14:paraId="334206C6" w14:textId="77777777" w:rsidR="00456ED3" w:rsidRDefault="00B467A2" w:rsidP="00B467A2">
      <w:pPr>
        <w:pStyle w:val="Heading5"/>
      </w:pPr>
      <w:r>
        <w:t>Intervention</w:t>
      </w:r>
    </w:p>
    <w:p w14:paraId="070AA742" w14:textId="07E74698" w:rsidR="00B467A2" w:rsidRDefault="00964429" w:rsidP="00B467A2">
      <w:r>
        <w:t>Eight</w:t>
      </w:r>
      <w:r w:rsidR="00B467A2">
        <w:t xml:space="preserve"> cycles (24 weeks) unless the participant experienced unacceptable adverse effects, had disease progression, or requested withdrawal from the study:</w:t>
      </w:r>
    </w:p>
    <w:p w14:paraId="3EBF53D6" w14:textId="0497950C" w:rsidR="00B467A2" w:rsidRDefault="00B467A2" w:rsidP="00A51385">
      <w:pPr>
        <w:pStyle w:val="ListBullet"/>
      </w:pPr>
      <w:r>
        <w:t>An initial 8</w:t>
      </w:r>
      <w:r w:rsidR="00B81A44">
        <w:t xml:space="preserve"> </w:t>
      </w:r>
      <w:r>
        <w:t xml:space="preserve">mg/kg loading dose of </w:t>
      </w:r>
      <w:proofErr w:type="spellStart"/>
      <w:r>
        <w:t>Ogivri</w:t>
      </w:r>
      <w:proofErr w:type="spellEnd"/>
      <w:r>
        <w:t xml:space="preserve"> </w:t>
      </w:r>
      <w:proofErr w:type="gramStart"/>
      <w:r>
        <w:t>was administered</w:t>
      </w:r>
      <w:proofErr w:type="gramEnd"/>
      <w:r>
        <w:t xml:space="preserve"> over 90 minutes, followed by dosing every 3 w</w:t>
      </w:r>
      <w:r w:rsidR="00A51385">
        <w:t>eeks of 6mg/kg over 30 minutes.</w:t>
      </w:r>
    </w:p>
    <w:p w14:paraId="4D000FCF" w14:textId="3ADD8C4A" w:rsidR="00B467A2" w:rsidRDefault="00B467A2" w:rsidP="00B467A2">
      <w:r>
        <w:t xml:space="preserve">Clinician’s choice of </w:t>
      </w:r>
      <w:proofErr w:type="spellStart"/>
      <w:r>
        <w:t>taxane</w:t>
      </w:r>
      <w:proofErr w:type="spellEnd"/>
      <w:r>
        <w:t xml:space="preserve"> (paclitaxel, docetaxel)</w:t>
      </w:r>
      <w:r w:rsidR="00B81A44">
        <w:t>:</w:t>
      </w:r>
    </w:p>
    <w:p w14:paraId="166B5497" w14:textId="0F726AF4" w:rsidR="00456ED3" w:rsidRDefault="00B467A2" w:rsidP="00A51385">
      <w:pPr>
        <w:pStyle w:val="ListBullet"/>
      </w:pPr>
      <w:r>
        <w:t xml:space="preserve">After 8 cycles (24 weeks), for patients who had at least stable disease, continuation of </w:t>
      </w:r>
      <w:proofErr w:type="spellStart"/>
      <w:r>
        <w:t>Ogivri</w:t>
      </w:r>
      <w:proofErr w:type="spellEnd"/>
      <w:r>
        <w:t xml:space="preserve"> every 3 weeks (to evaluate safety and immunogenicity) until disease progression, unacceptable </w:t>
      </w:r>
      <w:r w:rsidR="00B81A44">
        <w:rPr>
          <w:rFonts w:asciiTheme="minorHAnsi" w:hAnsiTheme="minorHAnsi" w:cs="†p˜øwcÊ"/>
          <w:lang w:val="en-US"/>
        </w:rPr>
        <w:t>a</w:t>
      </w:r>
      <w:r w:rsidR="003217AA">
        <w:rPr>
          <w:rFonts w:asciiTheme="minorHAnsi" w:hAnsiTheme="minorHAnsi" w:cs="†p˜øwcÊ"/>
          <w:lang w:val="en-US"/>
        </w:rPr>
        <w:t>dverse event</w:t>
      </w:r>
      <w:r w:rsidR="003217AA">
        <w:t>s (</w:t>
      </w:r>
      <w:r>
        <w:t>AEs</w:t>
      </w:r>
      <w:r w:rsidR="003217AA">
        <w:t>)</w:t>
      </w:r>
      <w:r>
        <w:t xml:space="preserve">. The </w:t>
      </w:r>
      <w:proofErr w:type="spellStart"/>
      <w:r>
        <w:t>taxane</w:t>
      </w:r>
      <w:proofErr w:type="spellEnd"/>
      <w:r>
        <w:t xml:space="preserve"> </w:t>
      </w:r>
      <w:proofErr w:type="gramStart"/>
      <w:r>
        <w:t>could be continued</w:t>
      </w:r>
      <w:proofErr w:type="gramEnd"/>
      <w:r>
        <w:t xml:space="preserve"> at the clinician’s discretion.</w:t>
      </w:r>
    </w:p>
    <w:p w14:paraId="2E98D6E9" w14:textId="77777777" w:rsidR="00456ED3" w:rsidRDefault="00B467A2" w:rsidP="00B467A2">
      <w:pPr>
        <w:pStyle w:val="Heading5"/>
      </w:pPr>
      <w:r>
        <w:t>Comparator</w:t>
      </w:r>
    </w:p>
    <w:p w14:paraId="38796902" w14:textId="77777777" w:rsidR="00456ED3" w:rsidRDefault="00B467A2" w:rsidP="00B467A2">
      <w:r>
        <w:t>EU-Herceptin; regimen as above</w:t>
      </w:r>
      <w:r w:rsidR="00A51385">
        <w:t>.</w:t>
      </w:r>
    </w:p>
    <w:p w14:paraId="24BE4CB1" w14:textId="77777777" w:rsidR="00B467A2" w:rsidRDefault="00B467A2" w:rsidP="00B467A2">
      <w:pPr>
        <w:pStyle w:val="Heading5"/>
      </w:pPr>
      <w:r>
        <w:lastRenderedPageBreak/>
        <w:t>Endpoint</w:t>
      </w:r>
    </w:p>
    <w:p w14:paraId="3390E969" w14:textId="77777777" w:rsidR="00B467A2" w:rsidRDefault="00B467A2" w:rsidP="00B467A2">
      <w:pPr>
        <w:pStyle w:val="Heading6"/>
      </w:pPr>
      <w:r>
        <w:t>Primary, 24 weeks</w:t>
      </w:r>
    </w:p>
    <w:p w14:paraId="59572315" w14:textId="1F9CE3AA" w:rsidR="00B467A2" w:rsidRDefault="00B467A2" w:rsidP="00B467A2">
      <w:pPr>
        <w:pStyle w:val="ListBullet"/>
      </w:pPr>
      <w:r>
        <w:t>ORR (complete or partial response) by RECIST criteria (blinded reviewers).</w:t>
      </w:r>
      <w:r w:rsidR="00B81A44">
        <w:rPr>
          <w:rStyle w:val="FootnoteReference"/>
        </w:rPr>
        <w:footnoteReference w:id="8"/>
      </w:r>
    </w:p>
    <w:p w14:paraId="7EE9B078" w14:textId="77777777" w:rsidR="00B467A2" w:rsidRDefault="00B467A2" w:rsidP="00B467A2">
      <w:pPr>
        <w:pStyle w:val="Heading6"/>
      </w:pPr>
      <w:r>
        <w:t>Secondary, 48 weeks, exploratory: not adjusted for multiplicity</w:t>
      </w:r>
    </w:p>
    <w:p w14:paraId="6623F59C" w14:textId="77777777" w:rsidR="00B467A2" w:rsidRDefault="00160004" w:rsidP="00B467A2">
      <w:pPr>
        <w:pStyle w:val="ListBullet"/>
      </w:pPr>
      <w:r>
        <w:t>Time to tumour progression (</w:t>
      </w:r>
      <w:r w:rsidR="00B467A2">
        <w:t>TTP</w:t>
      </w:r>
      <w:r>
        <w:t>)</w:t>
      </w:r>
    </w:p>
    <w:p w14:paraId="0C9251FE" w14:textId="77777777" w:rsidR="00B467A2" w:rsidRDefault="00160004" w:rsidP="00B467A2">
      <w:pPr>
        <w:pStyle w:val="ListBullet"/>
      </w:pPr>
      <w:r>
        <w:t>Progression free survival (</w:t>
      </w:r>
      <w:r w:rsidR="00B467A2">
        <w:t>PFS</w:t>
      </w:r>
      <w:r>
        <w:t>)</w:t>
      </w:r>
    </w:p>
    <w:p w14:paraId="64603B76" w14:textId="77777777" w:rsidR="00B467A2" w:rsidRDefault="00160004" w:rsidP="00B467A2">
      <w:pPr>
        <w:pStyle w:val="ListBullet"/>
      </w:pPr>
      <w:r>
        <w:t>Overall survival (</w:t>
      </w:r>
      <w:r w:rsidR="00B467A2">
        <w:t>OS</w:t>
      </w:r>
      <w:r>
        <w:t>)</w:t>
      </w:r>
    </w:p>
    <w:p w14:paraId="5AD614ED" w14:textId="77777777" w:rsidR="00B467A2" w:rsidRDefault="00B467A2" w:rsidP="00B467A2">
      <w:pPr>
        <w:pStyle w:val="Heading6"/>
      </w:pPr>
      <w:r>
        <w:t>Other end points, 24 and 48 weeks</w:t>
      </w:r>
    </w:p>
    <w:p w14:paraId="61EDB9FD" w14:textId="77777777" w:rsidR="00B467A2" w:rsidRDefault="00B467A2" w:rsidP="00B467A2">
      <w:pPr>
        <w:pStyle w:val="ListBullet"/>
      </w:pPr>
      <w:r>
        <w:t xml:space="preserve">adverse events, </w:t>
      </w:r>
    </w:p>
    <w:p w14:paraId="7804FC58" w14:textId="77777777" w:rsidR="00B467A2" w:rsidRDefault="00B467A2" w:rsidP="00B467A2">
      <w:pPr>
        <w:pStyle w:val="ListBullet"/>
      </w:pPr>
      <w:r>
        <w:t xml:space="preserve">laboratory assessments, </w:t>
      </w:r>
    </w:p>
    <w:p w14:paraId="7251A936" w14:textId="77777777" w:rsidR="00B467A2" w:rsidRDefault="00160004" w:rsidP="00B467A2">
      <w:pPr>
        <w:pStyle w:val="ListBullet"/>
      </w:pPr>
      <w:r>
        <w:t>LVEF,</w:t>
      </w:r>
    </w:p>
    <w:p w14:paraId="41D57687" w14:textId="77777777" w:rsidR="00B467A2" w:rsidRDefault="00B467A2" w:rsidP="00B467A2">
      <w:pPr>
        <w:pStyle w:val="ListBullet"/>
      </w:pPr>
      <w:r>
        <w:t>immunogenicity</w:t>
      </w:r>
    </w:p>
    <w:p w14:paraId="3530E0E6" w14:textId="77777777" w:rsidR="00B467A2" w:rsidRDefault="00B467A2" w:rsidP="00B467A2">
      <w:pPr>
        <w:pStyle w:val="ListBullet"/>
      </w:pPr>
      <w:proofErr w:type="gramStart"/>
      <w:r>
        <w:t>pharmacokinetic</w:t>
      </w:r>
      <w:proofErr w:type="gramEnd"/>
      <w:r>
        <w:t xml:space="preserve"> end points: AUC, </w:t>
      </w:r>
      <w:proofErr w:type="spellStart"/>
      <w:r w:rsidR="003217AA">
        <w:t>C</w:t>
      </w:r>
      <w:r w:rsidR="003217AA" w:rsidRPr="003217AA">
        <w:rPr>
          <w:vertAlign w:val="subscript"/>
        </w:rPr>
        <w:t>max</w:t>
      </w:r>
      <w:proofErr w:type="spellEnd"/>
      <w:r>
        <w:t xml:space="preserve">, </w:t>
      </w:r>
      <w:proofErr w:type="spellStart"/>
      <w:r>
        <w:t>C</w:t>
      </w:r>
      <w:r w:rsidRPr="00160004">
        <w:rPr>
          <w:vertAlign w:val="subscript"/>
        </w:rPr>
        <w:t>min</w:t>
      </w:r>
      <w:proofErr w:type="spellEnd"/>
      <w:r w:rsidR="00160004">
        <w:t>.</w:t>
      </w:r>
    </w:p>
    <w:p w14:paraId="2F30B8D0" w14:textId="77777777" w:rsidR="00B467A2" w:rsidRDefault="00B467A2" w:rsidP="00B467A2">
      <w:pPr>
        <w:pStyle w:val="Heading6"/>
      </w:pPr>
      <w:r>
        <w:t>Stratification</w:t>
      </w:r>
    </w:p>
    <w:p w14:paraId="7B2ED48F" w14:textId="379FA98F" w:rsidR="00B467A2" w:rsidRDefault="00B467A2" w:rsidP="00B467A2">
      <w:r>
        <w:t>Patients were stratified at randomi</w:t>
      </w:r>
      <w:r w:rsidR="00B81A44">
        <w:t>s</w:t>
      </w:r>
      <w:r>
        <w:t xml:space="preserve">ation based on </w:t>
      </w:r>
      <w:proofErr w:type="gramStart"/>
      <w:r>
        <w:t>3</w:t>
      </w:r>
      <w:proofErr w:type="gramEnd"/>
      <w:r>
        <w:t xml:space="preserve"> factors</w:t>
      </w:r>
      <w:r w:rsidR="00B81A44">
        <w:t>:</w:t>
      </w:r>
    </w:p>
    <w:p w14:paraId="4E9D595A" w14:textId="03389F28" w:rsidR="00B467A2" w:rsidRDefault="00B81A44" w:rsidP="00B467A2">
      <w:pPr>
        <w:pStyle w:val="ListBullet"/>
      </w:pPr>
      <w:r>
        <w:t xml:space="preserve">time </w:t>
      </w:r>
      <w:r w:rsidR="00B467A2">
        <w:t xml:space="preserve">from primary </w:t>
      </w:r>
      <w:r w:rsidR="00160004">
        <w:t>diagnosis to metastases</w:t>
      </w:r>
      <w:r w:rsidR="00B467A2">
        <w:t xml:space="preserve"> (&lt;</w:t>
      </w:r>
      <w:r w:rsidR="00160004">
        <w:t xml:space="preserve"> 2 years, 2+ years)</w:t>
      </w:r>
    </w:p>
    <w:p w14:paraId="05799EA7" w14:textId="2E3E6A98" w:rsidR="00B467A2" w:rsidRDefault="00B81A44" w:rsidP="00B467A2">
      <w:pPr>
        <w:pStyle w:val="ListBullet"/>
      </w:pPr>
      <w:r>
        <w:t>oestrogen receptor (</w:t>
      </w:r>
      <w:r w:rsidR="00B467A2">
        <w:t>ER</w:t>
      </w:r>
      <w:r>
        <w:t>)</w:t>
      </w:r>
      <w:r w:rsidR="00B467A2">
        <w:t>/</w:t>
      </w:r>
      <w:r>
        <w:t>progesterone receptor (PR)</w:t>
      </w:r>
      <w:r w:rsidR="00B467A2">
        <w:t xml:space="preserve"> status (both neg</w:t>
      </w:r>
      <w:r w:rsidR="00160004">
        <w:t>ative</w:t>
      </w:r>
      <w:r w:rsidR="00B467A2">
        <w:t>, at least one pos</w:t>
      </w:r>
      <w:r>
        <w:t>itive</w:t>
      </w:r>
      <w:r w:rsidR="00B467A2">
        <w:t>)</w:t>
      </w:r>
    </w:p>
    <w:p w14:paraId="25C80EB0" w14:textId="2B8C1161" w:rsidR="00B467A2" w:rsidRDefault="00B81A44" w:rsidP="00B467A2">
      <w:pPr>
        <w:pStyle w:val="ListBullet"/>
      </w:pPr>
      <w:proofErr w:type="gramStart"/>
      <w:r>
        <w:t>type</w:t>
      </w:r>
      <w:proofErr w:type="gramEnd"/>
      <w:r>
        <w:t xml:space="preserve"> </w:t>
      </w:r>
      <w:r w:rsidR="00B467A2">
        <w:t xml:space="preserve">of </w:t>
      </w:r>
      <w:proofErr w:type="spellStart"/>
      <w:r w:rsidR="00B467A2">
        <w:t>taxane</w:t>
      </w:r>
      <w:proofErr w:type="spellEnd"/>
      <w:r w:rsidR="00B467A2">
        <w:t xml:space="preserve"> (paclitaxel, docetaxel)</w:t>
      </w:r>
      <w:r w:rsidR="00160004">
        <w:t>.</w:t>
      </w:r>
    </w:p>
    <w:p w14:paraId="06E83B40" w14:textId="77777777" w:rsidR="00B467A2" w:rsidRDefault="00160004" w:rsidP="00B467A2">
      <w:pPr>
        <w:pStyle w:val="Heading6"/>
      </w:pPr>
      <w:r>
        <w:t>Assessment</w:t>
      </w:r>
    </w:p>
    <w:p w14:paraId="1635BA67" w14:textId="77777777" w:rsidR="00B467A2" w:rsidRDefault="00160004" w:rsidP="00B467A2">
      <w:r>
        <w:t>Tumour</w:t>
      </w:r>
      <w:r w:rsidR="00B467A2">
        <w:t xml:space="preserve"> assessments </w:t>
      </w:r>
      <w:proofErr w:type="gramStart"/>
      <w:r w:rsidR="00B467A2">
        <w:t>were conducted</w:t>
      </w:r>
      <w:proofErr w:type="gramEnd"/>
      <w:r w:rsidR="00B467A2">
        <w:t xml:space="preserve"> every 6 weeks. Computed tomography or magnetic resonance imaging of the chest and upper abdomen and, if clinically indicated, bone and/or brain imaging </w:t>
      </w:r>
      <w:proofErr w:type="gramStart"/>
      <w:r w:rsidR="00B467A2">
        <w:t>were performed</w:t>
      </w:r>
      <w:proofErr w:type="gramEnd"/>
      <w:r w:rsidR="00B467A2">
        <w:t xml:space="preserve"> to quantify disease burden.</w:t>
      </w:r>
    </w:p>
    <w:p w14:paraId="263CC515" w14:textId="77777777" w:rsidR="00B467A2" w:rsidRDefault="00B467A2" w:rsidP="00B467A2">
      <w:r>
        <w:t xml:space="preserve">A protocol amendment changed eligibility criteria after 42 patients </w:t>
      </w:r>
      <w:proofErr w:type="gramStart"/>
      <w:r>
        <w:t>were enrolled</w:t>
      </w:r>
      <w:proofErr w:type="gramEnd"/>
      <w:r>
        <w:t xml:space="preserve"> to exclude patients who had already received first-line therapy based on steering committee recommendations to include a homogeneous patient population.</w:t>
      </w:r>
    </w:p>
    <w:p w14:paraId="04616AEF" w14:textId="77777777" w:rsidR="00B467A2" w:rsidRDefault="00B467A2" w:rsidP="00B467A2">
      <w:r>
        <w:t xml:space="preserve">These patients </w:t>
      </w:r>
      <w:proofErr w:type="gramStart"/>
      <w:r>
        <w:t>were excluded</w:t>
      </w:r>
      <w:proofErr w:type="gramEnd"/>
      <w:r>
        <w:t xml:space="preserve"> from the primary ITT analysis population.</w:t>
      </w:r>
    </w:p>
    <w:p w14:paraId="284FFE0F" w14:textId="77777777" w:rsidR="00B467A2" w:rsidRPr="009C65E1" w:rsidRDefault="00B467A2" w:rsidP="00B467A2">
      <w:pPr>
        <w:pStyle w:val="Heading5"/>
      </w:pPr>
      <w:r w:rsidRPr="009C65E1">
        <w:t>Boundaries for equivalence for the primary endpoint of ORR</w:t>
      </w:r>
    </w:p>
    <w:p w14:paraId="1FD257DF" w14:textId="77777777" w:rsidR="00B467A2" w:rsidRDefault="00B467A2" w:rsidP="00B467A2">
      <w:r>
        <w:t xml:space="preserve">FDA: 2-sided 90% CI for ratio of ORRs (equivalent to 2 one-sided 95% CIs); acceptance interval: 0.81 to 1.24. </w:t>
      </w:r>
    </w:p>
    <w:p w14:paraId="6381D85B" w14:textId="77777777" w:rsidR="00B467A2" w:rsidRDefault="00B467A2" w:rsidP="00B467A2">
      <w:r>
        <w:t xml:space="preserve">EMA: 2-sided 95% CI for the difference of ORRs; acceptance interval: </w:t>
      </w:r>
      <w:r w:rsidR="00160004">
        <w:noBreakHyphen/>
      </w:r>
      <w:proofErr w:type="gramStart"/>
      <w:r>
        <w:t>15%</w:t>
      </w:r>
      <w:proofErr w:type="gramEnd"/>
      <w:r>
        <w:t xml:space="preserve"> to </w:t>
      </w:r>
      <w:r w:rsidR="00160004">
        <w:t>+</w:t>
      </w:r>
      <w:r>
        <w:t>15%.</w:t>
      </w:r>
    </w:p>
    <w:p w14:paraId="07560CCE" w14:textId="4CA66EE3" w:rsidR="00B467A2" w:rsidRDefault="00B467A2" w:rsidP="00B467A2">
      <w:r>
        <w:t>The equivalence margins for ORR were derived based on meta-analysis from previous randomi</w:t>
      </w:r>
      <w:r w:rsidR="00B81A44">
        <w:t>s</w:t>
      </w:r>
      <w:r>
        <w:t>ed trials that related ORR to PFS. The boundaries of the equivalence margins for</w:t>
      </w:r>
      <w:r w:rsidR="00160004">
        <w:t xml:space="preserve"> ORR corresponded to a PFS of ± </w:t>
      </w:r>
      <w:r>
        <w:t xml:space="preserve">1.9 months </w:t>
      </w:r>
      <w:r w:rsidR="00160004">
        <w:t>from a median PFS of 12 months.</w:t>
      </w:r>
    </w:p>
    <w:p w14:paraId="0B35E3FA" w14:textId="77777777" w:rsidR="00B467A2" w:rsidRDefault="00B467A2" w:rsidP="00B467A2">
      <w:pPr>
        <w:pStyle w:val="Heading5"/>
      </w:pPr>
      <w:r>
        <w:t>Sample size</w:t>
      </w:r>
    </w:p>
    <w:p w14:paraId="2D779695" w14:textId="77777777" w:rsidR="00B467A2" w:rsidRDefault="00B467A2" w:rsidP="00B467A2">
      <w:r>
        <w:t xml:space="preserve">Assumed ORR=64% for both </w:t>
      </w:r>
      <w:proofErr w:type="spellStart"/>
      <w:r>
        <w:t>Ogivri</w:t>
      </w:r>
      <w:proofErr w:type="spellEnd"/>
      <w:r>
        <w:t xml:space="preserve"> and Herceptin at 24 weeks.</w:t>
      </w:r>
    </w:p>
    <w:p w14:paraId="5FD8A4C6" w14:textId="77777777" w:rsidR="00B467A2" w:rsidRDefault="00B467A2" w:rsidP="00B467A2">
      <w:proofErr w:type="gramStart"/>
      <w:r>
        <w:t>410</w:t>
      </w:r>
      <w:proofErr w:type="gramEnd"/>
      <w:r>
        <w:t xml:space="preserve"> patients required to confirm equivalence on ORR at 24 weeks, using either the FDA or EMA acceptance intervals, with 80% power.</w:t>
      </w:r>
    </w:p>
    <w:p w14:paraId="1536272F" w14:textId="77777777" w:rsidR="00B467A2" w:rsidRPr="006626A3" w:rsidRDefault="00B467A2" w:rsidP="00B467A2">
      <w:pPr>
        <w:pStyle w:val="Heading5"/>
      </w:pPr>
      <w:r w:rsidRPr="006626A3">
        <w:lastRenderedPageBreak/>
        <w:t>Baseline characteristics</w:t>
      </w:r>
    </w:p>
    <w:p w14:paraId="5989F516" w14:textId="399F29FC" w:rsidR="00B467A2" w:rsidRDefault="00C40F6D" w:rsidP="00130920">
      <w:pPr>
        <w:pStyle w:val="TableTitle"/>
      </w:pPr>
      <w:r>
        <w:t>Table 6:</w:t>
      </w:r>
      <w:r w:rsidR="00B467A2">
        <w:t xml:space="preserve"> </w:t>
      </w:r>
      <w:r w:rsidR="00130920">
        <w:t>Study MYL-Her-3001 (</w:t>
      </w:r>
      <w:r w:rsidR="00B81A44">
        <w:t>HERITAGE trial</w:t>
      </w:r>
      <w:r w:rsidR="00130920">
        <w:t>)</w:t>
      </w:r>
      <w:r w:rsidR="00B81A44">
        <w:t xml:space="preserve"> baseline characteristics</w:t>
      </w:r>
    </w:p>
    <w:p w14:paraId="1C8C43FB" w14:textId="77777777" w:rsidR="00130920" w:rsidRDefault="00130920" w:rsidP="00130920">
      <w:pPr>
        <w:rPr>
          <w:rStyle w:val="Heading4Char"/>
        </w:rPr>
      </w:pPr>
      <w:r>
        <w:rPr>
          <w:noProof/>
          <w:lang w:eastAsia="en-AU"/>
        </w:rPr>
        <w:drawing>
          <wp:inline distT="0" distB="0" distL="0" distR="0" wp14:anchorId="6B2BE441" wp14:editId="7A6E3CE9">
            <wp:extent cx="5095874" cy="5476876"/>
            <wp:effectExtent l="0" t="0" r="9525" b="9525"/>
            <wp:docPr id="9800355" name="Picture 4" descr="Baseline characteristics Study MYL-Her-3001 (Heri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5095874" cy="5476876"/>
                    </a:xfrm>
                    <a:prstGeom prst="rect">
                      <a:avLst/>
                    </a:prstGeom>
                  </pic:spPr>
                </pic:pic>
              </a:graphicData>
            </a:graphic>
          </wp:inline>
        </w:drawing>
      </w:r>
    </w:p>
    <w:p w14:paraId="24AB5D59" w14:textId="7D051834" w:rsidR="00813979" w:rsidRPr="00527BB3" w:rsidRDefault="00813979" w:rsidP="006A4D4F">
      <w:pPr>
        <w:pStyle w:val="TableDescription"/>
        <w:rPr>
          <w:rStyle w:val="Heading4Char"/>
          <w:b w:val="0"/>
        </w:rPr>
      </w:pPr>
      <w:proofErr w:type="spellStart"/>
      <w:r w:rsidRPr="00813979">
        <w:rPr>
          <w:rStyle w:val="Heading4Char"/>
          <w:b w:val="0"/>
        </w:rPr>
        <w:t>Md</w:t>
      </w:r>
      <w:proofErr w:type="spellEnd"/>
      <w:r w:rsidRPr="00813979">
        <w:rPr>
          <w:rStyle w:val="Heading4Char"/>
          <w:b w:val="0"/>
        </w:rPr>
        <w:t xml:space="preserve"> = median; ER = oestrogen receptor; PR = progesterone receptor; ECOG = Eastern Cooperative Oncology Group </w:t>
      </w:r>
      <w:r w:rsidRPr="002F2E8A">
        <w:rPr>
          <w:rStyle w:val="Heading4Char"/>
          <w:b w:val="0"/>
        </w:rPr>
        <w:t>(</w:t>
      </w:r>
      <w:r w:rsidRPr="00527BB3">
        <w:rPr>
          <w:rStyle w:val="Heading4Char"/>
          <w:b w:val="0"/>
        </w:rPr>
        <w:t xml:space="preserve">Performance Status score); dx = diagnosis; </w:t>
      </w:r>
      <w:proofErr w:type="spellStart"/>
      <w:r w:rsidRPr="00527BB3">
        <w:rPr>
          <w:rStyle w:val="Heading4Char"/>
          <w:b w:val="0"/>
        </w:rPr>
        <w:t>mets</w:t>
      </w:r>
      <w:proofErr w:type="spellEnd"/>
      <w:r w:rsidRPr="00527BB3">
        <w:rPr>
          <w:rStyle w:val="Heading4Char"/>
          <w:b w:val="0"/>
        </w:rPr>
        <w:t xml:space="preserve"> = metastases; CNS = central nervous system </w:t>
      </w:r>
    </w:p>
    <w:p w14:paraId="4C18B8BE" w14:textId="77777777" w:rsidR="00130920" w:rsidRPr="00813979" w:rsidRDefault="00130920" w:rsidP="006A4D4F">
      <w:pPr>
        <w:pStyle w:val="Heading5"/>
      </w:pPr>
      <w:r w:rsidRPr="006A4D4F">
        <w:rPr>
          <w:rFonts w:eastAsia="Cambria"/>
        </w:rPr>
        <w:t>Efficacy results</w:t>
      </w:r>
    </w:p>
    <w:p w14:paraId="6B743294" w14:textId="0258FDB3" w:rsidR="00130920" w:rsidRDefault="00130920" w:rsidP="006A4D4F">
      <w:pPr>
        <w:pStyle w:val="Heading6"/>
      </w:pPr>
      <w:r w:rsidRPr="00400E68">
        <w:t xml:space="preserve">Primary endpoint: </w:t>
      </w:r>
      <w:r w:rsidR="00813979">
        <w:t>objective response rate</w:t>
      </w:r>
    </w:p>
    <w:p w14:paraId="63C544A2" w14:textId="25EA63D0" w:rsidR="00130920" w:rsidRPr="00130920" w:rsidRDefault="00C40F6D" w:rsidP="00130920">
      <w:pPr>
        <w:pStyle w:val="TableTitle"/>
      </w:pPr>
      <w:r>
        <w:t>Table 7:</w:t>
      </w:r>
      <w:r w:rsidR="00130920">
        <w:t xml:space="preserve"> Study MYL-Her-3001 (</w:t>
      </w:r>
      <w:r w:rsidR="00813979">
        <w:t>HERITAGE trial</w:t>
      </w:r>
      <w:r w:rsidR="00130920">
        <w:t>)</w:t>
      </w:r>
      <w:r w:rsidR="00813979">
        <w:t xml:space="preserve"> response rates</w:t>
      </w:r>
    </w:p>
    <w:p w14:paraId="21E6F835" w14:textId="77777777" w:rsidR="00B467A2" w:rsidRDefault="00130920" w:rsidP="00B467A2">
      <w:r>
        <w:rPr>
          <w:noProof/>
          <w:lang w:eastAsia="en-AU"/>
        </w:rPr>
        <w:drawing>
          <wp:inline distT="0" distB="0" distL="0" distR="0" wp14:anchorId="78B1AE6A" wp14:editId="1110A318">
            <wp:extent cx="4038600" cy="1323975"/>
            <wp:effectExtent l="0" t="0" r="0" b="9525"/>
            <wp:docPr id="1805776310" name="Picture 5" descr="Response rates in Study MYL-Her-3001 (Heri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4038600" cy="1323975"/>
                    </a:xfrm>
                    <a:prstGeom prst="rect">
                      <a:avLst/>
                    </a:prstGeom>
                  </pic:spPr>
                </pic:pic>
              </a:graphicData>
            </a:graphic>
          </wp:inline>
        </w:drawing>
      </w:r>
    </w:p>
    <w:p w14:paraId="34CCDEAC" w14:textId="77777777" w:rsidR="00130920" w:rsidRDefault="00130920" w:rsidP="00130920">
      <w:r>
        <w:t>ORR = (complete response) + (partial response)</w:t>
      </w:r>
    </w:p>
    <w:p w14:paraId="32874906" w14:textId="77777777" w:rsidR="00130920" w:rsidRDefault="00130920" w:rsidP="00130920">
      <w:proofErr w:type="spellStart"/>
      <w:r>
        <w:lastRenderedPageBreak/>
        <w:t>Ogivri</w:t>
      </w:r>
      <w:proofErr w:type="spellEnd"/>
      <w:r>
        <w:t xml:space="preserve"> versus Herceptin: 69.6% versus 64.0%</w:t>
      </w:r>
    </w:p>
    <w:p w14:paraId="0B092B2C" w14:textId="77777777" w:rsidR="00130920" w:rsidRDefault="00130920" w:rsidP="00130920">
      <w:r>
        <w:t>EMA recommended analysis: difference</w:t>
      </w:r>
      <w:r w:rsidR="00160004">
        <w:t xml:space="preserve"> = </w:t>
      </w:r>
      <w:r>
        <w:t>5.5%, 95% CI (-3.1%, 14.0%)</w:t>
      </w:r>
    </w:p>
    <w:p w14:paraId="79C9EF1A" w14:textId="77777777" w:rsidR="00130920" w:rsidRDefault="00130920" w:rsidP="00130920">
      <w:r>
        <w:t>FDA recommended analysis: ratio</w:t>
      </w:r>
      <w:r w:rsidR="00160004">
        <w:t xml:space="preserve"> = </w:t>
      </w:r>
      <w:r>
        <w:t>1.09, 90% CI (0.97, 1.21)</w:t>
      </w:r>
    </w:p>
    <w:p w14:paraId="52E6BA85" w14:textId="77777777" w:rsidR="00130920" w:rsidRDefault="00130920" w:rsidP="00130920">
      <w:r>
        <w:t xml:space="preserve">The pre-specified EMA and FDA criteria for equivalence for the primary efficacy endpoint of ORR </w:t>
      </w:r>
      <w:proofErr w:type="gramStart"/>
      <w:r>
        <w:t>were met</w:t>
      </w:r>
      <w:proofErr w:type="gramEnd"/>
      <w:r>
        <w:t>.</w:t>
      </w:r>
    </w:p>
    <w:p w14:paraId="788E66BE" w14:textId="17323BA0" w:rsidR="00130920" w:rsidRDefault="00130920" w:rsidP="006A4D4F">
      <w:pPr>
        <w:pStyle w:val="Heading6"/>
      </w:pPr>
      <w:r w:rsidRPr="00400E68">
        <w:t>Secondary endpoints</w:t>
      </w:r>
      <w:r w:rsidR="00813979">
        <w:t>: progression free survival, overall survival</w:t>
      </w:r>
      <w:r w:rsidR="00C40F6D">
        <w:t xml:space="preserve"> at Week </w:t>
      </w:r>
      <w:r>
        <w:t>48</w:t>
      </w:r>
    </w:p>
    <w:p w14:paraId="0A086C7B" w14:textId="5DD02A80" w:rsidR="00B467A2" w:rsidRDefault="00C40F6D" w:rsidP="00130920">
      <w:pPr>
        <w:pStyle w:val="TableTitle"/>
      </w:pPr>
      <w:r>
        <w:t xml:space="preserve">Table 8: </w:t>
      </w:r>
      <w:r w:rsidR="00130920">
        <w:t>Study MYL-Her-3001 (</w:t>
      </w:r>
      <w:r w:rsidR="00813979">
        <w:t>HERITAGE trial</w:t>
      </w:r>
      <w:r w:rsidR="00130920">
        <w:t>)</w:t>
      </w:r>
      <w:r w:rsidR="00813979">
        <w:t xml:space="preserve"> secondary endpoints at Week 48</w:t>
      </w:r>
    </w:p>
    <w:p w14:paraId="00365C11" w14:textId="77777777" w:rsidR="00B467A2" w:rsidRDefault="00130920" w:rsidP="00B467A2">
      <w:r>
        <w:rPr>
          <w:noProof/>
          <w:lang w:eastAsia="en-AU"/>
        </w:rPr>
        <w:drawing>
          <wp:inline distT="0" distB="0" distL="0" distR="0" wp14:anchorId="0074B7F1" wp14:editId="6C83A519">
            <wp:extent cx="4057650" cy="1495425"/>
            <wp:effectExtent l="0" t="0" r="0" b="9525"/>
            <wp:docPr id="1826670323" name="Picture 6" descr="Secondary endpoints at Week 48 for Study MYL-Her-3001 (Heri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4057650" cy="1495425"/>
                    </a:xfrm>
                    <a:prstGeom prst="rect">
                      <a:avLst/>
                    </a:prstGeom>
                  </pic:spPr>
                </pic:pic>
              </a:graphicData>
            </a:graphic>
          </wp:inline>
        </w:drawing>
      </w:r>
    </w:p>
    <w:p w14:paraId="4076A030" w14:textId="77777777" w:rsidR="00130920" w:rsidRDefault="00130920" w:rsidP="00130920">
      <w:r>
        <w:t>Results for secondary efficacy endpoints were consistent with the results for ORR.</w:t>
      </w:r>
    </w:p>
    <w:p w14:paraId="21EC2B21" w14:textId="77777777" w:rsidR="00130920" w:rsidRPr="00130920" w:rsidRDefault="00130920" w:rsidP="00130920">
      <w:pPr>
        <w:pStyle w:val="Heading4"/>
      </w:pPr>
      <w:r>
        <w:t>Safety results</w:t>
      </w:r>
    </w:p>
    <w:p w14:paraId="7C3F631B" w14:textId="77777777" w:rsidR="00130920" w:rsidRPr="00C7749E" w:rsidRDefault="00130920" w:rsidP="00130920">
      <w:pPr>
        <w:pStyle w:val="Heading5"/>
      </w:pPr>
      <w:r w:rsidRPr="00C7749E">
        <w:t>Patient disposition</w:t>
      </w:r>
    </w:p>
    <w:p w14:paraId="26CA0603" w14:textId="0CD12A02" w:rsidR="00130920" w:rsidRPr="00064D45" w:rsidRDefault="00C40F6D" w:rsidP="00263433">
      <w:pPr>
        <w:pStyle w:val="TableTitle"/>
      </w:pPr>
      <w:r>
        <w:t>Table 9</w:t>
      </w:r>
      <w:r w:rsidR="00263433">
        <w:t xml:space="preserve">: </w:t>
      </w:r>
      <w:r w:rsidR="00813979">
        <w:t>Study MYL-Her-3001 (HERITAGE trial) p</w:t>
      </w:r>
      <w:r w:rsidR="00263433">
        <w:t xml:space="preserve">atient disposition </w:t>
      </w:r>
      <w:r w:rsidR="00813979">
        <w:t>(</w:t>
      </w:r>
      <w:r>
        <w:t>Part</w:t>
      </w:r>
      <w:r w:rsidR="00813979">
        <w:t xml:space="preserve"> </w:t>
      </w:r>
      <w:r>
        <w:t>1</w:t>
      </w:r>
      <w:r w:rsidR="00813979">
        <w:t xml:space="preserve">; </w:t>
      </w:r>
      <w:r>
        <w:t xml:space="preserve">up to Week </w:t>
      </w:r>
      <w:r w:rsidR="00130920">
        <w:t xml:space="preserve">24: </w:t>
      </w:r>
      <w:proofErr w:type="spellStart"/>
      <w:r w:rsidR="00130920">
        <w:t>trastuzumab</w:t>
      </w:r>
      <w:proofErr w:type="spellEnd"/>
      <w:r w:rsidR="00813979">
        <w:t xml:space="preserve"> </w:t>
      </w:r>
      <w:r w:rsidR="00130920">
        <w:t>+</w:t>
      </w:r>
      <w:r w:rsidR="00813979">
        <w:t xml:space="preserve"> </w:t>
      </w:r>
      <w:proofErr w:type="spellStart"/>
      <w:r w:rsidR="00130920">
        <w:t>taxane</w:t>
      </w:r>
      <w:proofErr w:type="spellEnd"/>
      <w:r w:rsidR="00130920">
        <w:t>)</w:t>
      </w:r>
    </w:p>
    <w:p w14:paraId="2F5556AA" w14:textId="77777777" w:rsidR="00B467A2" w:rsidRDefault="00263433" w:rsidP="00B467A2">
      <w:r>
        <w:rPr>
          <w:noProof/>
          <w:lang w:eastAsia="en-AU"/>
        </w:rPr>
        <w:drawing>
          <wp:inline distT="0" distB="0" distL="0" distR="0" wp14:anchorId="49272A62" wp14:editId="693D786A">
            <wp:extent cx="5086350" cy="1485900"/>
            <wp:effectExtent l="0" t="0" r="0" b="0"/>
            <wp:docPr id="313775648" name="Picture 7" descr="Patient disposition Part-1(up to Week 24: trastuzumab+tax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4">
                      <a:extLst>
                        <a:ext uri="{28A0092B-C50C-407E-A947-70E740481C1C}">
                          <a14:useLocalDpi xmlns:a14="http://schemas.microsoft.com/office/drawing/2010/main" val="0"/>
                        </a:ext>
                      </a:extLst>
                    </a:blip>
                    <a:stretch>
                      <a:fillRect/>
                    </a:stretch>
                  </pic:blipFill>
                  <pic:spPr>
                    <a:xfrm>
                      <a:off x="0" y="0"/>
                      <a:ext cx="5086350" cy="1485900"/>
                    </a:xfrm>
                    <a:prstGeom prst="rect">
                      <a:avLst/>
                    </a:prstGeom>
                  </pic:spPr>
                </pic:pic>
              </a:graphicData>
            </a:graphic>
          </wp:inline>
        </w:drawing>
      </w:r>
    </w:p>
    <w:p w14:paraId="77EA8CB9" w14:textId="1372382F" w:rsidR="00263433" w:rsidRPr="00064D45" w:rsidRDefault="00C40F6D" w:rsidP="00263433">
      <w:pPr>
        <w:pStyle w:val="TableTitle"/>
      </w:pPr>
      <w:r>
        <w:t>Table 10</w:t>
      </w:r>
      <w:r w:rsidR="00263433">
        <w:t xml:space="preserve">: </w:t>
      </w:r>
      <w:r w:rsidR="00813979">
        <w:t>Study MYL-Her-3001 (HERITAGE trial) p</w:t>
      </w:r>
      <w:r w:rsidR="00263433">
        <w:t>atient disposition</w:t>
      </w:r>
      <w:r w:rsidR="00263433" w:rsidRPr="00263433">
        <w:t xml:space="preserve"> </w:t>
      </w:r>
      <w:r w:rsidR="00813979">
        <w:t>(</w:t>
      </w:r>
      <w:r>
        <w:t>Part-2</w:t>
      </w:r>
      <w:r w:rsidR="00813979">
        <w:t xml:space="preserve">; </w:t>
      </w:r>
      <w:r>
        <w:t xml:space="preserve">Week 25 to Week </w:t>
      </w:r>
      <w:r w:rsidR="00263433">
        <w:t>48)</w:t>
      </w:r>
    </w:p>
    <w:p w14:paraId="7C2594A8" w14:textId="77777777" w:rsidR="00B467A2" w:rsidRDefault="00263433" w:rsidP="00B467A2">
      <w:r>
        <w:rPr>
          <w:noProof/>
          <w:lang w:eastAsia="en-AU"/>
        </w:rPr>
        <w:drawing>
          <wp:inline distT="0" distB="0" distL="0" distR="0" wp14:anchorId="38944281" wp14:editId="3BCB29E3">
            <wp:extent cx="5086350" cy="1295400"/>
            <wp:effectExtent l="0" t="0" r="0" b="0"/>
            <wp:docPr id="527966611" name="Picture 8" descr="Patient disposition Part-2 (Week 25 to We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5">
                      <a:extLst>
                        <a:ext uri="{28A0092B-C50C-407E-A947-70E740481C1C}">
                          <a14:useLocalDpi xmlns:a14="http://schemas.microsoft.com/office/drawing/2010/main" val="0"/>
                        </a:ext>
                      </a:extLst>
                    </a:blip>
                    <a:stretch>
                      <a:fillRect/>
                    </a:stretch>
                  </pic:blipFill>
                  <pic:spPr>
                    <a:xfrm>
                      <a:off x="0" y="0"/>
                      <a:ext cx="5086350" cy="1295400"/>
                    </a:xfrm>
                    <a:prstGeom prst="rect">
                      <a:avLst/>
                    </a:prstGeom>
                  </pic:spPr>
                </pic:pic>
              </a:graphicData>
            </a:graphic>
          </wp:inline>
        </w:drawing>
      </w:r>
    </w:p>
    <w:p w14:paraId="48C4F02F" w14:textId="40B5C351" w:rsidR="00263433" w:rsidRDefault="00C40F6D" w:rsidP="00263433">
      <w:pPr>
        <w:pStyle w:val="TableTitle"/>
      </w:pPr>
      <w:r>
        <w:lastRenderedPageBreak/>
        <w:t>Table 11</w:t>
      </w:r>
      <w:r w:rsidR="004C3033">
        <w:t>:</w:t>
      </w:r>
      <w:r w:rsidR="00263433">
        <w:t xml:space="preserve"> </w:t>
      </w:r>
      <w:r w:rsidR="00813979">
        <w:t>Study MYL-Her-3001 (HERITAGE trial) t</w:t>
      </w:r>
      <w:r w:rsidR="00263433">
        <w:t>r</w:t>
      </w:r>
      <w:r w:rsidR="004C3033">
        <w:t>eatment emergent adverse events</w:t>
      </w:r>
      <w:r w:rsidR="00263433">
        <w:t xml:space="preserve"> </w:t>
      </w:r>
      <w:r w:rsidR="00813979">
        <w:t>(</w:t>
      </w:r>
      <w:r w:rsidR="00263433">
        <w:t>to 48 weeks</w:t>
      </w:r>
      <w:r w:rsidR="00813979">
        <w:t>;</w:t>
      </w:r>
      <w:r w:rsidR="00263433">
        <w:t xml:space="preserve"> Parts 1 and 2</w:t>
      </w:r>
      <w:r w:rsidR="00813979">
        <w:t>)</w:t>
      </w:r>
    </w:p>
    <w:p w14:paraId="463F1E5B" w14:textId="77777777" w:rsidR="00B467A2" w:rsidRDefault="00263433" w:rsidP="00B467A2">
      <w:r>
        <w:rPr>
          <w:noProof/>
          <w:lang w:eastAsia="en-AU"/>
        </w:rPr>
        <w:drawing>
          <wp:inline distT="0" distB="0" distL="0" distR="0" wp14:anchorId="591C7219" wp14:editId="1F0D1803">
            <wp:extent cx="4495800" cy="1343025"/>
            <wp:effectExtent l="0" t="0" r="0" b="9525"/>
            <wp:docPr id="549582269" name="Picture 9" descr="Treatment emergent adverse events to 48 weeks, Parts 1 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6">
                      <a:extLst>
                        <a:ext uri="{28A0092B-C50C-407E-A947-70E740481C1C}">
                          <a14:useLocalDpi xmlns:a14="http://schemas.microsoft.com/office/drawing/2010/main" val="0"/>
                        </a:ext>
                      </a:extLst>
                    </a:blip>
                    <a:stretch>
                      <a:fillRect/>
                    </a:stretch>
                  </pic:blipFill>
                  <pic:spPr>
                    <a:xfrm>
                      <a:off x="0" y="0"/>
                      <a:ext cx="4495800" cy="1343025"/>
                    </a:xfrm>
                    <a:prstGeom prst="rect">
                      <a:avLst/>
                    </a:prstGeom>
                  </pic:spPr>
                </pic:pic>
              </a:graphicData>
            </a:graphic>
          </wp:inline>
        </w:drawing>
      </w:r>
    </w:p>
    <w:p w14:paraId="7E7C5662" w14:textId="3BB2C263" w:rsidR="00263433" w:rsidRDefault="004C3033" w:rsidP="00263433">
      <w:r w:rsidRPr="00A901DA">
        <w:rPr>
          <w:lang w:val="en-US"/>
        </w:rPr>
        <w:t>Treatment-emergent adverse event</w:t>
      </w:r>
      <w:r w:rsidRPr="00A901DA">
        <w:t xml:space="preserve"> (</w:t>
      </w:r>
      <w:r w:rsidR="00263433" w:rsidRPr="00A901DA">
        <w:t>TEAEs</w:t>
      </w:r>
      <w:r w:rsidRPr="00A901DA">
        <w:t>)</w:t>
      </w:r>
      <w:r w:rsidR="00263433" w:rsidRPr="00A901DA">
        <w:t xml:space="preserve"> were similar across both arms of the study</w:t>
      </w:r>
      <w:r w:rsidR="006A4D4F">
        <w:t>,</w:t>
      </w:r>
      <w:r w:rsidR="00A901DA" w:rsidRPr="00A901DA">
        <w:t xml:space="preserve"> </w:t>
      </w:r>
      <w:r w:rsidR="00263433" w:rsidRPr="00A901DA">
        <w:t xml:space="preserve">except perhaps for those deemed by the </w:t>
      </w:r>
      <w:r w:rsidR="00F403D4">
        <w:t xml:space="preserve">study </w:t>
      </w:r>
      <w:r w:rsidR="00263433" w:rsidRPr="00A901DA">
        <w:t xml:space="preserve">investigators to be treatment-related TEAEs (42% versus 36%) For Part 2 (mainly monotherapy), the incidence of treatment-related TEAEs was similar for </w:t>
      </w:r>
      <w:proofErr w:type="spellStart"/>
      <w:r w:rsidR="00263433" w:rsidRPr="00A901DA">
        <w:t>Ogivri</w:t>
      </w:r>
      <w:proofErr w:type="spellEnd"/>
      <w:r w:rsidR="00263433" w:rsidRPr="00A901DA">
        <w:t xml:space="preserve"> and Herceptin (28 patients; 15.6% versus 25 patients; 15.3% ), suggesting that the differences seen between arms through 48 weeks were due to Part</w:t>
      </w:r>
      <w:r w:rsidR="00263433" w:rsidRPr="000A105C">
        <w:t xml:space="preserve"> 1 of the study </w:t>
      </w:r>
      <w:r w:rsidR="00263433">
        <w:t xml:space="preserve">(up to 24 weeks) </w:t>
      </w:r>
      <w:r w:rsidR="00263433" w:rsidRPr="000A105C">
        <w:t xml:space="preserve">and possibly attributable to concomitant </w:t>
      </w:r>
      <w:proofErr w:type="spellStart"/>
      <w:r w:rsidR="00263433" w:rsidRPr="000A105C">
        <w:t>taxane</w:t>
      </w:r>
      <w:proofErr w:type="spellEnd"/>
      <w:r w:rsidR="00263433" w:rsidRPr="000A105C">
        <w:t xml:space="preserve"> therapy</w:t>
      </w:r>
      <w:r w:rsidR="00263433">
        <w:t xml:space="preserve"> (more women in the </w:t>
      </w:r>
      <w:proofErr w:type="spellStart"/>
      <w:r w:rsidR="00263433">
        <w:t>Ogivri</w:t>
      </w:r>
      <w:proofErr w:type="spellEnd"/>
      <w:r w:rsidR="00263433">
        <w:t xml:space="preserve"> arm received paclitaxel)</w:t>
      </w:r>
      <w:r w:rsidR="00263433" w:rsidRPr="000A105C">
        <w:t>.</w:t>
      </w:r>
    </w:p>
    <w:p w14:paraId="030AD8D4" w14:textId="06471E5A" w:rsidR="00263433" w:rsidRPr="00621E5B" w:rsidRDefault="00263433" w:rsidP="00263433">
      <w:r>
        <w:t>Types of TEAEs were similar across the two arms. T</w:t>
      </w:r>
      <w:r w:rsidRPr="000A105C">
        <w:t xml:space="preserve">he most frequently reported TEAEs were alopecia (56.4%), followed by </w:t>
      </w:r>
      <w:proofErr w:type="spellStart"/>
      <w:r w:rsidRPr="000A105C">
        <w:t>neutrop</w:t>
      </w:r>
      <w:r w:rsidR="00054CAD">
        <w:t>a</w:t>
      </w:r>
      <w:r w:rsidRPr="000A105C">
        <w:t>enia</w:t>
      </w:r>
      <w:proofErr w:type="spellEnd"/>
      <w:r w:rsidRPr="000A105C">
        <w:t xml:space="preserve"> (56.0%), and diarrhoea (20.9%).</w:t>
      </w:r>
      <w:r>
        <w:t xml:space="preserve"> These mainly occurred during Part</w:t>
      </w:r>
      <w:r w:rsidR="00054CAD">
        <w:t xml:space="preserve"> </w:t>
      </w:r>
      <w:r>
        <w:t>1 of the study.</w:t>
      </w:r>
    </w:p>
    <w:p w14:paraId="522CEDCB" w14:textId="2737CD38" w:rsidR="00263433" w:rsidRPr="00C7749E" w:rsidRDefault="00263433" w:rsidP="00263433">
      <w:pPr>
        <w:pStyle w:val="Heading6"/>
      </w:pPr>
      <w:r w:rsidRPr="00C7749E">
        <w:t>Serious adverse events</w:t>
      </w:r>
    </w:p>
    <w:p w14:paraId="20AB681B" w14:textId="77777777" w:rsidR="00263433" w:rsidRDefault="00263433" w:rsidP="00263433">
      <w:r>
        <w:t xml:space="preserve">The frequency of serious TEAEs (SAEs) was similar for </w:t>
      </w:r>
      <w:proofErr w:type="spellStart"/>
      <w:r>
        <w:t>Ogivri</w:t>
      </w:r>
      <w:proofErr w:type="spellEnd"/>
      <w:r>
        <w:t xml:space="preserve"> and Herceptin: 38% versus 37%.</w:t>
      </w:r>
    </w:p>
    <w:p w14:paraId="6AC598BE" w14:textId="77777777" w:rsidR="00263433" w:rsidRPr="000A105C" w:rsidRDefault="00263433" w:rsidP="00263433">
      <w:r>
        <w:t>T</w:t>
      </w:r>
      <w:r w:rsidRPr="000A105C">
        <w:t>he most frequently reported SAE</w:t>
      </w:r>
      <w:r>
        <w:t>s</w:t>
      </w:r>
      <w:r w:rsidRPr="000A105C">
        <w:t xml:space="preserve"> were:</w:t>
      </w:r>
    </w:p>
    <w:p w14:paraId="39818F0F" w14:textId="7425DF3C" w:rsidR="00263433" w:rsidRPr="000A105C" w:rsidRDefault="00263433" w:rsidP="00263433">
      <w:pPr>
        <w:pStyle w:val="ListBullet"/>
      </w:pPr>
      <w:proofErr w:type="spellStart"/>
      <w:r w:rsidRPr="000A105C">
        <w:t>Neutrop</w:t>
      </w:r>
      <w:r w:rsidR="00054CAD">
        <w:t>a</w:t>
      </w:r>
      <w:r w:rsidRPr="000A105C">
        <w:t>enia</w:t>
      </w:r>
      <w:proofErr w:type="spellEnd"/>
      <w:r w:rsidRPr="000A105C">
        <w:t xml:space="preserve"> wi</w:t>
      </w:r>
      <w:r>
        <w:t>th 68 patients (27.5%</w:t>
      </w:r>
      <w:r w:rsidRPr="000A105C">
        <w:t xml:space="preserve">) in the </w:t>
      </w:r>
      <w:proofErr w:type="spellStart"/>
      <w:r>
        <w:t>Ogivri</w:t>
      </w:r>
      <w:proofErr w:type="spellEnd"/>
      <w:r>
        <w:t xml:space="preserve"> </w:t>
      </w:r>
      <w:r w:rsidRPr="000A105C">
        <w:t>arm a</w:t>
      </w:r>
      <w:r>
        <w:t>nd 62 patients (25.2%</w:t>
      </w:r>
      <w:r w:rsidRPr="000A105C">
        <w:t>) in the Herceptin arm</w:t>
      </w:r>
      <w:proofErr w:type="gramStart"/>
      <w:r w:rsidRPr="000A105C">
        <w:t>;</w:t>
      </w:r>
      <w:proofErr w:type="gramEnd"/>
      <w:r w:rsidRPr="000A105C">
        <w:t xml:space="preserve"> nearly all were Grade 4.</w:t>
      </w:r>
    </w:p>
    <w:p w14:paraId="3A5A0ACA" w14:textId="6BF1F323" w:rsidR="00263433" w:rsidRPr="000A105C" w:rsidRDefault="00263433" w:rsidP="00263433">
      <w:pPr>
        <w:pStyle w:val="ListBullet"/>
      </w:pPr>
      <w:r w:rsidRPr="000A105C">
        <w:t xml:space="preserve">Febrile </w:t>
      </w:r>
      <w:proofErr w:type="spellStart"/>
      <w:r w:rsidRPr="000A105C">
        <w:t>neutrop</w:t>
      </w:r>
      <w:r w:rsidR="00054CAD">
        <w:t>a</w:t>
      </w:r>
      <w:r w:rsidRPr="000A105C">
        <w:t>en</w:t>
      </w:r>
      <w:r>
        <w:t>ia</w:t>
      </w:r>
      <w:proofErr w:type="spellEnd"/>
      <w:r>
        <w:t>: 11 patients (4.5%</w:t>
      </w:r>
      <w:r w:rsidRPr="000A105C">
        <w:t xml:space="preserve">) in the </w:t>
      </w:r>
      <w:proofErr w:type="spellStart"/>
      <w:r>
        <w:t>Ogivri</w:t>
      </w:r>
      <w:proofErr w:type="spellEnd"/>
      <w:r w:rsidRPr="000A105C">
        <w:t xml:space="preserve"> arm </w:t>
      </w:r>
      <w:r>
        <w:t>and 10 patients (4.1%</w:t>
      </w:r>
      <w:r w:rsidRPr="000A105C">
        <w:t xml:space="preserve">) in the Herceptin arm. </w:t>
      </w:r>
    </w:p>
    <w:p w14:paraId="2B5CC725" w14:textId="3C096699" w:rsidR="00263433" w:rsidRPr="000A105C" w:rsidRDefault="00263433" w:rsidP="00263433">
      <w:pPr>
        <w:pStyle w:val="ListBullet"/>
      </w:pPr>
      <w:proofErr w:type="spellStart"/>
      <w:r w:rsidRPr="000A105C">
        <w:t>Leuk</w:t>
      </w:r>
      <w:r>
        <w:t>op</w:t>
      </w:r>
      <w:r w:rsidR="00054CAD">
        <w:t>a</w:t>
      </w:r>
      <w:r>
        <w:t>enia</w:t>
      </w:r>
      <w:proofErr w:type="spellEnd"/>
      <w:r>
        <w:t>: 5 patients (2.0%</w:t>
      </w:r>
      <w:r w:rsidRPr="000A105C">
        <w:t xml:space="preserve">) in the </w:t>
      </w:r>
      <w:proofErr w:type="spellStart"/>
      <w:r>
        <w:t>Ogivri</w:t>
      </w:r>
      <w:proofErr w:type="spellEnd"/>
      <w:r w:rsidRPr="000A105C">
        <w:t xml:space="preserve"> arm </w:t>
      </w:r>
      <w:r>
        <w:t>and 12 patients (4.9%</w:t>
      </w:r>
      <w:r w:rsidRPr="000A105C">
        <w:t>) in the Herceptin arm.</w:t>
      </w:r>
    </w:p>
    <w:p w14:paraId="21508F2A" w14:textId="77777777" w:rsidR="00263433" w:rsidRDefault="00263433" w:rsidP="00263433">
      <w:pPr>
        <w:pStyle w:val="ListBullet"/>
      </w:pPr>
      <w:r w:rsidRPr="000A105C">
        <w:t xml:space="preserve">Pneumonia: 6 patients </w:t>
      </w:r>
      <w:r>
        <w:t>(2.4%</w:t>
      </w:r>
      <w:r w:rsidRPr="000A105C">
        <w:t xml:space="preserve">) in the </w:t>
      </w:r>
      <w:proofErr w:type="spellStart"/>
      <w:r>
        <w:t>Ogivri</w:t>
      </w:r>
      <w:proofErr w:type="spellEnd"/>
      <w:r w:rsidRPr="000A105C">
        <w:t xml:space="preserve"> </w:t>
      </w:r>
      <w:r>
        <w:t>arm and 5 patients (2.0%</w:t>
      </w:r>
      <w:r w:rsidRPr="000A105C">
        <w:t>) in the Herceptin arm.</w:t>
      </w:r>
    </w:p>
    <w:p w14:paraId="2A9104FE" w14:textId="77777777" w:rsidR="00263433" w:rsidRDefault="00263433" w:rsidP="00263433">
      <w:r>
        <w:t>T</w:t>
      </w:r>
      <w:r w:rsidRPr="000A105C">
        <w:t>he vast majority of SAEs occurred in Part 1 of the study while patients were recei</w:t>
      </w:r>
      <w:r>
        <w:t>ving combination therapy.</w:t>
      </w:r>
    </w:p>
    <w:p w14:paraId="187949BC" w14:textId="4FB1D02D" w:rsidR="00263433" w:rsidRDefault="00263433" w:rsidP="00263433">
      <w:r>
        <w:t>I</w:t>
      </w:r>
      <w:r w:rsidRPr="000A105C">
        <w:t xml:space="preserve">n Part 2, there were no </w:t>
      </w:r>
      <w:r>
        <w:t xml:space="preserve">SAEs for </w:t>
      </w:r>
      <w:proofErr w:type="spellStart"/>
      <w:r>
        <w:t>neutrop</w:t>
      </w:r>
      <w:r w:rsidR="00054CAD">
        <w:t>a</w:t>
      </w:r>
      <w:r>
        <w:t>enia</w:t>
      </w:r>
      <w:proofErr w:type="spellEnd"/>
      <w:r w:rsidR="00C40F6D">
        <w:t>.</w:t>
      </w:r>
    </w:p>
    <w:p w14:paraId="000E7363" w14:textId="77777777" w:rsidR="00263433" w:rsidRDefault="00263433" w:rsidP="00263433">
      <w:r w:rsidRPr="000A105C">
        <w:t xml:space="preserve">The majority of SAEs </w:t>
      </w:r>
      <w:proofErr w:type="gramStart"/>
      <w:r w:rsidRPr="000A105C">
        <w:t>were considered</w:t>
      </w:r>
      <w:proofErr w:type="gramEnd"/>
      <w:r w:rsidRPr="000A105C">
        <w:t xml:space="preserve"> unrelated to study drug.</w:t>
      </w:r>
    </w:p>
    <w:p w14:paraId="456D5862" w14:textId="77777777" w:rsidR="00263433" w:rsidRPr="00C7749E" w:rsidRDefault="00263433" w:rsidP="00263433">
      <w:pPr>
        <w:pStyle w:val="Heading6"/>
      </w:pPr>
      <w:r w:rsidRPr="00C7749E">
        <w:t>Deaths</w:t>
      </w:r>
    </w:p>
    <w:p w14:paraId="0EE48305" w14:textId="77777777" w:rsidR="00263433" w:rsidRDefault="00263433" w:rsidP="00263433">
      <w:pPr>
        <w:pStyle w:val="ListBullet"/>
      </w:pPr>
      <w:r>
        <w:t>F</w:t>
      </w:r>
      <w:r w:rsidRPr="000A105C">
        <w:t>or Part</w:t>
      </w:r>
      <w:r>
        <w:t>s</w:t>
      </w:r>
      <w:r w:rsidRPr="000A105C">
        <w:t xml:space="preserve"> 1 and 2</w:t>
      </w:r>
      <w:r>
        <w:t>,</w:t>
      </w:r>
      <w:r w:rsidRPr="000A105C">
        <w:t xml:space="preserve"> through Week 48, 10 patients </w:t>
      </w:r>
      <w:r>
        <w:t>had</w:t>
      </w:r>
      <w:r w:rsidRPr="000A105C">
        <w:t xml:space="preserve"> fatal TEAEs, 6 in the </w:t>
      </w:r>
      <w:proofErr w:type="spellStart"/>
      <w:r>
        <w:t>Ogivri</w:t>
      </w:r>
      <w:proofErr w:type="spellEnd"/>
      <w:r>
        <w:t xml:space="preserve"> arm (2.4%</w:t>
      </w:r>
      <w:r w:rsidRPr="000A105C">
        <w:t xml:space="preserve">) and </w:t>
      </w:r>
      <w:proofErr w:type="gramStart"/>
      <w:r w:rsidRPr="000A105C">
        <w:t>4</w:t>
      </w:r>
      <w:proofErr w:type="gramEnd"/>
      <w:r w:rsidRPr="000A105C">
        <w:t xml:space="preserve"> in the </w:t>
      </w:r>
      <w:r>
        <w:t>Herceptin arm (1.6%)</w:t>
      </w:r>
      <w:r w:rsidRPr="000A105C">
        <w:t>.</w:t>
      </w:r>
    </w:p>
    <w:p w14:paraId="6F8308A4" w14:textId="37705FD2" w:rsidR="00263433" w:rsidRDefault="00C40F6D" w:rsidP="00263433">
      <w:pPr>
        <w:pStyle w:val="ListBullet"/>
      </w:pPr>
      <w:r>
        <w:t>For the P</w:t>
      </w:r>
      <w:r w:rsidR="00263433" w:rsidRPr="000A105C">
        <w:t xml:space="preserve">art 2 </w:t>
      </w:r>
      <w:r w:rsidR="00263433">
        <w:t xml:space="preserve">(mainly </w:t>
      </w:r>
      <w:r w:rsidR="00263433" w:rsidRPr="000A105C">
        <w:t>monotherapy</w:t>
      </w:r>
      <w:r w:rsidR="00263433">
        <w:t>)</w:t>
      </w:r>
      <w:r w:rsidR="00263433" w:rsidRPr="000A105C">
        <w:t xml:space="preserve">, </w:t>
      </w:r>
      <w:proofErr w:type="gramStart"/>
      <w:r w:rsidR="00263433" w:rsidRPr="000A105C">
        <w:t>2</w:t>
      </w:r>
      <w:proofErr w:type="gramEnd"/>
      <w:r w:rsidR="00263433" w:rsidRPr="000A105C">
        <w:t xml:space="preserve"> patients in the </w:t>
      </w:r>
      <w:proofErr w:type="spellStart"/>
      <w:r w:rsidR="00263433">
        <w:t>Ogivri</w:t>
      </w:r>
      <w:proofErr w:type="spellEnd"/>
      <w:r w:rsidR="00263433" w:rsidRPr="000A105C">
        <w:t xml:space="preserve"> arm </w:t>
      </w:r>
      <w:r w:rsidR="00263433">
        <w:t xml:space="preserve">had a </w:t>
      </w:r>
      <w:r w:rsidR="00263433" w:rsidRPr="000A105C">
        <w:t>fatal TEAE (none in the Herceptin arm); however, neither was considere</w:t>
      </w:r>
      <w:r w:rsidR="00263433">
        <w:t>d related to study drug by the i</w:t>
      </w:r>
      <w:r w:rsidR="008B614E">
        <w:t>nvestigator.</w:t>
      </w:r>
    </w:p>
    <w:p w14:paraId="10EF73C4" w14:textId="77777777" w:rsidR="00263433" w:rsidRDefault="00263433" w:rsidP="00263433">
      <w:pPr>
        <w:pStyle w:val="ListBullet"/>
      </w:pPr>
      <w:r w:rsidRPr="000A105C">
        <w:t xml:space="preserve">Most </w:t>
      </w:r>
      <w:r w:rsidR="00C40F6D">
        <w:t>of the remaining fatal events (P</w:t>
      </w:r>
      <w:r w:rsidRPr="000A105C">
        <w:t xml:space="preserve">art 1: 4 deaths in each arm) </w:t>
      </w:r>
      <w:proofErr w:type="gramStart"/>
      <w:r w:rsidRPr="000A105C">
        <w:t>were considered</w:t>
      </w:r>
      <w:proofErr w:type="gramEnd"/>
      <w:r w:rsidRPr="000A105C">
        <w:t xml:space="preserve"> related to </w:t>
      </w:r>
      <w:proofErr w:type="spellStart"/>
      <w:r w:rsidRPr="000A105C">
        <w:t>taxane</w:t>
      </w:r>
      <w:proofErr w:type="spellEnd"/>
      <w:r w:rsidRPr="000A105C">
        <w:t>, concomitant medication, or underlying or progressive disease</w:t>
      </w:r>
      <w:r w:rsidR="00C40F6D">
        <w:t>.</w:t>
      </w:r>
    </w:p>
    <w:p w14:paraId="4D38E72A" w14:textId="3A1A1391" w:rsidR="00263433" w:rsidRDefault="00263433" w:rsidP="00263433">
      <w:pPr>
        <w:pStyle w:val="ListBullet"/>
      </w:pPr>
      <w:r w:rsidRPr="000A105C">
        <w:t xml:space="preserve">Only </w:t>
      </w:r>
      <w:proofErr w:type="gramStart"/>
      <w:r w:rsidRPr="000A105C">
        <w:t>1</w:t>
      </w:r>
      <w:proofErr w:type="gramEnd"/>
      <w:r w:rsidRPr="000A105C">
        <w:t xml:space="preserve"> event of respiratory failure in each arm was considered as po</w:t>
      </w:r>
      <w:r>
        <w:t xml:space="preserve">ssibly related to </w:t>
      </w:r>
      <w:proofErr w:type="spellStart"/>
      <w:r w:rsidR="00550FE5">
        <w:t>trastuzumab</w:t>
      </w:r>
      <w:proofErr w:type="spellEnd"/>
      <w:r>
        <w:t>.</w:t>
      </w:r>
    </w:p>
    <w:p w14:paraId="1B09229B" w14:textId="77777777" w:rsidR="00263433" w:rsidRDefault="00263433" w:rsidP="00263433">
      <w:pPr>
        <w:pStyle w:val="Heading6"/>
      </w:pPr>
      <w:r w:rsidRPr="00C7749E">
        <w:lastRenderedPageBreak/>
        <w:t>Adverse events of special interest</w:t>
      </w:r>
    </w:p>
    <w:p w14:paraId="488160CF" w14:textId="77777777" w:rsidR="00263433" w:rsidRDefault="00263433" w:rsidP="00263433">
      <w:r>
        <w:t xml:space="preserve">AEs of special interest for </w:t>
      </w:r>
      <w:proofErr w:type="spellStart"/>
      <w:r>
        <w:t>trastuzumab</w:t>
      </w:r>
      <w:proofErr w:type="spellEnd"/>
      <w:r>
        <w:t xml:space="preserve"> include cardiac toxicity, infusion reactions, and pulmonary toxicity.</w:t>
      </w:r>
    </w:p>
    <w:p w14:paraId="266BD080" w14:textId="303090EF" w:rsidR="00263433" w:rsidRDefault="00C40F6D" w:rsidP="00263433">
      <w:pPr>
        <w:pStyle w:val="TableTitle"/>
      </w:pPr>
      <w:r>
        <w:t>Table 12:</w:t>
      </w:r>
      <w:r w:rsidR="00263433">
        <w:t xml:space="preserve"> </w:t>
      </w:r>
      <w:r w:rsidR="00054CAD">
        <w:t>Study MYL-Her-3001 (HERITAGE trial) a</w:t>
      </w:r>
      <w:r w:rsidR="00263433">
        <w:t>dverse events of special interest</w:t>
      </w:r>
    </w:p>
    <w:p w14:paraId="112A762D" w14:textId="77777777" w:rsidR="00B467A2" w:rsidRDefault="00263433" w:rsidP="00B467A2">
      <w:r>
        <w:rPr>
          <w:noProof/>
          <w:lang w:eastAsia="en-AU"/>
        </w:rPr>
        <w:drawing>
          <wp:inline distT="0" distB="0" distL="0" distR="0" wp14:anchorId="70B37673" wp14:editId="172AB962">
            <wp:extent cx="5400040" cy="3285490"/>
            <wp:effectExtent l="0" t="0" r="0" b="0"/>
            <wp:docPr id="1683948328" name="Picture 10" descr="Adverse events of special 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7">
                      <a:extLst>
                        <a:ext uri="{28A0092B-C50C-407E-A947-70E740481C1C}">
                          <a14:useLocalDpi xmlns:a14="http://schemas.microsoft.com/office/drawing/2010/main" val="0"/>
                        </a:ext>
                      </a:extLst>
                    </a:blip>
                    <a:stretch>
                      <a:fillRect/>
                    </a:stretch>
                  </pic:blipFill>
                  <pic:spPr>
                    <a:xfrm>
                      <a:off x="0" y="0"/>
                      <a:ext cx="5400040" cy="3285490"/>
                    </a:xfrm>
                    <a:prstGeom prst="rect">
                      <a:avLst/>
                    </a:prstGeom>
                  </pic:spPr>
                </pic:pic>
              </a:graphicData>
            </a:graphic>
          </wp:inline>
        </w:drawing>
      </w:r>
    </w:p>
    <w:p w14:paraId="25044E40" w14:textId="315F1810" w:rsidR="00263433" w:rsidRDefault="00C40F6D" w:rsidP="00263433">
      <w:pPr>
        <w:pStyle w:val="TableTitle"/>
      </w:pPr>
      <w:r>
        <w:t xml:space="preserve">Table 13: </w:t>
      </w:r>
      <w:r w:rsidR="00054CAD">
        <w:t>Study MYL-Her-3001 (HERITAGE trial) i</w:t>
      </w:r>
      <w:r w:rsidR="00263433">
        <w:t>nfusion reactions and pulmonary toxicities of special interest</w:t>
      </w:r>
    </w:p>
    <w:p w14:paraId="313AC60B" w14:textId="77777777" w:rsidR="00B467A2" w:rsidRDefault="006D1A3E" w:rsidP="00B467A2">
      <w:r>
        <w:rPr>
          <w:noProof/>
          <w:lang w:eastAsia="en-AU"/>
        </w:rPr>
        <w:drawing>
          <wp:inline distT="0" distB="0" distL="0" distR="0" wp14:anchorId="75071A2C" wp14:editId="54BCC20F">
            <wp:extent cx="3448050" cy="1504950"/>
            <wp:effectExtent l="0" t="0" r="0" b="0"/>
            <wp:docPr id="1016722829" name="Picture 11" descr="Infusion reactions and pulmonary toxicities of special 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8">
                      <a:extLst>
                        <a:ext uri="{28A0092B-C50C-407E-A947-70E740481C1C}">
                          <a14:useLocalDpi xmlns:a14="http://schemas.microsoft.com/office/drawing/2010/main" val="0"/>
                        </a:ext>
                      </a:extLst>
                    </a:blip>
                    <a:stretch>
                      <a:fillRect/>
                    </a:stretch>
                  </pic:blipFill>
                  <pic:spPr>
                    <a:xfrm>
                      <a:off x="0" y="0"/>
                      <a:ext cx="3448050" cy="1504950"/>
                    </a:xfrm>
                    <a:prstGeom prst="rect">
                      <a:avLst/>
                    </a:prstGeom>
                  </pic:spPr>
                </pic:pic>
              </a:graphicData>
            </a:graphic>
          </wp:inline>
        </w:drawing>
      </w:r>
    </w:p>
    <w:p w14:paraId="36CC50D7" w14:textId="31C0F9B0" w:rsidR="006D1A3E" w:rsidRPr="00C7749E" w:rsidRDefault="006D1A3E" w:rsidP="006D1A3E">
      <w:pPr>
        <w:pStyle w:val="Heading6"/>
      </w:pPr>
      <w:r w:rsidRPr="00C7749E">
        <w:t>Infusion reactions, allergic-type reactions</w:t>
      </w:r>
      <w:r w:rsidR="00054CAD">
        <w:t xml:space="preserve"> and</w:t>
      </w:r>
      <w:r w:rsidRPr="00C7749E">
        <w:t xml:space="preserve"> hypersensitivity</w:t>
      </w:r>
    </w:p>
    <w:p w14:paraId="57460E76" w14:textId="77777777" w:rsidR="006D1A3E" w:rsidRDefault="006D1A3E" w:rsidP="006D1A3E">
      <w:r w:rsidRPr="000A105C">
        <w:t xml:space="preserve">The nature and severity of these reactions were consistent with known </w:t>
      </w:r>
      <w:proofErr w:type="spellStart"/>
      <w:r w:rsidRPr="000A105C">
        <w:t>trastuzumab</w:t>
      </w:r>
      <w:proofErr w:type="spellEnd"/>
      <w:r w:rsidRPr="000A105C">
        <w:t xml:space="preserve"> and </w:t>
      </w:r>
      <w:proofErr w:type="spellStart"/>
      <w:r>
        <w:t>taxane</w:t>
      </w:r>
      <w:proofErr w:type="spellEnd"/>
      <w:r>
        <w:t xml:space="preserve"> infusion reactions</w:t>
      </w:r>
      <w:r w:rsidRPr="000A105C">
        <w:t>.</w:t>
      </w:r>
    </w:p>
    <w:p w14:paraId="35A5B436" w14:textId="77777777" w:rsidR="006D1A3E" w:rsidRPr="000A105C" w:rsidRDefault="006D1A3E" w:rsidP="006D1A3E">
      <w:r>
        <w:t>A</w:t>
      </w:r>
      <w:r w:rsidRPr="003B38CE">
        <w:t>naphylactic reaction</w:t>
      </w:r>
      <w:r w:rsidRPr="000A105C">
        <w:t xml:space="preserve"> events were reported in </w:t>
      </w:r>
      <w:proofErr w:type="gramStart"/>
      <w:r w:rsidRPr="000A105C">
        <w:t>2</w:t>
      </w:r>
      <w:proofErr w:type="gramEnd"/>
      <w:r w:rsidRPr="000A105C">
        <w:t xml:space="preserve"> patients in the </w:t>
      </w:r>
      <w:proofErr w:type="spellStart"/>
      <w:r>
        <w:t>Ogivri</w:t>
      </w:r>
      <w:proofErr w:type="spellEnd"/>
      <w:r w:rsidRPr="000A105C">
        <w:t xml:space="preserve"> arm (</w:t>
      </w:r>
      <w:r w:rsidRPr="003B38CE">
        <w:t>none in the Herceptin arm</w:t>
      </w:r>
      <w:r w:rsidRPr="000A105C">
        <w:t xml:space="preserve">). Both were reported as SAEs of Grade 3 intensity, and both resolved; </w:t>
      </w:r>
      <w:proofErr w:type="gramStart"/>
      <w:r w:rsidRPr="000A105C">
        <w:t>1</w:t>
      </w:r>
      <w:proofErr w:type="gramEnd"/>
      <w:r w:rsidRPr="000A105C">
        <w:t xml:space="preserve"> was considered related to </w:t>
      </w:r>
      <w:proofErr w:type="spellStart"/>
      <w:r>
        <w:t>Ogivri</w:t>
      </w:r>
      <w:proofErr w:type="spellEnd"/>
      <w:r w:rsidRPr="000A105C">
        <w:t xml:space="preserve"> and resolved on the same day, the other event was unrelated to </w:t>
      </w:r>
      <w:proofErr w:type="spellStart"/>
      <w:r>
        <w:t>Ogivri</w:t>
      </w:r>
      <w:proofErr w:type="spellEnd"/>
      <w:r w:rsidRPr="000A105C">
        <w:t xml:space="preserve"> but was considered related to concomitant medication (piperacil</w:t>
      </w:r>
      <w:r>
        <w:t>lin/</w:t>
      </w:r>
      <w:proofErr w:type="spellStart"/>
      <w:r>
        <w:t>tazobactam</w:t>
      </w:r>
      <w:proofErr w:type="spellEnd"/>
      <w:r>
        <w:t>)</w:t>
      </w:r>
      <w:r w:rsidR="00C40F6D">
        <w:t>.</w:t>
      </w:r>
    </w:p>
    <w:p w14:paraId="30FF524F" w14:textId="77777777" w:rsidR="006D1A3E" w:rsidRPr="00C7749E" w:rsidRDefault="006D1A3E" w:rsidP="006D1A3E">
      <w:pPr>
        <w:pStyle w:val="Heading6"/>
      </w:pPr>
      <w:r w:rsidRPr="00C7749E">
        <w:t>Cardiac toxicity</w:t>
      </w:r>
    </w:p>
    <w:p w14:paraId="4E05809B" w14:textId="2372AC18" w:rsidR="006D1A3E" w:rsidRDefault="006D1A3E" w:rsidP="006D1A3E">
      <w:r>
        <w:t xml:space="preserve">Patients with abnormal LVEF or other important cardiac problems were exclusions from the </w:t>
      </w:r>
      <w:r w:rsidR="00054CAD">
        <w:t>HERITAGE trial</w:t>
      </w:r>
      <w:r>
        <w:t>.</w:t>
      </w:r>
    </w:p>
    <w:p w14:paraId="4423A754" w14:textId="77777777" w:rsidR="006D1A3E" w:rsidRDefault="006D1A3E" w:rsidP="006D1A3E">
      <w:r w:rsidRPr="000A105C">
        <w:t xml:space="preserve">Over 48 weeks, the incidence of significant TEAEs of </w:t>
      </w:r>
      <w:r w:rsidRPr="00BC0B31">
        <w:t>cardiac toxicity</w:t>
      </w:r>
      <w:r w:rsidRPr="000A105C">
        <w:t xml:space="preserve"> (including cardiac failure, cardiotoxicity, left ventricular dysfunction, and metabolic cardiomyopathy) was low and similar in each arm: </w:t>
      </w:r>
      <w:proofErr w:type="spellStart"/>
      <w:r>
        <w:t>Ogivri</w:t>
      </w:r>
      <w:proofErr w:type="spellEnd"/>
      <w:r>
        <w:t xml:space="preserve">: </w:t>
      </w:r>
      <w:r w:rsidRPr="000A105C">
        <w:t>12 patients (4.9%)</w:t>
      </w:r>
      <w:r w:rsidR="00C40F6D">
        <w:t>,</w:t>
      </w:r>
      <w:r>
        <w:t xml:space="preserve"> Herceptin: 1</w:t>
      </w:r>
      <w:r w:rsidRPr="000A105C">
        <w:t>0 patients (4.1%).</w:t>
      </w:r>
    </w:p>
    <w:p w14:paraId="26D7265F" w14:textId="2796D17E" w:rsidR="006D1A3E" w:rsidRDefault="006D1A3E" w:rsidP="006D1A3E">
      <w:r w:rsidRPr="000A105C">
        <w:lastRenderedPageBreak/>
        <w:t xml:space="preserve">Cardiac dysfunction in an important identified risk in the </w:t>
      </w:r>
      <w:r w:rsidR="00054CAD">
        <w:t>risk management plan (</w:t>
      </w:r>
      <w:r w:rsidRPr="000A105C">
        <w:t>RMP</w:t>
      </w:r>
      <w:r w:rsidR="00054CAD">
        <w:t>)</w:t>
      </w:r>
      <w:r>
        <w:t xml:space="preserve"> and PI for Herceptin</w:t>
      </w:r>
      <w:r w:rsidRPr="000A105C">
        <w:t xml:space="preserve">, and </w:t>
      </w:r>
      <w:r>
        <w:t xml:space="preserve">medical oncologists are well versed in managing this risk. The same will apply to </w:t>
      </w:r>
      <w:proofErr w:type="spellStart"/>
      <w:r>
        <w:t>Ogivri</w:t>
      </w:r>
      <w:proofErr w:type="spellEnd"/>
      <w:r>
        <w:t>.</w:t>
      </w:r>
    </w:p>
    <w:p w14:paraId="26E7D0B9" w14:textId="77777777" w:rsidR="006D1A3E" w:rsidRPr="00C7749E" w:rsidRDefault="006D1A3E" w:rsidP="006D1A3E">
      <w:pPr>
        <w:pStyle w:val="Heading6"/>
      </w:pPr>
      <w:r w:rsidRPr="00C7749E">
        <w:t xml:space="preserve">Left </w:t>
      </w:r>
      <w:r w:rsidR="00C40F6D" w:rsidRPr="00C7749E">
        <w:t>ventricular ejection fraction</w:t>
      </w:r>
    </w:p>
    <w:p w14:paraId="263F0441" w14:textId="0140E6B2" w:rsidR="006D1A3E" w:rsidRDefault="006D1A3E" w:rsidP="006D1A3E">
      <w:r w:rsidRPr="000A105C">
        <w:t>Mean, median, minimum and maximum LVEF values d</w:t>
      </w:r>
      <w:r>
        <w:t xml:space="preserve">id not change appreciably from </w:t>
      </w:r>
      <w:r w:rsidR="00054CAD">
        <w:t xml:space="preserve">Baseline </w:t>
      </w:r>
      <w:r>
        <w:t>to week-</w:t>
      </w:r>
      <w:r w:rsidRPr="000A105C">
        <w:t xml:space="preserve">48 for either treatment group, and were similar between treatment groups. Few patients, 10 (4.0%) in </w:t>
      </w:r>
      <w:proofErr w:type="spellStart"/>
      <w:r>
        <w:t>Ogivri</w:t>
      </w:r>
      <w:proofErr w:type="spellEnd"/>
      <w:r w:rsidRPr="000A105C">
        <w:t xml:space="preserve"> group and </w:t>
      </w:r>
      <w:proofErr w:type="gramStart"/>
      <w:r w:rsidRPr="000A105C">
        <w:t>8</w:t>
      </w:r>
      <w:proofErr w:type="gramEnd"/>
      <w:r w:rsidRPr="000A105C">
        <w:t xml:space="preserve"> (3.3%) patients i</w:t>
      </w:r>
      <w:r>
        <w:t>n the Herceptin group, had</w:t>
      </w:r>
      <w:r w:rsidRPr="000A105C">
        <w:t xml:space="preserve"> LVEF </w:t>
      </w:r>
      <w:r>
        <w:t xml:space="preserve">fall </w:t>
      </w:r>
      <w:r w:rsidRPr="000A105C">
        <w:t xml:space="preserve">below 50% during the study. Most of these patients had previously received </w:t>
      </w:r>
      <w:proofErr w:type="spellStart"/>
      <w:r w:rsidRPr="000A105C">
        <w:t>anthracyclines</w:t>
      </w:r>
      <w:proofErr w:type="spellEnd"/>
      <w:r w:rsidRPr="000A105C">
        <w:t>, had a previous or concomitant cardiovascular disorder, previous thoracic radiation, diabetes mellitus, or high levels of blood pressure.</w:t>
      </w:r>
    </w:p>
    <w:p w14:paraId="5A92EA2F" w14:textId="77777777" w:rsidR="006D1A3E" w:rsidRPr="00C7749E" w:rsidRDefault="006D1A3E" w:rsidP="006D1A3E">
      <w:pPr>
        <w:pStyle w:val="Heading5"/>
      </w:pPr>
      <w:r w:rsidRPr="00C7749E">
        <w:t>Immunogenicity</w:t>
      </w:r>
    </w:p>
    <w:p w14:paraId="512EEC3C" w14:textId="77777777" w:rsidR="006D1A3E" w:rsidRDefault="006D1A3E" w:rsidP="006D1A3E">
      <w:r w:rsidRPr="00C36153">
        <w:t xml:space="preserve">Immune responses against biological </w:t>
      </w:r>
      <w:r>
        <w:t>medicines</w:t>
      </w:r>
      <w:r w:rsidRPr="00C36153">
        <w:t xml:space="preserve"> can </w:t>
      </w:r>
      <w:r>
        <w:t>influence</w:t>
      </w:r>
      <w:r w:rsidRPr="00C36153">
        <w:t xml:space="preserve"> the safety, efficacy, and</w:t>
      </w:r>
      <w:r>
        <w:t xml:space="preserve"> pharmacokinetics</w:t>
      </w:r>
      <w:r w:rsidR="00C40F6D">
        <w:t>.</w:t>
      </w:r>
    </w:p>
    <w:p w14:paraId="10298780" w14:textId="4EBEFFA2" w:rsidR="006D1A3E" w:rsidRDefault="006D1A3E" w:rsidP="006D1A3E">
      <w:r w:rsidRPr="000A105C">
        <w:t xml:space="preserve">The </w:t>
      </w:r>
      <w:r w:rsidRPr="00AD7A86">
        <w:t xml:space="preserve">immunogenicity </w:t>
      </w:r>
      <w:r w:rsidRPr="000A105C">
        <w:t xml:space="preserve">of </w:t>
      </w:r>
      <w:proofErr w:type="spellStart"/>
      <w:r>
        <w:t>Ogivri</w:t>
      </w:r>
      <w:proofErr w:type="spellEnd"/>
      <w:r w:rsidRPr="000A105C">
        <w:t xml:space="preserve"> and Herceptin </w:t>
      </w:r>
      <w:proofErr w:type="gramStart"/>
      <w:r w:rsidRPr="000A105C">
        <w:t>was assessed</w:t>
      </w:r>
      <w:proofErr w:type="gramEnd"/>
      <w:r w:rsidRPr="000A105C">
        <w:t xml:space="preserve"> during 48 weeks by measuring the ADA levels in blood samples. </w:t>
      </w:r>
      <w:r>
        <w:t>The</w:t>
      </w:r>
      <w:r w:rsidRPr="000A105C">
        <w:t xml:space="preserve"> results </w:t>
      </w:r>
      <w:r>
        <w:t>showed that</w:t>
      </w:r>
      <w:r w:rsidRPr="000A105C">
        <w:t xml:space="preserve"> there was no clinically meaningful difference between </w:t>
      </w:r>
      <w:r>
        <w:t xml:space="preserve">the immunogenicity of </w:t>
      </w:r>
      <w:proofErr w:type="spellStart"/>
      <w:r>
        <w:t>Ogivri</w:t>
      </w:r>
      <w:proofErr w:type="spellEnd"/>
      <w:r>
        <w:t xml:space="preserve"> and Herceptin; and the incidence and levels of ADAs were similar to that previously reported for Herceptin </w:t>
      </w:r>
      <w:r w:rsidRPr="000A105C">
        <w:t>(</w:t>
      </w:r>
      <w:r w:rsidR="00B634FA">
        <w:t>that is</w:t>
      </w:r>
      <w:r>
        <w:t xml:space="preserve">, </w:t>
      </w:r>
      <w:proofErr w:type="spellStart"/>
      <w:r>
        <w:t>trastuzumab</w:t>
      </w:r>
      <w:proofErr w:type="spellEnd"/>
      <w:r>
        <w:t xml:space="preserve"> has low immunogenic potential</w:t>
      </w:r>
      <w:r w:rsidRPr="000A105C">
        <w:t>).</w:t>
      </w:r>
    </w:p>
    <w:p w14:paraId="243FFAD7" w14:textId="77777777" w:rsidR="006D1A3E" w:rsidRDefault="006D1A3E" w:rsidP="006D1A3E">
      <w:pPr>
        <w:pStyle w:val="Heading4"/>
      </w:pPr>
      <w:r>
        <w:t>Approval of the various indications</w:t>
      </w:r>
    </w:p>
    <w:p w14:paraId="4586CC91" w14:textId="77777777" w:rsidR="006D1A3E" w:rsidRDefault="00C40F6D" w:rsidP="006D1A3E">
      <w:r>
        <w:t xml:space="preserve">Herceptin </w:t>
      </w:r>
      <w:proofErr w:type="gramStart"/>
      <w:r>
        <w:t>is registered</w:t>
      </w:r>
      <w:proofErr w:type="gramEnd"/>
      <w:r>
        <w:t xml:space="preserve"> for:</w:t>
      </w:r>
    </w:p>
    <w:p w14:paraId="5F62B4EF" w14:textId="77777777" w:rsidR="006D1A3E" w:rsidRDefault="006D1A3E" w:rsidP="006D1A3E">
      <w:pPr>
        <w:pStyle w:val="ListBullet"/>
      </w:pPr>
      <w:proofErr w:type="spellStart"/>
      <w:r>
        <w:t>Neoadjuvant</w:t>
      </w:r>
      <w:proofErr w:type="spellEnd"/>
      <w:r>
        <w:t xml:space="preserve"> treatment of locally advanced breast cancer</w:t>
      </w:r>
    </w:p>
    <w:p w14:paraId="68C421FE" w14:textId="77777777" w:rsidR="006D1A3E" w:rsidRDefault="006D1A3E" w:rsidP="006D1A3E">
      <w:pPr>
        <w:pStyle w:val="ListBullet"/>
      </w:pPr>
      <w:r>
        <w:t>Adjuvant treatment of early breast cancer</w:t>
      </w:r>
    </w:p>
    <w:p w14:paraId="47590010" w14:textId="77777777" w:rsidR="006D1A3E" w:rsidRDefault="006D1A3E" w:rsidP="006D1A3E">
      <w:pPr>
        <w:pStyle w:val="ListBullet"/>
      </w:pPr>
      <w:r>
        <w:t>Treatment of metastatic breast cancer</w:t>
      </w:r>
    </w:p>
    <w:p w14:paraId="3C644A24" w14:textId="77777777" w:rsidR="006D1A3E" w:rsidRDefault="006D1A3E" w:rsidP="006D1A3E">
      <w:pPr>
        <w:pStyle w:val="ListBullet"/>
      </w:pPr>
      <w:r>
        <w:t>Treatment of advanced gastric cancer</w:t>
      </w:r>
      <w:r w:rsidR="00C40F6D">
        <w:t>.</w:t>
      </w:r>
    </w:p>
    <w:p w14:paraId="6E7D293B" w14:textId="62BCCF77" w:rsidR="006D1A3E" w:rsidRDefault="006D1A3E" w:rsidP="006D1A3E">
      <w:r>
        <w:t xml:space="preserve">Guidelines from the EMA and FDA allow for the possibility that a biosimilar </w:t>
      </w:r>
      <w:proofErr w:type="gramStart"/>
      <w:r>
        <w:t>could be approved</w:t>
      </w:r>
      <w:proofErr w:type="gramEnd"/>
      <w:r>
        <w:t xml:space="preserve"> for one or more of the indications for the reference biological medicine, given sufficient scientific justification, using a </w:t>
      </w:r>
      <w:r w:rsidR="00054CAD">
        <w:t>‘</w:t>
      </w:r>
      <w:r w:rsidRPr="006A4D4F">
        <w:rPr>
          <w:i/>
        </w:rPr>
        <w:t>totality-of-evidence</w:t>
      </w:r>
      <w:r w:rsidR="00054CAD" w:rsidRPr="006A4D4F">
        <w:rPr>
          <w:i/>
        </w:rPr>
        <w:t>’</w:t>
      </w:r>
      <w:r>
        <w:t xml:space="preserve"> approach. The guidelines discuss:</w:t>
      </w:r>
    </w:p>
    <w:p w14:paraId="52A3BAB0" w14:textId="4F6AE341" w:rsidR="006D1A3E" w:rsidRDefault="00054CAD" w:rsidP="006D1A3E">
      <w:pPr>
        <w:pStyle w:val="ListBullet"/>
      </w:pPr>
      <w:r>
        <w:t>mechanism of action;</w:t>
      </w:r>
    </w:p>
    <w:p w14:paraId="6E3DCE52" w14:textId="006FF781" w:rsidR="006D1A3E" w:rsidRDefault="00054CAD" w:rsidP="006D1A3E">
      <w:pPr>
        <w:pStyle w:val="ListBullet"/>
      </w:pPr>
      <w:r>
        <w:t>PK and distribution;</w:t>
      </w:r>
    </w:p>
    <w:p w14:paraId="54211E91" w14:textId="6DA9A6FD" w:rsidR="006D1A3E" w:rsidRDefault="00054CAD" w:rsidP="006D1A3E">
      <w:pPr>
        <w:pStyle w:val="ListBullet"/>
      </w:pPr>
      <w:r>
        <w:t>dose, route-of-administration;</w:t>
      </w:r>
    </w:p>
    <w:p w14:paraId="159E8768" w14:textId="20782E86" w:rsidR="006D1A3E" w:rsidRDefault="00054CAD" w:rsidP="006D1A3E">
      <w:pPr>
        <w:pStyle w:val="ListBullet"/>
      </w:pPr>
      <w:r>
        <w:t>immunogenicity; and</w:t>
      </w:r>
    </w:p>
    <w:p w14:paraId="7DBD5561" w14:textId="52A2ECFF" w:rsidR="006D1A3E" w:rsidRDefault="00054CAD" w:rsidP="006D1A3E">
      <w:pPr>
        <w:pStyle w:val="ListBullet"/>
      </w:pPr>
      <w:proofErr w:type="gramStart"/>
      <w:r>
        <w:t>toxicity</w:t>
      </w:r>
      <w:proofErr w:type="gramEnd"/>
      <w:r>
        <w:t>.</w:t>
      </w:r>
    </w:p>
    <w:p w14:paraId="638157B5" w14:textId="3D9D92D6" w:rsidR="006D1A3E" w:rsidRDefault="006D1A3E" w:rsidP="006D1A3E">
      <w:r>
        <w:t xml:space="preserve">For </w:t>
      </w:r>
      <w:proofErr w:type="spellStart"/>
      <w:r>
        <w:t>Ogivri</w:t>
      </w:r>
      <w:proofErr w:type="spellEnd"/>
      <w:r w:rsidR="00054CAD">
        <w:t>:</w:t>
      </w:r>
    </w:p>
    <w:p w14:paraId="740EA320" w14:textId="77777777" w:rsidR="006D1A3E" w:rsidRDefault="006D1A3E" w:rsidP="006D1A3E">
      <w:pPr>
        <w:pStyle w:val="ListBullet"/>
      </w:pPr>
      <w:r>
        <w:t xml:space="preserve">The mechanism of action of </w:t>
      </w:r>
      <w:proofErr w:type="spellStart"/>
      <w:r>
        <w:t>trastuzumab</w:t>
      </w:r>
      <w:proofErr w:type="spellEnd"/>
      <w:r>
        <w:t xml:space="preserve"> is the same in all the indications (</w:t>
      </w:r>
      <w:r w:rsidR="00B634FA">
        <w:t>that is</w:t>
      </w:r>
      <w:r>
        <w:t>, to inhibit the proliferation of human tumour cells that overexpress HER2). The target receptor involved in the mechanism of action in (</w:t>
      </w:r>
      <w:r w:rsidR="00B634FA">
        <w:t>that is</w:t>
      </w:r>
      <w:r>
        <w:t xml:space="preserve">, HER2) is the same across all indications. </w:t>
      </w:r>
      <w:proofErr w:type="spellStart"/>
      <w:r>
        <w:t>Trastuzumab</w:t>
      </w:r>
      <w:proofErr w:type="spellEnd"/>
      <w:r>
        <w:t xml:space="preserve"> </w:t>
      </w:r>
      <w:proofErr w:type="gramStart"/>
      <w:r>
        <w:t>is indicated</w:t>
      </w:r>
      <w:proofErr w:type="gramEnd"/>
      <w:r>
        <w:t xml:space="preserve"> only if H</w:t>
      </w:r>
      <w:r w:rsidR="00C40F6D">
        <w:t>ER2 positivity is demonstrated.</w:t>
      </w:r>
    </w:p>
    <w:p w14:paraId="709503CC" w14:textId="1403F9B7" w:rsidR="006D1A3E" w:rsidRDefault="006D1A3E" w:rsidP="006D1A3E">
      <w:pPr>
        <w:pStyle w:val="ListBullet"/>
      </w:pPr>
      <w:r>
        <w:t>Studies on the reference biological medicine (</w:t>
      </w:r>
      <w:r w:rsidR="00550FE5">
        <w:t>Herceptin</w:t>
      </w:r>
      <w:r>
        <w:t>) show that the PK is the same for all indications.</w:t>
      </w:r>
    </w:p>
    <w:p w14:paraId="1FBFAF02" w14:textId="77777777" w:rsidR="006D1A3E" w:rsidRDefault="006D1A3E" w:rsidP="006D1A3E">
      <w:pPr>
        <w:pStyle w:val="ListBullet"/>
      </w:pPr>
      <w:r>
        <w:t xml:space="preserve">The dosage is the same for all the indications and </w:t>
      </w:r>
      <w:proofErr w:type="gramStart"/>
      <w:r>
        <w:t>it is administered by the same</w:t>
      </w:r>
      <w:r w:rsidR="00C40F6D">
        <w:t xml:space="preserve"> route (IV) in all indications</w:t>
      </w:r>
      <w:proofErr w:type="gramEnd"/>
      <w:r w:rsidR="00C40F6D">
        <w:t>.</w:t>
      </w:r>
    </w:p>
    <w:p w14:paraId="17A9A9FC" w14:textId="3E847816" w:rsidR="006D1A3E" w:rsidRDefault="006D1A3E" w:rsidP="006D1A3E">
      <w:pPr>
        <w:pStyle w:val="ListBullet"/>
      </w:pPr>
      <w:r>
        <w:lastRenderedPageBreak/>
        <w:t xml:space="preserve">Data for the reference biological medicine (Herceptin) show that </w:t>
      </w:r>
      <w:proofErr w:type="spellStart"/>
      <w:r w:rsidR="00550FE5">
        <w:t>trastuzumab</w:t>
      </w:r>
      <w:proofErr w:type="spellEnd"/>
      <w:r>
        <w:t xml:space="preserve"> has low immunogenicity across all indications.</w:t>
      </w:r>
    </w:p>
    <w:p w14:paraId="62EADC3F" w14:textId="77777777" w:rsidR="006D1A3E" w:rsidRDefault="006D1A3E" w:rsidP="006D1A3E">
      <w:pPr>
        <w:pStyle w:val="ListBullet"/>
      </w:pPr>
      <w:r>
        <w:t>The available safety information for the reference biological medicine does not indicate that there are any significant differences in expected toxicities for each condition</w:t>
      </w:r>
      <w:r w:rsidR="00C40F6D">
        <w:t xml:space="preserve"> of use and patient population.</w:t>
      </w:r>
    </w:p>
    <w:p w14:paraId="67104376" w14:textId="69D47A38" w:rsidR="006D1A3E" w:rsidRPr="00082F6B" w:rsidRDefault="00054CAD" w:rsidP="006A4D4F">
      <w:r w:rsidRPr="00054CAD">
        <w:t>Note:</w:t>
      </w:r>
      <w:r w:rsidR="006D1A3E" w:rsidRPr="00054CAD">
        <w:t xml:space="preserve"> Purposefully, the term </w:t>
      </w:r>
      <w:r w:rsidRPr="00054CAD">
        <w:t>‘</w:t>
      </w:r>
      <w:r w:rsidR="006D1A3E" w:rsidRPr="00054CAD">
        <w:t>extrapolation</w:t>
      </w:r>
      <w:r w:rsidRPr="00054CAD">
        <w:t>’</w:t>
      </w:r>
      <w:r w:rsidR="006D1A3E" w:rsidRPr="00054CAD">
        <w:t xml:space="preserve"> </w:t>
      </w:r>
      <w:proofErr w:type="gramStart"/>
      <w:r w:rsidR="006D1A3E" w:rsidRPr="00054CAD">
        <w:t>has not been used</w:t>
      </w:r>
      <w:proofErr w:type="gramEnd"/>
      <w:r w:rsidR="006D1A3E" w:rsidRPr="00054CAD">
        <w:t xml:space="preserve">. The common usage of the term extrapolation is in mathematics, where it refers to forecasting unknown values, beyond the available data. This is in contrast to interpolation, which refers to </w:t>
      </w:r>
      <w:r w:rsidRPr="002F2E8A">
        <w:t>‘</w:t>
      </w:r>
      <w:r w:rsidR="006D1A3E" w:rsidRPr="00082F6B">
        <w:t>filling-in</w:t>
      </w:r>
      <w:r w:rsidRPr="00082F6B">
        <w:t>’</w:t>
      </w:r>
      <w:r w:rsidR="006D1A3E" w:rsidRPr="00082F6B">
        <w:t xml:space="preserve"> values that fall between known values (</w:t>
      </w:r>
      <w:r w:rsidR="00B634FA" w:rsidRPr="00082F6B">
        <w:t>that is</w:t>
      </w:r>
      <w:r w:rsidR="006D1A3E" w:rsidRPr="00082F6B">
        <w:t>, within the available data).</w:t>
      </w:r>
    </w:p>
    <w:p w14:paraId="69902B6F" w14:textId="77777777" w:rsidR="00054CAD" w:rsidRDefault="006D1A3E" w:rsidP="006D1A3E">
      <w:r>
        <w:t xml:space="preserve">The following is from </w:t>
      </w:r>
      <w:proofErr w:type="spellStart"/>
      <w:r>
        <w:t>Krendyukov</w:t>
      </w:r>
      <w:proofErr w:type="spellEnd"/>
      <w:r>
        <w:t xml:space="preserve"> A et al.</w:t>
      </w:r>
      <w:r>
        <w:rPr>
          <w:rStyle w:val="FootnoteReference"/>
        </w:rPr>
        <w:footnoteReference w:id="9"/>
      </w:r>
      <w:r>
        <w:t>:</w:t>
      </w:r>
    </w:p>
    <w:p w14:paraId="75F8F941" w14:textId="3431C4F7" w:rsidR="006D1A3E" w:rsidRPr="008F6D99" w:rsidRDefault="00054CAD" w:rsidP="006A4D4F">
      <w:pPr>
        <w:ind w:left="720"/>
      </w:pPr>
      <w:r>
        <w:t>‘</w:t>
      </w:r>
      <w:r w:rsidR="006D1A3E" w:rsidRPr="008F6D99">
        <w:t>When applied to biosimilar medicines, extrapolation is based on the knowledge (from the thorough analytical comparability exercise) that the biosimilar medicine matches the reference medicine in all critical quality attributes. Health Canada recently acknowledged this problem with terminology and consequently deleted the term ‘extrapolation’ in the last update of their biosimilar guideline in 2016. They instead describe what is meant exactly, namely the authorisation of indications for the biosimilar.</w:t>
      </w:r>
      <w:r>
        <w:t>’</w:t>
      </w:r>
    </w:p>
    <w:p w14:paraId="6B7F2853" w14:textId="77777777" w:rsidR="00BA7BDC" w:rsidRDefault="00BA7BDC" w:rsidP="00BA7BDC">
      <w:pPr>
        <w:pStyle w:val="Heading3"/>
        <w:rPr>
          <w:lang w:eastAsia="en-AU"/>
        </w:rPr>
      </w:pPr>
      <w:bookmarkStart w:id="42" w:name="_Toc35445588"/>
      <w:r>
        <w:rPr>
          <w:lang w:eastAsia="en-AU"/>
        </w:rPr>
        <w:t>Risk management plan</w:t>
      </w:r>
      <w:bookmarkEnd w:id="42"/>
    </w:p>
    <w:p w14:paraId="13C6109B" w14:textId="3077CBA6" w:rsidR="006D550E" w:rsidRPr="006D550E" w:rsidRDefault="006D550E" w:rsidP="006A4D4F">
      <w:pPr>
        <w:pStyle w:val="Heading4"/>
        <w:rPr>
          <w:lang w:eastAsia="en-AU"/>
        </w:rPr>
      </w:pPr>
      <w:r>
        <w:rPr>
          <w:lang w:eastAsia="en-AU"/>
        </w:rPr>
        <w:t>Summary of RMP evaluation</w:t>
      </w:r>
      <w:r>
        <w:rPr>
          <w:rStyle w:val="FootnoteReference"/>
          <w:lang w:eastAsia="en-AU"/>
        </w:rPr>
        <w:footnoteReference w:id="10"/>
      </w:r>
    </w:p>
    <w:p w14:paraId="48E7FF69" w14:textId="665F6071" w:rsidR="00527BB3" w:rsidRDefault="00527BB3" w:rsidP="006A4D4F">
      <w:pPr>
        <w:pStyle w:val="ListBullet"/>
        <w:rPr>
          <w:lang w:eastAsia="en-AU"/>
        </w:rPr>
      </w:pPr>
      <w:r>
        <w:rPr>
          <w:lang w:eastAsia="en-AU"/>
        </w:rPr>
        <w:t xml:space="preserve">The sponsor has applied to register </w:t>
      </w:r>
      <w:proofErr w:type="spellStart"/>
      <w:r>
        <w:rPr>
          <w:lang w:eastAsia="en-AU"/>
        </w:rPr>
        <w:t>trastuzumab</w:t>
      </w:r>
      <w:proofErr w:type="spellEnd"/>
      <w:r>
        <w:rPr>
          <w:lang w:eastAsia="en-AU"/>
        </w:rPr>
        <w:t xml:space="preserve"> (</w:t>
      </w:r>
      <w:proofErr w:type="spellStart"/>
      <w:r>
        <w:rPr>
          <w:lang w:eastAsia="en-AU"/>
        </w:rPr>
        <w:t>Ogivri</w:t>
      </w:r>
      <w:proofErr w:type="spellEnd"/>
      <w:r>
        <w:rPr>
          <w:lang w:eastAsia="en-AU"/>
        </w:rPr>
        <w:t>) which is a biosimilar of Herceptin. The sponsor is seeking the same indications as the innovator, which are for the treatment of human epidermal growth factor receptor 2 protein (HER2) positive breast and gastric cancers.</w:t>
      </w:r>
    </w:p>
    <w:p w14:paraId="073E285A" w14:textId="7FCDE1EE" w:rsidR="00527BB3" w:rsidRDefault="00527BB3" w:rsidP="006A4D4F">
      <w:pPr>
        <w:pStyle w:val="ListBullet"/>
        <w:rPr>
          <w:lang w:eastAsia="en-AU"/>
        </w:rPr>
      </w:pPr>
      <w:r>
        <w:rPr>
          <w:lang w:eastAsia="en-AU"/>
        </w:rPr>
        <w:t>The sponsor has submitted EU-RMP version 3 (31 March 2017; data lock point 7 March 2017) and Australian specific Annex (ASA) version 1.0 in support of this application.</w:t>
      </w:r>
    </w:p>
    <w:p w14:paraId="5AE4F4E1" w14:textId="77777777" w:rsidR="00A533BF" w:rsidRDefault="00527BB3" w:rsidP="00A533BF">
      <w:pPr>
        <w:rPr>
          <w:lang w:eastAsia="en-AU"/>
        </w:rPr>
      </w:pPr>
      <w:r>
        <w:rPr>
          <w:lang w:eastAsia="en-AU"/>
        </w:rPr>
        <w:t xml:space="preserve">The proposed Summary of Safety Concerns and their associated risk monitoring and mitigation strategies </w:t>
      </w:r>
      <w:proofErr w:type="gramStart"/>
      <w:r>
        <w:rPr>
          <w:lang w:eastAsia="en-AU"/>
        </w:rPr>
        <w:t>are summarised</w:t>
      </w:r>
      <w:proofErr w:type="gramEnd"/>
      <w:r>
        <w:rPr>
          <w:lang w:eastAsia="en-AU"/>
        </w:rPr>
        <w:t xml:space="preserve"> below in Table 14.</w:t>
      </w:r>
    </w:p>
    <w:p w14:paraId="083ADFC8" w14:textId="7F6182D4" w:rsidR="006D1A3E" w:rsidRDefault="00C40F6D" w:rsidP="00D015EF">
      <w:pPr>
        <w:pStyle w:val="TableTitle"/>
        <w:pageBreakBefore/>
      </w:pPr>
      <w:r>
        <w:lastRenderedPageBreak/>
        <w:t>Table 14:</w:t>
      </w:r>
      <w:r w:rsidR="006D1A3E">
        <w:t xml:space="preserve"> Summary of safety concerns</w:t>
      </w:r>
    </w:p>
    <w:tbl>
      <w:tblPr>
        <w:tblStyle w:val="TableTGAblue"/>
        <w:tblW w:w="9180" w:type="dxa"/>
        <w:tblLayout w:type="fixed"/>
        <w:tblLook w:val="04A0" w:firstRow="1" w:lastRow="0" w:firstColumn="1" w:lastColumn="0" w:noHBand="0" w:noVBand="1"/>
      </w:tblPr>
      <w:tblGrid>
        <w:gridCol w:w="1526"/>
        <w:gridCol w:w="2551"/>
        <w:gridCol w:w="1276"/>
        <w:gridCol w:w="1276"/>
        <w:gridCol w:w="1134"/>
        <w:gridCol w:w="1417"/>
      </w:tblGrid>
      <w:tr w:rsidR="00527BB3" w:rsidRPr="004F1C07" w14:paraId="2F378708" w14:textId="77777777" w:rsidTr="003B111A">
        <w:trPr>
          <w:cnfStyle w:val="100000000000" w:firstRow="1" w:lastRow="0" w:firstColumn="0" w:lastColumn="0" w:oddVBand="0" w:evenVBand="0" w:oddHBand="0" w:evenHBand="0" w:firstRowFirstColumn="0" w:firstRowLastColumn="0" w:lastRowFirstColumn="0" w:lastRowLastColumn="0"/>
          <w:trHeight w:val="131"/>
        </w:trPr>
        <w:tc>
          <w:tcPr>
            <w:tcW w:w="4077" w:type="dxa"/>
            <w:gridSpan w:val="2"/>
            <w:vMerge w:val="restart"/>
          </w:tcPr>
          <w:p w14:paraId="05943774" w14:textId="77777777" w:rsidR="00527BB3" w:rsidRPr="004F1C07" w:rsidRDefault="00527BB3" w:rsidP="00527BB3">
            <w:pPr>
              <w:pStyle w:val="Tabletext"/>
              <w:rPr>
                <w:b w:val="0"/>
              </w:rPr>
            </w:pPr>
            <w:r w:rsidRPr="004F1C07">
              <w:t>Summary of safety concerns</w:t>
            </w:r>
          </w:p>
        </w:tc>
        <w:tc>
          <w:tcPr>
            <w:tcW w:w="2552" w:type="dxa"/>
            <w:gridSpan w:val="2"/>
            <w:tcBorders>
              <w:bottom w:val="nil"/>
            </w:tcBorders>
          </w:tcPr>
          <w:p w14:paraId="22201E41" w14:textId="77777777" w:rsidR="00527BB3" w:rsidRPr="0011726C" w:rsidRDefault="00527BB3" w:rsidP="006A4D4F">
            <w:pPr>
              <w:pStyle w:val="Tabletext"/>
              <w:ind w:left="0"/>
              <w:rPr>
                <w:b w:val="0"/>
                <w:sz w:val="18"/>
              </w:rPr>
            </w:pPr>
            <w:r w:rsidRPr="0011726C">
              <w:rPr>
                <w:sz w:val="18"/>
              </w:rPr>
              <w:t>Pharmacovigilance</w:t>
            </w:r>
          </w:p>
        </w:tc>
        <w:tc>
          <w:tcPr>
            <w:tcW w:w="2551" w:type="dxa"/>
            <w:gridSpan w:val="2"/>
            <w:tcBorders>
              <w:bottom w:val="nil"/>
            </w:tcBorders>
          </w:tcPr>
          <w:p w14:paraId="45357788" w14:textId="77777777" w:rsidR="00527BB3" w:rsidRPr="0011726C" w:rsidRDefault="00527BB3" w:rsidP="006A4D4F">
            <w:pPr>
              <w:pStyle w:val="Tabletext"/>
              <w:ind w:left="0"/>
              <w:rPr>
                <w:b w:val="0"/>
                <w:sz w:val="18"/>
              </w:rPr>
            </w:pPr>
            <w:r w:rsidRPr="0011726C">
              <w:rPr>
                <w:sz w:val="18"/>
              </w:rPr>
              <w:t>Risk Minimisation</w:t>
            </w:r>
          </w:p>
        </w:tc>
      </w:tr>
      <w:tr w:rsidR="00527BB3" w:rsidRPr="004F1C07" w14:paraId="62035200" w14:textId="77777777" w:rsidTr="003B111A">
        <w:trPr>
          <w:trHeight w:val="150"/>
        </w:trPr>
        <w:tc>
          <w:tcPr>
            <w:tcW w:w="4077" w:type="dxa"/>
            <w:gridSpan w:val="2"/>
            <w:vMerge/>
            <w:tcBorders>
              <w:right w:val="nil"/>
            </w:tcBorders>
            <w:shd w:val="clear" w:color="auto" w:fill="006DA7"/>
          </w:tcPr>
          <w:p w14:paraId="00440398" w14:textId="77777777" w:rsidR="00527BB3" w:rsidRPr="004F1C07" w:rsidRDefault="00527BB3" w:rsidP="00527BB3">
            <w:pPr>
              <w:pStyle w:val="Tabletext"/>
              <w:rPr>
                <w:b/>
              </w:rPr>
            </w:pPr>
          </w:p>
        </w:tc>
        <w:tc>
          <w:tcPr>
            <w:tcW w:w="1276" w:type="dxa"/>
            <w:tcBorders>
              <w:top w:val="nil"/>
              <w:left w:val="nil"/>
              <w:bottom w:val="single" w:sz="8" w:space="0" w:color="000000" w:themeColor="text1"/>
              <w:right w:val="nil"/>
            </w:tcBorders>
            <w:shd w:val="clear" w:color="auto" w:fill="006DA7"/>
          </w:tcPr>
          <w:p w14:paraId="4C4A8ED9" w14:textId="77777777" w:rsidR="00527BB3" w:rsidRPr="003B111A" w:rsidRDefault="00527BB3" w:rsidP="006A4D4F">
            <w:pPr>
              <w:pStyle w:val="Tabletext"/>
              <w:ind w:left="0"/>
              <w:rPr>
                <w:color w:val="FFFFFF" w:themeColor="background1"/>
                <w:sz w:val="18"/>
              </w:rPr>
            </w:pPr>
            <w:r w:rsidRPr="003B111A">
              <w:rPr>
                <w:color w:val="FFFFFF" w:themeColor="background1"/>
                <w:sz w:val="18"/>
              </w:rPr>
              <w:t>Routine</w:t>
            </w:r>
          </w:p>
        </w:tc>
        <w:tc>
          <w:tcPr>
            <w:tcW w:w="1276" w:type="dxa"/>
            <w:tcBorders>
              <w:top w:val="nil"/>
              <w:left w:val="nil"/>
              <w:bottom w:val="single" w:sz="8" w:space="0" w:color="000000" w:themeColor="text1"/>
              <w:right w:val="nil"/>
            </w:tcBorders>
            <w:shd w:val="clear" w:color="auto" w:fill="006DA7"/>
          </w:tcPr>
          <w:p w14:paraId="6356F040" w14:textId="77777777" w:rsidR="00527BB3" w:rsidRPr="003B111A" w:rsidRDefault="00527BB3" w:rsidP="006A4D4F">
            <w:pPr>
              <w:pStyle w:val="Tabletext"/>
              <w:ind w:left="0"/>
              <w:rPr>
                <w:color w:val="FFFFFF" w:themeColor="background1"/>
                <w:sz w:val="18"/>
              </w:rPr>
            </w:pPr>
            <w:r w:rsidRPr="003B111A">
              <w:rPr>
                <w:color w:val="FFFFFF" w:themeColor="background1"/>
                <w:sz w:val="18"/>
              </w:rPr>
              <w:t>Additional</w:t>
            </w:r>
          </w:p>
        </w:tc>
        <w:tc>
          <w:tcPr>
            <w:tcW w:w="1134" w:type="dxa"/>
            <w:tcBorders>
              <w:top w:val="nil"/>
              <w:left w:val="nil"/>
              <w:bottom w:val="single" w:sz="8" w:space="0" w:color="000000" w:themeColor="text1"/>
              <w:right w:val="nil"/>
            </w:tcBorders>
            <w:shd w:val="clear" w:color="auto" w:fill="006DA7"/>
          </w:tcPr>
          <w:p w14:paraId="194BB22D" w14:textId="77777777" w:rsidR="00527BB3" w:rsidRPr="003B111A" w:rsidRDefault="00527BB3" w:rsidP="006A4D4F">
            <w:pPr>
              <w:pStyle w:val="Tabletext"/>
              <w:ind w:left="0"/>
              <w:rPr>
                <w:color w:val="FFFFFF" w:themeColor="background1"/>
                <w:sz w:val="18"/>
              </w:rPr>
            </w:pPr>
            <w:r w:rsidRPr="003B111A">
              <w:rPr>
                <w:color w:val="FFFFFF" w:themeColor="background1"/>
                <w:sz w:val="18"/>
              </w:rPr>
              <w:t>Routine</w:t>
            </w:r>
          </w:p>
        </w:tc>
        <w:tc>
          <w:tcPr>
            <w:tcW w:w="1417" w:type="dxa"/>
            <w:tcBorders>
              <w:top w:val="nil"/>
              <w:left w:val="nil"/>
              <w:bottom w:val="single" w:sz="8" w:space="0" w:color="000000" w:themeColor="text1"/>
              <w:right w:val="single" w:sz="8" w:space="0" w:color="000000" w:themeColor="text1"/>
            </w:tcBorders>
            <w:shd w:val="clear" w:color="auto" w:fill="006DA7"/>
          </w:tcPr>
          <w:p w14:paraId="07FF238B" w14:textId="77777777" w:rsidR="00527BB3" w:rsidRPr="003B111A" w:rsidRDefault="00527BB3" w:rsidP="006A4D4F">
            <w:pPr>
              <w:pStyle w:val="Tabletext"/>
              <w:ind w:left="0"/>
              <w:rPr>
                <w:color w:val="FFFFFF" w:themeColor="background1"/>
                <w:sz w:val="18"/>
              </w:rPr>
            </w:pPr>
            <w:r w:rsidRPr="003B111A">
              <w:rPr>
                <w:color w:val="FFFFFF" w:themeColor="background1"/>
                <w:sz w:val="18"/>
              </w:rPr>
              <w:t>Additional</w:t>
            </w:r>
          </w:p>
        </w:tc>
      </w:tr>
      <w:tr w:rsidR="00527BB3" w:rsidRPr="004F1C07" w14:paraId="3BB0C14D" w14:textId="77777777" w:rsidTr="003B111A">
        <w:trPr>
          <w:trHeight w:val="137"/>
        </w:trPr>
        <w:tc>
          <w:tcPr>
            <w:tcW w:w="1526" w:type="dxa"/>
            <w:vMerge w:val="restart"/>
          </w:tcPr>
          <w:p w14:paraId="346DC748" w14:textId="77777777" w:rsidR="00527BB3" w:rsidRPr="00680101" w:rsidRDefault="00527BB3" w:rsidP="006A4D4F">
            <w:pPr>
              <w:pStyle w:val="Tabletext"/>
              <w:ind w:left="0"/>
              <w:rPr>
                <w:b/>
              </w:rPr>
            </w:pPr>
            <w:r w:rsidRPr="00680101">
              <w:rPr>
                <w:b/>
              </w:rPr>
              <w:t>Important identified risks</w:t>
            </w:r>
          </w:p>
        </w:tc>
        <w:tc>
          <w:tcPr>
            <w:tcW w:w="2551" w:type="dxa"/>
          </w:tcPr>
          <w:p w14:paraId="7282E39A" w14:textId="77777777" w:rsidR="00527BB3" w:rsidRPr="00722115" w:rsidRDefault="00527BB3" w:rsidP="006A4D4F">
            <w:pPr>
              <w:pStyle w:val="Summaryofsafetyconcerns"/>
              <w:ind w:left="0"/>
              <w:rPr>
                <w:b w:val="0"/>
                <w:color w:val="00B050"/>
              </w:rPr>
            </w:pPr>
            <w:r>
              <w:rPr>
                <w:b w:val="0"/>
              </w:rPr>
              <w:t>Cardiac dysfunction</w:t>
            </w:r>
          </w:p>
        </w:tc>
        <w:tc>
          <w:tcPr>
            <w:tcW w:w="1276" w:type="dxa"/>
            <w:tcBorders>
              <w:top w:val="single" w:sz="8" w:space="0" w:color="000000" w:themeColor="text1"/>
            </w:tcBorders>
          </w:tcPr>
          <w:p w14:paraId="226291F8" w14:textId="77777777" w:rsidR="00527BB3" w:rsidRPr="00EE26F3" w:rsidRDefault="00527BB3" w:rsidP="00527BB3">
            <w:pPr>
              <w:pStyle w:val="Tabletext"/>
              <w:jc w:val="center"/>
            </w:pPr>
            <w:r w:rsidRPr="00EE26F3">
              <w:sym w:font="Wingdings" w:char="F0FC"/>
            </w:r>
          </w:p>
        </w:tc>
        <w:tc>
          <w:tcPr>
            <w:tcW w:w="1276" w:type="dxa"/>
            <w:tcBorders>
              <w:top w:val="single" w:sz="8" w:space="0" w:color="000000" w:themeColor="text1"/>
            </w:tcBorders>
          </w:tcPr>
          <w:p w14:paraId="3A8696B5" w14:textId="77777777" w:rsidR="00527BB3" w:rsidRPr="00EE26F3" w:rsidRDefault="00527BB3" w:rsidP="00527BB3">
            <w:pPr>
              <w:pStyle w:val="Tabletext"/>
              <w:jc w:val="center"/>
            </w:pPr>
            <w:r w:rsidRPr="00EE26F3">
              <w:t>–</w:t>
            </w:r>
          </w:p>
        </w:tc>
        <w:tc>
          <w:tcPr>
            <w:tcW w:w="1134" w:type="dxa"/>
            <w:tcBorders>
              <w:top w:val="single" w:sz="8" w:space="0" w:color="000000" w:themeColor="text1"/>
            </w:tcBorders>
          </w:tcPr>
          <w:p w14:paraId="58507FC2" w14:textId="77777777" w:rsidR="00527BB3" w:rsidRPr="00EE26F3" w:rsidRDefault="00527BB3" w:rsidP="00527BB3">
            <w:pPr>
              <w:pStyle w:val="Tabletext"/>
              <w:jc w:val="center"/>
            </w:pPr>
            <w:r w:rsidRPr="00EE26F3">
              <w:sym w:font="Wingdings" w:char="F0FC"/>
            </w:r>
          </w:p>
        </w:tc>
        <w:tc>
          <w:tcPr>
            <w:tcW w:w="1417" w:type="dxa"/>
            <w:tcBorders>
              <w:top w:val="single" w:sz="8" w:space="0" w:color="000000" w:themeColor="text1"/>
            </w:tcBorders>
          </w:tcPr>
          <w:p w14:paraId="234225CC" w14:textId="77777777" w:rsidR="00527BB3" w:rsidRPr="00EE26F3" w:rsidRDefault="00527BB3" w:rsidP="00527BB3">
            <w:pPr>
              <w:pStyle w:val="Tabletext"/>
              <w:jc w:val="center"/>
            </w:pPr>
            <w:r w:rsidRPr="00EE26F3">
              <w:t>-</w:t>
            </w:r>
          </w:p>
        </w:tc>
      </w:tr>
      <w:tr w:rsidR="00527BB3" w:rsidRPr="004F1C07" w14:paraId="781BC3CE" w14:textId="77777777" w:rsidTr="006A4D4F">
        <w:trPr>
          <w:trHeight w:val="94"/>
        </w:trPr>
        <w:tc>
          <w:tcPr>
            <w:tcW w:w="1526" w:type="dxa"/>
            <w:vMerge/>
          </w:tcPr>
          <w:p w14:paraId="06F477AD" w14:textId="77777777" w:rsidR="00527BB3" w:rsidRPr="00680101" w:rsidRDefault="00527BB3" w:rsidP="00527BB3">
            <w:pPr>
              <w:pStyle w:val="Tabletext"/>
              <w:rPr>
                <w:b/>
              </w:rPr>
            </w:pPr>
          </w:p>
        </w:tc>
        <w:tc>
          <w:tcPr>
            <w:tcW w:w="2551" w:type="dxa"/>
          </w:tcPr>
          <w:p w14:paraId="6B9FCD02" w14:textId="77777777" w:rsidR="00527BB3" w:rsidRPr="004F1C07" w:rsidRDefault="00527BB3" w:rsidP="006A4D4F">
            <w:pPr>
              <w:pStyle w:val="Summaryofsafetyconcerns"/>
              <w:ind w:left="0"/>
            </w:pPr>
            <w:r w:rsidRPr="00111ECE">
              <w:rPr>
                <w:b w:val="0"/>
              </w:rPr>
              <w:t>Administration-Related Reactions</w:t>
            </w:r>
          </w:p>
        </w:tc>
        <w:tc>
          <w:tcPr>
            <w:tcW w:w="1276" w:type="dxa"/>
          </w:tcPr>
          <w:p w14:paraId="6C88C986" w14:textId="77777777" w:rsidR="00527BB3" w:rsidRPr="00EE26F3" w:rsidRDefault="00527BB3" w:rsidP="00527BB3">
            <w:pPr>
              <w:pStyle w:val="Tabletext"/>
              <w:jc w:val="center"/>
            </w:pPr>
            <w:r w:rsidRPr="00EE26F3">
              <w:sym w:font="Wingdings" w:char="F0FC"/>
            </w:r>
          </w:p>
        </w:tc>
        <w:tc>
          <w:tcPr>
            <w:tcW w:w="1276" w:type="dxa"/>
          </w:tcPr>
          <w:p w14:paraId="56A80700" w14:textId="77777777" w:rsidR="00527BB3" w:rsidRPr="00EE26F3" w:rsidRDefault="00527BB3" w:rsidP="00527BB3">
            <w:pPr>
              <w:pStyle w:val="Tabletext"/>
              <w:jc w:val="center"/>
            </w:pPr>
            <w:r w:rsidRPr="00EE26F3">
              <w:t>-</w:t>
            </w:r>
          </w:p>
        </w:tc>
        <w:tc>
          <w:tcPr>
            <w:tcW w:w="1134" w:type="dxa"/>
          </w:tcPr>
          <w:p w14:paraId="07216571" w14:textId="77777777" w:rsidR="00527BB3" w:rsidRPr="00EE26F3" w:rsidRDefault="00527BB3" w:rsidP="00527BB3">
            <w:pPr>
              <w:pStyle w:val="Tabletext"/>
              <w:jc w:val="center"/>
            </w:pPr>
            <w:r w:rsidRPr="00EE26F3">
              <w:sym w:font="Wingdings" w:char="F0FC"/>
            </w:r>
          </w:p>
        </w:tc>
        <w:tc>
          <w:tcPr>
            <w:tcW w:w="1417" w:type="dxa"/>
          </w:tcPr>
          <w:p w14:paraId="273D5CBF" w14:textId="77777777" w:rsidR="00527BB3" w:rsidRPr="00EE26F3" w:rsidRDefault="00527BB3" w:rsidP="00527BB3">
            <w:pPr>
              <w:pStyle w:val="Tabletext"/>
              <w:jc w:val="center"/>
            </w:pPr>
            <w:r w:rsidRPr="00EE26F3">
              <w:t>–</w:t>
            </w:r>
          </w:p>
        </w:tc>
      </w:tr>
      <w:tr w:rsidR="00527BB3" w:rsidRPr="004F1C07" w14:paraId="71A79D88" w14:textId="77777777" w:rsidTr="006A4D4F">
        <w:trPr>
          <w:trHeight w:val="94"/>
        </w:trPr>
        <w:tc>
          <w:tcPr>
            <w:tcW w:w="1526" w:type="dxa"/>
            <w:vMerge/>
          </w:tcPr>
          <w:p w14:paraId="5C33AD6C" w14:textId="77777777" w:rsidR="00527BB3" w:rsidRPr="00680101" w:rsidRDefault="00527BB3" w:rsidP="00527BB3">
            <w:pPr>
              <w:pStyle w:val="Tabletext"/>
              <w:rPr>
                <w:b/>
              </w:rPr>
            </w:pPr>
          </w:p>
        </w:tc>
        <w:tc>
          <w:tcPr>
            <w:tcW w:w="2551" w:type="dxa"/>
          </w:tcPr>
          <w:p w14:paraId="4590DE2D" w14:textId="05C42E36" w:rsidR="00527BB3" w:rsidRPr="00111ECE" w:rsidRDefault="00527BB3" w:rsidP="006A4D4F">
            <w:pPr>
              <w:pStyle w:val="Summaryofsafetyconcerns"/>
              <w:tabs>
                <w:tab w:val="left" w:pos="2850"/>
              </w:tabs>
              <w:ind w:left="0"/>
              <w:rPr>
                <w:b w:val="0"/>
              </w:rPr>
            </w:pPr>
            <w:r w:rsidRPr="00111ECE">
              <w:rPr>
                <w:b w:val="0"/>
              </w:rPr>
              <w:t>Haematological Toxicity</w:t>
            </w:r>
          </w:p>
        </w:tc>
        <w:tc>
          <w:tcPr>
            <w:tcW w:w="1276" w:type="dxa"/>
          </w:tcPr>
          <w:p w14:paraId="61A84B4C" w14:textId="77777777" w:rsidR="00527BB3" w:rsidRPr="00EE26F3" w:rsidRDefault="00527BB3" w:rsidP="00527BB3">
            <w:pPr>
              <w:pStyle w:val="Tabletext"/>
              <w:jc w:val="center"/>
            </w:pPr>
            <w:r w:rsidRPr="00EE26F3">
              <w:sym w:font="Wingdings" w:char="F0FC"/>
            </w:r>
          </w:p>
        </w:tc>
        <w:tc>
          <w:tcPr>
            <w:tcW w:w="1276" w:type="dxa"/>
          </w:tcPr>
          <w:p w14:paraId="105D927B" w14:textId="77777777" w:rsidR="00527BB3" w:rsidRPr="00EE26F3" w:rsidRDefault="00527BB3" w:rsidP="00527BB3">
            <w:pPr>
              <w:pStyle w:val="Tabletext"/>
              <w:jc w:val="center"/>
            </w:pPr>
            <w:r w:rsidRPr="00EE26F3">
              <w:t>-</w:t>
            </w:r>
          </w:p>
        </w:tc>
        <w:tc>
          <w:tcPr>
            <w:tcW w:w="1134" w:type="dxa"/>
          </w:tcPr>
          <w:p w14:paraId="70C9336D" w14:textId="77777777" w:rsidR="00527BB3" w:rsidRPr="00EE26F3" w:rsidRDefault="00527BB3" w:rsidP="00527BB3">
            <w:pPr>
              <w:pStyle w:val="Tabletext"/>
              <w:jc w:val="center"/>
            </w:pPr>
            <w:r w:rsidRPr="00EE26F3">
              <w:sym w:font="Wingdings" w:char="F0FC"/>
            </w:r>
          </w:p>
        </w:tc>
        <w:tc>
          <w:tcPr>
            <w:tcW w:w="1417" w:type="dxa"/>
          </w:tcPr>
          <w:p w14:paraId="71C6C605" w14:textId="77777777" w:rsidR="00527BB3" w:rsidRPr="00EE26F3" w:rsidRDefault="00527BB3" w:rsidP="00527BB3">
            <w:pPr>
              <w:pStyle w:val="Tabletext"/>
              <w:jc w:val="center"/>
            </w:pPr>
            <w:r w:rsidRPr="00EE26F3">
              <w:t>-</w:t>
            </w:r>
          </w:p>
        </w:tc>
      </w:tr>
      <w:tr w:rsidR="00527BB3" w:rsidRPr="004F1C07" w14:paraId="7CE766CA" w14:textId="77777777" w:rsidTr="006A4D4F">
        <w:trPr>
          <w:trHeight w:val="94"/>
        </w:trPr>
        <w:tc>
          <w:tcPr>
            <w:tcW w:w="1526" w:type="dxa"/>
            <w:vMerge/>
          </w:tcPr>
          <w:p w14:paraId="46536404" w14:textId="77777777" w:rsidR="00527BB3" w:rsidRPr="00680101" w:rsidRDefault="00527BB3" w:rsidP="00527BB3">
            <w:pPr>
              <w:pStyle w:val="Tabletext"/>
              <w:rPr>
                <w:b/>
              </w:rPr>
            </w:pPr>
          </w:p>
        </w:tc>
        <w:tc>
          <w:tcPr>
            <w:tcW w:w="2551" w:type="dxa"/>
          </w:tcPr>
          <w:p w14:paraId="0830BFCE" w14:textId="77777777" w:rsidR="00527BB3" w:rsidRPr="00111ECE" w:rsidRDefault="00527BB3" w:rsidP="006A4D4F">
            <w:pPr>
              <w:pStyle w:val="Summaryofsafetyconcerns"/>
              <w:tabs>
                <w:tab w:val="left" w:pos="2850"/>
              </w:tabs>
              <w:ind w:left="0"/>
              <w:rPr>
                <w:b w:val="0"/>
              </w:rPr>
            </w:pPr>
            <w:r w:rsidRPr="00625651">
              <w:rPr>
                <w:b w:val="0"/>
              </w:rPr>
              <w:t>Oligohydramnios</w:t>
            </w:r>
          </w:p>
        </w:tc>
        <w:tc>
          <w:tcPr>
            <w:tcW w:w="1276" w:type="dxa"/>
          </w:tcPr>
          <w:p w14:paraId="513AE6DA" w14:textId="77777777" w:rsidR="00527BB3" w:rsidRPr="00EE26F3" w:rsidRDefault="00527BB3" w:rsidP="00527BB3">
            <w:pPr>
              <w:pStyle w:val="Tabletext"/>
              <w:jc w:val="center"/>
            </w:pPr>
            <w:r w:rsidRPr="00EE26F3">
              <w:sym w:font="Wingdings" w:char="F0FC"/>
            </w:r>
          </w:p>
        </w:tc>
        <w:tc>
          <w:tcPr>
            <w:tcW w:w="1276" w:type="dxa"/>
          </w:tcPr>
          <w:p w14:paraId="5BB708B1" w14:textId="77777777" w:rsidR="00527BB3" w:rsidRPr="00EE26F3" w:rsidRDefault="00527BB3" w:rsidP="00527BB3">
            <w:pPr>
              <w:pStyle w:val="Tabletext"/>
              <w:jc w:val="center"/>
            </w:pPr>
            <w:r w:rsidRPr="00EE26F3">
              <w:t>-</w:t>
            </w:r>
          </w:p>
        </w:tc>
        <w:tc>
          <w:tcPr>
            <w:tcW w:w="1134" w:type="dxa"/>
          </w:tcPr>
          <w:p w14:paraId="17D563CB" w14:textId="77777777" w:rsidR="00527BB3" w:rsidRPr="00EE26F3" w:rsidRDefault="00527BB3" w:rsidP="00527BB3">
            <w:pPr>
              <w:pStyle w:val="Tabletext"/>
              <w:jc w:val="center"/>
            </w:pPr>
            <w:r w:rsidRPr="00EE26F3">
              <w:sym w:font="Wingdings" w:char="F0FC"/>
            </w:r>
          </w:p>
        </w:tc>
        <w:tc>
          <w:tcPr>
            <w:tcW w:w="1417" w:type="dxa"/>
          </w:tcPr>
          <w:p w14:paraId="70620F07" w14:textId="77777777" w:rsidR="00527BB3" w:rsidRPr="00EE26F3" w:rsidRDefault="00527BB3" w:rsidP="00527BB3">
            <w:pPr>
              <w:pStyle w:val="Tabletext"/>
              <w:jc w:val="center"/>
            </w:pPr>
            <w:r w:rsidRPr="00EE26F3">
              <w:t>-</w:t>
            </w:r>
          </w:p>
        </w:tc>
      </w:tr>
      <w:tr w:rsidR="00527BB3" w:rsidRPr="004F1C07" w14:paraId="24DBEC97" w14:textId="77777777" w:rsidTr="006A4D4F">
        <w:trPr>
          <w:trHeight w:val="187"/>
        </w:trPr>
        <w:tc>
          <w:tcPr>
            <w:tcW w:w="1526" w:type="dxa"/>
            <w:vMerge/>
          </w:tcPr>
          <w:p w14:paraId="545F5F20" w14:textId="77777777" w:rsidR="00527BB3" w:rsidRPr="00680101" w:rsidRDefault="00527BB3" w:rsidP="00527BB3">
            <w:pPr>
              <w:pStyle w:val="Tabletext"/>
              <w:rPr>
                <w:b/>
              </w:rPr>
            </w:pPr>
          </w:p>
        </w:tc>
        <w:tc>
          <w:tcPr>
            <w:tcW w:w="2551" w:type="dxa"/>
          </w:tcPr>
          <w:p w14:paraId="69D11F52" w14:textId="77777777" w:rsidR="00527BB3" w:rsidRPr="00625651" w:rsidRDefault="00527BB3" w:rsidP="006A4D4F">
            <w:pPr>
              <w:pStyle w:val="Summaryofsafetyconcerns"/>
              <w:tabs>
                <w:tab w:val="left" w:pos="2850"/>
              </w:tabs>
              <w:ind w:left="0"/>
              <w:rPr>
                <w:b w:val="0"/>
              </w:rPr>
            </w:pPr>
            <w:r w:rsidRPr="00625651">
              <w:rPr>
                <w:b w:val="0"/>
              </w:rPr>
              <w:t>Pulmonary Disorders</w:t>
            </w:r>
          </w:p>
        </w:tc>
        <w:tc>
          <w:tcPr>
            <w:tcW w:w="1276" w:type="dxa"/>
          </w:tcPr>
          <w:p w14:paraId="16AB7EAF" w14:textId="77777777" w:rsidR="00527BB3" w:rsidRPr="00EE26F3" w:rsidRDefault="00527BB3" w:rsidP="00527BB3">
            <w:pPr>
              <w:pStyle w:val="Tabletext"/>
              <w:jc w:val="center"/>
            </w:pPr>
            <w:r w:rsidRPr="00EE26F3">
              <w:sym w:font="Wingdings" w:char="F0FC"/>
            </w:r>
          </w:p>
        </w:tc>
        <w:tc>
          <w:tcPr>
            <w:tcW w:w="1276" w:type="dxa"/>
          </w:tcPr>
          <w:p w14:paraId="4C27B6A5" w14:textId="77777777" w:rsidR="00527BB3" w:rsidRPr="00EE26F3" w:rsidRDefault="00527BB3" w:rsidP="00527BB3">
            <w:pPr>
              <w:pStyle w:val="Tabletext"/>
              <w:jc w:val="center"/>
            </w:pPr>
            <w:r w:rsidRPr="00EE26F3">
              <w:t>–</w:t>
            </w:r>
          </w:p>
        </w:tc>
        <w:tc>
          <w:tcPr>
            <w:tcW w:w="1134" w:type="dxa"/>
          </w:tcPr>
          <w:p w14:paraId="2A96C530" w14:textId="77777777" w:rsidR="00527BB3" w:rsidRPr="00EE26F3" w:rsidRDefault="00527BB3" w:rsidP="00527BB3">
            <w:pPr>
              <w:pStyle w:val="Tabletext"/>
              <w:jc w:val="center"/>
            </w:pPr>
            <w:r w:rsidRPr="00EE26F3">
              <w:sym w:font="Wingdings" w:char="F0FC"/>
            </w:r>
          </w:p>
        </w:tc>
        <w:tc>
          <w:tcPr>
            <w:tcW w:w="1417" w:type="dxa"/>
          </w:tcPr>
          <w:p w14:paraId="751795D4" w14:textId="77777777" w:rsidR="00527BB3" w:rsidRPr="00EE26F3" w:rsidRDefault="00527BB3" w:rsidP="00527BB3">
            <w:pPr>
              <w:pStyle w:val="Tabletext"/>
              <w:jc w:val="center"/>
            </w:pPr>
            <w:r w:rsidRPr="00EE26F3">
              <w:t>-</w:t>
            </w:r>
          </w:p>
        </w:tc>
      </w:tr>
      <w:tr w:rsidR="00527BB3" w:rsidRPr="004F1C07" w14:paraId="3C39C277" w14:textId="77777777" w:rsidTr="006A4D4F">
        <w:trPr>
          <w:trHeight w:val="159"/>
        </w:trPr>
        <w:tc>
          <w:tcPr>
            <w:tcW w:w="1526" w:type="dxa"/>
          </w:tcPr>
          <w:p w14:paraId="24101906" w14:textId="77777777" w:rsidR="00527BB3" w:rsidRPr="00680101" w:rsidRDefault="00527BB3" w:rsidP="006A4D4F">
            <w:pPr>
              <w:pStyle w:val="Tabletext"/>
              <w:ind w:left="0"/>
              <w:rPr>
                <w:b/>
              </w:rPr>
            </w:pPr>
            <w:r w:rsidRPr="00680101">
              <w:rPr>
                <w:b/>
              </w:rPr>
              <w:t>Important potential risks</w:t>
            </w:r>
          </w:p>
        </w:tc>
        <w:tc>
          <w:tcPr>
            <w:tcW w:w="2551" w:type="dxa"/>
          </w:tcPr>
          <w:p w14:paraId="189CCF8D" w14:textId="77777777" w:rsidR="00527BB3" w:rsidRPr="004F1C07" w:rsidRDefault="00527BB3" w:rsidP="006A4D4F">
            <w:pPr>
              <w:pStyle w:val="Tabletext"/>
              <w:ind w:left="0"/>
            </w:pPr>
            <w:r>
              <w:t>Infections</w:t>
            </w:r>
          </w:p>
        </w:tc>
        <w:tc>
          <w:tcPr>
            <w:tcW w:w="1276" w:type="dxa"/>
          </w:tcPr>
          <w:p w14:paraId="52D31BEE" w14:textId="77777777" w:rsidR="00527BB3" w:rsidRPr="00EE26F3" w:rsidRDefault="00527BB3" w:rsidP="00527BB3">
            <w:pPr>
              <w:pStyle w:val="Tabletext"/>
              <w:jc w:val="center"/>
            </w:pPr>
            <w:r w:rsidRPr="00EE26F3">
              <w:sym w:font="Wingdings" w:char="F0FC"/>
            </w:r>
          </w:p>
        </w:tc>
        <w:tc>
          <w:tcPr>
            <w:tcW w:w="1276" w:type="dxa"/>
          </w:tcPr>
          <w:p w14:paraId="07E34CC9" w14:textId="77777777" w:rsidR="00527BB3" w:rsidRPr="00EE26F3" w:rsidRDefault="00527BB3" w:rsidP="00527BB3">
            <w:pPr>
              <w:pStyle w:val="Tabletext"/>
              <w:jc w:val="center"/>
            </w:pPr>
            <w:r w:rsidRPr="00EE26F3">
              <w:t>–</w:t>
            </w:r>
          </w:p>
        </w:tc>
        <w:tc>
          <w:tcPr>
            <w:tcW w:w="1134" w:type="dxa"/>
          </w:tcPr>
          <w:p w14:paraId="36056DE6" w14:textId="77777777" w:rsidR="00527BB3" w:rsidRPr="00EE26F3" w:rsidRDefault="00527BB3" w:rsidP="00527BB3">
            <w:pPr>
              <w:pStyle w:val="Tabletext"/>
              <w:jc w:val="center"/>
            </w:pPr>
            <w:r w:rsidRPr="00EE26F3">
              <w:sym w:font="Wingdings" w:char="F0FC"/>
            </w:r>
          </w:p>
        </w:tc>
        <w:tc>
          <w:tcPr>
            <w:tcW w:w="1417" w:type="dxa"/>
          </w:tcPr>
          <w:p w14:paraId="0955D0D9" w14:textId="77777777" w:rsidR="00527BB3" w:rsidRPr="00EE26F3" w:rsidRDefault="00527BB3" w:rsidP="00527BB3">
            <w:pPr>
              <w:pStyle w:val="Tabletext"/>
              <w:jc w:val="center"/>
            </w:pPr>
            <w:r w:rsidRPr="00EE26F3">
              <w:t>–</w:t>
            </w:r>
          </w:p>
        </w:tc>
      </w:tr>
      <w:tr w:rsidR="00527BB3" w:rsidRPr="004F1C07" w14:paraId="7D7DB6C5" w14:textId="77777777" w:rsidTr="006A4D4F">
        <w:trPr>
          <w:trHeight w:val="178"/>
        </w:trPr>
        <w:tc>
          <w:tcPr>
            <w:tcW w:w="1526" w:type="dxa"/>
          </w:tcPr>
          <w:p w14:paraId="0EE61A76" w14:textId="77777777" w:rsidR="00527BB3" w:rsidRPr="00680101" w:rsidRDefault="00527BB3" w:rsidP="006A4D4F">
            <w:pPr>
              <w:pStyle w:val="Tabletext"/>
              <w:ind w:left="0"/>
              <w:rPr>
                <w:b/>
              </w:rPr>
            </w:pPr>
            <w:r w:rsidRPr="00680101">
              <w:rPr>
                <w:b/>
              </w:rPr>
              <w:t>Missing information</w:t>
            </w:r>
          </w:p>
        </w:tc>
        <w:tc>
          <w:tcPr>
            <w:tcW w:w="2551" w:type="dxa"/>
          </w:tcPr>
          <w:p w14:paraId="2C91E26E" w14:textId="77777777" w:rsidR="00527BB3" w:rsidRPr="004F1C07" w:rsidRDefault="00527BB3" w:rsidP="006A4D4F">
            <w:pPr>
              <w:pStyle w:val="Tabletext"/>
              <w:ind w:left="0"/>
            </w:pPr>
            <w:r>
              <w:t>Use in male breast cancer patients</w:t>
            </w:r>
          </w:p>
        </w:tc>
        <w:tc>
          <w:tcPr>
            <w:tcW w:w="1276" w:type="dxa"/>
          </w:tcPr>
          <w:p w14:paraId="73A86D53" w14:textId="77777777" w:rsidR="00527BB3" w:rsidRPr="00EE26F3" w:rsidRDefault="00527BB3" w:rsidP="00527BB3">
            <w:pPr>
              <w:pStyle w:val="Tabletext"/>
              <w:jc w:val="center"/>
            </w:pPr>
            <w:r w:rsidRPr="00EE26F3">
              <w:sym w:font="Wingdings" w:char="F0FC"/>
            </w:r>
          </w:p>
        </w:tc>
        <w:tc>
          <w:tcPr>
            <w:tcW w:w="1276" w:type="dxa"/>
          </w:tcPr>
          <w:p w14:paraId="1F77016A" w14:textId="77777777" w:rsidR="00527BB3" w:rsidRPr="00EE26F3" w:rsidRDefault="00527BB3" w:rsidP="00527BB3">
            <w:pPr>
              <w:pStyle w:val="Tabletext"/>
              <w:jc w:val="center"/>
            </w:pPr>
            <w:r w:rsidRPr="00EE26F3">
              <w:t>–</w:t>
            </w:r>
          </w:p>
        </w:tc>
        <w:tc>
          <w:tcPr>
            <w:tcW w:w="1134" w:type="dxa"/>
          </w:tcPr>
          <w:p w14:paraId="337E0784" w14:textId="77777777" w:rsidR="00527BB3" w:rsidRPr="00EE26F3" w:rsidRDefault="00527BB3" w:rsidP="00527BB3">
            <w:pPr>
              <w:pStyle w:val="Tabletext"/>
              <w:jc w:val="center"/>
            </w:pPr>
            <w:r w:rsidRPr="00EE26F3">
              <w:sym w:font="Wingdings" w:char="F0FC"/>
            </w:r>
          </w:p>
        </w:tc>
        <w:tc>
          <w:tcPr>
            <w:tcW w:w="1417" w:type="dxa"/>
          </w:tcPr>
          <w:p w14:paraId="04F31BCA" w14:textId="77777777" w:rsidR="00527BB3" w:rsidRPr="00EE26F3" w:rsidRDefault="00527BB3" w:rsidP="00527BB3">
            <w:pPr>
              <w:pStyle w:val="Tabletext"/>
              <w:jc w:val="center"/>
            </w:pPr>
            <w:r w:rsidRPr="00EE26F3">
              <w:t>–</w:t>
            </w:r>
          </w:p>
        </w:tc>
      </w:tr>
    </w:tbl>
    <w:p w14:paraId="712C703A" w14:textId="3352976E" w:rsidR="00A533BF" w:rsidRDefault="00A533BF" w:rsidP="00A533BF">
      <w:pPr>
        <w:pStyle w:val="TableDescription"/>
      </w:pPr>
      <w:bookmarkStart w:id="43" w:name="_Toc494984828"/>
      <w:bookmarkStart w:id="44" w:name="_Toc505769069"/>
      <w:r w:rsidRPr="00F12492">
        <w:rPr>
          <w:i/>
        </w:rPr>
        <w:t>Routine risk minimisation</w:t>
      </w:r>
      <w:r>
        <w:t xml:space="preserve"> activities may be limited to ensuring that suitable warnings are included in the product information or by careful </w:t>
      </w:r>
      <w:r w:rsidR="0016244F">
        <w:t>use of labelling and packaging.</w:t>
      </w:r>
    </w:p>
    <w:p w14:paraId="17B5952D" w14:textId="3CD9234F" w:rsidR="00A533BF" w:rsidRDefault="00A533BF" w:rsidP="00A533BF">
      <w:pPr>
        <w:pStyle w:val="TableDescription"/>
      </w:pPr>
      <w:r w:rsidRPr="00F12492">
        <w:rPr>
          <w:i/>
        </w:rPr>
        <w:t>Routine pharmacovigilance</w:t>
      </w:r>
      <w:r>
        <w:t xml:space="preserve"> practices involve the following activities:</w:t>
      </w:r>
    </w:p>
    <w:p w14:paraId="2C289BD1" w14:textId="77777777" w:rsidR="00A533BF" w:rsidRPr="0016244F" w:rsidRDefault="00A533BF" w:rsidP="0016244F">
      <w:pPr>
        <w:pStyle w:val="ListBullet"/>
        <w:rPr>
          <w:sz w:val="19"/>
          <w:szCs w:val="19"/>
        </w:rPr>
      </w:pPr>
      <w:r w:rsidRPr="0016244F">
        <w:rPr>
          <w:sz w:val="19"/>
          <w:szCs w:val="19"/>
        </w:rPr>
        <w:t>All suspected adverse reactions that are reported to the personnel of the company are collected and collated in an accessible manner;</w:t>
      </w:r>
    </w:p>
    <w:p w14:paraId="2CEE6ACE" w14:textId="77777777" w:rsidR="00A533BF" w:rsidRPr="0016244F" w:rsidRDefault="00A533BF" w:rsidP="0016244F">
      <w:pPr>
        <w:pStyle w:val="ListBullet"/>
        <w:rPr>
          <w:sz w:val="19"/>
          <w:szCs w:val="19"/>
        </w:rPr>
      </w:pPr>
      <w:r w:rsidRPr="0016244F">
        <w:rPr>
          <w:sz w:val="19"/>
          <w:szCs w:val="19"/>
        </w:rPr>
        <w:t>Reporting to regulatory authorities;</w:t>
      </w:r>
    </w:p>
    <w:p w14:paraId="51843E6C" w14:textId="77777777" w:rsidR="00A533BF" w:rsidRPr="0016244F" w:rsidRDefault="00A533BF" w:rsidP="0016244F">
      <w:pPr>
        <w:pStyle w:val="ListBullet"/>
        <w:rPr>
          <w:sz w:val="19"/>
          <w:szCs w:val="19"/>
        </w:rPr>
      </w:pPr>
      <w:r w:rsidRPr="0016244F">
        <w:rPr>
          <w:sz w:val="19"/>
          <w:szCs w:val="19"/>
        </w:rPr>
        <w:t xml:space="preserve">Continuous monitoring of the safety profiles of approved products including signal detection and updating of </w:t>
      </w:r>
      <w:proofErr w:type="spellStart"/>
      <w:r w:rsidRPr="0016244F">
        <w:rPr>
          <w:sz w:val="19"/>
          <w:szCs w:val="19"/>
        </w:rPr>
        <w:t>labeling</w:t>
      </w:r>
      <w:proofErr w:type="spellEnd"/>
      <w:r w:rsidRPr="0016244F">
        <w:rPr>
          <w:sz w:val="19"/>
          <w:szCs w:val="19"/>
        </w:rPr>
        <w:t>;</w:t>
      </w:r>
    </w:p>
    <w:p w14:paraId="595B8A0D" w14:textId="77777777" w:rsidR="00A533BF" w:rsidRPr="0016244F" w:rsidRDefault="00A533BF" w:rsidP="0016244F">
      <w:pPr>
        <w:pStyle w:val="ListBullet"/>
        <w:rPr>
          <w:sz w:val="19"/>
          <w:szCs w:val="19"/>
        </w:rPr>
      </w:pPr>
      <w:r w:rsidRPr="0016244F">
        <w:rPr>
          <w:sz w:val="19"/>
          <w:szCs w:val="19"/>
        </w:rPr>
        <w:t>Submission of PSURs;</w:t>
      </w:r>
    </w:p>
    <w:p w14:paraId="27CC063E" w14:textId="77777777" w:rsidR="00A533BF" w:rsidRPr="0016244F" w:rsidRDefault="00A533BF" w:rsidP="0016244F">
      <w:pPr>
        <w:pStyle w:val="ListBullet"/>
        <w:rPr>
          <w:sz w:val="19"/>
          <w:szCs w:val="19"/>
          <w:lang w:val="en-US"/>
        </w:rPr>
      </w:pPr>
      <w:r w:rsidRPr="0016244F">
        <w:rPr>
          <w:sz w:val="19"/>
          <w:szCs w:val="19"/>
        </w:rPr>
        <w:t>Meeting other local regulatory agency requirements.</w:t>
      </w:r>
    </w:p>
    <w:p w14:paraId="67F49A83" w14:textId="3146395A" w:rsidR="006D550E" w:rsidRPr="00BB4B51" w:rsidRDefault="006D550E" w:rsidP="006A4D4F">
      <w:pPr>
        <w:pStyle w:val="Heading4"/>
      </w:pPr>
      <w:r>
        <w:t xml:space="preserve">Wording for </w:t>
      </w:r>
      <w:r w:rsidRPr="006D550E">
        <w:t>conditions</w:t>
      </w:r>
      <w:r>
        <w:t xml:space="preserve"> of registration</w:t>
      </w:r>
      <w:bookmarkEnd w:id="43"/>
      <w:bookmarkEnd w:id="44"/>
    </w:p>
    <w:p w14:paraId="2DD87586" w14:textId="41003C97" w:rsidR="006D550E" w:rsidRPr="00D23B2A" w:rsidRDefault="006D550E" w:rsidP="006A4D4F">
      <w:r w:rsidRPr="006D550E">
        <w:t>Any changes to which the sponsor has agreed should be included in a revised RMP and ASA. However, irrespective of whether or not</w:t>
      </w:r>
      <w:r w:rsidRPr="00D23B2A">
        <w:t xml:space="preserve"> they are included in the currently available version of the RMP document, the agreed changes become part of the risk management system.</w:t>
      </w:r>
    </w:p>
    <w:p w14:paraId="642158AA" w14:textId="77777777" w:rsidR="006D550E" w:rsidRDefault="006D550E" w:rsidP="006A4D4F">
      <w:r w:rsidRPr="009D7ED7">
        <w:t xml:space="preserve">The </w:t>
      </w:r>
      <w:r w:rsidRPr="006D550E">
        <w:t>suggested</w:t>
      </w:r>
      <w:r w:rsidRPr="009D7ED7">
        <w:t xml:space="preserve"> wording </w:t>
      </w:r>
      <w:r w:rsidRPr="002F2CB4">
        <w:t xml:space="preserve">is: </w:t>
      </w:r>
    </w:p>
    <w:p w14:paraId="6E535A6E" w14:textId="67A8A396" w:rsidR="006D550E" w:rsidRPr="006A4D4F" w:rsidRDefault="006D550E" w:rsidP="006A4D4F">
      <w:pPr>
        <w:ind w:left="720"/>
        <w:rPr>
          <w:i/>
        </w:rPr>
      </w:pPr>
      <w:r w:rsidRPr="006A4D4F">
        <w:rPr>
          <w:i/>
        </w:rPr>
        <w:t xml:space="preserve">The </w:t>
      </w:r>
      <w:proofErr w:type="spellStart"/>
      <w:r w:rsidRPr="006A4D4F">
        <w:rPr>
          <w:i/>
        </w:rPr>
        <w:t>Ogivri</w:t>
      </w:r>
      <w:proofErr w:type="spellEnd"/>
      <w:r w:rsidRPr="006A4D4F">
        <w:rPr>
          <w:i/>
        </w:rPr>
        <w:t xml:space="preserve"> EU-Risk Management Pl</w:t>
      </w:r>
      <w:r w:rsidRPr="006D550E">
        <w:rPr>
          <w:i/>
        </w:rPr>
        <w:t>an (RMP) (version 3.0, dated 31</w:t>
      </w:r>
      <w:r>
        <w:rPr>
          <w:i/>
        </w:rPr>
        <w:t xml:space="preserve"> </w:t>
      </w:r>
      <w:r w:rsidRPr="006D550E">
        <w:rPr>
          <w:i/>
        </w:rPr>
        <w:t>Mar</w:t>
      </w:r>
      <w:r>
        <w:rPr>
          <w:i/>
        </w:rPr>
        <w:t xml:space="preserve">ch </w:t>
      </w:r>
      <w:r w:rsidRPr="006A4D4F">
        <w:rPr>
          <w:i/>
        </w:rPr>
        <w:t>2017, data lock point date 07-Mar-2017), with Australian Specific Annex (version 1.1, dated December 2017), included with submission PM-2017-01087-1-4, and any subsequent revisions, as agreed with the TGA will be implemented in Australia.</w:t>
      </w:r>
    </w:p>
    <w:p w14:paraId="0EC124A7" w14:textId="77777777" w:rsidR="006D550E" w:rsidRPr="006D550E" w:rsidRDefault="006D550E" w:rsidP="006A4D4F">
      <w:r w:rsidRPr="006D550E">
        <w:t xml:space="preserve">The following wording </w:t>
      </w:r>
      <w:proofErr w:type="gramStart"/>
      <w:r w:rsidRPr="006D550E">
        <w:t>is recommended</w:t>
      </w:r>
      <w:proofErr w:type="gramEnd"/>
      <w:r w:rsidRPr="006D550E">
        <w:t xml:space="preserve"> for the PSUR requirement:</w:t>
      </w:r>
    </w:p>
    <w:p w14:paraId="22A7C35B" w14:textId="77777777" w:rsidR="006D550E" w:rsidRPr="006A4D4F" w:rsidRDefault="006D550E" w:rsidP="006A4D4F">
      <w:pPr>
        <w:ind w:left="720"/>
        <w:rPr>
          <w:i/>
        </w:rPr>
      </w:pPr>
      <w:r w:rsidRPr="006A4D4F">
        <w:rPr>
          <w:i/>
        </w:rPr>
        <w:t>An obligatory component of risk management plans is routine pharmacovigilance. Routine pharmacovigilance includes the submission of Periodic Safety Update Reports (PSURs).</w:t>
      </w:r>
    </w:p>
    <w:p w14:paraId="18FE45BD" w14:textId="77777777" w:rsidR="006D550E" w:rsidRPr="006A4D4F" w:rsidRDefault="006D550E" w:rsidP="006A4D4F">
      <w:pPr>
        <w:ind w:left="720"/>
        <w:rPr>
          <w:i/>
        </w:rPr>
      </w:pPr>
      <w:r w:rsidRPr="006A4D4F">
        <w:rPr>
          <w:i/>
        </w:rPr>
        <w:t xml:space="preserve">Unless agreed separately between the supplier who is the recipient of the approval and the TGA, the first report </w:t>
      </w:r>
      <w:proofErr w:type="gramStart"/>
      <w:r w:rsidRPr="006A4D4F">
        <w:rPr>
          <w:i/>
        </w:rPr>
        <w:t>must be submitted</w:t>
      </w:r>
      <w:proofErr w:type="gramEnd"/>
      <w:r w:rsidRPr="006A4D4F">
        <w:rPr>
          <w:i/>
        </w:rPr>
        <w:t xml:space="preserve"> to TGA no later than 15 calendar </w:t>
      </w:r>
      <w:r w:rsidRPr="006A4D4F">
        <w:rPr>
          <w:i/>
        </w:rPr>
        <w:lastRenderedPageBreak/>
        <w:t xml:space="preserve">months after the date of this approval letter. The subsequent reports </w:t>
      </w:r>
      <w:proofErr w:type="gramStart"/>
      <w:r w:rsidRPr="006A4D4F">
        <w:rPr>
          <w:i/>
        </w:rPr>
        <w:t>must be submitted</w:t>
      </w:r>
      <w:proofErr w:type="gramEnd"/>
      <w:r w:rsidRPr="006A4D4F">
        <w:rPr>
          <w:i/>
        </w:rPr>
        <w:t xml:space="preserve"> no less frequently than annually from the date of the first submitted report until the period covered by such reports is not less than three years from the date of this approval letter. The annual submission </w:t>
      </w:r>
      <w:proofErr w:type="gramStart"/>
      <w:r w:rsidRPr="006A4D4F">
        <w:rPr>
          <w:i/>
        </w:rPr>
        <w:t>may be made up</w:t>
      </w:r>
      <w:proofErr w:type="gramEnd"/>
      <w:r w:rsidRPr="006A4D4F">
        <w:rPr>
          <w:i/>
        </w:rPr>
        <w:t xml:space="preserve"> of two PSURs each covering six months. If the sponsor wishes, the six monthly reports </w:t>
      </w:r>
      <w:proofErr w:type="gramStart"/>
      <w:r w:rsidRPr="006A4D4F">
        <w:rPr>
          <w:i/>
        </w:rPr>
        <w:t>may be submitted</w:t>
      </w:r>
      <w:proofErr w:type="gramEnd"/>
      <w:r w:rsidRPr="006A4D4F">
        <w:rPr>
          <w:i/>
        </w:rPr>
        <w:t xml:space="preserve"> separately as they become available.</w:t>
      </w:r>
    </w:p>
    <w:p w14:paraId="6DC628AB" w14:textId="77777777" w:rsidR="006D550E" w:rsidRPr="006D550E" w:rsidRDefault="006D550E" w:rsidP="006A4D4F">
      <w:pPr>
        <w:ind w:left="720"/>
      </w:pPr>
      <w:r w:rsidRPr="006A4D4F">
        <w:rPr>
          <w:i/>
        </w:rPr>
        <w:t xml:space="preserve">The reports are </w:t>
      </w:r>
      <w:proofErr w:type="gramStart"/>
      <w:r w:rsidRPr="006A4D4F">
        <w:rPr>
          <w:i/>
        </w:rPr>
        <w:t>to at least meet</w:t>
      </w:r>
      <w:proofErr w:type="gramEnd"/>
      <w:r w:rsidRPr="006A4D4F">
        <w:rPr>
          <w:i/>
        </w:rPr>
        <w:t xml:space="preserve">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1E2CEF0F" w14:textId="77777777" w:rsidR="008E7846" w:rsidRDefault="00AA0ED0" w:rsidP="008E7846">
      <w:pPr>
        <w:pStyle w:val="Heading3"/>
      </w:pPr>
      <w:bookmarkStart w:id="45" w:name="_Toc247691531"/>
      <w:bookmarkStart w:id="46" w:name="_Toc314842515"/>
      <w:bookmarkStart w:id="47" w:name="_Toc35445589"/>
      <w:bookmarkStart w:id="48" w:name="_Toc196046505"/>
      <w:bookmarkStart w:id="49" w:name="_Toc196046949"/>
      <w:bookmarkEnd w:id="41"/>
      <w:r>
        <w:t>Risk-benefit a</w:t>
      </w:r>
      <w:r w:rsidR="008E7846">
        <w:t>nalysis</w:t>
      </w:r>
      <w:bookmarkEnd w:id="45"/>
      <w:bookmarkEnd w:id="46"/>
      <w:bookmarkEnd w:id="47"/>
    </w:p>
    <w:p w14:paraId="3CDBD4C3" w14:textId="52DC09C8" w:rsidR="00D23139" w:rsidRDefault="0016244F" w:rsidP="00D23139">
      <w:pPr>
        <w:pStyle w:val="Heading4"/>
      </w:pPr>
      <w:r>
        <w:t>Delegate’s considerations</w:t>
      </w:r>
    </w:p>
    <w:p w14:paraId="587E0D29" w14:textId="01EFA727" w:rsidR="00456765" w:rsidRDefault="00BA7BDC" w:rsidP="00456765">
      <w:r>
        <w:t xml:space="preserve">This application is for a </w:t>
      </w:r>
      <w:r w:rsidR="00082F6B">
        <w:t>b</w:t>
      </w:r>
      <w:r w:rsidR="00082F6B" w:rsidRPr="007D74A9">
        <w:t>iosimilar</w:t>
      </w:r>
      <w:r w:rsidRPr="007D74A9">
        <w:t>. The reference biological medicine, Herceptin</w:t>
      </w:r>
      <w:r w:rsidR="00082F6B">
        <w:t xml:space="preserve"> </w:t>
      </w:r>
      <w:proofErr w:type="spellStart"/>
      <w:r w:rsidR="00082F6B">
        <w:t>trastuzumab</w:t>
      </w:r>
      <w:proofErr w:type="spellEnd"/>
      <w:r w:rsidRPr="007D74A9">
        <w:t xml:space="preserve">, </w:t>
      </w:r>
      <w:proofErr w:type="gramStart"/>
      <w:r w:rsidRPr="007D74A9">
        <w:t>was initially registered</w:t>
      </w:r>
      <w:proofErr w:type="gramEnd"/>
      <w:r w:rsidRPr="007D74A9">
        <w:t xml:space="preserve"> in the US in 1998 and in Australia in 2000</w:t>
      </w:r>
      <w:r>
        <w:t>.</w:t>
      </w:r>
    </w:p>
    <w:p w14:paraId="76CBD34E" w14:textId="77777777" w:rsidR="00BA7BDC" w:rsidRDefault="00BA7BDC" w:rsidP="00456765">
      <w:r w:rsidRPr="007D74A9">
        <w:t>The proposed indications are the same as those for th</w:t>
      </w:r>
      <w:r>
        <w:t>e reference biological medicine: early breast cancer, locally advanced breast cancer, metastatic breast cancer, advanced gastric cancer</w:t>
      </w:r>
      <w:r w:rsidR="00C40F6D">
        <w:t>.</w:t>
      </w:r>
    </w:p>
    <w:p w14:paraId="04764961" w14:textId="77777777" w:rsidR="00BA7BDC" w:rsidRPr="007D74A9" w:rsidRDefault="00BA7BDC" w:rsidP="00BA7BDC">
      <w:pPr>
        <w:pStyle w:val="table"/>
        <w:rPr>
          <w:sz w:val="22"/>
          <w:szCs w:val="22"/>
        </w:rPr>
      </w:pPr>
      <w:r w:rsidRPr="007D74A9">
        <w:rPr>
          <w:sz w:val="22"/>
          <w:szCs w:val="22"/>
        </w:rPr>
        <w:t>The proposed dosage is the same as that for the reference biological medicine.</w:t>
      </w:r>
    </w:p>
    <w:p w14:paraId="48E9D366" w14:textId="77777777" w:rsidR="00BA7BDC" w:rsidRDefault="00BA7BDC" w:rsidP="00BA7BDC">
      <w:r w:rsidRPr="007D74A9">
        <w:t>The sponso</w:t>
      </w:r>
      <w:r>
        <w:t>r is not proposing to market a subcutaneous</w:t>
      </w:r>
      <w:r w:rsidRPr="007D74A9">
        <w:t xml:space="preserve"> formulation.</w:t>
      </w:r>
    </w:p>
    <w:p w14:paraId="4D5FBCA2" w14:textId="77777777" w:rsidR="00BA7BDC" w:rsidRDefault="00BA7BDC" w:rsidP="00BA7BDC">
      <w:pPr>
        <w:pStyle w:val="Heading5"/>
      </w:pPr>
      <w:r w:rsidRPr="007D74A9">
        <w:t>Evaluation of similarity</w:t>
      </w:r>
    </w:p>
    <w:p w14:paraId="6CD45EC0" w14:textId="77777777" w:rsidR="00BA7BDC" w:rsidRPr="007D74A9" w:rsidRDefault="00BA7BDC" w:rsidP="00BA7BDC">
      <w:r w:rsidRPr="007D74A9">
        <w:t xml:space="preserve">Based on the </w:t>
      </w:r>
      <w:r>
        <w:t xml:space="preserve">pivotal </w:t>
      </w:r>
      <w:r w:rsidRPr="00B634FA">
        <w:rPr>
          <w:i/>
        </w:rPr>
        <w:t>in-vitro</w:t>
      </w:r>
      <w:r w:rsidR="00B634FA">
        <w:t xml:space="preserve"> studies </w:t>
      </w:r>
      <w:r w:rsidRPr="007D74A9">
        <w:t xml:space="preserve">and </w:t>
      </w:r>
      <w:r>
        <w:t>supported by the nonclinical</w:t>
      </w:r>
      <w:r w:rsidRPr="007D74A9">
        <w:t xml:space="preserve"> and clinical studies, </w:t>
      </w:r>
      <w:proofErr w:type="spellStart"/>
      <w:r w:rsidRPr="007D74A9">
        <w:t>Ogivri</w:t>
      </w:r>
      <w:proofErr w:type="spellEnd"/>
      <w:r w:rsidRPr="007D74A9">
        <w:t xml:space="preserve"> is highly similar to Herceptin.</w:t>
      </w:r>
    </w:p>
    <w:p w14:paraId="2A43EC07" w14:textId="77777777" w:rsidR="00BA7BDC" w:rsidRDefault="00BA7BDC" w:rsidP="00BA7BDC">
      <w:r w:rsidRPr="007D74A9">
        <w:t>Marketing approval of all indications is justified.</w:t>
      </w:r>
    </w:p>
    <w:p w14:paraId="0AC2A130" w14:textId="77777777" w:rsidR="00BA7BDC" w:rsidRDefault="00BA7BDC" w:rsidP="00BA7BDC">
      <w:pPr>
        <w:pStyle w:val="Heading5"/>
      </w:pPr>
      <w:r w:rsidRPr="007D74A9">
        <w:t>Differences</w:t>
      </w:r>
    </w:p>
    <w:p w14:paraId="67AE5D57" w14:textId="0F001401" w:rsidR="00BA7BDC" w:rsidRPr="00D73AFA" w:rsidRDefault="00BA7BDC" w:rsidP="00BA7BDC">
      <w:r w:rsidRPr="00A901DA">
        <w:t>The excipient sorbitol has replaced trehalose. Sorbitol can cause problems if the patient has HFI, which is a</w:t>
      </w:r>
      <w:r w:rsidRPr="00D73AFA">
        <w:t xml:space="preserve"> rare m</w:t>
      </w:r>
      <w:r w:rsidR="00C40F6D">
        <w:t xml:space="preserve">etabolic disorder (prevalence: 1 in </w:t>
      </w:r>
      <w:r w:rsidRPr="00D73AFA">
        <w:t xml:space="preserve">20,000). Patients receiving </w:t>
      </w:r>
      <w:proofErr w:type="spellStart"/>
      <w:r w:rsidRPr="00D73AFA">
        <w:t>Ogivri</w:t>
      </w:r>
      <w:proofErr w:type="spellEnd"/>
      <w:r w:rsidRPr="00D73AFA">
        <w:t xml:space="preserve"> will be adults, who will know they have HFI. </w:t>
      </w:r>
      <w:proofErr w:type="gramStart"/>
      <w:r w:rsidRPr="00D73AFA">
        <w:t>There are other parenteral medicines that</w:t>
      </w:r>
      <w:proofErr w:type="gramEnd"/>
      <w:r w:rsidRPr="00D73AFA">
        <w:t xml:space="preserve"> also contain sorbitol, although Herceptin (obviously) does not. Hospital pharmacists would clear the use of a parenteral medicine, containing sor</w:t>
      </w:r>
      <w:r w:rsidR="00BB4F3B">
        <w:t>bitol, on a case-by-case basis.</w:t>
      </w:r>
    </w:p>
    <w:p w14:paraId="273FC792" w14:textId="017F212F" w:rsidR="00BA7BDC" w:rsidRDefault="00BA7BDC" w:rsidP="00BA7BDC">
      <w:r>
        <w:t xml:space="preserve">The EMA </w:t>
      </w:r>
      <w:r w:rsidR="00082F6B">
        <w:t>Summary of Product Characteristics (</w:t>
      </w:r>
      <w:proofErr w:type="spellStart"/>
      <w:r>
        <w:t>SmPC</w:t>
      </w:r>
      <w:proofErr w:type="spellEnd"/>
      <w:r w:rsidR="00082F6B">
        <w:t>)</w:t>
      </w:r>
      <w:r>
        <w:t xml:space="preserve"> has the following</w:t>
      </w:r>
      <w:r w:rsidR="00082F6B">
        <w:t>:</w:t>
      </w:r>
    </w:p>
    <w:p w14:paraId="54D7F445" w14:textId="77777777" w:rsidR="00BA7BDC" w:rsidRDefault="00BA7BDC" w:rsidP="00BA7BDC">
      <w:pPr>
        <w:pStyle w:val="ListBullet"/>
      </w:pPr>
      <w:r>
        <w:t>Under Section 2. Qualitative and Quantitative Composition</w:t>
      </w:r>
    </w:p>
    <w:p w14:paraId="7BC2D8CC" w14:textId="77777777" w:rsidR="00BA7BDC" w:rsidRPr="00D73AFA" w:rsidRDefault="00BA7BDC" w:rsidP="00BA7BDC">
      <w:pPr>
        <w:ind w:left="360"/>
      </w:pPr>
      <w:r w:rsidRPr="00D73AFA">
        <w:t>Excipient with known effect</w:t>
      </w:r>
      <w:r>
        <w:t>:</w:t>
      </w:r>
    </w:p>
    <w:p w14:paraId="7D04133A" w14:textId="77777777" w:rsidR="00BA7BDC" w:rsidRDefault="00BA7BDC" w:rsidP="00BA7BDC">
      <w:pPr>
        <w:ind w:left="360"/>
      </w:pPr>
      <w:r w:rsidRPr="00D73AFA">
        <w:t>Each vial contains 115.2 mg sorbitol</w:t>
      </w:r>
    </w:p>
    <w:p w14:paraId="2062817F" w14:textId="77777777" w:rsidR="00BA7BDC" w:rsidRDefault="00BA7BDC" w:rsidP="00BA7BDC">
      <w:pPr>
        <w:pStyle w:val="ListBullet"/>
      </w:pPr>
      <w:r>
        <w:t>Section 4.4 Special Precautions and warnings for use</w:t>
      </w:r>
    </w:p>
    <w:p w14:paraId="1448EAF2" w14:textId="70040FBA" w:rsidR="00BA7BDC" w:rsidRDefault="00BA7BDC" w:rsidP="00082F6B">
      <w:pPr>
        <w:ind w:left="360"/>
      </w:pPr>
      <w:r w:rsidRPr="00D73AFA">
        <w:t>Sorbitol</w:t>
      </w:r>
      <w:r>
        <w:t>:</w:t>
      </w:r>
      <w:r w:rsidR="00082F6B">
        <w:t xml:space="preserve"> </w:t>
      </w:r>
      <w:proofErr w:type="spellStart"/>
      <w:r w:rsidRPr="00D73AFA">
        <w:t>Ogivri</w:t>
      </w:r>
      <w:proofErr w:type="spellEnd"/>
      <w:r w:rsidRPr="00D73AFA">
        <w:t xml:space="preserve"> contains 115.2 mg sorbitol in each vial. Patients with rare hereditary problems of fructose intolerance must not be given this medicine unless strictly necessary.</w:t>
      </w:r>
    </w:p>
    <w:p w14:paraId="4C6A115E" w14:textId="77777777" w:rsidR="00BA7BDC" w:rsidRPr="00D73AFA" w:rsidRDefault="00BA7BDC" w:rsidP="00BA7BDC">
      <w:pPr>
        <w:pStyle w:val="ListBullet"/>
      </w:pPr>
      <w:r>
        <w:t xml:space="preserve">Section </w:t>
      </w:r>
      <w:r w:rsidRPr="00D73AFA">
        <w:t>6.1 List of excipients</w:t>
      </w:r>
    </w:p>
    <w:p w14:paraId="1C29199E" w14:textId="77777777" w:rsidR="00BA7BDC" w:rsidRPr="00D73AFA" w:rsidRDefault="00BA7BDC" w:rsidP="00BA7BDC">
      <w:pPr>
        <w:ind w:left="360"/>
      </w:pPr>
      <w:r w:rsidRPr="00D73AFA">
        <w:t>L-histidine hydrochloride</w:t>
      </w:r>
    </w:p>
    <w:p w14:paraId="6FC88D66" w14:textId="77777777" w:rsidR="00BA7BDC" w:rsidRPr="00D73AFA" w:rsidRDefault="00BA7BDC" w:rsidP="00BA7BDC">
      <w:pPr>
        <w:ind w:left="360"/>
      </w:pPr>
      <w:r w:rsidRPr="00D73AFA">
        <w:t>L-histidine</w:t>
      </w:r>
    </w:p>
    <w:p w14:paraId="7BE57B6F" w14:textId="77777777" w:rsidR="00BA7BDC" w:rsidRPr="00D73AFA" w:rsidRDefault="00BA7BDC" w:rsidP="00BA7BDC">
      <w:pPr>
        <w:ind w:left="360"/>
      </w:pPr>
      <w:r w:rsidRPr="00D73AFA">
        <w:lastRenderedPageBreak/>
        <w:t>Sorbitol</w:t>
      </w:r>
    </w:p>
    <w:p w14:paraId="2DBD5B6B" w14:textId="77777777" w:rsidR="00BA7BDC" w:rsidRPr="00D73AFA" w:rsidRDefault="00BA7BDC" w:rsidP="00BA7BDC">
      <w:pPr>
        <w:ind w:left="360"/>
      </w:pPr>
      <w:proofErr w:type="spellStart"/>
      <w:r w:rsidRPr="00D73AFA">
        <w:t>Macrogol</w:t>
      </w:r>
      <w:proofErr w:type="spellEnd"/>
      <w:r w:rsidRPr="00D73AFA">
        <w:t xml:space="preserve"> 3350</w:t>
      </w:r>
    </w:p>
    <w:p w14:paraId="5468E8B8" w14:textId="77777777" w:rsidR="00BA7BDC" w:rsidRPr="00D73AFA" w:rsidRDefault="00BA7BDC" w:rsidP="00BA7BDC">
      <w:pPr>
        <w:ind w:left="360"/>
      </w:pPr>
      <w:r w:rsidRPr="00D73AFA">
        <w:t>Hydrochloric acid (for pH adjustment)</w:t>
      </w:r>
    </w:p>
    <w:p w14:paraId="57B4B44F" w14:textId="77777777" w:rsidR="00BA7BDC" w:rsidRDefault="00BA7BDC" w:rsidP="00BA7BDC">
      <w:pPr>
        <w:ind w:left="360"/>
      </w:pPr>
      <w:r w:rsidRPr="00D73AFA">
        <w:t>Sodium hydroxide (for pH adjustment)</w:t>
      </w:r>
    </w:p>
    <w:p w14:paraId="4A760FE4" w14:textId="3AD70407" w:rsidR="00BA7BDC" w:rsidRPr="004F26AA" w:rsidRDefault="00BA7BDC" w:rsidP="00BA7BDC">
      <w:r w:rsidRPr="004F26AA">
        <w:t xml:space="preserve">The only reference to sorbitol in the approved FDA PI is in </w:t>
      </w:r>
      <w:r w:rsidR="00082F6B">
        <w:t>S</w:t>
      </w:r>
      <w:r w:rsidRPr="004F26AA">
        <w:t xml:space="preserve">ection 11 </w:t>
      </w:r>
      <w:r w:rsidR="00082F6B">
        <w:t>‘</w:t>
      </w:r>
      <w:r w:rsidRPr="004F26AA">
        <w:t>Description</w:t>
      </w:r>
      <w:r w:rsidR="00082F6B">
        <w:t>’</w:t>
      </w:r>
      <w:r w:rsidRPr="004F26AA">
        <w:t xml:space="preserve">, where it </w:t>
      </w:r>
      <w:proofErr w:type="gramStart"/>
      <w:r w:rsidRPr="004F26AA">
        <w:t>is listed</w:t>
      </w:r>
      <w:proofErr w:type="gramEnd"/>
      <w:r w:rsidRPr="004F26AA">
        <w:t xml:space="preserve"> as one of the excipients</w:t>
      </w:r>
      <w:r w:rsidR="00082F6B">
        <w:t>:</w:t>
      </w:r>
    </w:p>
    <w:p w14:paraId="499CEA01" w14:textId="52B5C447" w:rsidR="00BA7BDC" w:rsidRPr="007D74A9" w:rsidRDefault="00BA7BDC" w:rsidP="00BB4F3B">
      <w:pPr>
        <w:pStyle w:val="ListBullet"/>
      </w:pPr>
      <w:r w:rsidRPr="004F26AA">
        <w:t xml:space="preserve">The excipient </w:t>
      </w:r>
      <w:proofErr w:type="spellStart"/>
      <w:r w:rsidRPr="004F26AA">
        <w:t>macrogol</w:t>
      </w:r>
      <w:proofErr w:type="spellEnd"/>
      <w:r w:rsidRPr="004F26AA">
        <w:t xml:space="preserve"> replaces </w:t>
      </w:r>
      <w:proofErr w:type="spellStart"/>
      <w:r w:rsidRPr="004F26AA">
        <w:t>polysorbate</w:t>
      </w:r>
      <w:proofErr w:type="spellEnd"/>
      <w:r w:rsidRPr="004F26AA">
        <w:t xml:space="preserve">. </w:t>
      </w:r>
      <w:proofErr w:type="spellStart"/>
      <w:r w:rsidRPr="004F26AA">
        <w:t>Macrogol</w:t>
      </w:r>
      <w:proofErr w:type="spellEnd"/>
      <w:r w:rsidRPr="004F26AA">
        <w:t xml:space="preserve"> can cause infusion reactions, but the most likely cause of any infusion reaction would be the active ingredient (</w:t>
      </w:r>
      <w:proofErr w:type="spellStart"/>
      <w:r w:rsidRPr="004F26AA">
        <w:t>trastuzumab</w:t>
      </w:r>
      <w:proofErr w:type="spellEnd"/>
      <w:r w:rsidRPr="004F26AA">
        <w:t xml:space="preserve">). The </w:t>
      </w:r>
      <w:proofErr w:type="spellStart"/>
      <w:r w:rsidRPr="004F26AA">
        <w:t>macrogol</w:t>
      </w:r>
      <w:proofErr w:type="spellEnd"/>
      <w:r w:rsidRPr="004F26AA">
        <w:t xml:space="preserve"> excipient is unlikely</w:t>
      </w:r>
      <w:r w:rsidRPr="007D74A9">
        <w:t xml:space="preserve"> to lead to any more infusion reactions than </w:t>
      </w:r>
      <w:proofErr w:type="spellStart"/>
      <w:r w:rsidRPr="007D74A9">
        <w:t>polysorbate</w:t>
      </w:r>
      <w:proofErr w:type="spellEnd"/>
      <w:r w:rsidRPr="007D74A9">
        <w:t xml:space="preserve"> excipient in the reference biological medicine (Herceptin).</w:t>
      </w:r>
    </w:p>
    <w:p w14:paraId="23CA05BA" w14:textId="77777777" w:rsidR="00BA7BDC" w:rsidRPr="00BA7BDC" w:rsidRDefault="00BA7BDC" w:rsidP="00BA7BDC">
      <w:pPr>
        <w:pStyle w:val="ListBullet"/>
      </w:pPr>
      <w:r w:rsidRPr="007D74A9">
        <w:t xml:space="preserve">The sponsor proposes to market </w:t>
      </w:r>
      <w:proofErr w:type="spellStart"/>
      <w:r w:rsidRPr="007D74A9">
        <w:t>Ogivri</w:t>
      </w:r>
      <w:proofErr w:type="spellEnd"/>
      <w:r w:rsidRPr="007D74A9">
        <w:t xml:space="preserve"> as 150 mg and 440 mg vials (Herceptin </w:t>
      </w:r>
      <w:proofErr w:type="gramStart"/>
      <w:r w:rsidRPr="007D74A9">
        <w:t>is only marketed</w:t>
      </w:r>
      <w:proofErr w:type="gramEnd"/>
      <w:r w:rsidRPr="007D74A9">
        <w:t xml:space="preserve"> in Australia in 60 mg and 150 mg vials). A </w:t>
      </w:r>
      <w:proofErr w:type="spellStart"/>
      <w:r w:rsidRPr="007D74A9">
        <w:t>multidos</w:t>
      </w:r>
      <w:r>
        <w:t>e</w:t>
      </w:r>
      <w:proofErr w:type="spellEnd"/>
      <w:r>
        <w:t xml:space="preserve"> 44</w:t>
      </w:r>
      <w:r w:rsidRPr="007D74A9">
        <w:t xml:space="preserve">0 mg vial of Herceptin </w:t>
      </w:r>
      <w:proofErr w:type="gramStart"/>
      <w:r w:rsidRPr="007D74A9">
        <w:t>has been marketed</w:t>
      </w:r>
      <w:proofErr w:type="gramEnd"/>
      <w:r w:rsidRPr="007D74A9">
        <w:t xml:space="preserve"> in the US for many years; </w:t>
      </w:r>
      <w:r>
        <w:t>and has not caused any problems.</w:t>
      </w:r>
    </w:p>
    <w:p w14:paraId="184A707D" w14:textId="77777777" w:rsidR="00D23139" w:rsidRDefault="00D23139" w:rsidP="00D23139">
      <w:pPr>
        <w:pStyle w:val="Heading4"/>
      </w:pPr>
      <w:r w:rsidRPr="00D23139">
        <w:t>Proposed action</w:t>
      </w:r>
    </w:p>
    <w:p w14:paraId="7ACA1C8F" w14:textId="77777777" w:rsidR="00BA7BDC" w:rsidRPr="00BA7BDC" w:rsidRDefault="00BA7BDC" w:rsidP="00BA7BDC">
      <w:r>
        <w:t xml:space="preserve">The Delegate had no reason to say, at this time, that the application for </w:t>
      </w:r>
      <w:proofErr w:type="spellStart"/>
      <w:r>
        <w:t>Ogivri</w:t>
      </w:r>
      <w:proofErr w:type="spellEnd"/>
      <w:r w:rsidRPr="00961042">
        <w:rPr>
          <w:color w:val="0070C0"/>
        </w:rPr>
        <w:t xml:space="preserve"> </w:t>
      </w:r>
      <w:proofErr w:type="gramStart"/>
      <w:r>
        <w:t>should not be approved</w:t>
      </w:r>
      <w:proofErr w:type="gramEnd"/>
      <w:r>
        <w:t xml:space="preserve"> for registration.</w:t>
      </w:r>
    </w:p>
    <w:p w14:paraId="36B6A026" w14:textId="4DC840D9" w:rsidR="008E7846" w:rsidRDefault="00BB4F3B" w:rsidP="008E7846">
      <w:pPr>
        <w:pStyle w:val="Heading4"/>
      </w:pPr>
      <w:r>
        <w:t>Advisory Committee c</w:t>
      </w:r>
      <w:r w:rsidR="008E7846">
        <w:t>onsiderations</w:t>
      </w:r>
      <w:r w:rsidR="00456765">
        <w:rPr>
          <w:rStyle w:val="FootnoteReference"/>
        </w:rPr>
        <w:footnoteReference w:id="11"/>
      </w:r>
    </w:p>
    <w:p w14:paraId="172A9192" w14:textId="77777777" w:rsidR="00456765" w:rsidRPr="00A322B3" w:rsidRDefault="00456765" w:rsidP="008E7846">
      <w:r>
        <w:rPr>
          <w:bCs/>
        </w:rPr>
        <w:t>The Delegate did not refer this application to the Advisory Committee on Prescription Medicines (ACM) for advice.</w:t>
      </w:r>
    </w:p>
    <w:p w14:paraId="571F579E" w14:textId="77777777" w:rsidR="008E7846" w:rsidRPr="002E238E" w:rsidRDefault="008E7846" w:rsidP="008E7846">
      <w:pPr>
        <w:pStyle w:val="Heading3"/>
      </w:pPr>
      <w:bookmarkStart w:id="50" w:name="_Toc247691532"/>
      <w:bookmarkStart w:id="51" w:name="_Toc314842516"/>
      <w:bookmarkStart w:id="52" w:name="_Toc35445590"/>
      <w:bookmarkEnd w:id="30"/>
      <w:bookmarkEnd w:id="48"/>
      <w:bookmarkEnd w:id="49"/>
      <w:r>
        <w:t>Outcome</w:t>
      </w:r>
      <w:bookmarkEnd w:id="50"/>
      <w:bookmarkEnd w:id="51"/>
      <w:bookmarkEnd w:id="52"/>
    </w:p>
    <w:p w14:paraId="68713079" w14:textId="6C81718C" w:rsidR="00D23139" w:rsidRPr="00D23139" w:rsidRDefault="00D23139" w:rsidP="00D23139">
      <w:bookmarkStart w:id="53" w:name="_Toc247691533"/>
      <w:bookmarkStart w:id="54" w:name="_Toc314842517"/>
      <w:r w:rsidRPr="00D23139">
        <w:t xml:space="preserve">Based on a review of quality, safety and efficacy, </w:t>
      </w:r>
      <w:r w:rsidR="00082F6B">
        <w:t xml:space="preserve">the </w:t>
      </w:r>
      <w:r w:rsidRPr="00D23139">
        <w:t xml:space="preserve">TGA approved the registration of </w:t>
      </w:r>
      <w:proofErr w:type="spellStart"/>
      <w:r w:rsidR="003A4F6E">
        <w:t>Ogivri</w:t>
      </w:r>
      <w:proofErr w:type="spellEnd"/>
      <w:r w:rsidR="003A4F6E">
        <w:t xml:space="preserve"> </w:t>
      </w:r>
      <w:proofErr w:type="spellStart"/>
      <w:r w:rsidR="003A4F6E">
        <w:t>trastuzumab</w:t>
      </w:r>
      <w:proofErr w:type="spellEnd"/>
      <w:r w:rsidR="00446231">
        <w:t xml:space="preserve"> 150 mg powder for injection vial; and 440 mg powder for injection</w:t>
      </w:r>
      <w:r w:rsidRPr="00D23139">
        <w:t xml:space="preserve"> </w:t>
      </w:r>
      <w:r w:rsidR="00446231">
        <w:t>vial with bacteriostatic water for injection</w:t>
      </w:r>
      <w:r w:rsidR="00550FE5">
        <w:t>,</w:t>
      </w:r>
      <w:r w:rsidR="00446231">
        <w:t xml:space="preserve"> </w:t>
      </w:r>
      <w:r w:rsidRPr="00D23139">
        <w:t xml:space="preserve">indicated </w:t>
      </w:r>
      <w:proofErr w:type="gramStart"/>
      <w:r w:rsidRPr="00D23139">
        <w:t>for</w:t>
      </w:r>
      <w:proofErr w:type="gramEnd"/>
      <w:r w:rsidRPr="00D23139">
        <w:t>:</w:t>
      </w:r>
    </w:p>
    <w:p w14:paraId="595D7742" w14:textId="77777777" w:rsidR="00446231" w:rsidRPr="003A4F6E" w:rsidRDefault="00446231" w:rsidP="003A4F6E">
      <w:pPr>
        <w:ind w:left="720"/>
        <w:rPr>
          <w:i/>
        </w:rPr>
      </w:pPr>
      <w:r w:rsidRPr="003A4F6E">
        <w:rPr>
          <w:i/>
        </w:rPr>
        <w:t>Early Breast Cancer</w:t>
      </w:r>
    </w:p>
    <w:p w14:paraId="71B50EFE" w14:textId="77777777" w:rsidR="00446231" w:rsidRPr="003A4F6E" w:rsidRDefault="00446231" w:rsidP="003A4F6E">
      <w:pPr>
        <w:ind w:left="720"/>
        <w:rPr>
          <w:i/>
        </w:rPr>
      </w:pPr>
      <w:proofErr w:type="spellStart"/>
      <w:r w:rsidRPr="003A4F6E">
        <w:rPr>
          <w:i/>
        </w:rPr>
        <w:t>O</w:t>
      </w:r>
      <w:r w:rsidR="009017D2" w:rsidRPr="003A4F6E">
        <w:rPr>
          <w:i/>
        </w:rPr>
        <w:t>givri</w:t>
      </w:r>
      <w:proofErr w:type="spellEnd"/>
      <w:r w:rsidRPr="003A4F6E">
        <w:rPr>
          <w:i/>
        </w:rPr>
        <w:t xml:space="preserve"> is indicated for the treatment of HER2-positive early breast cancer following surgery, and in association with chemotherapy and, if applicable, radiotherapy. </w:t>
      </w:r>
    </w:p>
    <w:p w14:paraId="4A0D1551" w14:textId="77777777" w:rsidR="00446231" w:rsidRPr="003A4F6E" w:rsidRDefault="00446231" w:rsidP="003A4F6E">
      <w:pPr>
        <w:ind w:left="720"/>
        <w:rPr>
          <w:i/>
        </w:rPr>
      </w:pPr>
      <w:r w:rsidRPr="003A4F6E">
        <w:rPr>
          <w:i/>
        </w:rPr>
        <w:t>Locally Advanced Breast Cancer</w:t>
      </w:r>
    </w:p>
    <w:p w14:paraId="72F7A5C1" w14:textId="77777777" w:rsidR="00446231" w:rsidRPr="003A4F6E" w:rsidRDefault="00446231" w:rsidP="003A4F6E">
      <w:pPr>
        <w:ind w:left="720"/>
        <w:rPr>
          <w:i/>
        </w:rPr>
      </w:pPr>
      <w:proofErr w:type="spellStart"/>
      <w:r w:rsidRPr="003A4F6E">
        <w:rPr>
          <w:i/>
        </w:rPr>
        <w:t>O</w:t>
      </w:r>
      <w:r w:rsidR="003A4F6E" w:rsidRPr="003A4F6E">
        <w:rPr>
          <w:i/>
        </w:rPr>
        <w:t>givri</w:t>
      </w:r>
      <w:proofErr w:type="spellEnd"/>
      <w:r w:rsidRPr="003A4F6E">
        <w:rPr>
          <w:i/>
        </w:rPr>
        <w:t xml:space="preserve"> </w:t>
      </w:r>
      <w:proofErr w:type="gramStart"/>
      <w:r w:rsidRPr="003A4F6E">
        <w:rPr>
          <w:i/>
        </w:rPr>
        <w:t>is indicated</w:t>
      </w:r>
      <w:proofErr w:type="gramEnd"/>
      <w:r w:rsidRPr="003A4F6E">
        <w:rPr>
          <w:i/>
        </w:rPr>
        <w:t xml:space="preserve"> for the treatment of HER2-positive locally advanced breast cancer in combination with </w:t>
      </w:r>
      <w:proofErr w:type="spellStart"/>
      <w:r w:rsidRPr="003A4F6E">
        <w:rPr>
          <w:i/>
        </w:rPr>
        <w:t>neoadjuvant</w:t>
      </w:r>
      <w:proofErr w:type="spellEnd"/>
      <w:r w:rsidRPr="003A4F6E">
        <w:rPr>
          <w:i/>
        </w:rPr>
        <w:t xml:space="preserve"> chemotherapy followed by adjuvant OGIVRI.  </w:t>
      </w:r>
    </w:p>
    <w:p w14:paraId="219EDB72" w14:textId="77777777" w:rsidR="00446231" w:rsidRPr="003A4F6E" w:rsidRDefault="001548D8" w:rsidP="003A4F6E">
      <w:pPr>
        <w:ind w:left="720"/>
        <w:rPr>
          <w:i/>
        </w:rPr>
      </w:pPr>
      <w:r w:rsidRPr="003A4F6E">
        <w:rPr>
          <w:i/>
        </w:rPr>
        <w:t>Metastatic Breast Cancer</w:t>
      </w:r>
    </w:p>
    <w:p w14:paraId="6655617B" w14:textId="77777777" w:rsidR="00446231" w:rsidRPr="003A4F6E" w:rsidRDefault="009017D2" w:rsidP="003A4F6E">
      <w:pPr>
        <w:ind w:left="720"/>
        <w:rPr>
          <w:i/>
        </w:rPr>
      </w:pPr>
      <w:proofErr w:type="spellStart"/>
      <w:r w:rsidRPr="003A4F6E">
        <w:rPr>
          <w:i/>
        </w:rPr>
        <w:lastRenderedPageBreak/>
        <w:t>Ogivri</w:t>
      </w:r>
      <w:proofErr w:type="spellEnd"/>
      <w:r w:rsidR="00446231" w:rsidRPr="003A4F6E">
        <w:rPr>
          <w:i/>
        </w:rPr>
        <w:t xml:space="preserve"> </w:t>
      </w:r>
      <w:proofErr w:type="gramStart"/>
      <w:r w:rsidR="00446231" w:rsidRPr="003A4F6E">
        <w:rPr>
          <w:i/>
        </w:rPr>
        <w:t>is indicated</w:t>
      </w:r>
      <w:proofErr w:type="gramEnd"/>
      <w:r w:rsidR="00446231" w:rsidRPr="003A4F6E">
        <w:rPr>
          <w:i/>
        </w:rPr>
        <w:t xml:space="preserve"> for the treatment of patients with metastatic breast cancer who have tumours that overexpress HER2:</w:t>
      </w:r>
    </w:p>
    <w:p w14:paraId="748986F2" w14:textId="77777777" w:rsidR="00446231" w:rsidRPr="003A4F6E" w:rsidRDefault="00446231" w:rsidP="003A4F6E">
      <w:pPr>
        <w:ind w:left="720"/>
        <w:rPr>
          <w:i/>
        </w:rPr>
      </w:pPr>
      <w:r w:rsidRPr="003A4F6E">
        <w:rPr>
          <w:i/>
        </w:rPr>
        <w:t xml:space="preserve">a) </w:t>
      </w:r>
      <w:proofErr w:type="gramStart"/>
      <w:r w:rsidRPr="003A4F6E">
        <w:rPr>
          <w:i/>
        </w:rPr>
        <w:t>as</w:t>
      </w:r>
      <w:proofErr w:type="gramEnd"/>
      <w:r w:rsidRPr="003A4F6E">
        <w:rPr>
          <w:i/>
        </w:rPr>
        <w:t xml:space="preserve"> monotherapy for the treatment of those patients who have received one or more chemotherapy regimen</w:t>
      </w:r>
      <w:r w:rsidR="001548D8" w:rsidRPr="003A4F6E">
        <w:rPr>
          <w:i/>
        </w:rPr>
        <w:t>s for their metastatic disease;</w:t>
      </w:r>
    </w:p>
    <w:p w14:paraId="5B0AD4E5" w14:textId="77777777" w:rsidR="00446231" w:rsidRPr="003A4F6E" w:rsidRDefault="00446231" w:rsidP="003A4F6E">
      <w:pPr>
        <w:ind w:left="720"/>
        <w:rPr>
          <w:i/>
        </w:rPr>
      </w:pPr>
      <w:r w:rsidRPr="003A4F6E">
        <w:rPr>
          <w:i/>
        </w:rPr>
        <w:t xml:space="preserve">b) </w:t>
      </w:r>
      <w:proofErr w:type="gramStart"/>
      <w:r w:rsidRPr="003A4F6E">
        <w:rPr>
          <w:i/>
        </w:rPr>
        <w:t>in</w:t>
      </w:r>
      <w:proofErr w:type="gramEnd"/>
      <w:r w:rsidRPr="003A4F6E">
        <w:rPr>
          <w:i/>
        </w:rPr>
        <w:t xml:space="preserve"> combination with </w:t>
      </w:r>
      <w:proofErr w:type="spellStart"/>
      <w:r w:rsidRPr="003A4F6E">
        <w:rPr>
          <w:i/>
        </w:rPr>
        <w:t>taxanes</w:t>
      </w:r>
      <w:proofErr w:type="spellEnd"/>
      <w:r w:rsidRPr="003A4F6E">
        <w:rPr>
          <w:i/>
        </w:rPr>
        <w:t xml:space="preserve"> for the treatment of those patients who have not received chemotherapy fo</w:t>
      </w:r>
      <w:r w:rsidR="001548D8" w:rsidRPr="003A4F6E">
        <w:rPr>
          <w:i/>
        </w:rPr>
        <w:t>r their metastatic disease; or</w:t>
      </w:r>
    </w:p>
    <w:p w14:paraId="49962D15" w14:textId="77777777" w:rsidR="00446231" w:rsidRPr="003A4F6E" w:rsidRDefault="00446231" w:rsidP="003A4F6E">
      <w:pPr>
        <w:ind w:left="720"/>
        <w:rPr>
          <w:i/>
        </w:rPr>
      </w:pPr>
      <w:r w:rsidRPr="003A4F6E">
        <w:rPr>
          <w:i/>
        </w:rPr>
        <w:t xml:space="preserve">c) </w:t>
      </w:r>
      <w:proofErr w:type="gramStart"/>
      <w:r w:rsidRPr="003A4F6E">
        <w:rPr>
          <w:i/>
        </w:rPr>
        <w:t>in</w:t>
      </w:r>
      <w:proofErr w:type="gramEnd"/>
      <w:r w:rsidRPr="003A4F6E">
        <w:rPr>
          <w:i/>
        </w:rPr>
        <w:t xml:space="preserve"> combination with an aromatase inhibitor for the treatment of post-menopausal patients with hormone-receptor positive metastatic bre</w:t>
      </w:r>
      <w:r w:rsidR="001548D8" w:rsidRPr="003A4F6E">
        <w:rPr>
          <w:i/>
        </w:rPr>
        <w:t>ast cancer.</w:t>
      </w:r>
    </w:p>
    <w:p w14:paraId="214C5AF1" w14:textId="77777777" w:rsidR="00446231" w:rsidRPr="003A4F6E" w:rsidRDefault="001548D8" w:rsidP="003A4F6E">
      <w:pPr>
        <w:ind w:left="720"/>
        <w:rPr>
          <w:i/>
        </w:rPr>
      </w:pPr>
      <w:r w:rsidRPr="003A4F6E">
        <w:rPr>
          <w:i/>
        </w:rPr>
        <w:t>Advanced Gastric Cancer</w:t>
      </w:r>
    </w:p>
    <w:p w14:paraId="0949A100" w14:textId="77777777" w:rsidR="00D23139" w:rsidRPr="001548D8" w:rsidRDefault="009017D2" w:rsidP="003A4F6E">
      <w:pPr>
        <w:ind w:left="720"/>
        <w:rPr>
          <w:i/>
        </w:rPr>
      </w:pPr>
      <w:proofErr w:type="spellStart"/>
      <w:r w:rsidRPr="003A4F6E">
        <w:rPr>
          <w:i/>
        </w:rPr>
        <w:t>Ogivri</w:t>
      </w:r>
      <w:proofErr w:type="spellEnd"/>
      <w:r w:rsidR="00446231" w:rsidRPr="003A4F6E">
        <w:rPr>
          <w:i/>
        </w:rPr>
        <w:t xml:space="preserve"> is indicated in combination with cisplatin and either </w:t>
      </w:r>
      <w:proofErr w:type="spellStart"/>
      <w:r w:rsidR="00446231" w:rsidRPr="003A4F6E">
        <w:rPr>
          <w:i/>
        </w:rPr>
        <w:t>capecitabine</w:t>
      </w:r>
      <w:proofErr w:type="spellEnd"/>
      <w:r w:rsidR="00446231" w:rsidRPr="003A4F6E">
        <w:rPr>
          <w:i/>
        </w:rPr>
        <w:t xml:space="preserve"> or 5-FU for the treatment of patients with HER2</w:t>
      </w:r>
      <w:r w:rsidR="00446231" w:rsidRPr="001548D8">
        <w:rPr>
          <w:i/>
        </w:rPr>
        <w:t xml:space="preserve"> positive advanced adenocarcinoma of the stomach or gastro-oesophageal</w:t>
      </w:r>
      <w:r w:rsidR="001548D8">
        <w:rPr>
          <w:i/>
        </w:rPr>
        <w:t xml:space="preserve"> junction who have not received prior anti-cancer treatment for their metastatic disease.</w:t>
      </w:r>
    </w:p>
    <w:p w14:paraId="68B2417B" w14:textId="77777777" w:rsidR="00D23139" w:rsidRPr="00D23139" w:rsidRDefault="00D23139" w:rsidP="00D23139">
      <w:pPr>
        <w:pStyle w:val="Heading4"/>
      </w:pPr>
      <w:r w:rsidRPr="00D23139">
        <w:t>Specific conditions of registration applying to these goods</w:t>
      </w:r>
    </w:p>
    <w:p w14:paraId="19870CA3" w14:textId="64EF46A8" w:rsidR="001548D8" w:rsidRPr="001548D8" w:rsidRDefault="001548D8" w:rsidP="00B77422">
      <w:pPr>
        <w:pStyle w:val="ListBullet"/>
        <w:ind w:left="851"/>
      </w:pPr>
      <w:r w:rsidRPr="001548D8">
        <w:t xml:space="preserve">Once approved by the EMA, </w:t>
      </w:r>
      <w:r w:rsidRPr="00D427E6">
        <w:t>You</w:t>
      </w:r>
      <w:r w:rsidRPr="001548D8">
        <w:t xml:space="preserve"> </w:t>
      </w:r>
      <w:r w:rsidR="00F403D4">
        <w:t>[</w:t>
      </w:r>
      <w:r w:rsidR="00E455D7">
        <w:t>the s</w:t>
      </w:r>
      <w:r w:rsidR="00BE2CFC">
        <w:t>ponsor</w:t>
      </w:r>
      <w:r w:rsidR="00F403D4">
        <w:t>]</w:t>
      </w:r>
      <w:r w:rsidR="00BE2CFC" w:rsidRPr="001548D8">
        <w:t xml:space="preserve"> </w:t>
      </w:r>
      <w:r w:rsidRPr="001548D8">
        <w:t xml:space="preserve">must update the Australian PI in accordance with the approved </w:t>
      </w:r>
      <w:proofErr w:type="spellStart"/>
      <w:r w:rsidRPr="001548D8">
        <w:t>SmPC</w:t>
      </w:r>
      <w:proofErr w:type="spellEnd"/>
      <w:r w:rsidRPr="001548D8">
        <w:t xml:space="preserve"> as a minor variation application. </w:t>
      </w:r>
      <w:r w:rsidRPr="004F26AA">
        <w:t>You</w:t>
      </w:r>
      <w:r w:rsidRPr="001548D8">
        <w:t xml:space="preserve"> </w:t>
      </w:r>
      <w:r w:rsidR="00F403D4">
        <w:t>[</w:t>
      </w:r>
      <w:r w:rsidR="00E455D7">
        <w:t>the s</w:t>
      </w:r>
      <w:r w:rsidR="00BE2CFC">
        <w:t>ponsor</w:t>
      </w:r>
      <w:r w:rsidR="00E455D7">
        <w:t>]</w:t>
      </w:r>
      <w:r w:rsidR="00BE2CFC" w:rsidRPr="001548D8">
        <w:t xml:space="preserve"> </w:t>
      </w:r>
      <w:r w:rsidRPr="001548D8">
        <w:t xml:space="preserve">must also supply a copy of the approved EU </w:t>
      </w:r>
      <w:proofErr w:type="spellStart"/>
      <w:r w:rsidRPr="001548D8">
        <w:t>SmPC</w:t>
      </w:r>
      <w:proofErr w:type="spellEnd"/>
      <w:r w:rsidRPr="001548D8">
        <w:t xml:space="preserve"> as evidence to support thi</w:t>
      </w:r>
      <w:r w:rsidR="00A54E24">
        <w:t>s minor variation application.</w:t>
      </w:r>
    </w:p>
    <w:p w14:paraId="6CFC93D7" w14:textId="20899F90" w:rsidR="001548D8" w:rsidRPr="001548D8" w:rsidRDefault="001548D8" w:rsidP="001548D8">
      <w:pPr>
        <w:pStyle w:val="ListBullet"/>
      </w:pPr>
      <w:r w:rsidRPr="001548D8">
        <w:t>The OGIVRI EU-Risk Management Plan (RMP) (version 3.0, dated 31-Mar-2017, data lock point date 07-Mar-2017), with Australian Specific Annex (version 1.1, dated December 2017), included with submission PM-2017-01087-1-4, and any subsequent revisions, as agreed with the TGA will</w:t>
      </w:r>
      <w:r w:rsidR="00A54E24">
        <w:t xml:space="preserve"> be implemented in Australia.</w:t>
      </w:r>
    </w:p>
    <w:p w14:paraId="30C09C03" w14:textId="77777777" w:rsidR="001548D8" w:rsidRPr="001548D8" w:rsidRDefault="001548D8" w:rsidP="001548D8">
      <w:pPr>
        <w:ind w:left="360"/>
      </w:pPr>
      <w:r w:rsidRPr="001548D8">
        <w:t>An obligatory component of risk management plans is routine pharmacovigilance. Routine pharmacovigilance includes the submission of Periodic</w:t>
      </w:r>
      <w:r>
        <w:t xml:space="preserve"> Safety Update Reports (PSURs).</w:t>
      </w:r>
    </w:p>
    <w:p w14:paraId="682DF122" w14:textId="77777777" w:rsidR="001548D8" w:rsidRPr="001548D8" w:rsidRDefault="001548D8" w:rsidP="001548D8">
      <w:pPr>
        <w:pStyle w:val="ListBullet"/>
      </w:pPr>
      <w:r w:rsidRPr="001548D8">
        <w:t xml:space="preserve">Batch release testing &amp; compliance with </w:t>
      </w:r>
      <w:r>
        <w:t>Certified Product Details (CPD)</w:t>
      </w:r>
    </w:p>
    <w:p w14:paraId="4588A195" w14:textId="412933B1" w:rsidR="001548D8" w:rsidRPr="001548D8" w:rsidRDefault="001548D8" w:rsidP="00B77422">
      <w:pPr>
        <w:pStyle w:val="Numberbullet3"/>
        <w:ind w:left="851"/>
      </w:pPr>
      <w:proofErr w:type="gramStart"/>
      <w:r w:rsidRPr="001548D8">
        <w:t>It is a condition of registration that all batches of OGIVRI (</w:t>
      </w:r>
      <w:proofErr w:type="spellStart"/>
      <w:r w:rsidRPr="001548D8">
        <w:t>trastuzumab</w:t>
      </w:r>
      <w:proofErr w:type="spellEnd"/>
      <w:r w:rsidRPr="001548D8">
        <w:t>) imported into/manufactured in Australia must comply with the product details and specifications approved during evaluation and detailed in the Ce</w:t>
      </w:r>
      <w:r>
        <w:t>rtified Product Details (CPD).</w:t>
      </w:r>
      <w:proofErr w:type="gramEnd"/>
    </w:p>
    <w:p w14:paraId="25ABB11D" w14:textId="00BF7142" w:rsidR="001548D8" w:rsidRDefault="001548D8" w:rsidP="00B77422">
      <w:pPr>
        <w:pStyle w:val="Numberbullet3"/>
        <w:ind w:left="851"/>
      </w:pPr>
      <w:r w:rsidRPr="001548D8">
        <w:t>It is a condition of registration that each batch of OGIVRI (</w:t>
      </w:r>
      <w:proofErr w:type="spellStart"/>
      <w:r w:rsidRPr="001548D8">
        <w:t>trastuzumab</w:t>
      </w:r>
      <w:proofErr w:type="spellEnd"/>
      <w:r w:rsidRPr="001548D8">
        <w:t xml:space="preserve">) imported into/manufactured in Australia </w:t>
      </w:r>
      <w:proofErr w:type="gramStart"/>
      <w:r w:rsidRPr="001548D8">
        <w:t>is not released</w:t>
      </w:r>
      <w:proofErr w:type="gramEnd"/>
      <w:r w:rsidRPr="001548D8">
        <w:t xml:space="preserve"> for sale until samples and/or the manufacturer’s release data have been assessed and endorsed for release by the TGA Laboratories Branch. Outcomes of laboratory testing are published biannually in the TGA Database of Laboratory Testing Results </w:t>
      </w:r>
      <w:hyperlink r:id="rId29" w:history="1">
        <w:r w:rsidR="00B77422">
          <w:rPr>
            <w:rStyle w:val="Hyperlink"/>
          </w:rPr>
          <w:t>http://www.tga.gov.au/ws-labs-index</w:t>
        </w:r>
      </w:hyperlink>
      <w:r w:rsidRPr="001548D8">
        <w:t>.</w:t>
      </w:r>
    </w:p>
    <w:p w14:paraId="46B67329" w14:textId="6E444C36" w:rsidR="001548D8" w:rsidRPr="001548D8" w:rsidRDefault="001548D8" w:rsidP="001548D8">
      <w:pPr>
        <w:pStyle w:val="ListBullet"/>
      </w:pPr>
      <w:r w:rsidRPr="001548D8">
        <w:t xml:space="preserve">If any reports emerge globally of OGIVRI administered to patients with HFI you </w:t>
      </w:r>
      <w:r w:rsidR="00E455D7">
        <w:t>[the s</w:t>
      </w:r>
      <w:r w:rsidR="00BE2CFC">
        <w:t>ponsor</w:t>
      </w:r>
      <w:r w:rsidR="00E455D7">
        <w:t>]</w:t>
      </w:r>
      <w:r w:rsidR="00BE2CFC" w:rsidRPr="001548D8">
        <w:t xml:space="preserve"> </w:t>
      </w:r>
      <w:r w:rsidRPr="001548D8">
        <w:t>must notify the TGA within 72 hours of receiving the notification and perform a root cause analysis as to why this occurred.</w:t>
      </w:r>
    </w:p>
    <w:p w14:paraId="606CCCA0" w14:textId="77777777" w:rsidR="008E7846" w:rsidRDefault="00A80B5B" w:rsidP="001548D8">
      <w:pPr>
        <w:pStyle w:val="Heading2"/>
      </w:pPr>
      <w:bookmarkStart w:id="55" w:name="_Toc35445591"/>
      <w:r>
        <w:t xml:space="preserve">Attachment 1. </w:t>
      </w:r>
      <w:r w:rsidR="008E7846">
        <w:t xml:space="preserve">Product </w:t>
      </w:r>
      <w:r w:rsidR="00AA0ED0">
        <w:t>I</w:t>
      </w:r>
      <w:r w:rsidR="008E7846">
        <w:t>nformation</w:t>
      </w:r>
      <w:bookmarkEnd w:id="53"/>
      <w:bookmarkEnd w:id="54"/>
      <w:bookmarkEnd w:id="55"/>
    </w:p>
    <w:p w14:paraId="48F30312" w14:textId="77777777" w:rsidR="00C80137" w:rsidRDefault="006136D7" w:rsidP="00C80137">
      <w:pPr>
        <w:rPr>
          <w:color w:val="000000"/>
          <w:lang w:eastAsia="en-AU"/>
        </w:rPr>
      </w:pPr>
      <w:r w:rsidRPr="002B3624">
        <w:t xml:space="preserve">The </w:t>
      </w:r>
      <w:r>
        <w:t>PI</w:t>
      </w:r>
      <w:r w:rsidRPr="002B3624">
        <w:t xml:space="preserve"> for </w:t>
      </w:r>
      <w:proofErr w:type="spellStart"/>
      <w:r w:rsidR="00C40F6D">
        <w:t>Ogivri</w:t>
      </w:r>
      <w:proofErr w:type="spellEnd"/>
      <w:r w:rsidRPr="00446231">
        <w:t xml:space="preserve"> approved with the </w:t>
      </w:r>
      <w:proofErr w:type="gramStart"/>
      <w:r w:rsidRPr="00446231">
        <w:t xml:space="preserve">submission which is described in this </w:t>
      </w:r>
      <w:proofErr w:type="spellStart"/>
      <w:r w:rsidRPr="00446231">
        <w:t>AusPAR</w:t>
      </w:r>
      <w:proofErr w:type="spellEnd"/>
      <w:proofErr w:type="gramEnd"/>
      <w:r w:rsidRPr="00446231">
        <w:t xml:space="preserve"> is at Attachment 1. For the most</w:t>
      </w:r>
      <w:r w:rsidRPr="002B3624">
        <w:t xml:space="preserve"> recent </w:t>
      </w:r>
      <w:r>
        <w:t>PI,</w:t>
      </w:r>
      <w:r w:rsidRPr="002B3624">
        <w:t xml:space="preserve"> please refer to the </w:t>
      </w:r>
      <w:r w:rsidRPr="007C6B9B">
        <w:t xml:space="preserve">TGA website at </w:t>
      </w:r>
      <w:r w:rsidR="007C6B9B" w:rsidRPr="00446231">
        <w:t>&lt;</w:t>
      </w:r>
      <w:hyperlink r:id="rId30" w:history="1">
        <w:r w:rsidR="007C6B9B" w:rsidRPr="00446231">
          <w:rPr>
            <w:rStyle w:val="Hyperlink"/>
          </w:rPr>
          <w:t>https://www.tga.gov.au/product-information-pi</w:t>
        </w:r>
      </w:hyperlink>
      <w:r w:rsidR="007C6B9B" w:rsidRPr="00446231">
        <w:t>&gt;.</w:t>
      </w:r>
    </w:p>
    <w:p w14:paraId="2DC9A76D" w14:textId="77777777" w:rsidR="00C80137" w:rsidRPr="001D043B" w:rsidRDefault="008E7846" w:rsidP="009017D2">
      <w:pPr>
        <w:autoSpaceDE w:val="0"/>
        <w:autoSpaceDN w:val="0"/>
        <w:adjustRightInd w:val="0"/>
        <w:spacing w:after="0"/>
        <w:rPr>
          <w:lang w:eastAsia="ja-JP"/>
        </w:rPr>
        <w:sectPr w:rsidR="00C80137" w:rsidRPr="001D043B" w:rsidSect="00B452CE">
          <w:headerReference w:type="even" r:id="rId31"/>
          <w:headerReference w:type="default" r:id="rId32"/>
          <w:headerReference w:type="first" r:id="rId33"/>
          <w:footerReference w:type="first" r:id="rId34"/>
          <w:pgSz w:w="11906" w:h="16838" w:code="9"/>
          <w:pgMar w:top="834" w:right="1701" w:bottom="1191" w:left="1701" w:header="907" w:footer="216" w:gutter="0"/>
          <w:cols w:space="708"/>
          <w:docGrid w:linePitch="360"/>
        </w:sectPr>
      </w:pPr>
      <w:r w:rsidRPr="00C80137">
        <w:rPr>
          <w:b/>
        </w:rP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3FDC721" w14:textId="77777777" w:rsidTr="00A05FA4">
        <w:trPr>
          <w:trHeight w:hRule="exact" w:val="704"/>
        </w:trPr>
        <w:tc>
          <w:tcPr>
            <w:tcW w:w="9175" w:type="dxa"/>
          </w:tcPr>
          <w:p w14:paraId="2C28CAEE" w14:textId="77777777" w:rsidR="001C32CD" w:rsidRPr="00487162" w:rsidRDefault="001C32CD" w:rsidP="00A05FA4">
            <w:pPr>
              <w:pStyle w:val="TGASignoff"/>
            </w:pPr>
            <w:r w:rsidRPr="00487162">
              <w:lastRenderedPageBreak/>
              <w:t>Therapeutic Goods Administration</w:t>
            </w:r>
          </w:p>
        </w:tc>
      </w:tr>
      <w:tr w:rsidR="001C32CD" w:rsidRPr="004C239D" w14:paraId="1D085510" w14:textId="77777777" w:rsidTr="00A05FA4">
        <w:trPr>
          <w:trHeight w:val="1221"/>
        </w:trPr>
        <w:tc>
          <w:tcPr>
            <w:tcW w:w="9175" w:type="dxa"/>
            <w:tcMar>
              <w:top w:w="28" w:type="dxa"/>
            </w:tcMar>
          </w:tcPr>
          <w:p w14:paraId="29CD1F72" w14:textId="77777777" w:rsidR="001C32CD" w:rsidRPr="00487162" w:rsidRDefault="001C32CD" w:rsidP="00A05FA4">
            <w:pPr>
              <w:pStyle w:val="Address"/>
            </w:pPr>
            <w:r w:rsidRPr="00487162">
              <w:t>PO Box 100 Woden ACT 2606 Australia</w:t>
            </w:r>
          </w:p>
          <w:p w14:paraId="3D3C25D1" w14:textId="77777777" w:rsidR="001C32CD" w:rsidRPr="00487162" w:rsidRDefault="001C32CD" w:rsidP="00A05FA4">
            <w:pPr>
              <w:pStyle w:val="Address"/>
            </w:pPr>
            <w:r w:rsidRPr="00487162">
              <w:t xml:space="preserve">Email: </w:t>
            </w:r>
            <w:hyperlink r:id="rId35" w:history="1">
              <w:r w:rsidRPr="004C239D">
                <w:rPr>
                  <w:rStyle w:val="Hyperlink"/>
                </w:rPr>
                <w:t>info@tga.gov.au</w:t>
              </w:r>
            </w:hyperlink>
            <w:r w:rsidRPr="00487162">
              <w:t xml:space="preserve">  Phone: 1800 020 653  Fax: 02 6232 8605</w:t>
            </w:r>
          </w:p>
          <w:p w14:paraId="47838EC1" w14:textId="77777777" w:rsidR="001C32CD" w:rsidRPr="004C239D" w:rsidRDefault="003636C5" w:rsidP="00A05FA4">
            <w:pPr>
              <w:pStyle w:val="Address"/>
              <w:spacing w:line="260" w:lineRule="atLeast"/>
              <w:rPr>
                <w:b/>
                <w:color w:val="0000FF"/>
                <w:u w:val="single"/>
              </w:rPr>
            </w:pPr>
            <w:hyperlink r:id="rId36" w:history="1">
              <w:r w:rsidR="007C6B9B" w:rsidRPr="007C6B9B">
                <w:rPr>
                  <w:rStyle w:val="Hyperlink"/>
                  <w:b/>
                </w:rPr>
                <w:t>https://www.tga.gov.au</w:t>
              </w:r>
            </w:hyperlink>
          </w:p>
        </w:tc>
      </w:tr>
    </w:tbl>
    <w:p w14:paraId="63B3FD35" w14:textId="77777777" w:rsidR="00774E1D" w:rsidRPr="008A5E0B" w:rsidRDefault="00774E1D" w:rsidP="004C239D"/>
    <w:sectPr w:rsidR="00774E1D" w:rsidRPr="008A5E0B" w:rsidSect="001C32CD">
      <w:headerReference w:type="even" r:id="rId37"/>
      <w:headerReference w:type="default" r:id="rId38"/>
      <w:footerReference w:type="default" r:id="rId39"/>
      <w:headerReference w:type="first" r:id="rId40"/>
      <w:footerReference w:type="first" r:id="rId41"/>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BE8C7" w16cid:durableId="21FE8272"/>
  <w16cid:commentId w16cid:paraId="111C01F0" w16cid:durableId="21FE82D4"/>
  <w16cid:commentId w16cid:paraId="6BB285D1" w16cid:durableId="21FE82E5"/>
  <w16cid:commentId w16cid:paraId="092E5A5F" w16cid:durableId="21FE831B"/>
  <w16cid:commentId w16cid:paraId="178D545E" w16cid:durableId="21FE89A3"/>
  <w16cid:commentId w16cid:paraId="2B7C6FED" w16cid:durableId="21FE89B9"/>
  <w16cid:commentId w16cid:paraId="3E462106" w16cid:durableId="21FE89CA"/>
  <w16cid:commentId w16cid:paraId="1DB1E958" w16cid:durableId="21FE8E58"/>
  <w16cid:commentId w16cid:paraId="3F809DA1" w16cid:durableId="21FE8F23"/>
  <w16cid:commentId w16cid:paraId="355E1AD1" w16cid:durableId="21FE9291"/>
  <w16cid:commentId w16cid:paraId="6F6EFBC2" w16cid:durableId="21FE92B8"/>
  <w16cid:commentId w16cid:paraId="026CB65A" w16cid:durableId="21FE92E4"/>
  <w16cid:commentId w16cid:paraId="4AF4A035" w16cid:durableId="21FE97B9"/>
  <w16cid:commentId w16cid:paraId="705C9111" w16cid:durableId="21FE9827"/>
  <w16cid:commentId w16cid:paraId="5F7EB82C" w16cid:durableId="21FFA5A7"/>
  <w16cid:commentId w16cid:paraId="12EA0E6A" w16cid:durableId="21FE98B8"/>
  <w16cid:commentId w16cid:paraId="53F07670" w16cid:durableId="21FE98C9"/>
  <w16cid:commentId w16cid:paraId="59AAE52D" w16cid:durableId="21FE99C7"/>
  <w16cid:commentId w16cid:paraId="3B13761D" w16cid:durableId="21FE9CCA"/>
  <w16cid:commentId w16cid:paraId="5B4DC924" w16cid:durableId="21FE9CE5"/>
  <w16cid:commentId w16cid:paraId="64CDFD9D" w16cid:durableId="21FE9DAA"/>
  <w16cid:commentId w16cid:paraId="215311F7" w16cid:durableId="21FE9F1C"/>
  <w16cid:commentId w16cid:paraId="17F3926F" w16cid:durableId="21FE9F0E"/>
  <w16cid:commentId w16cid:paraId="49BB9938" w16cid:durableId="21FE9F8A"/>
  <w16cid:commentId w16cid:paraId="745D50DF" w16cid:durableId="21FE9FA2"/>
  <w16cid:commentId w16cid:paraId="41588C75" w16cid:durableId="21FE9F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23098" w14:textId="77777777" w:rsidR="005B305D" w:rsidRDefault="005B305D" w:rsidP="00C40A36">
      <w:pPr>
        <w:spacing w:after="0"/>
      </w:pPr>
      <w:r>
        <w:separator/>
      </w:r>
    </w:p>
  </w:endnote>
  <w:endnote w:type="continuationSeparator" w:id="0">
    <w:p w14:paraId="27233B05" w14:textId="77777777" w:rsidR="005B305D" w:rsidRDefault="005B305D" w:rsidP="00C40A36">
      <w:pPr>
        <w:spacing w:after="0"/>
      </w:pPr>
      <w:r>
        <w:continuationSeparator/>
      </w:r>
    </w:p>
  </w:endnote>
  <w:endnote w:type="continuationNotice" w:id="1">
    <w:p w14:paraId="32A0CDC3" w14:textId="77777777" w:rsidR="005B305D" w:rsidRDefault="005B30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MS Mincho">
    <w:altName w:val="Yu Gothic UI"/>
    <w:panose1 w:val="02020609040205080304"/>
    <w:charset w:val="80"/>
    <w:family w:val="modern"/>
    <w:pitch w:val="fixed"/>
    <w:sig w:usb0="A00002BF" w:usb1="68C7FCFB" w:usb2="00000010" w:usb3="00000000" w:csb0="0002009F" w:csb1="00000000"/>
  </w:font>
  <w:font w:name="†p˜øwcÊ">
    <w:altName w:val="Cambria"/>
    <w:panose1 w:val="00000000000000000000"/>
    <w:charset w:val="4D"/>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pıøwcË">
    <w:altName w:val="Cambria"/>
    <w:panose1 w:val="00000000000000000000"/>
    <w:charset w:val="4D"/>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F1FC" w14:textId="77777777" w:rsidR="003636C5" w:rsidRDefault="00363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5B305D" w:rsidRPr="00487162" w14:paraId="704FBA57" w14:textId="77777777" w:rsidTr="00FE57E9">
      <w:trPr>
        <w:trHeight w:val="269"/>
      </w:trPr>
      <w:tc>
        <w:tcPr>
          <w:tcW w:w="7655" w:type="dxa"/>
          <w:tcMar>
            <w:top w:w="142" w:type="dxa"/>
            <w:bottom w:w="0" w:type="dxa"/>
          </w:tcMar>
        </w:tcPr>
        <w:p w14:paraId="708CDB25" w14:textId="117FA740" w:rsidR="005B305D" w:rsidRPr="00487162" w:rsidRDefault="005B305D" w:rsidP="000B1082">
          <w:pPr>
            <w:pStyle w:val="Footer"/>
          </w:pPr>
          <w:proofErr w:type="spellStart"/>
          <w:r w:rsidRPr="00487162">
            <w:t>AusPA</w:t>
          </w:r>
          <w:r>
            <w:t>R</w:t>
          </w:r>
          <w:proofErr w:type="spellEnd"/>
          <w:r>
            <w:t xml:space="preserve"> </w:t>
          </w:r>
          <w:r w:rsidRPr="000B1082">
            <w:t xml:space="preserve">OGIVRI - </w:t>
          </w:r>
          <w:proofErr w:type="spellStart"/>
          <w:r w:rsidRPr="000B1082">
            <w:t>Trastuzumab</w:t>
          </w:r>
          <w:proofErr w:type="spellEnd"/>
          <w:r w:rsidRPr="000B1082">
            <w:t xml:space="preserve"> - </w:t>
          </w:r>
          <w:proofErr w:type="spellStart"/>
          <w:r w:rsidRPr="000B1082">
            <w:t>Alphapharm</w:t>
          </w:r>
          <w:proofErr w:type="spellEnd"/>
          <w:r w:rsidRPr="000B1082">
            <w:t xml:space="preserve"> Pty Ltd - PM-2017-01084-1-4 </w:t>
          </w:r>
          <w:r w:rsidR="003636C5" w:rsidRPr="003636C5">
            <w:t>FINAL 18 March 2020</w:t>
          </w:r>
          <w:bookmarkStart w:id="0" w:name="_GoBack"/>
          <w:bookmarkEnd w:id="0"/>
        </w:p>
      </w:tc>
      <w:tc>
        <w:tcPr>
          <w:tcW w:w="1206" w:type="dxa"/>
          <w:tcMar>
            <w:top w:w="142" w:type="dxa"/>
            <w:bottom w:w="0" w:type="dxa"/>
          </w:tcMar>
        </w:tcPr>
        <w:p w14:paraId="66C00A15" w14:textId="4058A127" w:rsidR="005B305D" w:rsidRPr="00487162" w:rsidRDefault="005B305D" w:rsidP="00DB750B">
          <w:pPr>
            <w:pStyle w:val="Footer"/>
            <w:jc w:val="right"/>
          </w:pPr>
          <w:r w:rsidRPr="00487162">
            <w:t xml:space="preserve">Page </w:t>
          </w:r>
          <w:r>
            <w:fldChar w:fldCharType="begin"/>
          </w:r>
          <w:r>
            <w:instrText xml:space="preserve"> PAGE  \* Arabic </w:instrText>
          </w:r>
          <w:r>
            <w:fldChar w:fldCharType="separate"/>
          </w:r>
          <w:r w:rsidR="003636C5">
            <w:rPr>
              <w:noProof/>
            </w:rPr>
            <w:t>2</w:t>
          </w:r>
          <w:r>
            <w:fldChar w:fldCharType="end"/>
          </w:r>
          <w:r w:rsidRPr="00487162">
            <w:t xml:space="preserve"> of </w:t>
          </w:r>
          <w:r>
            <w:fldChar w:fldCharType="begin"/>
          </w:r>
          <w:r>
            <w:instrText>NUMPAGES  \* Arabic</w:instrText>
          </w:r>
          <w:r>
            <w:fldChar w:fldCharType="separate"/>
          </w:r>
          <w:r w:rsidR="003636C5">
            <w:rPr>
              <w:noProof/>
            </w:rPr>
            <w:t>30</w:t>
          </w:r>
          <w:r>
            <w:fldChar w:fldCharType="end"/>
          </w:r>
        </w:p>
      </w:tc>
    </w:tr>
  </w:tbl>
  <w:p w14:paraId="7B728BF3" w14:textId="77777777" w:rsidR="005B305D" w:rsidRDefault="005B305D"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9C542" w14:textId="77777777" w:rsidR="003636C5" w:rsidRDefault="003636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B305D" w:rsidRPr="00487162" w14:paraId="05A0DEDC" w14:textId="77777777" w:rsidTr="00E45619">
      <w:trPr>
        <w:trHeight w:val="269"/>
      </w:trPr>
      <w:tc>
        <w:tcPr>
          <w:tcW w:w="4519" w:type="dxa"/>
          <w:tcBorders>
            <w:top w:val="single" w:sz="4" w:space="0" w:color="auto"/>
          </w:tcBorders>
          <w:tcMar>
            <w:top w:w="142" w:type="dxa"/>
            <w:bottom w:w="0" w:type="dxa"/>
          </w:tcMar>
        </w:tcPr>
        <w:p w14:paraId="4172C789" w14:textId="77777777" w:rsidR="005B305D" w:rsidRPr="00487162" w:rsidRDefault="005B305D" w:rsidP="00FE1DEE">
          <w:pPr>
            <w:pStyle w:val="Footer"/>
          </w:pPr>
          <w:r w:rsidRPr="00487162">
            <w:t>Document title, Part #, Section # - Section title</w:t>
          </w:r>
        </w:p>
        <w:p w14:paraId="6B5DABA2" w14:textId="77777777" w:rsidR="005B305D" w:rsidRPr="00487162" w:rsidRDefault="005B305D" w:rsidP="00FE1DEE">
          <w:pPr>
            <w:pStyle w:val="Footer"/>
          </w:pPr>
          <w:r w:rsidRPr="00487162">
            <w:t>V1.0 October 2010</w:t>
          </w:r>
        </w:p>
      </w:tc>
      <w:tc>
        <w:tcPr>
          <w:tcW w:w="4342" w:type="dxa"/>
          <w:tcBorders>
            <w:top w:val="single" w:sz="4" w:space="0" w:color="auto"/>
          </w:tcBorders>
          <w:tcMar>
            <w:top w:w="142" w:type="dxa"/>
            <w:bottom w:w="0" w:type="dxa"/>
          </w:tcMar>
        </w:tcPr>
        <w:p w14:paraId="038E5007" w14:textId="3BCED60D" w:rsidR="005B305D" w:rsidRPr="00487162" w:rsidRDefault="005B305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2</w:t>
          </w:r>
          <w:r>
            <w:fldChar w:fldCharType="end"/>
          </w:r>
        </w:p>
      </w:tc>
    </w:tr>
  </w:tbl>
  <w:p w14:paraId="079247E3" w14:textId="77777777" w:rsidR="005B305D" w:rsidRDefault="005B30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28797" w14:textId="77777777" w:rsidR="005B305D" w:rsidRPr="001C32CD" w:rsidRDefault="005B305D"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B305D" w14:paraId="26BFD991" w14:textId="77777777" w:rsidTr="0010601F">
      <w:trPr>
        <w:trHeight w:val="108"/>
      </w:trPr>
      <w:tc>
        <w:tcPr>
          <w:tcW w:w="8875" w:type="dxa"/>
          <w:gridSpan w:val="2"/>
          <w:tcBorders>
            <w:bottom w:val="single" w:sz="4" w:space="0" w:color="auto"/>
          </w:tcBorders>
          <w:tcMar>
            <w:right w:w="284" w:type="dxa"/>
          </w:tcMar>
        </w:tcPr>
        <w:p w14:paraId="7995B1CC" w14:textId="77777777" w:rsidR="005B305D" w:rsidRDefault="005B305D" w:rsidP="006E08B3">
          <w:pPr>
            <w:pStyle w:val="Heading3"/>
          </w:pPr>
          <w:r>
            <w:t>Copyright</w:t>
          </w:r>
        </w:p>
        <w:p w14:paraId="7ED2D57E" w14:textId="77777777" w:rsidR="005B305D" w:rsidRDefault="005B305D" w:rsidP="006E08B3">
          <w:r>
            <w:rPr>
              <w:rFonts w:cs="Arial"/>
            </w:rPr>
            <w:t>©</w:t>
          </w:r>
          <w:r>
            <w:t xml:space="preserve"> Commonwealth of Australia [add year]</w:t>
          </w:r>
        </w:p>
        <w:p w14:paraId="795542AC" w14:textId="77777777" w:rsidR="005B305D" w:rsidRDefault="005B305D" w:rsidP="006E08B3"/>
        <w:p w14:paraId="56EBC315" w14:textId="77777777" w:rsidR="005B305D" w:rsidRDefault="005B305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DA7ED8C" w14:textId="77777777" w:rsidR="005B305D" w:rsidRDefault="005B305D" w:rsidP="006E08B3"/>
        <w:p w14:paraId="1E50E370" w14:textId="77777777" w:rsidR="005B305D" w:rsidRDefault="005B305D" w:rsidP="006E08B3">
          <w:pPr>
            <w:pStyle w:val="Heading3"/>
          </w:pPr>
          <w:r>
            <w:t>Confidentiality</w:t>
          </w:r>
        </w:p>
        <w:p w14:paraId="2031EF6B" w14:textId="77777777" w:rsidR="005B305D" w:rsidRDefault="005B305D" w:rsidP="006E08B3">
          <w:r>
            <w:t xml:space="preserve">All submissions received </w:t>
          </w:r>
          <w:proofErr w:type="gramStart"/>
          <w:r>
            <w:t>will be placed</w:t>
          </w:r>
          <w:proofErr w:type="gramEnd"/>
          <w:r>
            <w:t xml:space="preserve"> on the TGA’s Internet site, unless marked confidential. Any confidential material contained within your submission </w:t>
          </w:r>
          <w:proofErr w:type="gramStart"/>
          <w:r>
            <w:t>should be provided</w:t>
          </w:r>
          <w:proofErr w:type="gramEnd"/>
          <w:r>
            <w:t xml:space="preserve"> under a separate cover and clearly marked “IN CONFIDENCE”. Reasons for a claim to confidentiality must be included in the space provided on the TGA submission coversheet.</w:t>
          </w:r>
        </w:p>
        <w:p w14:paraId="36BAAA66" w14:textId="77777777" w:rsidR="005B305D" w:rsidRDefault="005B305D" w:rsidP="006E08B3"/>
        <w:p w14:paraId="3227CC52" w14:textId="77777777" w:rsidR="005B305D" w:rsidRDefault="005B305D" w:rsidP="006E08B3">
          <w:r>
            <w:t xml:space="preserve">For submission made by individuals, all personal details, other than your name, </w:t>
          </w:r>
          <w:proofErr w:type="gramStart"/>
          <w:r>
            <w:t>will be removed</w:t>
          </w:r>
          <w:proofErr w:type="gramEnd"/>
          <w:r>
            <w:t xml:space="preserve"> from your submission before it is published on the TGA’s Internet site.</w:t>
          </w:r>
        </w:p>
        <w:p w14:paraId="3BD62148" w14:textId="77777777" w:rsidR="005B305D" w:rsidRDefault="005B305D" w:rsidP="006E08B3"/>
        <w:p w14:paraId="20C7A98A" w14:textId="77777777" w:rsidR="005B305D" w:rsidRDefault="005B305D" w:rsidP="006E08B3">
          <w:r>
            <w:t xml:space="preserve">In addition, a list of parties making submissions </w:t>
          </w:r>
          <w:proofErr w:type="gramStart"/>
          <w:r>
            <w:t>will be published</w:t>
          </w:r>
          <w:proofErr w:type="gramEnd"/>
          <w:r>
            <w:t xml:space="preserve">. If you do not wish to be identified with your </w:t>
          </w:r>
          <w:proofErr w:type="gramStart"/>
          <w:r>
            <w:t>submission</w:t>
          </w:r>
          <w:proofErr w:type="gramEnd"/>
          <w:r>
            <w:t xml:space="preserve"> you must specifically request this in the space provided </w:t>
          </w:r>
          <w:proofErr w:type="spellStart"/>
          <w:r>
            <w:t>ib</w:t>
          </w:r>
          <w:proofErr w:type="spellEnd"/>
          <w:r>
            <w:t xml:space="preserve"> the submission coversheet.</w:t>
          </w:r>
        </w:p>
      </w:tc>
    </w:tr>
    <w:tr w:rsidR="005B305D" w14:paraId="3A43106A" w14:textId="77777777" w:rsidTr="0010601F">
      <w:trPr>
        <w:trHeight w:val="417"/>
      </w:trPr>
      <w:tc>
        <w:tcPr>
          <w:tcW w:w="4519" w:type="dxa"/>
          <w:tcBorders>
            <w:top w:val="single" w:sz="4" w:space="0" w:color="auto"/>
          </w:tcBorders>
          <w:tcMar>
            <w:top w:w="142" w:type="dxa"/>
            <w:bottom w:w="0" w:type="dxa"/>
          </w:tcMar>
        </w:tcPr>
        <w:p w14:paraId="290A5FA0" w14:textId="77777777" w:rsidR="005B305D" w:rsidRDefault="005B305D" w:rsidP="006E08B3">
          <w:r>
            <w:t>Document title, Part #, Section # - Section title</w:t>
          </w:r>
        </w:p>
        <w:p w14:paraId="0E034FB3" w14:textId="77777777" w:rsidR="005B305D" w:rsidRDefault="005B305D" w:rsidP="006E08B3">
          <w:r>
            <w:t>V1.0 October 2010</w:t>
          </w:r>
        </w:p>
      </w:tc>
      <w:tc>
        <w:tcPr>
          <w:tcW w:w="4356" w:type="dxa"/>
          <w:tcBorders>
            <w:top w:val="single" w:sz="4" w:space="0" w:color="auto"/>
          </w:tcBorders>
          <w:tcMar>
            <w:top w:w="142" w:type="dxa"/>
            <w:bottom w:w="0" w:type="dxa"/>
          </w:tcMar>
        </w:tcPr>
        <w:p w14:paraId="30153FF3" w14:textId="5B3CE522" w:rsidR="005B305D" w:rsidRDefault="005B305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2</w:t>
          </w:r>
          <w:r>
            <w:fldChar w:fldCharType="end"/>
          </w:r>
          <w:r>
            <w:t xml:space="preserve">  </w:t>
          </w:r>
        </w:p>
      </w:tc>
    </w:tr>
  </w:tbl>
  <w:p w14:paraId="39D982C2" w14:textId="77777777" w:rsidR="005B305D" w:rsidRDefault="005B30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0E6BB" w14:textId="77777777" w:rsidR="005B305D" w:rsidRDefault="005B305D" w:rsidP="00C40A36">
      <w:pPr>
        <w:spacing w:after="0"/>
      </w:pPr>
      <w:r>
        <w:separator/>
      </w:r>
    </w:p>
  </w:footnote>
  <w:footnote w:type="continuationSeparator" w:id="0">
    <w:p w14:paraId="2346FF04" w14:textId="77777777" w:rsidR="005B305D" w:rsidRDefault="005B305D" w:rsidP="00C40A36">
      <w:pPr>
        <w:spacing w:after="0"/>
      </w:pPr>
      <w:r>
        <w:continuationSeparator/>
      </w:r>
    </w:p>
  </w:footnote>
  <w:footnote w:type="continuationNotice" w:id="1">
    <w:p w14:paraId="469BEBA4" w14:textId="77777777" w:rsidR="005B305D" w:rsidRDefault="005B305D">
      <w:pPr>
        <w:spacing w:before="0" w:after="0" w:line="240" w:lineRule="auto"/>
      </w:pPr>
    </w:p>
  </w:footnote>
  <w:footnote w:id="2">
    <w:p w14:paraId="0B8B9512" w14:textId="77777777" w:rsidR="005B305D" w:rsidRDefault="005B305D" w:rsidP="007B282B">
      <w:pPr>
        <w:pStyle w:val="FootnoteText"/>
      </w:pPr>
      <w:r>
        <w:rPr>
          <w:rStyle w:val="FootnoteReference"/>
        </w:rPr>
        <w:footnoteRef/>
      </w:r>
      <w:r>
        <w:t xml:space="preserve"> </w:t>
      </w:r>
      <w:proofErr w:type="spellStart"/>
      <w:r w:rsidRPr="007B282B">
        <w:t>LaCasce</w:t>
      </w:r>
      <w:proofErr w:type="spellEnd"/>
      <w:r w:rsidRPr="007B282B">
        <w:t xml:space="preserve"> AS, </w:t>
      </w:r>
      <w:r>
        <w:t xml:space="preserve">et al. (2019) </w:t>
      </w:r>
      <w:r w:rsidRPr="007B282B">
        <w:t xml:space="preserve">Infusion-related reactions to therapeutic monoclonal antibodies used for cancer therapy. </w:t>
      </w:r>
      <w:proofErr w:type="spellStart"/>
      <w:r>
        <w:rPr>
          <w:i/>
        </w:rPr>
        <w:t>UpToDate</w:t>
      </w:r>
      <w:proofErr w:type="spellEnd"/>
      <w:r>
        <w:rPr>
          <w:i/>
        </w:rPr>
        <w:t xml:space="preserve">; </w:t>
      </w:r>
      <w:r w:rsidRPr="007B282B">
        <w:t>Available at: https://www.uptodate.com/contents/infusion-related-reactions-to-therapeutic-monoclonal-antibodies-used-for-cancer-therapy</w:t>
      </w:r>
    </w:p>
  </w:footnote>
  <w:footnote w:id="3">
    <w:p w14:paraId="41C81A25" w14:textId="77777777" w:rsidR="005B305D" w:rsidRDefault="005B305D">
      <w:pPr>
        <w:pStyle w:val="FootnoteText"/>
      </w:pPr>
      <w:r>
        <w:rPr>
          <w:rStyle w:val="FootnoteReference"/>
        </w:rPr>
        <w:footnoteRef/>
      </w:r>
      <w:r>
        <w:t xml:space="preserve"> </w:t>
      </w:r>
      <w:proofErr w:type="spellStart"/>
      <w:r>
        <w:t>C</w:t>
      </w:r>
      <w:r>
        <w:rPr>
          <w:vertAlign w:val="subscript"/>
        </w:rPr>
        <w:t>max</w:t>
      </w:r>
      <w:proofErr w:type="spellEnd"/>
      <w:r>
        <w:rPr>
          <w:rFonts w:asciiTheme="minorHAnsi" w:hAnsiTheme="minorHAnsi" w:cs="†p˜øwcÊ"/>
          <w:lang w:val="en-US"/>
        </w:rPr>
        <w:t xml:space="preserve">  = Maximum observed serum concentration after IV infusion (just after end of infusion); AUC = Area under the curve or area under the serum concentration versus time curve over time periods</w:t>
      </w:r>
    </w:p>
  </w:footnote>
  <w:footnote w:id="4">
    <w:p w14:paraId="5BD8D689" w14:textId="3091F6B3" w:rsidR="005B305D" w:rsidRPr="006A4D4F" w:rsidRDefault="005B305D">
      <w:pPr>
        <w:pStyle w:val="FootnoteText"/>
        <w:rPr>
          <w:lang w:val="en-GB"/>
        </w:rPr>
      </w:pPr>
      <w:r>
        <w:rPr>
          <w:rStyle w:val="FootnoteReference"/>
        </w:rPr>
        <w:footnoteRef/>
      </w:r>
      <w:r>
        <w:t xml:space="preserve"> </w:t>
      </w:r>
      <w:r>
        <w:rPr>
          <w:rFonts w:asciiTheme="minorHAnsi" w:hAnsiTheme="minorHAnsi" w:cs="†p˜øwcÊ"/>
          <w:lang w:val="en-US"/>
        </w:rPr>
        <w:t>AUC</w:t>
      </w:r>
      <w:r>
        <w:rPr>
          <w:rFonts w:asciiTheme="minorHAnsi" w:hAnsiTheme="minorHAnsi" w:cs="†p˜øwcÊ"/>
          <w:vertAlign w:val="subscript"/>
          <w:lang w:val="en-US"/>
        </w:rPr>
        <w:t>0-∞</w:t>
      </w:r>
      <w:r>
        <w:t>: Area under the serum concentration-time curve from time zero (dosing) extrapolated to infinity.</w:t>
      </w:r>
    </w:p>
  </w:footnote>
  <w:footnote w:id="5">
    <w:p w14:paraId="349FE12C" w14:textId="77777777" w:rsidR="005B305D" w:rsidRDefault="005B305D">
      <w:pPr>
        <w:pStyle w:val="FootnoteText"/>
      </w:pPr>
      <w:r>
        <w:rPr>
          <w:rStyle w:val="FootnoteReference"/>
        </w:rPr>
        <w:footnoteRef/>
      </w:r>
      <w:r>
        <w:t xml:space="preserve"> </w:t>
      </w:r>
      <w:proofErr w:type="spellStart"/>
      <w:r>
        <w:t>Rugo</w:t>
      </w:r>
      <w:proofErr w:type="spellEnd"/>
      <w:r>
        <w:t xml:space="preserve"> HS et al. Effect of a proposed </w:t>
      </w:r>
      <w:proofErr w:type="spellStart"/>
      <w:r>
        <w:t>trastuzumab</w:t>
      </w:r>
      <w:proofErr w:type="spellEnd"/>
      <w:r>
        <w:t xml:space="preserve"> biosimilar compared </w:t>
      </w:r>
      <w:proofErr w:type="gramStart"/>
      <w:r>
        <w:t xml:space="preserve">with </w:t>
      </w:r>
      <w:proofErr w:type="spellStart"/>
      <w:r>
        <w:t>trastuzumab</w:t>
      </w:r>
      <w:proofErr w:type="spellEnd"/>
      <w:r>
        <w:t xml:space="preserve"> on overall response rate in patients with ERBB2 (HER2)-positive metastatic breast cancer</w:t>
      </w:r>
      <w:proofErr w:type="gramEnd"/>
      <w:r>
        <w:t>: A Randomized Clinical Trial</w:t>
      </w:r>
      <w:r w:rsidRPr="00011B32">
        <w:rPr>
          <w:i/>
        </w:rPr>
        <w:t>. JAMA</w:t>
      </w:r>
      <w:r w:rsidRPr="00573446">
        <w:t>. 2017;</w:t>
      </w:r>
      <w:r>
        <w:t xml:space="preserve"> 317</w:t>
      </w:r>
      <w:r w:rsidRPr="00573446">
        <w:t>:</w:t>
      </w:r>
      <w:r>
        <w:t xml:space="preserve"> </w:t>
      </w:r>
      <w:r w:rsidRPr="00573446">
        <w:t>37-47</w:t>
      </w:r>
    </w:p>
  </w:footnote>
  <w:footnote w:id="6">
    <w:p w14:paraId="748E25C1" w14:textId="77777777" w:rsidR="005B305D" w:rsidRPr="00CC628C" w:rsidRDefault="005B305D" w:rsidP="00CC628C">
      <w:pPr>
        <w:pStyle w:val="FootnoteText"/>
        <w:rPr>
          <w:rFonts w:eastAsia="Times New Roman"/>
        </w:rPr>
      </w:pPr>
      <w:r>
        <w:rPr>
          <w:rStyle w:val="FootnoteReference"/>
        </w:rPr>
        <w:footnoteRef/>
      </w:r>
      <w:r>
        <w:t xml:space="preserve"> Cortes J et al. Expert perspectives on biosimilar monoclonal antibodies in breast cancer</w:t>
      </w:r>
      <w:r>
        <w:rPr>
          <w:rFonts w:eastAsia="Times New Roman"/>
        </w:rPr>
        <w:t xml:space="preserve">. </w:t>
      </w:r>
      <w:r w:rsidRPr="00CC628C">
        <w:rPr>
          <w:i/>
        </w:rPr>
        <w:t>Breast Cancer Res Treat</w:t>
      </w:r>
      <w:r>
        <w:t xml:space="preserve"> 2014; 144: 233-239</w:t>
      </w:r>
    </w:p>
  </w:footnote>
  <w:footnote w:id="7">
    <w:p w14:paraId="41525E7E" w14:textId="17699899" w:rsidR="005B305D" w:rsidRPr="006A4D4F" w:rsidRDefault="005B305D">
      <w:pPr>
        <w:pStyle w:val="FootnoteText"/>
        <w:rPr>
          <w:lang w:val="en-GB"/>
        </w:rPr>
      </w:pPr>
      <w:r>
        <w:rPr>
          <w:rStyle w:val="FootnoteReference"/>
        </w:rPr>
        <w:footnoteRef/>
      </w:r>
      <w:r>
        <w:t xml:space="preserve"> ClinicalTrials.gov </w:t>
      </w:r>
      <w:r w:rsidRPr="00D574FA">
        <w:t xml:space="preserve">Identifier </w:t>
      </w:r>
      <w:r w:rsidRPr="007F6E82">
        <w:t>NCT02472964</w:t>
      </w:r>
      <w:r w:rsidRPr="00D574FA">
        <w:t xml:space="preserve">, </w:t>
      </w:r>
      <w:r w:rsidRPr="006A4D4F">
        <w:rPr>
          <w:i/>
        </w:rPr>
        <w:t xml:space="preserve">Study of Efficacy and Safety of Myl1401O + </w:t>
      </w:r>
      <w:proofErr w:type="spellStart"/>
      <w:r w:rsidRPr="006A4D4F">
        <w:rPr>
          <w:i/>
        </w:rPr>
        <w:t>Taxane</w:t>
      </w:r>
      <w:proofErr w:type="spellEnd"/>
      <w:r w:rsidRPr="006A4D4F">
        <w:rPr>
          <w:i/>
        </w:rPr>
        <w:t xml:space="preserve"> vs Herceptin + </w:t>
      </w:r>
      <w:proofErr w:type="spellStart"/>
      <w:r w:rsidRPr="006A4D4F">
        <w:rPr>
          <w:i/>
        </w:rPr>
        <w:t>Taxane</w:t>
      </w:r>
      <w:proofErr w:type="spellEnd"/>
      <w:r w:rsidRPr="006A4D4F">
        <w:rPr>
          <w:i/>
        </w:rPr>
        <w:t xml:space="preserve"> for 1st Line, Met. Br. Ca. (</w:t>
      </w:r>
      <w:proofErr w:type="spellStart"/>
      <w:r w:rsidRPr="006A4D4F">
        <w:rPr>
          <w:i/>
        </w:rPr>
        <w:t>HERiTAge</w:t>
      </w:r>
      <w:proofErr w:type="spellEnd"/>
      <w:r w:rsidRPr="006A4D4F">
        <w:rPr>
          <w:i/>
        </w:rPr>
        <w:t>)</w:t>
      </w:r>
      <w:r>
        <w:rPr>
          <w:i/>
        </w:rPr>
        <w:t>;</w:t>
      </w:r>
      <w:r>
        <w:t xml:space="preserve"> </w:t>
      </w:r>
      <w:r w:rsidRPr="00D574FA">
        <w:t>National Library of</w:t>
      </w:r>
      <w:r>
        <w:t xml:space="preserve"> Medicine (US), Bethesda (MD). 30 October 2018.</w:t>
      </w:r>
    </w:p>
  </w:footnote>
  <w:footnote w:id="8">
    <w:p w14:paraId="60D6A50E" w14:textId="4D254B32" w:rsidR="005B305D" w:rsidRPr="006A4D4F" w:rsidRDefault="005B305D">
      <w:pPr>
        <w:pStyle w:val="FootnoteText"/>
        <w:rPr>
          <w:lang w:val="en-GB"/>
        </w:rPr>
      </w:pPr>
      <w:r>
        <w:rPr>
          <w:rStyle w:val="FootnoteReference"/>
        </w:rPr>
        <w:footnoteRef/>
      </w:r>
      <w:r>
        <w:t xml:space="preserve"> </w:t>
      </w:r>
      <w:r>
        <w:rPr>
          <w:lang w:val="en-GB"/>
        </w:rPr>
        <w:t xml:space="preserve">RECIST = </w:t>
      </w:r>
      <w:r>
        <w:t>Response Evaluation Criteria in Solid Tumours.</w:t>
      </w:r>
    </w:p>
  </w:footnote>
  <w:footnote w:id="9">
    <w:p w14:paraId="1E62F50F" w14:textId="77777777" w:rsidR="005B305D" w:rsidRDefault="005B305D">
      <w:pPr>
        <w:pStyle w:val="FootnoteText"/>
      </w:pPr>
      <w:r>
        <w:rPr>
          <w:rStyle w:val="FootnoteReference"/>
        </w:rPr>
        <w:footnoteRef/>
      </w:r>
      <w:r>
        <w:t xml:space="preserve"> </w:t>
      </w:r>
      <w:proofErr w:type="spellStart"/>
      <w:r>
        <w:t>Krendyukov</w:t>
      </w:r>
      <w:proofErr w:type="spellEnd"/>
      <w:r>
        <w:t xml:space="preserve"> A et al. 2018 Extrapolation concept at work with biosimilar: a decade of experience in oncology. </w:t>
      </w:r>
      <w:r w:rsidRPr="006D1A3E">
        <w:rPr>
          <w:i/>
        </w:rPr>
        <w:t>ESMO Open</w:t>
      </w:r>
      <w:r>
        <w:t xml:space="preserve"> 2018;3:e000319</w:t>
      </w:r>
    </w:p>
  </w:footnote>
  <w:footnote w:id="10">
    <w:p w14:paraId="7ECC61C3" w14:textId="77777777" w:rsidR="005B305D" w:rsidRDefault="005B305D" w:rsidP="006D550E">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01CF7A78" w14:textId="77777777" w:rsidR="005B305D" w:rsidRDefault="005B305D" w:rsidP="006D550E">
      <w:pPr>
        <w:pStyle w:val="FootnoteText"/>
      </w:pPr>
      <w:r w:rsidRPr="00F12492">
        <w:rPr>
          <w:i/>
        </w:rPr>
        <w:t>Routine pharmacovigilance</w:t>
      </w:r>
      <w:r>
        <w:t xml:space="preserve"> practices involve the following activities:</w:t>
      </w:r>
    </w:p>
    <w:p w14:paraId="0F99EE0A" w14:textId="77777777" w:rsidR="005B305D" w:rsidRDefault="005B305D" w:rsidP="006D550E">
      <w:pPr>
        <w:pStyle w:val="FootnoteText"/>
        <w:numPr>
          <w:ilvl w:val="0"/>
          <w:numId w:val="28"/>
        </w:numPr>
      </w:pPr>
      <w:r>
        <w:t>All suspected adverse reactions that are reported to the personnel of the company are collected and collated in an accessible manner;</w:t>
      </w:r>
    </w:p>
    <w:p w14:paraId="1F4DC210" w14:textId="77777777" w:rsidR="005B305D" w:rsidRDefault="005B305D" w:rsidP="006D550E">
      <w:pPr>
        <w:pStyle w:val="FootnoteText"/>
        <w:numPr>
          <w:ilvl w:val="0"/>
          <w:numId w:val="28"/>
        </w:numPr>
      </w:pPr>
      <w:r>
        <w:t>Reporting to regulatory authorities;</w:t>
      </w:r>
    </w:p>
    <w:p w14:paraId="051AB4C9" w14:textId="77777777" w:rsidR="005B305D" w:rsidRDefault="005B305D" w:rsidP="006D550E">
      <w:pPr>
        <w:pStyle w:val="FootnoteText"/>
        <w:numPr>
          <w:ilvl w:val="0"/>
          <w:numId w:val="28"/>
        </w:numPr>
      </w:pPr>
      <w:r>
        <w:t xml:space="preserve">Continuous monitoring of the safety profiles of approved products including signal detection and updating of </w:t>
      </w:r>
      <w:proofErr w:type="spellStart"/>
      <w:r>
        <w:t>labeling</w:t>
      </w:r>
      <w:proofErr w:type="spellEnd"/>
      <w:r>
        <w:t>;</w:t>
      </w:r>
    </w:p>
    <w:p w14:paraId="6C9635BE" w14:textId="77777777" w:rsidR="005B305D" w:rsidRDefault="005B305D" w:rsidP="006D550E">
      <w:pPr>
        <w:pStyle w:val="FootnoteText"/>
        <w:numPr>
          <w:ilvl w:val="0"/>
          <w:numId w:val="28"/>
        </w:numPr>
      </w:pPr>
      <w:r>
        <w:t>Submission of PSURs;</w:t>
      </w:r>
    </w:p>
    <w:p w14:paraId="5998B91A" w14:textId="77777777" w:rsidR="005B305D" w:rsidRPr="00F12492" w:rsidRDefault="005B305D" w:rsidP="006D550E">
      <w:pPr>
        <w:pStyle w:val="FootnoteText"/>
        <w:numPr>
          <w:ilvl w:val="0"/>
          <w:numId w:val="28"/>
        </w:numPr>
        <w:rPr>
          <w:lang w:val="en-US"/>
        </w:rPr>
      </w:pPr>
      <w:r>
        <w:t>Meeting other local regulatory agency requirements.</w:t>
      </w:r>
    </w:p>
  </w:footnote>
  <w:footnote w:id="11">
    <w:p w14:paraId="55600C33" w14:textId="77777777" w:rsidR="005B305D" w:rsidRDefault="005B305D"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0C0F2DE" w14:textId="77777777" w:rsidR="005B305D" w:rsidRPr="00456765" w:rsidRDefault="005B305D" w:rsidP="00456765">
      <w:pPr>
        <w:pStyle w:val="FootnoteText"/>
        <w:rPr>
          <w:lang w:val="en-US"/>
        </w:rPr>
      </w:pPr>
      <w:r>
        <w:t xml:space="preserve">The Committee </w:t>
      </w:r>
      <w:proofErr w:type="gramStart"/>
      <w:r>
        <w:t>is established</w:t>
      </w:r>
      <w:proofErr w:type="gramEnd"/>
      <w:r>
        <w:t xml:space="preserve"> under Regulation 35 of the </w:t>
      </w:r>
      <w:r w:rsidRPr="00A54E24">
        <w:rPr>
          <w:i/>
        </w:rPr>
        <w:t>Therapeutic Goods Regulations 1990</w:t>
      </w:r>
      <w:r>
        <w:t xml:space="preserve">. </w:t>
      </w:r>
      <w:proofErr w:type="gramStart"/>
      <w:r>
        <w:t>Members are appointed by the Minister</w:t>
      </w:r>
      <w:proofErr w:type="gramEnd"/>
      <w:r>
        <w:t xml:space="preserve">. The ACM was established in January 2017 replacing </w:t>
      </w:r>
      <w:r w:rsidRPr="009E0C19">
        <w:t>Advisory Committee on Prescription Medicines (ACPM</w:t>
      </w:r>
      <w:proofErr w:type="gramStart"/>
      <w:r w:rsidRPr="009E0C19">
        <w:t xml:space="preserve">) </w:t>
      </w:r>
      <w:r>
        <w:t>which</w:t>
      </w:r>
      <w:proofErr w:type="gramEnd"/>
      <w:r>
        <w:t xml:space="preserve">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A82E8" w14:textId="77777777" w:rsidR="003636C5" w:rsidRDefault="0036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1DAA" w14:textId="77777777" w:rsidR="005B305D" w:rsidRDefault="005B305D"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2EFC" w14:textId="77777777" w:rsidR="005B305D" w:rsidRDefault="005B305D">
    <w:pPr>
      <w:rPr>
        <w:noProof/>
        <w:lang w:eastAsia="en-AU"/>
      </w:rPr>
    </w:pPr>
    <w:r w:rsidRPr="00347824">
      <w:rPr>
        <w:noProof/>
        <w:lang w:eastAsia="en-AU"/>
      </w:rPr>
      <w:drawing>
        <wp:anchor distT="0" distB="0" distL="114300" distR="114300" simplePos="0" relativeHeight="251658240" behindDoc="1" locked="0" layoutInCell="1" allowOverlap="1" wp14:anchorId="20456763" wp14:editId="219C0321">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06D3C9D" w14:textId="6A072F4C" w:rsidR="005B305D" w:rsidRDefault="005B305D"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A5DD9" w14:textId="77777777" w:rsidR="005B305D" w:rsidRDefault="005B30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0034C" w14:textId="77777777" w:rsidR="005B305D" w:rsidRDefault="005B305D">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FFD77" w14:textId="77777777" w:rsidR="005B305D" w:rsidRDefault="005B305D">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3BD8" w14:textId="77777777" w:rsidR="005B305D" w:rsidRDefault="005B30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F51C" w14:textId="77777777" w:rsidR="005B305D" w:rsidRDefault="005B305D"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E0540" w14:textId="77777777" w:rsidR="005B305D" w:rsidRDefault="005B305D" w:rsidP="006E08B3">
    <w:r>
      <w:t>Therapeutic Goods Administration</w:t>
    </w:r>
  </w:p>
  <w:p w14:paraId="38BC331B" w14:textId="77777777" w:rsidR="005B305D" w:rsidRDefault="005B305D"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D3D2B2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B753AC2"/>
    <w:multiLevelType w:val="hybridMultilevel"/>
    <w:tmpl w:val="C0BA5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1426E7"/>
    <w:multiLevelType w:val="hybridMultilevel"/>
    <w:tmpl w:val="4B14C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8F13E9"/>
    <w:multiLevelType w:val="multilevel"/>
    <w:tmpl w:val="0C520D1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CE6676D"/>
    <w:multiLevelType w:val="hybridMultilevel"/>
    <w:tmpl w:val="403CAD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7B4808"/>
    <w:multiLevelType w:val="hybridMultilevel"/>
    <w:tmpl w:val="224E5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9039A0"/>
    <w:multiLevelType w:val="hybridMultilevel"/>
    <w:tmpl w:val="C0200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0B7C41"/>
    <w:multiLevelType w:val="hybridMultilevel"/>
    <w:tmpl w:val="29B695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3D004C"/>
    <w:multiLevelType w:val="hybridMultilevel"/>
    <w:tmpl w:val="5BB0C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FE240C"/>
    <w:multiLevelType w:val="hybridMultilevel"/>
    <w:tmpl w:val="30FEE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022BB7"/>
    <w:multiLevelType w:val="hybridMultilevel"/>
    <w:tmpl w:val="F4B8F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E560C"/>
    <w:multiLevelType w:val="hybridMultilevel"/>
    <w:tmpl w:val="C4441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DF39A4"/>
    <w:multiLevelType w:val="hybridMultilevel"/>
    <w:tmpl w:val="18CEF5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667978"/>
    <w:multiLevelType w:val="hybridMultilevel"/>
    <w:tmpl w:val="7B04B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C24CDD"/>
    <w:multiLevelType w:val="hybridMultilevel"/>
    <w:tmpl w:val="1EF02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8435C1"/>
    <w:multiLevelType w:val="hybridMultilevel"/>
    <w:tmpl w:val="D310A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073479"/>
    <w:multiLevelType w:val="hybridMultilevel"/>
    <w:tmpl w:val="9A1CC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3D589C"/>
    <w:multiLevelType w:val="hybridMultilevel"/>
    <w:tmpl w:val="5C7C7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335624"/>
    <w:multiLevelType w:val="hybridMultilevel"/>
    <w:tmpl w:val="E7EE35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124513D"/>
    <w:multiLevelType w:val="hybridMultilevel"/>
    <w:tmpl w:val="9A6CC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76F3763"/>
    <w:multiLevelType w:val="hybridMultilevel"/>
    <w:tmpl w:val="3DBA9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77CD467D"/>
    <w:multiLevelType w:val="hybridMultilevel"/>
    <w:tmpl w:val="BA7CC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BB7C8A"/>
    <w:multiLevelType w:val="hybridMultilevel"/>
    <w:tmpl w:val="0E147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6"/>
  </w:num>
  <w:num w:numId="28">
    <w:abstractNumId w:val="25"/>
  </w:num>
  <w:num w:numId="29">
    <w:abstractNumId w:val="22"/>
  </w:num>
  <w:num w:numId="30">
    <w:abstractNumId w:val="26"/>
  </w:num>
  <w:num w:numId="31">
    <w:abstractNumId w:val="21"/>
  </w:num>
  <w:num w:numId="32">
    <w:abstractNumId w:val="8"/>
  </w:num>
  <w:num w:numId="33">
    <w:abstractNumId w:val="17"/>
  </w:num>
  <w:num w:numId="34">
    <w:abstractNumId w:val="20"/>
  </w:num>
  <w:num w:numId="35">
    <w:abstractNumId w:val="6"/>
  </w:num>
  <w:num w:numId="36">
    <w:abstractNumId w:val="11"/>
  </w:num>
  <w:num w:numId="37">
    <w:abstractNumId w:val="18"/>
  </w:num>
  <w:num w:numId="38">
    <w:abstractNumId w:val="13"/>
  </w:num>
  <w:num w:numId="39">
    <w:abstractNumId w:val="15"/>
  </w:num>
  <w:num w:numId="40">
    <w:abstractNumId w:val="12"/>
  </w:num>
  <w:num w:numId="41">
    <w:abstractNumId w:val="27"/>
  </w:num>
  <w:num w:numId="42">
    <w:abstractNumId w:val="10"/>
  </w:num>
  <w:num w:numId="43">
    <w:abstractNumId w:val="23"/>
  </w:num>
  <w:num w:numId="44">
    <w:abstractNumId w:val="19"/>
  </w:num>
  <w:num w:numId="45">
    <w:abstractNumId w:val="28"/>
  </w:num>
  <w:num w:numId="46">
    <w:abstractNumId w:val="9"/>
  </w:num>
  <w:num w:numId="47">
    <w:abstractNumId w:val="4"/>
  </w:num>
  <w:num w:numId="48">
    <w:abstractNumId w:val="2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3sjQ2MjU2MzM2MTdW0lEKTi0uzszPAykwqgUADYiupSwAAAA="/>
  </w:docVars>
  <w:rsids>
    <w:rsidRoot w:val="00C51352"/>
    <w:rsid w:val="00002031"/>
    <w:rsid w:val="00004734"/>
    <w:rsid w:val="00006B22"/>
    <w:rsid w:val="00011B32"/>
    <w:rsid w:val="0001276A"/>
    <w:rsid w:val="00023F5B"/>
    <w:rsid w:val="000246AE"/>
    <w:rsid w:val="00025C67"/>
    <w:rsid w:val="00027138"/>
    <w:rsid w:val="00044772"/>
    <w:rsid w:val="0004541C"/>
    <w:rsid w:val="00054064"/>
    <w:rsid w:val="00054CAD"/>
    <w:rsid w:val="0005559E"/>
    <w:rsid w:val="000604D6"/>
    <w:rsid w:val="000734D8"/>
    <w:rsid w:val="00075CEC"/>
    <w:rsid w:val="00077775"/>
    <w:rsid w:val="00082F6B"/>
    <w:rsid w:val="00083E0B"/>
    <w:rsid w:val="00090471"/>
    <w:rsid w:val="00096AA7"/>
    <w:rsid w:val="000A0880"/>
    <w:rsid w:val="000A3AED"/>
    <w:rsid w:val="000B1082"/>
    <w:rsid w:val="000B3532"/>
    <w:rsid w:val="000B3A75"/>
    <w:rsid w:val="000C00C2"/>
    <w:rsid w:val="000C690F"/>
    <w:rsid w:val="000C7D21"/>
    <w:rsid w:val="000D1295"/>
    <w:rsid w:val="000D391B"/>
    <w:rsid w:val="000D3D6D"/>
    <w:rsid w:val="000D4FC7"/>
    <w:rsid w:val="000E6196"/>
    <w:rsid w:val="000E6ECA"/>
    <w:rsid w:val="000F4869"/>
    <w:rsid w:val="000F5B42"/>
    <w:rsid w:val="000F6E6F"/>
    <w:rsid w:val="0010601F"/>
    <w:rsid w:val="0010788A"/>
    <w:rsid w:val="00107A31"/>
    <w:rsid w:val="00110EA5"/>
    <w:rsid w:val="00112F56"/>
    <w:rsid w:val="00124ACD"/>
    <w:rsid w:val="00125318"/>
    <w:rsid w:val="001305A2"/>
    <w:rsid w:val="00130920"/>
    <w:rsid w:val="00133238"/>
    <w:rsid w:val="00133A1B"/>
    <w:rsid w:val="00134F5D"/>
    <w:rsid w:val="0014197B"/>
    <w:rsid w:val="001447CD"/>
    <w:rsid w:val="001516B1"/>
    <w:rsid w:val="001548D8"/>
    <w:rsid w:val="00154EBB"/>
    <w:rsid w:val="00156316"/>
    <w:rsid w:val="00160004"/>
    <w:rsid w:val="00161181"/>
    <w:rsid w:val="0016244F"/>
    <w:rsid w:val="00162D14"/>
    <w:rsid w:val="00163780"/>
    <w:rsid w:val="00165389"/>
    <w:rsid w:val="0017693F"/>
    <w:rsid w:val="00180DE4"/>
    <w:rsid w:val="0018110E"/>
    <w:rsid w:val="00181684"/>
    <w:rsid w:val="001843C6"/>
    <w:rsid w:val="001850E0"/>
    <w:rsid w:val="001852E9"/>
    <w:rsid w:val="001A03AF"/>
    <w:rsid w:val="001A2158"/>
    <w:rsid w:val="001A525F"/>
    <w:rsid w:val="001A5F81"/>
    <w:rsid w:val="001B09F9"/>
    <w:rsid w:val="001B451B"/>
    <w:rsid w:val="001B5C90"/>
    <w:rsid w:val="001B6448"/>
    <w:rsid w:val="001C02F4"/>
    <w:rsid w:val="001C32CD"/>
    <w:rsid w:val="001D2984"/>
    <w:rsid w:val="001D76B5"/>
    <w:rsid w:val="001E07CF"/>
    <w:rsid w:val="001E3FE8"/>
    <w:rsid w:val="001E59F1"/>
    <w:rsid w:val="001F2CEE"/>
    <w:rsid w:val="001F49EB"/>
    <w:rsid w:val="001F6CBA"/>
    <w:rsid w:val="00201D4E"/>
    <w:rsid w:val="002076C9"/>
    <w:rsid w:val="00220B8A"/>
    <w:rsid w:val="00222EAC"/>
    <w:rsid w:val="0022573C"/>
    <w:rsid w:val="002257F3"/>
    <w:rsid w:val="00233456"/>
    <w:rsid w:val="002339A5"/>
    <w:rsid w:val="00243828"/>
    <w:rsid w:val="00257848"/>
    <w:rsid w:val="002578E8"/>
    <w:rsid w:val="00263433"/>
    <w:rsid w:val="0027084A"/>
    <w:rsid w:val="00271266"/>
    <w:rsid w:val="00280265"/>
    <w:rsid w:val="00286434"/>
    <w:rsid w:val="00286C59"/>
    <w:rsid w:val="00291957"/>
    <w:rsid w:val="002942D1"/>
    <w:rsid w:val="0029501A"/>
    <w:rsid w:val="002A26E5"/>
    <w:rsid w:val="002A3721"/>
    <w:rsid w:val="002B1638"/>
    <w:rsid w:val="002B3624"/>
    <w:rsid w:val="002D0952"/>
    <w:rsid w:val="002D3DB2"/>
    <w:rsid w:val="002D44DA"/>
    <w:rsid w:val="002E1AFF"/>
    <w:rsid w:val="002E40B3"/>
    <w:rsid w:val="002E4C9A"/>
    <w:rsid w:val="002F11F8"/>
    <w:rsid w:val="002F2E8A"/>
    <w:rsid w:val="002F3F56"/>
    <w:rsid w:val="002F44B5"/>
    <w:rsid w:val="002F5122"/>
    <w:rsid w:val="002F672C"/>
    <w:rsid w:val="002F749C"/>
    <w:rsid w:val="00300537"/>
    <w:rsid w:val="00311AC0"/>
    <w:rsid w:val="003176FC"/>
    <w:rsid w:val="003179D2"/>
    <w:rsid w:val="003217AA"/>
    <w:rsid w:val="0032532E"/>
    <w:rsid w:val="0032583B"/>
    <w:rsid w:val="00327883"/>
    <w:rsid w:val="00335504"/>
    <w:rsid w:val="00340C18"/>
    <w:rsid w:val="003442FD"/>
    <w:rsid w:val="00347824"/>
    <w:rsid w:val="00350567"/>
    <w:rsid w:val="003521E8"/>
    <w:rsid w:val="003636C5"/>
    <w:rsid w:val="00370CE3"/>
    <w:rsid w:val="00371098"/>
    <w:rsid w:val="003728F3"/>
    <w:rsid w:val="003735BC"/>
    <w:rsid w:val="0037496E"/>
    <w:rsid w:val="00377064"/>
    <w:rsid w:val="00383221"/>
    <w:rsid w:val="00386150"/>
    <w:rsid w:val="003874CE"/>
    <w:rsid w:val="00390900"/>
    <w:rsid w:val="0039697E"/>
    <w:rsid w:val="003A4F6E"/>
    <w:rsid w:val="003A5F2C"/>
    <w:rsid w:val="003A7F6C"/>
    <w:rsid w:val="003B111A"/>
    <w:rsid w:val="003B3FA2"/>
    <w:rsid w:val="003B4D60"/>
    <w:rsid w:val="003B7E39"/>
    <w:rsid w:val="003C11A8"/>
    <w:rsid w:val="003C58DC"/>
    <w:rsid w:val="003D1E62"/>
    <w:rsid w:val="003E0B99"/>
    <w:rsid w:val="003E2486"/>
    <w:rsid w:val="003E3208"/>
    <w:rsid w:val="003F0B04"/>
    <w:rsid w:val="003F6038"/>
    <w:rsid w:val="0040134E"/>
    <w:rsid w:val="00414512"/>
    <w:rsid w:val="004334C7"/>
    <w:rsid w:val="004367CA"/>
    <w:rsid w:val="00440A2D"/>
    <w:rsid w:val="00441C3F"/>
    <w:rsid w:val="00444D1A"/>
    <w:rsid w:val="00446231"/>
    <w:rsid w:val="0045186A"/>
    <w:rsid w:val="004526BC"/>
    <w:rsid w:val="004564A7"/>
    <w:rsid w:val="00456765"/>
    <w:rsid w:val="00456ED3"/>
    <w:rsid w:val="004617BF"/>
    <w:rsid w:val="00463658"/>
    <w:rsid w:val="004637A0"/>
    <w:rsid w:val="004722CC"/>
    <w:rsid w:val="00490483"/>
    <w:rsid w:val="004936E4"/>
    <w:rsid w:val="00494E60"/>
    <w:rsid w:val="00497487"/>
    <w:rsid w:val="004A2771"/>
    <w:rsid w:val="004A6189"/>
    <w:rsid w:val="004A7390"/>
    <w:rsid w:val="004B7B76"/>
    <w:rsid w:val="004C239D"/>
    <w:rsid w:val="004C2DCA"/>
    <w:rsid w:val="004C3033"/>
    <w:rsid w:val="004C61D2"/>
    <w:rsid w:val="004D3F56"/>
    <w:rsid w:val="004E5849"/>
    <w:rsid w:val="004E76CE"/>
    <w:rsid w:val="004F0C4A"/>
    <w:rsid w:val="004F0F38"/>
    <w:rsid w:val="004F20E0"/>
    <w:rsid w:val="004F26AA"/>
    <w:rsid w:val="004F47D6"/>
    <w:rsid w:val="00500337"/>
    <w:rsid w:val="00501921"/>
    <w:rsid w:val="005054EF"/>
    <w:rsid w:val="00527BB3"/>
    <w:rsid w:val="00530354"/>
    <w:rsid w:val="0053219C"/>
    <w:rsid w:val="00534B0C"/>
    <w:rsid w:val="0053625B"/>
    <w:rsid w:val="0054343B"/>
    <w:rsid w:val="005434C6"/>
    <w:rsid w:val="00543B39"/>
    <w:rsid w:val="00546154"/>
    <w:rsid w:val="00550096"/>
    <w:rsid w:val="005506B7"/>
    <w:rsid w:val="00550FE5"/>
    <w:rsid w:val="00555280"/>
    <w:rsid w:val="00557FF9"/>
    <w:rsid w:val="00562327"/>
    <w:rsid w:val="005711D5"/>
    <w:rsid w:val="00576378"/>
    <w:rsid w:val="00577130"/>
    <w:rsid w:val="00577945"/>
    <w:rsid w:val="00577E38"/>
    <w:rsid w:val="00585322"/>
    <w:rsid w:val="005857C6"/>
    <w:rsid w:val="00592F6E"/>
    <w:rsid w:val="00593AD1"/>
    <w:rsid w:val="005A0FE5"/>
    <w:rsid w:val="005A68B6"/>
    <w:rsid w:val="005B305D"/>
    <w:rsid w:val="005C5570"/>
    <w:rsid w:val="005C79A4"/>
    <w:rsid w:val="005D1716"/>
    <w:rsid w:val="005D5442"/>
    <w:rsid w:val="005D79FF"/>
    <w:rsid w:val="005E34BD"/>
    <w:rsid w:val="00601100"/>
    <w:rsid w:val="00603F32"/>
    <w:rsid w:val="00605AD4"/>
    <w:rsid w:val="00607FE9"/>
    <w:rsid w:val="00610713"/>
    <w:rsid w:val="00612479"/>
    <w:rsid w:val="006136D7"/>
    <w:rsid w:val="00625A6E"/>
    <w:rsid w:val="00632398"/>
    <w:rsid w:val="006326AD"/>
    <w:rsid w:val="00640FC3"/>
    <w:rsid w:val="006412BA"/>
    <w:rsid w:val="00642020"/>
    <w:rsid w:val="006430EE"/>
    <w:rsid w:val="0065337B"/>
    <w:rsid w:val="0065419D"/>
    <w:rsid w:val="00654B34"/>
    <w:rsid w:val="006603BC"/>
    <w:rsid w:val="006604D8"/>
    <w:rsid w:val="00664A5B"/>
    <w:rsid w:val="0066735C"/>
    <w:rsid w:val="006763D2"/>
    <w:rsid w:val="00680C08"/>
    <w:rsid w:val="006916A0"/>
    <w:rsid w:val="006931B1"/>
    <w:rsid w:val="006A15C0"/>
    <w:rsid w:val="006A463C"/>
    <w:rsid w:val="006A4D4F"/>
    <w:rsid w:val="006A58A8"/>
    <w:rsid w:val="006B0D56"/>
    <w:rsid w:val="006C3E2A"/>
    <w:rsid w:val="006C642F"/>
    <w:rsid w:val="006D03E5"/>
    <w:rsid w:val="006D1A3E"/>
    <w:rsid w:val="006D550E"/>
    <w:rsid w:val="006D5D3E"/>
    <w:rsid w:val="006E08B3"/>
    <w:rsid w:val="006E7BF8"/>
    <w:rsid w:val="006F17AC"/>
    <w:rsid w:val="006F25B8"/>
    <w:rsid w:val="006F572E"/>
    <w:rsid w:val="007046D6"/>
    <w:rsid w:val="00705DB0"/>
    <w:rsid w:val="00706E9E"/>
    <w:rsid w:val="00722B57"/>
    <w:rsid w:val="00730F8A"/>
    <w:rsid w:val="00735A8C"/>
    <w:rsid w:val="0074253D"/>
    <w:rsid w:val="0074429B"/>
    <w:rsid w:val="007615BC"/>
    <w:rsid w:val="00762F05"/>
    <w:rsid w:val="007652FF"/>
    <w:rsid w:val="00770CAC"/>
    <w:rsid w:val="00770EF1"/>
    <w:rsid w:val="00772AC4"/>
    <w:rsid w:val="00773EF7"/>
    <w:rsid w:val="00774E1D"/>
    <w:rsid w:val="007765D8"/>
    <w:rsid w:val="0077675A"/>
    <w:rsid w:val="00780355"/>
    <w:rsid w:val="007819FD"/>
    <w:rsid w:val="00784128"/>
    <w:rsid w:val="00785717"/>
    <w:rsid w:val="00785721"/>
    <w:rsid w:val="00793A59"/>
    <w:rsid w:val="007A46F5"/>
    <w:rsid w:val="007A580E"/>
    <w:rsid w:val="007A6505"/>
    <w:rsid w:val="007B282B"/>
    <w:rsid w:val="007B6132"/>
    <w:rsid w:val="007B6E9F"/>
    <w:rsid w:val="007C1216"/>
    <w:rsid w:val="007C1AF7"/>
    <w:rsid w:val="007C5F63"/>
    <w:rsid w:val="007C6B9B"/>
    <w:rsid w:val="007E7040"/>
    <w:rsid w:val="00805D27"/>
    <w:rsid w:val="00806DCB"/>
    <w:rsid w:val="00812B77"/>
    <w:rsid w:val="008136E6"/>
    <w:rsid w:val="00813979"/>
    <w:rsid w:val="00821776"/>
    <w:rsid w:val="008320E5"/>
    <w:rsid w:val="008321F5"/>
    <w:rsid w:val="00832369"/>
    <w:rsid w:val="00834660"/>
    <w:rsid w:val="00836BC2"/>
    <w:rsid w:val="00844F7D"/>
    <w:rsid w:val="0085156D"/>
    <w:rsid w:val="00852B28"/>
    <w:rsid w:val="0085641B"/>
    <w:rsid w:val="00857136"/>
    <w:rsid w:val="00875A6B"/>
    <w:rsid w:val="00885B11"/>
    <w:rsid w:val="00886D15"/>
    <w:rsid w:val="00887DD8"/>
    <w:rsid w:val="00890A77"/>
    <w:rsid w:val="00891BA9"/>
    <w:rsid w:val="00896018"/>
    <w:rsid w:val="008960DD"/>
    <w:rsid w:val="0089635C"/>
    <w:rsid w:val="008A2B9D"/>
    <w:rsid w:val="008A3D9F"/>
    <w:rsid w:val="008A5E0B"/>
    <w:rsid w:val="008A6D59"/>
    <w:rsid w:val="008B4B03"/>
    <w:rsid w:val="008B596F"/>
    <w:rsid w:val="008B614E"/>
    <w:rsid w:val="008C159F"/>
    <w:rsid w:val="008C1623"/>
    <w:rsid w:val="008C1850"/>
    <w:rsid w:val="008C51A9"/>
    <w:rsid w:val="008D12AA"/>
    <w:rsid w:val="008D3D5D"/>
    <w:rsid w:val="008E7846"/>
    <w:rsid w:val="008F02E5"/>
    <w:rsid w:val="008F1CCC"/>
    <w:rsid w:val="008F2967"/>
    <w:rsid w:val="008F6943"/>
    <w:rsid w:val="009017D2"/>
    <w:rsid w:val="009022A3"/>
    <w:rsid w:val="00902A21"/>
    <w:rsid w:val="009059D1"/>
    <w:rsid w:val="0091523F"/>
    <w:rsid w:val="00920330"/>
    <w:rsid w:val="009219D7"/>
    <w:rsid w:val="00922D53"/>
    <w:rsid w:val="00923B70"/>
    <w:rsid w:val="00924482"/>
    <w:rsid w:val="00930237"/>
    <w:rsid w:val="00937C17"/>
    <w:rsid w:val="00940A89"/>
    <w:rsid w:val="00941F77"/>
    <w:rsid w:val="00946EA5"/>
    <w:rsid w:val="00960520"/>
    <w:rsid w:val="00960573"/>
    <w:rsid w:val="00963C08"/>
    <w:rsid w:val="00964429"/>
    <w:rsid w:val="009752A5"/>
    <w:rsid w:val="0098585A"/>
    <w:rsid w:val="009A4CED"/>
    <w:rsid w:val="009A690D"/>
    <w:rsid w:val="009B1D12"/>
    <w:rsid w:val="009B416B"/>
    <w:rsid w:val="009C4BD5"/>
    <w:rsid w:val="009D7B77"/>
    <w:rsid w:val="009E0BB0"/>
    <w:rsid w:val="009E3FBB"/>
    <w:rsid w:val="009F7353"/>
    <w:rsid w:val="00A04F85"/>
    <w:rsid w:val="00A05F48"/>
    <w:rsid w:val="00A05FA4"/>
    <w:rsid w:val="00A102E4"/>
    <w:rsid w:val="00A1219C"/>
    <w:rsid w:val="00A12C42"/>
    <w:rsid w:val="00A14DF7"/>
    <w:rsid w:val="00A22D57"/>
    <w:rsid w:val="00A3246D"/>
    <w:rsid w:val="00A36FA7"/>
    <w:rsid w:val="00A44DDB"/>
    <w:rsid w:val="00A475B7"/>
    <w:rsid w:val="00A47AF7"/>
    <w:rsid w:val="00A47C3E"/>
    <w:rsid w:val="00A50226"/>
    <w:rsid w:val="00A51385"/>
    <w:rsid w:val="00A533BF"/>
    <w:rsid w:val="00A54E24"/>
    <w:rsid w:val="00A5670E"/>
    <w:rsid w:val="00A60BAD"/>
    <w:rsid w:val="00A77F87"/>
    <w:rsid w:val="00A80B5B"/>
    <w:rsid w:val="00A84E36"/>
    <w:rsid w:val="00A901DA"/>
    <w:rsid w:val="00A964D1"/>
    <w:rsid w:val="00AA0ED0"/>
    <w:rsid w:val="00AB7B84"/>
    <w:rsid w:val="00AC2B40"/>
    <w:rsid w:val="00AC2BB2"/>
    <w:rsid w:val="00AC2C3C"/>
    <w:rsid w:val="00AC512D"/>
    <w:rsid w:val="00AD0083"/>
    <w:rsid w:val="00AD3935"/>
    <w:rsid w:val="00AD46E9"/>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467A2"/>
    <w:rsid w:val="00B50DD6"/>
    <w:rsid w:val="00B54C25"/>
    <w:rsid w:val="00B634FA"/>
    <w:rsid w:val="00B67792"/>
    <w:rsid w:val="00B76B91"/>
    <w:rsid w:val="00B77422"/>
    <w:rsid w:val="00B77EB1"/>
    <w:rsid w:val="00B811C6"/>
    <w:rsid w:val="00B81A44"/>
    <w:rsid w:val="00B84508"/>
    <w:rsid w:val="00B855B0"/>
    <w:rsid w:val="00B92E08"/>
    <w:rsid w:val="00BA5FC9"/>
    <w:rsid w:val="00BA7BDC"/>
    <w:rsid w:val="00BB4F3B"/>
    <w:rsid w:val="00BB631C"/>
    <w:rsid w:val="00BC0E73"/>
    <w:rsid w:val="00BC622A"/>
    <w:rsid w:val="00BD6E8F"/>
    <w:rsid w:val="00BE0A78"/>
    <w:rsid w:val="00BE2CFC"/>
    <w:rsid w:val="00BE79F0"/>
    <w:rsid w:val="00BF046D"/>
    <w:rsid w:val="00BF1190"/>
    <w:rsid w:val="00BF3774"/>
    <w:rsid w:val="00BF5D04"/>
    <w:rsid w:val="00C009AA"/>
    <w:rsid w:val="00C04ABC"/>
    <w:rsid w:val="00C1164D"/>
    <w:rsid w:val="00C16861"/>
    <w:rsid w:val="00C346AB"/>
    <w:rsid w:val="00C404A6"/>
    <w:rsid w:val="00C40A36"/>
    <w:rsid w:val="00C40F6D"/>
    <w:rsid w:val="00C44419"/>
    <w:rsid w:val="00C45E7B"/>
    <w:rsid w:val="00C471B1"/>
    <w:rsid w:val="00C51352"/>
    <w:rsid w:val="00C52E24"/>
    <w:rsid w:val="00C6316B"/>
    <w:rsid w:val="00C634A9"/>
    <w:rsid w:val="00C64586"/>
    <w:rsid w:val="00C70D53"/>
    <w:rsid w:val="00C73D0B"/>
    <w:rsid w:val="00C745ED"/>
    <w:rsid w:val="00C74F5C"/>
    <w:rsid w:val="00C772FF"/>
    <w:rsid w:val="00C80137"/>
    <w:rsid w:val="00C801AF"/>
    <w:rsid w:val="00C80256"/>
    <w:rsid w:val="00C94CD4"/>
    <w:rsid w:val="00C9747E"/>
    <w:rsid w:val="00CA4514"/>
    <w:rsid w:val="00CA7F08"/>
    <w:rsid w:val="00CB3F1D"/>
    <w:rsid w:val="00CB6BC0"/>
    <w:rsid w:val="00CC1B7C"/>
    <w:rsid w:val="00CC628C"/>
    <w:rsid w:val="00CC727F"/>
    <w:rsid w:val="00CC7BEB"/>
    <w:rsid w:val="00CF0A6A"/>
    <w:rsid w:val="00CF15C3"/>
    <w:rsid w:val="00CF2B6F"/>
    <w:rsid w:val="00CF2F3E"/>
    <w:rsid w:val="00CF58B6"/>
    <w:rsid w:val="00D0062D"/>
    <w:rsid w:val="00D015EF"/>
    <w:rsid w:val="00D017ED"/>
    <w:rsid w:val="00D025AA"/>
    <w:rsid w:val="00D040D3"/>
    <w:rsid w:val="00D04C65"/>
    <w:rsid w:val="00D153D8"/>
    <w:rsid w:val="00D201D2"/>
    <w:rsid w:val="00D224FE"/>
    <w:rsid w:val="00D23139"/>
    <w:rsid w:val="00D23B2A"/>
    <w:rsid w:val="00D425BB"/>
    <w:rsid w:val="00D427E6"/>
    <w:rsid w:val="00D443BD"/>
    <w:rsid w:val="00D453FA"/>
    <w:rsid w:val="00D4595E"/>
    <w:rsid w:val="00D46F74"/>
    <w:rsid w:val="00D574FA"/>
    <w:rsid w:val="00D63210"/>
    <w:rsid w:val="00D6377A"/>
    <w:rsid w:val="00D6493E"/>
    <w:rsid w:val="00D7195D"/>
    <w:rsid w:val="00D7301E"/>
    <w:rsid w:val="00D83AE1"/>
    <w:rsid w:val="00D855D4"/>
    <w:rsid w:val="00D902C9"/>
    <w:rsid w:val="00D93466"/>
    <w:rsid w:val="00DA1124"/>
    <w:rsid w:val="00DA64CB"/>
    <w:rsid w:val="00DA7DDF"/>
    <w:rsid w:val="00DB05C2"/>
    <w:rsid w:val="00DB06B8"/>
    <w:rsid w:val="00DB6124"/>
    <w:rsid w:val="00DB750B"/>
    <w:rsid w:val="00DB75B7"/>
    <w:rsid w:val="00DC0A2F"/>
    <w:rsid w:val="00DC1948"/>
    <w:rsid w:val="00DC6E02"/>
    <w:rsid w:val="00DD28CD"/>
    <w:rsid w:val="00DE02AE"/>
    <w:rsid w:val="00DE1B6C"/>
    <w:rsid w:val="00DE39D1"/>
    <w:rsid w:val="00DF1D7F"/>
    <w:rsid w:val="00DF4BE4"/>
    <w:rsid w:val="00E00FFB"/>
    <w:rsid w:val="00E02382"/>
    <w:rsid w:val="00E02FB4"/>
    <w:rsid w:val="00E13FC7"/>
    <w:rsid w:val="00E15C80"/>
    <w:rsid w:val="00E20571"/>
    <w:rsid w:val="00E235F7"/>
    <w:rsid w:val="00E23659"/>
    <w:rsid w:val="00E239D4"/>
    <w:rsid w:val="00E26130"/>
    <w:rsid w:val="00E40B22"/>
    <w:rsid w:val="00E44ED1"/>
    <w:rsid w:val="00E455D7"/>
    <w:rsid w:val="00E45619"/>
    <w:rsid w:val="00E4588F"/>
    <w:rsid w:val="00E46DA3"/>
    <w:rsid w:val="00E51BB1"/>
    <w:rsid w:val="00E55CB0"/>
    <w:rsid w:val="00E624A5"/>
    <w:rsid w:val="00E64BA4"/>
    <w:rsid w:val="00E7344E"/>
    <w:rsid w:val="00E82665"/>
    <w:rsid w:val="00EB0798"/>
    <w:rsid w:val="00EB40AD"/>
    <w:rsid w:val="00EB586E"/>
    <w:rsid w:val="00EB5FC8"/>
    <w:rsid w:val="00EB6AAB"/>
    <w:rsid w:val="00EC0D51"/>
    <w:rsid w:val="00EC463D"/>
    <w:rsid w:val="00EC7A85"/>
    <w:rsid w:val="00ED2922"/>
    <w:rsid w:val="00ED3CAD"/>
    <w:rsid w:val="00ED5A41"/>
    <w:rsid w:val="00ED7178"/>
    <w:rsid w:val="00EE1DE8"/>
    <w:rsid w:val="00EE27C2"/>
    <w:rsid w:val="00EF14C5"/>
    <w:rsid w:val="00EF4BAD"/>
    <w:rsid w:val="00EF59DC"/>
    <w:rsid w:val="00F033EC"/>
    <w:rsid w:val="00F04F68"/>
    <w:rsid w:val="00F12670"/>
    <w:rsid w:val="00F14B27"/>
    <w:rsid w:val="00F27C8A"/>
    <w:rsid w:val="00F3148D"/>
    <w:rsid w:val="00F325C5"/>
    <w:rsid w:val="00F32FE0"/>
    <w:rsid w:val="00F3308D"/>
    <w:rsid w:val="00F33350"/>
    <w:rsid w:val="00F35298"/>
    <w:rsid w:val="00F403D4"/>
    <w:rsid w:val="00F47333"/>
    <w:rsid w:val="00F47E37"/>
    <w:rsid w:val="00F523B3"/>
    <w:rsid w:val="00F535E5"/>
    <w:rsid w:val="00F53C07"/>
    <w:rsid w:val="00F54B65"/>
    <w:rsid w:val="00F6326D"/>
    <w:rsid w:val="00F640B6"/>
    <w:rsid w:val="00F66DF2"/>
    <w:rsid w:val="00F80E40"/>
    <w:rsid w:val="00F848D9"/>
    <w:rsid w:val="00FA5069"/>
    <w:rsid w:val="00FA5B82"/>
    <w:rsid w:val="00FA639E"/>
    <w:rsid w:val="00FC1FCA"/>
    <w:rsid w:val="00FC25E4"/>
    <w:rsid w:val="00FC4EF7"/>
    <w:rsid w:val="00FD0824"/>
    <w:rsid w:val="00FD119B"/>
    <w:rsid w:val="00FD1EDC"/>
    <w:rsid w:val="00FD7DCC"/>
    <w:rsid w:val="00FE1DEE"/>
    <w:rsid w:val="00FE4B46"/>
    <w:rsid w:val="00FE57E9"/>
    <w:rsid w:val="00FF2126"/>
    <w:rsid w:val="00FF53A0"/>
    <w:rsid w:val="00FF5755"/>
    <w:rsid w:val="00FF69BE"/>
    <w:rsid w:val="00FF7B93"/>
    <w:rsid w:val="203C2452"/>
    <w:rsid w:val="27890E4D"/>
    <w:rsid w:val="416F280B"/>
    <w:rsid w:val="6E0D3D5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D5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017D2"/>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DB05C2"/>
    <w:pPr>
      <w:framePr w:hSpace="180" w:wrap="around" w:vAnchor="text" w:hAnchor="margin" w:y="9863"/>
      <w:spacing w:after="0"/>
      <w:suppressOverlap/>
    </w:pPr>
    <w:rPr>
      <w:rFonts w:ascii="Arial" w:hAnsi="Arial" w:cs="Arial"/>
      <w:b/>
      <w:color w:val="002C47"/>
      <w:sz w:val="36"/>
      <w:szCs w:val="36"/>
    </w:rPr>
  </w:style>
  <w:style w:type="character" w:customStyle="1" w:styleId="DateChar">
    <w:name w:val="Date Char"/>
    <w:basedOn w:val="DefaultParagraphFont"/>
    <w:link w:val="Date"/>
    <w:uiPriority w:val="99"/>
    <w:rsid w:val="00DB05C2"/>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300537"/>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DB05C2"/>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DB05C2"/>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DB05C2"/>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DB05C2"/>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mine">
    <w:name w:val="mine"/>
    <w:basedOn w:val="Normal"/>
    <w:qFormat/>
    <w:rsid w:val="006412BA"/>
    <w:pPr>
      <w:widowControl w:val="0"/>
      <w:adjustRightInd w:val="0"/>
      <w:snapToGrid w:val="0"/>
      <w:spacing w:before="0" w:after="0" w:line="240" w:lineRule="auto"/>
      <w:contextualSpacing/>
    </w:pPr>
    <w:rPr>
      <w:rFonts w:asciiTheme="minorHAnsi" w:eastAsia="MS Mincho" w:hAnsiTheme="minorHAnsi" w:cstheme="minorBidi"/>
      <w:sz w:val="24"/>
      <w:szCs w:val="21"/>
      <w:lang w:eastAsia="en-AU"/>
    </w:rPr>
  </w:style>
  <w:style w:type="paragraph" w:styleId="ListParagraph">
    <w:name w:val="List Paragraph"/>
    <w:basedOn w:val="Normal"/>
    <w:uiPriority w:val="1"/>
    <w:qFormat/>
    <w:rsid w:val="00456ED3"/>
    <w:pPr>
      <w:spacing w:before="0" w:after="0" w:line="240" w:lineRule="auto"/>
      <w:ind w:left="720"/>
      <w:contextualSpacing/>
    </w:pPr>
    <w:rPr>
      <w:rFonts w:asciiTheme="minorHAnsi" w:eastAsiaTheme="minorEastAsia" w:hAnsiTheme="minorHAnsi" w:cstheme="minorBidi"/>
      <w:sz w:val="24"/>
    </w:rPr>
  </w:style>
  <w:style w:type="paragraph" w:customStyle="1" w:styleId="table">
    <w:name w:val="table"/>
    <w:basedOn w:val="Normal"/>
    <w:link w:val="tableChar"/>
    <w:qFormat/>
    <w:rsid w:val="00456ED3"/>
    <w:pPr>
      <w:adjustRightInd w:val="0"/>
      <w:snapToGrid w:val="0"/>
      <w:spacing w:before="0" w:after="0" w:line="240" w:lineRule="auto"/>
    </w:pPr>
    <w:rPr>
      <w:rFonts w:asciiTheme="minorHAnsi" w:eastAsia="MS Mincho" w:hAnsiTheme="minorHAnsi"/>
      <w:sz w:val="18"/>
      <w:szCs w:val="20"/>
      <w:lang w:eastAsia="ja-JP"/>
    </w:rPr>
  </w:style>
  <w:style w:type="character" w:customStyle="1" w:styleId="tableChar">
    <w:name w:val="table Char"/>
    <w:basedOn w:val="DefaultParagraphFont"/>
    <w:link w:val="table"/>
    <w:rsid w:val="00456ED3"/>
    <w:rPr>
      <w:rFonts w:eastAsia="MS Mincho" w:cs="Times New Roman"/>
      <w:sz w:val="18"/>
      <w:szCs w:val="20"/>
      <w:lang w:eastAsia="ja-JP"/>
    </w:rPr>
  </w:style>
  <w:style w:type="character" w:styleId="Emphasis">
    <w:name w:val="Emphasis"/>
    <w:basedOn w:val="DefaultParagraphFont"/>
    <w:uiPriority w:val="20"/>
    <w:qFormat/>
    <w:rsid w:val="00D574FA"/>
    <w:rPr>
      <w:i/>
      <w:iCs/>
    </w:rPr>
  </w:style>
  <w:style w:type="character" w:customStyle="1" w:styleId="TabletextChar">
    <w:name w:val="Table text Char"/>
    <w:basedOn w:val="DefaultParagraphFont"/>
    <w:link w:val="Tabletext"/>
    <w:rsid w:val="00527BB3"/>
    <w:rPr>
      <w:rFonts w:ascii="Cambria" w:eastAsia="Cambria" w:hAnsi="Cambria" w:cs="Times New Roman"/>
      <w:sz w:val="19"/>
    </w:rPr>
  </w:style>
  <w:style w:type="paragraph" w:customStyle="1" w:styleId="Summaryofsafetyconcerns">
    <w:name w:val="Summary of safety concerns"/>
    <w:basedOn w:val="Tabletext"/>
    <w:link w:val="SummaryofsafetyconcernsChar"/>
    <w:qFormat/>
    <w:rsid w:val="00527BB3"/>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527BB3"/>
    <w:rPr>
      <w:rFonts w:ascii="Cambria" w:eastAsia="Times New Roman" w:hAnsi="Cambria" w:cs="Times New Roman"/>
      <w:b/>
      <w:snapToGrid w:val="0"/>
      <w:kern w:val="16"/>
      <w:sz w:val="20"/>
      <w:szCs w:val="24"/>
    </w:rPr>
  </w:style>
  <w:style w:type="paragraph" w:customStyle="1" w:styleId="Standard">
    <w:name w:val="Standard"/>
    <w:basedOn w:val="Normal"/>
    <w:link w:val="StandardChar"/>
    <w:qFormat/>
    <w:rsid w:val="006D550E"/>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6D550E"/>
    <w:rPr>
      <w:rFonts w:ascii="Cambria" w:eastAsia="Times New Roman" w:hAnsi="Cambria" w:cs="Times New Roman"/>
      <w:snapToGrid w:val="0"/>
      <w:kern w:val="16"/>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484592">
      <w:bodyDiv w:val="1"/>
      <w:marLeft w:val="0"/>
      <w:marRight w:val="0"/>
      <w:marTop w:val="0"/>
      <w:marBottom w:val="0"/>
      <w:divBdr>
        <w:top w:val="none" w:sz="0" w:space="0" w:color="auto"/>
        <w:left w:val="none" w:sz="0" w:space="0" w:color="auto"/>
        <w:bottom w:val="none" w:sz="0" w:space="0" w:color="auto"/>
        <w:right w:val="none" w:sz="0" w:space="0" w:color="auto"/>
      </w:divBdr>
    </w:div>
    <w:div w:id="794910883">
      <w:bodyDiv w:val="1"/>
      <w:marLeft w:val="0"/>
      <w:marRight w:val="0"/>
      <w:marTop w:val="0"/>
      <w:marBottom w:val="0"/>
      <w:divBdr>
        <w:top w:val="none" w:sz="0" w:space="0" w:color="auto"/>
        <w:left w:val="none" w:sz="0" w:space="0" w:color="auto"/>
        <w:bottom w:val="none" w:sz="0" w:space="0" w:color="auto"/>
        <w:right w:val="none" w:sz="0" w:space="0" w:color="auto"/>
      </w:divBdr>
    </w:div>
    <w:div w:id="1129936324">
      <w:bodyDiv w:val="1"/>
      <w:marLeft w:val="0"/>
      <w:marRight w:val="0"/>
      <w:marTop w:val="0"/>
      <w:marBottom w:val="0"/>
      <w:divBdr>
        <w:top w:val="none" w:sz="0" w:space="0" w:color="auto"/>
        <w:left w:val="none" w:sz="0" w:space="0" w:color="auto"/>
        <w:bottom w:val="none" w:sz="0" w:space="0" w:color="auto"/>
        <w:right w:val="none" w:sz="0" w:space="0" w:color="auto"/>
      </w:divBdr>
    </w:div>
    <w:div w:id="1430465344">
      <w:bodyDiv w:val="1"/>
      <w:marLeft w:val="0"/>
      <w:marRight w:val="0"/>
      <w:marTop w:val="0"/>
      <w:marBottom w:val="0"/>
      <w:divBdr>
        <w:top w:val="none" w:sz="0" w:space="0" w:color="auto"/>
        <w:left w:val="none" w:sz="0" w:space="0" w:color="auto"/>
        <w:bottom w:val="none" w:sz="0" w:space="0" w:color="auto"/>
        <w:right w:val="none" w:sz="0" w:space="0" w:color="auto"/>
      </w:divBdr>
    </w:div>
    <w:div w:id="16164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eader" Target="header6.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5.png"/><Relationship Id="rId29" Type="http://schemas.openxmlformats.org/officeDocument/2006/relationships/hyperlink" Target="http://www.tga.gov.au/ws-labs-index"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tga.gov.au" TargetMode="Externa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4.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www.tga.gov.au/product-information-pi" TargetMode="External"/><Relationship Id="rId35" Type="http://schemas.openxmlformats.org/officeDocument/2006/relationships/hyperlink" Target="mailto:info@tga.gov.au" TargetMode="External"/><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3CC7-7B01-45C7-A88A-A3DC4F85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8315</Words>
  <Characters>47396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Trastuzumab</dc:title>
  <dc:subject>prescription medicines</dc:subject>
  <dc:creator/>
  <cp:keywords>AusPARs</cp:keywords>
  <cp:lastModifiedBy/>
  <cp:revision>1</cp:revision>
  <dcterms:created xsi:type="dcterms:W3CDTF">2020-03-18T06:51:00Z</dcterms:created>
  <dcterms:modified xsi:type="dcterms:W3CDTF">2020-03-20T03:11:00Z</dcterms:modified>
</cp:coreProperties>
</file>