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CB82" w14:textId="38B94614" w:rsidR="000B377E" w:rsidRDefault="00DC7164" w:rsidP="000B377E">
      <w:pPr>
        <w:pStyle w:val="MainHeading"/>
      </w:pPr>
      <w:r w:rsidRPr="00364E39">
        <w:rPr>
          <w:b w:val="0"/>
          <w:noProof/>
          <w:lang w:eastAsia="en-AU"/>
        </w:rPr>
        <w:drawing>
          <wp:anchor distT="0" distB="0" distL="114300" distR="114300" simplePos="0" relativeHeight="251661312" behindDoc="1" locked="0" layoutInCell="1" allowOverlap="1" wp14:anchorId="6AE43E60" wp14:editId="672BB77A">
            <wp:simplePos x="0" y="0"/>
            <wp:positionH relativeFrom="margin">
              <wp:posOffset>4300220</wp:posOffset>
            </wp:positionH>
            <wp:positionV relativeFrom="paragraph">
              <wp:posOffset>-124460</wp:posOffset>
            </wp:positionV>
            <wp:extent cx="1619250" cy="771525"/>
            <wp:effectExtent l="0" t="0" r="0" b="9525"/>
            <wp:wrapNone/>
            <wp:docPr id="6" name="Picture 6" descr="C:\Users\m509502\AppData\Local\Microsoft\Windows\Temporary Internet Files\Content.Outlook\4GARY5Q4\OUS Mylan Black Logo without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509502\AppData\Local\Microsoft\Windows\Temporary Internet Files\Content.Outlook\4GARY5Q4\OUS Mylan Black Logo without Tag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t>OGIVRI</w:t>
      </w:r>
    </w:p>
    <w:p w14:paraId="3E8CF32D" w14:textId="14EE47DC" w:rsidR="000B377E" w:rsidRDefault="000B377E" w:rsidP="000B377E">
      <w:pPr>
        <w:pStyle w:val="ActiveIngredientName"/>
      </w:pPr>
      <w:proofErr w:type="spellStart"/>
      <w:r>
        <w:t>Trastuzumab</w:t>
      </w:r>
      <w:proofErr w:type="spellEnd"/>
      <w:r>
        <w:t xml:space="preserve"> (</w:t>
      </w:r>
      <w:proofErr w:type="spellStart"/>
      <w:r>
        <w:t>rch</w:t>
      </w:r>
      <w:proofErr w:type="spellEnd"/>
      <w:r>
        <w:t>)</w:t>
      </w:r>
    </w:p>
    <w:p w14:paraId="4059D1A0" w14:textId="7FDB5234" w:rsidR="000B377E" w:rsidRDefault="000B377E" w:rsidP="000B377E">
      <w:pPr>
        <w:pStyle w:val="SubjectHeading"/>
      </w:pPr>
      <w:r>
        <w:t>NAME OF THE MEDICINE</w:t>
      </w:r>
    </w:p>
    <w:tbl>
      <w:tblPr>
        <w:tblW w:w="9472" w:type="dxa"/>
        <w:tblLook w:val="04A0" w:firstRow="1" w:lastRow="0" w:firstColumn="1" w:lastColumn="0" w:noHBand="0" w:noVBand="1"/>
      </w:tblPr>
      <w:tblGrid>
        <w:gridCol w:w="2268"/>
        <w:gridCol w:w="50"/>
        <w:gridCol w:w="232"/>
        <w:gridCol w:w="50"/>
        <w:gridCol w:w="2358"/>
        <w:gridCol w:w="1729"/>
        <w:gridCol w:w="283"/>
        <w:gridCol w:w="2502"/>
      </w:tblGrid>
      <w:tr w:rsidR="000B377E" w:rsidRPr="00030411" w14:paraId="20C78F19" w14:textId="77777777" w:rsidTr="00D57405">
        <w:tc>
          <w:tcPr>
            <w:tcW w:w="2318" w:type="dxa"/>
            <w:gridSpan w:val="2"/>
            <w:shd w:val="clear" w:color="auto" w:fill="auto"/>
          </w:tcPr>
          <w:p w14:paraId="50CBBD84" w14:textId="77777777" w:rsidR="000B377E" w:rsidRPr="00030411" w:rsidRDefault="000B377E" w:rsidP="00FE1D53">
            <w:pPr>
              <w:pStyle w:val="Bodyofcontents"/>
              <w:ind w:left="-108"/>
            </w:pPr>
            <w:r w:rsidRPr="00030411">
              <w:t>Active ingredient</w:t>
            </w:r>
            <w:r w:rsidR="00D57405">
              <w:t>:</w:t>
            </w:r>
          </w:p>
        </w:tc>
        <w:tc>
          <w:tcPr>
            <w:tcW w:w="282" w:type="dxa"/>
            <w:gridSpan w:val="2"/>
            <w:shd w:val="clear" w:color="auto" w:fill="auto"/>
          </w:tcPr>
          <w:p w14:paraId="33325B5A" w14:textId="77777777" w:rsidR="000B377E" w:rsidRPr="00030411" w:rsidRDefault="000B377E" w:rsidP="00BB5CFF">
            <w:pPr>
              <w:pStyle w:val="Bodyofcontents"/>
            </w:pPr>
          </w:p>
        </w:tc>
        <w:tc>
          <w:tcPr>
            <w:tcW w:w="6872" w:type="dxa"/>
            <w:gridSpan w:val="4"/>
            <w:shd w:val="clear" w:color="auto" w:fill="auto"/>
          </w:tcPr>
          <w:p w14:paraId="2DE762D7" w14:textId="77777777" w:rsidR="000B377E" w:rsidRPr="00030411" w:rsidRDefault="00FE1D53" w:rsidP="00FE1D53">
            <w:pPr>
              <w:pStyle w:val="Bodyofcontents"/>
            </w:pPr>
            <w:proofErr w:type="spellStart"/>
            <w:r w:rsidRPr="00FE1D53">
              <w:t>trastuzumab</w:t>
            </w:r>
            <w:proofErr w:type="spellEnd"/>
          </w:p>
        </w:tc>
      </w:tr>
      <w:tr w:rsidR="000B377E" w:rsidRPr="00030411" w14:paraId="68E22834" w14:textId="77777777" w:rsidTr="00D57405">
        <w:tc>
          <w:tcPr>
            <w:tcW w:w="2318" w:type="dxa"/>
            <w:gridSpan w:val="2"/>
            <w:shd w:val="clear" w:color="auto" w:fill="auto"/>
          </w:tcPr>
          <w:p w14:paraId="22C98661" w14:textId="77777777" w:rsidR="000B377E" w:rsidRPr="001F15F5" w:rsidRDefault="000B377E" w:rsidP="00FE1D53">
            <w:pPr>
              <w:pStyle w:val="Bodyofcontents"/>
              <w:ind w:left="-108"/>
            </w:pPr>
            <w:r w:rsidRPr="001F15F5">
              <w:t>Chemical name</w:t>
            </w:r>
            <w:r w:rsidR="00D57405" w:rsidRPr="001F15F5">
              <w:t>:</w:t>
            </w:r>
          </w:p>
        </w:tc>
        <w:tc>
          <w:tcPr>
            <w:tcW w:w="282" w:type="dxa"/>
            <w:gridSpan w:val="2"/>
            <w:shd w:val="clear" w:color="auto" w:fill="auto"/>
          </w:tcPr>
          <w:p w14:paraId="2834F7FA" w14:textId="77777777" w:rsidR="000B377E" w:rsidRPr="001F15F5" w:rsidRDefault="000B377E" w:rsidP="00BB5CFF">
            <w:pPr>
              <w:pStyle w:val="Bodyofcontents"/>
            </w:pPr>
          </w:p>
        </w:tc>
        <w:tc>
          <w:tcPr>
            <w:tcW w:w="6872" w:type="dxa"/>
            <w:gridSpan w:val="4"/>
            <w:shd w:val="clear" w:color="auto" w:fill="auto"/>
          </w:tcPr>
          <w:p w14:paraId="131A0944" w14:textId="3133AEF1" w:rsidR="000B377E" w:rsidRPr="001F15F5" w:rsidRDefault="007543DA" w:rsidP="007543DA">
            <w:pPr>
              <w:pStyle w:val="Bodyofcontents"/>
            </w:pPr>
            <w:r>
              <w:t>I</w:t>
            </w:r>
            <w:r w:rsidRPr="001B0B2E">
              <w:t xml:space="preserve">mmunoglobulin G1, anti-human p185 </w:t>
            </w:r>
            <w:proofErr w:type="spellStart"/>
            <w:r w:rsidRPr="001B0B2E">
              <w:t>neu</w:t>
            </w:r>
            <w:proofErr w:type="spellEnd"/>
            <w:r w:rsidRPr="001B0B2E">
              <w:t xml:space="preserve"> receptor human-mouse monoclonal recombinant human monoclonal antibody (r-</w:t>
            </w:r>
            <w:proofErr w:type="spellStart"/>
            <w:r w:rsidRPr="001B0B2E">
              <w:t>hu</w:t>
            </w:r>
            <w:proofErr w:type="spellEnd"/>
            <w:r w:rsidRPr="001B0B2E">
              <w:t>-</w:t>
            </w:r>
            <w:proofErr w:type="spellStart"/>
            <w:r w:rsidRPr="001B0B2E">
              <w:t>MAb</w:t>
            </w:r>
            <w:proofErr w:type="spellEnd"/>
            <w:r w:rsidRPr="001B0B2E">
              <w:t xml:space="preserve">) human epidermal growth factor receptor 2 (HER2) g1-chain, </w:t>
            </w:r>
            <w:proofErr w:type="spellStart"/>
            <w:r w:rsidRPr="001B0B2E">
              <w:t>disulfide</w:t>
            </w:r>
            <w:proofErr w:type="spellEnd"/>
            <w:r w:rsidRPr="001B0B2E">
              <w:t xml:space="preserve"> with human-mouse monoclonal r-</w:t>
            </w:r>
            <w:proofErr w:type="spellStart"/>
            <w:r w:rsidRPr="001B0B2E">
              <w:t>hu</w:t>
            </w:r>
            <w:proofErr w:type="spellEnd"/>
            <w:r w:rsidRPr="001B0B2E">
              <w:t>-</w:t>
            </w:r>
            <w:proofErr w:type="spellStart"/>
            <w:r w:rsidRPr="001B0B2E">
              <w:t>MAb</w:t>
            </w:r>
            <w:proofErr w:type="spellEnd"/>
            <w:r w:rsidRPr="001B0B2E">
              <w:t xml:space="preserve"> HER2 light chain, dimer</w:t>
            </w:r>
          </w:p>
        </w:tc>
      </w:tr>
      <w:tr w:rsidR="004412F0" w:rsidRPr="00030411" w14:paraId="761E7F74" w14:textId="77777777" w:rsidTr="003F29EC">
        <w:tc>
          <w:tcPr>
            <w:tcW w:w="2268" w:type="dxa"/>
            <w:shd w:val="clear" w:color="auto" w:fill="auto"/>
          </w:tcPr>
          <w:p w14:paraId="472D3D10" w14:textId="77777777" w:rsidR="004412F0" w:rsidRPr="001F15F5" w:rsidRDefault="004412F0" w:rsidP="00FE1D53">
            <w:pPr>
              <w:pStyle w:val="Bodyofcontents"/>
              <w:ind w:left="-108"/>
            </w:pPr>
            <w:r w:rsidRPr="001F15F5">
              <w:t>Molecular formula:</w:t>
            </w:r>
          </w:p>
        </w:tc>
        <w:tc>
          <w:tcPr>
            <w:tcW w:w="282" w:type="dxa"/>
            <w:gridSpan w:val="2"/>
            <w:shd w:val="clear" w:color="auto" w:fill="auto"/>
          </w:tcPr>
          <w:p w14:paraId="2D8C776A" w14:textId="77777777" w:rsidR="004412F0" w:rsidRPr="001F15F5" w:rsidRDefault="004412F0" w:rsidP="00BB5CFF">
            <w:pPr>
              <w:pStyle w:val="Bodyofcontents"/>
            </w:pPr>
          </w:p>
        </w:tc>
        <w:tc>
          <w:tcPr>
            <w:tcW w:w="6922" w:type="dxa"/>
            <w:gridSpan w:val="5"/>
            <w:shd w:val="clear" w:color="auto" w:fill="auto"/>
          </w:tcPr>
          <w:p w14:paraId="00CDE6DE" w14:textId="17E75131" w:rsidR="004412F0" w:rsidRPr="001F15F5" w:rsidRDefault="007543DA" w:rsidP="004412F0">
            <w:pPr>
              <w:pStyle w:val="Bodyofcontents"/>
              <w:ind w:left="56"/>
            </w:pPr>
            <w:r w:rsidRPr="001B0B2E">
              <w:t>C</w:t>
            </w:r>
            <w:r w:rsidRPr="001B0B2E">
              <w:rPr>
                <w:vertAlign w:val="subscript"/>
              </w:rPr>
              <w:t>6460</w:t>
            </w:r>
            <w:r w:rsidRPr="001B0B2E">
              <w:t>H</w:t>
            </w:r>
            <w:r w:rsidRPr="001B0B2E">
              <w:rPr>
                <w:vertAlign w:val="subscript"/>
              </w:rPr>
              <w:t>9972</w:t>
            </w:r>
            <w:r w:rsidRPr="001B0B2E">
              <w:t>N</w:t>
            </w:r>
            <w:r w:rsidRPr="001B0B2E">
              <w:rPr>
                <w:vertAlign w:val="subscript"/>
              </w:rPr>
              <w:t>1724</w:t>
            </w:r>
            <w:r w:rsidRPr="001B0B2E">
              <w:t>O</w:t>
            </w:r>
            <w:r w:rsidRPr="001B0B2E">
              <w:rPr>
                <w:vertAlign w:val="subscript"/>
              </w:rPr>
              <w:t>2014</w:t>
            </w:r>
            <w:r w:rsidRPr="001B0B2E">
              <w:t>S</w:t>
            </w:r>
            <w:r w:rsidRPr="001B0B2E">
              <w:rPr>
                <w:vertAlign w:val="subscript"/>
              </w:rPr>
              <w:t>44</w:t>
            </w:r>
          </w:p>
        </w:tc>
      </w:tr>
      <w:tr w:rsidR="00D57405" w:rsidRPr="00030411" w14:paraId="69E512C7" w14:textId="77777777" w:rsidTr="00D57405">
        <w:tc>
          <w:tcPr>
            <w:tcW w:w="2268" w:type="dxa"/>
            <w:shd w:val="clear" w:color="auto" w:fill="auto"/>
          </w:tcPr>
          <w:p w14:paraId="0B0C76D0" w14:textId="77777777" w:rsidR="00D57405" w:rsidRPr="00030411" w:rsidRDefault="00D57405" w:rsidP="00FE1D53">
            <w:pPr>
              <w:pStyle w:val="Bodyofcontents"/>
              <w:ind w:left="-108"/>
            </w:pPr>
            <w:r w:rsidRPr="00030411">
              <w:t>Molecular weight</w:t>
            </w:r>
            <w:r>
              <w:t>:</w:t>
            </w:r>
          </w:p>
        </w:tc>
        <w:tc>
          <w:tcPr>
            <w:tcW w:w="282" w:type="dxa"/>
            <w:gridSpan w:val="2"/>
            <w:shd w:val="clear" w:color="auto" w:fill="auto"/>
          </w:tcPr>
          <w:p w14:paraId="7836B757" w14:textId="77777777" w:rsidR="00D57405" w:rsidRPr="00030411" w:rsidRDefault="00D57405" w:rsidP="00BB5CFF">
            <w:pPr>
              <w:pStyle w:val="Bodyofcontents"/>
            </w:pPr>
          </w:p>
        </w:tc>
        <w:tc>
          <w:tcPr>
            <w:tcW w:w="2408" w:type="dxa"/>
            <w:gridSpan w:val="2"/>
            <w:shd w:val="clear" w:color="auto" w:fill="auto"/>
          </w:tcPr>
          <w:p w14:paraId="66248422" w14:textId="77777777" w:rsidR="00D57405" w:rsidRPr="00D57405" w:rsidRDefault="00D57405" w:rsidP="00D57405">
            <w:pPr>
              <w:pStyle w:val="Bodyofcontents"/>
              <w:ind w:left="56"/>
              <w:rPr>
                <w:highlight w:val="yellow"/>
              </w:rPr>
            </w:pPr>
            <w:r>
              <w:rPr>
                <w:szCs w:val="22"/>
              </w:rPr>
              <w:t xml:space="preserve">~148 </w:t>
            </w:r>
            <w:proofErr w:type="spellStart"/>
            <w:r>
              <w:rPr>
                <w:szCs w:val="22"/>
              </w:rPr>
              <w:t>kDa</w:t>
            </w:r>
            <w:proofErr w:type="spellEnd"/>
          </w:p>
        </w:tc>
        <w:tc>
          <w:tcPr>
            <w:tcW w:w="1729" w:type="dxa"/>
            <w:shd w:val="clear" w:color="auto" w:fill="auto"/>
          </w:tcPr>
          <w:p w14:paraId="21EDEC30" w14:textId="77777777" w:rsidR="00D57405" w:rsidRPr="00030411" w:rsidRDefault="00D57405" w:rsidP="00BB5CFF">
            <w:pPr>
              <w:pStyle w:val="Bodyofcontents"/>
            </w:pPr>
          </w:p>
        </w:tc>
        <w:tc>
          <w:tcPr>
            <w:tcW w:w="283" w:type="dxa"/>
            <w:shd w:val="clear" w:color="auto" w:fill="auto"/>
          </w:tcPr>
          <w:p w14:paraId="3F8AAD20" w14:textId="77777777" w:rsidR="00D57405" w:rsidRPr="00030411" w:rsidRDefault="00D57405" w:rsidP="00BB5CFF">
            <w:pPr>
              <w:pStyle w:val="Bodyofcontents"/>
            </w:pPr>
          </w:p>
        </w:tc>
        <w:tc>
          <w:tcPr>
            <w:tcW w:w="2502" w:type="dxa"/>
            <w:shd w:val="clear" w:color="auto" w:fill="auto"/>
          </w:tcPr>
          <w:p w14:paraId="46208D99" w14:textId="77777777" w:rsidR="00D57405" w:rsidRDefault="00D57405" w:rsidP="004D6A00">
            <w:pPr>
              <w:pStyle w:val="Bodyofcontents"/>
              <w:rPr>
                <w:szCs w:val="22"/>
              </w:rPr>
            </w:pPr>
          </w:p>
        </w:tc>
      </w:tr>
      <w:tr w:rsidR="00D57405" w:rsidRPr="00030411" w14:paraId="4B51C49A" w14:textId="77777777" w:rsidTr="00D57405">
        <w:tc>
          <w:tcPr>
            <w:tcW w:w="2268" w:type="dxa"/>
            <w:shd w:val="clear" w:color="auto" w:fill="auto"/>
          </w:tcPr>
          <w:p w14:paraId="140E4139" w14:textId="77777777" w:rsidR="00D57405" w:rsidRPr="00030411" w:rsidRDefault="00D57405" w:rsidP="00D57405">
            <w:pPr>
              <w:pStyle w:val="Bodyofcontents"/>
              <w:ind w:left="-108"/>
            </w:pPr>
            <w:r>
              <w:t xml:space="preserve">CAS </w:t>
            </w:r>
            <w:r w:rsidRPr="00030411">
              <w:t xml:space="preserve">Registry </w:t>
            </w:r>
            <w:r>
              <w:t>Number:</w:t>
            </w:r>
          </w:p>
        </w:tc>
        <w:tc>
          <w:tcPr>
            <w:tcW w:w="282" w:type="dxa"/>
            <w:gridSpan w:val="2"/>
            <w:shd w:val="clear" w:color="auto" w:fill="auto"/>
          </w:tcPr>
          <w:p w14:paraId="01E8F4E3" w14:textId="77777777" w:rsidR="00D57405" w:rsidRPr="00030411" w:rsidRDefault="00D57405" w:rsidP="00BB5CFF">
            <w:pPr>
              <w:pStyle w:val="Bodyofcontents"/>
            </w:pPr>
          </w:p>
        </w:tc>
        <w:tc>
          <w:tcPr>
            <w:tcW w:w="2408" w:type="dxa"/>
            <w:gridSpan w:val="2"/>
            <w:shd w:val="clear" w:color="auto" w:fill="auto"/>
          </w:tcPr>
          <w:p w14:paraId="61075F63" w14:textId="77777777" w:rsidR="00D57405" w:rsidRPr="00D57405" w:rsidRDefault="00D57405" w:rsidP="00D57405">
            <w:pPr>
              <w:pStyle w:val="Bodyofcontents"/>
              <w:ind w:left="56"/>
              <w:rPr>
                <w:highlight w:val="yellow"/>
              </w:rPr>
            </w:pPr>
            <w:r>
              <w:rPr>
                <w:szCs w:val="22"/>
              </w:rPr>
              <w:t>180288-69-1</w:t>
            </w:r>
          </w:p>
        </w:tc>
        <w:tc>
          <w:tcPr>
            <w:tcW w:w="1729" w:type="dxa"/>
            <w:shd w:val="clear" w:color="auto" w:fill="auto"/>
          </w:tcPr>
          <w:p w14:paraId="72E33846" w14:textId="77777777" w:rsidR="00D57405" w:rsidRPr="00030411" w:rsidRDefault="00D57405" w:rsidP="00BB5CFF">
            <w:pPr>
              <w:pStyle w:val="Bodyofcontents"/>
            </w:pPr>
          </w:p>
        </w:tc>
        <w:tc>
          <w:tcPr>
            <w:tcW w:w="283" w:type="dxa"/>
            <w:shd w:val="clear" w:color="auto" w:fill="auto"/>
          </w:tcPr>
          <w:p w14:paraId="11F2C813" w14:textId="77777777" w:rsidR="00D57405" w:rsidRPr="00030411" w:rsidRDefault="00D57405" w:rsidP="00BB5CFF">
            <w:pPr>
              <w:pStyle w:val="Bodyofcontents"/>
            </w:pPr>
          </w:p>
        </w:tc>
        <w:tc>
          <w:tcPr>
            <w:tcW w:w="2502" w:type="dxa"/>
            <w:shd w:val="clear" w:color="auto" w:fill="auto"/>
          </w:tcPr>
          <w:p w14:paraId="29F23115" w14:textId="77777777" w:rsidR="00D57405" w:rsidRDefault="00D57405" w:rsidP="004D6A00">
            <w:pPr>
              <w:pStyle w:val="Bodyofcontents"/>
              <w:rPr>
                <w:szCs w:val="22"/>
              </w:rPr>
            </w:pPr>
          </w:p>
        </w:tc>
      </w:tr>
    </w:tbl>
    <w:p w14:paraId="07A94094" w14:textId="77777777" w:rsidR="004412F0" w:rsidRDefault="004412F0" w:rsidP="004412F0">
      <w:pPr>
        <w:pStyle w:val="SubjectHeading"/>
      </w:pPr>
      <w:r w:rsidRPr="00C64762">
        <w:t>DESCRIPTION</w:t>
      </w:r>
    </w:p>
    <w:p w14:paraId="031F14A8" w14:textId="27442DF1" w:rsidR="004D6A00" w:rsidRDefault="00A231CB" w:rsidP="004D6A00">
      <w:pPr>
        <w:pStyle w:val="Bodyofcontents"/>
        <w:rPr>
          <w:szCs w:val="22"/>
        </w:rPr>
      </w:pPr>
      <w:r>
        <w:rPr>
          <w:szCs w:val="22"/>
        </w:rPr>
        <w:t>OGIVRI</w:t>
      </w:r>
      <w:r w:rsidR="004D6A00">
        <w:rPr>
          <w:szCs w:val="22"/>
        </w:rPr>
        <w:t xml:space="preserve"> (</w:t>
      </w:r>
      <w:proofErr w:type="spellStart"/>
      <w:r w:rsidR="004D6A00">
        <w:rPr>
          <w:szCs w:val="22"/>
        </w:rPr>
        <w:t>trastuzumab</w:t>
      </w:r>
      <w:proofErr w:type="spellEnd"/>
      <w:r w:rsidR="004D6A00">
        <w:rPr>
          <w:szCs w:val="22"/>
        </w:rPr>
        <w:t>) is a recombinant DNA-derived humanized monoclonal antibody that selectively targets the extracellular domain of the human epidermal growth factor receptor 2 protein (HER2). The antibody is an IgG</w:t>
      </w:r>
      <w:r w:rsidR="004D6A00" w:rsidRPr="00DF210C">
        <w:rPr>
          <w:vertAlign w:val="subscript"/>
        </w:rPr>
        <w:t xml:space="preserve">1 </w:t>
      </w:r>
      <w:r w:rsidR="004D6A00">
        <w:rPr>
          <w:szCs w:val="22"/>
        </w:rPr>
        <w:t xml:space="preserve">kappa that contains human framework regions with the complementarity-determining regions of a murine anti-p185 HER2 antibody that binds to HER2. </w:t>
      </w:r>
      <w:proofErr w:type="spellStart"/>
      <w:r w:rsidR="004D6A00">
        <w:rPr>
          <w:szCs w:val="22"/>
        </w:rPr>
        <w:t>Trastuzumab</w:t>
      </w:r>
      <w:proofErr w:type="spellEnd"/>
      <w:r w:rsidR="004D6A00">
        <w:rPr>
          <w:szCs w:val="22"/>
        </w:rPr>
        <w:t xml:space="preserve"> is composed of 1,328 amino acids and has </w:t>
      </w:r>
      <w:r w:rsidR="003873C8">
        <w:rPr>
          <w:szCs w:val="22"/>
        </w:rPr>
        <w:t xml:space="preserve">a molecular weight of ~148 </w:t>
      </w:r>
      <w:proofErr w:type="spellStart"/>
      <w:r w:rsidR="003873C8">
        <w:rPr>
          <w:szCs w:val="22"/>
        </w:rPr>
        <w:t>kDa</w:t>
      </w:r>
      <w:proofErr w:type="spellEnd"/>
      <w:r w:rsidR="003873C8">
        <w:rPr>
          <w:szCs w:val="22"/>
        </w:rPr>
        <w:t>.</w:t>
      </w:r>
    </w:p>
    <w:p w14:paraId="5A682EEC" w14:textId="77777777" w:rsidR="004D6A00" w:rsidRDefault="004D6A00" w:rsidP="004D6A00">
      <w:pPr>
        <w:pStyle w:val="Bodyofcontents"/>
      </w:pPr>
      <w:r>
        <w:rPr>
          <w:szCs w:val="22"/>
        </w:rPr>
        <w:t xml:space="preserve">The humanized antibody against HER2 </w:t>
      </w:r>
      <w:proofErr w:type="gramStart"/>
      <w:r>
        <w:rPr>
          <w:szCs w:val="22"/>
        </w:rPr>
        <w:t>is produced by recombinant mammalian cells (Chinese hamster ovary (</w:t>
      </w:r>
      <w:proofErr w:type="spellStart"/>
      <w:r>
        <w:rPr>
          <w:szCs w:val="22"/>
        </w:rPr>
        <w:t>rch</w:t>
      </w:r>
      <w:proofErr w:type="spellEnd"/>
      <w:r>
        <w:rPr>
          <w:szCs w:val="22"/>
        </w:rPr>
        <w:t>)) in suspension culture in a nutrient medium and purified by affinity chromatography and ion exchange, including specific viral inactivation and removal procedures</w:t>
      </w:r>
      <w:proofErr w:type="gramEnd"/>
      <w:r>
        <w:rPr>
          <w:szCs w:val="22"/>
        </w:rPr>
        <w:t>.</w:t>
      </w:r>
    </w:p>
    <w:p w14:paraId="69DCEEEC" w14:textId="0CA307C2" w:rsidR="004D6A00" w:rsidRDefault="00A231CB" w:rsidP="004D6A00">
      <w:pPr>
        <w:pStyle w:val="Bodyofcontents"/>
      </w:pPr>
      <w:r>
        <w:t>OGIVRI</w:t>
      </w:r>
      <w:r w:rsidR="004D6A00">
        <w:t xml:space="preserve"> is a sterile, white to pale yellow, preservative-free lyop</w:t>
      </w:r>
      <w:r w:rsidR="003873C8">
        <w:t>hilized powder for IV infusion.</w:t>
      </w:r>
    </w:p>
    <w:p w14:paraId="5BC6C6BF" w14:textId="37FF601D" w:rsidR="003F590C" w:rsidRDefault="00A231CB" w:rsidP="003F590C">
      <w:pPr>
        <w:pStyle w:val="Bodyofcontents"/>
      </w:pPr>
      <w:r>
        <w:t>OGIVRI</w:t>
      </w:r>
      <w:r w:rsidR="004D6A00">
        <w:t xml:space="preserve"> is available as a single-dose vial containing 150 mg of </w:t>
      </w:r>
      <w:proofErr w:type="spellStart"/>
      <w:r w:rsidR="004D6A00">
        <w:t>trastuzumab</w:t>
      </w:r>
      <w:proofErr w:type="spellEnd"/>
      <w:r w:rsidR="004D6A00">
        <w:t xml:space="preserve"> </w:t>
      </w:r>
      <w:r w:rsidR="00C77839">
        <w:t xml:space="preserve">or as a </w:t>
      </w:r>
      <w:r w:rsidR="006460EA">
        <w:t>Pharmacy Bulk Pack,</w:t>
      </w:r>
      <w:r w:rsidR="00C77839" w:rsidRPr="00C11E1A">
        <w:t xml:space="preserve"> containing 440 mg of </w:t>
      </w:r>
      <w:proofErr w:type="spellStart"/>
      <w:r w:rsidR="00C77839" w:rsidRPr="00C11E1A">
        <w:t>trastuzumab</w:t>
      </w:r>
      <w:proofErr w:type="spellEnd"/>
      <w:r w:rsidR="00C77839">
        <w:t xml:space="preserve"> </w:t>
      </w:r>
      <w:r w:rsidR="004D6A00">
        <w:t xml:space="preserve">with the following excipients: </w:t>
      </w:r>
      <w:r w:rsidR="007543DA">
        <w:t>L-</w:t>
      </w:r>
      <w:r w:rsidR="003F590C" w:rsidRPr="001F15F5">
        <w:t>histidine hydrochloride</w:t>
      </w:r>
      <w:r w:rsidR="007543DA">
        <w:t xml:space="preserve"> monohydrate</w:t>
      </w:r>
      <w:r w:rsidR="003F590C" w:rsidRPr="001F15F5">
        <w:t xml:space="preserve">, </w:t>
      </w:r>
      <w:r w:rsidR="007543DA">
        <w:t>L-</w:t>
      </w:r>
      <w:r w:rsidR="003F590C" w:rsidRPr="001F15F5">
        <w:t>histidine, sorb</w:t>
      </w:r>
      <w:r w:rsidR="007543DA">
        <w:t>i</w:t>
      </w:r>
      <w:r w:rsidR="003F590C" w:rsidRPr="001F15F5">
        <w:t xml:space="preserve">tol and </w:t>
      </w:r>
      <w:proofErr w:type="spellStart"/>
      <w:r w:rsidR="007543DA">
        <w:t>Macrogol</w:t>
      </w:r>
      <w:proofErr w:type="spellEnd"/>
      <w:r w:rsidR="007543DA">
        <w:t xml:space="preserve"> </w:t>
      </w:r>
      <w:r w:rsidR="003F590C" w:rsidRPr="001F15F5">
        <w:t>3350.</w:t>
      </w:r>
    </w:p>
    <w:p w14:paraId="1A737CA0" w14:textId="5D8C7B7F" w:rsidR="00F50669" w:rsidRDefault="00F50669" w:rsidP="003F590C">
      <w:pPr>
        <w:pStyle w:val="Bodyofcontents"/>
      </w:pPr>
      <w:r w:rsidRPr="00203096">
        <w:t xml:space="preserve">OGIVRI is a biosimilar medicine to </w:t>
      </w:r>
      <w:r w:rsidR="003873C8">
        <w:t>Herceptin.</w:t>
      </w:r>
    </w:p>
    <w:p w14:paraId="047F1FBF" w14:textId="54D063CE" w:rsidR="003E71D3" w:rsidRDefault="003E71D3" w:rsidP="003E71D3">
      <w:pPr>
        <w:pStyle w:val="Subheading2"/>
      </w:pPr>
      <w:r>
        <w:t>Excipient with Known Effect</w:t>
      </w:r>
    </w:p>
    <w:p w14:paraId="3BA71CF7" w14:textId="77777777" w:rsidR="003E71D3" w:rsidRDefault="003E71D3" w:rsidP="002654EF">
      <w:pPr>
        <w:pStyle w:val="Subheading3"/>
      </w:pPr>
      <w:r>
        <w:t>Sorbitol</w:t>
      </w:r>
    </w:p>
    <w:p w14:paraId="150F0527" w14:textId="5B2AC044" w:rsidR="003E71D3" w:rsidRPr="00842F48" w:rsidRDefault="003E71D3" w:rsidP="003E71D3">
      <w:pPr>
        <w:pStyle w:val="Bodyofcontents"/>
      </w:pPr>
      <w:r>
        <w:t xml:space="preserve">OGIVRI contains 0.77 mg sorbitol/ 1.00 mg </w:t>
      </w:r>
      <w:proofErr w:type="spellStart"/>
      <w:r>
        <w:t>trastuzumab</w:t>
      </w:r>
      <w:proofErr w:type="spellEnd"/>
      <w:r>
        <w:t>. There is 115.2 mg of sorbitol in the 150 mg vial and 337.9 mg of sorbitol in the 440 mg Pharmacy Bulk Pack</w:t>
      </w:r>
    </w:p>
    <w:p w14:paraId="2F10578E" w14:textId="7BCB43E5" w:rsidR="004D6A00" w:rsidRDefault="004D6A00" w:rsidP="004D6A00">
      <w:pPr>
        <w:pStyle w:val="Bodyofcontents"/>
      </w:pPr>
      <w:r>
        <w:t xml:space="preserve">Reconstitution of the 150 mg vial with 7.2 mL of sterile water for injection yields 7.4 mL of a single-dose solution containing approximately 21 mg/mL </w:t>
      </w:r>
      <w:proofErr w:type="spellStart"/>
      <w:r>
        <w:t>trastuzumab</w:t>
      </w:r>
      <w:proofErr w:type="spellEnd"/>
      <w:r>
        <w:t xml:space="preserve">, at a pH of approximately 6.0. A volume overage of 4% ensures that the labelled dose </w:t>
      </w:r>
      <w:proofErr w:type="gramStart"/>
      <w:r>
        <w:t>c</w:t>
      </w:r>
      <w:r w:rsidR="003873C8">
        <w:t>an be withdrawn</w:t>
      </w:r>
      <w:proofErr w:type="gramEnd"/>
      <w:r w:rsidR="003873C8">
        <w:t xml:space="preserve"> from each vial.</w:t>
      </w:r>
    </w:p>
    <w:p w14:paraId="20FBBBAE" w14:textId="58A4C51F" w:rsidR="00EB56AB" w:rsidRDefault="00EB56AB" w:rsidP="004D6A00">
      <w:pPr>
        <w:pStyle w:val="Bodyofcontents"/>
      </w:pPr>
      <w:r w:rsidRPr="007543DA">
        <w:lastRenderedPageBreak/>
        <w:t xml:space="preserve">Reconstitution of the 440 mg vial with </w:t>
      </w:r>
      <w:r w:rsidR="00C77839" w:rsidRPr="007543DA">
        <w:t>20</w:t>
      </w:r>
      <w:r w:rsidRPr="007543DA">
        <w:t xml:space="preserve"> mL of bacteriostatic water for injection yields a </w:t>
      </w:r>
      <w:r w:rsidR="00C77839" w:rsidRPr="00C11E1A">
        <w:t>multiple</w:t>
      </w:r>
      <w:r w:rsidRPr="00C11E1A">
        <w:t>-dose so</w:t>
      </w:r>
      <w:r w:rsidR="00C77839" w:rsidRPr="0025770B">
        <w:t>lution</w:t>
      </w:r>
      <w:r w:rsidR="00C77839" w:rsidRPr="007543DA">
        <w:t xml:space="preserve"> containing approximately 21</w:t>
      </w:r>
      <w:r w:rsidRPr="007543DA">
        <w:t xml:space="preserve"> mg/mL </w:t>
      </w:r>
      <w:proofErr w:type="spellStart"/>
      <w:r w:rsidRPr="007543DA">
        <w:t>trastuzumab</w:t>
      </w:r>
      <w:proofErr w:type="spellEnd"/>
      <w:r w:rsidRPr="007543DA">
        <w:t xml:space="preserve">, at a pH of approximately </w:t>
      </w:r>
      <w:r w:rsidR="00C77839" w:rsidRPr="007543DA">
        <w:t>6.0</w:t>
      </w:r>
      <w:r w:rsidRPr="007543DA">
        <w:t>.</w:t>
      </w:r>
    </w:p>
    <w:p w14:paraId="7D2AD48C" w14:textId="77777777" w:rsidR="000B377E" w:rsidRPr="00E65C8B" w:rsidRDefault="000B377E" w:rsidP="004D6A00">
      <w:pPr>
        <w:pStyle w:val="SubjectHeading"/>
      </w:pPr>
      <w:r>
        <w:t>PHARMACOLOGY</w:t>
      </w:r>
    </w:p>
    <w:p w14:paraId="6F28EFC6" w14:textId="77777777" w:rsidR="000B377E" w:rsidRDefault="000B377E" w:rsidP="000B377E">
      <w:pPr>
        <w:pStyle w:val="Subheading1"/>
      </w:pPr>
      <w:r w:rsidRPr="00C64762">
        <w:t>Pharmacodynamics</w:t>
      </w:r>
    </w:p>
    <w:p w14:paraId="108374F2" w14:textId="6EABF5ED" w:rsidR="00693B17" w:rsidRDefault="00693B17" w:rsidP="00602F9C">
      <w:pPr>
        <w:pStyle w:val="Bodyofcontents"/>
        <w:spacing w:after="160"/>
      </w:pPr>
      <w:r>
        <w:t xml:space="preserve">The HER2 (or c-erbB2) proto-oncogene encodes for a single transmembrane spanning, receptor-like protein of 185 </w:t>
      </w:r>
      <w:proofErr w:type="spellStart"/>
      <w:r>
        <w:t>kDa</w:t>
      </w:r>
      <w:proofErr w:type="spellEnd"/>
      <w:r>
        <w:t xml:space="preserve">, which </w:t>
      </w:r>
      <w:proofErr w:type="gramStart"/>
      <w:r>
        <w:t>is structurally related</w:t>
      </w:r>
      <w:proofErr w:type="gramEnd"/>
      <w:r>
        <w:t xml:space="preserve"> to the ep</w:t>
      </w:r>
      <w:r w:rsidR="003873C8">
        <w:t>idermal growth factor receptor.</w:t>
      </w:r>
    </w:p>
    <w:p w14:paraId="1E2A1EB0" w14:textId="77777777" w:rsidR="00693B17" w:rsidRDefault="00693B17" w:rsidP="00693B17">
      <w:pPr>
        <w:pStyle w:val="Bodyofcontents"/>
      </w:pPr>
      <w:proofErr w:type="spellStart"/>
      <w:r>
        <w:t>Trastuzumab</w:t>
      </w:r>
      <w:proofErr w:type="spellEnd"/>
      <w:r>
        <w:t xml:space="preserve"> </w:t>
      </w:r>
      <w:proofErr w:type="gramStart"/>
      <w:r>
        <w:t>has been shown</w:t>
      </w:r>
      <w:proofErr w:type="gramEnd"/>
      <w:r>
        <w:t xml:space="preserve">, both in </w:t>
      </w:r>
      <w:r w:rsidRPr="001F15F5">
        <w:rPr>
          <w:i/>
        </w:rPr>
        <w:t>in-vitro</w:t>
      </w:r>
      <w:r>
        <w:t xml:space="preserve"> assays and in animals, to inhibit the proliferation of human tumour cells that overexpress HER2. </w:t>
      </w:r>
      <w:r w:rsidRPr="001F15F5">
        <w:rPr>
          <w:i/>
        </w:rPr>
        <w:t>In vitro</w:t>
      </w:r>
      <w:r>
        <w:t xml:space="preserve">, </w:t>
      </w:r>
      <w:proofErr w:type="spellStart"/>
      <w:r>
        <w:t>trastuzumab</w:t>
      </w:r>
      <w:proofErr w:type="spellEnd"/>
      <w:r>
        <w:t xml:space="preserve">-mediated antibody-dependent cell-mediated cytotoxicity (ADCC) </w:t>
      </w:r>
      <w:proofErr w:type="gramStart"/>
      <w:r>
        <w:t>has been shown to be preferentially exerted</w:t>
      </w:r>
      <w:proofErr w:type="gramEnd"/>
      <w:r>
        <w:t xml:space="preserve"> on HER2 overexpressing cancer cells compared with cancer cells that do not overexpress HER2. In animal models </w:t>
      </w:r>
      <w:r w:rsidRPr="001F15F5">
        <w:rPr>
          <w:i/>
        </w:rPr>
        <w:t>in vivo</w:t>
      </w:r>
      <w:r>
        <w:t>, murine anti-HER2 antibody inhibited the growth of human tumours overexpressing HER2, indicating that the humanized antibody (</w:t>
      </w:r>
      <w:proofErr w:type="spellStart"/>
      <w:r>
        <w:t>trastuzumab</w:t>
      </w:r>
      <w:proofErr w:type="spellEnd"/>
      <w:r>
        <w:t>) is likely also to have anti-proliferative activity in vivo against human breast tumours expressing high levels of HER2.</w:t>
      </w:r>
    </w:p>
    <w:p w14:paraId="50E8174F" w14:textId="77777777" w:rsidR="000B377E" w:rsidRDefault="000B377E" w:rsidP="000B377E">
      <w:pPr>
        <w:pStyle w:val="Subheading1"/>
      </w:pPr>
      <w:r w:rsidRPr="00C64762">
        <w:t>Pharmacokinetics</w:t>
      </w:r>
    </w:p>
    <w:p w14:paraId="72D31593" w14:textId="22C3FBD7" w:rsidR="00693B17" w:rsidRPr="00693B17" w:rsidRDefault="00693B17" w:rsidP="00602F9C">
      <w:pPr>
        <w:pStyle w:val="Bodyofcontents"/>
        <w:spacing w:after="160"/>
      </w:pPr>
      <w:r>
        <w:t xml:space="preserve">The pharmacokinetics of </w:t>
      </w:r>
      <w:proofErr w:type="spellStart"/>
      <w:r>
        <w:t>trastuzumab</w:t>
      </w:r>
      <w:proofErr w:type="spellEnd"/>
      <w:r>
        <w:t xml:space="preserve"> </w:t>
      </w:r>
      <w:proofErr w:type="gramStart"/>
      <w:r>
        <w:t>have been studied in patients with breast cancer (metastatic and early) and advanced gastric cancer (AGC)</w:t>
      </w:r>
      <w:proofErr w:type="gramEnd"/>
      <w:r w:rsidR="003873C8">
        <w:t>.</w:t>
      </w:r>
    </w:p>
    <w:p w14:paraId="26EFAD7A" w14:textId="1C8D3EFC" w:rsidR="00693B17" w:rsidRDefault="00693B17" w:rsidP="00602F9C">
      <w:pPr>
        <w:pStyle w:val="Bodyofcontents"/>
        <w:spacing w:after="160"/>
      </w:pPr>
      <w:r>
        <w:t xml:space="preserve">The pharmacokinetics of </w:t>
      </w:r>
      <w:proofErr w:type="spellStart"/>
      <w:r>
        <w:t>trastuzumab</w:t>
      </w:r>
      <w:proofErr w:type="spellEnd"/>
      <w:r>
        <w:t xml:space="preserve"> were evaluated in a population pharmacokinetic model analysis using pooled data from 1,582 from 18 Phase I, II and III trials receiving </w:t>
      </w:r>
      <w:proofErr w:type="spellStart"/>
      <w:r w:rsidR="00477D2C">
        <w:t>trastuzumab</w:t>
      </w:r>
      <w:proofErr w:type="spellEnd"/>
      <w:r>
        <w:t xml:space="preserve"> IV to treat a range of cancers, but mostly breast and gastric cancer. A two-compartment model with parallel linear and non-linear elimination from the central compartment described the </w:t>
      </w:r>
      <w:proofErr w:type="spellStart"/>
      <w:r>
        <w:t>trastuzumab</w:t>
      </w:r>
      <w:proofErr w:type="spellEnd"/>
      <w:r>
        <w:t xml:space="preserve"> concentration-time profile. Due to the non-linear elimination, total clearance increased with decreasing concentrations. Linear clearance was 0.127 L/day for breast cancer (metastatic and early) and 0.176 L/day for AGC. The nonlinear elimination parameter values were 8.81 mg/day for the maximum elimination rate (</w:t>
      </w:r>
      <w:proofErr w:type="spellStart"/>
      <w:r>
        <w:t>Vmax</w:t>
      </w:r>
      <w:proofErr w:type="spellEnd"/>
      <w:r>
        <w:t xml:space="preserve">) and 8.92 mg/L for the </w:t>
      </w:r>
      <w:proofErr w:type="spellStart"/>
      <w:r>
        <w:t>Michaelis-Menten</w:t>
      </w:r>
      <w:proofErr w:type="spellEnd"/>
      <w:r>
        <w:t xml:space="preserve"> constant (Km). The central compartment volume was 2.62 L for patients with breast cancer an</w:t>
      </w:r>
      <w:r w:rsidR="003873C8">
        <w:t>d 3.63 L for patients with AGC.</w:t>
      </w:r>
    </w:p>
    <w:p w14:paraId="53DEEB93" w14:textId="77777777" w:rsidR="00693B17" w:rsidRDefault="00693B17" w:rsidP="00693B17">
      <w:pPr>
        <w:pStyle w:val="Bodyofcontents"/>
      </w:pPr>
      <w:r>
        <w:t>The population predicted PK exposures (with 5</w:t>
      </w:r>
      <w:r w:rsidRPr="001F15F5">
        <w:rPr>
          <w:vertAlign w:val="superscript"/>
        </w:rPr>
        <w:t>th</w:t>
      </w:r>
      <w:r w:rsidRPr="00DF210C">
        <w:rPr>
          <w:vertAlign w:val="subscript"/>
        </w:rPr>
        <w:t xml:space="preserve"> </w:t>
      </w:r>
      <w:r>
        <w:t>- 95</w:t>
      </w:r>
      <w:r w:rsidRPr="001F15F5">
        <w:rPr>
          <w:vertAlign w:val="superscript"/>
        </w:rPr>
        <w:t>th</w:t>
      </w:r>
      <w:r w:rsidRPr="00DF210C">
        <w:rPr>
          <w:vertAlign w:val="subscript"/>
        </w:rPr>
        <w:t xml:space="preserve"> </w:t>
      </w:r>
      <w:r>
        <w:t>Percentiles) and PK parameter values at clinically relevant concentrations (</w:t>
      </w:r>
      <w:proofErr w:type="spellStart"/>
      <w:r>
        <w:t>C</w:t>
      </w:r>
      <w:r w:rsidRPr="00DF210C">
        <w:rPr>
          <w:vertAlign w:val="subscript"/>
        </w:rPr>
        <w:t>max</w:t>
      </w:r>
      <w:proofErr w:type="spellEnd"/>
      <w:r w:rsidRPr="00DF210C">
        <w:rPr>
          <w:vertAlign w:val="subscript"/>
        </w:rPr>
        <w:t xml:space="preserve"> </w:t>
      </w:r>
      <w:r>
        <w:t xml:space="preserve">and </w:t>
      </w:r>
      <w:proofErr w:type="spellStart"/>
      <w:r>
        <w:t>C</w:t>
      </w:r>
      <w:r w:rsidRPr="00DF210C">
        <w:rPr>
          <w:vertAlign w:val="subscript"/>
        </w:rPr>
        <w:t>min</w:t>
      </w:r>
      <w:proofErr w:type="spellEnd"/>
      <w:r>
        <w:t>) for breast cancer and AGC patients treated with the approved q1w and q3w dosing regimens are shown in Table 1 (Cycle 1) and Table 2 (</w:t>
      </w:r>
      <w:proofErr w:type="gramStart"/>
      <w:r>
        <w:t>steady-state</w:t>
      </w:r>
      <w:proofErr w:type="gramEnd"/>
      <w:r>
        <w:t>) below.</w:t>
      </w:r>
    </w:p>
    <w:p w14:paraId="2A004078" w14:textId="77777777" w:rsidR="00693B17" w:rsidRDefault="00693B17" w:rsidP="000E60EC">
      <w:pPr>
        <w:pStyle w:val="TableTitle"/>
        <w:spacing w:after="120"/>
      </w:pPr>
      <w:r>
        <w:t>Table 1: Population Predicted Cycle 1 PK Exposure Values (with 5</w:t>
      </w:r>
      <w:r w:rsidRPr="001F15F5">
        <w:rPr>
          <w:bCs/>
          <w:vertAlign w:val="superscript"/>
        </w:rPr>
        <w:t>th</w:t>
      </w:r>
      <w:r w:rsidRPr="00C4138E">
        <w:rPr>
          <w:bCs/>
          <w:vertAlign w:val="subscript"/>
        </w:rPr>
        <w:t xml:space="preserve"> </w:t>
      </w:r>
      <w:r>
        <w:t>- 95</w:t>
      </w:r>
      <w:r w:rsidRPr="001F15F5">
        <w:rPr>
          <w:bCs/>
          <w:vertAlign w:val="superscript"/>
        </w:rPr>
        <w:t>th</w:t>
      </w:r>
      <w:r w:rsidRPr="00C4138E">
        <w:rPr>
          <w:bCs/>
          <w:vertAlign w:val="subscript"/>
        </w:rPr>
        <w:t xml:space="preserve"> </w:t>
      </w:r>
      <w:r>
        <w:t>Percentiles) for IV Regimens in Breast Cancer and AGC Patients</w:t>
      </w:r>
    </w:p>
    <w:tbl>
      <w:tblPr>
        <w:tblStyle w:val="TableGrid"/>
        <w:tblW w:w="0" w:type="auto"/>
        <w:tblLook w:val="04A0" w:firstRow="1" w:lastRow="0" w:firstColumn="1" w:lastColumn="0" w:noHBand="0" w:noVBand="1"/>
      </w:tblPr>
      <w:tblGrid>
        <w:gridCol w:w="1502"/>
        <w:gridCol w:w="1502"/>
        <w:gridCol w:w="1244"/>
        <w:gridCol w:w="1417"/>
        <w:gridCol w:w="1560"/>
        <w:gridCol w:w="1791"/>
      </w:tblGrid>
      <w:tr w:rsidR="00693B17" w14:paraId="53093730" w14:textId="77777777" w:rsidTr="008E787A">
        <w:tc>
          <w:tcPr>
            <w:tcW w:w="1502" w:type="dxa"/>
          </w:tcPr>
          <w:p w14:paraId="6E8A0139" w14:textId="77777777" w:rsidR="00693B17" w:rsidRDefault="00693B17" w:rsidP="006A1FD6">
            <w:pPr>
              <w:pStyle w:val="TableHeading"/>
              <w:jc w:val="center"/>
            </w:pPr>
            <w:r>
              <w:t>Regimen</w:t>
            </w:r>
          </w:p>
        </w:tc>
        <w:tc>
          <w:tcPr>
            <w:tcW w:w="1502" w:type="dxa"/>
          </w:tcPr>
          <w:p w14:paraId="3F5DDD6B" w14:textId="77777777" w:rsidR="00693B17" w:rsidRDefault="00693B17" w:rsidP="006A1FD6">
            <w:pPr>
              <w:pStyle w:val="TableHeading"/>
              <w:jc w:val="center"/>
            </w:pPr>
            <w:r>
              <w:t>Primary tumor type</w:t>
            </w:r>
          </w:p>
        </w:tc>
        <w:tc>
          <w:tcPr>
            <w:tcW w:w="1244" w:type="dxa"/>
          </w:tcPr>
          <w:p w14:paraId="0F043980" w14:textId="77777777" w:rsidR="00693B17" w:rsidRDefault="00693B17" w:rsidP="006A1FD6">
            <w:pPr>
              <w:pStyle w:val="TableHeading"/>
              <w:jc w:val="center"/>
            </w:pPr>
            <w:r>
              <w:t>N</w:t>
            </w:r>
          </w:p>
        </w:tc>
        <w:tc>
          <w:tcPr>
            <w:tcW w:w="1417" w:type="dxa"/>
          </w:tcPr>
          <w:p w14:paraId="301E9EFF" w14:textId="77777777" w:rsidR="00693B17" w:rsidRDefault="00693B17" w:rsidP="006A1FD6">
            <w:pPr>
              <w:pStyle w:val="TableHeading"/>
              <w:jc w:val="center"/>
            </w:pPr>
            <w:proofErr w:type="spellStart"/>
            <w:r>
              <w:t>Cmin</w:t>
            </w:r>
            <w:proofErr w:type="spellEnd"/>
          </w:p>
          <w:p w14:paraId="21C658A8" w14:textId="77777777" w:rsidR="00693B17" w:rsidRDefault="00693B17" w:rsidP="006A1FD6">
            <w:pPr>
              <w:pStyle w:val="TableHeading"/>
              <w:jc w:val="center"/>
            </w:pPr>
            <w:r>
              <w:t>(</w:t>
            </w:r>
            <w:proofErr w:type="spellStart"/>
            <w:r>
              <w:t>μg</w:t>
            </w:r>
            <w:proofErr w:type="spellEnd"/>
            <w:r>
              <w:t>/mL)</w:t>
            </w:r>
          </w:p>
        </w:tc>
        <w:tc>
          <w:tcPr>
            <w:tcW w:w="1560" w:type="dxa"/>
          </w:tcPr>
          <w:p w14:paraId="5143EB77" w14:textId="77777777" w:rsidR="00693B17" w:rsidRDefault="00693B17" w:rsidP="006A1FD6">
            <w:pPr>
              <w:pStyle w:val="TableHeading"/>
              <w:jc w:val="center"/>
            </w:pPr>
            <w:proofErr w:type="spellStart"/>
            <w:r>
              <w:t>Cmax</w:t>
            </w:r>
            <w:proofErr w:type="spellEnd"/>
          </w:p>
          <w:p w14:paraId="35AD042E" w14:textId="77777777" w:rsidR="00693B17" w:rsidRDefault="00693B17" w:rsidP="006A1FD6">
            <w:pPr>
              <w:pStyle w:val="TableHeading"/>
              <w:jc w:val="center"/>
            </w:pPr>
            <w:r>
              <w:t>(</w:t>
            </w:r>
            <w:proofErr w:type="spellStart"/>
            <w:r>
              <w:t>μg</w:t>
            </w:r>
            <w:proofErr w:type="spellEnd"/>
            <w:r>
              <w:t>/mL)</w:t>
            </w:r>
          </w:p>
        </w:tc>
        <w:tc>
          <w:tcPr>
            <w:tcW w:w="1791" w:type="dxa"/>
          </w:tcPr>
          <w:p w14:paraId="49862B48" w14:textId="77777777" w:rsidR="00693B17" w:rsidRDefault="00693B17" w:rsidP="006A1FD6">
            <w:pPr>
              <w:pStyle w:val="TableHeading"/>
              <w:jc w:val="center"/>
            </w:pPr>
            <w:r>
              <w:t>AUC</w:t>
            </w:r>
          </w:p>
          <w:p w14:paraId="3B374971" w14:textId="77777777" w:rsidR="00693B17" w:rsidRDefault="00693B17" w:rsidP="006A1FD6">
            <w:pPr>
              <w:pStyle w:val="TableHeading"/>
              <w:jc w:val="center"/>
            </w:pPr>
            <w:r>
              <w:t>(</w:t>
            </w:r>
            <w:proofErr w:type="spellStart"/>
            <w:r>
              <w:t>μg.day</w:t>
            </w:r>
            <w:proofErr w:type="spellEnd"/>
            <w:r>
              <w:t>/mL)</w:t>
            </w:r>
          </w:p>
        </w:tc>
      </w:tr>
      <w:tr w:rsidR="00693B17" w14:paraId="3C0B0279" w14:textId="77777777" w:rsidTr="00602F9C">
        <w:tc>
          <w:tcPr>
            <w:tcW w:w="1502" w:type="dxa"/>
            <w:vMerge w:val="restart"/>
          </w:tcPr>
          <w:p w14:paraId="2396FCB0" w14:textId="77777777" w:rsidR="00840078" w:rsidRDefault="00840078" w:rsidP="00840078">
            <w:pPr>
              <w:pStyle w:val="TableBody"/>
              <w:jc w:val="center"/>
            </w:pPr>
          </w:p>
          <w:p w14:paraId="35CEF39E" w14:textId="77777777" w:rsidR="00693B17" w:rsidRDefault="00693B17" w:rsidP="008E787A">
            <w:pPr>
              <w:pStyle w:val="TableBody"/>
              <w:jc w:val="center"/>
            </w:pPr>
            <w:r>
              <w:t>8mg/kg + 6mg/kg q3w</w:t>
            </w:r>
          </w:p>
        </w:tc>
        <w:tc>
          <w:tcPr>
            <w:tcW w:w="1502" w:type="dxa"/>
            <w:vAlign w:val="center"/>
          </w:tcPr>
          <w:p w14:paraId="361E304E" w14:textId="77777777" w:rsidR="00693B17" w:rsidRDefault="00693B17" w:rsidP="00602F9C">
            <w:pPr>
              <w:pStyle w:val="TableBody"/>
              <w:jc w:val="center"/>
            </w:pPr>
            <w:r>
              <w:t>MBC/EBC</w:t>
            </w:r>
          </w:p>
        </w:tc>
        <w:tc>
          <w:tcPr>
            <w:tcW w:w="1244" w:type="dxa"/>
            <w:vAlign w:val="center"/>
          </w:tcPr>
          <w:p w14:paraId="3F2FDE9A" w14:textId="77777777" w:rsidR="00693B17" w:rsidRDefault="00693B17" w:rsidP="00602F9C">
            <w:pPr>
              <w:pStyle w:val="TableBody"/>
              <w:jc w:val="center"/>
            </w:pPr>
            <w:r>
              <w:t>1195</w:t>
            </w:r>
          </w:p>
        </w:tc>
        <w:tc>
          <w:tcPr>
            <w:tcW w:w="1417" w:type="dxa"/>
            <w:vAlign w:val="center"/>
          </w:tcPr>
          <w:p w14:paraId="2A7B919D" w14:textId="77777777" w:rsidR="00693B17" w:rsidRDefault="00693B17" w:rsidP="00602F9C">
            <w:pPr>
              <w:pStyle w:val="TableBody"/>
              <w:jc w:val="center"/>
            </w:pPr>
            <w:r>
              <w:t>29.4</w:t>
            </w:r>
          </w:p>
          <w:p w14:paraId="618DFB71" w14:textId="77777777" w:rsidR="00693B17" w:rsidRDefault="00693B17" w:rsidP="00602F9C">
            <w:pPr>
              <w:pStyle w:val="TableBody"/>
              <w:jc w:val="center"/>
            </w:pPr>
            <w:r>
              <w:t xml:space="preserve">(5.8 </w:t>
            </w:r>
            <w:r w:rsidR="008E787A">
              <w:t>–</w:t>
            </w:r>
            <w:r>
              <w:t xml:space="preserve"> 59.5)</w:t>
            </w:r>
          </w:p>
        </w:tc>
        <w:tc>
          <w:tcPr>
            <w:tcW w:w="1560" w:type="dxa"/>
            <w:vAlign w:val="center"/>
          </w:tcPr>
          <w:p w14:paraId="1EF3FBDD" w14:textId="77777777" w:rsidR="00693B17" w:rsidRDefault="00693B17" w:rsidP="00602F9C">
            <w:pPr>
              <w:pStyle w:val="TableBody"/>
              <w:jc w:val="center"/>
            </w:pPr>
            <w:r>
              <w:t>178.0</w:t>
            </w:r>
          </w:p>
          <w:p w14:paraId="111210A6" w14:textId="77777777" w:rsidR="00693B17" w:rsidRDefault="00693B17" w:rsidP="00602F9C">
            <w:pPr>
              <w:pStyle w:val="TableBody"/>
              <w:jc w:val="center"/>
            </w:pPr>
            <w:r>
              <w:t>(116.5 – 290.5)</w:t>
            </w:r>
          </w:p>
        </w:tc>
        <w:tc>
          <w:tcPr>
            <w:tcW w:w="1791" w:type="dxa"/>
            <w:vAlign w:val="center"/>
          </w:tcPr>
          <w:p w14:paraId="7D156F17" w14:textId="77777777" w:rsidR="00693B17" w:rsidRDefault="00693B17" w:rsidP="00602F9C">
            <w:pPr>
              <w:pStyle w:val="TableBody"/>
              <w:jc w:val="center"/>
            </w:pPr>
            <w:r>
              <w:t>1372.5</w:t>
            </w:r>
          </w:p>
          <w:p w14:paraId="3A53CDCD" w14:textId="77777777" w:rsidR="00693B17" w:rsidRDefault="00693B17" w:rsidP="00602F9C">
            <w:pPr>
              <w:pStyle w:val="TableBody"/>
              <w:jc w:val="center"/>
            </w:pPr>
            <w:r>
              <w:t>(735.8 – 2245.0)</w:t>
            </w:r>
          </w:p>
        </w:tc>
      </w:tr>
      <w:tr w:rsidR="00693B17" w14:paraId="3DB46A7A" w14:textId="77777777" w:rsidTr="00602F9C">
        <w:trPr>
          <w:trHeight w:val="604"/>
        </w:trPr>
        <w:tc>
          <w:tcPr>
            <w:tcW w:w="1502" w:type="dxa"/>
            <w:vMerge/>
          </w:tcPr>
          <w:p w14:paraId="0D6A9D00" w14:textId="77777777" w:rsidR="00693B17" w:rsidRDefault="00693B17" w:rsidP="00840078">
            <w:pPr>
              <w:pStyle w:val="TableBody"/>
              <w:jc w:val="center"/>
            </w:pPr>
          </w:p>
        </w:tc>
        <w:tc>
          <w:tcPr>
            <w:tcW w:w="1502" w:type="dxa"/>
            <w:vAlign w:val="center"/>
          </w:tcPr>
          <w:p w14:paraId="30FDFC3D" w14:textId="77777777" w:rsidR="00693B17" w:rsidRDefault="00693B17" w:rsidP="00602F9C">
            <w:pPr>
              <w:pStyle w:val="TableBody"/>
              <w:jc w:val="center"/>
            </w:pPr>
            <w:r>
              <w:t>AGC</w:t>
            </w:r>
          </w:p>
        </w:tc>
        <w:tc>
          <w:tcPr>
            <w:tcW w:w="1244" w:type="dxa"/>
            <w:vAlign w:val="center"/>
          </w:tcPr>
          <w:p w14:paraId="1AC27579" w14:textId="77777777" w:rsidR="00693B17" w:rsidRDefault="00693B17" w:rsidP="00602F9C">
            <w:pPr>
              <w:pStyle w:val="TableBody"/>
              <w:jc w:val="center"/>
            </w:pPr>
            <w:r>
              <w:t>274</w:t>
            </w:r>
          </w:p>
        </w:tc>
        <w:tc>
          <w:tcPr>
            <w:tcW w:w="1417" w:type="dxa"/>
            <w:vAlign w:val="center"/>
          </w:tcPr>
          <w:p w14:paraId="3121571C" w14:textId="77777777" w:rsidR="00693B17" w:rsidRDefault="00693B17" w:rsidP="00602F9C">
            <w:pPr>
              <w:pStyle w:val="TableBody"/>
              <w:jc w:val="center"/>
            </w:pPr>
            <w:r>
              <w:t>23.1</w:t>
            </w:r>
          </w:p>
          <w:p w14:paraId="671790D4" w14:textId="77777777" w:rsidR="00693B17" w:rsidRDefault="00693B17" w:rsidP="00602F9C">
            <w:pPr>
              <w:pStyle w:val="TableBody"/>
              <w:jc w:val="center"/>
            </w:pPr>
            <w:r>
              <w:t xml:space="preserve">(6.1 </w:t>
            </w:r>
            <w:r w:rsidR="008E787A">
              <w:t>–</w:t>
            </w:r>
            <w:r>
              <w:t xml:space="preserve"> 50.3)</w:t>
            </w:r>
          </w:p>
        </w:tc>
        <w:tc>
          <w:tcPr>
            <w:tcW w:w="1560" w:type="dxa"/>
            <w:vAlign w:val="center"/>
          </w:tcPr>
          <w:p w14:paraId="0E1C160C" w14:textId="77777777" w:rsidR="00693B17" w:rsidRDefault="00693B17" w:rsidP="00602F9C">
            <w:pPr>
              <w:pStyle w:val="TableBody"/>
              <w:jc w:val="center"/>
            </w:pPr>
            <w:r>
              <w:t>131.9</w:t>
            </w:r>
          </w:p>
          <w:p w14:paraId="66867597" w14:textId="77777777" w:rsidR="00693B17" w:rsidRDefault="00693B17" w:rsidP="00602F9C">
            <w:pPr>
              <w:pStyle w:val="TableBody"/>
              <w:jc w:val="center"/>
            </w:pPr>
            <w:r>
              <w:t>(84.2 – 225.2)</w:t>
            </w:r>
          </w:p>
        </w:tc>
        <w:tc>
          <w:tcPr>
            <w:tcW w:w="1791" w:type="dxa"/>
            <w:vAlign w:val="center"/>
          </w:tcPr>
          <w:p w14:paraId="4F5A1AA4" w14:textId="77777777" w:rsidR="00693B17" w:rsidRDefault="00693B17" w:rsidP="00602F9C">
            <w:pPr>
              <w:pStyle w:val="TableBody"/>
              <w:jc w:val="center"/>
            </w:pPr>
            <w:r>
              <w:t>1108.5</w:t>
            </w:r>
          </w:p>
          <w:p w14:paraId="4EBCD7EC" w14:textId="77777777" w:rsidR="00693B17" w:rsidRDefault="00693B17" w:rsidP="00602F9C">
            <w:pPr>
              <w:pStyle w:val="TableBody"/>
              <w:jc w:val="center"/>
            </w:pPr>
            <w:r>
              <w:t>(588.2 – 1937.9)</w:t>
            </w:r>
          </w:p>
        </w:tc>
      </w:tr>
      <w:tr w:rsidR="00693B17" w14:paraId="61490C57" w14:textId="77777777" w:rsidTr="00602F9C">
        <w:tc>
          <w:tcPr>
            <w:tcW w:w="1502" w:type="dxa"/>
          </w:tcPr>
          <w:p w14:paraId="4DCADC6A" w14:textId="77777777" w:rsidR="00693B17" w:rsidRDefault="00693B17" w:rsidP="008E787A">
            <w:pPr>
              <w:pStyle w:val="TableBody"/>
              <w:jc w:val="center"/>
            </w:pPr>
            <w:r>
              <w:t xml:space="preserve">4mg/kg + 2mg/kg </w:t>
            </w:r>
            <w:proofErr w:type="spellStart"/>
            <w:r>
              <w:t>qw</w:t>
            </w:r>
            <w:proofErr w:type="spellEnd"/>
          </w:p>
        </w:tc>
        <w:tc>
          <w:tcPr>
            <w:tcW w:w="1502" w:type="dxa"/>
            <w:vAlign w:val="center"/>
          </w:tcPr>
          <w:p w14:paraId="34113C6C" w14:textId="77777777" w:rsidR="00693B17" w:rsidRDefault="00693B17" w:rsidP="00602F9C">
            <w:pPr>
              <w:pStyle w:val="TableBody"/>
              <w:jc w:val="center"/>
            </w:pPr>
            <w:r>
              <w:t>MBC/EBC</w:t>
            </w:r>
          </w:p>
        </w:tc>
        <w:tc>
          <w:tcPr>
            <w:tcW w:w="1244" w:type="dxa"/>
            <w:vAlign w:val="center"/>
          </w:tcPr>
          <w:p w14:paraId="1447BA67" w14:textId="77777777" w:rsidR="00693B17" w:rsidRDefault="00693B17" w:rsidP="00602F9C">
            <w:pPr>
              <w:pStyle w:val="TableBody"/>
              <w:jc w:val="center"/>
            </w:pPr>
            <w:r>
              <w:t>1195</w:t>
            </w:r>
          </w:p>
        </w:tc>
        <w:tc>
          <w:tcPr>
            <w:tcW w:w="1417" w:type="dxa"/>
            <w:vAlign w:val="center"/>
          </w:tcPr>
          <w:p w14:paraId="1EC6B99E" w14:textId="77777777" w:rsidR="00693B17" w:rsidRDefault="00693B17" w:rsidP="00602F9C">
            <w:pPr>
              <w:pStyle w:val="TableBody"/>
              <w:jc w:val="center"/>
            </w:pPr>
            <w:r>
              <w:t>37.7</w:t>
            </w:r>
          </w:p>
          <w:p w14:paraId="48CB9EB7" w14:textId="77777777" w:rsidR="00693B17" w:rsidRDefault="00693B17" w:rsidP="00602F9C">
            <w:pPr>
              <w:pStyle w:val="TableBody"/>
            </w:pPr>
            <w:r>
              <w:t xml:space="preserve">(12.3 </w:t>
            </w:r>
            <w:r w:rsidR="008E787A">
              <w:t>–</w:t>
            </w:r>
            <w:r>
              <w:t>70.9)</w:t>
            </w:r>
          </w:p>
        </w:tc>
        <w:tc>
          <w:tcPr>
            <w:tcW w:w="1560" w:type="dxa"/>
            <w:vAlign w:val="center"/>
          </w:tcPr>
          <w:p w14:paraId="4694B4C9" w14:textId="77777777" w:rsidR="00693B17" w:rsidRDefault="00693B17" w:rsidP="00602F9C">
            <w:pPr>
              <w:pStyle w:val="TableBody"/>
              <w:jc w:val="center"/>
            </w:pPr>
            <w:r>
              <w:t>88.3</w:t>
            </w:r>
          </w:p>
          <w:p w14:paraId="51E868D9" w14:textId="77777777" w:rsidR="00693B17" w:rsidRDefault="00693B17" w:rsidP="00602F9C">
            <w:pPr>
              <w:pStyle w:val="TableBody"/>
              <w:jc w:val="center"/>
            </w:pPr>
            <w:r>
              <w:t>(58.0 – 144.4)</w:t>
            </w:r>
          </w:p>
        </w:tc>
        <w:tc>
          <w:tcPr>
            <w:tcW w:w="1791" w:type="dxa"/>
            <w:vAlign w:val="center"/>
          </w:tcPr>
          <w:p w14:paraId="5C0B20E6" w14:textId="77777777" w:rsidR="00693B17" w:rsidRDefault="00693B17" w:rsidP="00602F9C">
            <w:pPr>
              <w:pStyle w:val="TableBody"/>
              <w:jc w:val="center"/>
            </w:pPr>
            <w:r>
              <w:t>1066.0</w:t>
            </w:r>
          </w:p>
          <w:p w14:paraId="31FA101E" w14:textId="77777777" w:rsidR="00693B17" w:rsidRDefault="00693B17" w:rsidP="00602F9C">
            <w:pPr>
              <w:pStyle w:val="TableBody"/>
              <w:jc w:val="center"/>
            </w:pPr>
            <w:r>
              <w:t>(585.6 – 1754.2)</w:t>
            </w:r>
          </w:p>
        </w:tc>
      </w:tr>
    </w:tbl>
    <w:p w14:paraId="4A6B3D59" w14:textId="77777777" w:rsidR="00693B17" w:rsidRDefault="00693B17" w:rsidP="00693B17">
      <w:pPr>
        <w:pStyle w:val="TableTitle"/>
      </w:pPr>
    </w:p>
    <w:p w14:paraId="0F1D4DB6" w14:textId="4ACAAED7" w:rsidR="00693B17" w:rsidRDefault="00693B17" w:rsidP="000E60EC">
      <w:pPr>
        <w:pStyle w:val="TableTitle"/>
        <w:spacing w:after="120"/>
        <w:rPr>
          <w:szCs w:val="22"/>
        </w:rPr>
      </w:pPr>
      <w:r>
        <w:rPr>
          <w:szCs w:val="22"/>
        </w:rPr>
        <w:t>Table 2: Population Predicted Steady State PK Exposure Values (with 5</w:t>
      </w:r>
      <w:r w:rsidRPr="00C4138E">
        <w:rPr>
          <w:bCs/>
          <w:vertAlign w:val="subscript"/>
        </w:rPr>
        <w:t xml:space="preserve">th </w:t>
      </w:r>
      <w:r>
        <w:rPr>
          <w:szCs w:val="22"/>
        </w:rPr>
        <w:t>- 95</w:t>
      </w:r>
      <w:r w:rsidRPr="00C4138E">
        <w:rPr>
          <w:bCs/>
          <w:vertAlign w:val="subscript"/>
        </w:rPr>
        <w:t xml:space="preserve">th </w:t>
      </w:r>
      <w:r>
        <w:rPr>
          <w:szCs w:val="22"/>
        </w:rPr>
        <w:t xml:space="preserve">Percentiles) for </w:t>
      </w:r>
      <w:proofErr w:type="spellStart"/>
      <w:r w:rsidR="008E787A">
        <w:rPr>
          <w:szCs w:val="22"/>
        </w:rPr>
        <w:t>trastuzumab</w:t>
      </w:r>
      <w:proofErr w:type="spellEnd"/>
      <w:r>
        <w:rPr>
          <w:szCs w:val="22"/>
        </w:rPr>
        <w:t xml:space="preserve"> IV Dosing Regimens in Breast Cancer and AGC Patients</w:t>
      </w:r>
    </w:p>
    <w:tbl>
      <w:tblPr>
        <w:tblStyle w:val="TableGrid"/>
        <w:tblW w:w="9074" w:type="dxa"/>
        <w:tblLook w:val="04A0" w:firstRow="1" w:lastRow="0" w:firstColumn="1" w:lastColumn="0" w:noHBand="0" w:noVBand="1"/>
      </w:tblPr>
      <w:tblGrid>
        <w:gridCol w:w="1112"/>
        <w:gridCol w:w="1107"/>
        <w:gridCol w:w="753"/>
        <w:gridCol w:w="1112"/>
        <w:gridCol w:w="1298"/>
        <w:gridCol w:w="1417"/>
        <w:gridCol w:w="1100"/>
        <w:gridCol w:w="1175"/>
      </w:tblGrid>
      <w:tr w:rsidR="00693B17" w14:paraId="6AC5339E" w14:textId="77777777" w:rsidTr="00CB2299">
        <w:trPr>
          <w:tblHeader/>
        </w:trPr>
        <w:tc>
          <w:tcPr>
            <w:tcW w:w="1112" w:type="dxa"/>
          </w:tcPr>
          <w:p w14:paraId="5A73C326" w14:textId="77777777" w:rsidR="00693B17" w:rsidRPr="007C6EBE" w:rsidRDefault="00693B17" w:rsidP="000E60EC">
            <w:pPr>
              <w:pStyle w:val="TableHeading"/>
              <w:ind w:left="-57" w:right="-57"/>
              <w:jc w:val="center"/>
              <w:rPr>
                <w:bCs/>
              </w:rPr>
            </w:pPr>
            <w:r w:rsidRPr="007C6EBE">
              <w:rPr>
                <w:bCs/>
              </w:rPr>
              <w:lastRenderedPageBreak/>
              <w:t xml:space="preserve">Regimen </w:t>
            </w:r>
          </w:p>
        </w:tc>
        <w:tc>
          <w:tcPr>
            <w:tcW w:w="1107" w:type="dxa"/>
          </w:tcPr>
          <w:p w14:paraId="26126A70" w14:textId="77777777" w:rsidR="00693B17" w:rsidRPr="007C6EBE" w:rsidRDefault="00693B17" w:rsidP="000E60EC">
            <w:pPr>
              <w:pStyle w:val="TableHeading"/>
              <w:ind w:left="-57" w:right="-57"/>
              <w:jc w:val="center"/>
              <w:rPr>
                <w:bCs/>
              </w:rPr>
            </w:pPr>
            <w:r w:rsidRPr="007C6EBE">
              <w:rPr>
                <w:bCs/>
              </w:rPr>
              <w:t xml:space="preserve">Primary tumor type </w:t>
            </w:r>
          </w:p>
        </w:tc>
        <w:tc>
          <w:tcPr>
            <w:tcW w:w="753" w:type="dxa"/>
          </w:tcPr>
          <w:p w14:paraId="2B8A182A" w14:textId="77777777" w:rsidR="00693B17" w:rsidRPr="007C6EBE" w:rsidRDefault="00693B17" w:rsidP="000E60EC">
            <w:pPr>
              <w:pStyle w:val="TableHeading"/>
              <w:ind w:left="-57" w:right="-57"/>
              <w:jc w:val="center"/>
              <w:rPr>
                <w:bCs/>
              </w:rPr>
            </w:pPr>
            <w:r w:rsidRPr="007C6EBE">
              <w:rPr>
                <w:bCs/>
              </w:rPr>
              <w:t xml:space="preserve">N </w:t>
            </w:r>
          </w:p>
        </w:tc>
        <w:tc>
          <w:tcPr>
            <w:tcW w:w="1112" w:type="dxa"/>
          </w:tcPr>
          <w:p w14:paraId="6BCDD60D" w14:textId="77777777" w:rsidR="00693B17" w:rsidRPr="007C6EBE" w:rsidRDefault="00693B17" w:rsidP="000E60EC">
            <w:pPr>
              <w:pStyle w:val="TableHeading"/>
              <w:ind w:left="-57" w:right="-57"/>
              <w:jc w:val="center"/>
              <w:rPr>
                <w:bCs/>
              </w:rPr>
            </w:pPr>
            <w:proofErr w:type="spellStart"/>
            <w:r w:rsidRPr="007C6EBE">
              <w:rPr>
                <w:bCs/>
              </w:rPr>
              <w:t>Cmin,ss</w:t>
            </w:r>
            <w:proofErr w:type="spellEnd"/>
            <w:r w:rsidRPr="007C6EBE">
              <w:rPr>
                <w:bCs/>
              </w:rPr>
              <w:t xml:space="preserve"> </w:t>
            </w:r>
          </w:p>
          <w:p w14:paraId="5299A5E9" w14:textId="77777777" w:rsidR="00693B17" w:rsidRPr="007C6EBE" w:rsidRDefault="00693B17" w:rsidP="000E60EC">
            <w:pPr>
              <w:pStyle w:val="TableHeading"/>
              <w:ind w:left="-57" w:right="-57"/>
              <w:jc w:val="center"/>
              <w:rPr>
                <w:bCs/>
              </w:rPr>
            </w:pPr>
            <w:r w:rsidRPr="007C6EBE">
              <w:rPr>
                <w:bCs/>
              </w:rPr>
              <w:t>(</w:t>
            </w:r>
            <w:proofErr w:type="spellStart"/>
            <w:r w:rsidRPr="007C6EBE">
              <w:rPr>
                <w:bCs/>
              </w:rPr>
              <w:t>μg</w:t>
            </w:r>
            <w:proofErr w:type="spellEnd"/>
            <w:r w:rsidRPr="007C6EBE">
              <w:rPr>
                <w:bCs/>
              </w:rPr>
              <w:t xml:space="preserve">/mL) </w:t>
            </w:r>
          </w:p>
        </w:tc>
        <w:tc>
          <w:tcPr>
            <w:tcW w:w="1298" w:type="dxa"/>
          </w:tcPr>
          <w:p w14:paraId="6B7EB8C7" w14:textId="77777777" w:rsidR="00693B17" w:rsidRPr="007C6EBE" w:rsidRDefault="00693B17" w:rsidP="000E60EC">
            <w:pPr>
              <w:pStyle w:val="TableHeading"/>
              <w:ind w:left="-57" w:right="-57"/>
              <w:jc w:val="center"/>
              <w:rPr>
                <w:bCs/>
              </w:rPr>
            </w:pPr>
            <w:proofErr w:type="spellStart"/>
            <w:r w:rsidRPr="007C6EBE">
              <w:rPr>
                <w:bCs/>
              </w:rPr>
              <w:t>Cmax,ss</w:t>
            </w:r>
            <w:proofErr w:type="spellEnd"/>
            <w:r w:rsidRPr="007C6EBE">
              <w:rPr>
                <w:bCs/>
              </w:rPr>
              <w:t xml:space="preserve"> </w:t>
            </w:r>
          </w:p>
          <w:p w14:paraId="7783A206" w14:textId="77777777" w:rsidR="00693B17" w:rsidRPr="007C6EBE" w:rsidRDefault="00693B17" w:rsidP="000E60EC">
            <w:pPr>
              <w:pStyle w:val="TableHeading"/>
              <w:ind w:left="-57" w:right="-57"/>
              <w:jc w:val="center"/>
              <w:rPr>
                <w:bCs/>
              </w:rPr>
            </w:pPr>
            <w:r w:rsidRPr="007C6EBE">
              <w:rPr>
                <w:bCs/>
              </w:rPr>
              <w:t>(</w:t>
            </w:r>
            <w:proofErr w:type="spellStart"/>
            <w:r w:rsidRPr="007C6EBE">
              <w:rPr>
                <w:bCs/>
              </w:rPr>
              <w:t>μg</w:t>
            </w:r>
            <w:proofErr w:type="spellEnd"/>
            <w:r w:rsidRPr="007C6EBE">
              <w:rPr>
                <w:bCs/>
              </w:rPr>
              <w:t xml:space="preserve">/mL) </w:t>
            </w:r>
          </w:p>
        </w:tc>
        <w:tc>
          <w:tcPr>
            <w:tcW w:w="1417" w:type="dxa"/>
          </w:tcPr>
          <w:p w14:paraId="0FEBCA93" w14:textId="77777777" w:rsidR="00693B17" w:rsidRPr="007C6EBE" w:rsidRDefault="00693B17" w:rsidP="000E60EC">
            <w:pPr>
              <w:pStyle w:val="TableHeading"/>
              <w:ind w:left="-57" w:right="-57"/>
              <w:jc w:val="center"/>
              <w:rPr>
                <w:bCs/>
              </w:rPr>
            </w:pPr>
            <w:proofErr w:type="spellStart"/>
            <w:r w:rsidRPr="007C6EBE">
              <w:rPr>
                <w:bCs/>
              </w:rPr>
              <w:t>AUCss</w:t>
            </w:r>
            <w:proofErr w:type="spellEnd"/>
            <w:r w:rsidRPr="007C6EBE">
              <w:rPr>
                <w:bCs/>
              </w:rPr>
              <w:t xml:space="preserve"> </w:t>
            </w:r>
          </w:p>
          <w:p w14:paraId="63C72FC2" w14:textId="77777777" w:rsidR="00693B17" w:rsidRPr="007C6EBE" w:rsidRDefault="00693B17" w:rsidP="000E60EC">
            <w:pPr>
              <w:pStyle w:val="TableHeading"/>
              <w:ind w:left="-57" w:right="-57"/>
              <w:jc w:val="center"/>
              <w:rPr>
                <w:bCs/>
              </w:rPr>
            </w:pPr>
            <w:r w:rsidRPr="007C6EBE">
              <w:rPr>
                <w:bCs/>
              </w:rPr>
              <w:t>(</w:t>
            </w:r>
            <w:proofErr w:type="spellStart"/>
            <w:r w:rsidRPr="007C6EBE">
              <w:rPr>
                <w:bCs/>
              </w:rPr>
              <w:t>μg.day</w:t>
            </w:r>
            <w:proofErr w:type="spellEnd"/>
            <w:r w:rsidRPr="007C6EBE">
              <w:rPr>
                <w:bCs/>
              </w:rPr>
              <w:t xml:space="preserve">/mL) </w:t>
            </w:r>
          </w:p>
        </w:tc>
        <w:tc>
          <w:tcPr>
            <w:tcW w:w="1100" w:type="dxa"/>
          </w:tcPr>
          <w:p w14:paraId="6B8014D1" w14:textId="77777777" w:rsidR="00693B17" w:rsidRPr="00602F9C" w:rsidRDefault="00693B17" w:rsidP="000E60EC">
            <w:pPr>
              <w:pStyle w:val="TableHeading"/>
              <w:ind w:left="-57" w:right="-57"/>
              <w:jc w:val="center"/>
              <w:rPr>
                <w:rFonts w:ascii="Times New Roman Bold" w:hAnsi="Times New Roman Bold"/>
                <w:bCs/>
                <w:w w:val="98"/>
              </w:rPr>
            </w:pPr>
            <w:r w:rsidRPr="00602F9C">
              <w:rPr>
                <w:rFonts w:ascii="Times New Roman Bold" w:hAnsi="Times New Roman Bold"/>
                <w:bCs/>
                <w:w w:val="98"/>
              </w:rPr>
              <w:t xml:space="preserve">Time to </w:t>
            </w:r>
          </w:p>
          <w:p w14:paraId="2BAB92FC" w14:textId="77777777" w:rsidR="00693B17" w:rsidRPr="00602F9C" w:rsidRDefault="00693B17" w:rsidP="000E60EC">
            <w:pPr>
              <w:pStyle w:val="TableHeading"/>
              <w:ind w:left="-57" w:right="-57"/>
              <w:jc w:val="center"/>
              <w:rPr>
                <w:rFonts w:ascii="Times New Roman Bold" w:hAnsi="Times New Roman Bold"/>
                <w:bCs/>
                <w:w w:val="98"/>
              </w:rPr>
            </w:pPr>
            <w:r w:rsidRPr="00602F9C">
              <w:rPr>
                <w:rFonts w:ascii="Times New Roman Bold" w:hAnsi="Times New Roman Bold"/>
                <w:bCs/>
                <w:w w:val="98"/>
              </w:rPr>
              <w:t xml:space="preserve">steady-state </w:t>
            </w:r>
          </w:p>
          <w:p w14:paraId="7032872A" w14:textId="77777777" w:rsidR="00693B17" w:rsidRPr="00602F9C" w:rsidRDefault="00693B17" w:rsidP="000E60EC">
            <w:pPr>
              <w:pStyle w:val="TableHeading"/>
              <w:ind w:left="-57" w:right="-57"/>
              <w:jc w:val="center"/>
              <w:rPr>
                <w:rFonts w:ascii="Times New Roman Bold" w:hAnsi="Times New Roman Bold"/>
                <w:bCs/>
                <w:w w:val="98"/>
              </w:rPr>
            </w:pPr>
            <w:r w:rsidRPr="00602F9C">
              <w:rPr>
                <w:rFonts w:ascii="Times New Roman Bold" w:hAnsi="Times New Roman Bold"/>
                <w:bCs/>
                <w:w w:val="98"/>
              </w:rPr>
              <w:t xml:space="preserve">(week) </w:t>
            </w:r>
          </w:p>
        </w:tc>
        <w:tc>
          <w:tcPr>
            <w:tcW w:w="1175" w:type="dxa"/>
          </w:tcPr>
          <w:p w14:paraId="5D784A3F" w14:textId="77777777" w:rsidR="00693B17" w:rsidRPr="007C6EBE" w:rsidRDefault="00693B17" w:rsidP="000E60EC">
            <w:pPr>
              <w:pStyle w:val="TableHeading"/>
              <w:ind w:left="-57" w:right="-57"/>
              <w:jc w:val="center"/>
              <w:rPr>
                <w:bCs/>
              </w:rPr>
            </w:pPr>
            <w:r w:rsidRPr="007C6EBE">
              <w:rPr>
                <w:bCs/>
              </w:rPr>
              <w:t xml:space="preserve">Total CL range at steady-state (L/day) </w:t>
            </w:r>
          </w:p>
        </w:tc>
      </w:tr>
      <w:tr w:rsidR="00693B17" w:rsidRPr="00602F9C" w14:paraId="53CDB820" w14:textId="77777777" w:rsidTr="00602F9C">
        <w:tc>
          <w:tcPr>
            <w:tcW w:w="1112" w:type="dxa"/>
            <w:vMerge w:val="restart"/>
          </w:tcPr>
          <w:p w14:paraId="2A5A2159" w14:textId="77777777" w:rsidR="007C6EBE" w:rsidRPr="00602F9C" w:rsidRDefault="007C6EBE" w:rsidP="00602F9C">
            <w:pPr>
              <w:pStyle w:val="TableBody"/>
              <w:ind w:left="-57" w:right="-57"/>
              <w:jc w:val="center"/>
              <w:rPr>
                <w:w w:val="98"/>
              </w:rPr>
            </w:pPr>
          </w:p>
          <w:p w14:paraId="5EBE0B01" w14:textId="77777777" w:rsidR="00693B17" w:rsidRPr="00602F9C" w:rsidRDefault="00693B17" w:rsidP="00602F9C">
            <w:pPr>
              <w:pStyle w:val="TableBody"/>
              <w:ind w:left="-57" w:right="-57"/>
              <w:jc w:val="center"/>
              <w:rPr>
                <w:w w:val="98"/>
              </w:rPr>
            </w:pPr>
            <w:r w:rsidRPr="00602F9C">
              <w:rPr>
                <w:w w:val="98"/>
              </w:rPr>
              <w:t xml:space="preserve">8mg/kg + 6mg/kg q3w </w:t>
            </w:r>
          </w:p>
          <w:p w14:paraId="3BB8FDA1" w14:textId="77777777" w:rsidR="00693B17" w:rsidRPr="00602F9C" w:rsidRDefault="00693B17" w:rsidP="00602F9C">
            <w:pPr>
              <w:pStyle w:val="TableBody"/>
              <w:ind w:left="-57" w:right="-57"/>
              <w:jc w:val="center"/>
              <w:rPr>
                <w:w w:val="98"/>
              </w:rPr>
            </w:pPr>
          </w:p>
        </w:tc>
        <w:tc>
          <w:tcPr>
            <w:tcW w:w="1107" w:type="dxa"/>
          </w:tcPr>
          <w:p w14:paraId="42E6E247" w14:textId="77777777" w:rsidR="007C6EBE" w:rsidRPr="00602F9C" w:rsidRDefault="007C6EBE" w:rsidP="00602F9C">
            <w:pPr>
              <w:pStyle w:val="TableBody"/>
              <w:ind w:left="-57" w:right="-57"/>
              <w:jc w:val="center"/>
              <w:rPr>
                <w:w w:val="98"/>
              </w:rPr>
            </w:pPr>
          </w:p>
          <w:p w14:paraId="2E83A100" w14:textId="77777777" w:rsidR="00693B17" w:rsidRPr="00602F9C" w:rsidRDefault="00693B17" w:rsidP="00602F9C">
            <w:pPr>
              <w:pStyle w:val="TableBody"/>
              <w:ind w:left="-57" w:right="-57"/>
              <w:jc w:val="center"/>
              <w:rPr>
                <w:w w:val="98"/>
              </w:rPr>
            </w:pPr>
            <w:r w:rsidRPr="00602F9C">
              <w:rPr>
                <w:w w:val="98"/>
              </w:rPr>
              <w:t xml:space="preserve">MBC/EBC </w:t>
            </w:r>
          </w:p>
        </w:tc>
        <w:tc>
          <w:tcPr>
            <w:tcW w:w="753" w:type="dxa"/>
          </w:tcPr>
          <w:p w14:paraId="0AC4435C" w14:textId="77777777" w:rsidR="00693B17" w:rsidRPr="00602F9C" w:rsidRDefault="00693B17" w:rsidP="00602F9C">
            <w:pPr>
              <w:pStyle w:val="TableBody"/>
              <w:ind w:left="-57" w:right="-57"/>
              <w:jc w:val="center"/>
              <w:rPr>
                <w:w w:val="98"/>
              </w:rPr>
            </w:pPr>
            <w:r w:rsidRPr="00602F9C">
              <w:rPr>
                <w:w w:val="98"/>
              </w:rPr>
              <w:t xml:space="preserve">1195 </w:t>
            </w:r>
          </w:p>
        </w:tc>
        <w:tc>
          <w:tcPr>
            <w:tcW w:w="1112" w:type="dxa"/>
          </w:tcPr>
          <w:p w14:paraId="2658E967" w14:textId="77777777" w:rsidR="00693B17" w:rsidRPr="00602F9C" w:rsidRDefault="00693B17" w:rsidP="00602F9C">
            <w:pPr>
              <w:pStyle w:val="TableBody"/>
              <w:ind w:left="-57" w:right="-57"/>
              <w:jc w:val="center"/>
              <w:rPr>
                <w:w w:val="98"/>
              </w:rPr>
            </w:pPr>
            <w:r w:rsidRPr="00602F9C">
              <w:rPr>
                <w:w w:val="98"/>
              </w:rPr>
              <w:t xml:space="preserve">47.4 </w:t>
            </w:r>
          </w:p>
          <w:p w14:paraId="3BFEEB1C" w14:textId="77777777" w:rsidR="00693B17" w:rsidRPr="00602F9C" w:rsidRDefault="00693B17" w:rsidP="00602F9C">
            <w:pPr>
              <w:pStyle w:val="TableBody"/>
              <w:ind w:left="-57" w:right="-57"/>
              <w:jc w:val="center"/>
              <w:rPr>
                <w:w w:val="98"/>
              </w:rPr>
            </w:pPr>
            <w:r w:rsidRPr="00602F9C">
              <w:rPr>
                <w:w w:val="98"/>
              </w:rPr>
              <w:t xml:space="preserve">(5.0 - 114.7) </w:t>
            </w:r>
          </w:p>
        </w:tc>
        <w:tc>
          <w:tcPr>
            <w:tcW w:w="1298" w:type="dxa"/>
          </w:tcPr>
          <w:p w14:paraId="3D8E7115" w14:textId="77777777" w:rsidR="00693B17" w:rsidRPr="00602F9C" w:rsidRDefault="00693B17" w:rsidP="00602F9C">
            <w:pPr>
              <w:pStyle w:val="TableBody"/>
              <w:ind w:left="-57" w:right="-57"/>
              <w:jc w:val="center"/>
              <w:rPr>
                <w:w w:val="98"/>
              </w:rPr>
            </w:pPr>
            <w:r w:rsidRPr="00602F9C">
              <w:rPr>
                <w:w w:val="98"/>
              </w:rPr>
              <w:t xml:space="preserve">179.4 </w:t>
            </w:r>
          </w:p>
          <w:p w14:paraId="1C94F94A" w14:textId="6F3FAC18" w:rsidR="00693B17" w:rsidRPr="00602F9C" w:rsidRDefault="00693B17" w:rsidP="00602F9C">
            <w:pPr>
              <w:pStyle w:val="TableBody"/>
              <w:ind w:left="-57" w:right="-57"/>
              <w:jc w:val="center"/>
              <w:rPr>
                <w:w w:val="98"/>
              </w:rPr>
            </w:pPr>
            <w:r w:rsidRPr="00602F9C">
              <w:rPr>
                <w:w w:val="98"/>
              </w:rPr>
              <w:t>(107.3</w:t>
            </w:r>
            <w:r w:rsidR="00602F9C">
              <w:rPr>
                <w:w w:val="98"/>
              </w:rPr>
              <w:t>-</w:t>
            </w:r>
            <w:r w:rsidRPr="00602F9C">
              <w:rPr>
                <w:w w:val="98"/>
              </w:rPr>
              <w:t xml:space="preserve">308.8) </w:t>
            </w:r>
          </w:p>
        </w:tc>
        <w:tc>
          <w:tcPr>
            <w:tcW w:w="1417" w:type="dxa"/>
          </w:tcPr>
          <w:p w14:paraId="1A2C4A60" w14:textId="77777777" w:rsidR="00693B17" w:rsidRPr="00602F9C" w:rsidRDefault="00693B17" w:rsidP="00602F9C">
            <w:pPr>
              <w:pStyle w:val="TableBody"/>
              <w:ind w:left="-57" w:right="-57"/>
              <w:jc w:val="center"/>
              <w:rPr>
                <w:w w:val="98"/>
              </w:rPr>
            </w:pPr>
            <w:r w:rsidRPr="00602F9C">
              <w:rPr>
                <w:w w:val="98"/>
              </w:rPr>
              <w:t xml:space="preserve">1794.2 </w:t>
            </w:r>
          </w:p>
          <w:p w14:paraId="302E0B16" w14:textId="77777777" w:rsidR="00693B17" w:rsidRPr="00602F9C" w:rsidRDefault="00693B17" w:rsidP="00602F9C">
            <w:pPr>
              <w:pStyle w:val="TableBody"/>
              <w:ind w:left="-57" w:right="-57"/>
              <w:jc w:val="center"/>
              <w:rPr>
                <w:w w:val="98"/>
              </w:rPr>
            </w:pPr>
            <w:r w:rsidRPr="00602F9C">
              <w:rPr>
                <w:w w:val="98"/>
              </w:rPr>
              <w:t xml:space="preserve">(673.0 – 3618.4) </w:t>
            </w:r>
          </w:p>
        </w:tc>
        <w:tc>
          <w:tcPr>
            <w:tcW w:w="1100" w:type="dxa"/>
          </w:tcPr>
          <w:p w14:paraId="716C0608" w14:textId="77777777" w:rsidR="00693B17" w:rsidRPr="00602F9C" w:rsidRDefault="00693B17" w:rsidP="00602F9C">
            <w:pPr>
              <w:pStyle w:val="TableBody"/>
              <w:ind w:left="-57" w:right="-57"/>
              <w:jc w:val="center"/>
              <w:rPr>
                <w:w w:val="98"/>
              </w:rPr>
            </w:pPr>
            <w:r w:rsidRPr="00602F9C">
              <w:rPr>
                <w:w w:val="98"/>
              </w:rPr>
              <w:t xml:space="preserve">12 </w:t>
            </w:r>
          </w:p>
        </w:tc>
        <w:tc>
          <w:tcPr>
            <w:tcW w:w="1175" w:type="dxa"/>
          </w:tcPr>
          <w:p w14:paraId="58306634" w14:textId="77777777" w:rsidR="00693B17" w:rsidRPr="00602F9C" w:rsidRDefault="00693B17" w:rsidP="00602F9C">
            <w:pPr>
              <w:pStyle w:val="TableBody"/>
              <w:ind w:left="-57" w:right="-57"/>
              <w:jc w:val="center"/>
              <w:rPr>
                <w:w w:val="98"/>
              </w:rPr>
            </w:pPr>
            <w:r w:rsidRPr="00602F9C">
              <w:rPr>
                <w:w w:val="98"/>
              </w:rPr>
              <w:t xml:space="preserve">0.173 - 0.283 </w:t>
            </w:r>
          </w:p>
        </w:tc>
      </w:tr>
      <w:tr w:rsidR="00693B17" w:rsidRPr="00602F9C" w14:paraId="04FD2EDB" w14:textId="77777777" w:rsidTr="00602F9C">
        <w:tc>
          <w:tcPr>
            <w:tcW w:w="1112" w:type="dxa"/>
            <w:vMerge/>
          </w:tcPr>
          <w:p w14:paraId="161D784C" w14:textId="77777777" w:rsidR="00693B17" w:rsidRPr="00602F9C" w:rsidRDefault="00693B17" w:rsidP="00602F9C">
            <w:pPr>
              <w:pStyle w:val="TableBody"/>
              <w:ind w:left="-57" w:right="-57"/>
              <w:jc w:val="center"/>
              <w:rPr>
                <w:w w:val="98"/>
              </w:rPr>
            </w:pPr>
          </w:p>
        </w:tc>
        <w:tc>
          <w:tcPr>
            <w:tcW w:w="1107" w:type="dxa"/>
          </w:tcPr>
          <w:p w14:paraId="039CB8D4" w14:textId="77777777" w:rsidR="007C6EBE" w:rsidRPr="00602F9C" w:rsidRDefault="007C6EBE" w:rsidP="00602F9C">
            <w:pPr>
              <w:pStyle w:val="TableBody"/>
              <w:ind w:left="-57" w:right="-57"/>
              <w:jc w:val="center"/>
              <w:rPr>
                <w:w w:val="98"/>
              </w:rPr>
            </w:pPr>
          </w:p>
          <w:p w14:paraId="2E6B5FDA" w14:textId="77777777" w:rsidR="00693B17" w:rsidRPr="00602F9C" w:rsidRDefault="00693B17" w:rsidP="00602F9C">
            <w:pPr>
              <w:pStyle w:val="TableBody"/>
              <w:ind w:left="-57" w:right="-57"/>
              <w:jc w:val="center"/>
              <w:rPr>
                <w:w w:val="98"/>
              </w:rPr>
            </w:pPr>
            <w:r w:rsidRPr="00602F9C">
              <w:rPr>
                <w:w w:val="98"/>
              </w:rPr>
              <w:t xml:space="preserve">AGC </w:t>
            </w:r>
          </w:p>
        </w:tc>
        <w:tc>
          <w:tcPr>
            <w:tcW w:w="753" w:type="dxa"/>
          </w:tcPr>
          <w:p w14:paraId="684908EE" w14:textId="77777777" w:rsidR="00693B17" w:rsidRPr="00602F9C" w:rsidRDefault="00693B17" w:rsidP="00602F9C">
            <w:pPr>
              <w:pStyle w:val="TableBody"/>
              <w:ind w:left="-57" w:right="-57"/>
              <w:jc w:val="center"/>
              <w:rPr>
                <w:w w:val="98"/>
              </w:rPr>
            </w:pPr>
            <w:r w:rsidRPr="00602F9C">
              <w:rPr>
                <w:w w:val="98"/>
              </w:rPr>
              <w:t xml:space="preserve">274 </w:t>
            </w:r>
          </w:p>
        </w:tc>
        <w:tc>
          <w:tcPr>
            <w:tcW w:w="1112" w:type="dxa"/>
          </w:tcPr>
          <w:p w14:paraId="54E89163" w14:textId="77777777" w:rsidR="00693B17" w:rsidRPr="00602F9C" w:rsidRDefault="00693B17" w:rsidP="00602F9C">
            <w:pPr>
              <w:pStyle w:val="TableBody"/>
              <w:ind w:left="-57" w:right="-57"/>
              <w:jc w:val="center"/>
              <w:rPr>
                <w:w w:val="98"/>
              </w:rPr>
            </w:pPr>
            <w:r w:rsidRPr="00602F9C">
              <w:rPr>
                <w:w w:val="98"/>
              </w:rPr>
              <w:t xml:space="preserve">32.9 </w:t>
            </w:r>
          </w:p>
          <w:p w14:paraId="791E77A0" w14:textId="77777777" w:rsidR="00693B17" w:rsidRPr="00602F9C" w:rsidRDefault="00693B17" w:rsidP="00602F9C">
            <w:pPr>
              <w:pStyle w:val="TableBody"/>
              <w:ind w:left="-57" w:right="-57"/>
              <w:jc w:val="center"/>
              <w:rPr>
                <w:w w:val="98"/>
              </w:rPr>
            </w:pPr>
            <w:r w:rsidRPr="00602F9C">
              <w:rPr>
                <w:w w:val="98"/>
              </w:rPr>
              <w:t xml:space="preserve">(6.1 - 88.9) </w:t>
            </w:r>
          </w:p>
        </w:tc>
        <w:tc>
          <w:tcPr>
            <w:tcW w:w="1298" w:type="dxa"/>
          </w:tcPr>
          <w:p w14:paraId="20E02E36" w14:textId="77777777" w:rsidR="00693B17" w:rsidRPr="00602F9C" w:rsidRDefault="00693B17" w:rsidP="00602F9C">
            <w:pPr>
              <w:pStyle w:val="TableBody"/>
              <w:ind w:left="-57" w:right="-57"/>
              <w:jc w:val="center"/>
              <w:rPr>
                <w:w w:val="98"/>
              </w:rPr>
            </w:pPr>
            <w:r w:rsidRPr="00602F9C">
              <w:rPr>
                <w:w w:val="98"/>
              </w:rPr>
              <w:t xml:space="preserve">131.0 </w:t>
            </w:r>
          </w:p>
          <w:p w14:paraId="53599579" w14:textId="77777777" w:rsidR="00693B17" w:rsidRPr="00602F9C" w:rsidRDefault="00693B17" w:rsidP="00602F9C">
            <w:pPr>
              <w:pStyle w:val="TableBody"/>
              <w:ind w:left="-57" w:right="-57"/>
              <w:jc w:val="center"/>
              <w:rPr>
                <w:w w:val="98"/>
              </w:rPr>
            </w:pPr>
            <w:r w:rsidRPr="00602F9C">
              <w:rPr>
                <w:w w:val="98"/>
              </w:rPr>
              <w:t xml:space="preserve">(72.5 - 250.5) </w:t>
            </w:r>
          </w:p>
        </w:tc>
        <w:tc>
          <w:tcPr>
            <w:tcW w:w="1417" w:type="dxa"/>
          </w:tcPr>
          <w:p w14:paraId="2EC82437" w14:textId="77777777" w:rsidR="00693B17" w:rsidRPr="00602F9C" w:rsidRDefault="00693B17" w:rsidP="00602F9C">
            <w:pPr>
              <w:pStyle w:val="TableBody"/>
              <w:ind w:left="-57" w:right="-57"/>
              <w:jc w:val="center"/>
              <w:rPr>
                <w:w w:val="98"/>
              </w:rPr>
            </w:pPr>
            <w:r w:rsidRPr="00602F9C">
              <w:rPr>
                <w:w w:val="98"/>
              </w:rPr>
              <w:t xml:space="preserve">1338.2 </w:t>
            </w:r>
          </w:p>
          <w:p w14:paraId="4F2222FA" w14:textId="77777777" w:rsidR="00693B17" w:rsidRPr="00602F9C" w:rsidRDefault="00693B17" w:rsidP="00602F9C">
            <w:pPr>
              <w:pStyle w:val="TableBody"/>
              <w:ind w:left="-57" w:right="-57"/>
              <w:jc w:val="center"/>
              <w:rPr>
                <w:w w:val="98"/>
              </w:rPr>
            </w:pPr>
            <w:r w:rsidRPr="00602F9C">
              <w:rPr>
                <w:w w:val="98"/>
              </w:rPr>
              <w:t xml:space="preserve">(557.0- 2875.4) </w:t>
            </w:r>
          </w:p>
        </w:tc>
        <w:tc>
          <w:tcPr>
            <w:tcW w:w="1100" w:type="dxa"/>
          </w:tcPr>
          <w:p w14:paraId="6BA4B838" w14:textId="77777777" w:rsidR="00693B17" w:rsidRPr="00602F9C" w:rsidRDefault="00693B17" w:rsidP="00602F9C">
            <w:pPr>
              <w:pStyle w:val="TableBody"/>
              <w:ind w:left="-57" w:right="-57"/>
              <w:jc w:val="center"/>
              <w:rPr>
                <w:w w:val="98"/>
              </w:rPr>
            </w:pPr>
            <w:r w:rsidRPr="00602F9C">
              <w:rPr>
                <w:w w:val="98"/>
              </w:rPr>
              <w:t xml:space="preserve">9 </w:t>
            </w:r>
          </w:p>
        </w:tc>
        <w:tc>
          <w:tcPr>
            <w:tcW w:w="1175" w:type="dxa"/>
          </w:tcPr>
          <w:p w14:paraId="293C2FA9" w14:textId="77777777" w:rsidR="00693B17" w:rsidRPr="00602F9C" w:rsidRDefault="00693B17" w:rsidP="00602F9C">
            <w:pPr>
              <w:pStyle w:val="TableBody"/>
              <w:ind w:left="-57" w:right="-57"/>
              <w:jc w:val="center"/>
              <w:rPr>
                <w:w w:val="98"/>
              </w:rPr>
            </w:pPr>
            <w:r w:rsidRPr="00602F9C">
              <w:rPr>
                <w:w w:val="98"/>
              </w:rPr>
              <w:t xml:space="preserve">0.189 - 0.337 </w:t>
            </w:r>
          </w:p>
        </w:tc>
      </w:tr>
      <w:tr w:rsidR="00693B17" w:rsidRPr="00602F9C" w14:paraId="057CB540" w14:textId="77777777" w:rsidTr="00602F9C">
        <w:tc>
          <w:tcPr>
            <w:tcW w:w="1112" w:type="dxa"/>
          </w:tcPr>
          <w:p w14:paraId="7FFB2D78" w14:textId="77777777" w:rsidR="00693B17" w:rsidRPr="00602F9C" w:rsidRDefault="00693B17" w:rsidP="00602F9C">
            <w:pPr>
              <w:pStyle w:val="TableBody"/>
              <w:ind w:left="-57" w:right="-57"/>
              <w:jc w:val="center"/>
              <w:rPr>
                <w:w w:val="98"/>
              </w:rPr>
            </w:pPr>
            <w:r w:rsidRPr="00602F9C">
              <w:rPr>
                <w:w w:val="98"/>
              </w:rPr>
              <w:t xml:space="preserve">4mg/kg + 2mg/kg </w:t>
            </w:r>
            <w:proofErr w:type="spellStart"/>
            <w:r w:rsidRPr="00602F9C">
              <w:rPr>
                <w:w w:val="98"/>
              </w:rPr>
              <w:t>qw</w:t>
            </w:r>
            <w:proofErr w:type="spellEnd"/>
            <w:r w:rsidRPr="00602F9C">
              <w:rPr>
                <w:w w:val="98"/>
              </w:rPr>
              <w:t xml:space="preserve"> </w:t>
            </w:r>
          </w:p>
        </w:tc>
        <w:tc>
          <w:tcPr>
            <w:tcW w:w="1107" w:type="dxa"/>
          </w:tcPr>
          <w:p w14:paraId="620C5159" w14:textId="77777777" w:rsidR="007C6EBE" w:rsidRPr="00602F9C" w:rsidRDefault="007C6EBE" w:rsidP="00602F9C">
            <w:pPr>
              <w:pStyle w:val="TableBody"/>
              <w:ind w:left="-57" w:right="-57"/>
              <w:jc w:val="center"/>
              <w:rPr>
                <w:w w:val="98"/>
              </w:rPr>
            </w:pPr>
          </w:p>
          <w:p w14:paraId="0D99ADCF" w14:textId="77777777" w:rsidR="00693B17" w:rsidRPr="00602F9C" w:rsidRDefault="00693B17" w:rsidP="00602F9C">
            <w:pPr>
              <w:pStyle w:val="TableBody"/>
              <w:ind w:left="-57" w:right="-57"/>
              <w:jc w:val="center"/>
              <w:rPr>
                <w:w w:val="98"/>
              </w:rPr>
            </w:pPr>
            <w:r w:rsidRPr="00602F9C">
              <w:rPr>
                <w:w w:val="98"/>
              </w:rPr>
              <w:t xml:space="preserve">MBC/EBC </w:t>
            </w:r>
          </w:p>
        </w:tc>
        <w:tc>
          <w:tcPr>
            <w:tcW w:w="753" w:type="dxa"/>
          </w:tcPr>
          <w:p w14:paraId="5BAD95F2" w14:textId="77777777" w:rsidR="00693B17" w:rsidRPr="00602F9C" w:rsidRDefault="00693B17" w:rsidP="00602F9C">
            <w:pPr>
              <w:pStyle w:val="TableBody"/>
              <w:ind w:left="-57" w:right="-57"/>
              <w:jc w:val="center"/>
              <w:rPr>
                <w:w w:val="98"/>
              </w:rPr>
            </w:pPr>
            <w:r w:rsidRPr="00602F9C">
              <w:rPr>
                <w:w w:val="98"/>
              </w:rPr>
              <w:t xml:space="preserve">1195 </w:t>
            </w:r>
          </w:p>
        </w:tc>
        <w:tc>
          <w:tcPr>
            <w:tcW w:w="1112" w:type="dxa"/>
          </w:tcPr>
          <w:p w14:paraId="2D5E4426" w14:textId="77777777" w:rsidR="00693B17" w:rsidRPr="00602F9C" w:rsidRDefault="00693B17" w:rsidP="00602F9C">
            <w:pPr>
              <w:pStyle w:val="TableBody"/>
              <w:ind w:left="-57" w:right="-57"/>
              <w:jc w:val="center"/>
              <w:rPr>
                <w:w w:val="98"/>
              </w:rPr>
            </w:pPr>
            <w:r w:rsidRPr="00602F9C">
              <w:rPr>
                <w:w w:val="98"/>
              </w:rPr>
              <w:t xml:space="preserve">66.1 </w:t>
            </w:r>
          </w:p>
          <w:p w14:paraId="14693A7A" w14:textId="7A87C562" w:rsidR="00693B17" w:rsidRPr="00602F9C" w:rsidRDefault="00693B17" w:rsidP="00602F9C">
            <w:pPr>
              <w:pStyle w:val="TableBody"/>
              <w:ind w:left="-57" w:right="-57"/>
              <w:jc w:val="center"/>
              <w:rPr>
                <w:w w:val="98"/>
              </w:rPr>
            </w:pPr>
            <w:r w:rsidRPr="00602F9C">
              <w:rPr>
                <w:w w:val="98"/>
              </w:rPr>
              <w:t>(14.9</w:t>
            </w:r>
            <w:r w:rsidR="00602F9C">
              <w:rPr>
                <w:w w:val="98"/>
              </w:rPr>
              <w:t>-</w:t>
            </w:r>
            <w:r w:rsidRPr="00602F9C">
              <w:rPr>
                <w:w w:val="98"/>
              </w:rPr>
              <w:t xml:space="preserve">142.3) </w:t>
            </w:r>
          </w:p>
        </w:tc>
        <w:tc>
          <w:tcPr>
            <w:tcW w:w="1298" w:type="dxa"/>
          </w:tcPr>
          <w:p w14:paraId="23F5178A" w14:textId="77777777" w:rsidR="00693B17" w:rsidRPr="00602F9C" w:rsidRDefault="00693B17" w:rsidP="00602F9C">
            <w:pPr>
              <w:pStyle w:val="TableBody"/>
              <w:ind w:left="-57" w:right="-57"/>
              <w:jc w:val="center"/>
              <w:rPr>
                <w:w w:val="98"/>
              </w:rPr>
            </w:pPr>
            <w:r w:rsidRPr="00602F9C">
              <w:rPr>
                <w:w w:val="98"/>
              </w:rPr>
              <w:t xml:space="preserve">108.8 </w:t>
            </w:r>
          </w:p>
          <w:p w14:paraId="0C94CBF9" w14:textId="77777777" w:rsidR="00693B17" w:rsidRPr="00602F9C" w:rsidRDefault="00693B17" w:rsidP="00602F9C">
            <w:pPr>
              <w:pStyle w:val="TableBody"/>
              <w:ind w:left="-57" w:right="-57"/>
              <w:jc w:val="center"/>
              <w:rPr>
                <w:w w:val="98"/>
              </w:rPr>
            </w:pPr>
            <w:r w:rsidRPr="00602F9C">
              <w:rPr>
                <w:w w:val="98"/>
              </w:rPr>
              <w:t xml:space="preserve">(51.0 - 208.6) </w:t>
            </w:r>
          </w:p>
        </w:tc>
        <w:tc>
          <w:tcPr>
            <w:tcW w:w="1417" w:type="dxa"/>
          </w:tcPr>
          <w:p w14:paraId="4361C3D5" w14:textId="77777777" w:rsidR="00693B17" w:rsidRPr="00602F9C" w:rsidRDefault="00693B17" w:rsidP="00602F9C">
            <w:pPr>
              <w:pStyle w:val="TableBody"/>
              <w:ind w:left="-57" w:right="-57"/>
              <w:jc w:val="center"/>
              <w:rPr>
                <w:w w:val="98"/>
              </w:rPr>
            </w:pPr>
            <w:r w:rsidRPr="00602F9C">
              <w:rPr>
                <w:w w:val="98"/>
              </w:rPr>
              <w:t xml:space="preserve">1765.3 </w:t>
            </w:r>
          </w:p>
          <w:p w14:paraId="18A29AF2" w14:textId="77777777" w:rsidR="00693B17" w:rsidRPr="00602F9C" w:rsidRDefault="00693B17" w:rsidP="00602F9C">
            <w:pPr>
              <w:pStyle w:val="TableBody"/>
              <w:ind w:left="-57" w:right="-57"/>
              <w:jc w:val="center"/>
              <w:rPr>
                <w:w w:val="98"/>
              </w:rPr>
            </w:pPr>
            <w:r w:rsidRPr="00602F9C">
              <w:rPr>
                <w:w w:val="98"/>
              </w:rPr>
              <w:t xml:space="preserve">(647.3 – 3578.1) </w:t>
            </w:r>
          </w:p>
        </w:tc>
        <w:tc>
          <w:tcPr>
            <w:tcW w:w="1100" w:type="dxa"/>
          </w:tcPr>
          <w:p w14:paraId="311F0437" w14:textId="77777777" w:rsidR="00693B17" w:rsidRPr="00602F9C" w:rsidRDefault="00693B17" w:rsidP="00602F9C">
            <w:pPr>
              <w:pStyle w:val="TableBody"/>
              <w:ind w:left="-57" w:right="-57"/>
              <w:jc w:val="center"/>
              <w:rPr>
                <w:w w:val="98"/>
              </w:rPr>
            </w:pPr>
            <w:r w:rsidRPr="00602F9C">
              <w:rPr>
                <w:w w:val="98"/>
              </w:rPr>
              <w:t xml:space="preserve">12 </w:t>
            </w:r>
          </w:p>
        </w:tc>
        <w:tc>
          <w:tcPr>
            <w:tcW w:w="1175" w:type="dxa"/>
          </w:tcPr>
          <w:p w14:paraId="0DF184B4" w14:textId="77777777" w:rsidR="00693B17" w:rsidRPr="00602F9C" w:rsidRDefault="00693B17" w:rsidP="00602F9C">
            <w:pPr>
              <w:pStyle w:val="TableBody"/>
              <w:ind w:left="-57" w:right="-57"/>
              <w:jc w:val="center"/>
              <w:rPr>
                <w:w w:val="98"/>
              </w:rPr>
            </w:pPr>
            <w:r w:rsidRPr="00602F9C">
              <w:rPr>
                <w:w w:val="98"/>
              </w:rPr>
              <w:t xml:space="preserve">0.201 - 0.244 </w:t>
            </w:r>
          </w:p>
        </w:tc>
      </w:tr>
    </w:tbl>
    <w:p w14:paraId="2DE54371" w14:textId="43EC639E" w:rsidR="00693B17" w:rsidRDefault="00693B17" w:rsidP="00602F9C">
      <w:pPr>
        <w:pStyle w:val="Subheading1"/>
        <w:spacing w:before="120"/>
      </w:pPr>
      <w:r>
        <w:t>Pharmaco</w:t>
      </w:r>
      <w:r w:rsidR="003873C8">
        <w:t>kinetics in Special Populations</w:t>
      </w:r>
    </w:p>
    <w:p w14:paraId="4F590717" w14:textId="77777777" w:rsidR="00693B17" w:rsidRDefault="00693B17" w:rsidP="00693B17">
      <w:pPr>
        <w:pStyle w:val="Bodyofcontents"/>
      </w:pPr>
      <w:r>
        <w:t xml:space="preserve">Dedicated pharmacokinetic studies in the elderly and those with renal or hepatic impairment </w:t>
      </w:r>
      <w:proofErr w:type="gramStart"/>
      <w:r>
        <w:t>have not been carried out</w:t>
      </w:r>
      <w:proofErr w:type="gramEnd"/>
      <w:r>
        <w:t xml:space="preserve">. However, in a population PK analysis, age and renal impairment </w:t>
      </w:r>
      <w:proofErr w:type="gramStart"/>
      <w:r>
        <w:t>were not shown</w:t>
      </w:r>
      <w:proofErr w:type="gramEnd"/>
      <w:r>
        <w:t xml:space="preserve"> to affect </w:t>
      </w:r>
      <w:proofErr w:type="spellStart"/>
      <w:r>
        <w:t>trastuzumab</w:t>
      </w:r>
      <w:proofErr w:type="spellEnd"/>
      <w:r>
        <w:t xml:space="preserve"> disposition. The population PK analysis showed that the estimated creatinine clearance (Cockcroft and Gault) does not correlate with the pharmacokinetics of </w:t>
      </w:r>
      <w:proofErr w:type="spellStart"/>
      <w:r>
        <w:t>trastuzumab</w:t>
      </w:r>
      <w:proofErr w:type="spellEnd"/>
      <w:r>
        <w:t>.</w:t>
      </w:r>
    </w:p>
    <w:p w14:paraId="2571CA4F" w14:textId="77777777" w:rsidR="000B377E" w:rsidRDefault="000B377E" w:rsidP="000B377E">
      <w:pPr>
        <w:pStyle w:val="SubjectHeading"/>
      </w:pPr>
      <w:r w:rsidRPr="00C64762">
        <w:t>CLINICAL TRIALS</w:t>
      </w:r>
    </w:p>
    <w:p w14:paraId="196B0115" w14:textId="5081B009" w:rsidR="00832C7E" w:rsidRPr="00832C7E" w:rsidRDefault="003873C8" w:rsidP="00832C7E">
      <w:pPr>
        <w:pStyle w:val="Subheading1"/>
      </w:pPr>
      <w:r>
        <w:t>Early Breast Cancer</w:t>
      </w:r>
    </w:p>
    <w:p w14:paraId="391547F0" w14:textId="77777777" w:rsidR="000B377E" w:rsidRPr="002936B8" w:rsidRDefault="00832C7E" w:rsidP="002936B8">
      <w:pPr>
        <w:pStyle w:val="Bodyofcontents"/>
      </w:pPr>
      <w:r w:rsidRPr="002936B8">
        <w:t xml:space="preserve">Early breast cancer </w:t>
      </w:r>
      <w:proofErr w:type="gramStart"/>
      <w:r w:rsidRPr="002936B8">
        <w:t>is defined</w:t>
      </w:r>
      <w:proofErr w:type="gramEnd"/>
      <w:r w:rsidRPr="002936B8">
        <w:t xml:space="preserve"> as non-metastatic, primary, invasive carcinoma of the breast.</w:t>
      </w:r>
    </w:p>
    <w:p w14:paraId="00759CB5" w14:textId="6EB64CA7" w:rsidR="00832C7E" w:rsidRPr="00832C7E" w:rsidRDefault="008E787A" w:rsidP="007C6EBE">
      <w:pPr>
        <w:pStyle w:val="Subheading2"/>
        <w:rPr>
          <w:lang w:eastAsia="en-US"/>
        </w:rPr>
      </w:pPr>
      <w:proofErr w:type="spellStart"/>
      <w:r>
        <w:rPr>
          <w:lang w:eastAsia="en-US"/>
        </w:rPr>
        <w:t>Trastuzumab</w:t>
      </w:r>
      <w:proofErr w:type="spellEnd"/>
      <w:r w:rsidR="00832C7E" w:rsidRPr="00832C7E">
        <w:rPr>
          <w:lang w:eastAsia="en-US"/>
        </w:rPr>
        <w:t xml:space="preserve"> in Combina</w:t>
      </w:r>
      <w:r w:rsidR="003873C8">
        <w:rPr>
          <w:lang w:eastAsia="en-US"/>
        </w:rPr>
        <w:t>tion with Adjuvant Chemotherapy</w:t>
      </w:r>
    </w:p>
    <w:p w14:paraId="3B09690D" w14:textId="580273CF" w:rsidR="00832C7E" w:rsidRDefault="00832C7E" w:rsidP="00832C7E">
      <w:pPr>
        <w:pStyle w:val="Bodyofcontents"/>
        <w:rPr>
          <w:szCs w:val="22"/>
          <w:lang w:eastAsia="en-US"/>
        </w:rPr>
      </w:pPr>
      <w:r w:rsidRPr="00832C7E">
        <w:rPr>
          <w:szCs w:val="22"/>
          <w:lang w:eastAsia="en-US"/>
        </w:rPr>
        <w:t xml:space="preserve">The use of </w:t>
      </w:r>
      <w:proofErr w:type="spellStart"/>
      <w:r w:rsidR="008E787A">
        <w:rPr>
          <w:szCs w:val="22"/>
          <w:lang w:eastAsia="en-US"/>
        </w:rPr>
        <w:t>trastuzumab</w:t>
      </w:r>
      <w:proofErr w:type="spellEnd"/>
      <w:r w:rsidRPr="00832C7E">
        <w:rPr>
          <w:szCs w:val="22"/>
          <w:lang w:eastAsia="en-US"/>
        </w:rPr>
        <w:t xml:space="preserve"> in the setting of early breast cancer (after surgery and in association with chemotherapy and, if applicable, radiotherapy) has been studied in four multicentre randomized phase III trials of patients with HER2 positive breast cancer who have completed surgery. In these clinical trials, early breast cancer was limited to operable, primary adenocarcinoma of the breast with positive axillary nodes or node negative disease with additional indicators of a higher degree of risk. The design of these studies </w:t>
      </w:r>
      <w:proofErr w:type="gramStart"/>
      <w:r w:rsidRPr="00832C7E">
        <w:rPr>
          <w:szCs w:val="22"/>
          <w:lang w:eastAsia="en-US"/>
        </w:rPr>
        <w:t>is summarized</w:t>
      </w:r>
      <w:proofErr w:type="gramEnd"/>
      <w:r w:rsidRPr="00832C7E">
        <w:rPr>
          <w:szCs w:val="22"/>
          <w:lang w:eastAsia="en-US"/>
        </w:rPr>
        <w:t xml:space="preserve"> in Table </w:t>
      </w:r>
      <w:r w:rsidRPr="002936B8">
        <w:t xml:space="preserve">3 </w:t>
      </w:r>
      <w:r w:rsidRPr="00832C7E">
        <w:rPr>
          <w:szCs w:val="22"/>
          <w:lang w:eastAsia="en-US"/>
        </w:rPr>
        <w:t xml:space="preserve">and efficacy results are presented in Tables </w:t>
      </w:r>
      <w:r w:rsidRPr="002936B8">
        <w:t>4-8</w:t>
      </w:r>
      <w:r w:rsidRPr="00832C7E">
        <w:rPr>
          <w:szCs w:val="22"/>
          <w:lang w:eastAsia="en-US"/>
        </w:rPr>
        <w:t>.</w:t>
      </w:r>
    </w:p>
    <w:p w14:paraId="730FF262" w14:textId="77777777" w:rsidR="00832C7E" w:rsidRDefault="00832C7E" w:rsidP="007C6EBE">
      <w:pPr>
        <w:pStyle w:val="TableTitle"/>
      </w:pPr>
      <w:r>
        <w:t>Table 3: Clinical Trials in Early Breast Cancer</w:t>
      </w:r>
    </w:p>
    <w:p w14:paraId="45D29D07" w14:textId="77777777" w:rsidR="007C6EBE" w:rsidRDefault="007C6EBE" w:rsidP="00832C7E">
      <w:pPr>
        <w:pStyle w:val="TableHeading"/>
      </w:pPr>
    </w:p>
    <w:tbl>
      <w:tblPr>
        <w:tblStyle w:val="TableGrid"/>
        <w:tblW w:w="0" w:type="auto"/>
        <w:tblLook w:val="04A0" w:firstRow="1" w:lastRow="0" w:firstColumn="1" w:lastColumn="0" w:noHBand="0" w:noVBand="1"/>
      </w:tblPr>
      <w:tblGrid>
        <w:gridCol w:w="2254"/>
        <w:gridCol w:w="2254"/>
        <w:gridCol w:w="2254"/>
        <w:gridCol w:w="2254"/>
      </w:tblGrid>
      <w:tr w:rsidR="00302A18" w14:paraId="283C1981" w14:textId="77777777" w:rsidTr="00164B3D">
        <w:trPr>
          <w:tblHeader/>
        </w:trPr>
        <w:tc>
          <w:tcPr>
            <w:tcW w:w="2254" w:type="dxa"/>
          </w:tcPr>
          <w:p w14:paraId="3BDEE019" w14:textId="77777777" w:rsidR="00302A18" w:rsidRDefault="00302A18" w:rsidP="00302A18">
            <w:pPr>
              <w:pStyle w:val="Bodyofcontents"/>
            </w:pPr>
          </w:p>
        </w:tc>
        <w:tc>
          <w:tcPr>
            <w:tcW w:w="2254" w:type="dxa"/>
          </w:tcPr>
          <w:p w14:paraId="7047EEA7" w14:textId="4F8F3232" w:rsidR="00302A18" w:rsidRPr="0068372F" w:rsidRDefault="003873C8" w:rsidP="0068372F">
            <w:pPr>
              <w:pStyle w:val="TableHeading"/>
              <w:jc w:val="center"/>
              <w:rPr>
                <w:bCs/>
                <w:szCs w:val="22"/>
              </w:rPr>
            </w:pPr>
            <w:r>
              <w:rPr>
                <w:bCs/>
                <w:szCs w:val="22"/>
              </w:rPr>
              <w:t>HERA trial</w:t>
            </w:r>
          </w:p>
          <w:p w14:paraId="129B7921" w14:textId="77777777" w:rsidR="00302A18" w:rsidRPr="0068372F" w:rsidRDefault="00302A18" w:rsidP="0068372F">
            <w:pPr>
              <w:pStyle w:val="TableHeading"/>
              <w:jc w:val="center"/>
              <w:rPr>
                <w:bCs/>
                <w:szCs w:val="22"/>
              </w:rPr>
            </w:pPr>
            <w:r w:rsidRPr="0068372F">
              <w:rPr>
                <w:bCs/>
                <w:szCs w:val="22"/>
              </w:rPr>
              <w:t xml:space="preserve">n = 3386 </w:t>
            </w:r>
          </w:p>
        </w:tc>
        <w:tc>
          <w:tcPr>
            <w:tcW w:w="2254" w:type="dxa"/>
          </w:tcPr>
          <w:p w14:paraId="71828F39" w14:textId="048E423D" w:rsidR="00302A18" w:rsidRPr="0068372F" w:rsidRDefault="00302A18" w:rsidP="0068372F">
            <w:pPr>
              <w:pStyle w:val="TableHeading"/>
              <w:jc w:val="center"/>
              <w:rPr>
                <w:bCs/>
                <w:szCs w:val="22"/>
              </w:rPr>
            </w:pPr>
            <w:r w:rsidRPr="0068372F">
              <w:rPr>
                <w:bCs/>
                <w:szCs w:val="22"/>
              </w:rPr>
              <w:t>NSAPB B-31 and NCCT</w:t>
            </w:r>
            <w:r w:rsidR="003873C8">
              <w:rPr>
                <w:bCs/>
                <w:szCs w:val="22"/>
              </w:rPr>
              <w:t>G N9831 trials (joint analysis)</w:t>
            </w:r>
          </w:p>
          <w:p w14:paraId="38BD6C4D" w14:textId="77777777" w:rsidR="00302A18" w:rsidRPr="0068372F" w:rsidRDefault="00302A18" w:rsidP="0068372F">
            <w:pPr>
              <w:pStyle w:val="TableHeading"/>
              <w:jc w:val="center"/>
              <w:rPr>
                <w:bCs/>
                <w:szCs w:val="22"/>
              </w:rPr>
            </w:pPr>
            <w:r w:rsidRPr="0068372F">
              <w:rPr>
                <w:bCs/>
                <w:szCs w:val="22"/>
              </w:rPr>
              <w:t xml:space="preserve">n = 3763 </w:t>
            </w:r>
          </w:p>
        </w:tc>
        <w:tc>
          <w:tcPr>
            <w:tcW w:w="2254" w:type="dxa"/>
          </w:tcPr>
          <w:p w14:paraId="55F0A3B5" w14:textId="5A4775F3" w:rsidR="00302A18" w:rsidRPr="0068372F" w:rsidRDefault="003873C8" w:rsidP="0068372F">
            <w:pPr>
              <w:pStyle w:val="TableHeading"/>
              <w:jc w:val="center"/>
              <w:rPr>
                <w:bCs/>
                <w:szCs w:val="22"/>
              </w:rPr>
            </w:pPr>
            <w:r>
              <w:rPr>
                <w:bCs/>
                <w:szCs w:val="22"/>
              </w:rPr>
              <w:t>BCIRG 006</w:t>
            </w:r>
          </w:p>
          <w:p w14:paraId="0BC53983" w14:textId="77777777" w:rsidR="00302A18" w:rsidRPr="0068372F" w:rsidRDefault="00302A18" w:rsidP="0068372F">
            <w:pPr>
              <w:pStyle w:val="TableHeading"/>
              <w:jc w:val="center"/>
              <w:rPr>
                <w:bCs/>
                <w:szCs w:val="22"/>
              </w:rPr>
            </w:pPr>
            <w:r w:rsidRPr="0068372F">
              <w:rPr>
                <w:bCs/>
                <w:szCs w:val="22"/>
              </w:rPr>
              <w:t xml:space="preserve">n = 3222 </w:t>
            </w:r>
          </w:p>
        </w:tc>
      </w:tr>
      <w:tr w:rsidR="00832C7E" w14:paraId="3D0A6C20" w14:textId="77777777" w:rsidTr="00832C7E">
        <w:tc>
          <w:tcPr>
            <w:tcW w:w="2254" w:type="dxa"/>
          </w:tcPr>
          <w:p w14:paraId="54BF36B2" w14:textId="7916B63F" w:rsidR="00832C7E" w:rsidRPr="0068372F" w:rsidRDefault="003873C8" w:rsidP="003873C8">
            <w:pPr>
              <w:pStyle w:val="TableHeading"/>
              <w:rPr>
                <w:bCs/>
              </w:rPr>
            </w:pPr>
            <w:r>
              <w:rPr>
                <w:bCs/>
                <w:szCs w:val="22"/>
              </w:rPr>
              <w:t>Eligible patients</w:t>
            </w:r>
          </w:p>
        </w:tc>
        <w:tc>
          <w:tcPr>
            <w:tcW w:w="2254" w:type="dxa"/>
          </w:tcPr>
          <w:p w14:paraId="46A23FB4" w14:textId="39A96356" w:rsidR="00302A18" w:rsidRPr="0068372F" w:rsidRDefault="00302A18" w:rsidP="0068372F">
            <w:pPr>
              <w:pStyle w:val="TableBody"/>
            </w:pPr>
            <w:r w:rsidRPr="0068372F">
              <w:t>Node positive or node negative [n</w:t>
            </w:r>
            <w:r w:rsidR="003873C8">
              <w:t xml:space="preserve"> = 1098] and </w:t>
            </w:r>
            <w:proofErr w:type="spellStart"/>
            <w:r w:rsidR="003873C8">
              <w:t>tumour</w:t>
            </w:r>
            <w:proofErr w:type="spellEnd"/>
            <w:r w:rsidR="003873C8">
              <w:t xml:space="preserve"> size &gt;1 cm;</w:t>
            </w:r>
          </w:p>
          <w:p w14:paraId="5972AB97" w14:textId="77777777" w:rsidR="0068372F" w:rsidRPr="0068372F" w:rsidRDefault="0068372F" w:rsidP="0068372F">
            <w:pPr>
              <w:pStyle w:val="TableBody"/>
            </w:pPr>
          </w:p>
          <w:p w14:paraId="1F2D9979" w14:textId="75DFFC74" w:rsidR="00832C7E" w:rsidRPr="008E787A" w:rsidRDefault="00302A18" w:rsidP="0068372F">
            <w:pPr>
              <w:pStyle w:val="TableBody"/>
              <w:rPr>
                <w:i/>
              </w:rPr>
            </w:pPr>
            <w:r w:rsidRPr="008E787A">
              <w:rPr>
                <w:i/>
              </w:rPr>
              <w:t xml:space="preserve">Protocol initially unrestricted but amended and node negative patients with </w:t>
            </w:r>
            <w:proofErr w:type="spellStart"/>
            <w:r w:rsidRPr="008E787A">
              <w:rPr>
                <w:i/>
              </w:rPr>
              <w:t>tumours</w:t>
            </w:r>
            <w:proofErr w:type="spellEnd"/>
            <w:r w:rsidRPr="008E787A">
              <w:rPr>
                <w:i/>
              </w:rPr>
              <w:t xml:space="preserve"> ≤1 cm [n =93, 8.5%] and node negative patients with </w:t>
            </w:r>
            <w:proofErr w:type="spellStart"/>
            <w:r w:rsidRPr="008E787A">
              <w:rPr>
                <w:i/>
              </w:rPr>
              <w:t>tumours</w:t>
            </w:r>
            <w:proofErr w:type="spellEnd"/>
            <w:r w:rsidRPr="008E787A">
              <w:rPr>
                <w:i/>
              </w:rPr>
              <w:t xml:space="preserve"> &gt;1 and ≤2 cm [n = 509,46.4%] were included</w:t>
            </w:r>
          </w:p>
        </w:tc>
        <w:tc>
          <w:tcPr>
            <w:tcW w:w="2254" w:type="dxa"/>
          </w:tcPr>
          <w:p w14:paraId="336573BA" w14:textId="2B6E62B2" w:rsidR="00302A18" w:rsidRDefault="00302A18" w:rsidP="0068372F">
            <w:pPr>
              <w:pStyle w:val="TableBody"/>
            </w:pPr>
            <w:r w:rsidRPr="008E787A">
              <w:t>Node positive or node neg</w:t>
            </w:r>
            <w:r w:rsidR="003873C8">
              <w:t xml:space="preserve">ative [n = 190] and </w:t>
            </w:r>
            <w:proofErr w:type="spellStart"/>
            <w:r w:rsidR="003873C8">
              <w:t>tumour</w:t>
            </w:r>
            <w:proofErr w:type="spellEnd"/>
            <w:r w:rsidR="003873C8">
              <w:t xml:space="preserve"> size</w:t>
            </w:r>
          </w:p>
          <w:p w14:paraId="561565F5" w14:textId="77777777" w:rsidR="008E787A" w:rsidRPr="008E787A" w:rsidRDefault="008E787A" w:rsidP="0068372F">
            <w:pPr>
              <w:pStyle w:val="TableBody"/>
            </w:pPr>
          </w:p>
          <w:p w14:paraId="0DF55B79" w14:textId="77777777" w:rsidR="00302A18" w:rsidRPr="008E787A" w:rsidRDefault="00302A18" w:rsidP="008E787A">
            <w:pPr>
              <w:pStyle w:val="Bodydot"/>
              <w:ind w:left="341" w:hanging="284"/>
              <w:rPr>
                <w:sz w:val="20"/>
                <w:szCs w:val="20"/>
              </w:rPr>
            </w:pPr>
            <w:r w:rsidRPr="008E787A">
              <w:rPr>
                <w:sz w:val="20"/>
                <w:szCs w:val="20"/>
              </w:rPr>
              <w:t xml:space="preserve">&gt;2 cm regardless of hormonal status; or </w:t>
            </w:r>
          </w:p>
          <w:p w14:paraId="18C2E0EA" w14:textId="77777777" w:rsidR="00302A18" w:rsidRPr="008E787A" w:rsidRDefault="00302A18" w:rsidP="008E787A">
            <w:pPr>
              <w:pStyle w:val="Bodydot"/>
              <w:ind w:left="341" w:hanging="284"/>
              <w:rPr>
                <w:sz w:val="20"/>
                <w:szCs w:val="20"/>
              </w:rPr>
            </w:pPr>
            <w:r w:rsidRPr="008E787A">
              <w:rPr>
                <w:sz w:val="20"/>
                <w:szCs w:val="20"/>
              </w:rPr>
              <w:t>&gt;1 cm and ER–</w:t>
            </w:r>
            <w:proofErr w:type="spellStart"/>
            <w:r w:rsidRPr="008E787A">
              <w:rPr>
                <w:sz w:val="20"/>
                <w:szCs w:val="20"/>
              </w:rPr>
              <w:t>ve</w:t>
            </w:r>
            <w:proofErr w:type="spellEnd"/>
            <w:r w:rsidRPr="008E787A">
              <w:rPr>
                <w:sz w:val="20"/>
                <w:szCs w:val="20"/>
              </w:rPr>
              <w:t xml:space="preserve"> </w:t>
            </w:r>
          </w:p>
          <w:p w14:paraId="073B2E14" w14:textId="4FC29D06" w:rsidR="00832C7E" w:rsidRPr="008E787A" w:rsidRDefault="00302A18" w:rsidP="0068372F">
            <w:pPr>
              <w:pStyle w:val="TableBody"/>
            </w:pPr>
            <w:r w:rsidRPr="008E787A">
              <w:t>[n = 63 node-</w:t>
            </w:r>
            <w:r w:rsidR="008E787A">
              <w:t xml:space="preserve">negative and </w:t>
            </w:r>
            <w:proofErr w:type="spellStart"/>
            <w:r w:rsidR="008E787A">
              <w:t>tumour</w:t>
            </w:r>
            <w:proofErr w:type="spellEnd"/>
            <w:r w:rsidR="008E787A">
              <w:t xml:space="preserve"> size ≤2 cm]</w:t>
            </w:r>
          </w:p>
        </w:tc>
        <w:tc>
          <w:tcPr>
            <w:tcW w:w="2254" w:type="dxa"/>
          </w:tcPr>
          <w:p w14:paraId="04636A2B" w14:textId="310584ED" w:rsidR="00302A18" w:rsidRPr="008E787A" w:rsidRDefault="00302A18" w:rsidP="0068372F">
            <w:pPr>
              <w:pStyle w:val="TableBody"/>
            </w:pPr>
            <w:r w:rsidRPr="008E787A">
              <w:t>Node positive or node negative a</w:t>
            </w:r>
            <w:r w:rsidR="003873C8">
              <w:t>nd at least 1 of the following:</w:t>
            </w:r>
          </w:p>
          <w:p w14:paraId="74ECB03C" w14:textId="77777777" w:rsidR="00302A18" w:rsidRPr="008E787A" w:rsidRDefault="00302A18" w:rsidP="000E7321">
            <w:pPr>
              <w:pStyle w:val="Bodydot"/>
              <w:ind w:left="355" w:hanging="355"/>
              <w:rPr>
                <w:sz w:val="20"/>
                <w:szCs w:val="20"/>
              </w:rPr>
            </w:pPr>
            <w:r w:rsidRPr="008E787A">
              <w:rPr>
                <w:sz w:val="20"/>
                <w:szCs w:val="20"/>
              </w:rPr>
              <w:t>tumour size &gt; 2 cm and ER and PR -</w:t>
            </w:r>
            <w:proofErr w:type="spellStart"/>
            <w:r w:rsidRPr="008E787A">
              <w:rPr>
                <w:sz w:val="20"/>
                <w:szCs w:val="20"/>
              </w:rPr>
              <w:t>ve</w:t>
            </w:r>
            <w:proofErr w:type="spellEnd"/>
            <w:r w:rsidRPr="008E787A">
              <w:rPr>
                <w:sz w:val="20"/>
                <w:szCs w:val="20"/>
              </w:rPr>
              <w:t xml:space="preserve">, or </w:t>
            </w:r>
          </w:p>
          <w:p w14:paraId="3731EBFA" w14:textId="77777777" w:rsidR="00302A18" w:rsidRPr="008E787A" w:rsidRDefault="00302A18" w:rsidP="000E7321">
            <w:pPr>
              <w:pStyle w:val="Bodydot"/>
              <w:ind w:left="355" w:hanging="355"/>
              <w:rPr>
                <w:sz w:val="20"/>
                <w:szCs w:val="20"/>
              </w:rPr>
            </w:pPr>
            <w:r w:rsidRPr="008E787A">
              <w:rPr>
                <w:sz w:val="20"/>
                <w:szCs w:val="20"/>
              </w:rPr>
              <w:t xml:space="preserve">histologic and/or nuclear grade 2-3, or </w:t>
            </w:r>
          </w:p>
          <w:p w14:paraId="79513FD3" w14:textId="5574697E" w:rsidR="00832C7E" w:rsidRPr="008E787A" w:rsidRDefault="003873C8" w:rsidP="003873C8">
            <w:pPr>
              <w:pStyle w:val="Bodydot"/>
              <w:ind w:left="355" w:hanging="355"/>
            </w:pPr>
            <w:proofErr w:type="gramStart"/>
            <w:r>
              <w:rPr>
                <w:sz w:val="20"/>
                <w:szCs w:val="20"/>
              </w:rPr>
              <w:t>age</w:t>
            </w:r>
            <w:proofErr w:type="gramEnd"/>
            <w:r>
              <w:rPr>
                <w:sz w:val="20"/>
                <w:szCs w:val="20"/>
              </w:rPr>
              <w:t xml:space="preserve"> &lt; 35 years.</w:t>
            </w:r>
          </w:p>
        </w:tc>
      </w:tr>
      <w:tr w:rsidR="00302A18" w14:paraId="6E62140A" w14:textId="77777777" w:rsidTr="00832C7E">
        <w:tc>
          <w:tcPr>
            <w:tcW w:w="2254" w:type="dxa"/>
          </w:tcPr>
          <w:p w14:paraId="42971C67" w14:textId="1D8D7D3E" w:rsidR="00302A18" w:rsidRPr="0068372F" w:rsidRDefault="00C27C64" w:rsidP="003873C8">
            <w:pPr>
              <w:pStyle w:val="TableHeading"/>
              <w:rPr>
                <w:bCs/>
              </w:rPr>
            </w:pPr>
            <w:proofErr w:type="spellStart"/>
            <w:r>
              <w:rPr>
                <w:bCs/>
                <w:szCs w:val="22"/>
              </w:rPr>
              <w:lastRenderedPageBreak/>
              <w:t>Trastuzumab</w:t>
            </w:r>
            <w:proofErr w:type="spellEnd"/>
            <w:r w:rsidR="003873C8">
              <w:rPr>
                <w:bCs/>
                <w:szCs w:val="22"/>
              </w:rPr>
              <w:t xml:space="preserve"> dosage regimen</w:t>
            </w:r>
          </w:p>
        </w:tc>
        <w:tc>
          <w:tcPr>
            <w:tcW w:w="2254" w:type="dxa"/>
          </w:tcPr>
          <w:p w14:paraId="3A296BF7" w14:textId="1E5D76EC" w:rsidR="00302A18" w:rsidRDefault="00302A18" w:rsidP="0068372F">
            <w:pPr>
              <w:pStyle w:val="TableBody"/>
            </w:pPr>
            <w:r>
              <w:t>L</w:t>
            </w:r>
            <w:r w:rsidR="003873C8">
              <w:t>oading dose 8 mg/kg,</w:t>
            </w:r>
          </w:p>
          <w:p w14:paraId="621FC6AF" w14:textId="52C50406" w:rsidR="00302A18" w:rsidRDefault="00302A18" w:rsidP="0068372F">
            <w:pPr>
              <w:pStyle w:val="TableBody"/>
            </w:pPr>
            <w:r>
              <w:t>followed by 6 mg/kg (q3w)</w:t>
            </w:r>
          </w:p>
        </w:tc>
        <w:tc>
          <w:tcPr>
            <w:tcW w:w="2254" w:type="dxa"/>
          </w:tcPr>
          <w:p w14:paraId="78160D40" w14:textId="445234C3" w:rsidR="00302A18" w:rsidRDefault="003873C8" w:rsidP="0068372F">
            <w:pPr>
              <w:pStyle w:val="TableBody"/>
            </w:pPr>
            <w:r>
              <w:t>Loading dose 4 mg/kg,</w:t>
            </w:r>
          </w:p>
          <w:p w14:paraId="01073CC0" w14:textId="77777777" w:rsidR="00302A18" w:rsidRDefault="00302A18" w:rsidP="0068372F">
            <w:pPr>
              <w:pStyle w:val="TableBody"/>
            </w:pPr>
            <w:r>
              <w:t xml:space="preserve">followed by 2 mg/kg (q1w) </w:t>
            </w:r>
          </w:p>
        </w:tc>
        <w:tc>
          <w:tcPr>
            <w:tcW w:w="2254" w:type="dxa"/>
          </w:tcPr>
          <w:p w14:paraId="0DB245D4" w14:textId="5096FDE0" w:rsidR="00302A18" w:rsidRDefault="00302A18" w:rsidP="0068372F">
            <w:pPr>
              <w:pStyle w:val="TableBody"/>
            </w:pPr>
            <w:r>
              <w:t>Loading dose 4 mg</w:t>
            </w:r>
            <w:r w:rsidR="003873C8">
              <w:t>/kg, followed by 2 mg/kg (q1w).</w:t>
            </w:r>
          </w:p>
          <w:p w14:paraId="0B2D92B6" w14:textId="0568D69F" w:rsidR="00302A18" w:rsidRDefault="00302A18" w:rsidP="0068372F">
            <w:pPr>
              <w:pStyle w:val="TableBody"/>
            </w:pPr>
            <w:r>
              <w:t>After chemo, 6 mg/kg (q3w)</w:t>
            </w:r>
          </w:p>
        </w:tc>
      </w:tr>
      <w:tr w:rsidR="00302A18" w14:paraId="67616EC9" w14:textId="77777777" w:rsidTr="00832C7E">
        <w:tc>
          <w:tcPr>
            <w:tcW w:w="2254" w:type="dxa"/>
          </w:tcPr>
          <w:p w14:paraId="43A7A381" w14:textId="71A6D68B" w:rsidR="00302A18" w:rsidRPr="0068372F" w:rsidRDefault="00302A18" w:rsidP="001F15F5">
            <w:pPr>
              <w:pStyle w:val="TableHeading"/>
              <w:rPr>
                <w:bCs/>
                <w:szCs w:val="22"/>
              </w:rPr>
            </w:pPr>
            <w:r w:rsidRPr="0068372F">
              <w:rPr>
                <w:bCs/>
                <w:szCs w:val="22"/>
              </w:rPr>
              <w:t xml:space="preserve">Duration of </w:t>
            </w:r>
            <w:proofErr w:type="spellStart"/>
            <w:r w:rsidR="000E7321">
              <w:rPr>
                <w:bCs/>
                <w:szCs w:val="22"/>
              </w:rPr>
              <w:t>trastuzumab</w:t>
            </w:r>
            <w:proofErr w:type="spellEnd"/>
            <w:r w:rsidRPr="0068372F">
              <w:rPr>
                <w:bCs/>
                <w:szCs w:val="22"/>
              </w:rPr>
              <w:t xml:space="preserve"> treatment</w:t>
            </w:r>
          </w:p>
        </w:tc>
        <w:tc>
          <w:tcPr>
            <w:tcW w:w="2254" w:type="dxa"/>
          </w:tcPr>
          <w:p w14:paraId="11386242" w14:textId="6C03C91D" w:rsidR="00302A18" w:rsidRDefault="00302A18" w:rsidP="0068372F">
            <w:pPr>
              <w:pStyle w:val="TableBody"/>
            </w:pPr>
            <w:r>
              <w:t xml:space="preserve">1 </w:t>
            </w:r>
            <w:proofErr w:type="spellStart"/>
            <w:r>
              <w:t>yr</w:t>
            </w:r>
            <w:proofErr w:type="spellEnd"/>
            <w:r>
              <w:t xml:space="preserve"> or 2 </w:t>
            </w:r>
            <w:proofErr w:type="spellStart"/>
            <w:r>
              <w:t>yrs</w:t>
            </w:r>
            <w:proofErr w:type="spellEnd"/>
          </w:p>
        </w:tc>
        <w:tc>
          <w:tcPr>
            <w:tcW w:w="2254" w:type="dxa"/>
          </w:tcPr>
          <w:p w14:paraId="3B1E4203" w14:textId="3B719EDF" w:rsidR="00302A18" w:rsidRDefault="00302A18" w:rsidP="0068372F">
            <w:pPr>
              <w:pStyle w:val="TableBody"/>
            </w:pPr>
            <w:r>
              <w:t>52 weeks</w:t>
            </w:r>
          </w:p>
        </w:tc>
        <w:tc>
          <w:tcPr>
            <w:tcW w:w="2254" w:type="dxa"/>
          </w:tcPr>
          <w:p w14:paraId="12D7443C" w14:textId="74E8318B" w:rsidR="00302A18" w:rsidRDefault="00302A18" w:rsidP="0068372F">
            <w:pPr>
              <w:pStyle w:val="TableBody"/>
            </w:pPr>
            <w:r>
              <w:t>52 weeks</w:t>
            </w:r>
          </w:p>
        </w:tc>
      </w:tr>
      <w:tr w:rsidR="00832C7E" w14:paraId="4C6561AF" w14:textId="77777777" w:rsidTr="00832C7E">
        <w:tc>
          <w:tcPr>
            <w:tcW w:w="2254" w:type="dxa"/>
          </w:tcPr>
          <w:p w14:paraId="1FE40FAE" w14:textId="02EA6F03" w:rsidR="00302A18" w:rsidRPr="0068372F" w:rsidRDefault="003873C8" w:rsidP="001F15F5">
            <w:pPr>
              <w:pStyle w:val="TableHeading"/>
              <w:rPr>
                <w:bCs/>
              </w:rPr>
            </w:pPr>
            <w:r>
              <w:rPr>
                <w:bCs/>
                <w:szCs w:val="22"/>
              </w:rPr>
              <w:t>Chemotherapy regimen(s)</w:t>
            </w:r>
          </w:p>
          <w:p w14:paraId="0B3A46F4" w14:textId="77777777" w:rsidR="00832C7E" w:rsidRPr="0068372F" w:rsidRDefault="00832C7E" w:rsidP="001F15F5">
            <w:pPr>
              <w:pStyle w:val="TableHeading"/>
              <w:rPr>
                <w:bCs/>
              </w:rPr>
            </w:pPr>
          </w:p>
        </w:tc>
        <w:tc>
          <w:tcPr>
            <w:tcW w:w="2254" w:type="dxa"/>
          </w:tcPr>
          <w:p w14:paraId="55C0AFB8" w14:textId="77777777" w:rsidR="00302A18" w:rsidRDefault="00302A18" w:rsidP="0068372F">
            <w:pPr>
              <w:pStyle w:val="TableBody"/>
            </w:pPr>
            <w:r>
              <w:t xml:space="preserve">Various </w:t>
            </w:r>
          </w:p>
          <w:p w14:paraId="5C21FEB5" w14:textId="51A4F070" w:rsidR="00302A18" w:rsidRDefault="003873C8" w:rsidP="0068372F">
            <w:pPr>
              <w:pStyle w:val="TableBody"/>
            </w:pPr>
            <w:r>
              <w:t>HERA trial</w:t>
            </w:r>
          </w:p>
          <w:p w14:paraId="1F354FEE" w14:textId="7DB0FFBF" w:rsidR="00832C7E" w:rsidRDefault="00302A18" w:rsidP="0068372F">
            <w:pPr>
              <w:pStyle w:val="TableBody"/>
            </w:pPr>
            <w:r>
              <w:t>n = 3386</w:t>
            </w:r>
          </w:p>
        </w:tc>
        <w:tc>
          <w:tcPr>
            <w:tcW w:w="2254" w:type="dxa"/>
          </w:tcPr>
          <w:p w14:paraId="5B481FB2" w14:textId="0D83470A" w:rsidR="00302A18" w:rsidRDefault="00302A18" w:rsidP="0068372F">
            <w:pPr>
              <w:pStyle w:val="TableBody"/>
            </w:pPr>
            <w:r>
              <w:t>AC (q3w)</w:t>
            </w:r>
            <w:r w:rsidR="003873C8">
              <w:t xml:space="preserve"> followed by IV paclitaxel as a</w:t>
            </w:r>
          </w:p>
          <w:p w14:paraId="78F4DF61" w14:textId="77777777" w:rsidR="00302A18" w:rsidRDefault="00302A18" w:rsidP="0068372F">
            <w:pPr>
              <w:pStyle w:val="TableBody"/>
            </w:pPr>
            <w:r>
              <w:t xml:space="preserve">NSAPB B-31 and NCCTG N9831 trials (joint analysis) </w:t>
            </w:r>
          </w:p>
          <w:p w14:paraId="2B5AC862" w14:textId="2574AE16" w:rsidR="00832C7E" w:rsidRDefault="00302A18" w:rsidP="003873C8">
            <w:pPr>
              <w:pStyle w:val="TableBody"/>
            </w:pPr>
            <w:r>
              <w:t>n = 3763</w:t>
            </w:r>
          </w:p>
        </w:tc>
        <w:tc>
          <w:tcPr>
            <w:tcW w:w="2254" w:type="dxa"/>
          </w:tcPr>
          <w:p w14:paraId="54C62E11" w14:textId="7919A90A" w:rsidR="00302A18" w:rsidRDefault="00302A18" w:rsidP="0068372F">
            <w:pPr>
              <w:pStyle w:val="TableBody"/>
            </w:pPr>
            <w:r>
              <w:t xml:space="preserve">AC </w:t>
            </w:r>
            <w:r w:rsidR="003873C8">
              <w:t>followed by docetaxel (AC→D) or</w:t>
            </w:r>
          </w:p>
          <w:p w14:paraId="51E2338B" w14:textId="7DB7FDBE" w:rsidR="00302A18" w:rsidRDefault="003873C8" w:rsidP="0068372F">
            <w:pPr>
              <w:pStyle w:val="TableBody"/>
            </w:pPr>
            <w:r>
              <w:t>BCIRG 006</w:t>
            </w:r>
          </w:p>
          <w:p w14:paraId="6DE02E84" w14:textId="64F76924" w:rsidR="00832C7E" w:rsidRDefault="00302A18" w:rsidP="003873C8">
            <w:pPr>
              <w:pStyle w:val="TableBody"/>
            </w:pPr>
            <w:r>
              <w:t>n = 3222</w:t>
            </w:r>
          </w:p>
        </w:tc>
      </w:tr>
      <w:tr w:rsidR="00302A18" w14:paraId="7EB536A0" w14:textId="77777777" w:rsidTr="00832C7E">
        <w:tc>
          <w:tcPr>
            <w:tcW w:w="2254" w:type="dxa"/>
          </w:tcPr>
          <w:p w14:paraId="6861476B" w14:textId="77777777" w:rsidR="00302A18" w:rsidRPr="0068372F" w:rsidRDefault="00302A18" w:rsidP="0068372F">
            <w:pPr>
              <w:pStyle w:val="TableHeading"/>
              <w:jc w:val="center"/>
              <w:rPr>
                <w:bCs/>
              </w:rPr>
            </w:pPr>
          </w:p>
        </w:tc>
        <w:tc>
          <w:tcPr>
            <w:tcW w:w="2254" w:type="dxa"/>
          </w:tcPr>
          <w:p w14:paraId="76FDD3B2" w14:textId="77777777" w:rsidR="00302A18" w:rsidRDefault="00302A18" w:rsidP="0068372F">
            <w:pPr>
              <w:pStyle w:val="TableBody"/>
            </w:pPr>
          </w:p>
        </w:tc>
        <w:tc>
          <w:tcPr>
            <w:tcW w:w="2254" w:type="dxa"/>
          </w:tcPr>
          <w:p w14:paraId="02AF4F3A" w14:textId="099CC238" w:rsidR="00302A18" w:rsidRDefault="003873C8" w:rsidP="0068372F">
            <w:pPr>
              <w:pStyle w:val="TableBody"/>
            </w:pPr>
            <w:proofErr w:type="gramStart"/>
            <w:r>
              <w:t>continuous</w:t>
            </w:r>
            <w:proofErr w:type="gramEnd"/>
            <w:r>
              <w:t xml:space="preserve"> IV infusion (AC→P).</w:t>
            </w:r>
          </w:p>
          <w:p w14:paraId="1A7F056B" w14:textId="77777777" w:rsidR="000E7321" w:rsidRDefault="000E7321" w:rsidP="0068372F">
            <w:pPr>
              <w:pStyle w:val="TableBody"/>
            </w:pPr>
          </w:p>
          <w:p w14:paraId="15FF86D5" w14:textId="1B03C6F3" w:rsidR="00302A18" w:rsidRDefault="00302A18" w:rsidP="0068372F">
            <w:pPr>
              <w:pStyle w:val="TableBody"/>
            </w:pPr>
            <w:r>
              <w:t>Paclitaxel: 80 mg/m</w:t>
            </w:r>
            <w:r w:rsidRPr="00046B8B">
              <w:rPr>
                <w:vertAlign w:val="subscript"/>
              </w:rPr>
              <w:t xml:space="preserve">2 </w:t>
            </w:r>
            <w:r>
              <w:t>q1w for 12 weeks or 175 mg/m</w:t>
            </w:r>
            <w:r w:rsidRPr="001F15F5">
              <w:rPr>
                <w:vertAlign w:val="superscript"/>
              </w:rPr>
              <w:t>2</w:t>
            </w:r>
            <w:r w:rsidRPr="00046B8B">
              <w:rPr>
                <w:vertAlign w:val="subscript"/>
              </w:rPr>
              <w:t xml:space="preserve"> </w:t>
            </w:r>
            <w:r>
              <w:t>q3w for 4 cycles (day 1 of each cycle)</w:t>
            </w:r>
          </w:p>
        </w:tc>
        <w:tc>
          <w:tcPr>
            <w:tcW w:w="2254" w:type="dxa"/>
          </w:tcPr>
          <w:p w14:paraId="06E46343" w14:textId="0AB479AD" w:rsidR="00302A18" w:rsidRDefault="00302A18" w:rsidP="0068372F">
            <w:pPr>
              <w:pStyle w:val="TableBody"/>
            </w:pPr>
            <w:r>
              <w:t>do</w:t>
            </w:r>
            <w:r w:rsidR="003873C8">
              <w:t>cetaxel and carboplatin (</w:t>
            </w:r>
            <w:proofErr w:type="spellStart"/>
            <w:r w:rsidR="003873C8">
              <w:t>DCarb</w:t>
            </w:r>
            <w:proofErr w:type="spellEnd"/>
            <w:r w:rsidR="003873C8">
              <w:t>)</w:t>
            </w:r>
          </w:p>
          <w:p w14:paraId="02C0B891" w14:textId="77777777" w:rsidR="000E7321" w:rsidRDefault="000E7321" w:rsidP="0068372F">
            <w:pPr>
              <w:pStyle w:val="TableBody"/>
            </w:pPr>
          </w:p>
          <w:p w14:paraId="36754122" w14:textId="1E49F6A8" w:rsidR="00302A18" w:rsidRDefault="00302A18" w:rsidP="0068372F">
            <w:pPr>
              <w:pStyle w:val="TableBody"/>
            </w:pPr>
            <w:r>
              <w:t>Docet</w:t>
            </w:r>
            <w:r w:rsidR="003873C8">
              <w:t>axel (IV infusion over 60 min):</w:t>
            </w:r>
          </w:p>
          <w:p w14:paraId="4B508082" w14:textId="26A29075" w:rsidR="00302A18" w:rsidRDefault="00302A18" w:rsidP="0068372F">
            <w:pPr>
              <w:pStyle w:val="TableBody"/>
            </w:pPr>
            <w:r>
              <w:t>(AC→D): 100 mg/m</w:t>
            </w:r>
            <w:r w:rsidRPr="00046B8B">
              <w:rPr>
                <w:vertAlign w:val="subscript"/>
              </w:rPr>
              <w:t xml:space="preserve">2 </w:t>
            </w:r>
            <w:r w:rsidR="003873C8">
              <w:t>q3w for 4 cycles or</w:t>
            </w:r>
          </w:p>
          <w:p w14:paraId="6A5ECCD2" w14:textId="193DBF3C" w:rsidR="00302A18" w:rsidRDefault="00302A18" w:rsidP="0068372F">
            <w:pPr>
              <w:pStyle w:val="TableBody"/>
            </w:pPr>
            <w:r>
              <w:t>(</w:t>
            </w:r>
            <w:proofErr w:type="spellStart"/>
            <w:r>
              <w:t>DCarb</w:t>
            </w:r>
            <w:proofErr w:type="spellEnd"/>
            <w:r>
              <w:t>): 75 mg/m</w:t>
            </w:r>
            <w:r w:rsidRPr="00046B8B">
              <w:rPr>
                <w:vertAlign w:val="subscript"/>
              </w:rPr>
              <w:t xml:space="preserve">2 </w:t>
            </w:r>
            <w:r w:rsidR="003873C8">
              <w:t>q3w for 6 cycles</w:t>
            </w:r>
          </w:p>
          <w:p w14:paraId="51E48D13" w14:textId="11697B78" w:rsidR="00302A18" w:rsidRDefault="003873C8" w:rsidP="0068372F">
            <w:pPr>
              <w:pStyle w:val="TableBody"/>
            </w:pPr>
            <w:r>
              <w:t>Carboplatin (at target AUC):</w:t>
            </w:r>
          </w:p>
          <w:p w14:paraId="4804E440" w14:textId="78B68F4E" w:rsidR="00302A18" w:rsidRDefault="00302A18" w:rsidP="0068372F">
            <w:pPr>
              <w:pStyle w:val="TableBody"/>
            </w:pPr>
            <w:r>
              <w:t xml:space="preserve">6 mg/mL/min (IV infusion over 30 - 60 min) q3w for </w:t>
            </w:r>
            <w:proofErr w:type="gramStart"/>
            <w:r>
              <w:t>a total of 6</w:t>
            </w:r>
            <w:proofErr w:type="gramEnd"/>
            <w:r>
              <w:t xml:space="preserve"> cycles.</w:t>
            </w:r>
          </w:p>
        </w:tc>
      </w:tr>
      <w:tr w:rsidR="00302A18" w14:paraId="04BFC590" w14:textId="77777777" w:rsidTr="00832C7E">
        <w:tc>
          <w:tcPr>
            <w:tcW w:w="2254" w:type="dxa"/>
          </w:tcPr>
          <w:p w14:paraId="08FD8DFE" w14:textId="000D8B2B" w:rsidR="00302A18" w:rsidRPr="0068372F" w:rsidRDefault="00302A18" w:rsidP="001F15F5">
            <w:pPr>
              <w:pStyle w:val="TableHeading"/>
              <w:rPr>
                <w:bCs/>
                <w:szCs w:val="22"/>
              </w:rPr>
            </w:pPr>
            <w:r w:rsidRPr="0068372F">
              <w:rPr>
                <w:bCs/>
                <w:szCs w:val="22"/>
              </w:rPr>
              <w:t xml:space="preserve">Timing of </w:t>
            </w:r>
            <w:proofErr w:type="spellStart"/>
            <w:r w:rsidR="000E7321">
              <w:rPr>
                <w:bCs/>
                <w:szCs w:val="22"/>
              </w:rPr>
              <w:t>trastuzumab</w:t>
            </w:r>
            <w:proofErr w:type="spellEnd"/>
            <w:r w:rsidRPr="0068372F">
              <w:rPr>
                <w:bCs/>
                <w:szCs w:val="22"/>
              </w:rPr>
              <w:t xml:space="preserve"> in relation to chemotherapy</w:t>
            </w:r>
          </w:p>
        </w:tc>
        <w:tc>
          <w:tcPr>
            <w:tcW w:w="2254" w:type="dxa"/>
          </w:tcPr>
          <w:p w14:paraId="023CF21D" w14:textId="4F6E4201" w:rsidR="00302A18" w:rsidRDefault="00302A18" w:rsidP="0068372F">
            <w:pPr>
              <w:pStyle w:val="TableBody"/>
              <w:rPr>
                <w:sz w:val="14"/>
                <w:szCs w:val="14"/>
              </w:rPr>
            </w:pPr>
            <w:r>
              <w:t>Af</w:t>
            </w:r>
            <w:r w:rsidR="003873C8">
              <w:t>ter completion of (neo)</w:t>
            </w:r>
            <w:proofErr w:type="spellStart"/>
            <w:r w:rsidR="003873C8">
              <w:t>adjuvant</w:t>
            </w:r>
            <w:r w:rsidRPr="001F15F5">
              <w:rPr>
                <w:vertAlign w:val="superscript"/>
              </w:rPr>
              <w:t>a</w:t>
            </w:r>
            <w:proofErr w:type="spellEnd"/>
            <w:r w:rsidRPr="00046B8B">
              <w:rPr>
                <w:vertAlign w:val="subscript"/>
              </w:rPr>
              <w:t xml:space="preserve"> </w:t>
            </w:r>
          </w:p>
        </w:tc>
        <w:tc>
          <w:tcPr>
            <w:tcW w:w="2254" w:type="dxa"/>
          </w:tcPr>
          <w:p w14:paraId="7720F5C8" w14:textId="142B3C93" w:rsidR="00302A18" w:rsidRDefault="00302A18" w:rsidP="0068372F">
            <w:pPr>
              <w:pStyle w:val="TableBody"/>
            </w:pPr>
            <w:r>
              <w:t>Concurrent (AC→PH) or sequential (AC→P→H)</w:t>
            </w:r>
          </w:p>
        </w:tc>
        <w:tc>
          <w:tcPr>
            <w:tcW w:w="2254" w:type="dxa"/>
          </w:tcPr>
          <w:p w14:paraId="46820327" w14:textId="5877A734" w:rsidR="00302A18" w:rsidRDefault="00302A18" w:rsidP="0068372F">
            <w:pPr>
              <w:pStyle w:val="TableBody"/>
            </w:pPr>
            <w:r>
              <w:t xml:space="preserve">Concurrent (AC→DH and </w:t>
            </w:r>
            <w:proofErr w:type="spellStart"/>
            <w:r>
              <w:t>DCarbH</w:t>
            </w:r>
            <w:proofErr w:type="spellEnd"/>
            <w:r>
              <w:t>)</w:t>
            </w:r>
          </w:p>
        </w:tc>
      </w:tr>
      <w:tr w:rsidR="00302A18" w14:paraId="5E31A234" w14:textId="77777777" w:rsidTr="00832C7E">
        <w:tc>
          <w:tcPr>
            <w:tcW w:w="2254" w:type="dxa"/>
          </w:tcPr>
          <w:p w14:paraId="4C0AE959" w14:textId="2D142F62" w:rsidR="00302A18" w:rsidRPr="0068372F" w:rsidRDefault="00302A18" w:rsidP="001F15F5">
            <w:pPr>
              <w:pStyle w:val="TableHeading"/>
              <w:rPr>
                <w:bCs/>
                <w:szCs w:val="22"/>
              </w:rPr>
            </w:pPr>
            <w:r w:rsidRPr="0068372F">
              <w:rPr>
                <w:bCs/>
                <w:szCs w:val="22"/>
              </w:rPr>
              <w:t>Median follow-up</w:t>
            </w:r>
          </w:p>
        </w:tc>
        <w:tc>
          <w:tcPr>
            <w:tcW w:w="2254" w:type="dxa"/>
          </w:tcPr>
          <w:p w14:paraId="59A6D279" w14:textId="55DD42DB" w:rsidR="00302A18" w:rsidRDefault="003873C8" w:rsidP="0068372F">
            <w:pPr>
              <w:pStyle w:val="TableBody"/>
            </w:pPr>
            <w:r>
              <w:t>1 year (initial evaluation)</w:t>
            </w:r>
          </w:p>
          <w:p w14:paraId="6FE54F4F" w14:textId="2992E752" w:rsidR="00302A18" w:rsidRDefault="00302A18" w:rsidP="0068372F">
            <w:pPr>
              <w:pStyle w:val="TableBody"/>
            </w:pPr>
            <w:r>
              <w:t>[8 years (follow-up evaluation)]</w:t>
            </w:r>
          </w:p>
        </w:tc>
        <w:tc>
          <w:tcPr>
            <w:tcW w:w="2254" w:type="dxa"/>
          </w:tcPr>
          <w:p w14:paraId="4B20845B" w14:textId="1856C002" w:rsidR="00302A18" w:rsidRDefault="00302A18" w:rsidP="0068372F">
            <w:pPr>
              <w:pStyle w:val="TableBody"/>
            </w:pPr>
            <w:r>
              <w:t>2 years</w:t>
            </w:r>
          </w:p>
        </w:tc>
        <w:tc>
          <w:tcPr>
            <w:tcW w:w="2254" w:type="dxa"/>
          </w:tcPr>
          <w:p w14:paraId="39827E3C" w14:textId="1C1A2A90" w:rsidR="00302A18" w:rsidRDefault="00302A18" w:rsidP="0068372F">
            <w:pPr>
              <w:pStyle w:val="TableBody"/>
            </w:pPr>
            <w:r>
              <w:t>3 years</w:t>
            </w:r>
          </w:p>
        </w:tc>
      </w:tr>
    </w:tbl>
    <w:p w14:paraId="3128A000" w14:textId="77777777" w:rsidR="00832C7E" w:rsidRPr="001F15F5" w:rsidRDefault="00302A18" w:rsidP="00C4138E">
      <w:pPr>
        <w:pStyle w:val="Bodyofcontents"/>
        <w:rPr>
          <w:sz w:val="18"/>
          <w:szCs w:val="18"/>
        </w:rPr>
      </w:pPr>
      <w:r w:rsidRPr="001F15F5">
        <w:rPr>
          <w:sz w:val="18"/>
          <w:szCs w:val="18"/>
        </w:rPr>
        <w:t xml:space="preserve">AC = doxorubicin + cyclophosphamide; q3w = every 3 weeks; q1w = weekly chemo = chemotherapy; </w:t>
      </w:r>
      <w:proofErr w:type="gramStart"/>
      <w:r w:rsidRPr="001F15F5">
        <w:rPr>
          <w:sz w:val="18"/>
          <w:szCs w:val="18"/>
          <w:vertAlign w:val="superscript"/>
        </w:rPr>
        <w:t>a</w:t>
      </w:r>
      <w:proofErr w:type="gramEnd"/>
      <w:r w:rsidRPr="001F15F5">
        <w:rPr>
          <w:sz w:val="18"/>
          <w:szCs w:val="18"/>
        </w:rPr>
        <w:t xml:space="preserve"> 89% of subjects received adjuvant chemotherapy; 5% received </w:t>
      </w:r>
      <w:proofErr w:type="spellStart"/>
      <w:r w:rsidRPr="001F15F5">
        <w:rPr>
          <w:sz w:val="18"/>
          <w:szCs w:val="18"/>
        </w:rPr>
        <w:t>neoadjuvant</w:t>
      </w:r>
      <w:proofErr w:type="spellEnd"/>
      <w:r w:rsidRPr="001F15F5">
        <w:rPr>
          <w:sz w:val="18"/>
          <w:szCs w:val="18"/>
        </w:rPr>
        <w:t xml:space="preserve"> chemotherapy and 6% received a combination of </w:t>
      </w:r>
      <w:proofErr w:type="spellStart"/>
      <w:r w:rsidRPr="001F15F5">
        <w:rPr>
          <w:sz w:val="18"/>
          <w:szCs w:val="18"/>
        </w:rPr>
        <w:t>neoadjuvant</w:t>
      </w:r>
      <w:proofErr w:type="spellEnd"/>
      <w:r w:rsidRPr="001F15F5">
        <w:rPr>
          <w:sz w:val="18"/>
          <w:szCs w:val="18"/>
        </w:rPr>
        <w:t xml:space="preserve"> and adjuvant chemotherapy.</w:t>
      </w:r>
    </w:p>
    <w:p w14:paraId="7E8EE42E" w14:textId="2360D34B" w:rsidR="00302A18" w:rsidRDefault="00302A18" w:rsidP="00302A18">
      <w:pPr>
        <w:pStyle w:val="Bodyofcontents"/>
      </w:pPr>
      <w:r w:rsidRPr="00302A18">
        <w:t xml:space="preserve">The HERA trial </w:t>
      </w:r>
      <w:proofErr w:type="gramStart"/>
      <w:r w:rsidRPr="00302A18">
        <w:t>was designed</w:t>
      </w:r>
      <w:proofErr w:type="gramEnd"/>
      <w:r w:rsidRPr="00302A18">
        <w:t xml:space="preserve"> to compare 1 and 2 years of 3-weekly </w:t>
      </w:r>
      <w:proofErr w:type="spellStart"/>
      <w:r w:rsidR="000E7321">
        <w:t>trastuzumab</w:t>
      </w:r>
      <w:proofErr w:type="spellEnd"/>
      <w:r w:rsidRPr="00302A18">
        <w:t xml:space="preserve"> treatment vs. observation in patients with HER2 positive breast cancer following surgery, established chemotherapy and radiotherapy (if applicable). In addition, a comparison of 2 years </w:t>
      </w:r>
      <w:proofErr w:type="spellStart"/>
      <w:r w:rsidR="000E7321">
        <w:t>trastuzumab</w:t>
      </w:r>
      <w:proofErr w:type="spellEnd"/>
      <w:r w:rsidRPr="00302A18">
        <w:t xml:space="preserve"> treatment vs. </w:t>
      </w:r>
      <w:proofErr w:type="gramStart"/>
      <w:r w:rsidRPr="00302A18">
        <w:t>1 year</w:t>
      </w:r>
      <w:proofErr w:type="gramEnd"/>
      <w:r w:rsidRPr="00302A18">
        <w:t xml:space="preserve"> </w:t>
      </w:r>
      <w:proofErr w:type="spellStart"/>
      <w:r w:rsidR="000E7321">
        <w:t>trastuzumab</w:t>
      </w:r>
      <w:proofErr w:type="spellEnd"/>
      <w:r w:rsidRPr="00302A18">
        <w:t xml:space="preserve"> treatment was performed. Patients assigned to receive </w:t>
      </w:r>
      <w:proofErr w:type="spellStart"/>
      <w:r w:rsidR="000E7321">
        <w:t>trastuzumab</w:t>
      </w:r>
      <w:proofErr w:type="spellEnd"/>
      <w:r w:rsidRPr="00302A18">
        <w:t xml:space="preserve"> </w:t>
      </w:r>
      <w:proofErr w:type="gramStart"/>
      <w:r w:rsidRPr="00302A18">
        <w:t>were given</w:t>
      </w:r>
      <w:proofErr w:type="gramEnd"/>
      <w:r w:rsidRPr="00302A18">
        <w:t xml:space="preserve"> an initial loading dose of 8 mg/kg, followed by 6 mg/kg every 3 weeks for either 1 or 2 years. The efficacy results from the HERA trial </w:t>
      </w:r>
      <w:proofErr w:type="gramStart"/>
      <w:r w:rsidRPr="00302A18">
        <w:t>are summarized</w:t>
      </w:r>
      <w:proofErr w:type="gramEnd"/>
      <w:r w:rsidRPr="00302A18">
        <w:t xml:space="preserve"> in the following table:</w:t>
      </w:r>
    </w:p>
    <w:p w14:paraId="4AD4C427" w14:textId="77777777" w:rsidR="00302A18" w:rsidRDefault="00302A18" w:rsidP="00164B3D">
      <w:pPr>
        <w:pStyle w:val="TableTitle"/>
        <w:spacing w:after="120"/>
      </w:pPr>
      <w:r>
        <w:t>Table 4: Efficacy Results from the HERA Trial at 12 months</w:t>
      </w:r>
      <w:r w:rsidRPr="001F15F5">
        <w:rPr>
          <w:vertAlign w:val="superscript"/>
        </w:rPr>
        <w:t>1</w:t>
      </w:r>
      <w:r w:rsidRPr="00C4138E">
        <w:rPr>
          <w:bCs/>
          <w:vertAlign w:val="subscript"/>
        </w:rPr>
        <w:t xml:space="preserve"> </w:t>
      </w:r>
      <w:r>
        <w:t>and 8 years</w:t>
      </w:r>
      <w:r w:rsidRPr="001F15F5">
        <w:rPr>
          <w:bCs/>
          <w:vertAlign w:val="superscript"/>
        </w:rPr>
        <w:t>2</w:t>
      </w:r>
      <w:r w:rsidRPr="00C4138E">
        <w:rPr>
          <w:bCs/>
          <w:vertAlign w:val="subscript"/>
        </w:rPr>
        <w:t xml:space="preserve"> </w:t>
      </w:r>
      <w:r>
        <w:t>of median follow up</w:t>
      </w:r>
    </w:p>
    <w:tbl>
      <w:tblPr>
        <w:tblStyle w:val="TableGrid"/>
        <w:tblW w:w="0" w:type="auto"/>
        <w:tblLook w:val="04A0" w:firstRow="1" w:lastRow="0" w:firstColumn="1" w:lastColumn="0" w:noHBand="0" w:noVBand="1"/>
      </w:tblPr>
      <w:tblGrid>
        <w:gridCol w:w="2547"/>
        <w:gridCol w:w="1701"/>
        <w:gridCol w:w="1701"/>
        <w:gridCol w:w="1559"/>
        <w:gridCol w:w="1508"/>
      </w:tblGrid>
      <w:tr w:rsidR="00AB15D9" w14:paraId="5C7C440B" w14:textId="77777777" w:rsidTr="00164B3D">
        <w:tc>
          <w:tcPr>
            <w:tcW w:w="2547" w:type="dxa"/>
          </w:tcPr>
          <w:p w14:paraId="49396A12" w14:textId="77777777" w:rsidR="00AB15D9" w:rsidRPr="002936B8" w:rsidRDefault="00AB15D9" w:rsidP="001F15F5">
            <w:pPr>
              <w:pStyle w:val="TableHeading"/>
            </w:pPr>
            <w:r w:rsidRPr="002936B8">
              <w:t>Parameter</w:t>
            </w:r>
          </w:p>
        </w:tc>
        <w:tc>
          <w:tcPr>
            <w:tcW w:w="1701" w:type="dxa"/>
          </w:tcPr>
          <w:p w14:paraId="3AA7107A" w14:textId="77777777" w:rsidR="00AB15D9" w:rsidRPr="002936B8" w:rsidRDefault="00AB15D9" w:rsidP="002936B8">
            <w:pPr>
              <w:pStyle w:val="TableHeading"/>
              <w:jc w:val="center"/>
            </w:pPr>
            <w:r w:rsidRPr="002936B8">
              <w:t>Observation</w:t>
            </w:r>
          </w:p>
        </w:tc>
        <w:tc>
          <w:tcPr>
            <w:tcW w:w="1701" w:type="dxa"/>
          </w:tcPr>
          <w:p w14:paraId="362FED4A" w14:textId="54969B9E" w:rsidR="00AB15D9" w:rsidRPr="002936B8" w:rsidRDefault="003F29EC" w:rsidP="002936B8">
            <w:pPr>
              <w:pStyle w:val="TableHeading"/>
              <w:jc w:val="center"/>
            </w:pPr>
            <w:proofErr w:type="spellStart"/>
            <w:r>
              <w:t>Trastuzumab</w:t>
            </w:r>
            <w:proofErr w:type="spellEnd"/>
          </w:p>
          <w:p w14:paraId="67AF08F8" w14:textId="77777777" w:rsidR="00AB15D9" w:rsidRPr="002936B8" w:rsidRDefault="00AB15D9" w:rsidP="002936B8">
            <w:pPr>
              <w:pStyle w:val="TableHeading"/>
              <w:jc w:val="center"/>
            </w:pPr>
            <w:r w:rsidRPr="002936B8">
              <w:t>1yr treatment</w:t>
            </w:r>
          </w:p>
        </w:tc>
        <w:tc>
          <w:tcPr>
            <w:tcW w:w="1559" w:type="dxa"/>
          </w:tcPr>
          <w:p w14:paraId="40F8112C" w14:textId="77777777" w:rsidR="00AB15D9" w:rsidRPr="002936B8" w:rsidRDefault="00AB15D9" w:rsidP="002936B8">
            <w:pPr>
              <w:pStyle w:val="TableHeading"/>
              <w:jc w:val="center"/>
            </w:pPr>
            <w:r w:rsidRPr="002936B8">
              <w:t>p-value</w:t>
            </w:r>
          </w:p>
        </w:tc>
        <w:tc>
          <w:tcPr>
            <w:tcW w:w="1508" w:type="dxa"/>
          </w:tcPr>
          <w:p w14:paraId="07B7A13A" w14:textId="77777777" w:rsidR="00AB15D9" w:rsidRPr="002936B8" w:rsidRDefault="00AB15D9" w:rsidP="002936B8">
            <w:pPr>
              <w:pStyle w:val="TableHeading"/>
              <w:jc w:val="center"/>
            </w:pPr>
            <w:r w:rsidRPr="002936B8">
              <w:t>HR</w:t>
            </w:r>
          </w:p>
          <w:p w14:paraId="2AB0D230" w14:textId="77777777" w:rsidR="00AB15D9" w:rsidRPr="002936B8" w:rsidRDefault="00AB15D9" w:rsidP="002936B8">
            <w:pPr>
              <w:pStyle w:val="TableHeading"/>
              <w:jc w:val="center"/>
            </w:pPr>
            <w:r w:rsidRPr="002936B8">
              <w:t>(95% CI)</w:t>
            </w:r>
          </w:p>
        </w:tc>
      </w:tr>
      <w:tr w:rsidR="00AB15D9" w14:paraId="1A01494F" w14:textId="77777777" w:rsidTr="00164B3D">
        <w:tc>
          <w:tcPr>
            <w:tcW w:w="2547" w:type="dxa"/>
          </w:tcPr>
          <w:tbl>
            <w:tblPr>
              <w:tblW w:w="0" w:type="auto"/>
              <w:tblBorders>
                <w:top w:val="nil"/>
                <w:left w:val="nil"/>
                <w:bottom w:val="nil"/>
                <w:right w:val="nil"/>
              </w:tblBorders>
              <w:tblLook w:val="0000" w:firstRow="0" w:lastRow="0" w:firstColumn="0" w:lastColumn="0" w:noHBand="0" w:noVBand="0"/>
            </w:tblPr>
            <w:tblGrid>
              <w:gridCol w:w="2331"/>
            </w:tblGrid>
            <w:tr w:rsidR="00AB15D9" w:rsidRPr="00AB15D9" w14:paraId="2E1EC9C5" w14:textId="77777777">
              <w:trPr>
                <w:trHeight w:val="110"/>
              </w:trPr>
              <w:tc>
                <w:tcPr>
                  <w:tcW w:w="0" w:type="auto"/>
                </w:tcPr>
                <w:p w14:paraId="264B3436" w14:textId="77777777" w:rsidR="00AB15D9" w:rsidRPr="00AB15D9" w:rsidRDefault="00AB15D9" w:rsidP="005D477D">
                  <w:pPr>
                    <w:pStyle w:val="TableHeading"/>
                    <w:rPr>
                      <w:rFonts w:eastAsiaTheme="minorHAnsi"/>
                      <w:lang w:eastAsia="en-US"/>
                    </w:rPr>
                  </w:pPr>
                  <w:r w:rsidRPr="00AB15D9">
                    <w:rPr>
                      <w:rFonts w:eastAsiaTheme="minorHAnsi"/>
                      <w:lang w:eastAsia="en-US"/>
                    </w:rPr>
                    <w:t xml:space="preserve">Disease free survival </w:t>
                  </w:r>
                </w:p>
              </w:tc>
            </w:tr>
            <w:tr w:rsidR="00AB15D9" w:rsidRPr="00AB15D9" w14:paraId="3C78EF54" w14:textId="77777777">
              <w:trPr>
                <w:trHeight w:val="259"/>
              </w:trPr>
              <w:tc>
                <w:tcPr>
                  <w:tcW w:w="0" w:type="auto"/>
                </w:tcPr>
                <w:p w14:paraId="6E2F4F59" w14:textId="7DE84851" w:rsidR="00AB15D9" w:rsidRDefault="00AB15D9" w:rsidP="004F7058">
                  <w:pPr>
                    <w:pStyle w:val="TableBody"/>
                    <w:rPr>
                      <w:rFonts w:eastAsiaTheme="minorHAnsi"/>
                      <w:lang w:eastAsia="en-US"/>
                    </w:rPr>
                  </w:pPr>
                  <w:r w:rsidRPr="00AB15D9">
                    <w:rPr>
                      <w:rFonts w:eastAsiaTheme="minorHAnsi"/>
                      <w:lang w:eastAsia="en-US"/>
                    </w:rPr>
                    <w:t>No. of patients with event (1 year</w:t>
                  </w:r>
                  <w:r w:rsidRPr="001F15F5">
                    <w:rPr>
                      <w:rFonts w:eastAsiaTheme="minorHAnsi"/>
                      <w:vertAlign w:val="superscript"/>
                    </w:rPr>
                    <w:t>1</w:t>
                  </w:r>
                  <w:r w:rsidR="003873C8">
                    <w:rPr>
                      <w:rFonts w:eastAsiaTheme="minorHAnsi"/>
                      <w:lang w:eastAsia="en-US"/>
                    </w:rPr>
                    <w:t>)</w:t>
                  </w:r>
                </w:p>
                <w:p w14:paraId="2803FFCC" w14:textId="53E520D4" w:rsidR="00AB15D9" w:rsidRPr="003F29EC" w:rsidRDefault="00AB15D9" w:rsidP="004F7058">
                  <w:pPr>
                    <w:pStyle w:val="TableBody"/>
                  </w:pPr>
                  <w:r w:rsidRPr="002936B8">
                    <w:lastRenderedPageBreak/>
                    <w:t>No. of patients with event (8 year</w:t>
                  </w:r>
                  <w:r w:rsidRPr="001F15F5">
                    <w:rPr>
                      <w:vertAlign w:val="superscript"/>
                    </w:rPr>
                    <w:t>2</w:t>
                  </w:r>
                  <w:r w:rsidRPr="002936B8">
                    <w:t>)</w:t>
                  </w:r>
                </w:p>
              </w:tc>
            </w:tr>
          </w:tbl>
          <w:p w14:paraId="06824887" w14:textId="77777777" w:rsidR="00AB15D9" w:rsidRDefault="00AB15D9" w:rsidP="004F7058">
            <w:pPr>
              <w:pStyle w:val="TableBody"/>
            </w:pPr>
          </w:p>
        </w:tc>
        <w:tc>
          <w:tcPr>
            <w:tcW w:w="1701" w:type="dxa"/>
          </w:tcPr>
          <w:p w14:paraId="4F2522CE" w14:textId="77777777" w:rsidR="003F29EC" w:rsidRDefault="003F29EC" w:rsidP="004F7058">
            <w:pPr>
              <w:pStyle w:val="TableBody"/>
              <w:jc w:val="center"/>
            </w:pPr>
          </w:p>
          <w:p w14:paraId="5EB528C7" w14:textId="6A9AF00C" w:rsidR="00AB15D9" w:rsidRDefault="003873C8" w:rsidP="004F7058">
            <w:pPr>
              <w:pStyle w:val="TableBody"/>
              <w:jc w:val="center"/>
            </w:pPr>
            <w:r>
              <w:t>12.9%</w:t>
            </w:r>
          </w:p>
          <w:p w14:paraId="66EA425E" w14:textId="77777777" w:rsidR="00AB15D9" w:rsidRDefault="00AB15D9" w:rsidP="004F7058">
            <w:pPr>
              <w:pStyle w:val="TableBody"/>
              <w:jc w:val="center"/>
            </w:pPr>
          </w:p>
          <w:p w14:paraId="73D52CCB" w14:textId="0548F287" w:rsidR="00AB15D9" w:rsidRDefault="003873C8" w:rsidP="003873C8">
            <w:pPr>
              <w:pStyle w:val="TableBody"/>
              <w:jc w:val="center"/>
            </w:pPr>
            <w:r>
              <w:lastRenderedPageBreak/>
              <w:t>33.6%</w:t>
            </w:r>
          </w:p>
        </w:tc>
        <w:tc>
          <w:tcPr>
            <w:tcW w:w="1701" w:type="dxa"/>
          </w:tcPr>
          <w:p w14:paraId="542456CA" w14:textId="77777777" w:rsidR="003F29EC" w:rsidRDefault="003F29EC" w:rsidP="004F7058">
            <w:pPr>
              <w:pStyle w:val="TableBody"/>
              <w:jc w:val="center"/>
            </w:pPr>
          </w:p>
          <w:p w14:paraId="112264B8" w14:textId="01052354" w:rsidR="00AB15D9" w:rsidRDefault="003873C8" w:rsidP="004F7058">
            <w:pPr>
              <w:pStyle w:val="TableBody"/>
              <w:jc w:val="center"/>
            </w:pPr>
            <w:r>
              <w:t>7.5%</w:t>
            </w:r>
          </w:p>
          <w:p w14:paraId="6F7E9872" w14:textId="77777777" w:rsidR="00AB15D9" w:rsidRDefault="00AB15D9" w:rsidP="004F7058">
            <w:pPr>
              <w:pStyle w:val="TableBody"/>
              <w:jc w:val="center"/>
            </w:pPr>
          </w:p>
          <w:p w14:paraId="5077EA10" w14:textId="4F7DE9F3" w:rsidR="00AB15D9" w:rsidRDefault="003873C8" w:rsidP="003873C8">
            <w:pPr>
              <w:pStyle w:val="TableBody"/>
              <w:jc w:val="center"/>
            </w:pPr>
            <w:r>
              <w:lastRenderedPageBreak/>
              <w:t>27.7%</w:t>
            </w:r>
          </w:p>
        </w:tc>
        <w:tc>
          <w:tcPr>
            <w:tcW w:w="1559" w:type="dxa"/>
          </w:tcPr>
          <w:p w14:paraId="235B5A01" w14:textId="77777777" w:rsidR="003F29EC" w:rsidRDefault="003F29EC" w:rsidP="004F7058">
            <w:pPr>
              <w:pStyle w:val="TableBody"/>
              <w:jc w:val="center"/>
            </w:pPr>
          </w:p>
          <w:p w14:paraId="0298AB50" w14:textId="5AF07AEA" w:rsidR="00AB15D9" w:rsidRDefault="003873C8" w:rsidP="004F7058">
            <w:pPr>
              <w:pStyle w:val="TableBody"/>
              <w:jc w:val="center"/>
            </w:pPr>
            <w:r>
              <w:t>&lt;0.0001</w:t>
            </w:r>
          </w:p>
          <w:p w14:paraId="35F0D276" w14:textId="77777777" w:rsidR="00AB15D9" w:rsidRDefault="00AB15D9" w:rsidP="004F7058">
            <w:pPr>
              <w:pStyle w:val="TableBody"/>
              <w:jc w:val="center"/>
            </w:pPr>
          </w:p>
          <w:p w14:paraId="4FD09AF7" w14:textId="465866F0" w:rsidR="00AB15D9" w:rsidRDefault="003873C8" w:rsidP="003873C8">
            <w:pPr>
              <w:pStyle w:val="TableBody"/>
              <w:jc w:val="center"/>
            </w:pPr>
            <w:r>
              <w:lastRenderedPageBreak/>
              <w:t>&lt;0.0001</w:t>
            </w:r>
          </w:p>
        </w:tc>
        <w:tc>
          <w:tcPr>
            <w:tcW w:w="1508" w:type="dxa"/>
          </w:tcPr>
          <w:p w14:paraId="10D5C994" w14:textId="77777777" w:rsidR="003F29EC" w:rsidRDefault="003F29EC" w:rsidP="004F7058">
            <w:pPr>
              <w:pStyle w:val="TableBody"/>
              <w:jc w:val="center"/>
            </w:pPr>
          </w:p>
          <w:p w14:paraId="74A2F00E" w14:textId="232A04C9" w:rsidR="00AB15D9" w:rsidRDefault="003873C8" w:rsidP="004F7058">
            <w:pPr>
              <w:pStyle w:val="TableBody"/>
              <w:jc w:val="center"/>
            </w:pPr>
            <w:r>
              <w:t>0.54 (0.44, 0.67)</w:t>
            </w:r>
          </w:p>
          <w:p w14:paraId="29E03941" w14:textId="5A666DF1" w:rsidR="00AB15D9" w:rsidRDefault="00AB15D9" w:rsidP="00D511E9">
            <w:pPr>
              <w:pStyle w:val="TableBody"/>
              <w:jc w:val="center"/>
            </w:pPr>
            <w:r>
              <w:lastRenderedPageBreak/>
              <w:t>0.76 (0.67, 0.86)</w:t>
            </w:r>
          </w:p>
        </w:tc>
      </w:tr>
      <w:tr w:rsidR="009B40B0" w14:paraId="318F7BCC" w14:textId="77777777" w:rsidTr="00164B3D">
        <w:tc>
          <w:tcPr>
            <w:tcW w:w="2547" w:type="dxa"/>
          </w:tcPr>
          <w:tbl>
            <w:tblPr>
              <w:tblW w:w="0" w:type="auto"/>
              <w:tblBorders>
                <w:top w:val="nil"/>
                <w:left w:val="nil"/>
                <w:bottom w:val="nil"/>
                <w:right w:val="nil"/>
              </w:tblBorders>
              <w:tblLook w:val="0000" w:firstRow="0" w:lastRow="0" w:firstColumn="0" w:lastColumn="0" w:noHBand="0" w:noVBand="0"/>
            </w:tblPr>
            <w:tblGrid>
              <w:gridCol w:w="2331"/>
            </w:tblGrid>
            <w:tr w:rsidR="00AB15D9" w:rsidRPr="00AB15D9" w14:paraId="6D49D88B" w14:textId="77777777">
              <w:trPr>
                <w:trHeight w:val="110"/>
              </w:trPr>
              <w:tc>
                <w:tcPr>
                  <w:tcW w:w="0" w:type="auto"/>
                </w:tcPr>
                <w:p w14:paraId="3E66153F" w14:textId="77777777" w:rsidR="00AB15D9" w:rsidRPr="00AB15D9" w:rsidRDefault="00AB15D9" w:rsidP="005D477D">
                  <w:pPr>
                    <w:pStyle w:val="TableHeading"/>
                    <w:rPr>
                      <w:rFonts w:eastAsiaTheme="minorHAnsi"/>
                      <w:lang w:eastAsia="en-US"/>
                    </w:rPr>
                  </w:pPr>
                  <w:r w:rsidRPr="00AB15D9">
                    <w:rPr>
                      <w:rFonts w:eastAsiaTheme="minorHAnsi"/>
                      <w:lang w:eastAsia="en-US"/>
                    </w:rPr>
                    <w:lastRenderedPageBreak/>
                    <w:t xml:space="preserve">Overall Survival </w:t>
                  </w:r>
                </w:p>
              </w:tc>
            </w:tr>
            <w:tr w:rsidR="00AB15D9" w:rsidRPr="00AB15D9" w14:paraId="7343100D" w14:textId="77777777">
              <w:trPr>
                <w:trHeight w:val="259"/>
              </w:trPr>
              <w:tc>
                <w:tcPr>
                  <w:tcW w:w="0" w:type="auto"/>
                </w:tcPr>
                <w:p w14:paraId="45053159" w14:textId="47CB5DE6" w:rsidR="00AB15D9" w:rsidRPr="00AB15D9" w:rsidRDefault="00AB15D9" w:rsidP="004F7058">
                  <w:pPr>
                    <w:pStyle w:val="TableBody"/>
                    <w:rPr>
                      <w:rFonts w:eastAsiaTheme="minorHAnsi"/>
                      <w:lang w:eastAsia="en-US"/>
                    </w:rPr>
                  </w:pPr>
                  <w:r w:rsidRPr="00AB15D9">
                    <w:rPr>
                      <w:rFonts w:eastAsiaTheme="minorHAnsi"/>
                      <w:lang w:eastAsia="en-US"/>
                    </w:rPr>
                    <w:t>No. of patients with event (1 year</w:t>
                  </w:r>
                  <w:r w:rsidRPr="001F15F5">
                    <w:rPr>
                      <w:rFonts w:eastAsiaTheme="minorHAnsi"/>
                      <w:vertAlign w:val="superscript"/>
                      <w:lang w:eastAsia="en-US"/>
                    </w:rPr>
                    <w:t>1</w:t>
                  </w:r>
                  <w:r w:rsidRPr="00AB15D9">
                    <w:rPr>
                      <w:rFonts w:eastAsiaTheme="minorHAnsi"/>
                      <w:lang w:eastAsia="en-US"/>
                    </w:rPr>
                    <w:t>)</w:t>
                  </w:r>
                </w:p>
              </w:tc>
            </w:tr>
          </w:tbl>
          <w:p w14:paraId="0313F14E" w14:textId="77777777" w:rsidR="00164B3D" w:rsidRDefault="004F7058" w:rsidP="004F7058">
            <w:pPr>
              <w:pStyle w:val="TableBody"/>
            </w:pPr>
            <w:r>
              <w:t xml:space="preserve">  </w:t>
            </w:r>
            <w:r w:rsidR="00AB15D9" w:rsidRPr="004F7058">
              <w:t>No. of patients</w:t>
            </w:r>
            <w:r>
              <w:t xml:space="preserve"> </w:t>
            </w:r>
            <w:r w:rsidR="00164B3D">
              <w:t>with event</w:t>
            </w:r>
          </w:p>
          <w:p w14:paraId="66AF405F" w14:textId="2E5C02B9" w:rsidR="00AB15D9" w:rsidRDefault="00164B3D" w:rsidP="004F7058">
            <w:pPr>
              <w:pStyle w:val="TableBody"/>
            </w:pPr>
            <w:r>
              <w:t xml:space="preserve">  </w:t>
            </w:r>
            <w:r w:rsidR="00AB15D9" w:rsidRPr="004F7058">
              <w:t>(8 year</w:t>
            </w:r>
            <w:r w:rsidR="00AB15D9" w:rsidRPr="001F15F5">
              <w:rPr>
                <w:vertAlign w:val="superscript"/>
              </w:rPr>
              <w:t>2</w:t>
            </w:r>
            <w:r w:rsidR="00AB15D9" w:rsidRPr="004F7058">
              <w:t>)</w:t>
            </w:r>
          </w:p>
        </w:tc>
        <w:tc>
          <w:tcPr>
            <w:tcW w:w="1701" w:type="dxa"/>
          </w:tcPr>
          <w:p w14:paraId="6C456842" w14:textId="77777777" w:rsidR="00D511E9" w:rsidRDefault="00D511E9" w:rsidP="004F7058">
            <w:pPr>
              <w:pStyle w:val="TableBody"/>
              <w:jc w:val="center"/>
            </w:pPr>
          </w:p>
          <w:p w14:paraId="3DBD8D75" w14:textId="4651D88C" w:rsidR="00AB15D9" w:rsidRDefault="003873C8" w:rsidP="004F7058">
            <w:pPr>
              <w:pStyle w:val="TableBody"/>
              <w:jc w:val="center"/>
            </w:pPr>
            <w:r>
              <w:t>2.4%</w:t>
            </w:r>
          </w:p>
          <w:p w14:paraId="2BE8A77C" w14:textId="77777777" w:rsidR="00AB15D9" w:rsidRDefault="00AB15D9" w:rsidP="004F7058">
            <w:pPr>
              <w:pStyle w:val="TableBody"/>
              <w:jc w:val="center"/>
            </w:pPr>
          </w:p>
          <w:p w14:paraId="715D7F41" w14:textId="2B190E88" w:rsidR="00AB15D9" w:rsidRDefault="003873C8" w:rsidP="003873C8">
            <w:pPr>
              <w:pStyle w:val="TableBody"/>
              <w:jc w:val="center"/>
            </w:pPr>
            <w:r>
              <w:t>20.6%</w:t>
            </w:r>
          </w:p>
        </w:tc>
        <w:tc>
          <w:tcPr>
            <w:tcW w:w="1701" w:type="dxa"/>
          </w:tcPr>
          <w:p w14:paraId="2AE7C52B" w14:textId="77777777" w:rsidR="00D511E9" w:rsidRDefault="00D511E9" w:rsidP="004F7058">
            <w:pPr>
              <w:pStyle w:val="TableBody"/>
              <w:jc w:val="center"/>
            </w:pPr>
          </w:p>
          <w:p w14:paraId="1883D379" w14:textId="77777777" w:rsidR="00AB15D9" w:rsidRDefault="00AB15D9" w:rsidP="004F7058">
            <w:pPr>
              <w:pStyle w:val="TableBody"/>
              <w:jc w:val="center"/>
            </w:pPr>
            <w:r>
              <w:t>1.8%</w:t>
            </w:r>
          </w:p>
          <w:p w14:paraId="14547C10" w14:textId="77777777" w:rsidR="00AB15D9" w:rsidRDefault="00AB15D9" w:rsidP="004F7058">
            <w:pPr>
              <w:pStyle w:val="TableBody"/>
              <w:jc w:val="center"/>
            </w:pPr>
          </w:p>
          <w:p w14:paraId="06792194" w14:textId="2DED7762" w:rsidR="00AB15D9" w:rsidRDefault="003873C8" w:rsidP="003873C8">
            <w:pPr>
              <w:pStyle w:val="TableBody"/>
              <w:jc w:val="center"/>
            </w:pPr>
            <w:r>
              <w:t>16.3%</w:t>
            </w:r>
          </w:p>
        </w:tc>
        <w:tc>
          <w:tcPr>
            <w:tcW w:w="1559" w:type="dxa"/>
          </w:tcPr>
          <w:p w14:paraId="7009D0C0" w14:textId="77777777" w:rsidR="00D511E9" w:rsidRDefault="00D511E9" w:rsidP="004F7058">
            <w:pPr>
              <w:pStyle w:val="TableBody"/>
              <w:jc w:val="center"/>
            </w:pPr>
          </w:p>
          <w:p w14:paraId="439A5979" w14:textId="7BB03915" w:rsidR="00AB15D9" w:rsidRDefault="003873C8" w:rsidP="004F7058">
            <w:pPr>
              <w:pStyle w:val="TableBody"/>
              <w:jc w:val="center"/>
            </w:pPr>
            <w:r>
              <w:t>0.24</w:t>
            </w:r>
          </w:p>
          <w:p w14:paraId="13675D63" w14:textId="77777777" w:rsidR="00AB15D9" w:rsidRDefault="00AB15D9" w:rsidP="004F7058">
            <w:pPr>
              <w:pStyle w:val="TableBody"/>
              <w:jc w:val="center"/>
            </w:pPr>
          </w:p>
          <w:p w14:paraId="7B0316AD" w14:textId="7F6EF0B2" w:rsidR="00AB15D9" w:rsidRDefault="00AB15D9" w:rsidP="003873C8">
            <w:pPr>
              <w:pStyle w:val="TableBody"/>
              <w:jc w:val="center"/>
            </w:pPr>
            <w:r>
              <w:t>0.0005</w:t>
            </w:r>
          </w:p>
        </w:tc>
        <w:tc>
          <w:tcPr>
            <w:tcW w:w="1508" w:type="dxa"/>
          </w:tcPr>
          <w:p w14:paraId="4089D1B9" w14:textId="77777777" w:rsidR="00D511E9" w:rsidRDefault="00D511E9" w:rsidP="004F7058">
            <w:pPr>
              <w:pStyle w:val="TableBody"/>
              <w:jc w:val="center"/>
            </w:pPr>
          </w:p>
          <w:p w14:paraId="023F8F30" w14:textId="77777777" w:rsidR="009B40B0" w:rsidRDefault="009B40B0" w:rsidP="009B40B0">
            <w:pPr>
              <w:pStyle w:val="TableBody"/>
              <w:jc w:val="center"/>
            </w:pPr>
            <w:r>
              <w:t>0.75 (0.47, 1.21)</w:t>
            </w:r>
          </w:p>
          <w:p w14:paraId="5B64C3E8" w14:textId="77777777" w:rsidR="009B40B0" w:rsidRDefault="009B40B0" w:rsidP="009B40B0">
            <w:pPr>
              <w:pStyle w:val="TableBody"/>
              <w:jc w:val="center"/>
            </w:pPr>
            <w:r>
              <w:t>0.76 (0.65</w:t>
            </w:r>
          </w:p>
          <w:p w14:paraId="43BC8036" w14:textId="77777777" w:rsidR="00AB15D9" w:rsidRDefault="009B40B0" w:rsidP="009B40B0">
            <w:pPr>
              <w:pStyle w:val="TableBody"/>
              <w:jc w:val="center"/>
            </w:pPr>
            <w:r>
              <w:t>0.88)</w:t>
            </w:r>
          </w:p>
        </w:tc>
      </w:tr>
    </w:tbl>
    <w:p w14:paraId="688D1554" w14:textId="30DCDF28" w:rsidR="00302A18" w:rsidRPr="009B40B0" w:rsidRDefault="00AB15D9" w:rsidP="00C4138E">
      <w:pPr>
        <w:pStyle w:val="Bodyofcontents"/>
        <w:rPr>
          <w:sz w:val="18"/>
          <w:szCs w:val="18"/>
        </w:rPr>
      </w:pPr>
      <w:r w:rsidRPr="009B40B0">
        <w:rPr>
          <w:sz w:val="18"/>
          <w:szCs w:val="18"/>
        </w:rPr>
        <w:t xml:space="preserve">HR: Hazard ratio; </w:t>
      </w:r>
      <w:r w:rsidRPr="009B40B0">
        <w:rPr>
          <w:sz w:val="18"/>
          <w:szCs w:val="18"/>
          <w:vertAlign w:val="superscript"/>
        </w:rPr>
        <w:t>1</w:t>
      </w:r>
      <w:r w:rsidRPr="009B40B0">
        <w:rPr>
          <w:sz w:val="18"/>
          <w:szCs w:val="18"/>
        </w:rPr>
        <w:t xml:space="preserve"> co-primary endpoint of DFS of 1 year vs. observation met the pre-defined statistical boundary; </w:t>
      </w:r>
      <w:r w:rsidRPr="009B40B0">
        <w:rPr>
          <w:sz w:val="18"/>
          <w:szCs w:val="18"/>
          <w:vertAlign w:val="superscript"/>
        </w:rPr>
        <w:t>2</w:t>
      </w:r>
      <w:r w:rsidRPr="009B40B0">
        <w:rPr>
          <w:sz w:val="18"/>
          <w:szCs w:val="18"/>
        </w:rPr>
        <w:t xml:space="preserve"> final analysis (includes crossover of 52% of patients from the observation arm to </w:t>
      </w:r>
      <w:proofErr w:type="spellStart"/>
      <w:r w:rsidR="009B40B0">
        <w:rPr>
          <w:sz w:val="18"/>
          <w:szCs w:val="18"/>
        </w:rPr>
        <w:t>trastuzumab</w:t>
      </w:r>
      <w:proofErr w:type="spellEnd"/>
      <w:r w:rsidRPr="009B40B0">
        <w:rPr>
          <w:sz w:val="18"/>
          <w:szCs w:val="18"/>
        </w:rPr>
        <w:t>)</w:t>
      </w:r>
    </w:p>
    <w:p w14:paraId="077817A7" w14:textId="008BF724" w:rsidR="00AB15D9" w:rsidRPr="00AB15D9" w:rsidRDefault="00AB15D9" w:rsidP="00AB15D9">
      <w:pPr>
        <w:pStyle w:val="Bodyofcontents"/>
        <w:rPr>
          <w:lang w:eastAsia="en-US"/>
        </w:rPr>
      </w:pPr>
      <w:r w:rsidRPr="00AB15D9">
        <w:rPr>
          <w:lang w:eastAsia="en-US"/>
        </w:rPr>
        <w:t>The HERA trial included a subgroup of patients (</w:t>
      </w:r>
      <w:r w:rsidRPr="001F15F5">
        <w:rPr>
          <w:i/>
          <w:lang w:eastAsia="en-US"/>
        </w:rPr>
        <w:t>n</w:t>
      </w:r>
      <w:r w:rsidRPr="00AB15D9">
        <w:rPr>
          <w:lang w:eastAsia="en-US"/>
        </w:rPr>
        <w:t xml:space="preserve"> = 602) with small tumours (&lt;2 cm) and node-negative disease. In this subgroup, the relative risk reduction was similar to the overall trial population (HR = 0.50; 95% CI 0.21 - 1.15). However, the benefit in terms of absolute difference in rate of recurrence after 1 year of follow-up was smaller (2.7% recurrence rate with </w:t>
      </w:r>
      <w:proofErr w:type="spellStart"/>
      <w:r w:rsidR="00720E12">
        <w:rPr>
          <w:lang w:eastAsia="en-US"/>
        </w:rPr>
        <w:t>t</w:t>
      </w:r>
      <w:r w:rsidR="009F4264">
        <w:rPr>
          <w:lang w:eastAsia="en-US"/>
        </w:rPr>
        <w:t>rastuzumab</w:t>
      </w:r>
      <w:proofErr w:type="spellEnd"/>
      <w:r w:rsidR="003873C8">
        <w:rPr>
          <w:lang w:eastAsia="en-US"/>
        </w:rPr>
        <w:t xml:space="preserve"> vs. 5.5% with observation).</w:t>
      </w:r>
    </w:p>
    <w:p w14:paraId="253016DE" w14:textId="680A168D" w:rsidR="00AB15D9" w:rsidRPr="00AB15D9" w:rsidRDefault="00AB15D9" w:rsidP="000E60EC">
      <w:pPr>
        <w:pStyle w:val="Bodyofcontents"/>
        <w:spacing w:after="160"/>
        <w:rPr>
          <w:lang w:eastAsia="en-US"/>
        </w:rPr>
      </w:pPr>
      <w:r w:rsidRPr="00AB15D9">
        <w:rPr>
          <w:lang w:eastAsia="en-US"/>
        </w:rPr>
        <w:t xml:space="preserve">In the final analysis (8 year median follow up) extending </w:t>
      </w:r>
      <w:proofErr w:type="spellStart"/>
      <w:r w:rsidR="00D24D3A">
        <w:rPr>
          <w:lang w:eastAsia="en-US"/>
        </w:rPr>
        <w:t>trastuzumab</w:t>
      </w:r>
      <w:proofErr w:type="spellEnd"/>
      <w:r w:rsidRPr="00AB15D9">
        <w:rPr>
          <w:lang w:eastAsia="en-US"/>
        </w:rPr>
        <w:t xml:space="preserve"> treatment for a duration of 2 years did not show additional benefit over treatment for 1 year [DFS HR in the intent to treat (ITT) population of 2 years vs. 1 year = 0.99 (95% CI: 0.87, 1.13); p-value = 0.90 and OS HR = 0.98 (0.83, 1.15); p-value = 0.78]. The rate of asymptomatic cardiac dysfunction </w:t>
      </w:r>
      <w:proofErr w:type="gramStart"/>
      <w:r w:rsidRPr="00AB15D9">
        <w:rPr>
          <w:lang w:eastAsia="en-US"/>
        </w:rPr>
        <w:t>was increased</w:t>
      </w:r>
      <w:proofErr w:type="gramEnd"/>
      <w:r w:rsidRPr="00AB15D9">
        <w:rPr>
          <w:lang w:eastAsia="en-US"/>
        </w:rPr>
        <w:t xml:space="preserve"> in the 2-year treatment arm (8.1% vs. 4.6% in the 1-year treatment arm). More patients experienced at least one grade 3 or 4 adverse event in the 2-year treatment arm (20.4%) compared with th</w:t>
      </w:r>
      <w:r w:rsidR="003873C8">
        <w:rPr>
          <w:lang w:eastAsia="en-US"/>
        </w:rPr>
        <w:t>e 1-year treatment arm (16.3%).</w:t>
      </w:r>
    </w:p>
    <w:p w14:paraId="40EA1B24" w14:textId="77777777" w:rsidR="00AB15D9" w:rsidRDefault="00AB15D9" w:rsidP="000E60EC">
      <w:pPr>
        <w:pStyle w:val="Bodyofcontents"/>
        <w:spacing w:after="160"/>
        <w:rPr>
          <w:szCs w:val="22"/>
          <w:lang w:eastAsia="en-US"/>
        </w:rPr>
      </w:pPr>
      <w:r w:rsidRPr="00AB15D9">
        <w:rPr>
          <w:szCs w:val="22"/>
          <w:lang w:eastAsia="en-US"/>
        </w:rPr>
        <w:t xml:space="preserve">The efficacy results from the joint analysis of the NCCTG 9831 and NSABP B-31 trials </w:t>
      </w:r>
      <w:proofErr w:type="gramStart"/>
      <w:r w:rsidRPr="00AB15D9">
        <w:rPr>
          <w:szCs w:val="22"/>
          <w:lang w:eastAsia="en-US"/>
        </w:rPr>
        <w:t>are summarized</w:t>
      </w:r>
      <w:proofErr w:type="gramEnd"/>
      <w:r w:rsidRPr="00AB15D9">
        <w:rPr>
          <w:szCs w:val="22"/>
          <w:lang w:eastAsia="en-US"/>
        </w:rPr>
        <w:t xml:space="preserve"> in the following </w:t>
      </w:r>
      <w:r w:rsidRPr="002936B8">
        <w:t>tables</w:t>
      </w:r>
      <w:r w:rsidRPr="00AB15D9">
        <w:rPr>
          <w:szCs w:val="22"/>
          <w:lang w:eastAsia="en-US"/>
        </w:rPr>
        <w:t>:</w:t>
      </w:r>
    </w:p>
    <w:p w14:paraId="701FFB68" w14:textId="77777777" w:rsidR="00AB15D9" w:rsidRDefault="00AB15D9" w:rsidP="000E60EC">
      <w:pPr>
        <w:pStyle w:val="TableTitle"/>
        <w:spacing w:after="120"/>
      </w:pPr>
      <w:r>
        <w:t>Table 5: Summary of Efficacy Results from NSAPB B-31 and NCCTG N9831 trials (joint analysis) at the time of the definitive DFS analysis*</w:t>
      </w:r>
    </w:p>
    <w:tbl>
      <w:tblPr>
        <w:tblStyle w:val="TableGrid"/>
        <w:tblW w:w="0" w:type="auto"/>
        <w:tblLook w:val="04A0" w:firstRow="1" w:lastRow="0" w:firstColumn="1" w:lastColumn="0" w:noHBand="0" w:noVBand="1"/>
      </w:tblPr>
      <w:tblGrid>
        <w:gridCol w:w="2405"/>
        <w:gridCol w:w="1843"/>
        <w:gridCol w:w="1701"/>
        <w:gridCol w:w="1559"/>
        <w:gridCol w:w="1508"/>
      </w:tblGrid>
      <w:tr w:rsidR="00AB15D9" w14:paraId="431AB541" w14:textId="77777777" w:rsidTr="00D511E9">
        <w:tc>
          <w:tcPr>
            <w:tcW w:w="2405" w:type="dxa"/>
          </w:tcPr>
          <w:p w14:paraId="1CAACE78" w14:textId="77777777" w:rsidR="00AB15D9" w:rsidRPr="004F7058" w:rsidRDefault="00AB15D9" w:rsidP="004F7058">
            <w:pPr>
              <w:pStyle w:val="TableHeading"/>
              <w:jc w:val="center"/>
              <w:rPr>
                <w:bCs/>
              </w:rPr>
            </w:pPr>
            <w:r w:rsidRPr="004F7058">
              <w:rPr>
                <w:bCs/>
              </w:rPr>
              <w:t xml:space="preserve">Parameter </w:t>
            </w:r>
          </w:p>
        </w:tc>
        <w:tc>
          <w:tcPr>
            <w:tcW w:w="1843" w:type="dxa"/>
          </w:tcPr>
          <w:p w14:paraId="5FBF96FA" w14:textId="77777777" w:rsidR="00AB15D9" w:rsidRPr="004F7058" w:rsidRDefault="00AB15D9" w:rsidP="004F7058">
            <w:pPr>
              <w:pStyle w:val="TableHeading"/>
              <w:jc w:val="center"/>
              <w:rPr>
                <w:bCs/>
              </w:rPr>
            </w:pPr>
            <w:r w:rsidRPr="004F7058">
              <w:rPr>
                <w:bCs/>
              </w:rPr>
              <w:t xml:space="preserve">AC→P </w:t>
            </w:r>
          </w:p>
        </w:tc>
        <w:tc>
          <w:tcPr>
            <w:tcW w:w="1701" w:type="dxa"/>
          </w:tcPr>
          <w:p w14:paraId="540FD64D" w14:textId="77777777" w:rsidR="00AB15D9" w:rsidRPr="004F7058" w:rsidRDefault="00AB15D9" w:rsidP="004F7058">
            <w:pPr>
              <w:pStyle w:val="TableHeading"/>
              <w:jc w:val="center"/>
              <w:rPr>
                <w:bCs/>
              </w:rPr>
            </w:pPr>
            <w:r w:rsidRPr="004F7058">
              <w:rPr>
                <w:bCs/>
              </w:rPr>
              <w:t xml:space="preserve">AC→PH </w:t>
            </w:r>
          </w:p>
        </w:tc>
        <w:tc>
          <w:tcPr>
            <w:tcW w:w="1559" w:type="dxa"/>
          </w:tcPr>
          <w:p w14:paraId="7E9D2DDF" w14:textId="77777777" w:rsidR="00AB15D9" w:rsidRPr="004F7058" w:rsidRDefault="00AB15D9" w:rsidP="004F7058">
            <w:pPr>
              <w:pStyle w:val="TableHeading"/>
              <w:jc w:val="center"/>
              <w:rPr>
                <w:bCs/>
              </w:rPr>
            </w:pPr>
            <w:r w:rsidRPr="004F7058">
              <w:rPr>
                <w:bCs/>
              </w:rPr>
              <w:t xml:space="preserve">p-value </w:t>
            </w:r>
          </w:p>
        </w:tc>
        <w:tc>
          <w:tcPr>
            <w:tcW w:w="1508" w:type="dxa"/>
          </w:tcPr>
          <w:p w14:paraId="6EF5C569" w14:textId="77777777" w:rsidR="00AB15D9" w:rsidRPr="004F7058" w:rsidRDefault="00AB15D9" w:rsidP="004F7058">
            <w:pPr>
              <w:pStyle w:val="TableHeading"/>
              <w:jc w:val="center"/>
              <w:rPr>
                <w:bCs/>
              </w:rPr>
            </w:pPr>
            <w:r w:rsidRPr="004F7058">
              <w:rPr>
                <w:bCs/>
              </w:rPr>
              <w:t xml:space="preserve">HR </w:t>
            </w:r>
          </w:p>
          <w:p w14:paraId="65A341A8" w14:textId="77777777" w:rsidR="00AB15D9" w:rsidRPr="004F7058" w:rsidRDefault="00AB15D9" w:rsidP="004F7058">
            <w:pPr>
              <w:pStyle w:val="TableHeading"/>
              <w:jc w:val="center"/>
              <w:rPr>
                <w:bCs/>
              </w:rPr>
            </w:pPr>
            <w:r w:rsidRPr="004F7058">
              <w:rPr>
                <w:bCs/>
              </w:rPr>
              <w:t xml:space="preserve">(95% CI) </w:t>
            </w:r>
          </w:p>
        </w:tc>
      </w:tr>
      <w:tr w:rsidR="00AB15D9" w14:paraId="56DCF9E4" w14:textId="77777777" w:rsidTr="00D511E9">
        <w:tc>
          <w:tcPr>
            <w:tcW w:w="2405" w:type="dxa"/>
          </w:tcPr>
          <w:p w14:paraId="72A855AD" w14:textId="77777777" w:rsidR="00AB15D9" w:rsidRDefault="00AB15D9" w:rsidP="005D477D">
            <w:pPr>
              <w:pStyle w:val="TableHeading"/>
            </w:pPr>
            <w:r>
              <w:t xml:space="preserve">Disease recurrence </w:t>
            </w:r>
          </w:p>
          <w:p w14:paraId="3EEBD099" w14:textId="4A9D5AEC" w:rsidR="00AB15D9" w:rsidRDefault="00AB15D9" w:rsidP="004F7058">
            <w:pPr>
              <w:pStyle w:val="TableBody"/>
            </w:pPr>
            <w:r>
              <w:t>Rate (</w:t>
            </w:r>
            <w:proofErr w:type="spellStart"/>
            <w:r w:rsidR="0058480F">
              <w:t>trastuzumab</w:t>
            </w:r>
            <w:proofErr w:type="spellEnd"/>
            <w:r>
              <w:t xml:space="preserve"> vs. observation) </w:t>
            </w:r>
          </w:p>
        </w:tc>
        <w:tc>
          <w:tcPr>
            <w:tcW w:w="1843" w:type="dxa"/>
          </w:tcPr>
          <w:p w14:paraId="77AE5612" w14:textId="77777777" w:rsidR="00D511E9" w:rsidRDefault="00D511E9" w:rsidP="004F7058">
            <w:pPr>
              <w:pStyle w:val="TableBody"/>
              <w:jc w:val="center"/>
            </w:pPr>
          </w:p>
          <w:p w14:paraId="7628DE3B" w14:textId="77777777" w:rsidR="00AB15D9" w:rsidRDefault="00AB15D9" w:rsidP="004F7058">
            <w:pPr>
              <w:pStyle w:val="TableBody"/>
              <w:jc w:val="center"/>
            </w:pPr>
            <w:r>
              <w:t xml:space="preserve">15.5% </w:t>
            </w:r>
          </w:p>
        </w:tc>
        <w:tc>
          <w:tcPr>
            <w:tcW w:w="1701" w:type="dxa"/>
          </w:tcPr>
          <w:p w14:paraId="18E27AA4" w14:textId="77777777" w:rsidR="00D511E9" w:rsidRDefault="00D511E9" w:rsidP="004F7058">
            <w:pPr>
              <w:pStyle w:val="TableBody"/>
              <w:jc w:val="center"/>
            </w:pPr>
          </w:p>
          <w:p w14:paraId="4387AD22" w14:textId="77777777" w:rsidR="00AB15D9" w:rsidRDefault="00AB15D9" w:rsidP="004F7058">
            <w:pPr>
              <w:pStyle w:val="TableBody"/>
              <w:jc w:val="center"/>
            </w:pPr>
            <w:r>
              <w:t xml:space="preserve">8.0% </w:t>
            </w:r>
          </w:p>
        </w:tc>
        <w:tc>
          <w:tcPr>
            <w:tcW w:w="1559" w:type="dxa"/>
          </w:tcPr>
          <w:p w14:paraId="4709DD19" w14:textId="77777777" w:rsidR="00D511E9" w:rsidRDefault="00D511E9" w:rsidP="004F7058">
            <w:pPr>
              <w:pStyle w:val="TableBody"/>
              <w:jc w:val="center"/>
            </w:pPr>
          </w:p>
          <w:p w14:paraId="6073E990" w14:textId="77777777" w:rsidR="00AB15D9" w:rsidRDefault="00AB15D9" w:rsidP="004F7058">
            <w:pPr>
              <w:pStyle w:val="TableBody"/>
              <w:jc w:val="center"/>
            </w:pPr>
            <w:r>
              <w:t xml:space="preserve">&lt; 0.0001 </w:t>
            </w:r>
          </w:p>
        </w:tc>
        <w:tc>
          <w:tcPr>
            <w:tcW w:w="1508" w:type="dxa"/>
          </w:tcPr>
          <w:p w14:paraId="59D41F37" w14:textId="77777777" w:rsidR="00D511E9" w:rsidRDefault="00D511E9" w:rsidP="004F7058">
            <w:pPr>
              <w:pStyle w:val="TableBody"/>
              <w:jc w:val="center"/>
            </w:pPr>
          </w:p>
          <w:p w14:paraId="39BE5C05" w14:textId="77777777" w:rsidR="00AB15D9" w:rsidRDefault="00AB15D9" w:rsidP="004F7058">
            <w:pPr>
              <w:pStyle w:val="TableBody"/>
              <w:jc w:val="center"/>
            </w:pPr>
            <w:r>
              <w:t xml:space="preserve">0.48 (0.39, 0.59) </w:t>
            </w:r>
          </w:p>
        </w:tc>
      </w:tr>
      <w:tr w:rsidR="00AB15D9" w14:paraId="0F6B7DD3" w14:textId="77777777" w:rsidTr="00D511E9">
        <w:tc>
          <w:tcPr>
            <w:tcW w:w="2405" w:type="dxa"/>
          </w:tcPr>
          <w:p w14:paraId="766B8401" w14:textId="77777777" w:rsidR="00AB15D9" w:rsidRDefault="00AB15D9" w:rsidP="005D477D">
            <w:pPr>
              <w:pStyle w:val="TableHeading"/>
            </w:pPr>
            <w:r>
              <w:t xml:space="preserve">Survival </w:t>
            </w:r>
          </w:p>
          <w:p w14:paraId="15B414F3" w14:textId="11B5DE6A" w:rsidR="00AB15D9" w:rsidRDefault="00AB15D9" w:rsidP="004F7058">
            <w:pPr>
              <w:pStyle w:val="TableBody"/>
            </w:pPr>
            <w:r>
              <w:t>Deaths (</w:t>
            </w:r>
            <w:proofErr w:type="spellStart"/>
            <w:r w:rsidR="0058480F">
              <w:t>trastuzumab</w:t>
            </w:r>
            <w:proofErr w:type="spellEnd"/>
            <w:r>
              <w:t xml:space="preserve"> vs. observation) </w:t>
            </w:r>
          </w:p>
        </w:tc>
        <w:tc>
          <w:tcPr>
            <w:tcW w:w="1843" w:type="dxa"/>
          </w:tcPr>
          <w:p w14:paraId="3894680C" w14:textId="77777777" w:rsidR="00D511E9" w:rsidRDefault="00D511E9" w:rsidP="004F7058">
            <w:pPr>
              <w:pStyle w:val="TableBody"/>
              <w:jc w:val="center"/>
            </w:pPr>
          </w:p>
          <w:p w14:paraId="30686FEC" w14:textId="77777777" w:rsidR="00AB15D9" w:rsidRDefault="00AB15D9" w:rsidP="004F7058">
            <w:pPr>
              <w:pStyle w:val="TableBody"/>
              <w:jc w:val="center"/>
            </w:pPr>
            <w:r>
              <w:t xml:space="preserve">5.5% </w:t>
            </w:r>
          </w:p>
        </w:tc>
        <w:tc>
          <w:tcPr>
            <w:tcW w:w="1701" w:type="dxa"/>
          </w:tcPr>
          <w:p w14:paraId="319A893A" w14:textId="77777777" w:rsidR="00D511E9" w:rsidRDefault="00D511E9" w:rsidP="004F7058">
            <w:pPr>
              <w:pStyle w:val="TableBody"/>
              <w:jc w:val="center"/>
            </w:pPr>
          </w:p>
          <w:p w14:paraId="108F3D68" w14:textId="77777777" w:rsidR="00AB15D9" w:rsidRDefault="00AB15D9" w:rsidP="004F7058">
            <w:pPr>
              <w:pStyle w:val="TableBody"/>
              <w:jc w:val="center"/>
            </w:pPr>
            <w:r>
              <w:t xml:space="preserve">3.7% </w:t>
            </w:r>
          </w:p>
        </w:tc>
        <w:tc>
          <w:tcPr>
            <w:tcW w:w="1559" w:type="dxa"/>
          </w:tcPr>
          <w:p w14:paraId="62336F42" w14:textId="77777777" w:rsidR="00D511E9" w:rsidRDefault="00D511E9" w:rsidP="004F7058">
            <w:pPr>
              <w:pStyle w:val="TableBody"/>
              <w:jc w:val="center"/>
            </w:pPr>
          </w:p>
          <w:p w14:paraId="6A4024D2" w14:textId="77777777" w:rsidR="00AB15D9" w:rsidRDefault="00AB15D9" w:rsidP="004F7058">
            <w:pPr>
              <w:pStyle w:val="TableBody"/>
              <w:jc w:val="center"/>
            </w:pPr>
            <w:r>
              <w:t xml:space="preserve">0.014** </w:t>
            </w:r>
          </w:p>
        </w:tc>
        <w:tc>
          <w:tcPr>
            <w:tcW w:w="1508" w:type="dxa"/>
          </w:tcPr>
          <w:p w14:paraId="39D17111" w14:textId="77777777" w:rsidR="00D511E9" w:rsidRDefault="00D511E9" w:rsidP="004F7058">
            <w:pPr>
              <w:pStyle w:val="TableBody"/>
              <w:jc w:val="center"/>
            </w:pPr>
          </w:p>
          <w:p w14:paraId="32EB7EC8" w14:textId="77777777" w:rsidR="00AB15D9" w:rsidRDefault="00AB15D9" w:rsidP="004F7058">
            <w:pPr>
              <w:pStyle w:val="TableBody"/>
              <w:jc w:val="center"/>
            </w:pPr>
            <w:r>
              <w:t xml:space="preserve">0.67 (0.48, 0.92) </w:t>
            </w:r>
          </w:p>
        </w:tc>
      </w:tr>
    </w:tbl>
    <w:p w14:paraId="29C6BFDA" w14:textId="68F75F55" w:rsidR="0058480F" w:rsidRPr="0058480F" w:rsidRDefault="00AB15D9" w:rsidP="000E60EC">
      <w:pPr>
        <w:pStyle w:val="Bodyofcontents"/>
        <w:spacing w:after="0"/>
        <w:rPr>
          <w:sz w:val="18"/>
          <w:lang w:eastAsia="en-US"/>
        </w:rPr>
      </w:pPr>
      <w:r w:rsidRPr="0058480F">
        <w:rPr>
          <w:sz w:val="18"/>
          <w:lang w:eastAsia="en-US"/>
        </w:rPr>
        <w:t>A: doxorubicin; C: cyclophosphamide; P: paclitaxel; H</w:t>
      </w:r>
      <w:proofErr w:type="gramStart"/>
      <w:r w:rsidRPr="0058480F">
        <w:rPr>
          <w:sz w:val="18"/>
          <w:lang w:eastAsia="en-US"/>
        </w:rPr>
        <w:t>:</w:t>
      </w:r>
      <w:r w:rsidR="00EC6386">
        <w:rPr>
          <w:sz w:val="18"/>
          <w:lang w:eastAsia="en-US"/>
        </w:rPr>
        <w:t>trastuzumab</w:t>
      </w:r>
      <w:proofErr w:type="gramEnd"/>
      <w:r w:rsidR="003873C8">
        <w:rPr>
          <w:sz w:val="18"/>
          <w:lang w:eastAsia="en-US"/>
        </w:rPr>
        <w:t>; HR: Hazard ratio</w:t>
      </w:r>
    </w:p>
    <w:p w14:paraId="48BACA83" w14:textId="77777777" w:rsidR="00AB15D9" w:rsidRPr="0058480F" w:rsidRDefault="00AB15D9" w:rsidP="000E60EC">
      <w:pPr>
        <w:pStyle w:val="Bodyofcontents"/>
        <w:spacing w:after="0"/>
        <w:rPr>
          <w:sz w:val="18"/>
          <w:lang w:eastAsia="en-US"/>
        </w:rPr>
      </w:pPr>
      <w:r w:rsidRPr="0058480F">
        <w:rPr>
          <w:sz w:val="18"/>
        </w:rPr>
        <w:t xml:space="preserve">* </w:t>
      </w:r>
      <w:proofErr w:type="gramStart"/>
      <w:r w:rsidRPr="0058480F">
        <w:rPr>
          <w:sz w:val="18"/>
        </w:rPr>
        <w:t>at</w:t>
      </w:r>
      <w:proofErr w:type="gramEnd"/>
      <w:r w:rsidRPr="0058480F">
        <w:rPr>
          <w:sz w:val="18"/>
        </w:rPr>
        <w:t xml:space="preserve"> median duration of follow up of 1.8 years for the patients in the AC→P arm and 2.0 years for patients in the AC→PH arm </w:t>
      </w:r>
    </w:p>
    <w:p w14:paraId="40F7E5E5" w14:textId="77777777" w:rsidR="00AB15D9" w:rsidRPr="0058480F" w:rsidRDefault="00AB15D9" w:rsidP="00CF5CC5">
      <w:pPr>
        <w:pStyle w:val="Bodyofcontents"/>
        <w:rPr>
          <w:sz w:val="18"/>
          <w:lang w:eastAsia="en-US"/>
        </w:rPr>
      </w:pPr>
      <w:r w:rsidRPr="0058480F">
        <w:rPr>
          <w:sz w:val="18"/>
          <w:lang w:eastAsia="en-US"/>
        </w:rPr>
        <w:t xml:space="preserve">** </w:t>
      </w:r>
      <w:proofErr w:type="gramStart"/>
      <w:r w:rsidRPr="0058480F">
        <w:rPr>
          <w:sz w:val="18"/>
          <w:lang w:eastAsia="en-US"/>
        </w:rPr>
        <w:t>p</w:t>
      </w:r>
      <w:proofErr w:type="gramEnd"/>
      <w:r w:rsidRPr="0058480F">
        <w:rPr>
          <w:sz w:val="18"/>
          <w:lang w:eastAsia="en-US"/>
        </w:rPr>
        <w:t xml:space="preserve"> value for OS did not cross the pre-specified statistical boundary for comparison of AC→PH vs. AC→P</w:t>
      </w:r>
    </w:p>
    <w:p w14:paraId="013B6806" w14:textId="77777777" w:rsidR="00AB15D9" w:rsidRPr="002936B8" w:rsidRDefault="00AB15D9" w:rsidP="00AB15D9">
      <w:pPr>
        <w:pStyle w:val="Bodyofcontents"/>
      </w:pPr>
      <w:r>
        <w:t>The pre-planned final analysis of OS from the joint analysis of studies NSABP B-31 and NCCTG N9831 was performed when 707 deaths had occurred (median follow-up 8.3 years in the AC→P H group). At 8 years, the survival rate was estimated to be 86.9% in the AC</w:t>
      </w:r>
      <w:r w:rsidR="002E273C">
        <w:t>→</w:t>
      </w:r>
      <w:r>
        <w:t>P H arm and 79.4% in the AC</w:t>
      </w:r>
      <w:r w:rsidR="002E273C">
        <w:t>→</w:t>
      </w:r>
      <w:r>
        <w:t xml:space="preserve">P arm, an absolute benefit of 7.4% (95% CI 4.9%, 10.0%. The final OS results from the joint analysis of studies NSABP B-31 and NCCTG N9831 </w:t>
      </w:r>
      <w:proofErr w:type="gramStart"/>
      <w:r>
        <w:t>are summarized</w:t>
      </w:r>
      <w:proofErr w:type="gramEnd"/>
      <w:r>
        <w:t xml:space="preserve"> in the following table:</w:t>
      </w:r>
    </w:p>
    <w:p w14:paraId="5F125BE2" w14:textId="77777777" w:rsidR="00AB15D9" w:rsidRDefault="00AB15D9" w:rsidP="000E60EC">
      <w:pPr>
        <w:pStyle w:val="TableTitle"/>
        <w:spacing w:after="120"/>
      </w:pPr>
      <w:r w:rsidRPr="00AB15D9">
        <w:t>Table 6: Final Overall Survival Analysis from the joint analysis of trials NSABP B-31 and NCCTG N9831</w:t>
      </w:r>
    </w:p>
    <w:tbl>
      <w:tblPr>
        <w:tblStyle w:val="TableGrid"/>
        <w:tblW w:w="0" w:type="auto"/>
        <w:tblLook w:val="04A0" w:firstRow="1" w:lastRow="0" w:firstColumn="1" w:lastColumn="0" w:noHBand="0" w:noVBand="1"/>
      </w:tblPr>
      <w:tblGrid>
        <w:gridCol w:w="2547"/>
        <w:gridCol w:w="1701"/>
        <w:gridCol w:w="1701"/>
        <w:gridCol w:w="1559"/>
        <w:gridCol w:w="1508"/>
      </w:tblGrid>
      <w:tr w:rsidR="00AB15D9" w:rsidRPr="00176E8F" w14:paraId="5D600F22" w14:textId="77777777" w:rsidTr="00D511E9">
        <w:tc>
          <w:tcPr>
            <w:tcW w:w="2547" w:type="dxa"/>
          </w:tcPr>
          <w:p w14:paraId="068673AB" w14:textId="77777777" w:rsidR="00AB15D9" w:rsidRPr="00176E8F" w:rsidRDefault="00AB15D9" w:rsidP="00E20B15">
            <w:pPr>
              <w:pStyle w:val="TableHeading"/>
              <w:rPr>
                <w:bCs/>
              </w:rPr>
            </w:pPr>
            <w:r w:rsidRPr="00176E8F">
              <w:rPr>
                <w:bCs/>
              </w:rPr>
              <w:t xml:space="preserve">Parameter </w:t>
            </w:r>
          </w:p>
        </w:tc>
        <w:tc>
          <w:tcPr>
            <w:tcW w:w="1701" w:type="dxa"/>
          </w:tcPr>
          <w:p w14:paraId="6F10107B" w14:textId="77777777" w:rsidR="00AB15D9" w:rsidRPr="00176E8F" w:rsidRDefault="00AB15D9" w:rsidP="005D477D">
            <w:pPr>
              <w:pStyle w:val="TableHeading"/>
              <w:jc w:val="center"/>
              <w:rPr>
                <w:bCs/>
              </w:rPr>
            </w:pPr>
            <w:r w:rsidRPr="00176E8F">
              <w:rPr>
                <w:bCs/>
              </w:rPr>
              <w:t xml:space="preserve">AC→P </w:t>
            </w:r>
          </w:p>
          <w:p w14:paraId="565522B6" w14:textId="77777777" w:rsidR="00AB15D9" w:rsidRPr="00176E8F" w:rsidRDefault="00AB15D9" w:rsidP="005D477D">
            <w:pPr>
              <w:pStyle w:val="TableHeading"/>
              <w:jc w:val="center"/>
              <w:rPr>
                <w:bCs/>
              </w:rPr>
            </w:pPr>
            <w:r w:rsidRPr="00176E8F">
              <w:rPr>
                <w:bCs/>
              </w:rPr>
              <w:t xml:space="preserve">(N=2032) </w:t>
            </w:r>
          </w:p>
        </w:tc>
        <w:tc>
          <w:tcPr>
            <w:tcW w:w="1701" w:type="dxa"/>
          </w:tcPr>
          <w:p w14:paraId="1B218CD7" w14:textId="77777777" w:rsidR="00AB15D9" w:rsidRPr="00176E8F" w:rsidRDefault="00AB15D9" w:rsidP="005D477D">
            <w:pPr>
              <w:pStyle w:val="TableHeading"/>
              <w:jc w:val="center"/>
              <w:rPr>
                <w:bCs/>
              </w:rPr>
            </w:pPr>
            <w:r w:rsidRPr="00176E8F">
              <w:rPr>
                <w:bCs/>
              </w:rPr>
              <w:t xml:space="preserve">AC→PH </w:t>
            </w:r>
          </w:p>
          <w:p w14:paraId="7124DD15" w14:textId="77777777" w:rsidR="00AB15D9" w:rsidRPr="00176E8F" w:rsidRDefault="00AB15D9" w:rsidP="005D477D">
            <w:pPr>
              <w:pStyle w:val="TableHeading"/>
              <w:jc w:val="center"/>
              <w:rPr>
                <w:bCs/>
              </w:rPr>
            </w:pPr>
            <w:r w:rsidRPr="00176E8F">
              <w:rPr>
                <w:bCs/>
              </w:rPr>
              <w:t xml:space="preserve">(N=2031) </w:t>
            </w:r>
          </w:p>
        </w:tc>
        <w:tc>
          <w:tcPr>
            <w:tcW w:w="1559" w:type="dxa"/>
          </w:tcPr>
          <w:p w14:paraId="2E426BB0" w14:textId="77777777" w:rsidR="00AB15D9" w:rsidRPr="00176E8F" w:rsidRDefault="00AB15D9" w:rsidP="005D477D">
            <w:pPr>
              <w:pStyle w:val="TableHeading"/>
              <w:jc w:val="center"/>
              <w:rPr>
                <w:bCs/>
              </w:rPr>
            </w:pPr>
            <w:r w:rsidRPr="00176E8F">
              <w:rPr>
                <w:bCs/>
              </w:rPr>
              <w:t xml:space="preserve">p-value versus AC→P </w:t>
            </w:r>
          </w:p>
        </w:tc>
        <w:tc>
          <w:tcPr>
            <w:tcW w:w="1508" w:type="dxa"/>
          </w:tcPr>
          <w:p w14:paraId="4529F88F" w14:textId="77777777" w:rsidR="00AB15D9" w:rsidRPr="00176E8F" w:rsidRDefault="00AB15D9" w:rsidP="005D477D">
            <w:pPr>
              <w:pStyle w:val="TableHeading"/>
              <w:jc w:val="center"/>
              <w:rPr>
                <w:bCs/>
              </w:rPr>
            </w:pPr>
            <w:r w:rsidRPr="00176E8F">
              <w:rPr>
                <w:bCs/>
              </w:rPr>
              <w:t xml:space="preserve">Hazard Ratio versus AC→P </w:t>
            </w:r>
          </w:p>
          <w:p w14:paraId="76315392" w14:textId="77777777" w:rsidR="00AB15D9" w:rsidRPr="00176E8F" w:rsidRDefault="00AB15D9" w:rsidP="005D477D">
            <w:pPr>
              <w:pStyle w:val="TableHeading"/>
              <w:jc w:val="center"/>
              <w:rPr>
                <w:bCs/>
              </w:rPr>
            </w:pPr>
            <w:r w:rsidRPr="00176E8F">
              <w:rPr>
                <w:bCs/>
              </w:rPr>
              <w:t xml:space="preserve">(95% CI) </w:t>
            </w:r>
          </w:p>
        </w:tc>
      </w:tr>
      <w:tr w:rsidR="00AB15D9" w14:paraId="3701754F" w14:textId="77777777" w:rsidTr="00D511E9">
        <w:tc>
          <w:tcPr>
            <w:tcW w:w="2547" w:type="dxa"/>
          </w:tcPr>
          <w:p w14:paraId="4931785F" w14:textId="77777777" w:rsidR="00AB15D9" w:rsidRPr="00EC6386" w:rsidRDefault="00AB15D9" w:rsidP="005D477D">
            <w:pPr>
              <w:pStyle w:val="TableHeading"/>
              <w:rPr>
                <w:b w:val="0"/>
              </w:rPr>
            </w:pPr>
            <w:r w:rsidRPr="00EC6386">
              <w:rPr>
                <w:b w:val="0"/>
              </w:rPr>
              <w:t xml:space="preserve">Death (OS event): </w:t>
            </w:r>
          </w:p>
          <w:p w14:paraId="09E3B95E" w14:textId="77777777" w:rsidR="00AB15D9" w:rsidRDefault="00AB15D9" w:rsidP="004F7058">
            <w:pPr>
              <w:pStyle w:val="TableBody"/>
            </w:pPr>
            <w:r>
              <w:t xml:space="preserve">No. patients with event (%) </w:t>
            </w:r>
          </w:p>
        </w:tc>
        <w:tc>
          <w:tcPr>
            <w:tcW w:w="1701" w:type="dxa"/>
          </w:tcPr>
          <w:p w14:paraId="004B115C" w14:textId="77777777" w:rsidR="00D511E9" w:rsidRDefault="00D511E9" w:rsidP="004F7058">
            <w:pPr>
              <w:pStyle w:val="TableBody"/>
              <w:jc w:val="center"/>
            </w:pPr>
          </w:p>
          <w:p w14:paraId="5AE5B177" w14:textId="77777777" w:rsidR="00AB15D9" w:rsidRDefault="00AB15D9" w:rsidP="004F7058">
            <w:pPr>
              <w:pStyle w:val="TableBody"/>
              <w:jc w:val="center"/>
            </w:pPr>
            <w:r>
              <w:t xml:space="preserve">418 (20.6%) </w:t>
            </w:r>
          </w:p>
        </w:tc>
        <w:tc>
          <w:tcPr>
            <w:tcW w:w="1701" w:type="dxa"/>
          </w:tcPr>
          <w:p w14:paraId="38D6012B" w14:textId="77777777" w:rsidR="00D511E9" w:rsidRDefault="00D511E9" w:rsidP="004F7058">
            <w:pPr>
              <w:pStyle w:val="TableBody"/>
              <w:jc w:val="center"/>
            </w:pPr>
          </w:p>
          <w:p w14:paraId="04F795CF" w14:textId="77777777" w:rsidR="00AB15D9" w:rsidRDefault="00AB15D9" w:rsidP="004F7058">
            <w:pPr>
              <w:pStyle w:val="TableBody"/>
              <w:jc w:val="center"/>
            </w:pPr>
            <w:r>
              <w:t xml:space="preserve">289 (14.2%) </w:t>
            </w:r>
          </w:p>
        </w:tc>
        <w:tc>
          <w:tcPr>
            <w:tcW w:w="1559" w:type="dxa"/>
          </w:tcPr>
          <w:p w14:paraId="293AC8BE" w14:textId="77777777" w:rsidR="00D511E9" w:rsidRDefault="00D511E9" w:rsidP="004F7058">
            <w:pPr>
              <w:pStyle w:val="TableBody"/>
              <w:jc w:val="center"/>
            </w:pPr>
          </w:p>
          <w:p w14:paraId="4F33F0BF" w14:textId="77777777" w:rsidR="00AB15D9" w:rsidRDefault="00AB15D9" w:rsidP="004F7058">
            <w:pPr>
              <w:pStyle w:val="TableBody"/>
              <w:jc w:val="center"/>
            </w:pPr>
            <w:r>
              <w:t xml:space="preserve">&lt; 0.0001 </w:t>
            </w:r>
          </w:p>
        </w:tc>
        <w:tc>
          <w:tcPr>
            <w:tcW w:w="1508" w:type="dxa"/>
          </w:tcPr>
          <w:p w14:paraId="3A9AD628" w14:textId="77777777" w:rsidR="00AB15D9" w:rsidRDefault="00AB15D9" w:rsidP="004F7058">
            <w:pPr>
              <w:pStyle w:val="TableBody"/>
              <w:jc w:val="center"/>
            </w:pPr>
            <w:r>
              <w:t xml:space="preserve">0.64 </w:t>
            </w:r>
          </w:p>
          <w:p w14:paraId="61167E8B" w14:textId="77777777" w:rsidR="00AB15D9" w:rsidRDefault="00AB15D9" w:rsidP="004F7058">
            <w:pPr>
              <w:pStyle w:val="TableBody"/>
              <w:jc w:val="center"/>
            </w:pPr>
            <w:r>
              <w:t xml:space="preserve">(0.55, 0.74) </w:t>
            </w:r>
          </w:p>
        </w:tc>
      </w:tr>
    </w:tbl>
    <w:p w14:paraId="4DFE373B" w14:textId="77777777" w:rsidR="00AB15D9" w:rsidRPr="00EC6386" w:rsidRDefault="00AB15D9" w:rsidP="000E60EC">
      <w:pPr>
        <w:pStyle w:val="Bodyofcontents"/>
        <w:spacing w:before="60"/>
        <w:rPr>
          <w:sz w:val="18"/>
          <w:szCs w:val="18"/>
        </w:rPr>
      </w:pPr>
      <w:r w:rsidRPr="00EC6386">
        <w:rPr>
          <w:sz w:val="18"/>
          <w:szCs w:val="18"/>
        </w:rPr>
        <w:t xml:space="preserve">A: doxorubicin; C: cyclophosphamide; P: paclitaxel; H: </w:t>
      </w:r>
      <w:proofErr w:type="spellStart"/>
      <w:r w:rsidRPr="00EC6386">
        <w:rPr>
          <w:sz w:val="18"/>
          <w:szCs w:val="18"/>
        </w:rPr>
        <w:t>trastuzumab</w:t>
      </w:r>
      <w:proofErr w:type="spellEnd"/>
    </w:p>
    <w:p w14:paraId="2C99C2FA" w14:textId="77777777" w:rsidR="00AB15D9" w:rsidRDefault="00AB15D9" w:rsidP="0055725A">
      <w:pPr>
        <w:pStyle w:val="Bodyofcontents"/>
        <w:spacing w:after="160"/>
      </w:pPr>
      <w:r>
        <w:rPr>
          <w:szCs w:val="22"/>
        </w:rPr>
        <w:lastRenderedPageBreak/>
        <w:t xml:space="preserve">The efficacy results from the BCIRG 006 </w:t>
      </w:r>
      <w:proofErr w:type="gramStart"/>
      <w:r>
        <w:rPr>
          <w:szCs w:val="22"/>
        </w:rPr>
        <w:t>are summarized</w:t>
      </w:r>
      <w:proofErr w:type="gramEnd"/>
      <w:r>
        <w:rPr>
          <w:szCs w:val="22"/>
        </w:rPr>
        <w:t xml:space="preserve"> in the following tables:</w:t>
      </w:r>
    </w:p>
    <w:p w14:paraId="21D9C3EB" w14:textId="34A533B1" w:rsidR="00AB15D9" w:rsidRPr="00AB15D9" w:rsidRDefault="00AB15D9" w:rsidP="004F7058">
      <w:pPr>
        <w:pStyle w:val="TableTitle"/>
        <w:rPr>
          <w:lang w:eastAsia="en-US"/>
        </w:rPr>
      </w:pPr>
      <w:r w:rsidRPr="00AB15D9">
        <w:rPr>
          <w:lang w:eastAsia="en-US"/>
        </w:rPr>
        <w:t>Table 7: Overview of Efficacy Analy</w:t>
      </w:r>
      <w:r w:rsidR="003873C8">
        <w:rPr>
          <w:lang w:eastAsia="en-US"/>
        </w:rPr>
        <w:t>ses BCIRG 006 AC→D versus AC→DH</w:t>
      </w:r>
    </w:p>
    <w:p w14:paraId="3A3DD2B5" w14:textId="77777777" w:rsidR="00AB15D9" w:rsidRPr="00EC6386" w:rsidRDefault="00AB15D9" w:rsidP="000E60EC">
      <w:pPr>
        <w:pStyle w:val="Bodyofcontents"/>
        <w:spacing w:after="120"/>
        <w:rPr>
          <w:sz w:val="18"/>
          <w:szCs w:val="18"/>
          <w:lang w:eastAsia="en-US"/>
        </w:rPr>
      </w:pPr>
      <w:r w:rsidRPr="00EC6386">
        <w:rPr>
          <w:sz w:val="18"/>
          <w:szCs w:val="18"/>
          <w:lang w:eastAsia="en-US"/>
        </w:rPr>
        <w:t xml:space="preserve">AC→D = doxorubicin plus cyclophosphamide, followed by docetaxel; AC→DH = doxorubicin plus cyclophosphamide, followed by docetaxel plus </w:t>
      </w:r>
      <w:proofErr w:type="spellStart"/>
      <w:r w:rsidRPr="00EC6386">
        <w:rPr>
          <w:sz w:val="18"/>
          <w:szCs w:val="18"/>
          <w:lang w:eastAsia="en-US"/>
        </w:rPr>
        <w:t>trastuzumab</w:t>
      </w:r>
      <w:proofErr w:type="spellEnd"/>
      <w:r w:rsidRPr="00EC6386">
        <w:rPr>
          <w:sz w:val="18"/>
          <w:szCs w:val="18"/>
          <w:lang w:eastAsia="en-US"/>
        </w:rPr>
        <w:t>; CI = confidence interval</w:t>
      </w:r>
    </w:p>
    <w:tbl>
      <w:tblPr>
        <w:tblStyle w:val="TableGrid"/>
        <w:tblW w:w="9209" w:type="dxa"/>
        <w:tblLook w:val="04A0" w:firstRow="1" w:lastRow="0" w:firstColumn="1" w:lastColumn="0" w:noHBand="0" w:noVBand="1"/>
      </w:tblPr>
      <w:tblGrid>
        <w:gridCol w:w="2830"/>
        <w:gridCol w:w="1418"/>
        <w:gridCol w:w="1701"/>
        <w:gridCol w:w="1559"/>
        <w:gridCol w:w="1701"/>
      </w:tblGrid>
      <w:tr w:rsidR="00BB5CFF" w14:paraId="0276B7B6" w14:textId="77777777" w:rsidTr="00EC6386">
        <w:tc>
          <w:tcPr>
            <w:tcW w:w="2830" w:type="dxa"/>
          </w:tcPr>
          <w:p w14:paraId="70C93667" w14:textId="77777777" w:rsidR="00BB5CFF" w:rsidRPr="004F7058" w:rsidRDefault="00BB5CFF" w:rsidP="00EC6386">
            <w:pPr>
              <w:pStyle w:val="TableHeading"/>
              <w:rPr>
                <w:bCs/>
              </w:rPr>
            </w:pPr>
            <w:r w:rsidRPr="004F7058">
              <w:rPr>
                <w:bCs/>
              </w:rPr>
              <w:t xml:space="preserve">Parameter </w:t>
            </w:r>
          </w:p>
        </w:tc>
        <w:tc>
          <w:tcPr>
            <w:tcW w:w="1418" w:type="dxa"/>
          </w:tcPr>
          <w:p w14:paraId="723906A6" w14:textId="77777777" w:rsidR="00BB5CFF" w:rsidRPr="004F7058" w:rsidRDefault="00BB5CFF" w:rsidP="004F7058">
            <w:pPr>
              <w:pStyle w:val="TableHeading"/>
              <w:jc w:val="center"/>
              <w:rPr>
                <w:bCs/>
              </w:rPr>
            </w:pPr>
            <w:r w:rsidRPr="004F7058">
              <w:rPr>
                <w:bCs/>
              </w:rPr>
              <w:t xml:space="preserve">AC→D </w:t>
            </w:r>
          </w:p>
          <w:p w14:paraId="10C10A9D" w14:textId="77777777" w:rsidR="00BB5CFF" w:rsidRPr="004F7058" w:rsidRDefault="00BB5CFF" w:rsidP="004F7058">
            <w:pPr>
              <w:pStyle w:val="TableHeading"/>
              <w:jc w:val="center"/>
              <w:rPr>
                <w:bCs/>
              </w:rPr>
            </w:pPr>
            <w:r w:rsidRPr="00EC6386">
              <w:rPr>
                <w:bCs/>
                <w:i/>
              </w:rPr>
              <w:t xml:space="preserve">n </w:t>
            </w:r>
            <w:r w:rsidRPr="004F7058">
              <w:rPr>
                <w:bCs/>
              </w:rPr>
              <w:t xml:space="preserve">= 1073 </w:t>
            </w:r>
          </w:p>
        </w:tc>
        <w:tc>
          <w:tcPr>
            <w:tcW w:w="1701" w:type="dxa"/>
          </w:tcPr>
          <w:p w14:paraId="58C0E9B2" w14:textId="77777777" w:rsidR="00BB5CFF" w:rsidRPr="004F7058" w:rsidRDefault="00BB5CFF" w:rsidP="004F7058">
            <w:pPr>
              <w:pStyle w:val="TableHeading"/>
              <w:jc w:val="center"/>
              <w:rPr>
                <w:bCs/>
              </w:rPr>
            </w:pPr>
            <w:r w:rsidRPr="004F7058">
              <w:rPr>
                <w:bCs/>
              </w:rPr>
              <w:t xml:space="preserve">AC→DH </w:t>
            </w:r>
          </w:p>
          <w:p w14:paraId="7BD2487F" w14:textId="77777777" w:rsidR="00BB5CFF" w:rsidRPr="004F7058" w:rsidRDefault="00BB5CFF" w:rsidP="004F7058">
            <w:pPr>
              <w:pStyle w:val="TableHeading"/>
              <w:jc w:val="center"/>
              <w:rPr>
                <w:bCs/>
              </w:rPr>
            </w:pPr>
            <w:r w:rsidRPr="00EC6386">
              <w:rPr>
                <w:bCs/>
                <w:i/>
              </w:rPr>
              <w:t>n</w:t>
            </w:r>
            <w:r w:rsidRPr="004F7058">
              <w:rPr>
                <w:bCs/>
              </w:rPr>
              <w:t xml:space="preserve"> = 1074 </w:t>
            </w:r>
          </w:p>
        </w:tc>
        <w:tc>
          <w:tcPr>
            <w:tcW w:w="1559" w:type="dxa"/>
          </w:tcPr>
          <w:p w14:paraId="4D34337C" w14:textId="77777777" w:rsidR="00BB5CFF" w:rsidRPr="004F7058" w:rsidRDefault="00BB5CFF" w:rsidP="004F7058">
            <w:pPr>
              <w:pStyle w:val="TableHeading"/>
              <w:jc w:val="center"/>
              <w:rPr>
                <w:bCs/>
              </w:rPr>
            </w:pPr>
            <w:r w:rsidRPr="004F7058">
              <w:rPr>
                <w:bCs/>
              </w:rPr>
              <w:t xml:space="preserve">p-value </w:t>
            </w:r>
          </w:p>
        </w:tc>
        <w:tc>
          <w:tcPr>
            <w:tcW w:w="1701" w:type="dxa"/>
          </w:tcPr>
          <w:p w14:paraId="66A805EB" w14:textId="77777777" w:rsidR="00BB5CFF" w:rsidRPr="004F7058" w:rsidRDefault="00BB5CFF" w:rsidP="004F7058">
            <w:pPr>
              <w:pStyle w:val="TableHeading"/>
              <w:jc w:val="center"/>
              <w:rPr>
                <w:bCs/>
              </w:rPr>
            </w:pPr>
            <w:r w:rsidRPr="004F7058">
              <w:rPr>
                <w:bCs/>
              </w:rPr>
              <w:t xml:space="preserve">HR </w:t>
            </w:r>
          </w:p>
          <w:p w14:paraId="56F7FB76" w14:textId="77777777" w:rsidR="00BB5CFF" w:rsidRPr="004F7058" w:rsidRDefault="00BB5CFF" w:rsidP="004F7058">
            <w:pPr>
              <w:pStyle w:val="TableHeading"/>
              <w:jc w:val="center"/>
              <w:rPr>
                <w:bCs/>
              </w:rPr>
            </w:pPr>
            <w:r w:rsidRPr="004F7058">
              <w:rPr>
                <w:bCs/>
              </w:rPr>
              <w:t xml:space="preserve">(95% CI) </w:t>
            </w:r>
          </w:p>
        </w:tc>
      </w:tr>
      <w:tr w:rsidR="00BB5CFF" w14:paraId="04DB7E75" w14:textId="77777777" w:rsidTr="00EC6386">
        <w:tc>
          <w:tcPr>
            <w:tcW w:w="2830" w:type="dxa"/>
          </w:tcPr>
          <w:p w14:paraId="1F726C6E" w14:textId="77777777" w:rsidR="00EC6386" w:rsidRPr="00EC6386" w:rsidRDefault="00EC6386" w:rsidP="00EC6386">
            <w:pPr>
              <w:pStyle w:val="TableBody"/>
              <w:rPr>
                <w:b/>
              </w:rPr>
            </w:pPr>
            <w:r w:rsidRPr="00EC6386">
              <w:rPr>
                <w:b/>
              </w:rPr>
              <w:t xml:space="preserve">Disease-free survival (DFS) </w:t>
            </w:r>
          </w:p>
          <w:p w14:paraId="03B66AFE" w14:textId="77777777" w:rsidR="00BB5CFF" w:rsidRDefault="00EC6386" w:rsidP="00EC6386">
            <w:pPr>
              <w:pStyle w:val="TableBody"/>
            </w:pPr>
            <w:r>
              <w:t>No. patients with event</w:t>
            </w:r>
          </w:p>
        </w:tc>
        <w:tc>
          <w:tcPr>
            <w:tcW w:w="1418" w:type="dxa"/>
          </w:tcPr>
          <w:p w14:paraId="08335124" w14:textId="77777777" w:rsidR="00D511E9" w:rsidRDefault="00D511E9" w:rsidP="004F7058">
            <w:pPr>
              <w:pStyle w:val="TableBody"/>
              <w:jc w:val="center"/>
            </w:pPr>
          </w:p>
          <w:p w14:paraId="33BC94C4" w14:textId="77777777" w:rsidR="00BB5CFF" w:rsidRDefault="00BB5CFF" w:rsidP="004F7058">
            <w:pPr>
              <w:pStyle w:val="TableBody"/>
              <w:jc w:val="center"/>
            </w:pPr>
            <w:r>
              <w:t xml:space="preserve">195 </w:t>
            </w:r>
          </w:p>
        </w:tc>
        <w:tc>
          <w:tcPr>
            <w:tcW w:w="1701" w:type="dxa"/>
          </w:tcPr>
          <w:p w14:paraId="64A3F001" w14:textId="77777777" w:rsidR="00D511E9" w:rsidRDefault="00D511E9" w:rsidP="004F7058">
            <w:pPr>
              <w:pStyle w:val="TableBody"/>
              <w:jc w:val="center"/>
            </w:pPr>
          </w:p>
          <w:p w14:paraId="003B372D" w14:textId="77777777" w:rsidR="00BB5CFF" w:rsidRDefault="00BB5CFF" w:rsidP="004F7058">
            <w:pPr>
              <w:pStyle w:val="TableBody"/>
              <w:jc w:val="center"/>
            </w:pPr>
            <w:r>
              <w:t xml:space="preserve">134 </w:t>
            </w:r>
          </w:p>
        </w:tc>
        <w:tc>
          <w:tcPr>
            <w:tcW w:w="1559" w:type="dxa"/>
          </w:tcPr>
          <w:p w14:paraId="7AC06088" w14:textId="77777777" w:rsidR="00D511E9" w:rsidRDefault="00D511E9" w:rsidP="004F7058">
            <w:pPr>
              <w:pStyle w:val="TableBody"/>
              <w:jc w:val="center"/>
            </w:pPr>
          </w:p>
          <w:p w14:paraId="41444189" w14:textId="77777777" w:rsidR="00BB5CFF" w:rsidRDefault="00BB5CFF" w:rsidP="00EC6386">
            <w:pPr>
              <w:pStyle w:val="TableBody"/>
              <w:jc w:val="center"/>
            </w:pPr>
            <w:r>
              <w:t>&lt;0.0001</w:t>
            </w:r>
          </w:p>
        </w:tc>
        <w:tc>
          <w:tcPr>
            <w:tcW w:w="1701" w:type="dxa"/>
          </w:tcPr>
          <w:p w14:paraId="7292FDDB" w14:textId="77777777" w:rsidR="00D511E9" w:rsidRDefault="00D511E9" w:rsidP="004F7058">
            <w:pPr>
              <w:pStyle w:val="TableBody"/>
              <w:jc w:val="center"/>
            </w:pPr>
          </w:p>
          <w:p w14:paraId="0C21B9A4" w14:textId="77777777" w:rsidR="00D511E9" w:rsidRDefault="00BB5CFF" w:rsidP="00EC6386">
            <w:pPr>
              <w:pStyle w:val="TableBody"/>
              <w:jc w:val="center"/>
            </w:pPr>
            <w:r>
              <w:t xml:space="preserve">0.61 (0.49, 0.77) </w:t>
            </w:r>
          </w:p>
        </w:tc>
      </w:tr>
      <w:tr w:rsidR="00BB5CFF" w14:paraId="52BF4B87" w14:textId="77777777" w:rsidTr="00EC6386">
        <w:tc>
          <w:tcPr>
            <w:tcW w:w="2830" w:type="dxa"/>
          </w:tcPr>
          <w:p w14:paraId="738EF29E" w14:textId="77777777" w:rsidR="00EC6386" w:rsidRPr="00EC6386" w:rsidRDefault="00EC6386" w:rsidP="00EC6386">
            <w:pPr>
              <w:pStyle w:val="TableBody"/>
              <w:rPr>
                <w:b/>
              </w:rPr>
            </w:pPr>
            <w:r w:rsidRPr="00EC6386">
              <w:rPr>
                <w:b/>
              </w:rPr>
              <w:t xml:space="preserve">Death (OS event) </w:t>
            </w:r>
          </w:p>
          <w:p w14:paraId="4DFE865E" w14:textId="77777777" w:rsidR="00BB5CFF" w:rsidRDefault="00EC6386" w:rsidP="00EC6386">
            <w:pPr>
              <w:pStyle w:val="TableBody"/>
            </w:pPr>
            <w:r>
              <w:t>No. patients with event</w:t>
            </w:r>
          </w:p>
        </w:tc>
        <w:tc>
          <w:tcPr>
            <w:tcW w:w="1418" w:type="dxa"/>
          </w:tcPr>
          <w:p w14:paraId="38759E70" w14:textId="77777777" w:rsidR="00EC6386" w:rsidRDefault="00EC6386" w:rsidP="004F7058">
            <w:pPr>
              <w:pStyle w:val="TableBody"/>
              <w:jc w:val="center"/>
            </w:pPr>
          </w:p>
          <w:p w14:paraId="134C03CF" w14:textId="77777777" w:rsidR="00BB5CFF" w:rsidRDefault="00BB5CFF" w:rsidP="004F7058">
            <w:pPr>
              <w:pStyle w:val="TableBody"/>
              <w:jc w:val="center"/>
            </w:pPr>
            <w:r>
              <w:t xml:space="preserve">80 </w:t>
            </w:r>
          </w:p>
        </w:tc>
        <w:tc>
          <w:tcPr>
            <w:tcW w:w="1701" w:type="dxa"/>
          </w:tcPr>
          <w:p w14:paraId="663ADCDC" w14:textId="77777777" w:rsidR="00EC6386" w:rsidRDefault="00EC6386" w:rsidP="004F7058">
            <w:pPr>
              <w:pStyle w:val="TableBody"/>
              <w:jc w:val="center"/>
            </w:pPr>
          </w:p>
          <w:p w14:paraId="7B37DAC1" w14:textId="77777777" w:rsidR="00BB5CFF" w:rsidRDefault="00BB5CFF" w:rsidP="004F7058">
            <w:pPr>
              <w:pStyle w:val="TableBody"/>
              <w:jc w:val="center"/>
            </w:pPr>
            <w:r>
              <w:t xml:space="preserve">49 </w:t>
            </w:r>
          </w:p>
        </w:tc>
        <w:tc>
          <w:tcPr>
            <w:tcW w:w="1559" w:type="dxa"/>
          </w:tcPr>
          <w:p w14:paraId="28D02177" w14:textId="77777777" w:rsidR="00EC6386" w:rsidRDefault="00EC6386" w:rsidP="004F7058">
            <w:pPr>
              <w:pStyle w:val="TableBody"/>
              <w:jc w:val="center"/>
            </w:pPr>
          </w:p>
          <w:p w14:paraId="53A095BD" w14:textId="77777777" w:rsidR="00BB5CFF" w:rsidRDefault="00BB5CFF" w:rsidP="004F7058">
            <w:pPr>
              <w:pStyle w:val="TableBody"/>
              <w:jc w:val="center"/>
            </w:pPr>
            <w:r>
              <w:t xml:space="preserve">0.0024 </w:t>
            </w:r>
          </w:p>
        </w:tc>
        <w:tc>
          <w:tcPr>
            <w:tcW w:w="1701" w:type="dxa"/>
          </w:tcPr>
          <w:p w14:paraId="529D66C0" w14:textId="77777777" w:rsidR="00EC6386" w:rsidRDefault="00EC6386" w:rsidP="004F7058">
            <w:pPr>
              <w:pStyle w:val="TableBody"/>
              <w:jc w:val="center"/>
            </w:pPr>
          </w:p>
          <w:p w14:paraId="7B7BAD96" w14:textId="77777777" w:rsidR="00BB5CFF" w:rsidRDefault="00BB5CFF" w:rsidP="00EC6386">
            <w:pPr>
              <w:pStyle w:val="TableBody"/>
              <w:jc w:val="center"/>
            </w:pPr>
            <w:r>
              <w:t xml:space="preserve">0.58 (0.40,0.83) </w:t>
            </w:r>
          </w:p>
        </w:tc>
      </w:tr>
    </w:tbl>
    <w:p w14:paraId="06B0574B" w14:textId="1268BE0E" w:rsidR="00AB15D9" w:rsidRDefault="00BB5CFF" w:rsidP="008B1110">
      <w:pPr>
        <w:pStyle w:val="TableTitle"/>
        <w:spacing w:after="120"/>
      </w:pPr>
      <w:r>
        <w:t xml:space="preserve">Table 8: Overview of Efficacy Analyses BCIRG 006 AC→D versus </w:t>
      </w:r>
      <w:proofErr w:type="spellStart"/>
      <w:r>
        <w:t>DCarbH</w:t>
      </w:r>
      <w:proofErr w:type="spellEnd"/>
    </w:p>
    <w:tbl>
      <w:tblPr>
        <w:tblStyle w:val="TableGrid"/>
        <w:tblW w:w="9209" w:type="dxa"/>
        <w:tblLook w:val="04A0" w:firstRow="1" w:lastRow="0" w:firstColumn="1" w:lastColumn="0" w:noHBand="0" w:noVBand="1"/>
      </w:tblPr>
      <w:tblGrid>
        <w:gridCol w:w="2830"/>
        <w:gridCol w:w="1418"/>
        <w:gridCol w:w="1701"/>
        <w:gridCol w:w="1559"/>
        <w:gridCol w:w="1701"/>
      </w:tblGrid>
      <w:tr w:rsidR="00BB5CFF" w14:paraId="761553D1" w14:textId="77777777" w:rsidTr="00EC6386">
        <w:tc>
          <w:tcPr>
            <w:tcW w:w="2830" w:type="dxa"/>
          </w:tcPr>
          <w:p w14:paraId="5C912E34" w14:textId="187CC9FE" w:rsidR="00BB5CFF" w:rsidRPr="005D477D" w:rsidRDefault="00BB5CFF" w:rsidP="00EC6386">
            <w:pPr>
              <w:pStyle w:val="TableHeading"/>
              <w:rPr>
                <w:bCs/>
              </w:rPr>
            </w:pPr>
            <w:r w:rsidRPr="005D477D">
              <w:rPr>
                <w:bCs/>
              </w:rPr>
              <w:t>Parameter</w:t>
            </w:r>
          </w:p>
        </w:tc>
        <w:tc>
          <w:tcPr>
            <w:tcW w:w="1418" w:type="dxa"/>
          </w:tcPr>
          <w:p w14:paraId="48A65ABB" w14:textId="55431527" w:rsidR="00BB5CFF" w:rsidRPr="005D477D" w:rsidRDefault="003873C8" w:rsidP="005D477D">
            <w:pPr>
              <w:pStyle w:val="TableHeading"/>
              <w:jc w:val="center"/>
              <w:rPr>
                <w:bCs/>
              </w:rPr>
            </w:pPr>
            <w:r>
              <w:rPr>
                <w:bCs/>
              </w:rPr>
              <w:t>AC→D</w:t>
            </w:r>
          </w:p>
          <w:p w14:paraId="30F3899B" w14:textId="52D8EC1B" w:rsidR="00BB5CFF" w:rsidRPr="005D477D" w:rsidRDefault="00BB5CFF" w:rsidP="005D477D">
            <w:pPr>
              <w:pStyle w:val="TableHeading"/>
              <w:jc w:val="center"/>
              <w:rPr>
                <w:bCs/>
              </w:rPr>
            </w:pPr>
            <w:r w:rsidRPr="005D477D">
              <w:rPr>
                <w:bCs/>
              </w:rPr>
              <w:t>n = 1073</w:t>
            </w:r>
          </w:p>
        </w:tc>
        <w:tc>
          <w:tcPr>
            <w:tcW w:w="1701" w:type="dxa"/>
          </w:tcPr>
          <w:p w14:paraId="09F2D8B4" w14:textId="4F8E6875" w:rsidR="00BB5CFF" w:rsidRPr="005D477D" w:rsidRDefault="003873C8" w:rsidP="005D477D">
            <w:pPr>
              <w:pStyle w:val="TableHeading"/>
              <w:jc w:val="center"/>
              <w:rPr>
                <w:bCs/>
              </w:rPr>
            </w:pPr>
            <w:proofErr w:type="spellStart"/>
            <w:r>
              <w:rPr>
                <w:bCs/>
              </w:rPr>
              <w:t>DCarbH</w:t>
            </w:r>
            <w:proofErr w:type="spellEnd"/>
          </w:p>
          <w:p w14:paraId="44701941" w14:textId="6254BB27" w:rsidR="00BB5CFF" w:rsidRPr="005D477D" w:rsidRDefault="00BB5CFF" w:rsidP="005D477D">
            <w:pPr>
              <w:pStyle w:val="TableHeading"/>
              <w:jc w:val="center"/>
              <w:rPr>
                <w:bCs/>
              </w:rPr>
            </w:pPr>
            <w:r w:rsidRPr="005D477D">
              <w:rPr>
                <w:bCs/>
              </w:rPr>
              <w:t>n = 1075</w:t>
            </w:r>
          </w:p>
        </w:tc>
        <w:tc>
          <w:tcPr>
            <w:tcW w:w="1559" w:type="dxa"/>
          </w:tcPr>
          <w:p w14:paraId="1B859E5E" w14:textId="7B3CD017" w:rsidR="00BB5CFF" w:rsidRPr="005D477D" w:rsidRDefault="00BB5CFF" w:rsidP="005D477D">
            <w:pPr>
              <w:pStyle w:val="TableHeading"/>
              <w:jc w:val="center"/>
              <w:rPr>
                <w:bCs/>
              </w:rPr>
            </w:pPr>
            <w:r w:rsidRPr="005D477D">
              <w:rPr>
                <w:bCs/>
              </w:rPr>
              <w:t>p-value</w:t>
            </w:r>
          </w:p>
        </w:tc>
        <w:tc>
          <w:tcPr>
            <w:tcW w:w="1701" w:type="dxa"/>
          </w:tcPr>
          <w:p w14:paraId="70194820" w14:textId="56D80406" w:rsidR="00BB5CFF" w:rsidRPr="005D477D" w:rsidRDefault="003873C8" w:rsidP="005D477D">
            <w:pPr>
              <w:pStyle w:val="TableHeading"/>
              <w:jc w:val="center"/>
              <w:rPr>
                <w:bCs/>
              </w:rPr>
            </w:pPr>
            <w:r>
              <w:rPr>
                <w:bCs/>
              </w:rPr>
              <w:t>HR</w:t>
            </w:r>
          </w:p>
          <w:p w14:paraId="14F0D483" w14:textId="3189342A" w:rsidR="00BB5CFF" w:rsidRPr="005D477D" w:rsidRDefault="00BB5CFF" w:rsidP="005D477D">
            <w:pPr>
              <w:pStyle w:val="TableHeading"/>
              <w:jc w:val="center"/>
              <w:rPr>
                <w:bCs/>
              </w:rPr>
            </w:pPr>
            <w:r w:rsidRPr="005D477D">
              <w:rPr>
                <w:bCs/>
              </w:rPr>
              <w:t>(95% CI)</w:t>
            </w:r>
          </w:p>
        </w:tc>
      </w:tr>
      <w:tr w:rsidR="00BB5CFF" w14:paraId="3BE0C75D" w14:textId="77777777" w:rsidTr="00EC6386">
        <w:tc>
          <w:tcPr>
            <w:tcW w:w="2830" w:type="dxa"/>
          </w:tcPr>
          <w:p w14:paraId="2B3D7BE7" w14:textId="0E48E136" w:rsidR="00EC6386" w:rsidRPr="00EC6386" w:rsidRDefault="003873C8" w:rsidP="00EC6386">
            <w:pPr>
              <w:pStyle w:val="TableBody"/>
              <w:rPr>
                <w:b/>
              </w:rPr>
            </w:pPr>
            <w:r>
              <w:rPr>
                <w:b/>
              </w:rPr>
              <w:t>Disease-free survival (DFS)</w:t>
            </w:r>
          </w:p>
          <w:p w14:paraId="70C713DF" w14:textId="77777777" w:rsidR="00BB5CFF" w:rsidRDefault="00EC6386" w:rsidP="00EC6386">
            <w:pPr>
              <w:pStyle w:val="TableBody"/>
            </w:pPr>
            <w:r>
              <w:t>No. patients with event</w:t>
            </w:r>
          </w:p>
        </w:tc>
        <w:tc>
          <w:tcPr>
            <w:tcW w:w="1418" w:type="dxa"/>
          </w:tcPr>
          <w:p w14:paraId="205252BE" w14:textId="77777777" w:rsidR="00D511E9" w:rsidRDefault="00D511E9" w:rsidP="005D477D">
            <w:pPr>
              <w:pStyle w:val="TableBody"/>
              <w:jc w:val="center"/>
            </w:pPr>
          </w:p>
          <w:p w14:paraId="113CF8E6" w14:textId="4ED9C6C3" w:rsidR="00BB5CFF" w:rsidRDefault="00BB5CFF" w:rsidP="003873C8">
            <w:pPr>
              <w:pStyle w:val="TableBody"/>
              <w:jc w:val="center"/>
            </w:pPr>
            <w:r>
              <w:t>195</w:t>
            </w:r>
          </w:p>
        </w:tc>
        <w:tc>
          <w:tcPr>
            <w:tcW w:w="1701" w:type="dxa"/>
          </w:tcPr>
          <w:p w14:paraId="6B255A08" w14:textId="77777777" w:rsidR="00D511E9" w:rsidRDefault="00D511E9" w:rsidP="005D477D">
            <w:pPr>
              <w:pStyle w:val="TableBody"/>
              <w:jc w:val="center"/>
            </w:pPr>
          </w:p>
          <w:p w14:paraId="12FBD3E1" w14:textId="5B1B7202" w:rsidR="00BB5CFF" w:rsidRDefault="00BB5CFF" w:rsidP="005D477D">
            <w:pPr>
              <w:pStyle w:val="TableBody"/>
              <w:jc w:val="center"/>
            </w:pPr>
            <w:r>
              <w:t>145</w:t>
            </w:r>
          </w:p>
        </w:tc>
        <w:tc>
          <w:tcPr>
            <w:tcW w:w="1559" w:type="dxa"/>
          </w:tcPr>
          <w:p w14:paraId="61FC12A9" w14:textId="77777777" w:rsidR="00D511E9" w:rsidRDefault="00D511E9" w:rsidP="005D477D">
            <w:pPr>
              <w:pStyle w:val="TableBody"/>
              <w:jc w:val="center"/>
            </w:pPr>
          </w:p>
          <w:p w14:paraId="1E64D8E1" w14:textId="283BAFDC" w:rsidR="00BB5CFF" w:rsidRDefault="00BB5CFF" w:rsidP="005D477D">
            <w:pPr>
              <w:pStyle w:val="TableBody"/>
              <w:jc w:val="center"/>
            </w:pPr>
            <w:r>
              <w:t>0.0003</w:t>
            </w:r>
          </w:p>
        </w:tc>
        <w:tc>
          <w:tcPr>
            <w:tcW w:w="1701" w:type="dxa"/>
          </w:tcPr>
          <w:p w14:paraId="4A58E7DB" w14:textId="1349DADA" w:rsidR="00D52330" w:rsidRDefault="003873C8" w:rsidP="005D477D">
            <w:pPr>
              <w:pStyle w:val="TableBody"/>
              <w:jc w:val="center"/>
            </w:pPr>
            <w:r>
              <w:t>0.67</w:t>
            </w:r>
          </w:p>
          <w:p w14:paraId="3C985AD1" w14:textId="31A07E13" w:rsidR="00D511E9" w:rsidRDefault="00BB5CFF" w:rsidP="00CF5CC5">
            <w:pPr>
              <w:pStyle w:val="TableBody"/>
              <w:jc w:val="center"/>
            </w:pPr>
            <w:r>
              <w:t>(0.54, 0.83)</w:t>
            </w:r>
          </w:p>
        </w:tc>
      </w:tr>
      <w:tr w:rsidR="00BB5CFF" w14:paraId="1D1372D1" w14:textId="77777777" w:rsidTr="00EC6386">
        <w:tc>
          <w:tcPr>
            <w:tcW w:w="2830" w:type="dxa"/>
          </w:tcPr>
          <w:p w14:paraId="394D008B" w14:textId="52965828" w:rsidR="00EC6386" w:rsidRPr="00EC6386" w:rsidRDefault="003873C8" w:rsidP="00EC6386">
            <w:pPr>
              <w:pStyle w:val="TableBody"/>
              <w:rPr>
                <w:b/>
              </w:rPr>
            </w:pPr>
            <w:r>
              <w:rPr>
                <w:b/>
              </w:rPr>
              <w:t>Death (OS event)</w:t>
            </w:r>
          </w:p>
          <w:p w14:paraId="5A1AB274" w14:textId="77777777" w:rsidR="00BB5CFF" w:rsidRDefault="00EC6386" w:rsidP="00EC6386">
            <w:pPr>
              <w:pStyle w:val="TableBody"/>
            </w:pPr>
            <w:r>
              <w:t>No. patients with event</w:t>
            </w:r>
          </w:p>
        </w:tc>
        <w:tc>
          <w:tcPr>
            <w:tcW w:w="1418" w:type="dxa"/>
          </w:tcPr>
          <w:p w14:paraId="4D3D03CD" w14:textId="77777777" w:rsidR="00EC6386" w:rsidRDefault="00EC6386" w:rsidP="005D477D">
            <w:pPr>
              <w:pStyle w:val="TableBody"/>
              <w:jc w:val="center"/>
            </w:pPr>
          </w:p>
          <w:p w14:paraId="38C7AC62" w14:textId="097A3927" w:rsidR="00BB5CFF" w:rsidRDefault="00BB5CFF" w:rsidP="003873C8">
            <w:pPr>
              <w:pStyle w:val="TableBody"/>
              <w:jc w:val="center"/>
            </w:pPr>
            <w:r>
              <w:t>80</w:t>
            </w:r>
          </w:p>
        </w:tc>
        <w:tc>
          <w:tcPr>
            <w:tcW w:w="1701" w:type="dxa"/>
          </w:tcPr>
          <w:p w14:paraId="5F2D0E6E" w14:textId="77777777" w:rsidR="00EC6386" w:rsidRDefault="00EC6386" w:rsidP="005D477D">
            <w:pPr>
              <w:pStyle w:val="TableBody"/>
              <w:jc w:val="center"/>
            </w:pPr>
          </w:p>
          <w:p w14:paraId="5E8F8234" w14:textId="18D95032" w:rsidR="00BB5CFF" w:rsidRDefault="00BB5CFF" w:rsidP="005D477D">
            <w:pPr>
              <w:pStyle w:val="TableBody"/>
              <w:jc w:val="center"/>
            </w:pPr>
            <w:r>
              <w:t>56</w:t>
            </w:r>
          </w:p>
        </w:tc>
        <w:tc>
          <w:tcPr>
            <w:tcW w:w="1559" w:type="dxa"/>
          </w:tcPr>
          <w:p w14:paraId="4282E27A" w14:textId="77777777" w:rsidR="00EC6386" w:rsidRDefault="00EC6386" w:rsidP="005D477D">
            <w:pPr>
              <w:pStyle w:val="TableBody"/>
              <w:jc w:val="center"/>
            </w:pPr>
          </w:p>
          <w:p w14:paraId="32373724" w14:textId="65EB7D57" w:rsidR="00BB5CFF" w:rsidRDefault="00BB5CFF" w:rsidP="005D477D">
            <w:pPr>
              <w:pStyle w:val="TableBody"/>
              <w:jc w:val="center"/>
            </w:pPr>
            <w:r>
              <w:t>0.00182</w:t>
            </w:r>
          </w:p>
        </w:tc>
        <w:tc>
          <w:tcPr>
            <w:tcW w:w="1701" w:type="dxa"/>
          </w:tcPr>
          <w:p w14:paraId="106E1FD9" w14:textId="77777777" w:rsidR="00D52330" w:rsidRDefault="00BB5CFF" w:rsidP="00EC6386">
            <w:pPr>
              <w:pStyle w:val="TableBody"/>
              <w:jc w:val="center"/>
            </w:pPr>
            <w:r>
              <w:t xml:space="preserve">0.66 </w:t>
            </w:r>
          </w:p>
          <w:p w14:paraId="5DC65764" w14:textId="6BD6C80A" w:rsidR="00BB5CFF" w:rsidRDefault="00BB5CFF" w:rsidP="00EC6386">
            <w:pPr>
              <w:pStyle w:val="TableBody"/>
              <w:jc w:val="center"/>
            </w:pPr>
            <w:r>
              <w:t>(0.47,</w:t>
            </w:r>
            <w:r w:rsidR="00D52330">
              <w:t xml:space="preserve"> </w:t>
            </w:r>
            <w:r>
              <w:t>0.93)</w:t>
            </w:r>
          </w:p>
        </w:tc>
      </w:tr>
    </w:tbl>
    <w:p w14:paraId="0E288D73" w14:textId="77777777" w:rsidR="00BB5CFF" w:rsidRPr="00EC6386" w:rsidRDefault="00BB5CFF" w:rsidP="000E60EC">
      <w:pPr>
        <w:pStyle w:val="Bodyofcontents"/>
        <w:spacing w:before="40"/>
        <w:rPr>
          <w:sz w:val="18"/>
          <w:szCs w:val="18"/>
        </w:rPr>
      </w:pPr>
      <w:r w:rsidRPr="00EC6386">
        <w:rPr>
          <w:sz w:val="18"/>
          <w:szCs w:val="18"/>
        </w:rPr>
        <w:t xml:space="preserve">AC→D = doxorubicin plus cyclophosphamide, followed by docetaxel; </w:t>
      </w:r>
      <w:proofErr w:type="spellStart"/>
      <w:r w:rsidRPr="00EC6386">
        <w:rPr>
          <w:sz w:val="18"/>
          <w:szCs w:val="18"/>
        </w:rPr>
        <w:t>DCarbH</w:t>
      </w:r>
      <w:proofErr w:type="spellEnd"/>
      <w:r w:rsidRPr="00EC6386">
        <w:rPr>
          <w:sz w:val="18"/>
          <w:szCs w:val="18"/>
        </w:rPr>
        <w:t xml:space="preserve"> = docetaxel, carboplatin and </w:t>
      </w:r>
      <w:proofErr w:type="spellStart"/>
      <w:r w:rsidRPr="00EC6386">
        <w:rPr>
          <w:sz w:val="18"/>
          <w:szCs w:val="18"/>
        </w:rPr>
        <w:t>trastuzumab</w:t>
      </w:r>
      <w:proofErr w:type="spellEnd"/>
      <w:r w:rsidRPr="00EC6386">
        <w:rPr>
          <w:sz w:val="18"/>
          <w:szCs w:val="18"/>
        </w:rPr>
        <w:t>; CI = confidence interval</w:t>
      </w:r>
    </w:p>
    <w:p w14:paraId="44C7403B" w14:textId="77777777" w:rsidR="00BB5CFF" w:rsidRDefault="00BB5CFF" w:rsidP="00BB5CFF">
      <w:pPr>
        <w:pStyle w:val="Bodyofcontents"/>
      </w:pPr>
      <w:r w:rsidRPr="00BB5CFF">
        <w:t xml:space="preserve">Based on studies to date, the optimal duration of adjuvant </w:t>
      </w:r>
      <w:proofErr w:type="spellStart"/>
      <w:r w:rsidRPr="00BB5CFF">
        <w:t>trastuzumab</w:t>
      </w:r>
      <w:proofErr w:type="spellEnd"/>
      <w:r w:rsidRPr="00BB5CFF">
        <w:t xml:space="preserve"> therapy is 1 year and </w:t>
      </w:r>
      <w:proofErr w:type="gramStart"/>
      <w:r w:rsidRPr="00BB5CFF">
        <w:t>may be clarified</w:t>
      </w:r>
      <w:proofErr w:type="gramEnd"/>
      <w:r w:rsidRPr="00BB5CFF">
        <w:t xml:space="preserve"> in further randomized trials. However, extending adjuvant treatment beyond 1 year </w:t>
      </w:r>
      <w:proofErr w:type="gramStart"/>
      <w:r w:rsidRPr="00BB5CFF">
        <w:t>is not recommended</w:t>
      </w:r>
      <w:proofErr w:type="gramEnd"/>
      <w:r w:rsidRPr="00BB5CFF">
        <w:t xml:space="preserve"> (see </w:t>
      </w:r>
      <w:r w:rsidRPr="005D477D">
        <w:t>DOSAGE AND ADMINISTRATION/Duration of Treatment</w:t>
      </w:r>
      <w:r w:rsidRPr="00BB5CFF">
        <w:t>).</w:t>
      </w:r>
    </w:p>
    <w:p w14:paraId="2AF7EDE7" w14:textId="2F14CACE" w:rsidR="00BB5CFF" w:rsidRPr="00BB5CFF" w:rsidRDefault="00BB5CFF" w:rsidP="000E60EC">
      <w:pPr>
        <w:pStyle w:val="Subheading2"/>
        <w:spacing w:after="160"/>
      </w:pPr>
      <w:r w:rsidRPr="00BB5CFF">
        <w:t xml:space="preserve">Switching treatment from </w:t>
      </w:r>
      <w:proofErr w:type="spellStart"/>
      <w:r w:rsidR="00605CC5">
        <w:t>Trastuzumab</w:t>
      </w:r>
      <w:proofErr w:type="spellEnd"/>
      <w:r w:rsidRPr="00BB5CFF">
        <w:t xml:space="preserve"> IV to </w:t>
      </w:r>
      <w:proofErr w:type="spellStart"/>
      <w:r w:rsidR="00605CC5">
        <w:t>Trastuzumab</w:t>
      </w:r>
      <w:proofErr w:type="spellEnd"/>
      <w:r w:rsidRPr="00BB5CFF">
        <w:t xml:space="preserve"> SC and vice versa</w:t>
      </w:r>
    </w:p>
    <w:p w14:paraId="046E81ED" w14:textId="3F904F63" w:rsidR="00BB5CFF" w:rsidRDefault="00BB5CFF" w:rsidP="00BB5CFF">
      <w:pPr>
        <w:pStyle w:val="Bodyofcontents"/>
      </w:pPr>
      <w:r w:rsidRPr="00BB5CFF">
        <w:t>Study MO22982 (</w:t>
      </w:r>
      <w:proofErr w:type="spellStart"/>
      <w:r w:rsidRPr="00BB5CFF">
        <w:t>PrefHER</w:t>
      </w:r>
      <w:proofErr w:type="spellEnd"/>
      <w:r w:rsidRPr="00BB5CFF">
        <w:t xml:space="preserve">) investigated switching from </w:t>
      </w:r>
      <w:proofErr w:type="spellStart"/>
      <w:r w:rsidR="003B3E4F">
        <w:t>Trastuzumab</w:t>
      </w:r>
      <w:proofErr w:type="spellEnd"/>
      <w:r w:rsidR="003B3E4F" w:rsidRPr="00BB5CFF">
        <w:t xml:space="preserve"> </w:t>
      </w:r>
      <w:r w:rsidRPr="00BB5CFF">
        <w:t xml:space="preserve">IV to </w:t>
      </w:r>
      <w:proofErr w:type="spellStart"/>
      <w:r w:rsidR="003B3E4F">
        <w:t>Trastuzumab</w:t>
      </w:r>
      <w:proofErr w:type="spellEnd"/>
      <w:r w:rsidR="003B3E4F" w:rsidRPr="00BB5CFF">
        <w:t xml:space="preserve"> </w:t>
      </w:r>
      <w:r w:rsidRPr="00BB5CFF">
        <w:t xml:space="preserve">SC, and vice versa, in patients with HER2 positive EBC, with a primary objective to evaluate patient preference for either </w:t>
      </w:r>
      <w:proofErr w:type="spellStart"/>
      <w:r w:rsidR="003B3E4F">
        <w:t>Trastuzumab</w:t>
      </w:r>
      <w:proofErr w:type="spellEnd"/>
      <w:r w:rsidRPr="00BB5CFF">
        <w:t xml:space="preserve"> IV infusion or </w:t>
      </w:r>
      <w:proofErr w:type="spellStart"/>
      <w:r w:rsidR="003B3E4F">
        <w:t>Trastuzumab</w:t>
      </w:r>
      <w:proofErr w:type="spellEnd"/>
      <w:r w:rsidRPr="00BB5CFF">
        <w:t xml:space="preserve"> SC injection. This trial investigated using a 2-arm, cross-over design with patients being randomized to one of two different q3w </w:t>
      </w:r>
      <w:proofErr w:type="spellStart"/>
      <w:r w:rsidR="003B3E4F">
        <w:t>Trastuzumab</w:t>
      </w:r>
      <w:proofErr w:type="spellEnd"/>
      <w:r w:rsidRPr="00BB5CFF">
        <w:t xml:space="preserve"> treatment sequences (</w:t>
      </w:r>
      <w:proofErr w:type="spellStart"/>
      <w:r w:rsidR="003B3E4F">
        <w:t>Trastuzumab</w:t>
      </w:r>
      <w:proofErr w:type="spellEnd"/>
      <w:r w:rsidRPr="00BB5CFF">
        <w:t xml:space="preserve"> IV (Cycles 1-4) → </w:t>
      </w:r>
      <w:proofErr w:type="spellStart"/>
      <w:r w:rsidR="003B3E4F">
        <w:t>Trastuzumab</w:t>
      </w:r>
      <w:proofErr w:type="spellEnd"/>
      <w:r w:rsidRPr="00BB5CFF">
        <w:t xml:space="preserve"> SC (Cycles 5-8), or </w:t>
      </w:r>
      <w:proofErr w:type="spellStart"/>
      <w:r w:rsidR="003B3E4F">
        <w:t>Trastuzumab</w:t>
      </w:r>
      <w:proofErr w:type="spellEnd"/>
      <w:r w:rsidRPr="00BB5CFF">
        <w:t xml:space="preserve"> SC (Cycles 1-4) → </w:t>
      </w:r>
      <w:proofErr w:type="spellStart"/>
      <w:r w:rsidR="003B3E4F">
        <w:t>Trastuzumab</w:t>
      </w:r>
      <w:proofErr w:type="spellEnd"/>
      <w:r w:rsidRPr="00BB5CFF">
        <w:t xml:space="preserve"> IV (Cycles 5-8)). Patients participating in this trial </w:t>
      </w:r>
      <w:proofErr w:type="gramStart"/>
      <w:r w:rsidRPr="00BB5CFF">
        <w:t xml:space="preserve">could be enrolled at any time as long as there were at least 10 remaining cycles of </w:t>
      </w:r>
      <w:proofErr w:type="spellStart"/>
      <w:r w:rsidR="00605CC5">
        <w:t>Trastuzumab</w:t>
      </w:r>
      <w:proofErr w:type="spellEnd"/>
      <w:r w:rsidR="00605CC5" w:rsidRPr="00BB5CFF" w:rsidDel="00605CC5">
        <w:t xml:space="preserve"> </w:t>
      </w:r>
      <w:r w:rsidRPr="00BB5CFF">
        <w:t xml:space="preserve">in their planned treatment regimen, therefore patients were either naïve to </w:t>
      </w:r>
      <w:proofErr w:type="spellStart"/>
      <w:r w:rsidR="003B3E4F">
        <w:t>Trastuzumab</w:t>
      </w:r>
      <w:proofErr w:type="spellEnd"/>
      <w:r w:rsidRPr="00BB5CFF">
        <w:t xml:space="preserve"> IV treatment (20.3%) or pre-exposed to </w:t>
      </w:r>
      <w:proofErr w:type="spellStart"/>
      <w:r w:rsidR="003B3E4F">
        <w:t>Trastuzumab</w:t>
      </w:r>
      <w:proofErr w:type="spellEnd"/>
      <w:r w:rsidRPr="00BB5CFF">
        <w:t xml:space="preserve"> IV (79.7%) as part of ongoing adjuvant treatment for HER2 positive EBC</w:t>
      </w:r>
      <w:proofErr w:type="gramEnd"/>
      <w:r w:rsidRPr="00BB5CFF">
        <w:t xml:space="preserve">. Overall, switches from </w:t>
      </w:r>
      <w:proofErr w:type="spellStart"/>
      <w:r w:rsidR="003B3E4F">
        <w:t>Trastuzumab</w:t>
      </w:r>
      <w:proofErr w:type="spellEnd"/>
      <w:r w:rsidRPr="00BB5CFF">
        <w:t xml:space="preserve"> IV to </w:t>
      </w:r>
      <w:proofErr w:type="spellStart"/>
      <w:r w:rsidR="003B3E4F">
        <w:t>Trastuzumab</w:t>
      </w:r>
      <w:proofErr w:type="spellEnd"/>
      <w:r w:rsidRPr="00BB5CFF">
        <w:t xml:space="preserve"> SC and vice versa </w:t>
      </w:r>
      <w:proofErr w:type="gramStart"/>
      <w:r w:rsidRPr="00BB5CFF">
        <w:t>were well tolerated</w:t>
      </w:r>
      <w:proofErr w:type="gramEnd"/>
      <w:r w:rsidRPr="00BB5CFF">
        <w:t xml:space="preserve">. Pre-switch rates (Cycles 1-4) for SAEs, Grade 3 AEs and treatment discontinuations due to AEs were low (&lt;5%) and similar to post-switch rates (Cycles 5-8). No Grade 4 or Grade 5 AEs </w:t>
      </w:r>
      <w:proofErr w:type="gramStart"/>
      <w:r w:rsidRPr="00BB5CFF">
        <w:t>were reported</w:t>
      </w:r>
      <w:proofErr w:type="gramEnd"/>
      <w:r w:rsidRPr="00BB5CFF">
        <w:t xml:space="preserve">. The effect of multiple switches back and forth </w:t>
      </w:r>
      <w:proofErr w:type="gramStart"/>
      <w:r w:rsidRPr="00BB5CFF">
        <w:t>was not investigated</w:t>
      </w:r>
      <w:proofErr w:type="gramEnd"/>
      <w:r w:rsidRPr="00BB5CFF">
        <w:t xml:space="preserve"> (see also ADVERSE EFFECTS).</w:t>
      </w:r>
    </w:p>
    <w:p w14:paraId="1E7B0DC2" w14:textId="77777777" w:rsidR="00BB5CFF" w:rsidRDefault="00BB5CFF" w:rsidP="000E60EC">
      <w:pPr>
        <w:pStyle w:val="Subheading1"/>
        <w:spacing w:after="160"/>
      </w:pPr>
      <w:r>
        <w:t>Locally Advanced Breast Cancer</w:t>
      </w:r>
    </w:p>
    <w:p w14:paraId="71CB88D7" w14:textId="77777777" w:rsidR="00BB5CFF" w:rsidRDefault="00BB5CFF" w:rsidP="00BB5CFF">
      <w:pPr>
        <w:pStyle w:val="Bodyofcontents"/>
      </w:pPr>
      <w:proofErr w:type="gramStart"/>
      <w:r>
        <w:t xml:space="preserve">Locally advanced breast cancer is defined as the absence of metastatic disease and meeting one or more of the following criteria: inflammatory breast cancer, a primary tumour that extends to the chest wall or skin, tumour &gt; 5 cm with any positive lymph node(s), any tumour with disease in supraclavicular nodes, </w:t>
      </w:r>
      <w:proofErr w:type="spellStart"/>
      <w:r>
        <w:t>infraclavicular</w:t>
      </w:r>
      <w:proofErr w:type="spellEnd"/>
      <w:r>
        <w:t xml:space="preserve"> nodes or internal mammary nodes, any tumour with axillary lymph nodes fixed to one another or other structures.</w:t>
      </w:r>
      <w:proofErr w:type="gramEnd"/>
    </w:p>
    <w:p w14:paraId="284D973E" w14:textId="6C39418D" w:rsidR="00BB5CFF" w:rsidRPr="00BB5CFF" w:rsidRDefault="000F430E" w:rsidP="000E60EC">
      <w:pPr>
        <w:pStyle w:val="Subheading2"/>
        <w:spacing w:after="160"/>
      </w:pPr>
      <w:proofErr w:type="spellStart"/>
      <w:r>
        <w:t>Trastuzumab</w:t>
      </w:r>
      <w:proofErr w:type="spellEnd"/>
      <w:r w:rsidR="00BB5CFF" w:rsidRPr="00BB5CFF">
        <w:t xml:space="preserve"> in Combination with </w:t>
      </w:r>
      <w:proofErr w:type="spellStart"/>
      <w:r w:rsidR="00BB5CFF" w:rsidRPr="00BB5CFF">
        <w:t>Neoadjuvant</w:t>
      </w:r>
      <w:proofErr w:type="spellEnd"/>
      <w:r w:rsidR="00BB5CFF" w:rsidRPr="00BB5CFF">
        <w:t>-Adjuvant Chemotherapy</w:t>
      </w:r>
    </w:p>
    <w:p w14:paraId="43AFF82B" w14:textId="3AE07234" w:rsidR="00BB5CFF" w:rsidRDefault="00BB5CFF" w:rsidP="000E60EC">
      <w:pPr>
        <w:pStyle w:val="Bodyofcontents"/>
        <w:spacing w:after="160"/>
      </w:pPr>
      <w:r>
        <w:t xml:space="preserve">The use of </w:t>
      </w:r>
      <w:proofErr w:type="spellStart"/>
      <w:r w:rsidR="000F430E">
        <w:t>trastuzumab</w:t>
      </w:r>
      <w:proofErr w:type="spellEnd"/>
      <w:r>
        <w:t xml:space="preserve"> for the </w:t>
      </w:r>
      <w:proofErr w:type="spellStart"/>
      <w:r>
        <w:t>neoadjuvant</w:t>
      </w:r>
      <w:proofErr w:type="spellEnd"/>
      <w:r>
        <w:t xml:space="preserve">-adjuvant treatment of locally advanced breast cancer has been studied in Study MO16432 (NOAH), a multicentre randomized trial, designed to investigate the concurrent administration of </w:t>
      </w:r>
      <w:proofErr w:type="spellStart"/>
      <w:r w:rsidR="000F430E">
        <w:t>trastuzumab</w:t>
      </w:r>
      <w:proofErr w:type="spellEnd"/>
      <w:r>
        <w:t xml:space="preserve"> with </w:t>
      </w:r>
      <w:proofErr w:type="spellStart"/>
      <w:r>
        <w:t>neoadjuvant</w:t>
      </w:r>
      <w:proofErr w:type="spellEnd"/>
      <w:r>
        <w:t xml:space="preserve"> chemotherapy, including both an </w:t>
      </w:r>
      <w:proofErr w:type="spellStart"/>
      <w:r>
        <w:lastRenderedPageBreak/>
        <w:t>anthracycline</w:t>
      </w:r>
      <w:proofErr w:type="spellEnd"/>
      <w:r>
        <w:t xml:space="preserve"> and a </w:t>
      </w:r>
      <w:proofErr w:type="spellStart"/>
      <w:r>
        <w:t>taxane</w:t>
      </w:r>
      <w:proofErr w:type="spellEnd"/>
      <w:r>
        <w:t xml:space="preserve">, followed by adjuvant </w:t>
      </w:r>
      <w:proofErr w:type="spellStart"/>
      <w:r w:rsidR="000F430E">
        <w:t>trastuzumab</w:t>
      </w:r>
      <w:proofErr w:type="spellEnd"/>
      <w:r>
        <w:t xml:space="preserve">, up to a total treatment duration of 1 year. The trial recruited patients with newly diagnosed locally advanced (Stage III) or inflammatory breast cancer. Patients with HER2+ tumours were randomized to receive either </w:t>
      </w:r>
      <w:proofErr w:type="spellStart"/>
      <w:r>
        <w:t>neoadjuvant</w:t>
      </w:r>
      <w:proofErr w:type="spellEnd"/>
      <w:r>
        <w:t xml:space="preserve"> chemotherapy concurrently with </w:t>
      </w:r>
      <w:proofErr w:type="spellStart"/>
      <w:r>
        <w:t>neoadjuvant</w:t>
      </w:r>
      <w:proofErr w:type="spellEnd"/>
      <w:r>
        <w:t xml:space="preserve">-adjuvant </w:t>
      </w:r>
      <w:proofErr w:type="spellStart"/>
      <w:r w:rsidR="000F430E">
        <w:t>trastuzumab</w:t>
      </w:r>
      <w:proofErr w:type="spellEnd"/>
      <w:r>
        <w:t xml:space="preserve"> (</w:t>
      </w:r>
      <w:r w:rsidRPr="000F430E">
        <w:rPr>
          <w:i/>
        </w:rPr>
        <w:t>n</w:t>
      </w:r>
      <w:r>
        <w:t xml:space="preserve"> = 116), or </w:t>
      </w:r>
      <w:proofErr w:type="spellStart"/>
      <w:r>
        <w:t>neoadjuvant</w:t>
      </w:r>
      <w:proofErr w:type="spellEnd"/>
      <w:r>
        <w:t xml:space="preserve"> chemotherapy alone (</w:t>
      </w:r>
      <w:r w:rsidRPr="00C95A84">
        <w:rPr>
          <w:i/>
        </w:rPr>
        <w:t>n</w:t>
      </w:r>
      <w:r>
        <w:t xml:space="preserve"> = 118).</w:t>
      </w:r>
    </w:p>
    <w:p w14:paraId="50D070DF" w14:textId="0F76F0F2" w:rsidR="00BB5CFF" w:rsidRPr="00BB5CFF" w:rsidRDefault="007103DA" w:rsidP="000E60EC">
      <w:pPr>
        <w:pStyle w:val="Bodyofcontents"/>
        <w:spacing w:after="120"/>
        <w:rPr>
          <w:lang w:eastAsia="en-US"/>
        </w:rPr>
      </w:pPr>
      <w:proofErr w:type="spellStart"/>
      <w:r>
        <w:rPr>
          <w:lang w:eastAsia="en-US"/>
        </w:rPr>
        <w:t>Trastuzumab</w:t>
      </w:r>
      <w:proofErr w:type="spellEnd"/>
      <w:r w:rsidR="00BB5CFF" w:rsidRPr="00BB5CFF">
        <w:rPr>
          <w:lang w:eastAsia="en-US"/>
        </w:rPr>
        <w:t xml:space="preserve"> </w:t>
      </w:r>
      <w:proofErr w:type="gramStart"/>
      <w:r w:rsidR="00BB5CFF" w:rsidRPr="00BB5CFF">
        <w:rPr>
          <w:lang w:eastAsia="en-US"/>
        </w:rPr>
        <w:t>was administered</w:t>
      </w:r>
      <w:proofErr w:type="gramEnd"/>
      <w:r w:rsidR="00BB5CFF" w:rsidRPr="00BB5CFF">
        <w:rPr>
          <w:lang w:eastAsia="en-US"/>
        </w:rPr>
        <w:t xml:space="preserve"> concurrently with 10 cycles of </w:t>
      </w:r>
      <w:proofErr w:type="spellStart"/>
      <w:r w:rsidR="00BB5CFF" w:rsidRPr="00BB5CFF">
        <w:rPr>
          <w:lang w:eastAsia="en-US"/>
        </w:rPr>
        <w:t>neoad</w:t>
      </w:r>
      <w:r w:rsidR="00520F92">
        <w:rPr>
          <w:lang w:eastAsia="en-US"/>
        </w:rPr>
        <w:t>juvant</w:t>
      </w:r>
      <w:proofErr w:type="spellEnd"/>
      <w:r w:rsidR="00520F92">
        <w:rPr>
          <w:lang w:eastAsia="en-US"/>
        </w:rPr>
        <w:t xml:space="preserve"> chemotherapy as follows;</w:t>
      </w:r>
    </w:p>
    <w:p w14:paraId="67870063" w14:textId="44327F77" w:rsidR="00BB5CFF" w:rsidRPr="00BB5CFF" w:rsidRDefault="00BB5CFF" w:rsidP="005D477D">
      <w:pPr>
        <w:pStyle w:val="Bodydot"/>
        <w:rPr>
          <w:lang w:eastAsia="en-US"/>
        </w:rPr>
      </w:pPr>
      <w:r w:rsidRPr="00BB5CFF">
        <w:rPr>
          <w:lang w:eastAsia="en-US"/>
        </w:rPr>
        <w:t>Doxorubicin (60 mg/m</w:t>
      </w:r>
      <w:r w:rsidRPr="003B56DD">
        <w:rPr>
          <w:vertAlign w:val="superscript"/>
        </w:rPr>
        <w:t>2</w:t>
      </w:r>
      <w:r w:rsidRPr="00BB5CFF">
        <w:rPr>
          <w:lang w:eastAsia="en-US"/>
        </w:rPr>
        <w:t>) and paclitaxel (150 mg/m</w:t>
      </w:r>
      <w:r w:rsidRPr="003B56DD">
        <w:rPr>
          <w:vertAlign w:val="superscript"/>
        </w:rPr>
        <w:t>2</w:t>
      </w:r>
      <w:r w:rsidRPr="00BB5CFF">
        <w:rPr>
          <w:lang w:eastAsia="en-US"/>
        </w:rPr>
        <w:t xml:space="preserve">) in combination with </w:t>
      </w:r>
      <w:proofErr w:type="spellStart"/>
      <w:r w:rsidR="003B56DD">
        <w:rPr>
          <w:lang w:eastAsia="en-US"/>
        </w:rPr>
        <w:t>trastuzumab</w:t>
      </w:r>
      <w:proofErr w:type="spellEnd"/>
      <w:r w:rsidRPr="00BB5CFF">
        <w:rPr>
          <w:lang w:eastAsia="en-US"/>
        </w:rPr>
        <w:t xml:space="preserve"> (8 mg/kg loading dose, followed by 6 mg/kg maintenance, administered 3-weekly) for 3 cy</w:t>
      </w:r>
      <w:r w:rsidR="00520F92">
        <w:rPr>
          <w:lang w:eastAsia="en-US"/>
        </w:rPr>
        <w:t>cles, followed by</w:t>
      </w:r>
    </w:p>
    <w:p w14:paraId="4126CCF4" w14:textId="0F414962" w:rsidR="00BB5CFF" w:rsidRPr="00BB5CFF" w:rsidRDefault="00BB5CFF" w:rsidP="005D477D">
      <w:pPr>
        <w:pStyle w:val="Bodydot"/>
        <w:rPr>
          <w:lang w:eastAsia="en-US"/>
        </w:rPr>
      </w:pPr>
      <w:r w:rsidRPr="00BB5CFF">
        <w:rPr>
          <w:lang w:eastAsia="en-US"/>
        </w:rPr>
        <w:t>Paclitaxel (175 mg/m</w:t>
      </w:r>
      <w:r w:rsidRPr="00DF210C">
        <w:rPr>
          <w:vertAlign w:val="subscript"/>
        </w:rPr>
        <w:t>2</w:t>
      </w:r>
      <w:r w:rsidRPr="00BB5CFF">
        <w:rPr>
          <w:lang w:eastAsia="en-US"/>
        </w:rPr>
        <w:t xml:space="preserve">) and </w:t>
      </w:r>
      <w:proofErr w:type="spellStart"/>
      <w:r w:rsidR="003B56DD">
        <w:rPr>
          <w:lang w:eastAsia="en-US"/>
        </w:rPr>
        <w:t>trastuzumab</w:t>
      </w:r>
      <w:proofErr w:type="spellEnd"/>
      <w:r w:rsidRPr="00BB5CFF">
        <w:rPr>
          <w:lang w:eastAsia="en-US"/>
        </w:rPr>
        <w:t xml:space="preserve"> (6mg/kg, administered 3-we</w:t>
      </w:r>
      <w:r w:rsidR="00520F92">
        <w:rPr>
          <w:lang w:eastAsia="en-US"/>
        </w:rPr>
        <w:t>ekly) for 4 cycles, followed by</w:t>
      </w:r>
    </w:p>
    <w:p w14:paraId="08917134" w14:textId="7527262E" w:rsidR="00BB5CFF" w:rsidRPr="00BB5CFF" w:rsidRDefault="00BB5CFF" w:rsidP="005D477D">
      <w:pPr>
        <w:pStyle w:val="Bodydot"/>
        <w:rPr>
          <w:lang w:eastAsia="en-US"/>
        </w:rPr>
      </w:pPr>
      <w:r w:rsidRPr="00BB5CFF">
        <w:rPr>
          <w:lang w:eastAsia="en-US"/>
        </w:rPr>
        <w:t xml:space="preserve">CMF on day 1 and 8 every 4 weeks for 3 cycles, in combination with 4 cycles of </w:t>
      </w:r>
      <w:r w:rsidR="00A231CB">
        <w:rPr>
          <w:lang w:eastAsia="en-US"/>
        </w:rPr>
        <w:t>OGIVRI</w:t>
      </w:r>
      <w:r w:rsidRPr="00BB5CFF">
        <w:rPr>
          <w:lang w:eastAsia="en-US"/>
        </w:rPr>
        <w:t xml:space="preserve"> (6mg/kg admi</w:t>
      </w:r>
      <w:r w:rsidR="00520F92">
        <w:rPr>
          <w:lang w:eastAsia="en-US"/>
        </w:rPr>
        <w:t>nistered 3-weekly), followed by</w:t>
      </w:r>
    </w:p>
    <w:p w14:paraId="4EB09315" w14:textId="4E9FE77E" w:rsidR="00BB5CFF" w:rsidRPr="00BB5CFF" w:rsidRDefault="00BB5CFF" w:rsidP="000E60EC">
      <w:pPr>
        <w:pStyle w:val="Bodydot"/>
        <w:spacing w:after="120"/>
        <w:rPr>
          <w:lang w:eastAsia="en-US"/>
        </w:rPr>
      </w:pPr>
      <w:r w:rsidRPr="00BB5CFF">
        <w:rPr>
          <w:lang w:eastAsia="en-US"/>
        </w:rPr>
        <w:t xml:space="preserve">up to 7 additional cycles of </w:t>
      </w:r>
      <w:proofErr w:type="spellStart"/>
      <w:r w:rsidR="003B56DD">
        <w:rPr>
          <w:lang w:eastAsia="en-US"/>
        </w:rPr>
        <w:t>trastuzumab</w:t>
      </w:r>
      <w:proofErr w:type="spellEnd"/>
      <w:r w:rsidRPr="00BB5CFF">
        <w:rPr>
          <w:lang w:eastAsia="en-US"/>
        </w:rPr>
        <w:t xml:space="preserve"> (6mg/kg, administered 3-weekly) alone to complete 1 year after starting </w:t>
      </w:r>
      <w:proofErr w:type="spellStart"/>
      <w:r w:rsidR="003B56DD">
        <w:rPr>
          <w:lang w:eastAsia="en-US"/>
        </w:rPr>
        <w:t>trastuzumab</w:t>
      </w:r>
      <w:proofErr w:type="spellEnd"/>
    </w:p>
    <w:p w14:paraId="6707797F" w14:textId="612DE41E" w:rsidR="00BB5CFF" w:rsidRDefault="00BB5CFF" w:rsidP="00BB5CFF">
      <w:pPr>
        <w:pStyle w:val="Bodyofcontents"/>
        <w:rPr>
          <w:szCs w:val="22"/>
          <w:lang w:eastAsia="en-US"/>
        </w:rPr>
      </w:pPr>
      <w:r w:rsidRPr="00BB5CFF">
        <w:rPr>
          <w:szCs w:val="22"/>
          <w:lang w:eastAsia="en-US"/>
        </w:rPr>
        <w:t xml:space="preserve">The primary endpoint for the trial, event-free survival (EFS), was defined as the time from randomization to disease recurrence or progression (local, regional, distant or contralateral), or death of any cause. The efficacy results from NOAH (full analysis population, defined as all patients who </w:t>
      </w:r>
      <w:proofErr w:type="gramStart"/>
      <w:r w:rsidRPr="00BB5CFF">
        <w:rPr>
          <w:szCs w:val="22"/>
          <w:lang w:eastAsia="en-US"/>
        </w:rPr>
        <w:t>were randomized</w:t>
      </w:r>
      <w:proofErr w:type="gramEnd"/>
      <w:r w:rsidRPr="00BB5CFF">
        <w:rPr>
          <w:szCs w:val="22"/>
          <w:lang w:eastAsia="en-US"/>
        </w:rPr>
        <w:t xml:space="preserve"> in the trial following the intent-to-treat principle, with the exception of 3 patients whose data could not be evaluated) are summarized in the table below. The median duration of follow-up in the </w:t>
      </w:r>
      <w:proofErr w:type="spellStart"/>
      <w:r w:rsidR="003B56DD">
        <w:rPr>
          <w:szCs w:val="22"/>
          <w:lang w:eastAsia="en-US"/>
        </w:rPr>
        <w:t>trastuzumab</w:t>
      </w:r>
      <w:proofErr w:type="spellEnd"/>
      <w:r w:rsidRPr="00BB5CFF">
        <w:rPr>
          <w:szCs w:val="22"/>
          <w:lang w:eastAsia="en-US"/>
        </w:rPr>
        <w:t xml:space="preserve"> arm was 3.8 years.</w:t>
      </w:r>
    </w:p>
    <w:p w14:paraId="24CCFA6B" w14:textId="77777777" w:rsidR="0052314F" w:rsidRDefault="0052314F" w:rsidP="005D477D">
      <w:pPr>
        <w:pStyle w:val="TableTitle"/>
      </w:pPr>
      <w:r>
        <w:t>Table 9: Overview of Efficacy Analyses MO16432 (NOAH)</w:t>
      </w:r>
    </w:p>
    <w:p w14:paraId="66AFA952" w14:textId="77777777" w:rsidR="0052314F" w:rsidRDefault="0052314F" w:rsidP="0052314F">
      <w:pPr>
        <w:pStyle w:val="TableHeading"/>
      </w:pPr>
    </w:p>
    <w:tbl>
      <w:tblPr>
        <w:tblStyle w:val="TableGrid"/>
        <w:tblW w:w="9067" w:type="dxa"/>
        <w:tblLayout w:type="fixed"/>
        <w:tblLook w:val="04A0" w:firstRow="1" w:lastRow="0" w:firstColumn="1" w:lastColumn="0" w:noHBand="0" w:noVBand="1"/>
      </w:tblPr>
      <w:tblGrid>
        <w:gridCol w:w="2547"/>
        <w:gridCol w:w="2268"/>
        <w:gridCol w:w="1360"/>
        <w:gridCol w:w="1326"/>
        <w:gridCol w:w="1566"/>
      </w:tblGrid>
      <w:tr w:rsidR="0052314F" w14:paraId="04A7CD5F" w14:textId="77777777" w:rsidTr="003B56DD">
        <w:tc>
          <w:tcPr>
            <w:tcW w:w="2547" w:type="dxa"/>
          </w:tcPr>
          <w:p w14:paraId="7BFF8F71" w14:textId="77777777" w:rsidR="0052314F" w:rsidRPr="005D477D" w:rsidRDefault="0052314F" w:rsidP="005D477D">
            <w:pPr>
              <w:pStyle w:val="TableHeading"/>
              <w:jc w:val="center"/>
              <w:rPr>
                <w:bCs/>
              </w:rPr>
            </w:pPr>
            <w:r w:rsidRPr="005D477D">
              <w:rPr>
                <w:bCs/>
              </w:rPr>
              <w:t xml:space="preserve">Parameter </w:t>
            </w:r>
          </w:p>
        </w:tc>
        <w:tc>
          <w:tcPr>
            <w:tcW w:w="2268" w:type="dxa"/>
          </w:tcPr>
          <w:p w14:paraId="162EEE65" w14:textId="389549E3" w:rsidR="0052314F" w:rsidRPr="005D477D" w:rsidRDefault="0052314F" w:rsidP="005D477D">
            <w:pPr>
              <w:pStyle w:val="TableHeading"/>
              <w:jc w:val="center"/>
              <w:rPr>
                <w:bCs/>
              </w:rPr>
            </w:pPr>
            <w:r w:rsidRPr="005D477D">
              <w:rPr>
                <w:bCs/>
              </w:rPr>
              <w:t xml:space="preserve">Chemo + </w:t>
            </w:r>
            <w:proofErr w:type="spellStart"/>
            <w:r w:rsidR="003B56DD">
              <w:rPr>
                <w:bCs/>
              </w:rPr>
              <w:t>Trastuzumab</w:t>
            </w:r>
            <w:proofErr w:type="spellEnd"/>
            <w:r w:rsidRPr="005D477D">
              <w:rPr>
                <w:bCs/>
              </w:rPr>
              <w:t xml:space="preserve"> </w:t>
            </w:r>
          </w:p>
          <w:p w14:paraId="217C5469" w14:textId="77777777" w:rsidR="0052314F" w:rsidRPr="005D477D" w:rsidRDefault="0052314F" w:rsidP="005D477D">
            <w:pPr>
              <w:pStyle w:val="TableHeading"/>
              <w:jc w:val="center"/>
              <w:rPr>
                <w:bCs/>
              </w:rPr>
            </w:pPr>
            <w:r w:rsidRPr="005D477D">
              <w:rPr>
                <w:bCs/>
              </w:rPr>
              <w:t xml:space="preserve">n = 115 </w:t>
            </w:r>
          </w:p>
        </w:tc>
        <w:tc>
          <w:tcPr>
            <w:tcW w:w="1360" w:type="dxa"/>
          </w:tcPr>
          <w:p w14:paraId="39BF1111" w14:textId="77777777" w:rsidR="0052314F" w:rsidRPr="005D477D" w:rsidRDefault="0052314F" w:rsidP="005D477D">
            <w:pPr>
              <w:pStyle w:val="TableHeading"/>
              <w:jc w:val="center"/>
              <w:rPr>
                <w:bCs/>
              </w:rPr>
            </w:pPr>
            <w:r w:rsidRPr="005D477D">
              <w:rPr>
                <w:bCs/>
              </w:rPr>
              <w:t xml:space="preserve">Chemo only </w:t>
            </w:r>
          </w:p>
          <w:p w14:paraId="71FE999B" w14:textId="77777777" w:rsidR="0052314F" w:rsidRPr="005D477D" w:rsidRDefault="0052314F" w:rsidP="005D477D">
            <w:pPr>
              <w:pStyle w:val="TableHeading"/>
              <w:jc w:val="center"/>
              <w:rPr>
                <w:bCs/>
              </w:rPr>
            </w:pPr>
            <w:r w:rsidRPr="003B56DD">
              <w:rPr>
                <w:bCs/>
                <w:i/>
              </w:rPr>
              <w:t>n</w:t>
            </w:r>
            <w:r w:rsidRPr="005D477D">
              <w:rPr>
                <w:bCs/>
              </w:rPr>
              <w:t xml:space="preserve"> = 116 </w:t>
            </w:r>
          </w:p>
        </w:tc>
        <w:tc>
          <w:tcPr>
            <w:tcW w:w="1326" w:type="dxa"/>
          </w:tcPr>
          <w:p w14:paraId="4F57C6BE" w14:textId="77777777" w:rsidR="0052314F" w:rsidRPr="005D477D" w:rsidRDefault="0052314F" w:rsidP="005D477D">
            <w:pPr>
              <w:pStyle w:val="TableHeading"/>
              <w:jc w:val="center"/>
              <w:rPr>
                <w:bCs/>
              </w:rPr>
            </w:pPr>
            <w:r w:rsidRPr="005D477D">
              <w:rPr>
                <w:bCs/>
              </w:rPr>
              <w:t xml:space="preserve">p-value </w:t>
            </w:r>
          </w:p>
        </w:tc>
        <w:tc>
          <w:tcPr>
            <w:tcW w:w="1566" w:type="dxa"/>
          </w:tcPr>
          <w:p w14:paraId="7570558A" w14:textId="77777777" w:rsidR="0052314F" w:rsidRPr="005D477D" w:rsidRDefault="0052314F" w:rsidP="005D477D">
            <w:pPr>
              <w:pStyle w:val="TableHeading"/>
              <w:jc w:val="center"/>
              <w:rPr>
                <w:bCs/>
              </w:rPr>
            </w:pPr>
            <w:r w:rsidRPr="005D477D">
              <w:rPr>
                <w:bCs/>
              </w:rPr>
              <w:t xml:space="preserve">HR </w:t>
            </w:r>
          </w:p>
          <w:p w14:paraId="718E8C43" w14:textId="77777777" w:rsidR="0052314F" w:rsidRPr="005D477D" w:rsidRDefault="0052314F" w:rsidP="005D477D">
            <w:pPr>
              <w:pStyle w:val="TableHeading"/>
              <w:jc w:val="center"/>
              <w:rPr>
                <w:bCs/>
              </w:rPr>
            </w:pPr>
            <w:r w:rsidRPr="005D477D">
              <w:rPr>
                <w:bCs/>
              </w:rPr>
              <w:t xml:space="preserve">(95% CI) </w:t>
            </w:r>
          </w:p>
        </w:tc>
      </w:tr>
      <w:tr w:rsidR="0052314F" w14:paraId="682DE922" w14:textId="77777777" w:rsidTr="003B56DD">
        <w:tc>
          <w:tcPr>
            <w:tcW w:w="2547" w:type="dxa"/>
          </w:tcPr>
          <w:p w14:paraId="347E5FB3" w14:textId="77777777" w:rsidR="003B56DD" w:rsidRPr="003B56DD" w:rsidRDefault="003B56DD" w:rsidP="003B56DD">
            <w:pPr>
              <w:pStyle w:val="TableBody"/>
              <w:rPr>
                <w:b/>
              </w:rPr>
            </w:pPr>
            <w:r w:rsidRPr="003B56DD">
              <w:rPr>
                <w:b/>
              </w:rPr>
              <w:t xml:space="preserve">Event-free survival (EFS) </w:t>
            </w:r>
          </w:p>
          <w:p w14:paraId="6F2A139E" w14:textId="77777777" w:rsidR="0052314F" w:rsidRPr="0052314F" w:rsidRDefault="003B56DD" w:rsidP="003B56DD">
            <w:pPr>
              <w:pStyle w:val="TableBody"/>
            </w:pPr>
            <w:r>
              <w:t>No. patients with event</w:t>
            </w:r>
          </w:p>
        </w:tc>
        <w:tc>
          <w:tcPr>
            <w:tcW w:w="2268" w:type="dxa"/>
          </w:tcPr>
          <w:p w14:paraId="3C3F7A14" w14:textId="77777777" w:rsidR="005D477D" w:rsidRDefault="005D477D" w:rsidP="005D477D">
            <w:pPr>
              <w:pStyle w:val="TableBody"/>
              <w:jc w:val="center"/>
            </w:pPr>
          </w:p>
          <w:p w14:paraId="6A3B1779" w14:textId="77777777" w:rsidR="0052314F" w:rsidRPr="0052314F" w:rsidRDefault="0052314F" w:rsidP="005D477D">
            <w:pPr>
              <w:pStyle w:val="TableBody"/>
              <w:jc w:val="center"/>
            </w:pPr>
            <w:r w:rsidRPr="0052314F">
              <w:t xml:space="preserve">46 </w:t>
            </w:r>
          </w:p>
        </w:tc>
        <w:tc>
          <w:tcPr>
            <w:tcW w:w="1360" w:type="dxa"/>
          </w:tcPr>
          <w:p w14:paraId="78005E5C" w14:textId="77777777" w:rsidR="005D477D" w:rsidRDefault="005D477D" w:rsidP="005D477D">
            <w:pPr>
              <w:pStyle w:val="TableBody"/>
              <w:jc w:val="center"/>
            </w:pPr>
          </w:p>
          <w:p w14:paraId="4130F4B8" w14:textId="77777777" w:rsidR="0052314F" w:rsidRPr="0052314F" w:rsidRDefault="0052314F" w:rsidP="005D477D">
            <w:pPr>
              <w:pStyle w:val="TableBody"/>
              <w:jc w:val="center"/>
            </w:pPr>
            <w:r w:rsidRPr="0052314F">
              <w:t xml:space="preserve">59 </w:t>
            </w:r>
          </w:p>
        </w:tc>
        <w:tc>
          <w:tcPr>
            <w:tcW w:w="1326" w:type="dxa"/>
          </w:tcPr>
          <w:p w14:paraId="0E291615" w14:textId="77777777" w:rsidR="005D477D" w:rsidRDefault="005D477D" w:rsidP="005D477D">
            <w:pPr>
              <w:pStyle w:val="TableBody"/>
              <w:jc w:val="center"/>
            </w:pPr>
          </w:p>
          <w:p w14:paraId="5940D1EF" w14:textId="77777777" w:rsidR="0052314F" w:rsidRPr="0052314F" w:rsidRDefault="0052314F" w:rsidP="005D477D">
            <w:pPr>
              <w:pStyle w:val="TableBody"/>
              <w:jc w:val="center"/>
            </w:pPr>
            <w:r w:rsidRPr="0052314F">
              <w:t xml:space="preserve">p = 0.0275 </w:t>
            </w:r>
          </w:p>
        </w:tc>
        <w:tc>
          <w:tcPr>
            <w:tcW w:w="1566" w:type="dxa"/>
          </w:tcPr>
          <w:p w14:paraId="26C2A168" w14:textId="77777777" w:rsidR="005D477D" w:rsidRDefault="005D477D" w:rsidP="005D477D">
            <w:pPr>
              <w:pStyle w:val="TableBody"/>
              <w:jc w:val="center"/>
            </w:pPr>
          </w:p>
          <w:p w14:paraId="13B6D59F" w14:textId="77777777" w:rsidR="0052314F" w:rsidRPr="0052314F" w:rsidRDefault="0052314F" w:rsidP="003B56DD">
            <w:pPr>
              <w:pStyle w:val="TableBody"/>
              <w:jc w:val="center"/>
            </w:pPr>
            <w:r w:rsidRPr="0052314F">
              <w:t xml:space="preserve">0.65 (0.44, 0.96) </w:t>
            </w:r>
          </w:p>
        </w:tc>
      </w:tr>
      <w:tr w:rsidR="0052314F" w14:paraId="28EC34BD" w14:textId="77777777" w:rsidTr="003B56DD">
        <w:tc>
          <w:tcPr>
            <w:tcW w:w="2547" w:type="dxa"/>
          </w:tcPr>
          <w:p w14:paraId="4455BC48" w14:textId="77777777" w:rsidR="005D477D" w:rsidRDefault="0052314F" w:rsidP="005D477D">
            <w:pPr>
              <w:pStyle w:val="TableHeading"/>
            </w:pPr>
            <w:r w:rsidRPr="0052314F">
              <w:t>Total pathological complete response</w:t>
            </w:r>
          </w:p>
          <w:p w14:paraId="2824E475" w14:textId="77777777" w:rsidR="0052314F" w:rsidRPr="0052314F" w:rsidRDefault="0052314F" w:rsidP="005D477D">
            <w:pPr>
              <w:pStyle w:val="TableBody"/>
            </w:pPr>
            <w:r w:rsidRPr="0052314F">
              <w:t xml:space="preserve">^ (95% CI) </w:t>
            </w:r>
          </w:p>
        </w:tc>
        <w:tc>
          <w:tcPr>
            <w:tcW w:w="2268" w:type="dxa"/>
          </w:tcPr>
          <w:p w14:paraId="2A5D2F3A" w14:textId="77777777" w:rsidR="0052314F" w:rsidRPr="0052314F" w:rsidRDefault="0052314F" w:rsidP="005D477D">
            <w:pPr>
              <w:pStyle w:val="TableBody"/>
              <w:jc w:val="center"/>
            </w:pPr>
            <w:r w:rsidRPr="0052314F">
              <w:t xml:space="preserve">40% </w:t>
            </w:r>
          </w:p>
          <w:p w14:paraId="53E98BED" w14:textId="77777777" w:rsidR="0052314F" w:rsidRPr="0052314F" w:rsidRDefault="0052314F" w:rsidP="005D477D">
            <w:pPr>
              <w:pStyle w:val="TableBody"/>
              <w:jc w:val="center"/>
            </w:pPr>
            <w:r w:rsidRPr="0052314F">
              <w:t xml:space="preserve">(31.0, 49.6) </w:t>
            </w:r>
          </w:p>
        </w:tc>
        <w:tc>
          <w:tcPr>
            <w:tcW w:w="1360" w:type="dxa"/>
          </w:tcPr>
          <w:p w14:paraId="41A9E45B" w14:textId="77777777" w:rsidR="0052314F" w:rsidRPr="0052314F" w:rsidRDefault="0052314F" w:rsidP="005D477D">
            <w:pPr>
              <w:pStyle w:val="TableBody"/>
              <w:jc w:val="center"/>
            </w:pPr>
            <w:r w:rsidRPr="0052314F">
              <w:t xml:space="preserve">20.7% </w:t>
            </w:r>
          </w:p>
          <w:p w14:paraId="2DAA480F" w14:textId="77777777" w:rsidR="0052314F" w:rsidRPr="0052314F" w:rsidRDefault="0052314F" w:rsidP="005D477D">
            <w:pPr>
              <w:pStyle w:val="TableBody"/>
              <w:jc w:val="center"/>
            </w:pPr>
            <w:r w:rsidRPr="0052314F">
              <w:t xml:space="preserve">(13.7, 29.2) </w:t>
            </w:r>
          </w:p>
        </w:tc>
        <w:tc>
          <w:tcPr>
            <w:tcW w:w="1326" w:type="dxa"/>
          </w:tcPr>
          <w:p w14:paraId="789B287C" w14:textId="77777777" w:rsidR="005D477D" w:rsidRDefault="005D477D" w:rsidP="005D477D">
            <w:pPr>
              <w:pStyle w:val="TableBody"/>
              <w:jc w:val="center"/>
            </w:pPr>
          </w:p>
          <w:p w14:paraId="736D105C" w14:textId="77777777" w:rsidR="0052314F" w:rsidRPr="0052314F" w:rsidRDefault="0052314F" w:rsidP="005D477D">
            <w:pPr>
              <w:pStyle w:val="TableBody"/>
              <w:jc w:val="center"/>
            </w:pPr>
            <w:r w:rsidRPr="0052314F">
              <w:t xml:space="preserve">p = 0.0014 </w:t>
            </w:r>
          </w:p>
          <w:p w14:paraId="3A19883E" w14:textId="77777777" w:rsidR="0052314F" w:rsidRPr="0052314F" w:rsidRDefault="0052314F" w:rsidP="005D477D">
            <w:pPr>
              <w:pStyle w:val="TableBody"/>
              <w:jc w:val="center"/>
            </w:pPr>
          </w:p>
        </w:tc>
        <w:tc>
          <w:tcPr>
            <w:tcW w:w="1566" w:type="dxa"/>
          </w:tcPr>
          <w:p w14:paraId="008C7EE1" w14:textId="77777777" w:rsidR="0052314F" w:rsidRPr="0052314F" w:rsidRDefault="0052314F" w:rsidP="005D477D">
            <w:pPr>
              <w:pStyle w:val="TableBody"/>
              <w:jc w:val="center"/>
            </w:pPr>
          </w:p>
        </w:tc>
      </w:tr>
    </w:tbl>
    <w:p w14:paraId="08AFF694" w14:textId="77777777" w:rsidR="0052314F" w:rsidRPr="003B56DD" w:rsidRDefault="0052314F" w:rsidP="00C4138E">
      <w:pPr>
        <w:pStyle w:val="Bodyofcontents"/>
        <w:rPr>
          <w:sz w:val="18"/>
          <w:szCs w:val="18"/>
        </w:rPr>
      </w:pPr>
      <w:r w:rsidRPr="003B56DD">
        <w:rPr>
          <w:sz w:val="18"/>
          <w:szCs w:val="18"/>
        </w:rPr>
        <w:t>^ defined as absence of any invasive cancer both in the breast and axillary nodes</w:t>
      </w:r>
      <w:proofErr w:type="gramStart"/>
      <w:r w:rsidRPr="003B56DD">
        <w:rPr>
          <w:sz w:val="18"/>
          <w:szCs w:val="18"/>
        </w:rPr>
        <w:t>;</w:t>
      </w:r>
      <w:proofErr w:type="gramEnd"/>
      <w:r w:rsidRPr="003B56DD">
        <w:rPr>
          <w:sz w:val="18"/>
          <w:szCs w:val="18"/>
        </w:rPr>
        <w:t xml:space="preserve"> HR: hazard ratio</w:t>
      </w:r>
    </w:p>
    <w:p w14:paraId="6A4E1F5A" w14:textId="60E1075B" w:rsidR="0052314F" w:rsidRPr="0052314F" w:rsidRDefault="0052314F" w:rsidP="0055725A">
      <w:pPr>
        <w:pStyle w:val="Bodyofcontents"/>
        <w:spacing w:after="160"/>
        <w:rPr>
          <w:szCs w:val="22"/>
        </w:rPr>
      </w:pPr>
      <w:r>
        <w:t xml:space="preserve">The addition of </w:t>
      </w:r>
      <w:proofErr w:type="spellStart"/>
      <w:r w:rsidR="003B56DD">
        <w:t>trastuzumab</w:t>
      </w:r>
      <w:proofErr w:type="spellEnd"/>
      <w:r>
        <w:t xml:space="preserve"> to </w:t>
      </w:r>
      <w:proofErr w:type="spellStart"/>
      <w:r>
        <w:t>neoadjuvant</w:t>
      </w:r>
      <w:proofErr w:type="spellEnd"/>
      <w:r>
        <w:t xml:space="preserve"> chemotherapy, followed by adjuvant </w:t>
      </w:r>
      <w:proofErr w:type="spellStart"/>
      <w:r w:rsidR="003B56DD">
        <w:t>trastuzumab</w:t>
      </w:r>
      <w:proofErr w:type="spellEnd"/>
      <w:r>
        <w:t xml:space="preserve"> for a total duration of 52 weeks, resulted in a 35% reduction in the risk of disease recurrence/progression. The hazard ratio translates into an absolute benefit, in terms of 3-year </w:t>
      </w:r>
      <w:r w:rsidRPr="0052314F">
        <w:rPr>
          <w:szCs w:val="22"/>
        </w:rPr>
        <w:t xml:space="preserve">event-free survival rate estimates of 13 percentage points (65 % vs. 52 %) in favour of the </w:t>
      </w:r>
      <w:proofErr w:type="spellStart"/>
      <w:r w:rsidR="00FD7C62">
        <w:rPr>
          <w:szCs w:val="22"/>
        </w:rPr>
        <w:t>trastuzumab</w:t>
      </w:r>
      <w:proofErr w:type="spellEnd"/>
      <w:r w:rsidR="00520F92">
        <w:rPr>
          <w:szCs w:val="22"/>
        </w:rPr>
        <w:t xml:space="preserve"> arm.</w:t>
      </w:r>
    </w:p>
    <w:p w14:paraId="5215A632" w14:textId="17A5228A" w:rsidR="0052314F" w:rsidRPr="0052314F" w:rsidRDefault="0052314F" w:rsidP="0052314F">
      <w:pPr>
        <w:pStyle w:val="Bodyofcontents"/>
      </w:pPr>
      <w:r w:rsidRPr="0052314F">
        <w:t xml:space="preserve">To date, results are not available comparing the efficacy of </w:t>
      </w:r>
      <w:proofErr w:type="spellStart"/>
      <w:r w:rsidR="00FD7C62">
        <w:t>trastuzumab</w:t>
      </w:r>
      <w:proofErr w:type="spellEnd"/>
      <w:r w:rsidRPr="0052314F">
        <w:t xml:space="preserve"> administered with chemotherapy in the adjuvant setting with that obtained in the </w:t>
      </w:r>
      <w:proofErr w:type="spellStart"/>
      <w:r w:rsidRPr="0052314F">
        <w:t>neoadjuvant</w:t>
      </w:r>
      <w:proofErr w:type="spellEnd"/>
      <w:r w:rsidRPr="0052314F">
        <w:t>/adjuvant setting.</w:t>
      </w:r>
    </w:p>
    <w:p w14:paraId="2395B896" w14:textId="5CB27D5A" w:rsidR="0052314F" w:rsidRDefault="002E2862" w:rsidP="0055725A">
      <w:pPr>
        <w:pStyle w:val="Subheading1"/>
        <w:spacing w:after="160"/>
        <w:rPr>
          <w:lang w:eastAsia="en-US"/>
        </w:rPr>
      </w:pPr>
      <w:r>
        <w:rPr>
          <w:lang w:eastAsia="en-US"/>
        </w:rPr>
        <w:t>Metastatic Breast Cancer</w:t>
      </w:r>
    </w:p>
    <w:p w14:paraId="41D725F6" w14:textId="34BCE39F" w:rsidR="0052314F" w:rsidRPr="0052314F" w:rsidRDefault="0052314F" w:rsidP="0055725A">
      <w:pPr>
        <w:pStyle w:val="Bodyofcontents"/>
        <w:spacing w:after="160"/>
        <w:rPr>
          <w:lang w:eastAsia="en-US"/>
        </w:rPr>
      </w:pPr>
      <w:r w:rsidRPr="0052314F">
        <w:rPr>
          <w:lang w:eastAsia="en-US"/>
        </w:rPr>
        <w:t xml:space="preserve">There are no data available to establish the efficacy of </w:t>
      </w:r>
      <w:proofErr w:type="spellStart"/>
      <w:r w:rsidR="00417B28">
        <w:rPr>
          <w:lang w:eastAsia="en-US"/>
        </w:rPr>
        <w:t>trastuzumab</w:t>
      </w:r>
      <w:proofErr w:type="spellEnd"/>
      <w:r w:rsidRPr="0052314F">
        <w:rPr>
          <w:lang w:eastAsia="en-US"/>
        </w:rPr>
        <w:t xml:space="preserve"> for the treatment of metastatic disease in patients who have previously received the medicine for </w:t>
      </w:r>
      <w:r w:rsidR="002E2862">
        <w:rPr>
          <w:lang w:eastAsia="en-US"/>
        </w:rPr>
        <w:t>the treatment of early disease.</w:t>
      </w:r>
    </w:p>
    <w:p w14:paraId="75D8358A" w14:textId="4776F2C9" w:rsidR="0052314F" w:rsidRDefault="0052314F" w:rsidP="0052314F">
      <w:pPr>
        <w:pStyle w:val="Bodyofcontents"/>
        <w:rPr>
          <w:szCs w:val="22"/>
          <w:lang w:eastAsia="en-US"/>
        </w:rPr>
      </w:pPr>
      <w:r w:rsidRPr="0052314F">
        <w:rPr>
          <w:szCs w:val="22"/>
          <w:lang w:eastAsia="en-US"/>
        </w:rPr>
        <w:t xml:space="preserve">The safety and efficacy of </w:t>
      </w:r>
      <w:proofErr w:type="spellStart"/>
      <w:r w:rsidR="00417B28">
        <w:rPr>
          <w:szCs w:val="22"/>
          <w:lang w:eastAsia="en-US"/>
        </w:rPr>
        <w:t>trastuzumab</w:t>
      </w:r>
      <w:proofErr w:type="spellEnd"/>
      <w:r w:rsidRPr="0052314F">
        <w:rPr>
          <w:szCs w:val="22"/>
          <w:lang w:eastAsia="en-US"/>
        </w:rPr>
        <w:t xml:space="preserve"> </w:t>
      </w:r>
      <w:proofErr w:type="gramStart"/>
      <w:r w:rsidRPr="0052314F">
        <w:rPr>
          <w:szCs w:val="22"/>
          <w:lang w:eastAsia="en-US"/>
        </w:rPr>
        <w:t>has been studied</w:t>
      </w:r>
      <w:proofErr w:type="gramEnd"/>
      <w:r w:rsidRPr="0052314F">
        <w:rPr>
          <w:szCs w:val="22"/>
          <w:lang w:eastAsia="en-US"/>
        </w:rPr>
        <w:t xml:space="preserve"> in randomized, controlled clinical trials in combination with chemotherapy (Studies H0648g, M77001 and </w:t>
      </w:r>
      <w:proofErr w:type="spellStart"/>
      <w:r w:rsidRPr="0052314F">
        <w:rPr>
          <w:szCs w:val="22"/>
          <w:lang w:eastAsia="en-US"/>
        </w:rPr>
        <w:t>TaNDEM</w:t>
      </w:r>
      <w:proofErr w:type="spellEnd"/>
      <w:r w:rsidRPr="0052314F">
        <w:rPr>
          <w:szCs w:val="22"/>
          <w:lang w:eastAsia="en-US"/>
        </w:rPr>
        <w:t xml:space="preserve">) and in an open-label monotherapy clinical trial (Study H0649g) for the treatment of metastatic breast cancer. All trials studied patients with metastatic breast cancer whose tumours overexpress HER2. Patients were eligible if they had 2+ or 3+ levels of overexpression based on a 0 - 3+ scale by </w:t>
      </w:r>
      <w:proofErr w:type="spellStart"/>
      <w:r w:rsidRPr="0052314F">
        <w:rPr>
          <w:szCs w:val="22"/>
          <w:lang w:eastAsia="en-US"/>
        </w:rPr>
        <w:t>immunohistochemical</w:t>
      </w:r>
      <w:proofErr w:type="spellEnd"/>
      <w:r w:rsidRPr="0052314F">
        <w:rPr>
          <w:szCs w:val="22"/>
          <w:lang w:eastAsia="en-US"/>
        </w:rPr>
        <w:t xml:space="preserve"> (IHC) assessment of tumour tissue or whose tumours have HER2 gene amplification as determined by </w:t>
      </w:r>
      <w:r w:rsidRPr="0052314F">
        <w:rPr>
          <w:szCs w:val="22"/>
          <w:lang w:eastAsia="en-US"/>
        </w:rPr>
        <w:lastRenderedPageBreak/>
        <w:t xml:space="preserve">Fluorescence In Situ Hybridization (FISH) test (see </w:t>
      </w:r>
      <w:r w:rsidRPr="00D511E9">
        <w:rPr>
          <w:szCs w:val="22"/>
          <w:lang w:eastAsia="en-US"/>
        </w:rPr>
        <w:t>DOSAGE AND ADMINISTRATION, Detection of HER2 Overexpression or HER2 Gene Amplification</w:t>
      </w:r>
      <w:r w:rsidRPr="0052314F">
        <w:rPr>
          <w:szCs w:val="22"/>
          <w:lang w:eastAsia="en-US"/>
        </w:rPr>
        <w:t>).</w:t>
      </w:r>
    </w:p>
    <w:p w14:paraId="028AF3E9" w14:textId="7D182110" w:rsidR="006546FA" w:rsidRPr="006546FA" w:rsidRDefault="00417B28" w:rsidP="0055725A">
      <w:pPr>
        <w:pStyle w:val="Subheading2"/>
        <w:spacing w:after="160"/>
        <w:rPr>
          <w:lang w:eastAsia="en-US"/>
        </w:rPr>
      </w:pPr>
      <w:proofErr w:type="spellStart"/>
      <w:r>
        <w:rPr>
          <w:lang w:eastAsia="en-US"/>
        </w:rPr>
        <w:t>Trastuzumab</w:t>
      </w:r>
      <w:proofErr w:type="spellEnd"/>
      <w:r w:rsidR="006546FA" w:rsidRPr="006546FA">
        <w:rPr>
          <w:lang w:eastAsia="en-US"/>
        </w:rPr>
        <w:t xml:space="preserve"> i</w:t>
      </w:r>
      <w:r w:rsidR="002E2862">
        <w:rPr>
          <w:lang w:eastAsia="en-US"/>
        </w:rPr>
        <w:t>n Combination with Chemotherapy</w:t>
      </w:r>
    </w:p>
    <w:p w14:paraId="27BBE007" w14:textId="3BD29808" w:rsidR="006546FA" w:rsidRPr="006546FA" w:rsidRDefault="006546FA" w:rsidP="0055725A">
      <w:pPr>
        <w:pStyle w:val="Bodyofcontents"/>
        <w:spacing w:after="160"/>
        <w:rPr>
          <w:lang w:eastAsia="en-US"/>
        </w:rPr>
      </w:pPr>
      <w:r w:rsidRPr="006546FA">
        <w:rPr>
          <w:lang w:eastAsia="en-US"/>
        </w:rPr>
        <w:t xml:space="preserve">Study H0648g was an open-label, randomized controlled, multinational trial of chemotherapy-alone and in combination with </w:t>
      </w:r>
      <w:proofErr w:type="spellStart"/>
      <w:r w:rsidR="00417B28">
        <w:rPr>
          <w:lang w:eastAsia="en-US"/>
        </w:rPr>
        <w:t>trastuzumab</w:t>
      </w:r>
      <w:proofErr w:type="spellEnd"/>
      <w:r w:rsidRPr="006546FA">
        <w:rPr>
          <w:lang w:eastAsia="en-US"/>
        </w:rPr>
        <w:t xml:space="preserve">. Patients with previously untreated metastatic breast cancer </w:t>
      </w:r>
      <w:proofErr w:type="gramStart"/>
      <w:r w:rsidRPr="006546FA">
        <w:rPr>
          <w:lang w:eastAsia="en-US"/>
        </w:rPr>
        <w:t>were treated</w:t>
      </w:r>
      <w:proofErr w:type="gramEnd"/>
      <w:r w:rsidRPr="006546FA">
        <w:rPr>
          <w:lang w:eastAsia="en-US"/>
        </w:rPr>
        <w:t xml:space="preserve"> with either an </w:t>
      </w:r>
      <w:proofErr w:type="spellStart"/>
      <w:r w:rsidRPr="006546FA">
        <w:rPr>
          <w:lang w:eastAsia="en-US"/>
        </w:rPr>
        <w:t>anthracycline</w:t>
      </w:r>
      <w:proofErr w:type="spellEnd"/>
      <w:r w:rsidRPr="006546FA">
        <w:rPr>
          <w:lang w:eastAsia="en-US"/>
        </w:rPr>
        <w:t xml:space="preserve"> (doxorubicin 60 mg/m</w:t>
      </w:r>
      <w:r w:rsidRPr="00417B28">
        <w:rPr>
          <w:vertAlign w:val="superscript"/>
        </w:rPr>
        <w:t>2</w:t>
      </w:r>
      <w:r w:rsidRPr="00DF210C">
        <w:rPr>
          <w:vertAlign w:val="subscript"/>
        </w:rPr>
        <w:t xml:space="preserve"> </w:t>
      </w:r>
      <w:r w:rsidRPr="006546FA">
        <w:rPr>
          <w:lang w:eastAsia="en-US"/>
        </w:rPr>
        <w:t xml:space="preserve">or </w:t>
      </w:r>
      <w:proofErr w:type="spellStart"/>
      <w:r w:rsidRPr="006546FA">
        <w:rPr>
          <w:lang w:eastAsia="en-US"/>
        </w:rPr>
        <w:t>epirubicin</w:t>
      </w:r>
      <w:proofErr w:type="spellEnd"/>
      <w:r w:rsidRPr="006546FA">
        <w:rPr>
          <w:lang w:eastAsia="en-US"/>
        </w:rPr>
        <w:t xml:space="preserve"> 75 mg/m</w:t>
      </w:r>
      <w:r w:rsidRPr="00417B28">
        <w:rPr>
          <w:vertAlign w:val="superscript"/>
        </w:rPr>
        <w:t>2</w:t>
      </w:r>
      <w:r w:rsidRPr="006546FA">
        <w:rPr>
          <w:lang w:eastAsia="en-US"/>
        </w:rPr>
        <w:t>) plus cyclophosphamide (600 mg/m</w:t>
      </w:r>
      <w:r w:rsidRPr="00417B28">
        <w:rPr>
          <w:vertAlign w:val="superscript"/>
        </w:rPr>
        <w:t>2</w:t>
      </w:r>
      <w:r w:rsidRPr="006546FA">
        <w:rPr>
          <w:lang w:eastAsia="en-US"/>
        </w:rPr>
        <w:t xml:space="preserve">) with or without </w:t>
      </w:r>
      <w:proofErr w:type="spellStart"/>
      <w:r w:rsidR="00417B28">
        <w:rPr>
          <w:lang w:eastAsia="en-US"/>
        </w:rPr>
        <w:t>trastuzumab</w:t>
      </w:r>
      <w:proofErr w:type="spellEnd"/>
      <w:r w:rsidRPr="006546FA">
        <w:rPr>
          <w:lang w:eastAsia="en-US"/>
        </w:rPr>
        <w:t xml:space="preserve"> or paclitaxel (175 mg/m</w:t>
      </w:r>
      <w:r w:rsidRPr="00BD0E3A">
        <w:rPr>
          <w:vertAlign w:val="superscript"/>
        </w:rPr>
        <w:t>2</w:t>
      </w:r>
      <w:r w:rsidRPr="00DF210C">
        <w:rPr>
          <w:vertAlign w:val="subscript"/>
        </w:rPr>
        <w:t xml:space="preserve"> </w:t>
      </w:r>
      <w:r w:rsidRPr="006546FA">
        <w:rPr>
          <w:lang w:eastAsia="en-US"/>
        </w:rPr>
        <w:t xml:space="preserve">infused over 3 hours) with or without </w:t>
      </w:r>
      <w:proofErr w:type="spellStart"/>
      <w:r w:rsidR="00BD0E3A">
        <w:rPr>
          <w:lang w:eastAsia="en-US"/>
        </w:rPr>
        <w:t>trastuzumab</w:t>
      </w:r>
      <w:proofErr w:type="spellEnd"/>
      <w:r w:rsidRPr="006546FA">
        <w:rPr>
          <w:lang w:eastAsia="en-US"/>
        </w:rPr>
        <w:t xml:space="preserve">. Patients on </w:t>
      </w:r>
      <w:proofErr w:type="spellStart"/>
      <w:r w:rsidR="00BD0E3A">
        <w:rPr>
          <w:lang w:eastAsia="en-US"/>
        </w:rPr>
        <w:t>trastuzumab</w:t>
      </w:r>
      <w:proofErr w:type="spellEnd"/>
      <w:r w:rsidRPr="006546FA">
        <w:rPr>
          <w:lang w:eastAsia="en-US"/>
        </w:rPr>
        <w:t xml:space="preserve"> treatment received 4 mg/kg intravenous loading dose on Day 0, followed by weekly infusions of 2 mg/kg from Day 7, which they could continue to receive until evidence of disease progression. Patients who had previously received </w:t>
      </w:r>
      <w:proofErr w:type="spellStart"/>
      <w:r w:rsidRPr="006546FA">
        <w:rPr>
          <w:lang w:eastAsia="en-US"/>
        </w:rPr>
        <w:t>anthracycline</w:t>
      </w:r>
      <w:proofErr w:type="spellEnd"/>
      <w:r w:rsidRPr="006546FA">
        <w:rPr>
          <w:lang w:eastAsia="en-US"/>
        </w:rPr>
        <w:t xml:space="preserve"> based adjuvant therapy </w:t>
      </w:r>
      <w:proofErr w:type="gramStart"/>
      <w:r w:rsidRPr="006546FA">
        <w:rPr>
          <w:lang w:eastAsia="en-US"/>
        </w:rPr>
        <w:t>were treated</w:t>
      </w:r>
      <w:proofErr w:type="gramEnd"/>
      <w:r w:rsidRPr="006546FA">
        <w:rPr>
          <w:lang w:eastAsia="en-US"/>
        </w:rPr>
        <w:t xml:space="preserve"> with paclitaxel whereas those who were </w:t>
      </w:r>
      <w:proofErr w:type="spellStart"/>
      <w:r w:rsidRPr="006546FA">
        <w:rPr>
          <w:lang w:eastAsia="en-US"/>
        </w:rPr>
        <w:t>anthracycline</w:t>
      </w:r>
      <w:proofErr w:type="spellEnd"/>
      <w:r w:rsidRPr="006546FA">
        <w:rPr>
          <w:lang w:eastAsia="en-US"/>
        </w:rPr>
        <w:t xml:space="preserve"> naïve were treated with an </w:t>
      </w:r>
      <w:proofErr w:type="spellStart"/>
      <w:r w:rsidRPr="006546FA">
        <w:rPr>
          <w:lang w:eastAsia="en-US"/>
        </w:rPr>
        <w:t>an</w:t>
      </w:r>
      <w:r w:rsidR="002E2862">
        <w:rPr>
          <w:lang w:eastAsia="en-US"/>
        </w:rPr>
        <w:t>thracycline</w:t>
      </w:r>
      <w:proofErr w:type="spellEnd"/>
      <w:r w:rsidR="002E2862">
        <w:rPr>
          <w:lang w:eastAsia="en-US"/>
        </w:rPr>
        <w:t xml:space="preserve"> + cyclophosphamide.</w:t>
      </w:r>
    </w:p>
    <w:p w14:paraId="6D8E30BA" w14:textId="000DCFAB" w:rsidR="006546FA" w:rsidRPr="006546FA" w:rsidRDefault="006546FA" w:rsidP="0055725A">
      <w:pPr>
        <w:pStyle w:val="Bodyofcontents"/>
        <w:spacing w:after="160"/>
        <w:rPr>
          <w:lang w:eastAsia="en-US"/>
        </w:rPr>
      </w:pPr>
      <w:r w:rsidRPr="006546FA">
        <w:rPr>
          <w:lang w:eastAsia="en-US"/>
        </w:rPr>
        <w:t xml:space="preserve">The prospectively defined, primary intent-to-treat analysis indicated that the combination of </w:t>
      </w:r>
      <w:proofErr w:type="spellStart"/>
      <w:r w:rsidR="00BD0E3A">
        <w:rPr>
          <w:lang w:eastAsia="en-US"/>
        </w:rPr>
        <w:t>trastuzumab</w:t>
      </w:r>
      <w:proofErr w:type="spellEnd"/>
      <w:r w:rsidRPr="006546FA">
        <w:rPr>
          <w:lang w:eastAsia="en-US"/>
        </w:rPr>
        <w:t xml:space="preserve"> and chemotherapy significantly prolonged time to disease progression (progression-free survival) compared with chemotherapy-alone as first-line treatment of women with metastatic breast cancer who had tumours that overexpressed HER2. The addition of </w:t>
      </w:r>
      <w:proofErr w:type="spellStart"/>
      <w:r w:rsidR="00BD0E3A">
        <w:rPr>
          <w:lang w:eastAsia="en-US"/>
        </w:rPr>
        <w:t>trastuzumab</w:t>
      </w:r>
      <w:proofErr w:type="spellEnd"/>
      <w:r w:rsidRPr="006546FA">
        <w:rPr>
          <w:lang w:eastAsia="en-US"/>
        </w:rPr>
        <w:t xml:space="preserve"> to chemotherapy extended the median time to disease progression by 2.8 months representing a 61% increase (</w:t>
      </w:r>
      <w:r w:rsidRPr="00BD0E3A">
        <w:rPr>
          <w:i/>
          <w:lang w:eastAsia="en-US"/>
        </w:rPr>
        <w:t>p</w:t>
      </w:r>
      <w:r w:rsidR="002E2862">
        <w:rPr>
          <w:lang w:eastAsia="en-US"/>
        </w:rPr>
        <w:t>=0.0001).</w:t>
      </w:r>
    </w:p>
    <w:p w14:paraId="02F04BA8" w14:textId="7DE9183A" w:rsidR="006546FA" w:rsidRPr="006546FA" w:rsidRDefault="006546FA" w:rsidP="0055725A">
      <w:pPr>
        <w:pStyle w:val="Bodyofcontents"/>
        <w:spacing w:after="160"/>
        <w:rPr>
          <w:lang w:eastAsia="en-US"/>
        </w:rPr>
      </w:pPr>
      <w:r w:rsidRPr="006546FA">
        <w:rPr>
          <w:lang w:eastAsia="en-US"/>
        </w:rPr>
        <w:t xml:space="preserve">Both </w:t>
      </w:r>
      <w:proofErr w:type="spellStart"/>
      <w:r w:rsidRPr="006546FA">
        <w:rPr>
          <w:lang w:eastAsia="en-US"/>
        </w:rPr>
        <w:t>anthracycline</w:t>
      </w:r>
      <w:proofErr w:type="spellEnd"/>
      <w:r w:rsidRPr="006546FA">
        <w:rPr>
          <w:lang w:eastAsia="en-US"/>
        </w:rPr>
        <w:t xml:space="preserve">-treated and paclitaxel-treated patients benefited from </w:t>
      </w:r>
      <w:proofErr w:type="spellStart"/>
      <w:r w:rsidR="00BD0E3A">
        <w:rPr>
          <w:lang w:eastAsia="en-US"/>
        </w:rPr>
        <w:t>trastuzumab</w:t>
      </w:r>
      <w:proofErr w:type="spellEnd"/>
      <w:r w:rsidRPr="006546FA">
        <w:rPr>
          <w:lang w:eastAsia="en-US"/>
        </w:rPr>
        <w:t xml:space="preserve"> treatment, although the effect appeared to be greater in the paclitaxel stratum. The efficacy of </w:t>
      </w:r>
      <w:proofErr w:type="spellStart"/>
      <w:r w:rsidR="00BD0E3A">
        <w:rPr>
          <w:lang w:eastAsia="en-US"/>
        </w:rPr>
        <w:t>trastuzumab</w:t>
      </w:r>
      <w:proofErr w:type="spellEnd"/>
      <w:r w:rsidRPr="006546FA">
        <w:rPr>
          <w:lang w:eastAsia="en-US"/>
        </w:rPr>
        <w:t xml:space="preserve"> treatment </w:t>
      </w:r>
      <w:proofErr w:type="gramStart"/>
      <w:r w:rsidRPr="006546FA">
        <w:rPr>
          <w:lang w:eastAsia="en-US"/>
        </w:rPr>
        <w:t>was further supported</w:t>
      </w:r>
      <w:proofErr w:type="gramEnd"/>
      <w:r w:rsidRPr="006546FA">
        <w:rPr>
          <w:lang w:eastAsia="en-US"/>
        </w:rPr>
        <w:t xml:space="preserve"> by the secondary endpoints of response rate, duration of response and one-year survival (see Table </w:t>
      </w:r>
      <w:r w:rsidRPr="002936B8">
        <w:t xml:space="preserve">10 </w:t>
      </w:r>
      <w:r w:rsidR="002E2862">
        <w:rPr>
          <w:lang w:eastAsia="en-US"/>
        </w:rPr>
        <w:t>below).</w:t>
      </w:r>
    </w:p>
    <w:p w14:paraId="579317B7" w14:textId="0E482911" w:rsidR="00BD0E3A" w:rsidRPr="006546FA" w:rsidRDefault="006546FA" w:rsidP="006546FA">
      <w:pPr>
        <w:pStyle w:val="Bodyofcontents"/>
      </w:pPr>
      <w:r w:rsidRPr="006546FA">
        <w:t xml:space="preserve">One-year survival rates (the prospectively defined survival endpoint) were significantly better for the </w:t>
      </w:r>
      <w:proofErr w:type="spellStart"/>
      <w:r w:rsidR="00BD0E3A">
        <w:t>trastuzumab</w:t>
      </w:r>
      <w:proofErr w:type="spellEnd"/>
      <w:r w:rsidRPr="006546FA">
        <w:t xml:space="preserve"> + chemotherapy versus chemotherapy-alone (79% vs. 68%; p=0.008). With a median follow-up of approximately two years, overall survival is improved for patients initially treated with </w:t>
      </w:r>
      <w:proofErr w:type="spellStart"/>
      <w:r w:rsidR="00BD0E3A">
        <w:t>trastuzumab</w:t>
      </w:r>
      <w:proofErr w:type="spellEnd"/>
      <w:r w:rsidRPr="006546FA">
        <w:t xml:space="preserve"> + chemotherapy compared with those receiving</w:t>
      </w:r>
      <w:r>
        <w:t xml:space="preserve"> </w:t>
      </w:r>
      <w:r w:rsidRPr="006546FA">
        <w:t xml:space="preserve">chemotherapy-alone (25.4 vs. 20.3 months; </w:t>
      </w:r>
      <w:r w:rsidRPr="00BD0E3A">
        <w:rPr>
          <w:i/>
        </w:rPr>
        <w:t>p</w:t>
      </w:r>
      <w:r w:rsidRPr="006546FA">
        <w:t xml:space="preserve">=0.025) with a relative risk of death of 0.769 (95% CI 0.607 - 0.973; </w:t>
      </w:r>
      <w:r w:rsidRPr="00BD0E3A">
        <w:rPr>
          <w:i/>
        </w:rPr>
        <w:t>p</w:t>
      </w:r>
      <w:r w:rsidR="002E2862">
        <w:t>=0.028).</w:t>
      </w:r>
    </w:p>
    <w:p w14:paraId="41019D5A" w14:textId="77777777" w:rsidR="0052314F" w:rsidRDefault="006546FA" w:rsidP="000E60EC">
      <w:pPr>
        <w:pStyle w:val="TableTitle"/>
        <w:spacing w:after="120"/>
        <w:rPr>
          <w:lang w:eastAsia="en-US"/>
        </w:rPr>
      </w:pPr>
      <w:r w:rsidRPr="006546FA">
        <w:rPr>
          <w:lang w:eastAsia="en-US"/>
        </w:rPr>
        <w:t>Figure</w:t>
      </w:r>
      <w:r w:rsidR="00573CBC">
        <w:rPr>
          <w:lang w:eastAsia="en-US"/>
        </w:rPr>
        <w:t xml:space="preserve"> </w:t>
      </w:r>
      <w:proofErr w:type="gramStart"/>
      <w:r w:rsidRPr="006546FA">
        <w:rPr>
          <w:lang w:eastAsia="en-US"/>
        </w:rPr>
        <w:t>1</w:t>
      </w:r>
      <w:proofErr w:type="gramEnd"/>
      <w:r w:rsidRPr="006546FA">
        <w:rPr>
          <w:lang w:eastAsia="en-US"/>
        </w:rPr>
        <w:t xml:space="preserve"> Survival</w:t>
      </w:r>
      <w:r w:rsidR="00BD0E3A">
        <w:rPr>
          <w:lang w:eastAsia="en-US"/>
        </w:rPr>
        <w:t xml:space="preserve"> </w:t>
      </w:r>
      <w:r w:rsidRPr="006546FA">
        <w:rPr>
          <w:lang w:eastAsia="en-US"/>
        </w:rPr>
        <w:t xml:space="preserve">Time: </w:t>
      </w:r>
      <w:proofErr w:type="spellStart"/>
      <w:r w:rsidRPr="006546FA">
        <w:rPr>
          <w:lang w:eastAsia="en-US"/>
        </w:rPr>
        <w:t>Anthracycline</w:t>
      </w:r>
      <w:proofErr w:type="spellEnd"/>
      <w:r w:rsidRPr="006546FA">
        <w:rPr>
          <w:lang w:eastAsia="en-US"/>
        </w:rPr>
        <w:t xml:space="preserve"> ± HERCEPTIN (Study H0648g)</w:t>
      </w:r>
    </w:p>
    <w:p w14:paraId="39424C59" w14:textId="14623B46" w:rsidR="006546FA" w:rsidRPr="002936B8" w:rsidRDefault="00BA1C64" w:rsidP="002936B8">
      <w:pPr>
        <w:pStyle w:val="TableHeading"/>
      </w:pPr>
      <w:r>
        <w:rPr>
          <w:noProof/>
          <w:lang w:val="en-AU" w:eastAsia="en-AU"/>
        </w:rPr>
        <w:drawing>
          <wp:inline distT="0" distB="0" distL="0" distR="0" wp14:anchorId="27A96300" wp14:editId="4A546D10">
            <wp:extent cx="5313872" cy="3059006"/>
            <wp:effectExtent l="0" t="0" r="127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5824" cy="3094669"/>
                    </a:xfrm>
                    <a:prstGeom prst="rect">
                      <a:avLst/>
                    </a:prstGeom>
                  </pic:spPr>
                </pic:pic>
              </a:graphicData>
            </a:graphic>
          </wp:inline>
        </w:drawing>
      </w:r>
    </w:p>
    <w:p w14:paraId="3F77D3F7" w14:textId="77777777" w:rsidR="006546FA" w:rsidRPr="002936B8" w:rsidRDefault="006546FA" w:rsidP="002936B8">
      <w:pPr>
        <w:pStyle w:val="TableHeading"/>
      </w:pPr>
    </w:p>
    <w:p w14:paraId="1A0F5C0D" w14:textId="77777777" w:rsidR="006546FA" w:rsidRDefault="006546FA" w:rsidP="0055725A">
      <w:pPr>
        <w:pStyle w:val="TableTitle"/>
        <w:spacing w:before="120" w:after="120"/>
      </w:pPr>
      <w:r>
        <w:lastRenderedPageBreak/>
        <w:t>Figure 2 Survival Time: Paclitaxel ± HERCEPTIN (Study H0648g)</w:t>
      </w:r>
    </w:p>
    <w:p w14:paraId="112210DE" w14:textId="1FAD3204" w:rsidR="00573CBC" w:rsidRDefault="00BA1C64" w:rsidP="006546FA">
      <w:pPr>
        <w:pStyle w:val="TableTitle"/>
      </w:pPr>
      <w:r>
        <w:rPr>
          <w:noProof/>
          <w:lang w:eastAsia="en-AU"/>
        </w:rPr>
        <w:drawing>
          <wp:inline distT="0" distB="0" distL="0" distR="0" wp14:anchorId="229F5052" wp14:editId="75FE4F30">
            <wp:extent cx="5287992" cy="2832543"/>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2474" cy="2845657"/>
                    </a:xfrm>
                    <a:prstGeom prst="rect">
                      <a:avLst/>
                    </a:prstGeom>
                  </pic:spPr>
                </pic:pic>
              </a:graphicData>
            </a:graphic>
          </wp:inline>
        </w:drawing>
      </w:r>
    </w:p>
    <w:p w14:paraId="62EDE1E6" w14:textId="77777777" w:rsidR="00573CBC" w:rsidRDefault="00573CBC" w:rsidP="006546FA">
      <w:pPr>
        <w:pStyle w:val="TableTitle"/>
      </w:pPr>
    </w:p>
    <w:p w14:paraId="2DC49863" w14:textId="617966D2" w:rsidR="006546FA" w:rsidRDefault="006546FA" w:rsidP="006546FA">
      <w:pPr>
        <w:pStyle w:val="Bodyofcontents"/>
        <w:rPr>
          <w:szCs w:val="22"/>
        </w:rPr>
      </w:pPr>
      <w:r>
        <w:t xml:space="preserve">The relative overall survival advantage with the addition of </w:t>
      </w:r>
      <w:proofErr w:type="spellStart"/>
      <w:r w:rsidR="00276D38">
        <w:t>trastuzumab</w:t>
      </w:r>
      <w:proofErr w:type="spellEnd"/>
      <w:r>
        <w:t xml:space="preserve"> </w:t>
      </w:r>
      <w:proofErr w:type="gramStart"/>
      <w:r>
        <w:t>was observed</w:t>
      </w:r>
      <w:proofErr w:type="gramEnd"/>
      <w:r>
        <w:t xml:space="preserve"> in both subgroups: AC [26.8 months (H + AC) vs. 22.8 months (AC-alone); p=0.052] and paclitaxel [22.1 months (H + P) vs. 18.4 months (P-alone); p=0.273] (see also Figures 1 and 2). The analysis of overall survival </w:t>
      </w:r>
      <w:proofErr w:type="gramStart"/>
      <w:r>
        <w:t>was, however, greatly confounded</w:t>
      </w:r>
      <w:proofErr w:type="gramEnd"/>
      <w:r>
        <w:t xml:space="preserve"> by subsequent </w:t>
      </w:r>
      <w:proofErr w:type="spellStart"/>
      <w:r w:rsidR="00276D38">
        <w:t>trastuzumab</w:t>
      </w:r>
      <w:proofErr w:type="spellEnd"/>
      <w:r>
        <w:t xml:space="preserve"> treatment of each of control arms’ patients, following disease progression, in the open-label extension study, H0659g (59% of patients in the AC-alone group, and 75% of patients in the paclitaxel-alone </w:t>
      </w:r>
      <w:r>
        <w:rPr>
          <w:szCs w:val="22"/>
        </w:rPr>
        <w:t xml:space="preserve">group subsequently received </w:t>
      </w:r>
      <w:proofErr w:type="spellStart"/>
      <w:r w:rsidR="00276D38">
        <w:rPr>
          <w:szCs w:val="22"/>
        </w:rPr>
        <w:t>trastuzumab</w:t>
      </w:r>
      <w:proofErr w:type="spellEnd"/>
      <w:r>
        <w:rPr>
          <w:szCs w:val="22"/>
        </w:rPr>
        <w:t xml:space="preserve">). Hence, the survival advantage seen above, for </w:t>
      </w:r>
      <w:proofErr w:type="spellStart"/>
      <w:r w:rsidR="00276D38">
        <w:rPr>
          <w:szCs w:val="22"/>
        </w:rPr>
        <w:t>trastuzuman</w:t>
      </w:r>
      <w:proofErr w:type="spellEnd"/>
      <w:r>
        <w:rPr>
          <w:szCs w:val="22"/>
        </w:rPr>
        <w:t xml:space="preserve"> + chemotherapy treatment versus chemotherapy-alone (which includes patients who subsequently received </w:t>
      </w:r>
      <w:proofErr w:type="spellStart"/>
      <w:r w:rsidR="00276D38">
        <w:rPr>
          <w:szCs w:val="22"/>
        </w:rPr>
        <w:t>trastuzumab</w:t>
      </w:r>
      <w:proofErr w:type="spellEnd"/>
      <w:r>
        <w:rPr>
          <w:szCs w:val="22"/>
        </w:rPr>
        <w:t>) may underes</w:t>
      </w:r>
      <w:r w:rsidR="00916FCA">
        <w:rPr>
          <w:szCs w:val="22"/>
        </w:rPr>
        <w:t>timate the benefit to patients.</w:t>
      </w:r>
    </w:p>
    <w:p w14:paraId="6A16E9F9" w14:textId="02442545" w:rsidR="006546FA" w:rsidRDefault="006546FA" w:rsidP="006546FA">
      <w:pPr>
        <w:pStyle w:val="Bodyofcontents"/>
        <w:rPr>
          <w:szCs w:val="22"/>
        </w:rPr>
      </w:pPr>
      <w:r>
        <w:rPr>
          <w:szCs w:val="22"/>
        </w:rPr>
        <w:t xml:space="preserve">Importantly, the efficacy described above </w:t>
      </w:r>
      <w:proofErr w:type="gramStart"/>
      <w:r>
        <w:rPr>
          <w:szCs w:val="22"/>
        </w:rPr>
        <w:t>was obtained</w:t>
      </w:r>
      <w:proofErr w:type="gramEnd"/>
      <w:r>
        <w:rPr>
          <w:szCs w:val="22"/>
        </w:rPr>
        <w:t xml:space="preserve"> without a significant negative impact on the quality of life. Global quality of life decreased equally in both the chemotherapy-alone group and the </w:t>
      </w:r>
      <w:proofErr w:type="spellStart"/>
      <w:r w:rsidR="00276D38">
        <w:rPr>
          <w:szCs w:val="22"/>
        </w:rPr>
        <w:t>trastuzumab</w:t>
      </w:r>
      <w:proofErr w:type="spellEnd"/>
      <w:r>
        <w:rPr>
          <w:szCs w:val="22"/>
        </w:rPr>
        <w:t xml:space="preserve"> + chemotherapy group and </w:t>
      </w:r>
      <w:proofErr w:type="gramStart"/>
      <w:r>
        <w:rPr>
          <w:szCs w:val="22"/>
        </w:rPr>
        <w:t>was most likely related</w:t>
      </w:r>
      <w:proofErr w:type="gramEnd"/>
      <w:r>
        <w:rPr>
          <w:szCs w:val="22"/>
        </w:rPr>
        <w:t xml:space="preserve"> to the effects of cytotoxic chemotherapy. However, at weeks 20 and 32, the global quality of life score had returned to baseline or better than baseline in the group receiving </w:t>
      </w:r>
      <w:proofErr w:type="spellStart"/>
      <w:r w:rsidR="00276D38">
        <w:rPr>
          <w:szCs w:val="22"/>
        </w:rPr>
        <w:t>trastuzumab</w:t>
      </w:r>
      <w:proofErr w:type="spellEnd"/>
      <w:r>
        <w:rPr>
          <w:szCs w:val="22"/>
        </w:rPr>
        <w:t xml:space="preserve"> + chemotherapy, while it remained low in the chemotherapy-alone arm (see Figure 3 below).</w:t>
      </w:r>
    </w:p>
    <w:p w14:paraId="0C1AF7C3" w14:textId="77777777" w:rsidR="006546FA" w:rsidRDefault="006546FA" w:rsidP="008B1110">
      <w:pPr>
        <w:pStyle w:val="TableTitle"/>
        <w:pageBreakBefore/>
      </w:pPr>
      <w:r>
        <w:lastRenderedPageBreak/>
        <w:t xml:space="preserve">Figure </w:t>
      </w:r>
      <w:proofErr w:type="gramStart"/>
      <w:r>
        <w:t>3</w:t>
      </w:r>
      <w:proofErr w:type="gramEnd"/>
      <w:r>
        <w:t xml:space="preserve"> Changes from Baseline in Health-Related Quality-of-Life Scores in Study H0648g</w:t>
      </w:r>
    </w:p>
    <w:p w14:paraId="6427C880" w14:textId="77777777" w:rsidR="00573CBC" w:rsidRDefault="00224482" w:rsidP="00224482">
      <w:pPr>
        <w:pStyle w:val="TableTitle"/>
        <w:jc w:val="center"/>
      </w:pPr>
      <w:r w:rsidRPr="00224482">
        <w:rPr>
          <w:noProof/>
          <w:lang w:eastAsia="en-AU"/>
        </w:rPr>
        <w:drawing>
          <wp:inline distT="0" distB="0" distL="0" distR="0" wp14:anchorId="189C3880" wp14:editId="2BA6B18A">
            <wp:extent cx="3481388" cy="24955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7446" cy="2507061"/>
                    </a:xfrm>
                    <a:prstGeom prst="rect">
                      <a:avLst/>
                    </a:prstGeom>
                    <a:noFill/>
                    <a:ln>
                      <a:noFill/>
                    </a:ln>
                  </pic:spPr>
                </pic:pic>
              </a:graphicData>
            </a:graphic>
          </wp:inline>
        </w:drawing>
      </w:r>
    </w:p>
    <w:p w14:paraId="1DC9279D" w14:textId="77777777" w:rsidR="001E4EB4" w:rsidRDefault="001E4EB4" w:rsidP="006546FA">
      <w:pPr>
        <w:pStyle w:val="TableTitle"/>
      </w:pPr>
    </w:p>
    <w:p w14:paraId="2D7E9C0E" w14:textId="4CC9BFF7" w:rsidR="006546FA" w:rsidRDefault="006546FA" w:rsidP="006546FA">
      <w:pPr>
        <w:pStyle w:val="Bodyofcontents"/>
      </w:pPr>
      <w:r>
        <w:t xml:space="preserve">Study M77001 was a multinational, multi-centre, randomized, controlled trial investigating the safety and efficacy of </w:t>
      </w:r>
      <w:proofErr w:type="spellStart"/>
      <w:r w:rsidR="00276D38">
        <w:t>trast</w:t>
      </w:r>
      <w:r w:rsidR="006C3259">
        <w:t>uzumab</w:t>
      </w:r>
      <w:proofErr w:type="spellEnd"/>
      <w:r>
        <w:t xml:space="preserve"> in combination with docetaxel, as first-line treatment in HER2 positive metastatic breast cancer patients. One hundred and eighty six patients received docetaxel (100 mg/m</w:t>
      </w:r>
      <w:r w:rsidRPr="00DF210C">
        <w:rPr>
          <w:vertAlign w:val="subscript"/>
        </w:rPr>
        <w:t xml:space="preserve">2 </w:t>
      </w:r>
      <w:r>
        <w:t xml:space="preserve">infused over 1 hour on Day 2) with or without </w:t>
      </w:r>
      <w:proofErr w:type="spellStart"/>
      <w:r w:rsidR="006C3259">
        <w:t>trastuzumab</w:t>
      </w:r>
      <w:proofErr w:type="spellEnd"/>
      <w:r>
        <w:t xml:space="preserve"> (4 mg/kg loading dose, followed by 2 mg/kg weekly). Sixty percent of patients had received prior </w:t>
      </w:r>
      <w:proofErr w:type="spellStart"/>
      <w:r>
        <w:t>anthracycline</w:t>
      </w:r>
      <w:proofErr w:type="spellEnd"/>
      <w:r>
        <w:t xml:space="preserve"> based adjuvant chemotherapy. </w:t>
      </w:r>
      <w:proofErr w:type="spellStart"/>
      <w:proofErr w:type="gramStart"/>
      <w:r w:rsidR="006C3259">
        <w:t>trastuzumab</w:t>
      </w:r>
      <w:proofErr w:type="spellEnd"/>
      <w:proofErr w:type="gramEnd"/>
      <w:r>
        <w:t xml:space="preserve"> with docetaxel was shown to be efficacious in patients whether or not they had received prior adjuvant </w:t>
      </w:r>
      <w:proofErr w:type="spellStart"/>
      <w:r>
        <w:t>anthracyclines</w:t>
      </w:r>
      <w:proofErr w:type="spellEnd"/>
      <w:r>
        <w:t xml:space="preserve"> and regardless of their oestrogen and/o</w:t>
      </w:r>
      <w:r w:rsidR="00916FCA">
        <w:t>r progesterone receptor status.</w:t>
      </w:r>
    </w:p>
    <w:p w14:paraId="6D35A36B" w14:textId="113D56D4" w:rsidR="006546FA" w:rsidRDefault="006546FA" w:rsidP="006546FA">
      <w:pPr>
        <w:pStyle w:val="Bodyofcontents"/>
      </w:pPr>
      <w:r>
        <w:t xml:space="preserve">The combination of </w:t>
      </w:r>
      <w:proofErr w:type="spellStart"/>
      <w:r w:rsidR="006C3259">
        <w:t>trastuzumab</w:t>
      </w:r>
      <w:proofErr w:type="spellEnd"/>
      <w:r>
        <w:t xml:space="preserve"> + docetaxel significantly increased response rate (61% vs. 34%) and prolonged the median time to disease progression by 4.9 months compared with patients treated with docetaxel-alone (see Table</w:t>
      </w:r>
      <w:r w:rsidRPr="002936B8">
        <w:t>10</w:t>
      </w:r>
      <w:r>
        <w:t xml:space="preserve">). Median survival </w:t>
      </w:r>
      <w:proofErr w:type="gramStart"/>
      <w:r>
        <w:t>was also significantly increased</w:t>
      </w:r>
      <w:proofErr w:type="gramEnd"/>
      <w:r>
        <w:t xml:space="preserve"> in patients receiving the combination therapy compared with those receiving docetaxel-alone (30.5 months vs. 22.1 months) (see Figure 4).</w:t>
      </w:r>
    </w:p>
    <w:p w14:paraId="3DCB3403" w14:textId="7938CE0E" w:rsidR="006546FA" w:rsidRDefault="006546FA" w:rsidP="008B1110">
      <w:pPr>
        <w:pStyle w:val="TableTitle"/>
      </w:pPr>
      <w:r>
        <w:t xml:space="preserve">Figure 4 Survival Time: Docetaxel ± </w:t>
      </w:r>
      <w:proofErr w:type="spellStart"/>
      <w:r w:rsidR="006C3259">
        <w:t>trastuzumab</w:t>
      </w:r>
      <w:proofErr w:type="spellEnd"/>
      <w:r>
        <w:t xml:space="preserve"> (Study M77001)</w:t>
      </w:r>
    </w:p>
    <w:p w14:paraId="3BA20A23" w14:textId="729B681D" w:rsidR="00573CBC" w:rsidRDefault="001E4EB4" w:rsidP="001E4EB4">
      <w:pPr>
        <w:pStyle w:val="TableTitle"/>
        <w:jc w:val="center"/>
      </w:pPr>
      <w:r>
        <w:rPr>
          <w:noProof/>
          <w:lang w:eastAsia="en-AU"/>
        </w:rPr>
        <w:drawing>
          <wp:inline distT="0" distB="0" distL="0" distR="0" wp14:anchorId="4EF61C77" wp14:editId="4593E8B1">
            <wp:extent cx="4917057" cy="3124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7013" cy="3130526"/>
                    </a:xfrm>
                    <a:prstGeom prst="rect">
                      <a:avLst/>
                    </a:prstGeom>
                  </pic:spPr>
                </pic:pic>
              </a:graphicData>
            </a:graphic>
          </wp:inline>
        </w:drawing>
      </w:r>
    </w:p>
    <w:p w14:paraId="526BB71B" w14:textId="77777777" w:rsidR="00573CBC" w:rsidRDefault="00573CBC" w:rsidP="006546FA">
      <w:pPr>
        <w:pStyle w:val="TableTitle"/>
      </w:pPr>
    </w:p>
    <w:p w14:paraId="095C7136" w14:textId="77777777" w:rsidR="006546FA" w:rsidRDefault="006546FA" w:rsidP="000E60EC">
      <w:pPr>
        <w:pStyle w:val="TableTitle"/>
        <w:spacing w:after="60"/>
        <w:rPr>
          <w:szCs w:val="22"/>
        </w:rPr>
      </w:pPr>
      <w:r>
        <w:rPr>
          <w:szCs w:val="22"/>
        </w:rPr>
        <w:t>Table 10: Efficacy Outcomes with Combination Therapy for Metastatic Breast Cancer</w:t>
      </w:r>
    </w:p>
    <w:p w14:paraId="3A6FD565" w14:textId="2018D2AE" w:rsidR="00573CBC" w:rsidRDefault="0033416F" w:rsidP="006546FA">
      <w:pPr>
        <w:pStyle w:val="TableTitle"/>
        <w:rPr>
          <w:szCs w:val="22"/>
        </w:rPr>
      </w:pPr>
      <w:r>
        <w:rPr>
          <w:noProof/>
          <w:lang w:eastAsia="en-AU"/>
        </w:rPr>
        <w:drawing>
          <wp:inline distT="0" distB="0" distL="0" distR="0" wp14:anchorId="73571135" wp14:editId="3D2E09A1">
            <wp:extent cx="5439175" cy="4994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46916" cy="5001804"/>
                    </a:xfrm>
                    <a:prstGeom prst="rect">
                      <a:avLst/>
                    </a:prstGeom>
                  </pic:spPr>
                </pic:pic>
              </a:graphicData>
            </a:graphic>
          </wp:inline>
        </w:drawing>
      </w:r>
    </w:p>
    <w:p w14:paraId="7A300BA7" w14:textId="11D031F4" w:rsidR="006C3259" w:rsidRPr="00792F5B" w:rsidRDefault="00224482" w:rsidP="0055725A">
      <w:pPr>
        <w:pStyle w:val="TableTitle"/>
        <w:spacing w:before="40"/>
        <w:rPr>
          <w:sz w:val="18"/>
          <w:szCs w:val="18"/>
        </w:rPr>
      </w:pPr>
      <w:r w:rsidRPr="00970066">
        <w:rPr>
          <w:b w:val="0"/>
        </w:rPr>
        <w:t xml:space="preserve"> </w:t>
      </w:r>
      <w:r w:rsidR="00B95C01" w:rsidRPr="00792F5B">
        <w:rPr>
          <w:b w:val="0"/>
          <w:sz w:val="18"/>
          <w:szCs w:val="18"/>
        </w:rPr>
        <w:t xml:space="preserve">H = </w:t>
      </w:r>
      <w:proofErr w:type="spellStart"/>
      <w:r w:rsidR="006C3259" w:rsidRPr="00792F5B">
        <w:rPr>
          <w:b w:val="0"/>
          <w:sz w:val="18"/>
          <w:szCs w:val="18"/>
        </w:rPr>
        <w:t>trastuzumab</w:t>
      </w:r>
      <w:proofErr w:type="spellEnd"/>
      <w:r w:rsidR="00B95C01" w:rsidRPr="00792F5B">
        <w:rPr>
          <w:b w:val="0"/>
          <w:sz w:val="18"/>
          <w:szCs w:val="18"/>
        </w:rPr>
        <w:t xml:space="preserve">; Chemo = chemotherapy; AC = </w:t>
      </w:r>
      <w:proofErr w:type="spellStart"/>
      <w:r w:rsidR="00B95C01" w:rsidRPr="00792F5B">
        <w:rPr>
          <w:b w:val="0"/>
          <w:sz w:val="18"/>
          <w:szCs w:val="18"/>
        </w:rPr>
        <w:t>anthracycline</w:t>
      </w:r>
      <w:proofErr w:type="spellEnd"/>
      <w:r w:rsidR="00B95C01" w:rsidRPr="00792F5B">
        <w:rPr>
          <w:b w:val="0"/>
          <w:sz w:val="18"/>
          <w:szCs w:val="18"/>
        </w:rPr>
        <w:t xml:space="preserve"> + cyclophosphamide; P = paclitaxel; D = docetaxel </w:t>
      </w:r>
    </w:p>
    <w:p w14:paraId="203BECD9" w14:textId="77777777" w:rsidR="006546FA" w:rsidRPr="006C3259" w:rsidRDefault="00B95C01" w:rsidP="00792F5B">
      <w:pPr>
        <w:pStyle w:val="Bodyofcontents"/>
        <w:rPr>
          <w:sz w:val="18"/>
          <w:szCs w:val="18"/>
        </w:rPr>
      </w:pPr>
      <w:proofErr w:type="gramStart"/>
      <w:r w:rsidRPr="006C3259">
        <w:rPr>
          <w:sz w:val="18"/>
          <w:szCs w:val="18"/>
          <w:vertAlign w:val="superscript"/>
        </w:rPr>
        <w:t>a</w:t>
      </w:r>
      <w:proofErr w:type="gramEnd"/>
      <w:r w:rsidRPr="006C3259">
        <w:rPr>
          <w:sz w:val="18"/>
          <w:szCs w:val="18"/>
        </w:rPr>
        <w:t xml:space="preserve"> p = log-rank test; </w:t>
      </w:r>
      <w:r w:rsidRPr="006C3259">
        <w:rPr>
          <w:sz w:val="18"/>
          <w:szCs w:val="18"/>
          <w:vertAlign w:val="superscript"/>
        </w:rPr>
        <w:t>b</w:t>
      </w:r>
      <w:r w:rsidRPr="006C3259">
        <w:rPr>
          <w:sz w:val="18"/>
          <w:szCs w:val="18"/>
        </w:rPr>
        <w:t xml:space="preserve"> p = Chi-square test, ne = could not be estimated or not yet reached.</w:t>
      </w:r>
    </w:p>
    <w:p w14:paraId="35F9F8F4" w14:textId="45669B62" w:rsidR="006546FA" w:rsidRPr="00AF2C8E" w:rsidRDefault="006C3259" w:rsidP="000E60EC">
      <w:pPr>
        <w:pStyle w:val="Subheading2"/>
        <w:spacing w:after="160"/>
      </w:pPr>
      <w:proofErr w:type="spellStart"/>
      <w:r>
        <w:t>Trastuzumab</w:t>
      </w:r>
      <w:proofErr w:type="spellEnd"/>
      <w:r w:rsidR="006546FA" w:rsidRPr="00AF2C8E">
        <w:t xml:space="preserve"> in Combination with </w:t>
      </w:r>
      <w:proofErr w:type="spellStart"/>
      <w:r w:rsidR="006546FA" w:rsidRPr="00AF2C8E">
        <w:t>Anastro</w:t>
      </w:r>
      <w:r w:rsidR="00916FCA">
        <w:t>zole</w:t>
      </w:r>
      <w:proofErr w:type="spellEnd"/>
    </w:p>
    <w:p w14:paraId="51D0845A" w14:textId="62DF4ADC" w:rsidR="006546FA" w:rsidRDefault="006546FA" w:rsidP="000E60EC">
      <w:pPr>
        <w:pStyle w:val="Bodyofcontents"/>
        <w:spacing w:after="160"/>
      </w:pPr>
      <w:r>
        <w:t xml:space="preserve">The </w:t>
      </w:r>
      <w:proofErr w:type="spellStart"/>
      <w:r>
        <w:t>TAnDEM</w:t>
      </w:r>
      <w:proofErr w:type="spellEnd"/>
      <w:r>
        <w:t xml:space="preserve"> trial was a multi-centre, randomized, open-label, phase III trial comparing </w:t>
      </w:r>
      <w:proofErr w:type="spellStart"/>
      <w:r w:rsidR="006C3259">
        <w:t>trastuzumab</w:t>
      </w:r>
      <w:proofErr w:type="spellEnd"/>
      <w:r>
        <w:t xml:space="preserve"> + </w:t>
      </w:r>
      <w:proofErr w:type="spellStart"/>
      <w:r>
        <w:t>anastrozole</w:t>
      </w:r>
      <w:proofErr w:type="spellEnd"/>
      <w:r>
        <w:t xml:space="preserve"> with </w:t>
      </w:r>
      <w:proofErr w:type="spellStart"/>
      <w:r>
        <w:t>anastrozole</w:t>
      </w:r>
      <w:proofErr w:type="spellEnd"/>
      <w:r>
        <w:t xml:space="preserve">-alone for the first-line treatment of metastatic breast cancer in HER2 overexpressing, hormone-receptor (i.e. oestrogen-receptor (ER) and/or progesterone-receptor (PR)) positive post-menopausal patients. Two hundred and seven patients </w:t>
      </w:r>
      <w:proofErr w:type="gramStart"/>
      <w:r>
        <w:t>were randomized</w:t>
      </w:r>
      <w:proofErr w:type="gramEnd"/>
      <w:r>
        <w:t xml:space="preserve"> to receive oral </w:t>
      </w:r>
      <w:proofErr w:type="spellStart"/>
      <w:r>
        <w:t>anastrozole</w:t>
      </w:r>
      <w:proofErr w:type="spellEnd"/>
      <w:r>
        <w:t xml:space="preserve"> (1 mg/day) with or without </w:t>
      </w:r>
      <w:proofErr w:type="spellStart"/>
      <w:r w:rsidR="006C3259">
        <w:t>trastuzumab</w:t>
      </w:r>
      <w:proofErr w:type="spellEnd"/>
      <w:r>
        <w:t xml:space="preserve"> (4 mg/kg loading dose, followed by 2 mg/kg weekly). Patients who had received </w:t>
      </w:r>
      <w:proofErr w:type="spellStart"/>
      <w:r w:rsidR="006C3259">
        <w:t>trastuzumab</w:t>
      </w:r>
      <w:proofErr w:type="spellEnd"/>
      <w:r>
        <w:t xml:space="preserve"> for early disease</w:t>
      </w:r>
      <w:r w:rsidR="00916FCA">
        <w:t xml:space="preserve"> </w:t>
      </w:r>
      <w:proofErr w:type="gramStart"/>
      <w:r w:rsidR="00916FCA">
        <w:t>were excluded</w:t>
      </w:r>
      <w:proofErr w:type="gramEnd"/>
      <w:r w:rsidR="00916FCA">
        <w:t xml:space="preserve"> from this trial.</w:t>
      </w:r>
    </w:p>
    <w:p w14:paraId="4772571F" w14:textId="71C8F7F1" w:rsidR="006546FA" w:rsidRDefault="006546FA" w:rsidP="006546FA">
      <w:pPr>
        <w:pStyle w:val="Bodyofcontents"/>
      </w:pPr>
      <w:r>
        <w:t xml:space="preserve">Median progression free survival (PFS) was doubled in the </w:t>
      </w:r>
      <w:proofErr w:type="spellStart"/>
      <w:r w:rsidR="006C3259">
        <w:t>trastzumab</w:t>
      </w:r>
      <w:proofErr w:type="spellEnd"/>
      <w:r>
        <w:t xml:space="preserve"> + </w:t>
      </w:r>
      <w:proofErr w:type="spellStart"/>
      <w:r>
        <w:t>anastrozole</w:t>
      </w:r>
      <w:proofErr w:type="spellEnd"/>
      <w:r>
        <w:t xml:space="preserve"> arm compared to the </w:t>
      </w:r>
      <w:proofErr w:type="spellStart"/>
      <w:r>
        <w:t>anastrozole</w:t>
      </w:r>
      <w:proofErr w:type="spellEnd"/>
      <w:r>
        <w:t xml:space="preserve">-alone arm (4.8 months vs. 2.4 months; p = 0.0016). For the other parameters the improvements seen for </w:t>
      </w:r>
      <w:proofErr w:type="spellStart"/>
      <w:r w:rsidR="006C3259">
        <w:t>trastzumab</w:t>
      </w:r>
      <w:proofErr w:type="spellEnd"/>
      <w:r>
        <w:t xml:space="preserve"> + </w:t>
      </w:r>
      <w:proofErr w:type="spellStart"/>
      <w:r>
        <w:t>anastrozole</w:t>
      </w:r>
      <w:proofErr w:type="spellEnd"/>
      <w:r>
        <w:t xml:space="preserve"> were; overall response (16.5% vs. 6.7%); clinical benefit rate (42.7% vs. 27.9%)</w:t>
      </w:r>
      <w:proofErr w:type="gramStart"/>
      <w:r>
        <w:t>;</w:t>
      </w:r>
      <w:proofErr w:type="gramEnd"/>
      <w:r>
        <w:t xml:space="preserve"> time to progression (4.8 months vs. 2.4 months). For time to response and duration of </w:t>
      </w:r>
      <w:proofErr w:type="gramStart"/>
      <w:r>
        <w:t>response</w:t>
      </w:r>
      <w:proofErr w:type="gramEnd"/>
      <w:r>
        <w:t xml:space="preserve"> no difference could be recorded between the arms. There was no significant difference in overall survival, however more than half of the patients in the </w:t>
      </w:r>
      <w:proofErr w:type="spellStart"/>
      <w:r>
        <w:t>anastrozole</w:t>
      </w:r>
      <w:proofErr w:type="spellEnd"/>
      <w:r>
        <w:t xml:space="preserve">-alone arm crossed over to a </w:t>
      </w:r>
      <w:proofErr w:type="spellStart"/>
      <w:r w:rsidR="006C3259">
        <w:t>trastzumab</w:t>
      </w:r>
      <w:proofErr w:type="spellEnd"/>
      <w:r>
        <w:t>-containing regime</w:t>
      </w:r>
      <w:r w:rsidR="00916FCA">
        <w:t>n after progression of disease.</w:t>
      </w:r>
    </w:p>
    <w:p w14:paraId="088525B8" w14:textId="5B53B351" w:rsidR="006546FA" w:rsidRPr="00AF2C8E" w:rsidRDefault="006C3259" w:rsidP="000E60EC">
      <w:pPr>
        <w:pStyle w:val="Subheading2"/>
        <w:spacing w:after="160"/>
      </w:pPr>
      <w:proofErr w:type="spellStart"/>
      <w:r>
        <w:lastRenderedPageBreak/>
        <w:t>Trastzumab</w:t>
      </w:r>
      <w:proofErr w:type="spellEnd"/>
      <w:r w:rsidR="006546FA" w:rsidRPr="00AF2C8E">
        <w:t xml:space="preserve"> Mo</w:t>
      </w:r>
      <w:r w:rsidR="00916FCA">
        <w:t>notherapy</w:t>
      </w:r>
    </w:p>
    <w:p w14:paraId="7704B512" w14:textId="628B39D2" w:rsidR="006546FA" w:rsidRDefault="006546FA" w:rsidP="000E60EC">
      <w:pPr>
        <w:pStyle w:val="Bodyofcontents"/>
        <w:spacing w:after="160"/>
      </w:pPr>
      <w:r>
        <w:t xml:space="preserve">Study H0649g was a multinational, multi-centre, single arm trial of </w:t>
      </w:r>
      <w:proofErr w:type="spellStart"/>
      <w:r w:rsidR="006C3259">
        <w:t>trastzumab</w:t>
      </w:r>
      <w:proofErr w:type="spellEnd"/>
      <w:r>
        <w:t xml:space="preserve"> as monotherapy in 222 women with HER2 overexpressing metastatic breast cancer. </w:t>
      </w:r>
      <w:proofErr w:type="gramStart"/>
      <w:r>
        <w:t xml:space="preserve">All patients had relapsed following treatment with the best available agents (e.g. </w:t>
      </w:r>
      <w:proofErr w:type="spellStart"/>
      <w:r>
        <w:t>anthracyclines</w:t>
      </w:r>
      <w:proofErr w:type="spellEnd"/>
      <w:r>
        <w:t xml:space="preserve"> and </w:t>
      </w:r>
      <w:proofErr w:type="spellStart"/>
      <w:r>
        <w:t>taxanes</w:t>
      </w:r>
      <w:proofErr w:type="spellEnd"/>
      <w:r>
        <w:t>) and were heavily pre-treated.</w:t>
      </w:r>
      <w:proofErr w:type="gramEnd"/>
      <w:r>
        <w:t xml:space="preserve"> Two-thirds of the patients had prior adjuvant chemotherapy and all patients had tumour progression following at least one prior regimen of cytotoxic chemotherapy for metastatic disease. Ninety-four percent of the patients had prior </w:t>
      </w:r>
      <w:proofErr w:type="spellStart"/>
      <w:r>
        <w:t>anthracycline</w:t>
      </w:r>
      <w:proofErr w:type="spellEnd"/>
      <w:r>
        <w:t xml:space="preserve"> therapy, approximately 60% had prior paclitaxel therapy and 26% had prior bone marrow or stem cell transplants. Together with HER2 overexpression, which is associated with poorer clinical outcomes, aggressive disease </w:t>
      </w:r>
      <w:proofErr w:type="gramStart"/>
      <w:r>
        <w:t>was also suggested</w:t>
      </w:r>
      <w:proofErr w:type="gramEnd"/>
      <w:r>
        <w:t xml:space="preserve"> by nodal status at diagnosis and by the disease-free interval. Twenty-seven percent of patients had 10 or more positive nodes at the time of diagnosis. Thirty-eight percent of patients had a disease-free interval of less than one year prior to enrolment.</w:t>
      </w:r>
    </w:p>
    <w:p w14:paraId="0AA35A58" w14:textId="12360FAC" w:rsidR="00AF2C8E" w:rsidRDefault="00AF2C8E" w:rsidP="000E60EC">
      <w:pPr>
        <w:pStyle w:val="Bodyofcontents"/>
        <w:spacing w:after="160"/>
        <w:rPr>
          <w:szCs w:val="22"/>
        </w:rPr>
      </w:pPr>
      <w:r>
        <w:rPr>
          <w:szCs w:val="22"/>
        </w:rPr>
        <w:t xml:space="preserve">Patients received an intravenous loading dose of 4 mg/kg </w:t>
      </w:r>
      <w:proofErr w:type="spellStart"/>
      <w:r w:rsidR="006C3259">
        <w:t>trastzumab</w:t>
      </w:r>
      <w:proofErr w:type="spellEnd"/>
      <w:r>
        <w:rPr>
          <w:szCs w:val="22"/>
        </w:rPr>
        <w:t xml:space="preserve"> on Day 0, followed by weekly intravenous infusions of 2 mg/kg until there was evidence of disease progression.</w:t>
      </w:r>
    </w:p>
    <w:p w14:paraId="37CD9D8A" w14:textId="651A5A1D" w:rsidR="00AF2C8E" w:rsidRDefault="00AF2C8E" w:rsidP="000E60EC">
      <w:pPr>
        <w:pStyle w:val="Bodyofcontents"/>
        <w:spacing w:after="160"/>
        <w:rPr>
          <w:szCs w:val="22"/>
        </w:rPr>
      </w:pPr>
      <w:r>
        <w:rPr>
          <w:szCs w:val="22"/>
        </w:rPr>
        <w:t>Patients who developed progressive disease could stop treatment, continue on the 2 mg/kg weekly dose or receive an increased intravenous dose of 4 mg/kg, as the investigator deemed appropriate. The primary efficacy para</w:t>
      </w:r>
      <w:r w:rsidR="00916FCA">
        <w:rPr>
          <w:szCs w:val="22"/>
        </w:rPr>
        <w:t>meter was tumour response rate.</w:t>
      </w:r>
    </w:p>
    <w:p w14:paraId="66217A1E" w14:textId="0C49289D" w:rsidR="00AF2C8E" w:rsidRDefault="006C3259" w:rsidP="00AF2C8E">
      <w:pPr>
        <w:pStyle w:val="Bodyofcontents"/>
        <w:rPr>
          <w:szCs w:val="22"/>
        </w:rPr>
      </w:pPr>
      <w:proofErr w:type="spellStart"/>
      <w:r>
        <w:t>Trastzumab</w:t>
      </w:r>
      <w:proofErr w:type="spellEnd"/>
      <w:r w:rsidR="00AF2C8E">
        <w:rPr>
          <w:szCs w:val="22"/>
        </w:rPr>
        <w:t xml:space="preserve"> as second- or third-line therapy induced objective, durable tumour responses in women with metastatic breast cancer who had tumours that overexpressed HER2. There were 8 complete responses and 26 partial responses yielding an overall response rate of 15%. The durability of the responses was particularly notable. The median duration of the responses was 9.1 months at the cut-off date for analysis (see Table </w:t>
      </w:r>
      <w:r w:rsidR="00AF2C8E" w:rsidRPr="002936B8">
        <w:t xml:space="preserve">11 </w:t>
      </w:r>
      <w:r w:rsidR="00916FCA">
        <w:rPr>
          <w:szCs w:val="22"/>
        </w:rPr>
        <w:t>below).</w:t>
      </w:r>
    </w:p>
    <w:p w14:paraId="2D56B993" w14:textId="77777777" w:rsidR="00AF2C8E" w:rsidRDefault="00AF2C8E" w:rsidP="000E60EC">
      <w:pPr>
        <w:pStyle w:val="TableTitle"/>
        <w:spacing w:after="120"/>
      </w:pPr>
      <w:r>
        <w:t>Table 11: Efficacy Outcomes with Monotherapy Study H0649g</w:t>
      </w:r>
    </w:p>
    <w:tbl>
      <w:tblPr>
        <w:tblStyle w:val="TableGrid"/>
        <w:tblW w:w="0" w:type="auto"/>
        <w:tblLook w:val="04A0" w:firstRow="1" w:lastRow="0" w:firstColumn="1" w:lastColumn="0" w:noHBand="0" w:noVBand="1"/>
      </w:tblPr>
      <w:tblGrid>
        <w:gridCol w:w="3675"/>
        <w:gridCol w:w="582"/>
        <w:gridCol w:w="4759"/>
      </w:tblGrid>
      <w:tr w:rsidR="00D91CF8" w14:paraId="72CEFB57" w14:textId="77777777" w:rsidTr="00D91CF8">
        <w:tc>
          <w:tcPr>
            <w:tcW w:w="3675" w:type="dxa"/>
          </w:tcPr>
          <w:p w14:paraId="49670A9F" w14:textId="77777777" w:rsidR="00D91CF8" w:rsidRPr="00573CBC" w:rsidRDefault="00D91CF8" w:rsidP="00573CBC">
            <w:pPr>
              <w:pStyle w:val="TableHeading"/>
              <w:jc w:val="center"/>
              <w:rPr>
                <w:bCs/>
              </w:rPr>
            </w:pPr>
            <w:r w:rsidRPr="00573CBC">
              <w:rPr>
                <w:bCs/>
              </w:rPr>
              <w:t xml:space="preserve">Outcome Measure </w:t>
            </w:r>
          </w:p>
        </w:tc>
        <w:tc>
          <w:tcPr>
            <w:tcW w:w="582" w:type="dxa"/>
          </w:tcPr>
          <w:p w14:paraId="110F4184" w14:textId="219C0487" w:rsidR="00D91CF8" w:rsidRPr="00573CBC" w:rsidRDefault="00916FCA" w:rsidP="00573CBC">
            <w:pPr>
              <w:pStyle w:val="TableHeading"/>
              <w:jc w:val="center"/>
              <w:rPr>
                <w:bCs/>
              </w:rPr>
            </w:pPr>
            <w:r>
              <w:rPr>
                <w:bCs/>
              </w:rPr>
              <w:t>n</w:t>
            </w:r>
          </w:p>
        </w:tc>
        <w:tc>
          <w:tcPr>
            <w:tcW w:w="4759" w:type="dxa"/>
          </w:tcPr>
          <w:p w14:paraId="115130EF" w14:textId="45C9E1BF" w:rsidR="00D91CF8" w:rsidRPr="00573CBC" w:rsidRDefault="00D91CF8" w:rsidP="00573CBC">
            <w:pPr>
              <w:pStyle w:val="TableHeading"/>
              <w:jc w:val="center"/>
              <w:rPr>
                <w:bCs/>
              </w:rPr>
            </w:pPr>
            <w:r w:rsidRPr="00573CBC">
              <w:rPr>
                <w:bCs/>
              </w:rPr>
              <w:t>Time (months) Kaplan-M</w:t>
            </w:r>
            <w:r w:rsidR="00916FCA">
              <w:rPr>
                <w:bCs/>
              </w:rPr>
              <w:t>eier Estimate of Median (range)</w:t>
            </w:r>
          </w:p>
        </w:tc>
      </w:tr>
      <w:tr w:rsidR="00D91CF8" w:rsidRPr="00D91CF8" w14:paraId="6DBBB7D5" w14:textId="77777777" w:rsidTr="002936B8">
        <w:trPr>
          <w:trHeight w:val="975"/>
        </w:trPr>
        <w:tc>
          <w:tcPr>
            <w:tcW w:w="0" w:type="auto"/>
          </w:tcPr>
          <w:p w14:paraId="098D337E" w14:textId="2397103F" w:rsidR="00D91CF8" w:rsidRPr="00D91CF8" w:rsidRDefault="00D91CF8" w:rsidP="00573CBC">
            <w:pPr>
              <w:pStyle w:val="TableBody"/>
              <w:rPr>
                <w:rFonts w:eastAsiaTheme="minorHAnsi"/>
                <w:lang w:eastAsia="en-US"/>
              </w:rPr>
            </w:pPr>
            <w:r w:rsidRPr="00D91CF8">
              <w:rPr>
                <w:rFonts w:eastAsiaTheme="minorHAnsi"/>
                <w:lang w:eastAsia="en-US"/>
              </w:rPr>
              <w:t>Dur</w:t>
            </w:r>
            <w:r w:rsidR="00916FCA">
              <w:rPr>
                <w:rFonts w:eastAsiaTheme="minorHAnsi"/>
                <w:lang w:eastAsia="en-US"/>
              </w:rPr>
              <w:t>ation of response</w:t>
            </w:r>
          </w:p>
          <w:p w14:paraId="08FD180F" w14:textId="28375D54" w:rsidR="00D91CF8" w:rsidRPr="00D91CF8" w:rsidRDefault="00916FCA" w:rsidP="00573CBC">
            <w:pPr>
              <w:pStyle w:val="TableBody"/>
              <w:rPr>
                <w:rFonts w:eastAsiaTheme="minorHAnsi"/>
                <w:lang w:eastAsia="en-US"/>
              </w:rPr>
            </w:pPr>
            <w:r>
              <w:rPr>
                <w:rFonts w:eastAsiaTheme="minorHAnsi"/>
                <w:lang w:eastAsia="en-US"/>
              </w:rPr>
              <w:t>Time to disease progression</w:t>
            </w:r>
          </w:p>
          <w:p w14:paraId="70909C29" w14:textId="54F5FE05" w:rsidR="00D91CF8" w:rsidRPr="00D91CF8" w:rsidRDefault="00916FCA" w:rsidP="00573CBC">
            <w:pPr>
              <w:pStyle w:val="TableBody"/>
              <w:rPr>
                <w:rFonts w:eastAsiaTheme="minorHAnsi"/>
                <w:lang w:eastAsia="en-US"/>
              </w:rPr>
            </w:pPr>
            <w:r>
              <w:rPr>
                <w:rFonts w:eastAsiaTheme="minorHAnsi"/>
                <w:lang w:eastAsia="en-US"/>
              </w:rPr>
              <w:t>Time to Treatment Failure</w:t>
            </w:r>
          </w:p>
          <w:p w14:paraId="76C3D13E" w14:textId="42A07B25" w:rsidR="00D91CF8" w:rsidRPr="00D91CF8" w:rsidRDefault="00916FCA" w:rsidP="00573CBC">
            <w:pPr>
              <w:pStyle w:val="TableBody"/>
              <w:rPr>
                <w:rFonts w:eastAsiaTheme="minorHAnsi"/>
                <w:lang w:eastAsia="en-US"/>
              </w:rPr>
            </w:pPr>
            <w:r>
              <w:rPr>
                <w:rFonts w:eastAsiaTheme="minorHAnsi"/>
                <w:lang w:eastAsia="en-US"/>
              </w:rPr>
              <w:t>Survival Time</w:t>
            </w:r>
          </w:p>
        </w:tc>
        <w:tc>
          <w:tcPr>
            <w:tcW w:w="0" w:type="auto"/>
          </w:tcPr>
          <w:p w14:paraId="513F3D92" w14:textId="77777777" w:rsidR="00D91CF8" w:rsidRPr="002936B8" w:rsidRDefault="00D91CF8" w:rsidP="002936B8">
            <w:pPr>
              <w:pStyle w:val="TableBody"/>
              <w:jc w:val="center"/>
              <w:rPr>
                <w:rFonts w:eastAsiaTheme="minorHAnsi"/>
              </w:rPr>
            </w:pPr>
            <w:r w:rsidRPr="002936B8">
              <w:rPr>
                <w:rFonts w:eastAsiaTheme="minorHAnsi"/>
              </w:rPr>
              <w:t>34</w:t>
            </w:r>
          </w:p>
          <w:p w14:paraId="0229E23C" w14:textId="77777777" w:rsidR="00D91CF8" w:rsidRPr="002936B8" w:rsidRDefault="00D91CF8" w:rsidP="002936B8">
            <w:pPr>
              <w:pStyle w:val="TableBody"/>
              <w:jc w:val="center"/>
              <w:rPr>
                <w:rFonts w:eastAsiaTheme="minorHAnsi"/>
              </w:rPr>
            </w:pPr>
            <w:r w:rsidRPr="002936B8">
              <w:rPr>
                <w:rFonts w:eastAsiaTheme="minorHAnsi"/>
              </w:rPr>
              <w:t>213</w:t>
            </w:r>
          </w:p>
          <w:p w14:paraId="1BD8C342" w14:textId="77777777" w:rsidR="00D91CF8" w:rsidRPr="002936B8" w:rsidRDefault="00D91CF8" w:rsidP="002936B8">
            <w:pPr>
              <w:pStyle w:val="TableBody"/>
              <w:jc w:val="center"/>
              <w:rPr>
                <w:rFonts w:eastAsiaTheme="minorHAnsi"/>
              </w:rPr>
            </w:pPr>
            <w:r w:rsidRPr="002936B8">
              <w:rPr>
                <w:rFonts w:eastAsiaTheme="minorHAnsi"/>
              </w:rPr>
              <w:t>213</w:t>
            </w:r>
          </w:p>
          <w:p w14:paraId="65C77BF1" w14:textId="77777777" w:rsidR="00D91CF8" w:rsidRPr="002936B8" w:rsidRDefault="00D91CF8" w:rsidP="002936B8">
            <w:pPr>
              <w:pStyle w:val="TableBody"/>
              <w:jc w:val="center"/>
              <w:rPr>
                <w:rFonts w:eastAsiaTheme="minorHAnsi"/>
              </w:rPr>
            </w:pPr>
            <w:r w:rsidRPr="002936B8">
              <w:rPr>
                <w:rFonts w:eastAsiaTheme="minorHAnsi"/>
              </w:rPr>
              <w:t>213</w:t>
            </w:r>
          </w:p>
        </w:tc>
        <w:tc>
          <w:tcPr>
            <w:tcW w:w="0" w:type="auto"/>
          </w:tcPr>
          <w:p w14:paraId="30EAA98A" w14:textId="77777777" w:rsidR="00D91CF8" w:rsidRPr="002936B8" w:rsidRDefault="00D91CF8" w:rsidP="002936B8">
            <w:pPr>
              <w:pStyle w:val="TableBody"/>
              <w:jc w:val="center"/>
              <w:rPr>
                <w:rFonts w:eastAsiaTheme="minorHAnsi"/>
              </w:rPr>
            </w:pPr>
            <w:r w:rsidRPr="002936B8">
              <w:rPr>
                <w:rFonts w:eastAsiaTheme="minorHAnsi"/>
              </w:rPr>
              <w:t>9.1 (2–26+)</w:t>
            </w:r>
          </w:p>
          <w:p w14:paraId="3576D692" w14:textId="77777777" w:rsidR="00D91CF8" w:rsidRPr="002936B8" w:rsidRDefault="00D91CF8" w:rsidP="002936B8">
            <w:pPr>
              <w:pStyle w:val="TableBody"/>
              <w:jc w:val="center"/>
              <w:rPr>
                <w:rFonts w:eastAsiaTheme="minorHAnsi"/>
              </w:rPr>
            </w:pPr>
            <w:r w:rsidRPr="002936B8">
              <w:rPr>
                <w:rFonts w:eastAsiaTheme="minorHAnsi"/>
              </w:rPr>
              <w:t>3.1 (0–28+)</w:t>
            </w:r>
          </w:p>
          <w:p w14:paraId="2B1264CD" w14:textId="77777777" w:rsidR="00D91CF8" w:rsidRPr="002936B8" w:rsidRDefault="00D91CF8" w:rsidP="002936B8">
            <w:pPr>
              <w:pStyle w:val="TableBody"/>
              <w:jc w:val="center"/>
              <w:rPr>
                <w:rFonts w:eastAsiaTheme="minorHAnsi"/>
              </w:rPr>
            </w:pPr>
            <w:r w:rsidRPr="002936B8">
              <w:rPr>
                <w:rFonts w:eastAsiaTheme="minorHAnsi"/>
              </w:rPr>
              <w:t>2.4 (0–28+)</w:t>
            </w:r>
          </w:p>
          <w:p w14:paraId="7BB1C411" w14:textId="77777777" w:rsidR="00D91CF8" w:rsidRPr="002936B8" w:rsidRDefault="00D91CF8" w:rsidP="002936B8">
            <w:pPr>
              <w:pStyle w:val="TableBody"/>
              <w:jc w:val="center"/>
              <w:rPr>
                <w:rFonts w:eastAsiaTheme="minorHAnsi"/>
              </w:rPr>
            </w:pPr>
            <w:r w:rsidRPr="002936B8">
              <w:rPr>
                <w:rFonts w:eastAsiaTheme="minorHAnsi"/>
              </w:rPr>
              <w:t>12.8 (0.5–30+)</w:t>
            </w:r>
          </w:p>
        </w:tc>
      </w:tr>
    </w:tbl>
    <w:p w14:paraId="6D4CEE71" w14:textId="5C76EFFF" w:rsidR="00D91CF8" w:rsidRDefault="00D91CF8" w:rsidP="000E60EC">
      <w:pPr>
        <w:pStyle w:val="Bodyofcontents"/>
        <w:spacing w:before="240"/>
      </w:pPr>
      <w:r>
        <w:t xml:space="preserve">The clinical significance of the objective tumour responses in this group of patients </w:t>
      </w:r>
      <w:proofErr w:type="gramStart"/>
      <w:r>
        <w:t>was supported</w:t>
      </w:r>
      <w:proofErr w:type="gramEnd"/>
      <w:r>
        <w:t xml:space="preserve"> by the quality-of-life and survival data. Responders had clinically meaningful improvements in physical function, role function, social function, global quality of life and fatigue scale scores during </w:t>
      </w:r>
      <w:proofErr w:type="spellStart"/>
      <w:r w:rsidR="006C3259">
        <w:t>trastzumab</w:t>
      </w:r>
      <w:proofErr w:type="spellEnd"/>
      <w:r>
        <w:t xml:space="preserve"> treatment. Most responders were still alive at data cut-off (28/34; 82%). The Kaplan-Meier estimate of median survival for all treated patients at the dat</w:t>
      </w:r>
      <w:r w:rsidR="00916FCA">
        <w:t>a cut-off date was 12.8 months.</w:t>
      </w:r>
    </w:p>
    <w:p w14:paraId="3B645824" w14:textId="4F6CAF3A" w:rsidR="00D91CF8" w:rsidRDefault="00D91CF8" w:rsidP="00D91CF8">
      <w:pPr>
        <w:pStyle w:val="Bodyofcontents"/>
      </w:pPr>
      <w:r>
        <w:t xml:space="preserve">Evidence of efficacy for </w:t>
      </w:r>
      <w:proofErr w:type="spellStart"/>
      <w:r w:rsidR="006C3259">
        <w:t>trastzumab</w:t>
      </w:r>
      <w:proofErr w:type="spellEnd"/>
      <w:r>
        <w:t xml:space="preserve"> monotherapy </w:t>
      </w:r>
      <w:proofErr w:type="gramStart"/>
      <w:r>
        <w:t>is based</w:t>
      </w:r>
      <w:proofErr w:type="gramEnd"/>
      <w:r>
        <w:t xml:space="preserve"> upon response rates. No data are available to demonstrate improvement </w:t>
      </w:r>
      <w:r w:rsidR="00916FCA">
        <w:t>in survival or quality of life.</w:t>
      </w:r>
    </w:p>
    <w:p w14:paraId="139636EC" w14:textId="48112C30" w:rsidR="00D91CF8" w:rsidRDefault="00916FCA" w:rsidP="00D91CF8">
      <w:pPr>
        <w:pStyle w:val="Subheading2"/>
      </w:pPr>
      <w:r>
        <w:t>Advanced Gastric Cancer</w:t>
      </w:r>
    </w:p>
    <w:p w14:paraId="04C5A70C" w14:textId="07BE92C5" w:rsidR="00D91CF8" w:rsidRDefault="00D91CF8" w:rsidP="00D91CF8">
      <w:pPr>
        <w:pStyle w:val="Bodyofcontents"/>
      </w:pPr>
      <w:r>
        <w:t>Study BO18255 (</w:t>
      </w:r>
      <w:proofErr w:type="spellStart"/>
      <w:r>
        <w:t>ToGA</w:t>
      </w:r>
      <w:proofErr w:type="spellEnd"/>
      <w:r>
        <w:t xml:space="preserve">) was a randomized, open-label, multicentre phase III trial investigating </w:t>
      </w:r>
      <w:proofErr w:type="spellStart"/>
      <w:r w:rsidR="006C3259">
        <w:t>trastzumab</w:t>
      </w:r>
      <w:proofErr w:type="spellEnd"/>
      <w:r>
        <w:t xml:space="preserve"> in combination with a </w:t>
      </w:r>
      <w:proofErr w:type="spellStart"/>
      <w:r>
        <w:t>fluoropyrimidine</w:t>
      </w:r>
      <w:proofErr w:type="spellEnd"/>
      <w:r>
        <w:t xml:space="preserve"> and cisplatin (FP) versus chemotherapy alone as first-line therapy in patients with HER2 positive, inoperable, locally advanced or recurrent and/or metastatic adenocarcinoma of the stomach </w:t>
      </w:r>
      <w:r w:rsidR="00916FCA">
        <w:t>or gastro-oesophageal junction.</w:t>
      </w:r>
    </w:p>
    <w:p w14:paraId="2DA62A63" w14:textId="77777777" w:rsidR="00D91CF8" w:rsidRPr="00DF210C" w:rsidRDefault="00D91CF8" w:rsidP="00D91CF8">
      <w:pPr>
        <w:pStyle w:val="Bodyofcontents"/>
      </w:pPr>
      <w:r>
        <w:t xml:space="preserve">Patients were eligible if they had 3+ levels of HER2 overexpression based on a 0 - 3+ scale by IHC assessment of tumour tissue and/or those whose tumours had HER2 gene amplification as determined </w:t>
      </w:r>
      <w:r>
        <w:lastRenderedPageBreak/>
        <w:t xml:space="preserve">by a FISH test (see </w:t>
      </w:r>
      <w:r w:rsidRPr="00573CBC">
        <w:t>DOSAGE AND ADMINISTRATION, Detection of HER2 Overexpression or HER2 Gene Amplification</w:t>
      </w:r>
      <w:r>
        <w:t>)</w:t>
      </w:r>
      <w:r w:rsidRPr="00DF210C">
        <w:t>.</w:t>
      </w:r>
    </w:p>
    <w:p w14:paraId="5AB4E630" w14:textId="3F5DB0E8" w:rsidR="00D91CF8" w:rsidRDefault="00D91CF8" w:rsidP="00D91CF8">
      <w:pPr>
        <w:pStyle w:val="Bodyofcontents"/>
      </w:pPr>
      <w:r>
        <w:t xml:space="preserve">After </w:t>
      </w:r>
      <w:proofErr w:type="gramStart"/>
      <w:r>
        <w:t>satisfying</w:t>
      </w:r>
      <w:proofErr w:type="gramEnd"/>
      <w:r>
        <w:t xml:space="preserve"> the screening eligibility criteria, including assessment of HER2 status, patients were randomly assigned (1:1) to receive either </w:t>
      </w:r>
      <w:proofErr w:type="spellStart"/>
      <w:r w:rsidR="006C3259">
        <w:t>trastzumab</w:t>
      </w:r>
      <w:proofErr w:type="spellEnd"/>
      <w:r>
        <w:t xml:space="preserve"> (8 mg/kg loading dose, followed by 6 mg/kg every 3 weeks) + </w:t>
      </w:r>
      <w:proofErr w:type="spellStart"/>
      <w:r>
        <w:t>fluoropyrimidine</w:t>
      </w:r>
      <w:proofErr w:type="spellEnd"/>
      <w:r>
        <w:t xml:space="preserve">/cisplatin (FP+H) or FP alone. The chemotherapy regimen </w:t>
      </w:r>
      <w:proofErr w:type="gramStart"/>
      <w:r>
        <w:t>was chosen</w:t>
      </w:r>
      <w:proofErr w:type="gramEnd"/>
      <w:r>
        <w:t xml:space="preserve"> between 5-FU/cisplatin and </w:t>
      </w:r>
      <w:proofErr w:type="spellStart"/>
      <w:r>
        <w:t>capecitabine</w:t>
      </w:r>
      <w:proofErr w:type="spellEnd"/>
      <w:r>
        <w:t xml:space="preserve">/cisplatin at the investigator’s discretion and could be determined </w:t>
      </w:r>
      <w:r w:rsidR="00916FCA">
        <w:t>on an individual patient basis.</w:t>
      </w:r>
    </w:p>
    <w:p w14:paraId="68EFB18D" w14:textId="3BE69E3C" w:rsidR="00D91CF8" w:rsidRDefault="00D91CF8" w:rsidP="00D91CF8">
      <w:pPr>
        <w:pStyle w:val="Bodyofcontents"/>
      </w:pPr>
      <w:r>
        <w:t xml:space="preserve">The efficacy results from </w:t>
      </w:r>
      <w:proofErr w:type="spellStart"/>
      <w:r>
        <w:t>ToGA</w:t>
      </w:r>
      <w:proofErr w:type="spellEnd"/>
      <w:r>
        <w:t xml:space="preserve"> </w:t>
      </w:r>
      <w:proofErr w:type="gramStart"/>
      <w:r>
        <w:t>are summarized</w:t>
      </w:r>
      <w:proofErr w:type="gramEnd"/>
      <w:r>
        <w:t xml:space="preserve"> in Table </w:t>
      </w:r>
      <w:r w:rsidRPr="002936B8">
        <w:t>12</w:t>
      </w:r>
      <w:r>
        <w:t xml:space="preserve">. The primary endpoint was overall survival, defined as the time from the date of randomization to the date of death from any cause. At the time of analysis </w:t>
      </w:r>
      <w:proofErr w:type="gramStart"/>
      <w:r>
        <w:t>a total of 349</w:t>
      </w:r>
      <w:proofErr w:type="gramEnd"/>
      <w:r>
        <w:t xml:space="preserve"> randomized patients had died: 182 patients (62.8%) in the control arm and 167 patients (56.8%) in the treatment arm. The majority of the deaths were due to events re</w:t>
      </w:r>
      <w:r w:rsidR="00916FCA">
        <w:t>lated to the underlying cancer.</w:t>
      </w:r>
    </w:p>
    <w:p w14:paraId="4E7B6090" w14:textId="0193DCB2" w:rsidR="00D91CF8" w:rsidRDefault="00D91CF8" w:rsidP="00D91CF8">
      <w:pPr>
        <w:pStyle w:val="Bodyofcontents"/>
      </w:pPr>
      <w:r>
        <w:t>Overall survival was significantly improved in the FP + H arm compared to the FP arm (</w:t>
      </w:r>
      <w:r w:rsidRPr="00C73288">
        <w:rPr>
          <w:i/>
        </w:rPr>
        <w:t>p</w:t>
      </w:r>
      <w:r>
        <w:t xml:space="preserve"> = 0.0046, log-rank test). The median survival time was 11.1 months with FP and 13.8 months with FP + H. The risk of death was decreased by 26% (HR = 0.74; 95% CI 0.60 - 0.91) for patients in the FP </w:t>
      </w:r>
      <w:r w:rsidR="00916FCA">
        <w:t>+ H arm compared to the FP arm.</w:t>
      </w:r>
    </w:p>
    <w:p w14:paraId="6E345531" w14:textId="77777777" w:rsidR="00D91CF8" w:rsidRDefault="00D91CF8" w:rsidP="00D91CF8">
      <w:pPr>
        <w:pStyle w:val="Bodyofcontents"/>
      </w:pPr>
      <w:r>
        <w:t>Post-hoc subgroup analyses indicate that targeting tumours with higher levels of HER2 protein (IHC 2+/FISH+ and IHC 3+/regardless of FISH status) results in a greater treatment effect. The median overall survival for the high HER2 expressing group was 11.8 months versus 16 months, HR = 0.65 (95%CI 0.51 - 0.83) and the median PFS was 5.5 months vs. 7.6 months, HR = 0.64 (95% CI 0.51 - 0.79).</w:t>
      </w:r>
    </w:p>
    <w:p w14:paraId="68B533AE" w14:textId="77777777" w:rsidR="00D91CF8" w:rsidRDefault="00D91CF8" w:rsidP="00D91CF8">
      <w:pPr>
        <w:pStyle w:val="TableTitle"/>
      </w:pPr>
      <w:r>
        <w:t>Table 12: Summary of Efficacy from Study BO18255</w:t>
      </w:r>
    </w:p>
    <w:p w14:paraId="0A8C9639" w14:textId="77777777" w:rsidR="00D91CF8" w:rsidRDefault="00D91CF8" w:rsidP="00D91CF8">
      <w:pPr>
        <w:pStyle w:val="TableTitle"/>
      </w:pPr>
    </w:p>
    <w:tbl>
      <w:tblPr>
        <w:tblStyle w:val="TableGrid"/>
        <w:tblW w:w="0" w:type="auto"/>
        <w:tblLook w:val="04A0" w:firstRow="1" w:lastRow="0" w:firstColumn="1" w:lastColumn="0" w:noHBand="0" w:noVBand="1"/>
      </w:tblPr>
      <w:tblGrid>
        <w:gridCol w:w="1803"/>
        <w:gridCol w:w="1803"/>
        <w:gridCol w:w="1803"/>
        <w:gridCol w:w="1803"/>
        <w:gridCol w:w="1804"/>
      </w:tblGrid>
      <w:tr w:rsidR="00D91CF8" w14:paraId="683B8450" w14:textId="77777777" w:rsidTr="0002294D">
        <w:trPr>
          <w:tblHeader/>
        </w:trPr>
        <w:tc>
          <w:tcPr>
            <w:tcW w:w="1803" w:type="dxa"/>
          </w:tcPr>
          <w:p w14:paraId="4E6BAD6C" w14:textId="75D907ED" w:rsidR="00D91CF8" w:rsidRPr="00573CBC" w:rsidRDefault="00C73288" w:rsidP="00573CBC">
            <w:pPr>
              <w:pStyle w:val="TableHeading"/>
              <w:jc w:val="center"/>
              <w:rPr>
                <w:bCs/>
              </w:rPr>
            </w:pPr>
            <w:proofErr w:type="spellStart"/>
            <w:r>
              <w:t>Trastzumab</w:t>
            </w:r>
            <w:proofErr w:type="spellEnd"/>
            <w:r w:rsidR="00916FCA">
              <w:rPr>
                <w:bCs/>
              </w:rPr>
              <w:t xml:space="preserve"> dosage regimen</w:t>
            </w:r>
          </w:p>
        </w:tc>
        <w:tc>
          <w:tcPr>
            <w:tcW w:w="7213" w:type="dxa"/>
            <w:gridSpan w:val="4"/>
          </w:tcPr>
          <w:p w14:paraId="13E8E23A" w14:textId="1C3C12FA" w:rsidR="00D91CF8" w:rsidRPr="00573CBC" w:rsidRDefault="00916FCA" w:rsidP="00573CBC">
            <w:pPr>
              <w:pStyle w:val="TableHeading"/>
              <w:jc w:val="center"/>
              <w:rPr>
                <w:bCs/>
              </w:rPr>
            </w:pPr>
            <w:r>
              <w:rPr>
                <w:bCs/>
              </w:rPr>
              <w:t>Every 3 weeks</w:t>
            </w:r>
          </w:p>
        </w:tc>
      </w:tr>
      <w:tr w:rsidR="00D91CF8" w14:paraId="63490C68" w14:textId="77777777" w:rsidTr="00BC1D20">
        <w:tc>
          <w:tcPr>
            <w:tcW w:w="1803" w:type="dxa"/>
          </w:tcPr>
          <w:p w14:paraId="4E4FE893" w14:textId="2F8F83AF" w:rsidR="00D91CF8" w:rsidRPr="00573CBC" w:rsidRDefault="00916FCA" w:rsidP="00573CBC">
            <w:pPr>
              <w:pStyle w:val="TableHeading"/>
              <w:jc w:val="center"/>
              <w:rPr>
                <w:bCs/>
              </w:rPr>
            </w:pPr>
            <w:r>
              <w:rPr>
                <w:bCs/>
              </w:rPr>
              <w:t>Chemotherapy regimens (FP)</w:t>
            </w:r>
          </w:p>
        </w:tc>
        <w:tc>
          <w:tcPr>
            <w:tcW w:w="7213" w:type="dxa"/>
            <w:gridSpan w:val="4"/>
          </w:tcPr>
          <w:p w14:paraId="6A9A1E60" w14:textId="77777777" w:rsidR="00D91CF8" w:rsidRDefault="00D91CF8" w:rsidP="00573CBC">
            <w:pPr>
              <w:pStyle w:val="Bodydot"/>
            </w:pPr>
            <w:proofErr w:type="spellStart"/>
            <w:r>
              <w:t>Capecitabine</w:t>
            </w:r>
            <w:proofErr w:type="spellEnd"/>
            <w:r>
              <w:t>: 1000 mg/m</w:t>
            </w:r>
            <w:r w:rsidRPr="00DF210C">
              <w:rPr>
                <w:vertAlign w:val="subscript"/>
              </w:rPr>
              <w:t xml:space="preserve">2 </w:t>
            </w:r>
            <w:r>
              <w:t xml:space="preserve">orally twice daily for 14 days every 3 weeks for </w:t>
            </w:r>
            <w:proofErr w:type="gramStart"/>
            <w:r>
              <w:t>6</w:t>
            </w:r>
            <w:proofErr w:type="gramEnd"/>
            <w:r>
              <w:t xml:space="preserve"> cycles (Days 1 to 15 of each cycle). </w:t>
            </w:r>
          </w:p>
          <w:p w14:paraId="358C33F3" w14:textId="77777777" w:rsidR="00D91CF8" w:rsidRDefault="00D91CF8" w:rsidP="00573CBC">
            <w:pPr>
              <w:pStyle w:val="Bodydot"/>
            </w:pPr>
            <w:r>
              <w:t>5-FU: 800 mg/m</w:t>
            </w:r>
            <w:r w:rsidRPr="00DF210C">
              <w:rPr>
                <w:vertAlign w:val="subscript"/>
              </w:rPr>
              <w:t>2</w:t>
            </w:r>
            <w:r>
              <w:t xml:space="preserve">/day as a continuous IV infusion over 5 days, given every 3 weeks for 6 cycles (Days 1 to 5 of each cycle). The 5-FU infusion </w:t>
            </w:r>
            <w:proofErr w:type="gramStart"/>
            <w:r>
              <w:t>could be started</w:t>
            </w:r>
            <w:proofErr w:type="gramEnd"/>
            <w:r>
              <w:t xml:space="preserve"> at the same time as the cisplatin infusion on Day 1. </w:t>
            </w:r>
          </w:p>
          <w:p w14:paraId="5EB1BA68" w14:textId="77777777" w:rsidR="00D91CF8" w:rsidRDefault="00D91CF8" w:rsidP="00573CBC">
            <w:pPr>
              <w:pStyle w:val="Bodydot"/>
            </w:pPr>
            <w:r>
              <w:t>Cisplatin: 80 mg/m</w:t>
            </w:r>
            <w:r w:rsidRPr="00DF210C">
              <w:rPr>
                <w:vertAlign w:val="subscript"/>
              </w:rPr>
              <w:t xml:space="preserve">2 </w:t>
            </w:r>
            <w:r>
              <w:t xml:space="preserve">every 3 weeks for 6 cycles (on Day 1 of each cycle) as a 2h IV infusion with hydration and premedication (steroids and anti-emetics). </w:t>
            </w:r>
          </w:p>
        </w:tc>
      </w:tr>
      <w:tr w:rsidR="00D91CF8" w14:paraId="01278497" w14:textId="77777777" w:rsidTr="00D91CF8">
        <w:tc>
          <w:tcPr>
            <w:tcW w:w="1803" w:type="dxa"/>
          </w:tcPr>
          <w:p w14:paraId="046DEFD1" w14:textId="23D969DE" w:rsidR="00D91CF8" w:rsidRPr="00573CBC" w:rsidRDefault="00916FCA" w:rsidP="00573CBC">
            <w:pPr>
              <w:pStyle w:val="TableHeading"/>
              <w:jc w:val="center"/>
              <w:rPr>
                <w:bCs/>
              </w:rPr>
            </w:pPr>
            <w:r>
              <w:rPr>
                <w:bCs/>
              </w:rPr>
              <w:t>Efficacy Parameters</w:t>
            </w:r>
          </w:p>
        </w:tc>
        <w:tc>
          <w:tcPr>
            <w:tcW w:w="1803" w:type="dxa"/>
          </w:tcPr>
          <w:p w14:paraId="0895C5F9" w14:textId="77777777" w:rsidR="00D91CF8" w:rsidRPr="00B66C40" w:rsidRDefault="00D91CF8" w:rsidP="00B66C40">
            <w:pPr>
              <w:pStyle w:val="TableHeading"/>
              <w:jc w:val="center"/>
              <w:rPr>
                <w:bCs/>
              </w:rPr>
            </w:pPr>
            <w:r w:rsidRPr="00B66C40">
              <w:rPr>
                <w:bCs/>
              </w:rPr>
              <w:t>FP</w:t>
            </w:r>
          </w:p>
          <w:p w14:paraId="74D898E7" w14:textId="77777777" w:rsidR="00D91CF8" w:rsidRPr="00B66C40" w:rsidRDefault="00D91CF8" w:rsidP="00B66C40">
            <w:pPr>
              <w:pStyle w:val="TableHeading"/>
              <w:jc w:val="center"/>
              <w:rPr>
                <w:bCs/>
              </w:rPr>
            </w:pPr>
            <w:r w:rsidRPr="00C73288">
              <w:rPr>
                <w:bCs/>
                <w:i/>
              </w:rPr>
              <w:t>n</w:t>
            </w:r>
            <w:r w:rsidRPr="00B66C40">
              <w:rPr>
                <w:bCs/>
              </w:rPr>
              <w:t xml:space="preserve"> = 290</w:t>
            </w:r>
          </w:p>
        </w:tc>
        <w:tc>
          <w:tcPr>
            <w:tcW w:w="1803" w:type="dxa"/>
          </w:tcPr>
          <w:p w14:paraId="346EBFA5" w14:textId="77777777" w:rsidR="00D91CF8" w:rsidRPr="00B66C40" w:rsidRDefault="00D91CF8" w:rsidP="00B66C40">
            <w:pPr>
              <w:pStyle w:val="TableHeading"/>
              <w:jc w:val="center"/>
              <w:rPr>
                <w:bCs/>
              </w:rPr>
            </w:pPr>
            <w:r w:rsidRPr="00B66C40">
              <w:rPr>
                <w:bCs/>
              </w:rPr>
              <w:t>FP+H</w:t>
            </w:r>
          </w:p>
          <w:p w14:paraId="17BADBCF" w14:textId="77777777" w:rsidR="00D91CF8" w:rsidRPr="00B66C40" w:rsidRDefault="00D91CF8" w:rsidP="00B66C40">
            <w:pPr>
              <w:pStyle w:val="TableHeading"/>
              <w:jc w:val="center"/>
              <w:rPr>
                <w:bCs/>
              </w:rPr>
            </w:pPr>
            <w:r w:rsidRPr="00C73288">
              <w:rPr>
                <w:bCs/>
                <w:i/>
              </w:rPr>
              <w:t>n</w:t>
            </w:r>
            <w:r w:rsidRPr="00B66C40">
              <w:rPr>
                <w:bCs/>
              </w:rPr>
              <w:t xml:space="preserve"> = 294</w:t>
            </w:r>
          </w:p>
        </w:tc>
        <w:tc>
          <w:tcPr>
            <w:tcW w:w="1803" w:type="dxa"/>
          </w:tcPr>
          <w:p w14:paraId="768F56E2" w14:textId="77777777" w:rsidR="00D91CF8" w:rsidRPr="00B66C40" w:rsidRDefault="00D91CF8" w:rsidP="00B66C40">
            <w:pPr>
              <w:pStyle w:val="TableHeading"/>
              <w:jc w:val="center"/>
              <w:rPr>
                <w:bCs/>
              </w:rPr>
            </w:pPr>
            <w:r w:rsidRPr="00B66C40">
              <w:rPr>
                <w:bCs/>
              </w:rPr>
              <w:t>HR (95% CI)</w:t>
            </w:r>
          </w:p>
        </w:tc>
        <w:tc>
          <w:tcPr>
            <w:tcW w:w="1804" w:type="dxa"/>
          </w:tcPr>
          <w:p w14:paraId="74050F43" w14:textId="77777777" w:rsidR="00D91CF8" w:rsidRPr="00B66C40" w:rsidRDefault="00D91CF8" w:rsidP="00B66C40">
            <w:pPr>
              <w:pStyle w:val="TableHeading"/>
              <w:jc w:val="center"/>
              <w:rPr>
                <w:bCs/>
              </w:rPr>
            </w:pPr>
            <w:r w:rsidRPr="00C73288">
              <w:rPr>
                <w:bCs/>
                <w:i/>
              </w:rPr>
              <w:t>p</w:t>
            </w:r>
            <w:r w:rsidRPr="00B66C40">
              <w:rPr>
                <w:bCs/>
              </w:rPr>
              <w:t>-value</w:t>
            </w:r>
          </w:p>
        </w:tc>
      </w:tr>
      <w:tr w:rsidR="00D91CF8" w14:paraId="4E86FB45" w14:textId="77777777" w:rsidTr="00D91CF8">
        <w:tc>
          <w:tcPr>
            <w:tcW w:w="1803" w:type="dxa"/>
          </w:tcPr>
          <w:p w14:paraId="64164316" w14:textId="1055FC14" w:rsidR="00D91CF8" w:rsidRPr="00C73288" w:rsidRDefault="00916FCA" w:rsidP="00573CBC">
            <w:pPr>
              <w:pStyle w:val="TableHeading"/>
              <w:jc w:val="center"/>
              <w:rPr>
                <w:b w:val="0"/>
                <w:bCs/>
              </w:rPr>
            </w:pPr>
            <w:r>
              <w:rPr>
                <w:b w:val="0"/>
                <w:bCs/>
              </w:rPr>
              <w:t>Overall Survival, Median months</w:t>
            </w:r>
          </w:p>
        </w:tc>
        <w:tc>
          <w:tcPr>
            <w:tcW w:w="1803" w:type="dxa"/>
          </w:tcPr>
          <w:p w14:paraId="45187F9B" w14:textId="77777777" w:rsidR="00D91CF8" w:rsidRDefault="00D91CF8" w:rsidP="00573CBC">
            <w:pPr>
              <w:pStyle w:val="TableBody"/>
              <w:jc w:val="center"/>
            </w:pPr>
            <w:r>
              <w:t>11.1</w:t>
            </w:r>
          </w:p>
        </w:tc>
        <w:tc>
          <w:tcPr>
            <w:tcW w:w="1803" w:type="dxa"/>
          </w:tcPr>
          <w:p w14:paraId="57E42FBB" w14:textId="77777777" w:rsidR="00D91CF8" w:rsidRDefault="00D91CF8" w:rsidP="00573CBC">
            <w:pPr>
              <w:pStyle w:val="TableBody"/>
              <w:jc w:val="center"/>
            </w:pPr>
            <w:r>
              <w:t>13.8</w:t>
            </w:r>
          </w:p>
        </w:tc>
        <w:tc>
          <w:tcPr>
            <w:tcW w:w="1803" w:type="dxa"/>
          </w:tcPr>
          <w:p w14:paraId="6807EB47" w14:textId="77777777" w:rsidR="00D91CF8" w:rsidRDefault="00D91CF8" w:rsidP="00573CBC">
            <w:pPr>
              <w:pStyle w:val="TableBody"/>
              <w:jc w:val="center"/>
            </w:pPr>
            <w:r>
              <w:t>0.74 (0.60-0.91)</w:t>
            </w:r>
          </w:p>
        </w:tc>
        <w:tc>
          <w:tcPr>
            <w:tcW w:w="1804" w:type="dxa"/>
          </w:tcPr>
          <w:p w14:paraId="12D9F48A" w14:textId="77777777" w:rsidR="00D91CF8" w:rsidRDefault="00D91CF8" w:rsidP="00573CBC">
            <w:pPr>
              <w:pStyle w:val="TableBody"/>
              <w:jc w:val="center"/>
            </w:pPr>
            <w:r>
              <w:t>0.0046</w:t>
            </w:r>
          </w:p>
        </w:tc>
      </w:tr>
      <w:tr w:rsidR="007D05FF" w14:paraId="48FA92F2" w14:textId="77777777" w:rsidTr="00D91CF8">
        <w:tc>
          <w:tcPr>
            <w:tcW w:w="1803" w:type="dxa"/>
          </w:tcPr>
          <w:p w14:paraId="2B625531" w14:textId="07B39BB3" w:rsidR="007D05FF" w:rsidRPr="00C73288" w:rsidRDefault="007D05FF" w:rsidP="00573CBC">
            <w:pPr>
              <w:pStyle w:val="TableHeading"/>
              <w:jc w:val="center"/>
              <w:rPr>
                <w:b w:val="0"/>
                <w:bCs/>
              </w:rPr>
            </w:pPr>
            <w:r w:rsidRPr="00C73288">
              <w:rPr>
                <w:b w:val="0"/>
                <w:bCs/>
              </w:rPr>
              <w:t>Progression-</w:t>
            </w:r>
            <w:r w:rsidR="00916FCA">
              <w:rPr>
                <w:b w:val="0"/>
                <w:bCs/>
              </w:rPr>
              <w:t>Free Survival, Median months</w:t>
            </w:r>
          </w:p>
        </w:tc>
        <w:tc>
          <w:tcPr>
            <w:tcW w:w="1803" w:type="dxa"/>
          </w:tcPr>
          <w:p w14:paraId="766B0B72" w14:textId="77777777" w:rsidR="007D05FF" w:rsidRDefault="007D05FF" w:rsidP="00573CBC">
            <w:pPr>
              <w:pStyle w:val="TableBody"/>
              <w:jc w:val="center"/>
            </w:pPr>
            <w:r>
              <w:t>5.5</w:t>
            </w:r>
          </w:p>
        </w:tc>
        <w:tc>
          <w:tcPr>
            <w:tcW w:w="1803" w:type="dxa"/>
          </w:tcPr>
          <w:p w14:paraId="03A2FBAB" w14:textId="77777777" w:rsidR="007D05FF" w:rsidRDefault="007D05FF" w:rsidP="00573CBC">
            <w:pPr>
              <w:pStyle w:val="TableBody"/>
              <w:jc w:val="center"/>
            </w:pPr>
            <w:r>
              <w:t>6.7</w:t>
            </w:r>
          </w:p>
        </w:tc>
        <w:tc>
          <w:tcPr>
            <w:tcW w:w="1803" w:type="dxa"/>
          </w:tcPr>
          <w:p w14:paraId="1E9D8E4A" w14:textId="77777777" w:rsidR="007D05FF" w:rsidRDefault="007D05FF" w:rsidP="00573CBC">
            <w:pPr>
              <w:pStyle w:val="TableBody"/>
              <w:jc w:val="center"/>
            </w:pPr>
            <w:r>
              <w:t>0.71 (0.59-0.85)</w:t>
            </w:r>
          </w:p>
        </w:tc>
        <w:tc>
          <w:tcPr>
            <w:tcW w:w="1804" w:type="dxa"/>
          </w:tcPr>
          <w:p w14:paraId="1D686515" w14:textId="77777777" w:rsidR="007D05FF" w:rsidRDefault="007D05FF" w:rsidP="00573CBC">
            <w:pPr>
              <w:pStyle w:val="TableBody"/>
              <w:jc w:val="center"/>
            </w:pPr>
            <w:r>
              <w:t>0.0002</w:t>
            </w:r>
          </w:p>
        </w:tc>
      </w:tr>
      <w:tr w:rsidR="007D05FF" w14:paraId="5E3FEE47" w14:textId="77777777" w:rsidTr="00D91CF8">
        <w:tc>
          <w:tcPr>
            <w:tcW w:w="1803" w:type="dxa"/>
          </w:tcPr>
          <w:p w14:paraId="4FE43038" w14:textId="66C2D6EC" w:rsidR="007D05FF" w:rsidRPr="00C73288" w:rsidRDefault="007D05FF" w:rsidP="00573CBC">
            <w:pPr>
              <w:pStyle w:val="TableHeading"/>
              <w:jc w:val="center"/>
              <w:rPr>
                <w:b w:val="0"/>
                <w:bCs/>
              </w:rPr>
            </w:pPr>
            <w:r w:rsidRPr="00C73288">
              <w:rPr>
                <w:b w:val="0"/>
                <w:bCs/>
              </w:rPr>
              <w:t>Time to Dis</w:t>
            </w:r>
            <w:r w:rsidR="00916FCA">
              <w:rPr>
                <w:b w:val="0"/>
                <w:bCs/>
              </w:rPr>
              <w:t>ease Progression, Median months</w:t>
            </w:r>
          </w:p>
        </w:tc>
        <w:tc>
          <w:tcPr>
            <w:tcW w:w="1803" w:type="dxa"/>
          </w:tcPr>
          <w:p w14:paraId="001ABA2D" w14:textId="77777777" w:rsidR="007D05FF" w:rsidRDefault="007D05FF" w:rsidP="00573CBC">
            <w:pPr>
              <w:pStyle w:val="TableBody"/>
              <w:jc w:val="center"/>
            </w:pPr>
            <w:r>
              <w:t>5.6</w:t>
            </w:r>
          </w:p>
        </w:tc>
        <w:tc>
          <w:tcPr>
            <w:tcW w:w="1803" w:type="dxa"/>
          </w:tcPr>
          <w:p w14:paraId="1C64FE0E" w14:textId="77777777" w:rsidR="007D05FF" w:rsidRDefault="007D05FF" w:rsidP="00573CBC">
            <w:pPr>
              <w:pStyle w:val="TableBody"/>
              <w:jc w:val="center"/>
            </w:pPr>
            <w:r>
              <w:t>7.1</w:t>
            </w:r>
          </w:p>
        </w:tc>
        <w:tc>
          <w:tcPr>
            <w:tcW w:w="1803" w:type="dxa"/>
          </w:tcPr>
          <w:p w14:paraId="69733148" w14:textId="77777777" w:rsidR="007D05FF" w:rsidRDefault="007D05FF" w:rsidP="00573CBC">
            <w:pPr>
              <w:pStyle w:val="TableBody"/>
              <w:jc w:val="center"/>
            </w:pPr>
            <w:r>
              <w:t>0.70 (0.58-0.85)</w:t>
            </w:r>
          </w:p>
        </w:tc>
        <w:tc>
          <w:tcPr>
            <w:tcW w:w="1804" w:type="dxa"/>
          </w:tcPr>
          <w:p w14:paraId="0336895A" w14:textId="77777777" w:rsidR="007D05FF" w:rsidRDefault="007D05FF" w:rsidP="00573CBC">
            <w:pPr>
              <w:pStyle w:val="TableBody"/>
              <w:jc w:val="center"/>
            </w:pPr>
            <w:r>
              <w:t>0.0003</w:t>
            </w:r>
          </w:p>
        </w:tc>
      </w:tr>
      <w:tr w:rsidR="007D05FF" w14:paraId="7E8EF19C" w14:textId="77777777" w:rsidTr="00D91CF8">
        <w:tc>
          <w:tcPr>
            <w:tcW w:w="1803" w:type="dxa"/>
          </w:tcPr>
          <w:p w14:paraId="55A4F68E" w14:textId="3BBD92E1" w:rsidR="007D05FF" w:rsidRPr="00C73288" w:rsidRDefault="00916FCA" w:rsidP="00573CBC">
            <w:pPr>
              <w:pStyle w:val="TableHeading"/>
              <w:jc w:val="center"/>
              <w:rPr>
                <w:b w:val="0"/>
                <w:bCs/>
              </w:rPr>
            </w:pPr>
            <w:r>
              <w:rPr>
                <w:b w:val="0"/>
                <w:bCs/>
              </w:rPr>
              <w:t>Overall Response Rate, %</w:t>
            </w:r>
          </w:p>
        </w:tc>
        <w:tc>
          <w:tcPr>
            <w:tcW w:w="1803" w:type="dxa"/>
          </w:tcPr>
          <w:p w14:paraId="3493917C" w14:textId="77777777" w:rsidR="007D05FF" w:rsidRDefault="007D05FF" w:rsidP="00573CBC">
            <w:pPr>
              <w:pStyle w:val="TableBody"/>
              <w:jc w:val="center"/>
            </w:pPr>
            <w:r>
              <w:t>34.5</w:t>
            </w:r>
          </w:p>
        </w:tc>
        <w:tc>
          <w:tcPr>
            <w:tcW w:w="1803" w:type="dxa"/>
          </w:tcPr>
          <w:p w14:paraId="1C410B1B" w14:textId="77777777" w:rsidR="007D05FF" w:rsidRDefault="007D05FF" w:rsidP="00573CBC">
            <w:pPr>
              <w:pStyle w:val="TableBody"/>
              <w:jc w:val="center"/>
            </w:pPr>
            <w:r>
              <w:t>47.3</w:t>
            </w:r>
          </w:p>
        </w:tc>
        <w:tc>
          <w:tcPr>
            <w:tcW w:w="1803" w:type="dxa"/>
          </w:tcPr>
          <w:p w14:paraId="0653C21C" w14:textId="77777777" w:rsidR="007D05FF" w:rsidRDefault="007D05FF" w:rsidP="00573CBC">
            <w:pPr>
              <w:pStyle w:val="TableBody"/>
              <w:jc w:val="center"/>
            </w:pPr>
            <w:r>
              <w:t>1.70</w:t>
            </w:r>
            <w:r w:rsidRPr="00970144">
              <w:rPr>
                <w:vertAlign w:val="superscript"/>
              </w:rPr>
              <w:t>a</w:t>
            </w:r>
            <w:r>
              <w:t xml:space="preserve"> (1.22, 2.38)</w:t>
            </w:r>
          </w:p>
        </w:tc>
        <w:tc>
          <w:tcPr>
            <w:tcW w:w="1804" w:type="dxa"/>
          </w:tcPr>
          <w:p w14:paraId="564A6198" w14:textId="77777777" w:rsidR="007D05FF" w:rsidRDefault="007D05FF" w:rsidP="00573CBC">
            <w:pPr>
              <w:pStyle w:val="TableBody"/>
              <w:jc w:val="center"/>
            </w:pPr>
            <w:r>
              <w:t>0.0017</w:t>
            </w:r>
          </w:p>
        </w:tc>
      </w:tr>
      <w:tr w:rsidR="007D05FF" w14:paraId="70C6A764" w14:textId="77777777" w:rsidTr="00D91CF8">
        <w:tc>
          <w:tcPr>
            <w:tcW w:w="1803" w:type="dxa"/>
          </w:tcPr>
          <w:p w14:paraId="4CD7F55E" w14:textId="377B6151" w:rsidR="007D05FF" w:rsidRPr="00C73288" w:rsidRDefault="007D05FF" w:rsidP="00573CBC">
            <w:pPr>
              <w:pStyle w:val="TableHeading"/>
              <w:jc w:val="center"/>
              <w:rPr>
                <w:b w:val="0"/>
                <w:bCs/>
              </w:rPr>
            </w:pPr>
            <w:r w:rsidRPr="00C73288">
              <w:rPr>
                <w:b w:val="0"/>
                <w:bCs/>
              </w:rPr>
              <w:lastRenderedPageBreak/>
              <w:t>Dura</w:t>
            </w:r>
            <w:r w:rsidR="00916FCA">
              <w:rPr>
                <w:b w:val="0"/>
                <w:bCs/>
              </w:rPr>
              <w:t>tion of Response, Median months</w:t>
            </w:r>
          </w:p>
        </w:tc>
        <w:tc>
          <w:tcPr>
            <w:tcW w:w="1803" w:type="dxa"/>
          </w:tcPr>
          <w:p w14:paraId="13ECEF31" w14:textId="77777777" w:rsidR="007D05FF" w:rsidRDefault="007D05FF" w:rsidP="00573CBC">
            <w:pPr>
              <w:pStyle w:val="TableBody"/>
              <w:jc w:val="center"/>
            </w:pPr>
            <w:r>
              <w:t>4.8</w:t>
            </w:r>
          </w:p>
        </w:tc>
        <w:tc>
          <w:tcPr>
            <w:tcW w:w="1803" w:type="dxa"/>
          </w:tcPr>
          <w:p w14:paraId="03A0EEB1" w14:textId="77777777" w:rsidR="007D05FF" w:rsidRDefault="007D05FF" w:rsidP="00573CBC">
            <w:pPr>
              <w:pStyle w:val="TableBody"/>
              <w:jc w:val="center"/>
            </w:pPr>
            <w:r>
              <w:t>6.9</w:t>
            </w:r>
          </w:p>
        </w:tc>
        <w:tc>
          <w:tcPr>
            <w:tcW w:w="1803" w:type="dxa"/>
          </w:tcPr>
          <w:p w14:paraId="4FF19F24" w14:textId="77777777" w:rsidR="007D05FF" w:rsidRDefault="007D05FF" w:rsidP="00573CBC">
            <w:pPr>
              <w:pStyle w:val="TableBody"/>
              <w:jc w:val="center"/>
            </w:pPr>
            <w:r>
              <w:t>0.54 (0.40-0.73)</w:t>
            </w:r>
          </w:p>
        </w:tc>
        <w:tc>
          <w:tcPr>
            <w:tcW w:w="1804" w:type="dxa"/>
          </w:tcPr>
          <w:p w14:paraId="037313AE" w14:textId="77777777" w:rsidR="007D05FF" w:rsidRDefault="007D05FF" w:rsidP="00573CBC">
            <w:pPr>
              <w:pStyle w:val="TableBody"/>
              <w:jc w:val="center"/>
            </w:pPr>
            <w:r>
              <w:t>&lt;0.0001</w:t>
            </w:r>
          </w:p>
        </w:tc>
      </w:tr>
    </w:tbl>
    <w:p w14:paraId="1010957A" w14:textId="4B0CF359" w:rsidR="00D91CF8" w:rsidRPr="00970144" w:rsidRDefault="007D05FF" w:rsidP="000E60EC">
      <w:pPr>
        <w:pStyle w:val="Bodyofcontents"/>
        <w:spacing w:before="60" w:after="160"/>
        <w:rPr>
          <w:sz w:val="18"/>
          <w:szCs w:val="18"/>
        </w:rPr>
      </w:pPr>
      <w:r w:rsidRPr="00C73288">
        <w:rPr>
          <w:sz w:val="18"/>
          <w:szCs w:val="18"/>
        </w:rPr>
        <w:t xml:space="preserve">FP: </w:t>
      </w:r>
      <w:proofErr w:type="spellStart"/>
      <w:r w:rsidRPr="00C73288">
        <w:rPr>
          <w:sz w:val="18"/>
          <w:szCs w:val="18"/>
        </w:rPr>
        <w:t>fluoropyrimidine</w:t>
      </w:r>
      <w:proofErr w:type="spellEnd"/>
      <w:r w:rsidRPr="00970144">
        <w:rPr>
          <w:sz w:val="18"/>
          <w:szCs w:val="18"/>
        </w:rPr>
        <w:t xml:space="preserve">/cisplatin; FP+H: </w:t>
      </w:r>
      <w:proofErr w:type="spellStart"/>
      <w:r w:rsidRPr="00970144">
        <w:rPr>
          <w:sz w:val="18"/>
          <w:szCs w:val="18"/>
        </w:rPr>
        <w:t>fluoropyrimidine</w:t>
      </w:r>
      <w:proofErr w:type="spellEnd"/>
      <w:r w:rsidRPr="00970144">
        <w:rPr>
          <w:sz w:val="18"/>
          <w:szCs w:val="18"/>
        </w:rPr>
        <w:t xml:space="preserve">/cisplatin + </w:t>
      </w:r>
      <w:proofErr w:type="spellStart"/>
      <w:r w:rsidR="00C73288" w:rsidRPr="00970144">
        <w:rPr>
          <w:sz w:val="18"/>
          <w:szCs w:val="18"/>
        </w:rPr>
        <w:t>trastuzumab</w:t>
      </w:r>
      <w:proofErr w:type="spellEnd"/>
      <w:r w:rsidRPr="00970144">
        <w:rPr>
          <w:sz w:val="18"/>
          <w:szCs w:val="18"/>
        </w:rPr>
        <w:t>; a Odds ratio</w:t>
      </w:r>
    </w:p>
    <w:p w14:paraId="67431D65" w14:textId="77777777" w:rsidR="007D05FF" w:rsidRPr="00970144" w:rsidRDefault="007D05FF" w:rsidP="007D05FF">
      <w:pPr>
        <w:pStyle w:val="Bodyofcontents"/>
        <w:rPr>
          <w:sz w:val="18"/>
          <w:szCs w:val="18"/>
        </w:rPr>
      </w:pPr>
      <w:r w:rsidRPr="00970144">
        <w:rPr>
          <w:i/>
          <w:sz w:val="18"/>
          <w:szCs w:val="18"/>
        </w:rPr>
        <w:t>Progression-free-survival:</w:t>
      </w:r>
      <w:r w:rsidRPr="00970144">
        <w:rPr>
          <w:sz w:val="18"/>
          <w:szCs w:val="18"/>
        </w:rPr>
        <w:t xml:space="preserve"> time between day of randomization and first documentation of progressive disease (PD) or date of </w:t>
      </w:r>
      <w:r w:rsidR="00970144">
        <w:rPr>
          <w:sz w:val="18"/>
          <w:szCs w:val="18"/>
        </w:rPr>
        <w:t xml:space="preserve">death, whichever occurred </w:t>
      </w:r>
      <w:proofErr w:type="gramStart"/>
      <w:r w:rsidR="00970144">
        <w:rPr>
          <w:sz w:val="18"/>
          <w:szCs w:val="18"/>
        </w:rPr>
        <w:t>first.</w:t>
      </w:r>
      <w:proofErr w:type="gramEnd"/>
      <w:r w:rsidRPr="00970144">
        <w:rPr>
          <w:sz w:val="18"/>
          <w:szCs w:val="18"/>
        </w:rPr>
        <w:t xml:space="preserve"> </w:t>
      </w:r>
      <w:r w:rsidRPr="00970144">
        <w:rPr>
          <w:i/>
          <w:sz w:val="18"/>
          <w:szCs w:val="18"/>
        </w:rPr>
        <w:t>Time to disease progression</w:t>
      </w:r>
      <w:r w:rsidRPr="00970144">
        <w:rPr>
          <w:sz w:val="18"/>
          <w:szCs w:val="18"/>
        </w:rPr>
        <w:t>: time between randomization and first occurrence of PD. O</w:t>
      </w:r>
      <w:r w:rsidRPr="00970144">
        <w:rPr>
          <w:i/>
          <w:sz w:val="18"/>
          <w:szCs w:val="18"/>
        </w:rPr>
        <w:t>verall response:</w:t>
      </w:r>
      <w:r w:rsidRPr="00970144">
        <w:rPr>
          <w:sz w:val="18"/>
          <w:szCs w:val="18"/>
        </w:rPr>
        <w:t xml:space="preserve"> occurrence of either a confirmed complete (CR) or a partial (PR) best overall response as determined by RECIST criteria from confirmed radiographic evaluations of target and non-target lesions. </w:t>
      </w:r>
      <w:r w:rsidRPr="00970144">
        <w:rPr>
          <w:i/>
          <w:sz w:val="18"/>
          <w:szCs w:val="18"/>
        </w:rPr>
        <w:t>Duration of response</w:t>
      </w:r>
      <w:r w:rsidRPr="00970144">
        <w:rPr>
          <w:sz w:val="18"/>
          <w:szCs w:val="18"/>
        </w:rPr>
        <w:t xml:space="preserve">: time from when response (CR or PR) was first documented to the first documented disease progression. This </w:t>
      </w:r>
      <w:proofErr w:type="gramStart"/>
      <w:r w:rsidRPr="00970144">
        <w:rPr>
          <w:sz w:val="18"/>
          <w:szCs w:val="18"/>
        </w:rPr>
        <w:t>was only calculated</w:t>
      </w:r>
      <w:proofErr w:type="gramEnd"/>
      <w:r w:rsidRPr="00970144">
        <w:rPr>
          <w:sz w:val="18"/>
          <w:szCs w:val="18"/>
        </w:rPr>
        <w:t xml:space="preserve"> for patients who had a best overall response of CR or PR.</w:t>
      </w:r>
    </w:p>
    <w:p w14:paraId="14CB8EC0" w14:textId="77777777" w:rsidR="000B377E" w:rsidRPr="00A15169" w:rsidRDefault="000B377E" w:rsidP="000B377E">
      <w:pPr>
        <w:pStyle w:val="SubjectHeading"/>
      </w:pPr>
      <w:r w:rsidRPr="00A15169">
        <w:t>INDICATIONS</w:t>
      </w:r>
    </w:p>
    <w:p w14:paraId="6030142B" w14:textId="724269DC" w:rsidR="007D05FF" w:rsidRDefault="00916FCA" w:rsidP="007D05FF">
      <w:pPr>
        <w:pStyle w:val="Subheading2"/>
      </w:pPr>
      <w:r>
        <w:t>Early Breast Cancer</w:t>
      </w:r>
    </w:p>
    <w:p w14:paraId="2F82AD35" w14:textId="363BEFB0" w:rsidR="007D05FF" w:rsidRDefault="00A231CB" w:rsidP="007D05FF">
      <w:pPr>
        <w:pStyle w:val="Bodyofcontents"/>
      </w:pPr>
      <w:r>
        <w:t>OGIVRI</w:t>
      </w:r>
      <w:r w:rsidR="007D05FF">
        <w:t xml:space="preserve"> is indicated for the treatment of HER2-positive early breast cancer following surgery, and in association with chemotherapy an</w:t>
      </w:r>
      <w:r w:rsidR="00916FCA">
        <w:t>d, if applicable, radiotherapy.</w:t>
      </w:r>
    </w:p>
    <w:p w14:paraId="433BA032" w14:textId="1FE0AD9D" w:rsidR="007D05FF" w:rsidRDefault="00916FCA" w:rsidP="007D05FF">
      <w:pPr>
        <w:pStyle w:val="Subheading2"/>
      </w:pPr>
      <w:r>
        <w:t>Locally Advanced Breast Cancer</w:t>
      </w:r>
    </w:p>
    <w:p w14:paraId="617D851D" w14:textId="5F5CA397" w:rsidR="007D05FF" w:rsidRDefault="00A231CB" w:rsidP="007D05FF">
      <w:pPr>
        <w:pStyle w:val="Bodyofcontents"/>
      </w:pPr>
      <w:r>
        <w:t>OGIVRI</w:t>
      </w:r>
      <w:r w:rsidR="007D05FF">
        <w:t xml:space="preserve"> </w:t>
      </w:r>
      <w:proofErr w:type="gramStart"/>
      <w:r w:rsidR="007D05FF">
        <w:t>is indicated</w:t>
      </w:r>
      <w:proofErr w:type="gramEnd"/>
      <w:r w:rsidR="007D05FF">
        <w:t xml:space="preserve"> for the treatment of HER2-positive locally advanced breast cancer in combination with </w:t>
      </w:r>
      <w:proofErr w:type="spellStart"/>
      <w:r w:rsidR="007D05FF">
        <w:t>neoadjuvant</w:t>
      </w:r>
      <w:proofErr w:type="spellEnd"/>
      <w:r w:rsidR="007D05FF">
        <w:t xml:space="preserve"> chemotherapy followed by adjuvant </w:t>
      </w:r>
      <w:r>
        <w:t>OGIVRI</w:t>
      </w:r>
      <w:r w:rsidR="00916FCA">
        <w:t>.</w:t>
      </w:r>
    </w:p>
    <w:p w14:paraId="27689968" w14:textId="215C2AB3" w:rsidR="007D05FF" w:rsidRDefault="00916FCA" w:rsidP="007D05FF">
      <w:pPr>
        <w:pStyle w:val="Subheading2"/>
      </w:pPr>
      <w:r>
        <w:t>Metastatic Breast Cancer</w:t>
      </w:r>
    </w:p>
    <w:p w14:paraId="72D1E586" w14:textId="79058ACD" w:rsidR="007D05FF" w:rsidRDefault="00A231CB" w:rsidP="007D05FF">
      <w:pPr>
        <w:pStyle w:val="Bodyofcontents"/>
      </w:pPr>
      <w:r>
        <w:t>OGIVRI</w:t>
      </w:r>
      <w:r w:rsidR="007D05FF">
        <w:t xml:space="preserve"> </w:t>
      </w:r>
      <w:proofErr w:type="gramStart"/>
      <w:r w:rsidR="007D05FF">
        <w:t>is indicated</w:t>
      </w:r>
      <w:proofErr w:type="gramEnd"/>
      <w:r w:rsidR="007D05FF">
        <w:t xml:space="preserve"> for the treatment of patients with metastatic breast cancer who have tum</w:t>
      </w:r>
      <w:r w:rsidR="00916FCA">
        <w:t>ours that overexpress HER2:</w:t>
      </w:r>
    </w:p>
    <w:p w14:paraId="795F2F1A" w14:textId="11FDD867" w:rsidR="007D05FF" w:rsidRDefault="007D05FF" w:rsidP="006F15B4">
      <w:pPr>
        <w:pStyle w:val="Bodyofcontents"/>
        <w:numPr>
          <w:ilvl w:val="0"/>
          <w:numId w:val="3"/>
        </w:numPr>
      </w:pPr>
      <w:r>
        <w:t>as monotherapy for the treatment of those patients who have received one or more chemotherapy regimen</w:t>
      </w:r>
      <w:r w:rsidR="00916FCA">
        <w:t>s for their metastatic disease;</w:t>
      </w:r>
    </w:p>
    <w:p w14:paraId="539EE82A" w14:textId="10CA84CC" w:rsidR="007D05FF" w:rsidRDefault="007D05FF" w:rsidP="007D05FF">
      <w:pPr>
        <w:pStyle w:val="Bodyofcontents"/>
        <w:numPr>
          <w:ilvl w:val="0"/>
          <w:numId w:val="3"/>
        </w:numPr>
      </w:pPr>
      <w:r>
        <w:t xml:space="preserve">in combination with </w:t>
      </w:r>
      <w:proofErr w:type="spellStart"/>
      <w:r>
        <w:t>taxanes</w:t>
      </w:r>
      <w:proofErr w:type="spellEnd"/>
      <w:r>
        <w:t xml:space="preserve"> for the treatment of those patients who have not received chemotherapy f</w:t>
      </w:r>
      <w:r w:rsidR="00916FCA">
        <w:t>or their metastatic disease; or</w:t>
      </w:r>
    </w:p>
    <w:p w14:paraId="123D6682" w14:textId="3F6BD404" w:rsidR="007D05FF" w:rsidRDefault="007D05FF" w:rsidP="0063714D">
      <w:pPr>
        <w:pStyle w:val="Bodyofcontents"/>
        <w:numPr>
          <w:ilvl w:val="0"/>
          <w:numId w:val="3"/>
        </w:numPr>
      </w:pPr>
      <w:proofErr w:type="gramStart"/>
      <w:r>
        <w:t>in</w:t>
      </w:r>
      <w:proofErr w:type="gramEnd"/>
      <w:r>
        <w:t xml:space="preserve"> combination with an aromatase inhibitor for the treatment of post-menopausal patients with hormone-receptor pos</w:t>
      </w:r>
      <w:r w:rsidR="00916FCA">
        <w:t>itive metastatic breast cancer.</w:t>
      </w:r>
    </w:p>
    <w:p w14:paraId="58923522" w14:textId="19EBE27B" w:rsidR="007D05FF" w:rsidRDefault="00916FCA" w:rsidP="0063714D">
      <w:pPr>
        <w:pStyle w:val="Subheading2"/>
      </w:pPr>
      <w:r>
        <w:t>Advanced Gastric Cancer</w:t>
      </w:r>
    </w:p>
    <w:p w14:paraId="7C0D441F" w14:textId="4D0F9347" w:rsidR="007D05FF" w:rsidRDefault="00A231CB" w:rsidP="007D05FF">
      <w:pPr>
        <w:pStyle w:val="Bodyofcontents"/>
      </w:pPr>
      <w:r>
        <w:t>OGIVRI</w:t>
      </w:r>
      <w:r w:rsidR="007D05FF">
        <w:t xml:space="preserve"> is indicated in combination with cisplatin and either </w:t>
      </w:r>
      <w:proofErr w:type="spellStart"/>
      <w:r w:rsidR="007D05FF">
        <w:t>capecitabine</w:t>
      </w:r>
      <w:proofErr w:type="spellEnd"/>
      <w:r w:rsidR="007D05FF">
        <w:t xml:space="preserve"> or 5-FU for the treatment of patients with HER2 positive advanced adenocarcinoma of the stomach or gastro-oesophageal junction who have not received prior anti-cancer treatment for their metastatic disease.</w:t>
      </w:r>
    </w:p>
    <w:p w14:paraId="23FB533F" w14:textId="77777777" w:rsidR="000B377E" w:rsidRPr="00A15169" w:rsidRDefault="000B377E" w:rsidP="000B377E">
      <w:pPr>
        <w:pStyle w:val="SubjectHeading"/>
      </w:pPr>
      <w:r w:rsidRPr="00A15169">
        <w:t>CONTRAINDICATIONS</w:t>
      </w:r>
    </w:p>
    <w:p w14:paraId="7BB566A2" w14:textId="58AB2F87" w:rsidR="0063714D" w:rsidRDefault="00A231CB" w:rsidP="0063714D">
      <w:pPr>
        <w:pStyle w:val="Bodyofcontents"/>
      </w:pPr>
      <w:r>
        <w:t>OGIVRI</w:t>
      </w:r>
      <w:r w:rsidR="0063714D">
        <w:t xml:space="preserve"> </w:t>
      </w:r>
      <w:proofErr w:type="gramStart"/>
      <w:r w:rsidR="0063714D">
        <w:t>is contraindicated</w:t>
      </w:r>
      <w:proofErr w:type="gramEnd"/>
      <w:r w:rsidR="0063714D">
        <w:t xml:space="preserve"> in patients with known hypersensitivity to </w:t>
      </w:r>
      <w:proofErr w:type="spellStart"/>
      <w:r w:rsidR="0063714D">
        <w:t>trastuzumab</w:t>
      </w:r>
      <w:proofErr w:type="spellEnd"/>
      <w:r w:rsidR="0063714D">
        <w:t>, Chinese hamster ovary cell protei</w:t>
      </w:r>
      <w:r w:rsidR="00916FCA">
        <w:t>ns or to any of its excipients.</w:t>
      </w:r>
    </w:p>
    <w:p w14:paraId="792F5161" w14:textId="1AEC0452" w:rsidR="000B377E" w:rsidRDefault="0063714D" w:rsidP="0063714D">
      <w:pPr>
        <w:pStyle w:val="Bodyofcontents"/>
      </w:pPr>
      <w:r>
        <w:lastRenderedPageBreak/>
        <w:t xml:space="preserve">In the treatment of early or locally advanced breast cancer, </w:t>
      </w:r>
      <w:r w:rsidR="00A231CB">
        <w:t>OGIVRI</w:t>
      </w:r>
      <w:r>
        <w:t xml:space="preserve"> </w:t>
      </w:r>
      <w:proofErr w:type="gramStart"/>
      <w:r>
        <w:t>is contraindicated</w:t>
      </w:r>
      <w:proofErr w:type="gramEnd"/>
      <w:r>
        <w:t xml:space="preserve"> in patients with a left ventricular ejection fraction of less than 45% and those with symptomatic heart failure.</w:t>
      </w:r>
    </w:p>
    <w:p w14:paraId="2751F23F" w14:textId="77777777" w:rsidR="000B377E" w:rsidRPr="00A15169" w:rsidRDefault="000B377E" w:rsidP="000B377E">
      <w:pPr>
        <w:pStyle w:val="SubjectHeading"/>
      </w:pPr>
      <w:r w:rsidRPr="00A15169">
        <w:t>PRECAUTIONS</w:t>
      </w:r>
    </w:p>
    <w:p w14:paraId="0DC7260B" w14:textId="64E18B5E" w:rsidR="00FB4FFD" w:rsidRDefault="00916FCA" w:rsidP="00B66C40">
      <w:pPr>
        <w:pStyle w:val="Subheading1"/>
      </w:pPr>
      <w:r>
        <w:t>General</w:t>
      </w:r>
    </w:p>
    <w:p w14:paraId="2C0B2E97" w14:textId="6D18C0E0" w:rsidR="00FB4FFD" w:rsidRDefault="00A231CB" w:rsidP="00FB4FFD">
      <w:pPr>
        <w:pStyle w:val="Bodyofcontents"/>
      </w:pPr>
      <w:r>
        <w:t>OGIVRI</w:t>
      </w:r>
      <w:r w:rsidR="00FB4FFD">
        <w:t xml:space="preserve"> therapy </w:t>
      </w:r>
      <w:proofErr w:type="gramStart"/>
      <w:r w:rsidR="00FB4FFD">
        <w:t>should only be initiated</w:t>
      </w:r>
      <w:proofErr w:type="gramEnd"/>
      <w:r w:rsidR="00FB4FFD">
        <w:t xml:space="preserve"> under the supervision of a physician experienced in the treatment of cancer patients. Usual clinical care </w:t>
      </w:r>
      <w:proofErr w:type="gramStart"/>
      <w:r w:rsidR="00FB4FFD">
        <w:t>should be taken</w:t>
      </w:r>
      <w:proofErr w:type="gramEnd"/>
      <w:r w:rsidR="00FB4FFD">
        <w:t xml:space="preserve"> to prevent microbial contamination of the intravenous access sites used to deliver </w:t>
      </w:r>
      <w:r>
        <w:t>OGIVRI</w:t>
      </w:r>
      <w:r w:rsidR="00FB4FFD">
        <w:t xml:space="preserve"> therapy. </w:t>
      </w:r>
      <w:proofErr w:type="gramStart"/>
      <w:r>
        <w:t>OGIVRI</w:t>
      </w:r>
      <w:r w:rsidR="00FB4FFD">
        <w:t xml:space="preserve"> should be administered by a healthcare professional prepared to manage anaphylaxis</w:t>
      </w:r>
      <w:proofErr w:type="gramEnd"/>
      <w:r w:rsidR="00FB4FFD">
        <w:t xml:space="preserve"> and adequate life support facilities should be available. Treatment </w:t>
      </w:r>
      <w:proofErr w:type="gramStart"/>
      <w:r w:rsidR="00FB4FFD">
        <w:t>may be adminis</w:t>
      </w:r>
      <w:r w:rsidR="00916FCA">
        <w:t>tered</w:t>
      </w:r>
      <w:proofErr w:type="gramEnd"/>
      <w:r w:rsidR="00916FCA">
        <w:t xml:space="preserve"> in an outpatient setting.</w:t>
      </w:r>
    </w:p>
    <w:p w14:paraId="44073258" w14:textId="722E76D8" w:rsidR="00FB4FFD" w:rsidRDefault="00FB4FFD" w:rsidP="00FB4FFD">
      <w:pPr>
        <w:pStyle w:val="Bodyofcontents"/>
      </w:pPr>
      <w:r>
        <w:t xml:space="preserve">If </w:t>
      </w:r>
      <w:r w:rsidR="00A231CB">
        <w:t>OGIVRI</w:t>
      </w:r>
      <w:r>
        <w:t xml:space="preserve"> </w:t>
      </w:r>
      <w:proofErr w:type="gramStart"/>
      <w:r>
        <w:t>is used</w:t>
      </w:r>
      <w:proofErr w:type="gramEnd"/>
      <w:r>
        <w:t xml:space="preserve"> concurrently with cytotoxic chemotherapy, the specific guidelines used to reduce or hold the dose of chemotherapy should be followed. Patients may continue </w:t>
      </w:r>
      <w:r w:rsidR="00A231CB">
        <w:t>OGIVRI</w:t>
      </w:r>
      <w:r>
        <w:t xml:space="preserve"> therapy during periods of reversible chemotherapy-induced </w:t>
      </w:r>
      <w:proofErr w:type="spellStart"/>
      <w:r>
        <w:t>myelosuppression</w:t>
      </w:r>
      <w:proofErr w:type="spellEnd"/>
      <w:r>
        <w:t>, rena</w:t>
      </w:r>
      <w:r w:rsidR="00916FCA">
        <w:t>l toxicity or hepatic toxicity.</w:t>
      </w:r>
    </w:p>
    <w:p w14:paraId="3E8871AF" w14:textId="2F150F6B" w:rsidR="00173CB1" w:rsidRDefault="00173CB1" w:rsidP="00FB4FFD">
      <w:pPr>
        <w:pStyle w:val="Bodyofcontents"/>
        <w:rPr>
          <w:rFonts w:eastAsiaTheme="minorHAnsi"/>
          <w:color w:val="000000"/>
          <w:lang w:eastAsia="en-US"/>
        </w:rPr>
      </w:pPr>
      <w:bookmarkStart w:id="0" w:name="_Hlk499122147"/>
      <w:r w:rsidRPr="00A30F9F">
        <w:rPr>
          <w:rFonts w:eastAsiaTheme="minorHAnsi"/>
          <w:color w:val="000000"/>
          <w:lang w:eastAsia="en-US"/>
        </w:rPr>
        <w:t>Severe dyspnoea at rest due to complications of advanced malignancy or requiring supplementary oxygen therapy.</w:t>
      </w:r>
    </w:p>
    <w:p w14:paraId="28883EAC" w14:textId="77777777" w:rsidR="00173CB1" w:rsidRPr="00D73AFA" w:rsidRDefault="00173CB1" w:rsidP="00173CB1">
      <w:pPr>
        <w:pStyle w:val="Subheading1"/>
      </w:pPr>
      <w:r w:rsidRPr="00D73AFA">
        <w:t>Sorbitol</w:t>
      </w:r>
    </w:p>
    <w:p w14:paraId="5A1C83D0" w14:textId="13144BE5" w:rsidR="00173CB1" w:rsidRDefault="00173CB1" w:rsidP="00173CB1">
      <w:pPr>
        <w:pStyle w:val="Bodyofcontents"/>
      </w:pPr>
      <w:r>
        <w:t xml:space="preserve">OGIVRI contains 0.77 mg sorbitol/ 1.00 mg </w:t>
      </w:r>
      <w:proofErr w:type="spellStart"/>
      <w:r>
        <w:t>trastuzumab</w:t>
      </w:r>
      <w:proofErr w:type="spellEnd"/>
      <w:r>
        <w:t>. There is 115.2 mg of sorbitol in the 150 mg vial and 337.9 mg of sorbitol in the 440 mg Pharmacy Bulk Pack.</w:t>
      </w:r>
    </w:p>
    <w:p w14:paraId="12F9A300" w14:textId="77777777" w:rsidR="00173CB1" w:rsidRPr="008A1E0A" w:rsidRDefault="00173CB1" w:rsidP="00173CB1">
      <w:pPr>
        <w:pStyle w:val="Bodyofcontents"/>
      </w:pPr>
      <w:r w:rsidRPr="008A1E0A">
        <w:t xml:space="preserve">Patients with hereditary fructose intolerance (HFI) </w:t>
      </w:r>
      <w:proofErr w:type="gramStart"/>
      <w:r w:rsidRPr="008A1E0A">
        <w:t>must not be given</w:t>
      </w:r>
      <w:proofErr w:type="gramEnd"/>
      <w:r w:rsidRPr="008A1E0A">
        <w:t xml:space="preserve"> this medicine.</w:t>
      </w:r>
    </w:p>
    <w:p w14:paraId="55FD514A" w14:textId="0DEEE1B6" w:rsidR="00173CB1" w:rsidRPr="00173CB1" w:rsidRDefault="00173CB1" w:rsidP="00173CB1">
      <w:pPr>
        <w:pStyle w:val="Bodyofcontents"/>
      </w:pPr>
      <w:r w:rsidRPr="00173CB1">
        <w:t xml:space="preserve">A detailed history </w:t>
      </w:r>
      <w:proofErr w:type="gramStart"/>
      <w:r w:rsidRPr="00173CB1">
        <w:t>with regards to</w:t>
      </w:r>
      <w:proofErr w:type="gramEnd"/>
      <w:r w:rsidRPr="00173CB1">
        <w:t xml:space="preserve"> HFI symptoms has to be taken of each patient prior to being given this medicinal product.</w:t>
      </w:r>
    </w:p>
    <w:bookmarkEnd w:id="0"/>
    <w:p w14:paraId="63232B7D" w14:textId="4C321A82" w:rsidR="00FB4FFD" w:rsidRDefault="00916FCA" w:rsidP="00B66C40">
      <w:pPr>
        <w:pStyle w:val="Subheading1"/>
      </w:pPr>
      <w:r>
        <w:t>Cardiac Dysfunction</w:t>
      </w:r>
    </w:p>
    <w:p w14:paraId="57484C3A" w14:textId="2DF67936" w:rsidR="00FB4FFD" w:rsidRDefault="00916FCA" w:rsidP="00B66C40">
      <w:pPr>
        <w:pStyle w:val="Subheading2"/>
      </w:pPr>
      <w:r>
        <w:t>General considerations</w:t>
      </w:r>
    </w:p>
    <w:p w14:paraId="0BA1238B" w14:textId="1C234CE2" w:rsidR="00FB4FFD" w:rsidRDefault="00FB4FFD" w:rsidP="00FB4FFD">
      <w:pPr>
        <w:pStyle w:val="Bodyofcontents"/>
      </w:pPr>
      <w:r>
        <w:t xml:space="preserve">Patients treated with </w:t>
      </w:r>
      <w:proofErr w:type="spellStart"/>
      <w:r w:rsidR="006F15B4">
        <w:t>trastuzumab</w:t>
      </w:r>
      <w:proofErr w:type="spellEnd"/>
      <w:r>
        <w:t xml:space="preserve"> are at increased risk of developing congestive heart failure (CHF) (New York Heart Association [NYHA] class II-IV) or asymptomatic cardiac dysfunction. These events </w:t>
      </w:r>
      <w:proofErr w:type="gramStart"/>
      <w:r>
        <w:t>have been observed</w:t>
      </w:r>
      <w:proofErr w:type="gramEnd"/>
      <w:r>
        <w:t xml:space="preserve"> in patients receiving </w:t>
      </w:r>
      <w:proofErr w:type="spellStart"/>
      <w:r w:rsidR="006F15B4">
        <w:t>trastuzumab</w:t>
      </w:r>
      <w:proofErr w:type="spellEnd"/>
      <w:r>
        <w:t xml:space="preserve"> therapy alone or in combination with a </w:t>
      </w:r>
      <w:proofErr w:type="spellStart"/>
      <w:r>
        <w:t>taxane</w:t>
      </w:r>
      <w:proofErr w:type="spellEnd"/>
      <w:r>
        <w:t xml:space="preserve"> following </w:t>
      </w:r>
      <w:proofErr w:type="spellStart"/>
      <w:r>
        <w:t>anthracycline</w:t>
      </w:r>
      <w:proofErr w:type="spellEnd"/>
      <w:r>
        <w:t xml:space="preserve"> (doxorubicin or </w:t>
      </w:r>
      <w:proofErr w:type="spellStart"/>
      <w:r>
        <w:t>epirubicin</w:t>
      </w:r>
      <w:proofErr w:type="spellEnd"/>
      <w:r>
        <w:t>)–containing chemotherapy. This may be moderate to severe and has been associated with death. In addition, caution should be exercised in treating patients with increased cardiac risk e.g. hypertension, documented coronary artery disease, CHF, di</w:t>
      </w:r>
      <w:r w:rsidR="00916FCA">
        <w:t>astolic dysfunction, older age.</w:t>
      </w:r>
    </w:p>
    <w:p w14:paraId="3FDD3023" w14:textId="590427FB" w:rsidR="00FB4FFD" w:rsidRDefault="00FB4FFD" w:rsidP="00FB4FFD">
      <w:pPr>
        <w:pStyle w:val="Bodyofcontents"/>
      </w:pPr>
      <w:r>
        <w:t xml:space="preserve">Population pharmacokinetic model simulations indicate that </w:t>
      </w:r>
      <w:proofErr w:type="spellStart"/>
      <w:r>
        <w:t>trastuzumab</w:t>
      </w:r>
      <w:proofErr w:type="spellEnd"/>
      <w:r>
        <w:t xml:space="preserve"> may persist in the circulation for up to 7 months after stopping </w:t>
      </w:r>
      <w:proofErr w:type="spellStart"/>
      <w:r w:rsidR="006F15B4">
        <w:t>trastuzumab</w:t>
      </w:r>
      <w:proofErr w:type="spellEnd"/>
      <w:r>
        <w:t xml:space="preserve"> treatment (see Pharmacokinetics). Patients who receive </w:t>
      </w:r>
      <w:proofErr w:type="spellStart"/>
      <w:r>
        <w:t>anthracycline</w:t>
      </w:r>
      <w:proofErr w:type="spellEnd"/>
      <w:r>
        <w:t xml:space="preserve"> after stopping </w:t>
      </w:r>
      <w:proofErr w:type="spellStart"/>
      <w:r w:rsidR="006F15B4">
        <w:t>trastuzumab</w:t>
      </w:r>
      <w:proofErr w:type="spellEnd"/>
      <w:r>
        <w:t xml:space="preserve"> may also be at increased risk of cardiac dysfunction. If possible, physicians should avoid </w:t>
      </w:r>
      <w:proofErr w:type="spellStart"/>
      <w:r>
        <w:t>anthracycline</w:t>
      </w:r>
      <w:proofErr w:type="spellEnd"/>
      <w:r>
        <w:t xml:space="preserve">-based therapy for up to 7 months after stopping </w:t>
      </w:r>
      <w:proofErr w:type="spellStart"/>
      <w:r w:rsidR="006F15B4">
        <w:t>trastuzumab</w:t>
      </w:r>
      <w:proofErr w:type="spellEnd"/>
      <w:r>
        <w:t xml:space="preserve">. If </w:t>
      </w:r>
      <w:proofErr w:type="spellStart"/>
      <w:r>
        <w:t>anthracyclines</w:t>
      </w:r>
      <w:proofErr w:type="spellEnd"/>
      <w:r>
        <w:t xml:space="preserve"> are used, the patient’s cardiac function</w:t>
      </w:r>
      <w:r w:rsidR="00916FCA">
        <w:t xml:space="preserve"> </w:t>
      </w:r>
      <w:proofErr w:type="gramStart"/>
      <w:r w:rsidR="00916FCA">
        <w:t>should be monitored</w:t>
      </w:r>
      <w:proofErr w:type="gramEnd"/>
      <w:r w:rsidR="00916FCA">
        <w:t xml:space="preserve"> carefully.</w:t>
      </w:r>
    </w:p>
    <w:p w14:paraId="238C81BD" w14:textId="446B73D0" w:rsidR="00FB4FFD" w:rsidRDefault="00FB4FFD" w:rsidP="00FB4FFD">
      <w:pPr>
        <w:pStyle w:val="Bodyofcontents"/>
        <w:rPr>
          <w:szCs w:val="22"/>
        </w:rPr>
      </w:pPr>
      <w:r>
        <w:t xml:space="preserve">Candidates for treatment with </w:t>
      </w:r>
      <w:proofErr w:type="spellStart"/>
      <w:r w:rsidR="006F15B4">
        <w:t>trastuzumab</w:t>
      </w:r>
      <w:proofErr w:type="spellEnd"/>
      <w:r>
        <w:t xml:space="preserve">, especially those with prior </w:t>
      </w:r>
      <w:proofErr w:type="spellStart"/>
      <w:r>
        <w:t>anthracycline</w:t>
      </w:r>
      <w:proofErr w:type="spellEnd"/>
      <w:r>
        <w:t xml:space="preserve"> and cyclophosphamide (AC) exposure, should undergo baseline cardiac assessment including history and physical examination, ECG echocardiogram, and/or MUGA scan. Monitoring may help to identify patients who develop cardiac dysfunction, including signs and symptoms of CHF. Cardiac assessments, </w:t>
      </w:r>
      <w:r>
        <w:lastRenderedPageBreak/>
        <w:t xml:space="preserve">as performed at baseline, </w:t>
      </w:r>
      <w:proofErr w:type="gramStart"/>
      <w:r>
        <w:t>should be repeated</w:t>
      </w:r>
      <w:proofErr w:type="gramEnd"/>
      <w:r>
        <w:t xml:space="preserve"> every 3 months during </w:t>
      </w:r>
      <w:r>
        <w:rPr>
          <w:szCs w:val="22"/>
        </w:rPr>
        <w:t xml:space="preserve">treatment and every 6 months following discontinuation of treatment until 24 months from the last administration of </w:t>
      </w:r>
      <w:proofErr w:type="spellStart"/>
      <w:r w:rsidR="006F15B4">
        <w:t>trastuzumab</w:t>
      </w:r>
      <w:proofErr w:type="spellEnd"/>
      <w:r w:rsidR="00916FCA">
        <w:rPr>
          <w:szCs w:val="22"/>
        </w:rPr>
        <w:t>.</w:t>
      </w:r>
    </w:p>
    <w:p w14:paraId="6059ED06" w14:textId="636CF5D0" w:rsidR="00FB4FFD" w:rsidRDefault="00FB4FFD" w:rsidP="00FB4FFD">
      <w:pPr>
        <w:pStyle w:val="Bodyofcontents"/>
        <w:rPr>
          <w:szCs w:val="22"/>
        </w:rPr>
      </w:pPr>
      <w:r>
        <w:rPr>
          <w:szCs w:val="22"/>
        </w:rPr>
        <w:t xml:space="preserve">If left ventricular ejection fraction (LVEF) drops 10 percentage points from baseline and to below 50%, </w:t>
      </w:r>
      <w:proofErr w:type="spellStart"/>
      <w:r w:rsidR="006F15B4">
        <w:t>trastuzumab</w:t>
      </w:r>
      <w:proofErr w:type="spellEnd"/>
      <w:r>
        <w:rPr>
          <w:szCs w:val="22"/>
        </w:rPr>
        <w:t xml:space="preserve"> </w:t>
      </w:r>
      <w:proofErr w:type="gramStart"/>
      <w:r>
        <w:rPr>
          <w:szCs w:val="22"/>
        </w:rPr>
        <w:t>should be withheld</w:t>
      </w:r>
      <w:proofErr w:type="gramEnd"/>
      <w:r>
        <w:rPr>
          <w:szCs w:val="22"/>
        </w:rPr>
        <w:t xml:space="preserve"> and a repeat LVEF assessment performed within approximately 3 weeks. If LVEF has not improved, or declined further, or clinically significant CHF has developed, discontinuation of </w:t>
      </w:r>
      <w:proofErr w:type="spellStart"/>
      <w:r w:rsidR="006F15B4">
        <w:t>trastuzumab</w:t>
      </w:r>
      <w:proofErr w:type="spellEnd"/>
      <w:r>
        <w:rPr>
          <w:szCs w:val="22"/>
        </w:rPr>
        <w:t xml:space="preserve"> </w:t>
      </w:r>
      <w:proofErr w:type="gramStart"/>
      <w:r>
        <w:rPr>
          <w:szCs w:val="22"/>
        </w:rPr>
        <w:t>should be strongly considered</w:t>
      </w:r>
      <w:proofErr w:type="gramEnd"/>
      <w:r>
        <w:rPr>
          <w:szCs w:val="22"/>
        </w:rPr>
        <w:t>, unless the benefits for the individual patient ar</w:t>
      </w:r>
      <w:r w:rsidR="00916FCA">
        <w:rPr>
          <w:szCs w:val="22"/>
        </w:rPr>
        <w:t>e deemed to outweigh the risks.</w:t>
      </w:r>
    </w:p>
    <w:p w14:paraId="74E6F650" w14:textId="5AF166A4" w:rsidR="00FB4FFD" w:rsidRDefault="00FB4FFD" w:rsidP="00FB4FFD">
      <w:pPr>
        <w:pStyle w:val="Bodyofcontents"/>
        <w:rPr>
          <w:szCs w:val="22"/>
        </w:rPr>
      </w:pPr>
      <w:r>
        <w:rPr>
          <w:szCs w:val="22"/>
        </w:rPr>
        <w:t xml:space="preserve">Patients who develop asymptomatic cardiac dysfunction may benefit from more frequent monitoring (e.g. every 6 - 8 weeks). If patients have a continued decrease in left ventricular function, but remain asymptomatic, the physician should consider discontinuing therapy if no clinical benefit of </w:t>
      </w:r>
      <w:proofErr w:type="spellStart"/>
      <w:r w:rsidR="006F15B4">
        <w:t>trastuzumab</w:t>
      </w:r>
      <w:proofErr w:type="spellEnd"/>
      <w:r w:rsidR="00916FCA">
        <w:rPr>
          <w:szCs w:val="22"/>
        </w:rPr>
        <w:t xml:space="preserve"> therapy </w:t>
      </w:r>
      <w:proofErr w:type="gramStart"/>
      <w:r w:rsidR="00916FCA">
        <w:rPr>
          <w:szCs w:val="22"/>
        </w:rPr>
        <w:t>has been seen</w:t>
      </w:r>
      <w:proofErr w:type="gramEnd"/>
      <w:r w:rsidR="00916FCA">
        <w:rPr>
          <w:szCs w:val="22"/>
        </w:rPr>
        <w:t>.</w:t>
      </w:r>
    </w:p>
    <w:p w14:paraId="5B8453EC" w14:textId="564F1D19" w:rsidR="00FB4FFD" w:rsidRDefault="00FB4FFD" w:rsidP="00FB4FFD">
      <w:pPr>
        <w:pStyle w:val="Bodyofcontents"/>
        <w:rPr>
          <w:szCs w:val="22"/>
        </w:rPr>
      </w:pPr>
      <w:r>
        <w:rPr>
          <w:szCs w:val="22"/>
        </w:rPr>
        <w:t xml:space="preserve">The safety of continuation or resumption of </w:t>
      </w:r>
      <w:proofErr w:type="spellStart"/>
      <w:r w:rsidR="006F15B4">
        <w:t>trastuzumab</w:t>
      </w:r>
      <w:proofErr w:type="spellEnd"/>
      <w:r>
        <w:rPr>
          <w:szCs w:val="22"/>
        </w:rPr>
        <w:t xml:space="preserve"> in patients who experience cardiac dysfunction </w:t>
      </w:r>
      <w:proofErr w:type="gramStart"/>
      <w:r>
        <w:rPr>
          <w:szCs w:val="22"/>
        </w:rPr>
        <w:t>has not been prospectively studied</w:t>
      </w:r>
      <w:proofErr w:type="gramEnd"/>
      <w:r>
        <w:rPr>
          <w:szCs w:val="22"/>
        </w:rPr>
        <w:t xml:space="preserve">. If symptomatic cardiac failure develops during </w:t>
      </w:r>
      <w:proofErr w:type="spellStart"/>
      <w:r w:rsidR="006F15B4">
        <w:t>trastuzumab</w:t>
      </w:r>
      <w:proofErr w:type="spellEnd"/>
      <w:r>
        <w:rPr>
          <w:szCs w:val="22"/>
        </w:rPr>
        <w:t xml:space="preserve"> therapy, it </w:t>
      </w:r>
      <w:proofErr w:type="gramStart"/>
      <w:r>
        <w:rPr>
          <w:szCs w:val="22"/>
        </w:rPr>
        <w:t>should be treated</w:t>
      </w:r>
      <w:proofErr w:type="gramEnd"/>
      <w:r>
        <w:rPr>
          <w:szCs w:val="22"/>
        </w:rPr>
        <w:t xml:space="preserve"> with the standard medications for this purpose. In the pivotal trials, most patients who developed heart failure or asymptomatic cardiac dysfunction improved with standard heart failure treatment consisting of angiotensin-converting enzyme (ACE) inhibitor or angiotensin receptor blocker (ARB) and a β-blocker. The majority of patients with cardiac symptoms and evidence of a clinical benefit of </w:t>
      </w:r>
      <w:proofErr w:type="spellStart"/>
      <w:r w:rsidR="006F15B4">
        <w:t>trastuzumab</w:t>
      </w:r>
      <w:proofErr w:type="spellEnd"/>
      <w:r>
        <w:rPr>
          <w:szCs w:val="22"/>
        </w:rPr>
        <w:t xml:space="preserve"> treatment continued on weekly therapy with </w:t>
      </w:r>
      <w:proofErr w:type="spellStart"/>
      <w:r w:rsidR="006F15B4">
        <w:t>trastuzumab</w:t>
      </w:r>
      <w:proofErr w:type="spellEnd"/>
      <w:r>
        <w:rPr>
          <w:szCs w:val="22"/>
        </w:rPr>
        <w:t xml:space="preserve"> without additional clinical cardiac</w:t>
      </w:r>
      <w:r w:rsidR="00916FCA">
        <w:rPr>
          <w:szCs w:val="22"/>
        </w:rPr>
        <w:t xml:space="preserve"> events.</w:t>
      </w:r>
    </w:p>
    <w:p w14:paraId="7E945E1F" w14:textId="1703AB1E" w:rsidR="00FB4FFD" w:rsidRDefault="00FB4FFD" w:rsidP="00B66C40">
      <w:pPr>
        <w:pStyle w:val="Subheading2"/>
      </w:pPr>
      <w:r>
        <w:t>Early and</w:t>
      </w:r>
      <w:r w:rsidR="00916FCA">
        <w:t xml:space="preserve"> Locally Advanced Breast Cancer</w:t>
      </w:r>
    </w:p>
    <w:p w14:paraId="1CEBBFDA" w14:textId="50967A8D" w:rsidR="00FB4FFD" w:rsidRDefault="00FB4FFD" w:rsidP="00FB4FFD">
      <w:pPr>
        <w:pStyle w:val="Bodyofcontents"/>
        <w:rPr>
          <w:szCs w:val="22"/>
        </w:rPr>
      </w:pPr>
      <w:r>
        <w:rPr>
          <w:szCs w:val="22"/>
        </w:rPr>
        <w:t xml:space="preserve">For patients with early breast cancer, cardiac assessments, as performed at baseline, </w:t>
      </w:r>
      <w:proofErr w:type="gramStart"/>
      <w:r>
        <w:rPr>
          <w:szCs w:val="22"/>
        </w:rPr>
        <w:t>should be repeated</w:t>
      </w:r>
      <w:proofErr w:type="gramEnd"/>
      <w:r>
        <w:rPr>
          <w:szCs w:val="22"/>
        </w:rPr>
        <w:t xml:space="preserve"> every 3 months during treatment and every 6 months following discontinuation of treatment until 24 months from the last administration of </w:t>
      </w:r>
      <w:proofErr w:type="spellStart"/>
      <w:r w:rsidR="006F15B4">
        <w:t>trastuzumab</w:t>
      </w:r>
      <w:proofErr w:type="spellEnd"/>
      <w:r>
        <w:rPr>
          <w:szCs w:val="22"/>
        </w:rPr>
        <w:t xml:space="preserve">. In patients who receive </w:t>
      </w:r>
      <w:proofErr w:type="spellStart"/>
      <w:proofErr w:type="gramStart"/>
      <w:r>
        <w:rPr>
          <w:szCs w:val="22"/>
        </w:rPr>
        <w:t>anthracycline</w:t>
      </w:r>
      <w:proofErr w:type="spellEnd"/>
      <w:proofErr w:type="gramEnd"/>
      <w:r>
        <w:rPr>
          <w:szCs w:val="22"/>
        </w:rPr>
        <w:t xml:space="preserve"> containing chemotherapy further monitoring is </w:t>
      </w:r>
      <w:r w:rsidR="0002294D">
        <w:rPr>
          <w:szCs w:val="22"/>
        </w:rPr>
        <w:t>recommended and</w:t>
      </w:r>
      <w:r>
        <w:rPr>
          <w:szCs w:val="22"/>
        </w:rPr>
        <w:t xml:space="preserve"> should occur yearly up to 5 years from the last administration of </w:t>
      </w:r>
      <w:proofErr w:type="spellStart"/>
      <w:r w:rsidR="006F15B4">
        <w:t>trastuzumab</w:t>
      </w:r>
      <w:proofErr w:type="spellEnd"/>
      <w:r>
        <w:rPr>
          <w:szCs w:val="22"/>
        </w:rPr>
        <w:t>, or longer if a continuous</w:t>
      </w:r>
      <w:r w:rsidR="00916FCA">
        <w:rPr>
          <w:szCs w:val="22"/>
        </w:rPr>
        <w:t xml:space="preserve"> decrease of LVEF is observed.</w:t>
      </w:r>
    </w:p>
    <w:p w14:paraId="1B2BD9F3" w14:textId="44243F1B" w:rsidR="00FB4FFD" w:rsidRDefault="00FB4FFD" w:rsidP="00FB4FFD">
      <w:pPr>
        <w:pStyle w:val="Bodyofcontents"/>
        <w:rPr>
          <w:szCs w:val="22"/>
        </w:rPr>
      </w:pPr>
      <w:r>
        <w:rPr>
          <w:szCs w:val="22"/>
        </w:rPr>
        <w:t xml:space="preserve">All patients should have a determination of LVEF prior to treatment. Use of </w:t>
      </w:r>
      <w:proofErr w:type="spellStart"/>
      <w:r w:rsidR="006F15B4">
        <w:t>trastuzumab</w:t>
      </w:r>
      <w:proofErr w:type="spellEnd"/>
      <w:r>
        <w:rPr>
          <w:szCs w:val="22"/>
        </w:rPr>
        <w:t xml:space="preserve"> </w:t>
      </w:r>
      <w:proofErr w:type="gramStart"/>
      <w:r>
        <w:rPr>
          <w:szCs w:val="22"/>
        </w:rPr>
        <w:t>is contraindicated</w:t>
      </w:r>
      <w:proofErr w:type="gramEnd"/>
      <w:r>
        <w:rPr>
          <w:szCs w:val="22"/>
        </w:rPr>
        <w:t xml:space="preserve"> in patients with early or locally advanced disease and a LVEF of less than 45% and those with symptomatic heart failure (see CONTRAINDICATIONS). Patients with a LVEF of 45 - 55% at baseline </w:t>
      </w:r>
      <w:proofErr w:type="gramStart"/>
      <w:r>
        <w:rPr>
          <w:szCs w:val="22"/>
        </w:rPr>
        <w:t>should be monitored</w:t>
      </w:r>
      <w:proofErr w:type="gramEnd"/>
      <w:r>
        <w:rPr>
          <w:szCs w:val="22"/>
        </w:rPr>
        <w:t xml:space="preserve"> regularly for symptoms of heart failure during </w:t>
      </w:r>
      <w:proofErr w:type="spellStart"/>
      <w:r w:rsidR="006F15B4">
        <w:t>trastuzumab</w:t>
      </w:r>
      <w:proofErr w:type="spellEnd"/>
      <w:r w:rsidR="00916FCA">
        <w:rPr>
          <w:szCs w:val="22"/>
        </w:rPr>
        <w:t xml:space="preserve"> treatment.</w:t>
      </w:r>
    </w:p>
    <w:p w14:paraId="7C550B40" w14:textId="7D99689A" w:rsidR="00FB4FFD" w:rsidRDefault="00FB4FFD" w:rsidP="00FB4FFD">
      <w:pPr>
        <w:pStyle w:val="Bodyofcontents"/>
        <w:rPr>
          <w:szCs w:val="22"/>
        </w:rPr>
      </w:pPr>
      <w:r>
        <w:rPr>
          <w:szCs w:val="22"/>
        </w:rPr>
        <w:t>Patients with history of myocardial infarction (MI), angina pectoris requiring medication, history o</w:t>
      </w:r>
      <w:r w:rsidR="00AE3D10">
        <w:rPr>
          <w:szCs w:val="22"/>
        </w:rPr>
        <w:t>f or present CHF (NYHA Class II</w:t>
      </w:r>
      <w:r>
        <w:rPr>
          <w:szCs w:val="22"/>
        </w:rPr>
        <w:t xml:space="preserve">–IV), other cardiomyopathy, cardiac arrhythmia requiring medication, clinically significant cardiac valvular disease, poorly controlled hypertension (hypertension controlled by standard medication eligible), and haemodynamic effective pericardial effusion were excluded from adjuvant and </w:t>
      </w:r>
      <w:proofErr w:type="spellStart"/>
      <w:r>
        <w:rPr>
          <w:szCs w:val="22"/>
        </w:rPr>
        <w:t>neoadjuvant</w:t>
      </w:r>
      <w:proofErr w:type="spellEnd"/>
      <w:r>
        <w:rPr>
          <w:szCs w:val="22"/>
        </w:rPr>
        <w:t xml:space="preserve"> breast cancer clinical trials with </w:t>
      </w:r>
      <w:proofErr w:type="spellStart"/>
      <w:r w:rsidR="006F15B4">
        <w:t>trastuzumab</w:t>
      </w:r>
      <w:proofErr w:type="spellEnd"/>
      <w:r w:rsidR="00916FCA">
        <w:rPr>
          <w:szCs w:val="22"/>
        </w:rPr>
        <w:t>.</w:t>
      </w:r>
    </w:p>
    <w:p w14:paraId="659D9D7E" w14:textId="77777777" w:rsidR="00FB4FFD" w:rsidRDefault="00FB4FFD" w:rsidP="00B66C40">
      <w:pPr>
        <w:pStyle w:val="Subheading2"/>
      </w:pPr>
      <w:r>
        <w:t xml:space="preserve">Adjuvant treatment </w:t>
      </w:r>
    </w:p>
    <w:p w14:paraId="6AAFE5BA" w14:textId="03CA9B5E" w:rsidR="0063714D" w:rsidRDefault="006F15B4" w:rsidP="00FB4FFD">
      <w:pPr>
        <w:pStyle w:val="Bodyofcontents"/>
        <w:rPr>
          <w:szCs w:val="22"/>
        </w:rPr>
      </w:pPr>
      <w:proofErr w:type="spellStart"/>
      <w:r>
        <w:t>Trastuzumab</w:t>
      </w:r>
      <w:proofErr w:type="spellEnd"/>
      <w:r w:rsidR="00FB4FFD">
        <w:rPr>
          <w:szCs w:val="22"/>
        </w:rPr>
        <w:t xml:space="preserve"> and </w:t>
      </w:r>
      <w:proofErr w:type="spellStart"/>
      <w:r w:rsidR="00FB4FFD">
        <w:rPr>
          <w:szCs w:val="22"/>
        </w:rPr>
        <w:t>anthracyclines</w:t>
      </w:r>
      <w:proofErr w:type="spellEnd"/>
      <w:r w:rsidR="00FB4FFD">
        <w:rPr>
          <w:szCs w:val="22"/>
        </w:rPr>
        <w:t xml:space="preserve"> </w:t>
      </w:r>
      <w:proofErr w:type="gramStart"/>
      <w:r w:rsidR="00FB4FFD">
        <w:rPr>
          <w:szCs w:val="22"/>
        </w:rPr>
        <w:t>should not be given</w:t>
      </w:r>
      <w:proofErr w:type="gramEnd"/>
      <w:r w:rsidR="00FB4FFD">
        <w:rPr>
          <w:szCs w:val="22"/>
        </w:rPr>
        <w:t xml:space="preserve"> concurrently in the adjuvant treatment setting.</w:t>
      </w:r>
    </w:p>
    <w:p w14:paraId="790D138B" w14:textId="02C632A6" w:rsidR="00FB4FFD" w:rsidRDefault="00FB4FFD" w:rsidP="00FB4FFD">
      <w:pPr>
        <w:pStyle w:val="Bodyofcontents"/>
      </w:pPr>
      <w:r>
        <w:t xml:space="preserve">An increase in the incidence of symptomatic and asymptomatic cardiac events was observed when </w:t>
      </w:r>
      <w:proofErr w:type="spellStart"/>
      <w:r w:rsidR="006F15B4">
        <w:t>trastuzumab</w:t>
      </w:r>
      <w:proofErr w:type="spellEnd"/>
      <w:r>
        <w:t xml:space="preserve"> was administered after </w:t>
      </w:r>
      <w:proofErr w:type="spellStart"/>
      <w:r>
        <w:t>anthracycline</w:t>
      </w:r>
      <w:proofErr w:type="spellEnd"/>
      <w:r>
        <w:t>-containing chemotherapy compared to administration with a non-</w:t>
      </w:r>
      <w:proofErr w:type="spellStart"/>
      <w:r>
        <w:t>anthracycline</w:t>
      </w:r>
      <w:proofErr w:type="spellEnd"/>
      <w:r>
        <w:t xml:space="preserve"> regimen of docetaxel and carboplatin. The incidence was more marked when </w:t>
      </w:r>
      <w:proofErr w:type="spellStart"/>
      <w:r w:rsidR="006F15B4">
        <w:t>trastuzumab</w:t>
      </w:r>
      <w:proofErr w:type="spellEnd"/>
      <w:r>
        <w:t xml:space="preserve"> </w:t>
      </w:r>
      <w:proofErr w:type="gramStart"/>
      <w:r>
        <w:t>was administered</w:t>
      </w:r>
      <w:proofErr w:type="gramEnd"/>
      <w:r>
        <w:t xml:space="preserve"> concurrently with </w:t>
      </w:r>
      <w:proofErr w:type="spellStart"/>
      <w:r>
        <w:t>taxanes</w:t>
      </w:r>
      <w:proofErr w:type="spellEnd"/>
      <w:r>
        <w:t xml:space="preserve"> than when administered </w:t>
      </w:r>
      <w:r>
        <w:lastRenderedPageBreak/>
        <w:t xml:space="preserve">sequentially to </w:t>
      </w:r>
      <w:proofErr w:type="spellStart"/>
      <w:r>
        <w:t>taxanes</w:t>
      </w:r>
      <w:proofErr w:type="spellEnd"/>
      <w:r>
        <w:t>. Regardless of the regimen used, most symptomatic cardiac events occur</w:t>
      </w:r>
      <w:r w:rsidR="00916FCA">
        <w:t>red within the first 18 months.</w:t>
      </w:r>
    </w:p>
    <w:p w14:paraId="05B3A8D2" w14:textId="6EFDA787" w:rsidR="00FB4FFD" w:rsidRDefault="00FB4FFD" w:rsidP="00FB4FFD">
      <w:pPr>
        <w:pStyle w:val="Bodyofcontents"/>
      </w:pPr>
      <w:r>
        <w:t xml:space="preserve">Risk factors for a cardiac event, identified in 4 large adjuvant studies, included advanced age (&gt; 50 years), low level of baseline and declining LVEF (&lt; 55%), low LVEF prior to or following the initiation </w:t>
      </w:r>
      <w:proofErr w:type="gramStart"/>
      <w:r>
        <w:t>of</w:t>
      </w:r>
      <w:proofErr w:type="gramEnd"/>
      <w:r>
        <w:t xml:space="preserve"> paclitaxel treatment, </w:t>
      </w:r>
      <w:proofErr w:type="spellStart"/>
      <w:r w:rsidR="00AE3D10">
        <w:t>trastuzumab</w:t>
      </w:r>
      <w:proofErr w:type="spellEnd"/>
      <w:r>
        <w:t xml:space="preserve"> treatment, and prior or concurrent use of anti-hypertensive medications. In patients receiving </w:t>
      </w:r>
      <w:proofErr w:type="spellStart"/>
      <w:r w:rsidR="00AE3D10">
        <w:t>trastuzumab</w:t>
      </w:r>
      <w:proofErr w:type="spellEnd"/>
      <w:r>
        <w:t xml:space="preserve"> after completion of adjuvant </w:t>
      </w:r>
      <w:proofErr w:type="gramStart"/>
      <w:r>
        <w:t>chemotherapy</w:t>
      </w:r>
      <w:proofErr w:type="gramEnd"/>
      <w:r>
        <w:t xml:space="preserve"> the risk of cardiac dysfunction was associated with a higher cumulative dose of </w:t>
      </w:r>
      <w:proofErr w:type="spellStart"/>
      <w:r>
        <w:t>anthracycline</w:t>
      </w:r>
      <w:proofErr w:type="spellEnd"/>
      <w:r>
        <w:t xml:space="preserve"> given prior to initiation of </w:t>
      </w:r>
      <w:proofErr w:type="spellStart"/>
      <w:r w:rsidR="00AE3D10">
        <w:t>trastuzumab</w:t>
      </w:r>
      <w:proofErr w:type="spellEnd"/>
      <w:r>
        <w:t xml:space="preserve"> and a high body mass index (&gt; 25 kg/m</w:t>
      </w:r>
      <w:r w:rsidRPr="00AE3D10">
        <w:rPr>
          <w:vertAlign w:val="superscript"/>
        </w:rPr>
        <w:t>2</w:t>
      </w:r>
      <w:r w:rsidR="00916FCA">
        <w:t>).</w:t>
      </w:r>
    </w:p>
    <w:p w14:paraId="5860345D" w14:textId="34652C26" w:rsidR="00FB4FFD" w:rsidRDefault="00916FCA" w:rsidP="00B66C40">
      <w:pPr>
        <w:pStyle w:val="Subheading2"/>
      </w:pPr>
      <w:proofErr w:type="spellStart"/>
      <w:r>
        <w:t>Neoadjuvant</w:t>
      </w:r>
      <w:proofErr w:type="spellEnd"/>
      <w:r>
        <w:t>-adjuvant treatment</w:t>
      </w:r>
    </w:p>
    <w:p w14:paraId="7DC5B6D6" w14:textId="0501A5B7" w:rsidR="00FB4FFD" w:rsidRDefault="00AE3D10" w:rsidP="00FB4FFD">
      <w:pPr>
        <w:pStyle w:val="Bodyofcontents"/>
      </w:pPr>
      <w:proofErr w:type="spellStart"/>
      <w:r>
        <w:t>Trastuzumab</w:t>
      </w:r>
      <w:proofErr w:type="spellEnd"/>
      <w:r w:rsidR="00FB4FFD">
        <w:t xml:space="preserve"> </w:t>
      </w:r>
      <w:proofErr w:type="spellStart"/>
      <w:r w:rsidR="00FB4FFD">
        <w:t>neoadjuvant</w:t>
      </w:r>
      <w:proofErr w:type="spellEnd"/>
      <w:r w:rsidR="00FB4FFD">
        <w:t xml:space="preserve">-adjuvant treatment concurrent with </w:t>
      </w:r>
      <w:proofErr w:type="spellStart"/>
      <w:r w:rsidR="00FB4FFD">
        <w:t>anthracyclines</w:t>
      </w:r>
      <w:proofErr w:type="spellEnd"/>
      <w:r w:rsidR="00FB4FFD">
        <w:t xml:space="preserve"> </w:t>
      </w:r>
      <w:proofErr w:type="gramStart"/>
      <w:r w:rsidR="00FB4FFD">
        <w:t>should be used</w:t>
      </w:r>
      <w:proofErr w:type="gramEnd"/>
      <w:r w:rsidR="00FB4FFD">
        <w:t xml:space="preserve"> with caution and only in chemotherapy-naive patients. The maximum cumulative doses of the low-dose </w:t>
      </w:r>
      <w:proofErr w:type="spellStart"/>
      <w:r w:rsidR="00FB4FFD">
        <w:t>anthracycline</w:t>
      </w:r>
      <w:proofErr w:type="spellEnd"/>
      <w:r w:rsidR="00FB4FFD">
        <w:t xml:space="preserve"> regimens should not exceed 180 mg/m</w:t>
      </w:r>
      <w:r w:rsidR="00FB4FFD" w:rsidRPr="00DF210C">
        <w:rPr>
          <w:vertAlign w:val="subscript"/>
        </w:rPr>
        <w:t xml:space="preserve">2 </w:t>
      </w:r>
      <w:r w:rsidR="00FB4FFD">
        <w:t>(doxorubicin) or 360 mg/m</w:t>
      </w:r>
      <w:r w:rsidR="00FB4FFD" w:rsidRPr="00AE3D10">
        <w:rPr>
          <w:vertAlign w:val="superscript"/>
        </w:rPr>
        <w:t>2</w:t>
      </w:r>
      <w:r w:rsidR="00FB4FFD" w:rsidRPr="00DF210C">
        <w:rPr>
          <w:vertAlign w:val="subscript"/>
        </w:rPr>
        <w:t xml:space="preserve"> </w:t>
      </w:r>
      <w:r w:rsidR="00916FCA">
        <w:t>(</w:t>
      </w:r>
      <w:proofErr w:type="spellStart"/>
      <w:r w:rsidR="00916FCA">
        <w:t>epirubicin</w:t>
      </w:r>
      <w:proofErr w:type="spellEnd"/>
      <w:r w:rsidR="00916FCA">
        <w:t>).</w:t>
      </w:r>
    </w:p>
    <w:p w14:paraId="250434E4" w14:textId="1B9DAED9" w:rsidR="00FB4FFD" w:rsidRDefault="00FB4FFD" w:rsidP="00FB4FFD">
      <w:pPr>
        <w:pStyle w:val="Bodyofcontents"/>
      </w:pPr>
      <w:r>
        <w:t xml:space="preserve">If patients </w:t>
      </w:r>
      <w:proofErr w:type="gramStart"/>
      <w:r>
        <w:t>have been treated</w:t>
      </w:r>
      <w:proofErr w:type="gramEnd"/>
      <w:r>
        <w:t xml:space="preserve"> concurrently with low-dose </w:t>
      </w:r>
      <w:proofErr w:type="spellStart"/>
      <w:r>
        <w:t>anthracyclines</w:t>
      </w:r>
      <w:proofErr w:type="spellEnd"/>
      <w:r>
        <w:t xml:space="preserve"> and </w:t>
      </w:r>
      <w:proofErr w:type="spellStart"/>
      <w:r w:rsidR="00AE3D10">
        <w:t>trastuzumab</w:t>
      </w:r>
      <w:proofErr w:type="spellEnd"/>
      <w:r>
        <w:t xml:space="preserve"> in the </w:t>
      </w:r>
      <w:proofErr w:type="spellStart"/>
      <w:r>
        <w:t>neoadjuvant</w:t>
      </w:r>
      <w:proofErr w:type="spellEnd"/>
      <w:r>
        <w:t xml:space="preserve"> setting, no additional cytotoxic chemotherapy should be</w:t>
      </w:r>
      <w:r w:rsidR="00916FCA">
        <w:t xml:space="preserve"> given after surgery.</w:t>
      </w:r>
    </w:p>
    <w:p w14:paraId="2D6DE020" w14:textId="56A01B1F" w:rsidR="00FB4FFD" w:rsidRDefault="00916FCA" w:rsidP="00B66C40">
      <w:pPr>
        <w:pStyle w:val="Subheading2"/>
      </w:pPr>
      <w:r>
        <w:t>Metastatic breast cancer</w:t>
      </w:r>
    </w:p>
    <w:p w14:paraId="6B3C0889" w14:textId="0BD74F5C" w:rsidR="00FB4FFD" w:rsidRDefault="00AE3D10" w:rsidP="00FB4FFD">
      <w:pPr>
        <w:pStyle w:val="Bodyofcontents"/>
      </w:pPr>
      <w:proofErr w:type="spellStart"/>
      <w:r>
        <w:t>Trastuzumab</w:t>
      </w:r>
      <w:proofErr w:type="spellEnd"/>
      <w:r w:rsidR="00FB4FFD">
        <w:t xml:space="preserve"> and </w:t>
      </w:r>
      <w:proofErr w:type="spellStart"/>
      <w:r w:rsidR="00FB4FFD">
        <w:t>anthracyclines</w:t>
      </w:r>
      <w:proofErr w:type="spellEnd"/>
      <w:r w:rsidR="00FB4FFD">
        <w:t xml:space="preserve"> </w:t>
      </w:r>
      <w:proofErr w:type="gramStart"/>
      <w:r w:rsidR="00FB4FFD">
        <w:t>should not be given</w:t>
      </w:r>
      <w:proofErr w:type="gramEnd"/>
      <w:r w:rsidR="00FB4FFD">
        <w:t xml:space="preserve"> concurrently in the me</w:t>
      </w:r>
      <w:r w:rsidR="00916FCA">
        <w:t>tastatic breast cancer setting.</w:t>
      </w:r>
    </w:p>
    <w:p w14:paraId="79205299" w14:textId="58651254" w:rsidR="00FB4FFD" w:rsidRDefault="00916FCA" w:rsidP="00B66C40">
      <w:pPr>
        <w:pStyle w:val="Subheading2"/>
      </w:pPr>
      <w:r>
        <w:t>Advanced Gastric Cancer</w:t>
      </w:r>
    </w:p>
    <w:p w14:paraId="680DA7E6" w14:textId="28EF1318" w:rsidR="00FB4FFD" w:rsidRDefault="00FB4FFD" w:rsidP="00FB4FFD">
      <w:pPr>
        <w:pStyle w:val="Bodyofcontents"/>
      </w:pPr>
      <w:proofErr w:type="gramStart"/>
      <w:r>
        <w:t>In advanced gastric cancer, patients with a history of documented congestive heart failure, angina pectoris requiring medication, evidence of transmural myocardial infarction on ECG, poorly controlled hypertension (systolic BP &gt;180 mmHg or diastolic BP &gt;100 mmHg), clinically significant valvular heart disease, high risk uncontrollable arrhythmias, and baseline LVEF &lt;50% (measured by echocardiography or MUGA) were excluded from Study BO18255 (</w:t>
      </w:r>
      <w:proofErr w:type="spellStart"/>
      <w:r>
        <w:t>ToGA</w:t>
      </w:r>
      <w:proofErr w:type="spellEnd"/>
      <w:r>
        <w:t>) a</w:t>
      </w:r>
      <w:r w:rsidR="00916FCA">
        <w:t>ccording to the study protocol.</w:t>
      </w:r>
      <w:proofErr w:type="gramEnd"/>
    </w:p>
    <w:p w14:paraId="6EEF072E" w14:textId="7237100C" w:rsidR="00FB4FFD" w:rsidRDefault="00FB4FFD" w:rsidP="00B66C40">
      <w:pPr>
        <w:pStyle w:val="Subheading1"/>
      </w:pPr>
      <w:r>
        <w:t xml:space="preserve">Hypersensitivity </w:t>
      </w:r>
      <w:r w:rsidR="00916FCA">
        <w:t>Reactions including Anaphylaxis</w:t>
      </w:r>
    </w:p>
    <w:p w14:paraId="62F36DBD" w14:textId="58879CE0" w:rsidR="00FB4FFD" w:rsidRDefault="00FB4FFD" w:rsidP="00FB4FFD">
      <w:pPr>
        <w:pStyle w:val="Bodyofcontents"/>
      </w:pPr>
      <w:r>
        <w:t xml:space="preserve">Severe hypersensitivity reactions </w:t>
      </w:r>
      <w:proofErr w:type="gramStart"/>
      <w:r>
        <w:t>have been infrequently reported</w:t>
      </w:r>
      <w:proofErr w:type="gramEnd"/>
      <w:r>
        <w:t xml:space="preserve"> in patients treated with </w:t>
      </w:r>
      <w:proofErr w:type="spellStart"/>
      <w:r w:rsidR="00AE3D10">
        <w:t>trastuzumab</w:t>
      </w:r>
      <w:proofErr w:type="spellEnd"/>
      <w:r>
        <w:t xml:space="preserve">. Signs and symptoms include anaphylaxis, </w:t>
      </w:r>
      <w:proofErr w:type="spellStart"/>
      <w:r>
        <w:t>urticaria</w:t>
      </w:r>
      <w:proofErr w:type="spellEnd"/>
      <w:r>
        <w:t xml:space="preserve">, bronchospasm, angioedema, and/or hypotension. In some cases, the reactions have been fatal. The onset of symptoms generally occurred during an infusion, but there have also been reports of symptom onset after the completion of an infusion. Reactions </w:t>
      </w:r>
      <w:proofErr w:type="gramStart"/>
      <w:r>
        <w:t>were most commonly reported</w:t>
      </w:r>
      <w:proofErr w:type="gramEnd"/>
      <w:r>
        <w:t xml:space="preserve"> in associa</w:t>
      </w:r>
      <w:r w:rsidR="00916FCA">
        <w:t>tion with the initial infusion.</w:t>
      </w:r>
    </w:p>
    <w:p w14:paraId="2FC5D995" w14:textId="38C269F6" w:rsidR="00FB4FFD" w:rsidRDefault="00FB4FFD" w:rsidP="00FB4FFD">
      <w:pPr>
        <w:pStyle w:val="Bodyofcontents"/>
      </w:pPr>
      <w:r>
        <w:t xml:space="preserve">Patients </w:t>
      </w:r>
      <w:proofErr w:type="gramStart"/>
      <w:r>
        <w:t>should be observed</w:t>
      </w:r>
      <w:proofErr w:type="gramEnd"/>
      <w:r>
        <w:t xml:space="preserve"> closely for hypersensitivity reactions, </w:t>
      </w:r>
      <w:r w:rsidR="00A231CB">
        <w:t>OGIVRI</w:t>
      </w:r>
      <w:r>
        <w:t xml:space="preserve"> infusion should be interrupted in all patients with severe hypersensitivity reactions. In the event of a hypersensitivity reaction, appropriate medical therapy should be administered, which may include adrenaline, corticosteroids, antihistamines, bronchodilators and oxygen. Patients </w:t>
      </w:r>
      <w:proofErr w:type="gramStart"/>
      <w:r>
        <w:t>should be evaluated and carefully monitored until complete resolution of signs and symptoms</w:t>
      </w:r>
      <w:proofErr w:type="gramEnd"/>
      <w:r>
        <w:t>.</w:t>
      </w:r>
    </w:p>
    <w:p w14:paraId="6EC87796" w14:textId="1BA0A2AA" w:rsidR="001661C2" w:rsidRDefault="001661C2" w:rsidP="00FB4FFD">
      <w:pPr>
        <w:pStyle w:val="Bodyofcontents"/>
      </w:pPr>
      <w:r>
        <w:t xml:space="preserve">On very rare occasions, patients have experienced the onset of infusion symptoms and pulmonary symptoms more than six hours after the start of the </w:t>
      </w:r>
      <w:proofErr w:type="spellStart"/>
      <w:r>
        <w:t>trastuzumab</w:t>
      </w:r>
      <w:proofErr w:type="spellEnd"/>
      <w:r>
        <w:t xml:space="preserve"> infusion. Patients </w:t>
      </w:r>
      <w:proofErr w:type="gramStart"/>
      <w:r>
        <w:t>should be warned</w:t>
      </w:r>
      <w:proofErr w:type="gramEnd"/>
      <w:r>
        <w:t xml:space="preserve"> of the possibility of such a late onset and should be instructed to contact their physician if these symptoms occur.</w:t>
      </w:r>
    </w:p>
    <w:p w14:paraId="5438EE83" w14:textId="140F6C1A" w:rsidR="00FB4FFD" w:rsidRDefault="00FB4FFD" w:rsidP="00B66C40">
      <w:pPr>
        <w:pStyle w:val="Subheading1"/>
      </w:pPr>
      <w:r>
        <w:lastRenderedPageBreak/>
        <w:t>In</w:t>
      </w:r>
      <w:r w:rsidR="00916FCA">
        <w:t>fusion-Related Reactions (IRRs)</w:t>
      </w:r>
    </w:p>
    <w:p w14:paraId="2722F913" w14:textId="5BD9058C" w:rsidR="00FB4FFD" w:rsidRDefault="00FB4FFD" w:rsidP="00FB4FFD">
      <w:pPr>
        <w:pStyle w:val="Bodyofcontents"/>
      </w:pPr>
      <w:r>
        <w:t xml:space="preserve">IRRs </w:t>
      </w:r>
      <w:proofErr w:type="gramStart"/>
      <w:r>
        <w:t>are known</w:t>
      </w:r>
      <w:proofErr w:type="gramEnd"/>
      <w:r>
        <w:t xml:space="preserve"> to occur with the administration of </w:t>
      </w:r>
      <w:proofErr w:type="spellStart"/>
      <w:r w:rsidR="00053543">
        <w:t>trastuzumab</w:t>
      </w:r>
      <w:proofErr w:type="spellEnd"/>
      <w:r>
        <w:t xml:space="preserve"> (</w:t>
      </w:r>
      <w:r w:rsidRPr="002936B8">
        <w:t xml:space="preserve">See </w:t>
      </w:r>
      <w:r w:rsidR="00916FCA">
        <w:t>ADVERSE EFFECTS).</w:t>
      </w:r>
    </w:p>
    <w:p w14:paraId="03BA0D72" w14:textId="33B48F77" w:rsidR="00FB4FFD" w:rsidRDefault="00FB4FFD" w:rsidP="00FB4FFD">
      <w:pPr>
        <w:pStyle w:val="Bodyofcontents"/>
      </w:pPr>
      <w:r>
        <w:t xml:space="preserve">Pre-medication </w:t>
      </w:r>
      <w:proofErr w:type="gramStart"/>
      <w:r>
        <w:t>may be used</w:t>
      </w:r>
      <w:proofErr w:type="gramEnd"/>
      <w:r>
        <w:t xml:space="preserve"> to red</w:t>
      </w:r>
      <w:r w:rsidR="00916FCA">
        <w:t>uce risk of occurrence of IRRs.</w:t>
      </w:r>
    </w:p>
    <w:p w14:paraId="13A28317" w14:textId="6E763FB7" w:rsidR="00FB4FFD" w:rsidRDefault="00FB4FFD" w:rsidP="00FB4FFD">
      <w:pPr>
        <w:pStyle w:val="Bodyofcontents"/>
      </w:pPr>
      <w:r>
        <w:t xml:space="preserve">Serious IRRs to </w:t>
      </w:r>
      <w:proofErr w:type="spellStart"/>
      <w:r w:rsidR="00053543">
        <w:t>trastuzumab</w:t>
      </w:r>
      <w:proofErr w:type="spellEnd"/>
      <w:r>
        <w:t xml:space="preserve"> infusion including dyspnoea, hypotension, wheezing, bronchospasm, tachycardia, reduced oxygen saturation and respiratory distress and supraventricular tachyarrhythmia have been </w:t>
      </w:r>
      <w:r w:rsidR="00916FCA">
        <w:t>reported (see ADVERSE EFFECTS).</w:t>
      </w:r>
    </w:p>
    <w:p w14:paraId="5C8BD76E" w14:textId="3AB77127" w:rsidR="00FB4FFD" w:rsidRDefault="00FB4FFD" w:rsidP="00FB4FFD">
      <w:pPr>
        <w:pStyle w:val="Bodyofcontents"/>
      </w:pPr>
      <w:r>
        <w:t xml:space="preserve">Patients </w:t>
      </w:r>
      <w:proofErr w:type="gramStart"/>
      <w:r>
        <w:t>should be observed</w:t>
      </w:r>
      <w:proofErr w:type="gramEnd"/>
      <w:r>
        <w:t xml:space="preserve"> for IRRs. Interruption of an IV infusion may help control such symptoms and the infusion </w:t>
      </w:r>
      <w:proofErr w:type="gramStart"/>
      <w:r>
        <w:t>may be resumed</w:t>
      </w:r>
      <w:proofErr w:type="gramEnd"/>
      <w:r>
        <w:t xml:space="preserve"> when symptoms abate. These symptoms </w:t>
      </w:r>
      <w:proofErr w:type="gramStart"/>
      <w:r>
        <w:t>can be treated</w:t>
      </w:r>
      <w:proofErr w:type="gramEnd"/>
      <w:r>
        <w:t xml:space="preserve"> with an analgesic/antipyretic such as paracetamol and an antihistamine. Serious reactions </w:t>
      </w:r>
      <w:proofErr w:type="gramStart"/>
      <w:r>
        <w:t>have been treated</w:t>
      </w:r>
      <w:proofErr w:type="gramEnd"/>
      <w:r>
        <w:t xml:space="preserve"> successfully with supportive therapy such as oxygen, intravenous fluids, beta-agonists and corticosteroids. In rare cases, these reactions are associated with a clinical course culminating in a fatal outcome. In other patients with acute onset of signs and symptoms, initial improvement was followed by clinical deterioration and delayed reactions with rapid clinical deterioration </w:t>
      </w:r>
      <w:proofErr w:type="gramStart"/>
      <w:r>
        <w:t>have also</w:t>
      </w:r>
      <w:proofErr w:type="gramEnd"/>
      <w:r>
        <w:t xml:space="preserve"> been reported. Fatalities have occurred within hours or up to </w:t>
      </w:r>
      <w:r w:rsidR="00916FCA">
        <w:t>one week following an infusion.</w:t>
      </w:r>
    </w:p>
    <w:p w14:paraId="7BD47B23" w14:textId="3D36B230" w:rsidR="00FB4FFD" w:rsidRDefault="00FB4FFD" w:rsidP="00FB4FFD">
      <w:pPr>
        <w:pStyle w:val="Bodyofcontents"/>
      </w:pPr>
      <w:r>
        <w:t xml:space="preserve">Patients who are experiencing dyspnoea at rest due to complications of advanced malignancy or co-morbidities may be at increased risk of a fatal infusion reaction. Therefore, these patients </w:t>
      </w:r>
      <w:proofErr w:type="gramStart"/>
      <w:r>
        <w:t>should</w:t>
      </w:r>
      <w:r w:rsidR="00C17071">
        <w:t xml:space="preserve"> not</w:t>
      </w:r>
      <w:r>
        <w:t xml:space="preserve"> be treated</w:t>
      </w:r>
      <w:proofErr w:type="gramEnd"/>
      <w:r>
        <w:t xml:space="preserve"> with </w:t>
      </w:r>
      <w:proofErr w:type="spellStart"/>
      <w:r w:rsidR="00C17071">
        <w:t>trastuzumab</w:t>
      </w:r>
      <w:proofErr w:type="spellEnd"/>
      <w:r w:rsidR="00C17071">
        <w:t xml:space="preserve"> </w:t>
      </w:r>
      <w:r w:rsidR="00916FCA">
        <w:t>(see Pulmonary Reactions).</w:t>
      </w:r>
    </w:p>
    <w:p w14:paraId="2184E84D" w14:textId="2745A21F" w:rsidR="00FB4FFD" w:rsidRDefault="00916FCA" w:rsidP="00B66C40">
      <w:pPr>
        <w:pStyle w:val="Subheading1"/>
      </w:pPr>
      <w:r>
        <w:t>Pulmonary Reactions</w:t>
      </w:r>
    </w:p>
    <w:p w14:paraId="02D08BBF" w14:textId="46A5579C" w:rsidR="00FB4FFD" w:rsidRDefault="00FB4FFD" w:rsidP="00FB4FFD">
      <w:pPr>
        <w:pStyle w:val="Bodyofcontents"/>
      </w:pPr>
      <w:r>
        <w:t xml:space="preserve">Severe pulmonary events leading to death </w:t>
      </w:r>
      <w:proofErr w:type="gramStart"/>
      <w:r>
        <w:t>have been reported</w:t>
      </w:r>
      <w:proofErr w:type="gramEnd"/>
      <w:r>
        <w:t xml:space="preserve"> with the use of </w:t>
      </w:r>
      <w:proofErr w:type="spellStart"/>
      <w:r w:rsidR="00053543">
        <w:t>trastuzumab</w:t>
      </w:r>
      <w:proofErr w:type="spellEnd"/>
      <w:r>
        <w:t xml:space="preserve"> in the post-marketing setting. These events may occur as part of an infusion-related reaction (see Infusion-Related Reactions) or with a delayed onset. In addition, cases of interstitial lung disease including lung infiltrates, acute respiratory distress syndrome, pneumonia, pneumonitis, pleural effusion, respiratory distress, acute pulmonary oedema, pulmonary hypertension, pulmonary fibrosis and respiratory in</w:t>
      </w:r>
      <w:r w:rsidR="00916FCA">
        <w:t>sufficiency have been reported.</w:t>
      </w:r>
    </w:p>
    <w:p w14:paraId="158DD397" w14:textId="5F7582B3" w:rsidR="00FB4FFD" w:rsidRDefault="00FB4FFD" w:rsidP="00FB4FFD">
      <w:pPr>
        <w:pStyle w:val="Bodyofcontents"/>
      </w:pPr>
      <w:r>
        <w:t xml:space="preserve">Risk factors associated with interstitial lung disease include prior or concomitant therapy with other anti-neoplastic therapies known to be associated with it such as </w:t>
      </w:r>
      <w:proofErr w:type="spellStart"/>
      <w:r>
        <w:t>taxanes</w:t>
      </w:r>
      <w:proofErr w:type="spellEnd"/>
      <w:r>
        <w:t xml:space="preserve">, gemcitabine, </w:t>
      </w:r>
      <w:proofErr w:type="spellStart"/>
      <w:r>
        <w:t>vinorelbine</w:t>
      </w:r>
      <w:proofErr w:type="spellEnd"/>
      <w:r>
        <w:t xml:space="preserve"> and radiation therapy. Patients with dyspnoea at rest due to complications of advanced malignancy and co-morbidities may be at increased risk of pulmonary events. Therefore, these patients </w:t>
      </w:r>
      <w:proofErr w:type="gramStart"/>
      <w:r>
        <w:t>should not be treated</w:t>
      </w:r>
      <w:proofErr w:type="gramEnd"/>
      <w:r>
        <w:t xml:space="preserve"> </w:t>
      </w:r>
      <w:r w:rsidRPr="002936B8">
        <w:t xml:space="preserve">with </w:t>
      </w:r>
      <w:proofErr w:type="spellStart"/>
      <w:r w:rsidR="00053543">
        <w:t>trastuzumab</w:t>
      </w:r>
      <w:proofErr w:type="spellEnd"/>
      <w:r w:rsidR="00916FCA">
        <w:t>.</w:t>
      </w:r>
    </w:p>
    <w:p w14:paraId="7CFAF9FB" w14:textId="0DD1D1E1" w:rsidR="00FB4FFD" w:rsidRDefault="00FB4FFD" w:rsidP="00B66C40">
      <w:pPr>
        <w:pStyle w:val="Subheading1"/>
      </w:pPr>
      <w:r>
        <w:t>Ab</w:t>
      </w:r>
      <w:r w:rsidR="00916FCA">
        <w:t>ility to Drive and Use Machines</w:t>
      </w:r>
    </w:p>
    <w:p w14:paraId="435516E2" w14:textId="1AE3F3B2" w:rsidR="00FB4FFD" w:rsidRDefault="00FB4FFD" w:rsidP="00FB4FFD">
      <w:pPr>
        <w:pStyle w:val="Bodyofcontents"/>
      </w:pPr>
      <w:r>
        <w:t xml:space="preserve">No studies on the effects on the ability to drive and to use machines </w:t>
      </w:r>
      <w:proofErr w:type="gramStart"/>
      <w:r>
        <w:t>have been performed</w:t>
      </w:r>
      <w:proofErr w:type="gramEnd"/>
      <w:r>
        <w:t xml:space="preserve">. Patients experiencing infusion-related symptoms </w:t>
      </w:r>
      <w:proofErr w:type="gramStart"/>
      <w:r>
        <w:t>should be advised</w:t>
      </w:r>
      <w:proofErr w:type="gramEnd"/>
      <w:r>
        <w:t xml:space="preserve"> not to drive or use machines unt</w:t>
      </w:r>
      <w:r w:rsidR="00916FCA">
        <w:t>il symptoms resolve completely.</w:t>
      </w:r>
    </w:p>
    <w:p w14:paraId="325BA9F4" w14:textId="298E2826" w:rsidR="00FB4FFD" w:rsidRDefault="00916FCA" w:rsidP="00B66C40">
      <w:pPr>
        <w:pStyle w:val="Subheading1"/>
      </w:pPr>
      <w:r>
        <w:t>Effects on Fertility</w:t>
      </w:r>
    </w:p>
    <w:p w14:paraId="0193C4EB" w14:textId="6E9F2F52" w:rsidR="00FB4FFD" w:rsidRDefault="00FB4FFD" w:rsidP="00FB4FFD">
      <w:pPr>
        <w:pStyle w:val="Bodyofcontents"/>
        <w:rPr>
          <w:szCs w:val="22"/>
        </w:rPr>
      </w:pPr>
      <w:r>
        <w:t xml:space="preserve">A study in female </w:t>
      </w:r>
      <w:proofErr w:type="spellStart"/>
      <w:r>
        <w:t>cynomolgus</w:t>
      </w:r>
      <w:proofErr w:type="spellEnd"/>
      <w:r>
        <w:t xml:space="preserve"> monkeys revealed no evidence of impaired fertility at IV </w:t>
      </w:r>
      <w:proofErr w:type="spellStart"/>
      <w:r>
        <w:t>trastuzumab</w:t>
      </w:r>
      <w:proofErr w:type="spellEnd"/>
      <w:r>
        <w:t xml:space="preserve"> doses up to 25 mg/kg twice weekly, corresponding to serum trough levels (serum </w:t>
      </w:r>
      <w:proofErr w:type="spellStart"/>
      <w:r>
        <w:rPr>
          <w:szCs w:val="22"/>
        </w:rPr>
        <w:t>C</w:t>
      </w:r>
      <w:r w:rsidRPr="00DF210C">
        <w:rPr>
          <w:vertAlign w:val="subscript"/>
        </w:rPr>
        <w:t>min</w:t>
      </w:r>
      <w:proofErr w:type="spellEnd"/>
      <w:r>
        <w:rPr>
          <w:szCs w:val="22"/>
        </w:rPr>
        <w:t>) about 15 times higher than that in humans receiving the reco</w:t>
      </w:r>
      <w:r w:rsidR="00916FCA">
        <w:rPr>
          <w:szCs w:val="22"/>
        </w:rPr>
        <w:t>mmended weekly dose of 2 mg/kg.</w:t>
      </w:r>
    </w:p>
    <w:p w14:paraId="1CF62598" w14:textId="0284525E" w:rsidR="00FB4FFD" w:rsidRDefault="00916FCA" w:rsidP="00B66C40">
      <w:pPr>
        <w:pStyle w:val="Subheading1"/>
      </w:pPr>
      <w:r>
        <w:lastRenderedPageBreak/>
        <w:t>Use in Pregnancy – Category D</w:t>
      </w:r>
    </w:p>
    <w:p w14:paraId="2A0CF0DE" w14:textId="2A1B9410" w:rsidR="00FB4FFD" w:rsidRDefault="00A231CB" w:rsidP="00FB4FFD">
      <w:pPr>
        <w:pStyle w:val="Bodyofcontents"/>
        <w:rPr>
          <w:szCs w:val="22"/>
        </w:rPr>
      </w:pPr>
      <w:r>
        <w:rPr>
          <w:szCs w:val="22"/>
        </w:rPr>
        <w:t>OGIVRI</w:t>
      </w:r>
      <w:r w:rsidR="00FB4FFD">
        <w:rPr>
          <w:szCs w:val="22"/>
        </w:rPr>
        <w:t xml:space="preserve"> </w:t>
      </w:r>
      <w:proofErr w:type="gramStart"/>
      <w:r w:rsidR="00FB4FFD">
        <w:rPr>
          <w:szCs w:val="22"/>
        </w:rPr>
        <w:t>should be avoided</w:t>
      </w:r>
      <w:proofErr w:type="gramEnd"/>
      <w:r w:rsidR="00FB4FFD">
        <w:rPr>
          <w:szCs w:val="22"/>
        </w:rPr>
        <w:t xml:space="preserve"> during pregnancy and since </w:t>
      </w:r>
      <w:proofErr w:type="spellStart"/>
      <w:r w:rsidR="00FB4FFD">
        <w:rPr>
          <w:szCs w:val="22"/>
        </w:rPr>
        <w:t>trastuzumab</w:t>
      </w:r>
      <w:proofErr w:type="spellEnd"/>
      <w:r w:rsidR="00FB4FFD">
        <w:rPr>
          <w:szCs w:val="22"/>
        </w:rPr>
        <w:t xml:space="preserve"> may persist in the circulation for up to 7 months, pregnancy should be avoided for 7 months after the last dose of </w:t>
      </w:r>
      <w:r>
        <w:rPr>
          <w:szCs w:val="22"/>
        </w:rPr>
        <w:t>OGIVRI</w:t>
      </w:r>
      <w:r w:rsidR="00FB4FFD">
        <w:rPr>
          <w:szCs w:val="22"/>
        </w:rPr>
        <w:t xml:space="preserve">, unless the anticipated benefit for the mother outweighs </w:t>
      </w:r>
      <w:r w:rsidR="00916FCA">
        <w:rPr>
          <w:szCs w:val="22"/>
        </w:rPr>
        <w:t>the unknown risk to the foetus.</w:t>
      </w:r>
    </w:p>
    <w:p w14:paraId="4D813FEA" w14:textId="054F2BE2" w:rsidR="00FB4FFD" w:rsidRDefault="00FB4FFD" w:rsidP="00FB4FFD">
      <w:pPr>
        <w:pStyle w:val="Bodyofcontents"/>
        <w:rPr>
          <w:szCs w:val="22"/>
        </w:rPr>
      </w:pPr>
      <w:r>
        <w:rPr>
          <w:szCs w:val="22"/>
        </w:rPr>
        <w:t xml:space="preserve">In the post-marketing setting, cases of foetal renal growth and/or function impairment in association with oligohydramnios, some associated with fatal pulmonary hypoplasia of the foetus, </w:t>
      </w:r>
      <w:proofErr w:type="gramStart"/>
      <w:r>
        <w:rPr>
          <w:szCs w:val="22"/>
        </w:rPr>
        <w:t>have been reported</w:t>
      </w:r>
      <w:proofErr w:type="gramEnd"/>
      <w:r>
        <w:rPr>
          <w:szCs w:val="22"/>
        </w:rPr>
        <w:t xml:space="preserve"> in pregnant women receiving </w:t>
      </w:r>
      <w:r w:rsidR="00A231CB">
        <w:rPr>
          <w:szCs w:val="22"/>
        </w:rPr>
        <w:t>OGIVRI</w:t>
      </w:r>
      <w:r w:rsidR="00916FCA">
        <w:rPr>
          <w:szCs w:val="22"/>
        </w:rPr>
        <w:t>.</w:t>
      </w:r>
    </w:p>
    <w:p w14:paraId="727DCC3C" w14:textId="5622011E" w:rsidR="00FB4FFD" w:rsidRDefault="00FB4FFD" w:rsidP="00FB4FFD">
      <w:pPr>
        <w:pStyle w:val="Bodyofcontents"/>
        <w:rPr>
          <w:szCs w:val="22"/>
        </w:rPr>
      </w:pPr>
      <w:r>
        <w:rPr>
          <w:szCs w:val="22"/>
        </w:rPr>
        <w:t xml:space="preserve">Women of childbearing potential </w:t>
      </w:r>
      <w:proofErr w:type="gramStart"/>
      <w:r>
        <w:rPr>
          <w:szCs w:val="22"/>
        </w:rPr>
        <w:t>should be advised</w:t>
      </w:r>
      <w:proofErr w:type="gramEnd"/>
      <w:r>
        <w:rPr>
          <w:szCs w:val="22"/>
        </w:rPr>
        <w:t xml:space="preserve"> to use effective contraception during treatment with </w:t>
      </w:r>
      <w:r w:rsidR="00A231CB">
        <w:rPr>
          <w:szCs w:val="22"/>
        </w:rPr>
        <w:t>OGIVRI</w:t>
      </w:r>
      <w:r>
        <w:rPr>
          <w:szCs w:val="22"/>
        </w:rPr>
        <w:t xml:space="preserve"> and for at least 7 months after treatment has concluded. Women who become pregnant </w:t>
      </w:r>
      <w:proofErr w:type="gramStart"/>
      <w:r>
        <w:rPr>
          <w:szCs w:val="22"/>
        </w:rPr>
        <w:t>should be advised</w:t>
      </w:r>
      <w:proofErr w:type="gramEnd"/>
      <w:r>
        <w:rPr>
          <w:szCs w:val="22"/>
        </w:rPr>
        <w:t xml:space="preserve"> of the possibility of harm to the foetus. If a pregnant woman </w:t>
      </w:r>
      <w:proofErr w:type="gramStart"/>
      <w:r>
        <w:rPr>
          <w:szCs w:val="22"/>
        </w:rPr>
        <w:t>is treated</w:t>
      </w:r>
      <w:proofErr w:type="gramEnd"/>
      <w:r>
        <w:rPr>
          <w:szCs w:val="22"/>
        </w:rPr>
        <w:t xml:space="preserve"> with </w:t>
      </w:r>
      <w:r w:rsidR="00A231CB">
        <w:rPr>
          <w:szCs w:val="22"/>
        </w:rPr>
        <w:t>OGIVRI</w:t>
      </w:r>
      <w:r>
        <w:rPr>
          <w:szCs w:val="22"/>
        </w:rPr>
        <w:t xml:space="preserve">, or becomes pregnant within 7 months following the last dose of </w:t>
      </w:r>
      <w:r w:rsidR="00A231CB">
        <w:rPr>
          <w:szCs w:val="22"/>
        </w:rPr>
        <w:t>OGIVRI</w:t>
      </w:r>
      <w:r>
        <w:rPr>
          <w:szCs w:val="22"/>
        </w:rPr>
        <w:t>, close monitoring by a multi</w:t>
      </w:r>
      <w:r w:rsidR="00916FCA">
        <w:rPr>
          <w:szCs w:val="22"/>
        </w:rPr>
        <w:t>disciplinary team is desirable.</w:t>
      </w:r>
    </w:p>
    <w:p w14:paraId="5F11023F" w14:textId="38DDC966" w:rsidR="00FB4FFD" w:rsidRDefault="00916FCA" w:rsidP="00B66C40">
      <w:pPr>
        <w:pStyle w:val="Subheading1"/>
      </w:pPr>
      <w:r>
        <w:t>Use in Lactation</w:t>
      </w:r>
    </w:p>
    <w:p w14:paraId="2A900CD2" w14:textId="0C7B0BFF" w:rsidR="00FB4FFD" w:rsidRDefault="00FB4FFD" w:rsidP="00FB4FFD">
      <w:pPr>
        <w:pStyle w:val="Bodyofcontents"/>
        <w:rPr>
          <w:szCs w:val="22"/>
        </w:rPr>
      </w:pPr>
      <w:r>
        <w:rPr>
          <w:szCs w:val="22"/>
        </w:rPr>
        <w:t xml:space="preserve">A study conducted in lactating </w:t>
      </w:r>
      <w:proofErr w:type="spellStart"/>
      <w:r>
        <w:rPr>
          <w:szCs w:val="22"/>
        </w:rPr>
        <w:t>cynomolgus</w:t>
      </w:r>
      <w:proofErr w:type="spellEnd"/>
      <w:r>
        <w:rPr>
          <w:szCs w:val="22"/>
        </w:rPr>
        <w:t xml:space="preserve"> monkeys dosed intravenously with </w:t>
      </w:r>
      <w:proofErr w:type="spellStart"/>
      <w:r>
        <w:rPr>
          <w:szCs w:val="22"/>
        </w:rPr>
        <w:t>trastuzumab</w:t>
      </w:r>
      <w:proofErr w:type="spellEnd"/>
      <w:r>
        <w:rPr>
          <w:szCs w:val="22"/>
        </w:rPr>
        <w:t xml:space="preserve"> at 25 mg/kg twice weekly (serum </w:t>
      </w:r>
      <w:proofErr w:type="spellStart"/>
      <w:r>
        <w:rPr>
          <w:szCs w:val="22"/>
        </w:rPr>
        <w:t>C</w:t>
      </w:r>
      <w:r w:rsidRPr="00DF210C">
        <w:rPr>
          <w:vertAlign w:val="subscript"/>
        </w:rPr>
        <w:t>min</w:t>
      </w:r>
      <w:proofErr w:type="spellEnd"/>
      <w:r w:rsidRPr="00DF210C">
        <w:rPr>
          <w:vertAlign w:val="subscript"/>
        </w:rPr>
        <w:t xml:space="preserve"> </w:t>
      </w:r>
      <w:r>
        <w:rPr>
          <w:szCs w:val="22"/>
        </w:rPr>
        <w:t xml:space="preserve">about 15 times higher than that in humans receiving the recommended weekly dose of 2 mg/kg) demonstrated that </w:t>
      </w:r>
      <w:proofErr w:type="spellStart"/>
      <w:r>
        <w:rPr>
          <w:szCs w:val="22"/>
        </w:rPr>
        <w:t>trastuzumab</w:t>
      </w:r>
      <w:proofErr w:type="spellEnd"/>
      <w:r>
        <w:rPr>
          <w:szCs w:val="22"/>
        </w:rPr>
        <w:t xml:space="preserve"> </w:t>
      </w:r>
      <w:proofErr w:type="gramStart"/>
      <w:r>
        <w:rPr>
          <w:szCs w:val="22"/>
        </w:rPr>
        <w:t>is excreted</w:t>
      </w:r>
      <w:proofErr w:type="gramEnd"/>
      <w:r>
        <w:rPr>
          <w:szCs w:val="22"/>
        </w:rPr>
        <w:t xml:space="preserve"> in the milk. The presence of </w:t>
      </w:r>
      <w:proofErr w:type="spellStart"/>
      <w:r>
        <w:rPr>
          <w:szCs w:val="22"/>
        </w:rPr>
        <w:t>trastuzumab</w:t>
      </w:r>
      <w:proofErr w:type="spellEnd"/>
      <w:r>
        <w:rPr>
          <w:szCs w:val="22"/>
        </w:rPr>
        <w:t xml:space="preserve"> in the serum of infant monkeys was not associated with adverse effects on their growth or development from birth to 1 month of age. However, the binding affinity of </w:t>
      </w:r>
      <w:proofErr w:type="spellStart"/>
      <w:r>
        <w:rPr>
          <w:szCs w:val="22"/>
        </w:rPr>
        <w:t>trastuzumab</w:t>
      </w:r>
      <w:proofErr w:type="spellEnd"/>
      <w:r>
        <w:rPr>
          <w:szCs w:val="22"/>
        </w:rPr>
        <w:t xml:space="preserve"> to epidermal growth factor receptor 2 protein in </w:t>
      </w:r>
      <w:proofErr w:type="spellStart"/>
      <w:r>
        <w:rPr>
          <w:szCs w:val="22"/>
        </w:rPr>
        <w:t>cynomolgus</w:t>
      </w:r>
      <w:proofErr w:type="spellEnd"/>
      <w:r>
        <w:rPr>
          <w:szCs w:val="22"/>
        </w:rPr>
        <w:t xml:space="preserve"> monkeys is unclear.</w:t>
      </w:r>
    </w:p>
    <w:p w14:paraId="73489746" w14:textId="278569D1" w:rsidR="00FB4FFD" w:rsidRDefault="00FB4FFD" w:rsidP="00FB4FFD">
      <w:pPr>
        <w:pStyle w:val="Bodyofcontents"/>
        <w:rPr>
          <w:szCs w:val="22"/>
        </w:rPr>
      </w:pPr>
      <w:r>
        <w:rPr>
          <w:szCs w:val="22"/>
        </w:rPr>
        <w:t xml:space="preserve">It </w:t>
      </w:r>
      <w:proofErr w:type="gramStart"/>
      <w:r>
        <w:rPr>
          <w:szCs w:val="22"/>
        </w:rPr>
        <w:t>is not known</w:t>
      </w:r>
      <w:proofErr w:type="gramEnd"/>
      <w:r>
        <w:rPr>
          <w:szCs w:val="22"/>
        </w:rPr>
        <w:t xml:space="preserve"> whether </w:t>
      </w:r>
      <w:proofErr w:type="spellStart"/>
      <w:r>
        <w:rPr>
          <w:szCs w:val="22"/>
        </w:rPr>
        <w:t>trastuzumab</w:t>
      </w:r>
      <w:proofErr w:type="spellEnd"/>
      <w:r>
        <w:rPr>
          <w:szCs w:val="22"/>
        </w:rPr>
        <w:t xml:space="preserve"> is excreted in human milk. As human immunoglobulin G (IgG) </w:t>
      </w:r>
      <w:proofErr w:type="gramStart"/>
      <w:r>
        <w:rPr>
          <w:szCs w:val="22"/>
        </w:rPr>
        <w:t>is secreted</w:t>
      </w:r>
      <w:proofErr w:type="gramEnd"/>
      <w:r>
        <w:rPr>
          <w:szCs w:val="22"/>
        </w:rPr>
        <w:t xml:space="preserve"> into human milk and the potential for harm to the infant is unknown, breast-feeding should be avoided during </w:t>
      </w:r>
      <w:proofErr w:type="spellStart"/>
      <w:r w:rsidR="00053543">
        <w:t>trastuzumab</w:t>
      </w:r>
      <w:proofErr w:type="spellEnd"/>
      <w:r>
        <w:rPr>
          <w:szCs w:val="22"/>
        </w:rPr>
        <w:t xml:space="preserve"> therapy and for 7 months after the last dose of </w:t>
      </w:r>
      <w:proofErr w:type="spellStart"/>
      <w:r w:rsidR="00053543">
        <w:t>trastuzumab</w:t>
      </w:r>
      <w:proofErr w:type="spellEnd"/>
      <w:r w:rsidR="00916FCA">
        <w:rPr>
          <w:szCs w:val="22"/>
        </w:rPr>
        <w:t>.</w:t>
      </w:r>
    </w:p>
    <w:p w14:paraId="42E0411B" w14:textId="3DD2D834" w:rsidR="00FB4FFD" w:rsidRDefault="00916FCA" w:rsidP="00B66C40">
      <w:pPr>
        <w:pStyle w:val="Subheading1"/>
      </w:pPr>
      <w:r>
        <w:t>Paediatric Use</w:t>
      </w:r>
    </w:p>
    <w:p w14:paraId="302E7935" w14:textId="6DCF657C" w:rsidR="00FB4FFD" w:rsidRDefault="00FB4FFD" w:rsidP="00FB4FFD">
      <w:pPr>
        <w:pStyle w:val="Bodyofcontents"/>
        <w:rPr>
          <w:szCs w:val="22"/>
        </w:rPr>
      </w:pPr>
      <w:r>
        <w:rPr>
          <w:szCs w:val="22"/>
        </w:rPr>
        <w:t xml:space="preserve">The safety and efficacy of </w:t>
      </w:r>
      <w:proofErr w:type="spellStart"/>
      <w:r w:rsidR="00053543">
        <w:t>trastuzumab</w:t>
      </w:r>
      <w:proofErr w:type="spellEnd"/>
      <w:r>
        <w:rPr>
          <w:szCs w:val="22"/>
        </w:rPr>
        <w:t xml:space="preserve"> in patients under the age of 18 years </w:t>
      </w:r>
      <w:proofErr w:type="gramStart"/>
      <w:r>
        <w:rPr>
          <w:szCs w:val="22"/>
        </w:rPr>
        <w:t>have not been es</w:t>
      </w:r>
      <w:r w:rsidR="00916FCA">
        <w:rPr>
          <w:szCs w:val="22"/>
        </w:rPr>
        <w:t>tablished</w:t>
      </w:r>
      <w:proofErr w:type="gramEnd"/>
      <w:r w:rsidR="00916FCA">
        <w:rPr>
          <w:szCs w:val="22"/>
        </w:rPr>
        <w:t>.</w:t>
      </w:r>
    </w:p>
    <w:p w14:paraId="01ECBC47" w14:textId="282F3BF9" w:rsidR="00FB4FFD" w:rsidRDefault="00916FCA" w:rsidP="00B66C40">
      <w:pPr>
        <w:pStyle w:val="Subheading1"/>
      </w:pPr>
      <w:r>
        <w:t>Use in the Elderly</w:t>
      </w:r>
    </w:p>
    <w:p w14:paraId="71FF90FC" w14:textId="1A4DA618" w:rsidR="00FB4FFD" w:rsidRDefault="00FB4FFD" w:rsidP="00FB4FFD">
      <w:pPr>
        <w:pStyle w:val="Bodyofcontents"/>
        <w:rPr>
          <w:szCs w:val="22"/>
        </w:rPr>
      </w:pPr>
      <w:r>
        <w:rPr>
          <w:szCs w:val="22"/>
        </w:rPr>
        <w:t xml:space="preserve">Clinical experience is limited in patients above 65 years of age. The risk of cardiac dysfunction </w:t>
      </w:r>
      <w:proofErr w:type="gramStart"/>
      <w:r>
        <w:rPr>
          <w:szCs w:val="22"/>
        </w:rPr>
        <w:t>may be increased</w:t>
      </w:r>
      <w:proofErr w:type="gramEnd"/>
      <w:r>
        <w:rPr>
          <w:szCs w:val="22"/>
        </w:rPr>
        <w:t xml:space="preserve"> in elderly patients. The reported clinical experience is not adequate to determine whether older patients respond differently from younger patients. Elderly patients did not receive reduced doses of </w:t>
      </w:r>
      <w:proofErr w:type="spellStart"/>
      <w:r w:rsidR="00053543">
        <w:t>trastuzumab</w:t>
      </w:r>
      <w:proofErr w:type="spellEnd"/>
      <w:r>
        <w:rPr>
          <w:szCs w:val="22"/>
        </w:rPr>
        <w:t xml:space="preserve"> in clinical trials. However, greater sensitivity to </w:t>
      </w:r>
      <w:proofErr w:type="spellStart"/>
      <w:r w:rsidR="00053543">
        <w:t>trastuzumab</w:t>
      </w:r>
      <w:proofErr w:type="spellEnd"/>
      <w:r>
        <w:rPr>
          <w:szCs w:val="22"/>
        </w:rPr>
        <w:t xml:space="preserve"> in some older patients </w:t>
      </w:r>
      <w:proofErr w:type="gramStart"/>
      <w:r>
        <w:rPr>
          <w:szCs w:val="22"/>
        </w:rPr>
        <w:t>cannot be ruled out</w:t>
      </w:r>
      <w:proofErr w:type="gramEnd"/>
      <w:r>
        <w:rPr>
          <w:szCs w:val="22"/>
        </w:rPr>
        <w:t>.</w:t>
      </w:r>
    </w:p>
    <w:p w14:paraId="7469FF4B" w14:textId="2E8C4474" w:rsidR="00FB4FFD" w:rsidRDefault="00916FCA" w:rsidP="00B66C40">
      <w:pPr>
        <w:pStyle w:val="Subheading1"/>
      </w:pPr>
      <w:proofErr w:type="spellStart"/>
      <w:r>
        <w:t>Genotoxicity</w:t>
      </w:r>
      <w:proofErr w:type="spellEnd"/>
    </w:p>
    <w:p w14:paraId="2173D8CF" w14:textId="6DC921B9" w:rsidR="00FB4FFD" w:rsidRDefault="00FB4FFD" w:rsidP="00B66C40">
      <w:pPr>
        <w:pStyle w:val="Bodyofcontents"/>
      </w:pPr>
      <w:proofErr w:type="spellStart"/>
      <w:r>
        <w:t>Trastuzumab</w:t>
      </w:r>
      <w:proofErr w:type="spellEnd"/>
      <w:r>
        <w:t xml:space="preserve"> did not induce gene mutations in bacteria, nor did it cause chromosomal damage </w:t>
      </w:r>
      <w:r w:rsidRPr="00053543">
        <w:rPr>
          <w:i/>
        </w:rPr>
        <w:t>in vitro</w:t>
      </w:r>
      <w:r>
        <w:t xml:space="preserve"> (chromosome aberration assay in human lymphocytes) or </w:t>
      </w:r>
      <w:r w:rsidRPr="00053543">
        <w:rPr>
          <w:i/>
        </w:rPr>
        <w:t>in vivo</w:t>
      </w:r>
      <w:r w:rsidR="00916FCA">
        <w:t xml:space="preserve"> (mouse micronucleus test).</w:t>
      </w:r>
    </w:p>
    <w:p w14:paraId="6B465D30" w14:textId="344CA49B" w:rsidR="00FB4FFD" w:rsidRDefault="00916FCA" w:rsidP="00B66C40">
      <w:pPr>
        <w:pStyle w:val="Subheading1"/>
      </w:pPr>
      <w:r>
        <w:t>Carcinogenicity</w:t>
      </w:r>
    </w:p>
    <w:p w14:paraId="0571EB0F" w14:textId="629991D0" w:rsidR="00FB4FFD" w:rsidRDefault="00FB4FFD" w:rsidP="00FB4FFD">
      <w:pPr>
        <w:pStyle w:val="Bodyofcontents"/>
      </w:pPr>
      <w:r>
        <w:t xml:space="preserve">No studies on the carcinogenic potential of </w:t>
      </w:r>
      <w:proofErr w:type="spellStart"/>
      <w:r w:rsidR="00053543">
        <w:t>trastuzumab</w:t>
      </w:r>
      <w:proofErr w:type="spellEnd"/>
      <w:r>
        <w:t xml:space="preserve"> </w:t>
      </w:r>
      <w:proofErr w:type="gramStart"/>
      <w:r>
        <w:t>have been conducted</w:t>
      </w:r>
      <w:proofErr w:type="gramEnd"/>
      <w:r>
        <w:t xml:space="preserve"> to da</w:t>
      </w:r>
      <w:r w:rsidR="00916FCA">
        <w:t>te.</w:t>
      </w:r>
    </w:p>
    <w:p w14:paraId="7E535239" w14:textId="73D32CC0" w:rsidR="00FB4FFD" w:rsidRDefault="00916FCA" w:rsidP="00B66C40">
      <w:pPr>
        <w:pStyle w:val="Subheading1"/>
      </w:pPr>
      <w:r>
        <w:lastRenderedPageBreak/>
        <w:t>Use in Renal Impairment</w:t>
      </w:r>
    </w:p>
    <w:p w14:paraId="5D864240" w14:textId="798A199F" w:rsidR="00FB4FFD" w:rsidRDefault="00FB4FFD" w:rsidP="00FB4FFD">
      <w:pPr>
        <w:pStyle w:val="Bodyofcontents"/>
      </w:pPr>
      <w:r>
        <w:t xml:space="preserve">Formal PK studies </w:t>
      </w:r>
      <w:proofErr w:type="gramStart"/>
      <w:r>
        <w:t>have not been conducted</w:t>
      </w:r>
      <w:proofErr w:type="gramEnd"/>
      <w:r>
        <w:t xml:space="preserve"> in patients with renal impairment. Based on population PK analysis, renal impairment </w:t>
      </w:r>
      <w:proofErr w:type="gramStart"/>
      <w:r>
        <w:t>is not expected</w:t>
      </w:r>
      <w:proofErr w:type="gramEnd"/>
      <w:r>
        <w:t xml:space="preserve"> to influence </w:t>
      </w:r>
      <w:proofErr w:type="spellStart"/>
      <w:r>
        <w:t>trastuzumab</w:t>
      </w:r>
      <w:proofErr w:type="spellEnd"/>
      <w:r>
        <w:t xml:space="preserve"> exposure, however, limited data from patients with moderate to severe renal impairment were included in the population PK a</w:t>
      </w:r>
      <w:r w:rsidR="00916FCA">
        <w:t>nalysis (see Pharmacokinetics).</w:t>
      </w:r>
    </w:p>
    <w:p w14:paraId="02A880AC" w14:textId="4BB9879E" w:rsidR="00FB4FFD" w:rsidRDefault="00916FCA" w:rsidP="00B66C40">
      <w:pPr>
        <w:pStyle w:val="Subheading1"/>
      </w:pPr>
      <w:r>
        <w:t>Use in Hepatic Impairment</w:t>
      </w:r>
    </w:p>
    <w:p w14:paraId="155CFDC9" w14:textId="30001A21" w:rsidR="00FB4FFD" w:rsidRDefault="00FB4FFD" w:rsidP="00FB4FFD">
      <w:pPr>
        <w:pStyle w:val="Bodyofcontents"/>
      </w:pPr>
      <w:r>
        <w:t xml:space="preserve">The use of </w:t>
      </w:r>
      <w:proofErr w:type="spellStart"/>
      <w:r w:rsidR="00053543">
        <w:t>trastuzumab</w:t>
      </w:r>
      <w:proofErr w:type="spellEnd"/>
      <w:r>
        <w:t xml:space="preserve"> in patients with hepatic i</w:t>
      </w:r>
      <w:r w:rsidR="00916FCA">
        <w:t xml:space="preserve">mpairment </w:t>
      </w:r>
      <w:proofErr w:type="gramStart"/>
      <w:r w:rsidR="00916FCA">
        <w:t>has not been studied</w:t>
      </w:r>
      <w:proofErr w:type="gramEnd"/>
      <w:r w:rsidR="00916FCA">
        <w:t>.</w:t>
      </w:r>
    </w:p>
    <w:p w14:paraId="2B80BD73" w14:textId="77777777" w:rsidR="000B377E" w:rsidRPr="00A15169" w:rsidRDefault="000B377E" w:rsidP="000B377E">
      <w:pPr>
        <w:pStyle w:val="SubjectHeading"/>
      </w:pPr>
      <w:r w:rsidRPr="00A15169">
        <w:t>INTERACTIONS WITH OTHER MEDICINES</w:t>
      </w:r>
    </w:p>
    <w:p w14:paraId="04F09C74" w14:textId="6378EAB5" w:rsidR="0078795A" w:rsidRPr="0078795A" w:rsidRDefault="0078795A" w:rsidP="0078795A">
      <w:pPr>
        <w:pStyle w:val="Bodyofcontents"/>
      </w:pPr>
      <w:r w:rsidRPr="0078795A">
        <w:t xml:space="preserve">No formal drug interaction studies </w:t>
      </w:r>
      <w:proofErr w:type="gramStart"/>
      <w:r w:rsidRPr="0078795A">
        <w:t>have been performed</w:t>
      </w:r>
      <w:proofErr w:type="gramEnd"/>
      <w:r w:rsidRPr="0078795A">
        <w:t xml:space="preserve"> with </w:t>
      </w:r>
      <w:proofErr w:type="spellStart"/>
      <w:r w:rsidR="00053543">
        <w:t>trastuzumab</w:t>
      </w:r>
      <w:proofErr w:type="spellEnd"/>
      <w:r w:rsidRPr="0078795A">
        <w:t xml:space="preserve"> in humans. Clinically significant interactions with concomitant medication used in clinical trials </w:t>
      </w:r>
      <w:proofErr w:type="gramStart"/>
      <w:r w:rsidRPr="0078795A">
        <w:t>have not been observed</w:t>
      </w:r>
      <w:proofErr w:type="gramEnd"/>
      <w:r w:rsidRPr="0078795A">
        <w:t xml:space="preserve">. A comparison of serum levels of </w:t>
      </w:r>
      <w:proofErr w:type="spellStart"/>
      <w:r w:rsidR="00053543">
        <w:t>trastuzumab</w:t>
      </w:r>
      <w:proofErr w:type="spellEnd"/>
      <w:r w:rsidRPr="0078795A">
        <w:t xml:space="preserve"> given in combination with cisplatin, doxorubicin or </w:t>
      </w:r>
      <w:proofErr w:type="spellStart"/>
      <w:r w:rsidRPr="0078795A">
        <w:t>epirubicin</w:t>
      </w:r>
      <w:proofErr w:type="spellEnd"/>
      <w:r w:rsidRPr="0078795A">
        <w:t xml:space="preserve">-plus-cyclophosphamide has not suggested the </w:t>
      </w:r>
      <w:r w:rsidR="00916FCA">
        <w:t>possibility of any interaction.</w:t>
      </w:r>
    </w:p>
    <w:p w14:paraId="1DAEC00C" w14:textId="1D5DBFDD" w:rsidR="0078795A" w:rsidRPr="0078795A" w:rsidRDefault="0078795A" w:rsidP="0078795A">
      <w:pPr>
        <w:pStyle w:val="Bodyofcontents"/>
      </w:pPr>
      <w:r w:rsidRPr="0078795A">
        <w:t xml:space="preserve">Administration of paclitaxel in combination with </w:t>
      </w:r>
      <w:proofErr w:type="spellStart"/>
      <w:r w:rsidR="00053543">
        <w:t>trastuzumab</w:t>
      </w:r>
      <w:proofErr w:type="spellEnd"/>
      <w:r w:rsidRPr="0078795A">
        <w:t xml:space="preserve"> resulted in a slightly less than two-fold decrease in </w:t>
      </w:r>
      <w:proofErr w:type="spellStart"/>
      <w:r w:rsidRPr="0078795A">
        <w:t>trastuzumab</w:t>
      </w:r>
      <w:proofErr w:type="spellEnd"/>
      <w:r w:rsidRPr="0078795A">
        <w:t xml:space="preserve"> clearance in a non-human primate study and a 1.5-fold increase in </w:t>
      </w:r>
      <w:proofErr w:type="spellStart"/>
      <w:r w:rsidRPr="0078795A">
        <w:t>trastuzumab</w:t>
      </w:r>
      <w:proofErr w:type="spellEnd"/>
      <w:r w:rsidRPr="0078795A">
        <w:t xml:space="preserve"> serum levels in clinical studies. Paclitaxel pharmacokinetics determined during the fourth cycle of the alternative 3-weekly </w:t>
      </w:r>
      <w:proofErr w:type="spellStart"/>
      <w:r w:rsidR="00053543">
        <w:t>trastuzumab</w:t>
      </w:r>
      <w:proofErr w:type="spellEnd"/>
      <w:r w:rsidRPr="0078795A">
        <w:t xml:space="preserve"> regimen (n = 25) were not altered appreciably, relative to parameters determined during the initiation of paclitaxel, prior to introduction of </w:t>
      </w:r>
      <w:proofErr w:type="spellStart"/>
      <w:r w:rsidR="00053543">
        <w:t>trastuzumab</w:t>
      </w:r>
      <w:proofErr w:type="spellEnd"/>
      <w:r w:rsidRPr="0078795A">
        <w:t xml:space="preserve">. Similarly, docetaxel pharmacokinetics determined during the first dose of </w:t>
      </w:r>
      <w:proofErr w:type="spellStart"/>
      <w:r w:rsidR="00053543">
        <w:t>trastuzumab</w:t>
      </w:r>
      <w:proofErr w:type="spellEnd"/>
      <w:r w:rsidRPr="0078795A">
        <w:t xml:space="preserve"> in the standard weekly regimen (n = 10) were not altered appreciably relative to those determined 2 wee</w:t>
      </w:r>
      <w:r w:rsidR="00916FCA">
        <w:t>ks earlier for docetaxel-alone.</w:t>
      </w:r>
    </w:p>
    <w:p w14:paraId="540A3EC9" w14:textId="4204A87B" w:rsidR="0078795A" w:rsidRPr="0078795A" w:rsidRDefault="0078795A" w:rsidP="0078795A">
      <w:pPr>
        <w:pStyle w:val="Bodyofcontents"/>
      </w:pPr>
      <w:r w:rsidRPr="0078795A">
        <w:t xml:space="preserve">A pharmacokinetic interaction </w:t>
      </w:r>
      <w:proofErr w:type="spellStart"/>
      <w:r w:rsidRPr="0078795A">
        <w:t>substudy</w:t>
      </w:r>
      <w:proofErr w:type="spellEnd"/>
      <w:r w:rsidRPr="0078795A">
        <w:t xml:space="preserve"> of BO18255 (</w:t>
      </w:r>
      <w:proofErr w:type="spellStart"/>
      <w:r w:rsidRPr="0078795A">
        <w:t>ToGA</w:t>
      </w:r>
      <w:proofErr w:type="spellEnd"/>
      <w:r w:rsidRPr="0078795A">
        <w:t xml:space="preserve">) performed in male and female Japanese patients with advanced gastric cancer showed that co-administration of </w:t>
      </w:r>
      <w:proofErr w:type="spellStart"/>
      <w:r w:rsidRPr="0078795A">
        <w:t>trastuzumab</w:t>
      </w:r>
      <w:proofErr w:type="spellEnd"/>
      <w:r w:rsidRPr="0078795A">
        <w:t xml:space="preserve"> and </w:t>
      </w:r>
      <w:proofErr w:type="spellStart"/>
      <w:r w:rsidRPr="0078795A">
        <w:t>capecitabine</w:t>
      </w:r>
      <w:proofErr w:type="spellEnd"/>
      <w:r w:rsidRPr="0078795A">
        <w:t xml:space="preserve"> and cisplatin had no significant effects on the pharmacokinetics of the two chemotherapy agents compared with co-administration of the two agents without </w:t>
      </w:r>
      <w:proofErr w:type="spellStart"/>
      <w:r w:rsidRPr="0078795A">
        <w:t>trastuzumab</w:t>
      </w:r>
      <w:proofErr w:type="spellEnd"/>
      <w:r w:rsidRPr="0078795A">
        <w:t xml:space="preserve">. The pharmacokinetics of </w:t>
      </w:r>
      <w:proofErr w:type="spellStart"/>
      <w:r w:rsidRPr="0078795A">
        <w:t>trastuzumab</w:t>
      </w:r>
      <w:proofErr w:type="spellEnd"/>
      <w:r w:rsidRPr="0078795A">
        <w:t xml:space="preserve"> </w:t>
      </w:r>
      <w:proofErr w:type="gramStart"/>
      <w:r w:rsidRPr="0078795A">
        <w:t>we</w:t>
      </w:r>
      <w:r w:rsidR="00916FCA">
        <w:t>re not evaluated</w:t>
      </w:r>
      <w:proofErr w:type="gramEnd"/>
      <w:r w:rsidR="00916FCA">
        <w:t xml:space="preserve"> in this study.</w:t>
      </w:r>
    </w:p>
    <w:p w14:paraId="4DB87B39" w14:textId="6CAF1F93" w:rsidR="007C7AA9" w:rsidRDefault="0078795A" w:rsidP="0078795A">
      <w:pPr>
        <w:pStyle w:val="Bodyofcontents"/>
      </w:pPr>
      <w:r w:rsidRPr="0078795A">
        <w:t xml:space="preserve">The administration of concomitant chemotherapy (either </w:t>
      </w:r>
      <w:proofErr w:type="spellStart"/>
      <w:r w:rsidRPr="0078795A">
        <w:t>anthracycline</w:t>
      </w:r>
      <w:proofErr w:type="spellEnd"/>
      <w:r w:rsidRPr="0078795A">
        <w:t xml:space="preserve"> or cyclophosphamide</w:t>
      </w:r>
      <w:r w:rsidR="00F654AD">
        <w:t xml:space="preserve"> or </w:t>
      </w:r>
      <w:proofErr w:type="spellStart"/>
      <w:r w:rsidR="00F654AD">
        <w:t>anastrozole</w:t>
      </w:r>
      <w:proofErr w:type="spellEnd"/>
      <w:r w:rsidRPr="0078795A">
        <w:t xml:space="preserve">) did not appear to influence the pharmacokinetics of </w:t>
      </w:r>
      <w:proofErr w:type="spellStart"/>
      <w:r w:rsidRPr="0078795A">
        <w:t>trastuzumab</w:t>
      </w:r>
      <w:proofErr w:type="spellEnd"/>
      <w:r w:rsidR="00916FCA">
        <w:t>.</w:t>
      </w:r>
    </w:p>
    <w:p w14:paraId="29D1DF6E" w14:textId="77777777" w:rsidR="000B377E" w:rsidRPr="00A15169" w:rsidRDefault="000B377E" w:rsidP="000B377E">
      <w:pPr>
        <w:pStyle w:val="SubjectHeading"/>
      </w:pPr>
      <w:r w:rsidRPr="00A15169">
        <w:t>ADVERSE EFFECTS</w:t>
      </w:r>
    </w:p>
    <w:p w14:paraId="737547F0" w14:textId="77777777" w:rsidR="00FB4FFD" w:rsidRDefault="00FB4FFD" w:rsidP="00FB4FFD">
      <w:pPr>
        <w:pStyle w:val="Bodyofcontents"/>
      </w:pPr>
      <w:r>
        <w:t>The adverse drug reactions listed in this section fall into the following categories: very common (</w:t>
      </w:r>
      <w:r w:rsidR="00B66C40">
        <w:t>≥</w:t>
      </w:r>
      <w:r>
        <w:t>1/10); common (</w:t>
      </w:r>
      <w:r w:rsidR="00B66C40">
        <w:t>≥</w:t>
      </w:r>
      <w:r>
        <w:t>1/100 to &lt;1/10); uncommon (≥1/1,000 to &lt;1/100); rare (≥1/10,000 to &lt;1/1,000); very rare (&lt;1/10,000); not known (</w:t>
      </w:r>
      <w:proofErr w:type="gramStart"/>
      <w:r>
        <w:t>cannot be estimated</w:t>
      </w:r>
      <w:proofErr w:type="gramEnd"/>
      <w:r>
        <w:t xml:space="preserve"> from the available data).</w:t>
      </w:r>
    </w:p>
    <w:p w14:paraId="7555BF3D" w14:textId="1D926FAC" w:rsidR="0078795A" w:rsidRDefault="0078795A" w:rsidP="0078795A">
      <w:pPr>
        <w:pStyle w:val="Bodyofcontents"/>
      </w:pPr>
      <w:r>
        <w:t xml:space="preserve">Within each frequency grouping, adverse reactions </w:t>
      </w:r>
      <w:proofErr w:type="gramStart"/>
      <w:r>
        <w:t>are presented</w:t>
      </w:r>
      <w:proofErr w:type="gramEnd"/>
      <w:r>
        <w:t xml:space="preserve"> in order of decre</w:t>
      </w:r>
      <w:r w:rsidR="00916FCA">
        <w:t>asing seriousness.</w:t>
      </w:r>
    </w:p>
    <w:p w14:paraId="75968D81" w14:textId="0A15BDF0" w:rsidR="0078795A" w:rsidRDefault="0078795A" w:rsidP="0078795A">
      <w:pPr>
        <w:pStyle w:val="Bodyofcontents"/>
      </w:pPr>
      <w:r>
        <w:t>Presented in Table 1</w:t>
      </w:r>
      <w:r w:rsidRPr="002936B8">
        <w:t xml:space="preserve">3 </w:t>
      </w:r>
      <w:r>
        <w:t xml:space="preserve">below are adverse reactions that have been reported in association with the use of </w:t>
      </w:r>
      <w:proofErr w:type="spellStart"/>
      <w:r w:rsidR="00053543">
        <w:t>trastuzumab</w:t>
      </w:r>
      <w:proofErr w:type="spellEnd"/>
      <w:r>
        <w:t xml:space="preserve"> alone, or in combination with chemotherapy in the below pivotal clinical trials as well as in the post-marketing settin</w:t>
      </w:r>
      <w:r w:rsidR="00916FCA">
        <w:t>g.</w:t>
      </w:r>
    </w:p>
    <w:p w14:paraId="2BBF81EE" w14:textId="6F8E5154" w:rsidR="0078795A" w:rsidRDefault="00916FCA" w:rsidP="00181977">
      <w:pPr>
        <w:pStyle w:val="Subheading2"/>
      </w:pPr>
      <w:r>
        <w:t>Early Breast Cancer</w:t>
      </w:r>
    </w:p>
    <w:p w14:paraId="6CE848DF" w14:textId="7CC1193D" w:rsidR="0078795A" w:rsidRDefault="0078795A" w:rsidP="00DC48C0">
      <w:pPr>
        <w:pStyle w:val="Bodydot"/>
        <w:spacing w:after="60"/>
        <w:ind w:left="714" w:hanging="357"/>
        <w:contextualSpacing w:val="0"/>
      </w:pPr>
      <w:r>
        <w:t xml:space="preserve">BO16348 (HERA): </w:t>
      </w:r>
      <w:proofErr w:type="spellStart"/>
      <w:r w:rsidR="00053543">
        <w:t>trastuzumab</w:t>
      </w:r>
      <w:proofErr w:type="spellEnd"/>
      <w:r>
        <w:t xml:space="preserve"> arm (n=1678). Control arm (n=1708) </w:t>
      </w:r>
    </w:p>
    <w:p w14:paraId="264082CE" w14:textId="16F24594" w:rsidR="0078795A" w:rsidRDefault="0078795A" w:rsidP="00DC48C0">
      <w:pPr>
        <w:pStyle w:val="Bodydot"/>
        <w:spacing w:after="60"/>
        <w:ind w:left="714" w:hanging="357"/>
        <w:contextualSpacing w:val="0"/>
      </w:pPr>
      <w:r>
        <w:lastRenderedPageBreak/>
        <w:t xml:space="preserve">B-31/N9831 Joint Analysis: </w:t>
      </w:r>
      <w:proofErr w:type="spellStart"/>
      <w:r w:rsidR="00053543">
        <w:t>trastuzumab</w:t>
      </w:r>
      <w:proofErr w:type="spellEnd"/>
      <w:r>
        <w:t xml:space="preserve"> arms (n=2345). Control arm (n=1673) </w:t>
      </w:r>
    </w:p>
    <w:p w14:paraId="13E6F2FA" w14:textId="67640186" w:rsidR="0078795A" w:rsidRDefault="0078795A" w:rsidP="00DC48C0">
      <w:pPr>
        <w:pStyle w:val="Bodydot"/>
        <w:spacing w:after="60"/>
        <w:ind w:left="714" w:hanging="357"/>
        <w:contextualSpacing w:val="0"/>
      </w:pPr>
      <w:r>
        <w:t xml:space="preserve">BCIRG 006: </w:t>
      </w:r>
      <w:proofErr w:type="spellStart"/>
      <w:r w:rsidR="00053543">
        <w:t>trastuzumab</w:t>
      </w:r>
      <w:proofErr w:type="spellEnd"/>
      <w:r>
        <w:t xml:space="preserve"> arm (n=2133). Control arm (n=1041) </w:t>
      </w:r>
    </w:p>
    <w:p w14:paraId="1E042801" w14:textId="029B6BD1" w:rsidR="0078795A" w:rsidRDefault="0078795A" w:rsidP="00DC48C0">
      <w:pPr>
        <w:pStyle w:val="Bodydot"/>
        <w:spacing w:after="280"/>
        <w:ind w:left="714" w:hanging="357"/>
        <w:contextualSpacing w:val="0"/>
      </w:pPr>
      <w:r>
        <w:t>BO16216 (</w:t>
      </w:r>
      <w:proofErr w:type="spellStart"/>
      <w:r>
        <w:t>TanDEM</w:t>
      </w:r>
      <w:proofErr w:type="spellEnd"/>
      <w:r>
        <w:t xml:space="preserve">): </w:t>
      </w:r>
      <w:proofErr w:type="spellStart"/>
      <w:r w:rsidR="00053543">
        <w:t>trastuzumab</w:t>
      </w:r>
      <w:proofErr w:type="spellEnd"/>
      <w:r>
        <w:t xml:space="preserve"> arm (n=161). Control arm (n=161) </w:t>
      </w:r>
    </w:p>
    <w:p w14:paraId="207F7745" w14:textId="77777777" w:rsidR="0078795A" w:rsidRDefault="0078795A" w:rsidP="00181977">
      <w:pPr>
        <w:pStyle w:val="Subheading2"/>
      </w:pPr>
      <w:r>
        <w:t xml:space="preserve">Locally Advanced Breast Cancer </w:t>
      </w:r>
    </w:p>
    <w:p w14:paraId="550F61CA" w14:textId="1F83E740" w:rsidR="0078795A" w:rsidRDefault="0078795A" w:rsidP="00DC48C0">
      <w:pPr>
        <w:pStyle w:val="Bodydot"/>
        <w:spacing w:after="280"/>
      </w:pPr>
      <w:r>
        <w:t xml:space="preserve">MO16432 (NOAH): </w:t>
      </w:r>
      <w:proofErr w:type="spellStart"/>
      <w:r w:rsidR="00053543">
        <w:t>trastuzumab</w:t>
      </w:r>
      <w:proofErr w:type="spellEnd"/>
      <w:r>
        <w:t xml:space="preserve"> arm (n=115). Control arm (n=116) </w:t>
      </w:r>
    </w:p>
    <w:p w14:paraId="4A276669" w14:textId="77777777" w:rsidR="0078795A" w:rsidRDefault="0078795A" w:rsidP="00181977">
      <w:pPr>
        <w:pStyle w:val="Subheading2"/>
      </w:pPr>
      <w:r>
        <w:t xml:space="preserve">Metastatic Breast Cancer (MBC) </w:t>
      </w:r>
    </w:p>
    <w:p w14:paraId="6490B6CA" w14:textId="224B502E" w:rsidR="0078795A" w:rsidRDefault="0078795A" w:rsidP="00DC48C0">
      <w:pPr>
        <w:pStyle w:val="Bodydot"/>
        <w:spacing w:after="60"/>
        <w:ind w:left="714" w:hanging="357"/>
        <w:contextualSpacing w:val="0"/>
      </w:pPr>
      <w:r>
        <w:t xml:space="preserve">H0648g / H0649g: </w:t>
      </w:r>
      <w:proofErr w:type="spellStart"/>
      <w:r w:rsidR="005B34B2">
        <w:t>trastuzumab</w:t>
      </w:r>
      <w:proofErr w:type="spellEnd"/>
      <w:r>
        <w:t xml:space="preserve"> arms ( n=469 and n=222 respectively) </w:t>
      </w:r>
    </w:p>
    <w:p w14:paraId="1EC14BC3" w14:textId="3E4FBB98" w:rsidR="0078795A" w:rsidRDefault="0078795A" w:rsidP="00DC48C0">
      <w:pPr>
        <w:pStyle w:val="Bodydot"/>
        <w:spacing w:after="280"/>
      </w:pPr>
      <w:r>
        <w:t xml:space="preserve">M77001: </w:t>
      </w:r>
      <w:proofErr w:type="spellStart"/>
      <w:r w:rsidR="005B34B2">
        <w:t>trastuzumab</w:t>
      </w:r>
      <w:proofErr w:type="spellEnd"/>
      <w:r>
        <w:t xml:space="preserve"> arm (n=92). Control arm (n=94). </w:t>
      </w:r>
    </w:p>
    <w:p w14:paraId="78842C49" w14:textId="77777777" w:rsidR="0078795A" w:rsidRDefault="0078795A" w:rsidP="00181977">
      <w:pPr>
        <w:pStyle w:val="Subheading2"/>
      </w:pPr>
      <w:r>
        <w:t xml:space="preserve">Advanced Gastric Cancer </w:t>
      </w:r>
    </w:p>
    <w:p w14:paraId="01A3F26C" w14:textId="13DC899E" w:rsidR="0078795A" w:rsidRDefault="0078795A" w:rsidP="00DC48C0">
      <w:pPr>
        <w:pStyle w:val="Bodydot"/>
        <w:spacing w:after="280"/>
      </w:pPr>
      <w:r>
        <w:t>BO18255 (</w:t>
      </w:r>
      <w:proofErr w:type="spellStart"/>
      <w:r>
        <w:t>ToGA</w:t>
      </w:r>
      <w:proofErr w:type="spellEnd"/>
      <w:r>
        <w:t xml:space="preserve">): </w:t>
      </w:r>
      <w:proofErr w:type="spellStart"/>
      <w:r w:rsidR="005B34B2">
        <w:t>trastuzumab</w:t>
      </w:r>
      <w:proofErr w:type="spellEnd"/>
      <w:r>
        <w:t xml:space="preserve"> arm (n=294). Control arm (n=290) </w:t>
      </w:r>
    </w:p>
    <w:p w14:paraId="0997BD21" w14:textId="0BCFB681" w:rsidR="0078795A" w:rsidRDefault="0078795A" w:rsidP="0078795A">
      <w:pPr>
        <w:pStyle w:val="Bodyofcontents"/>
      </w:pPr>
      <w:r>
        <w:t xml:space="preserve">All terms included </w:t>
      </w:r>
      <w:proofErr w:type="gramStart"/>
      <w:r>
        <w:t>are based</w:t>
      </w:r>
      <w:proofErr w:type="gramEnd"/>
      <w:r>
        <w:t xml:space="preserve"> on the highest percentage seen in pivotal clinical trials. </w:t>
      </w:r>
    </w:p>
    <w:p w14:paraId="1D3F4EB1" w14:textId="77777777" w:rsidR="0078795A" w:rsidRDefault="0078795A" w:rsidP="00BA2AF8">
      <w:pPr>
        <w:pStyle w:val="TableTitle"/>
        <w:spacing w:after="120"/>
      </w:pPr>
      <w:r>
        <w:t>Table 13: Adverse Reactions</w:t>
      </w:r>
    </w:p>
    <w:tbl>
      <w:tblPr>
        <w:tblStyle w:val="TableGrid"/>
        <w:tblW w:w="8926" w:type="dxa"/>
        <w:tblLook w:val="04A0" w:firstRow="1" w:lastRow="0" w:firstColumn="1" w:lastColumn="0" w:noHBand="0" w:noVBand="1"/>
      </w:tblPr>
      <w:tblGrid>
        <w:gridCol w:w="3114"/>
        <w:gridCol w:w="3086"/>
        <w:gridCol w:w="2726"/>
      </w:tblGrid>
      <w:tr w:rsidR="0078795A" w14:paraId="4D1CE8FF" w14:textId="77777777" w:rsidTr="00BA2AF8">
        <w:trPr>
          <w:tblHeader/>
        </w:trPr>
        <w:tc>
          <w:tcPr>
            <w:tcW w:w="3114" w:type="dxa"/>
          </w:tcPr>
          <w:p w14:paraId="33CC7D21" w14:textId="77777777" w:rsidR="0078795A" w:rsidRDefault="0078795A" w:rsidP="00181977">
            <w:pPr>
              <w:pStyle w:val="TableHeading"/>
            </w:pPr>
            <w:r>
              <w:t xml:space="preserve">System organ class </w:t>
            </w:r>
          </w:p>
        </w:tc>
        <w:tc>
          <w:tcPr>
            <w:tcW w:w="3086" w:type="dxa"/>
          </w:tcPr>
          <w:p w14:paraId="46E92AC0" w14:textId="77777777" w:rsidR="0078795A" w:rsidRDefault="0078795A" w:rsidP="00181977">
            <w:pPr>
              <w:pStyle w:val="TableHeading"/>
            </w:pPr>
            <w:r>
              <w:t>Adverse reaction</w:t>
            </w:r>
            <w:r w:rsidRPr="005B34B2">
              <w:rPr>
                <w:vertAlign w:val="superscript"/>
              </w:rPr>
              <w:t>1</w:t>
            </w:r>
            <w:r>
              <w:t xml:space="preserve"> </w:t>
            </w:r>
          </w:p>
        </w:tc>
        <w:tc>
          <w:tcPr>
            <w:tcW w:w="2726" w:type="dxa"/>
          </w:tcPr>
          <w:p w14:paraId="7A19DC14" w14:textId="77777777" w:rsidR="0078795A" w:rsidRDefault="0078795A" w:rsidP="00181977">
            <w:pPr>
              <w:pStyle w:val="TableHeading"/>
            </w:pPr>
            <w:r>
              <w:t xml:space="preserve">Frequency </w:t>
            </w:r>
          </w:p>
        </w:tc>
      </w:tr>
      <w:tr w:rsidR="0078795A" w14:paraId="4E8AB0E5" w14:textId="77777777" w:rsidTr="00BA2AF8">
        <w:tc>
          <w:tcPr>
            <w:tcW w:w="3114" w:type="dxa"/>
            <w:vMerge w:val="restart"/>
          </w:tcPr>
          <w:p w14:paraId="692350AE" w14:textId="77777777" w:rsidR="0078795A" w:rsidRPr="00181977" w:rsidRDefault="0078795A" w:rsidP="00181977">
            <w:pPr>
              <w:pStyle w:val="TableBody"/>
            </w:pPr>
            <w:r w:rsidRPr="00181977">
              <w:t xml:space="preserve">Infections and infestations </w:t>
            </w:r>
          </w:p>
        </w:tc>
        <w:tc>
          <w:tcPr>
            <w:tcW w:w="3086" w:type="dxa"/>
          </w:tcPr>
          <w:p w14:paraId="0ADB1F72" w14:textId="77777777" w:rsidR="0078795A" w:rsidRPr="00181977" w:rsidRDefault="0078795A" w:rsidP="00181977">
            <w:pPr>
              <w:pStyle w:val="TableBody"/>
            </w:pPr>
            <w:proofErr w:type="spellStart"/>
            <w:r w:rsidRPr="00181977">
              <w:t>Nasopharyngitis</w:t>
            </w:r>
            <w:proofErr w:type="spellEnd"/>
            <w:r w:rsidRPr="00181977">
              <w:t xml:space="preserve"> </w:t>
            </w:r>
          </w:p>
        </w:tc>
        <w:tc>
          <w:tcPr>
            <w:tcW w:w="2726" w:type="dxa"/>
          </w:tcPr>
          <w:p w14:paraId="13521209" w14:textId="77777777" w:rsidR="0078795A" w:rsidRPr="00181977" w:rsidRDefault="0078795A" w:rsidP="00181977">
            <w:pPr>
              <w:pStyle w:val="TableBody"/>
            </w:pPr>
            <w:r w:rsidRPr="00181977">
              <w:t xml:space="preserve">Very common </w:t>
            </w:r>
          </w:p>
        </w:tc>
      </w:tr>
      <w:tr w:rsidR="0078795A" w14:paraId="2AC5D56A" w14:textId="77777777" w:rsidTr="00BA2AF8">
        <w:tc>
          <w:tcPr>
            <w:tcW w:w="3114" w:type="dxa"/>
            <w:vMerge/>
          </w:tcPr>
          <w:p w14:paraId="39B121ED" w14:textId="77777777" w:rsidR="0078795A" w:rsidRPr="00181977" w:rsidRDefault="0078795A" w:rsidP="00181977">
            <w:pPr>
              <w:pStyle w:val="TableBody"/>
            </w:pPr>
          </w:p>
        </w:tc>
        <w:tc>
          <w:tcPr>
            <w:tcW w:w="3086" w:type="dxa"/>
          </w:tcPr>
          <w:p w14:paraId="5B6F47AE" w14:textId="77777777" w:rsidR="0078795A" w:rsidRPr="00181977" w:rsidRDefault="0078795A" w:rsidP="00181977">
            <w:pPr>
              <w:pStyle w:val="TableBody"/>
            </w:pPr>
            <w:r w:rsidRPr="00181977">
              <w:t xml:space="preserve">Infection </w:t>
            </w:r>
          </w:p>
        </w:tc>
        <w:tc>
          <w:tcPr>
            <w:tcW w:w="2726" w:type="dxa"/>
          </w:tcPr>
          <w:p w14:paraId="571DBC18" w14:textId="77777777" w:rsidR="0078795A" w:rsidRPr="00181977" w:rsidRDefault="0078795A" w:rsidP="00181977">
            <w:pPr>
              <w:pStyle w:val="TableBody"/>
            </w:pPr>
            <w:r w:rsidRPr="00181977">
              <w:t xml:space="preserve">Very common </w:t>
            </w:r>
          </w:p>
        </w:tc>
      </w:tr>
      <w:tr w:rsidR="0078795A" w14:paraId="027118FF" w14:textId="77777777" w:rsidTr="00BA2AF8">
        <w:tc>
          <w:tcPr>
            <w:tcW w:w="3114" w:type="dxa"/>
            <w:vMerge/>
          </w:tcPr>
          <w:p w14:paraId="0298FE2E" w14:textId="77777777" w:rsidR="0078795A" w:rsidRPr="00181977" w:rsidRDefault="0078795A" w:rsidP="00181977">
            <w:pPr>
              <w:pStyle w:val="TableBody"/>
            </w:pPr>
          </w:p>
        </w:tc>
        <w:tc>
          <w:tcPr>
            <w:tcW w:w="3086" w:type="dxa"/>
          </w:tcPr>
          <w:p w14:paraId="425BE6CE" w14:textId="77777777" w:rsidR="0078795A" w:rsidRPr="00181977" w:rsidRDefault="0078795A" w:rsidP="00181977">
            <w:pPr>
              <w:pStyle w:val="TableBody"/>
            </w:pPr>
            <w:r w:rsidRPr="00181977">
              <w:t xml:space="preserve">Neutropenic sepsis </w:t>
            </w:r>
          </w:p>
        </w:tc>
        <w:tc>
          <w:tcPr>
            <w:tcW w:w="2726" w:type="dxa"/>
          </w:tcPr>
          <w:p w14:paraId="5AB23A3D" w14:textId="77777777" w:rsidR="0078795A" w:rsidRPr="00181977" w:rsidRDefault="0078795A" w:rsidP="00181977">
            <w:pPr>
              <w:pStyle w:val="TableBody"/>
            </w:pPr>
            <w:r w:rsidRPr="00181977">
              <w:t xml:space="preserve">Common </w:t>
            </w:r>
          </w:p>
        </w:tc>
      </w:tr>
      <w:tr w:rsidR="0078795A" w14:paraId="3AE9CB46" w14:textId="77777777" w:rsidTr="00BA2AF8">
        <w:tc>
          <w:tcPr>
            <w:tcW w:w="3114" w:type="dxa"/>
            <w:vMerge/>
          </w:tcPr>
          <w:p w14:paraId="47D89227" w14:textId="77777777" w:rsidR="0078795A" w:rsidRPr="00181977" w:rsidRDefault="0078795A" w:rsidP="00181977">
            <w:pPr>
              <w:pStyle w:val="TableBody"/>
            </w:pPr>
          </w:p>
        </w:tc>
        <w:tc>
          <w:tcPr>
            <w:tcW w:w="3086" w:type="dxa"/>
          </w:tcPr>
          <w:p w14:paraId="5A6BBFC1" w14:textId="77777777" w:rsidR="0078795A" w:rsidRPr="00181977" w:rsidRDefault="0078795A" w:rsidP="00181977">
            <w:pPr>
              <w:pStyle w:val="TableBody"/>
            </w:pPr>
            <w:r w:rsidRPr="00181977">
              <w:t xml:space="preserve">Cystitis </w:t>
            </w:r>
          </w:p>
        </w:tc>
        <w:tc>
          <w:tcPr>
            <w:tcW w:w="2726" w:type="dxa"/>
          </w:tcPr>
          <w:p w14:paraId="72A83AEF" w14:textId="77777777" w:rsidR="0078795A" w:rsidRPr="00181977" w:rsidRDefault="0078795A" w:rsidP="00181977">
            <w:pPr>
              <w:pStyle w:val="TableBody"/>
            </w:pPr>
            <w:r w:rsidRPr="00181977">
              <w:t xml:space="preserve">Common </w:t>
            </w:r>
          </w:p>
        </w:tc>
      </w:tr>
      <w:tr w:rsidR="0078795A" w14:paraId="316C68D9" w14:textId="77777777" w:rsidTr="00BA2AF8">
        <w:tc>
          <w:tcPr>
            <w:tcW w:w="3114" w:type="dxa"/>
            <w:vMerge/>
          </w:tcPr>
          <w:p w14:paraId="36281E5D" w14:textId="77777777" w:rsidR="0078795A" w:rsidRPr="00181977" w:rsidRDefault="0078795A" w:rsidP="00181977">
            <w:pPr>
              <w:pStyle w:val="TableBody"/>
            </w:pPr>
          </w:p>
        </w:tc>
        <w:tc>
          <w:tcPr>
            <w:tcW w:w="3086" w:type="dxa"/>
          </w:tcPr>
          <w:p w14:paraId="3C2198C6" w14:textId="77777777" w:rsidR="0078795A" w:rsidRPr="00181977" w:rsidRDefault="0078795A" w:rsidP="00181977">
            <w:pPr>
              <w:pStyle w:val="TableBody"/>
            </w:pPr>
            <w:r w:rsidRPr="00181977">
              <w:t xml:space="preserve">Herpes zoster </w:t>
            </w:r>
          </w:p>
        </w:tc>
        <w:tc>
          <w:tcPr>
            <w:tcW w:w="2726" w:type="dxa"/>
          </w:tcPr>
          <w:p w14:paraId="6FEEA63D" w14:textId="77777777" w:rsidR="0078795A" w:rsidRPr="00181977" w:rsidRDefault="0078795A" w:rsidP="00181977">
            <w:pPr>
              <w:pStyle w:val="TableBody"/>
            </w:pPr>
            <w:r w:rsidRPr="00181977">
              <w:t xml:space="preserve">Common </w:t>
            </w:r>
          </w:p>
        </w:tc>
      </w:tr>
      <w:tr w:rsidR="0078795A" w14:paraId="04363FC4" w14:textId="77777777" w:rsidTr="00BA2AF8">
        <w:tc>
          <w:tcPr>
            <w:tcW w:w="3114" w:type="dxa"/>
            <w:vMerge/>
          </w:tcPr>
          <w:p w14:paraId="26FF1BE2" w14:textId="77777777" w:rsidR="0078795A" w:rsidRPr="00181977" w:rsidRDefault="0078795A" w:rsidP="00181977">
            <w:pPr>
              <w:pStyle w:val="TableBody"/>
            </w:pPr>
          </w:p>
        </w:tc>
        <w:tc>
          <w:tcPr>
            <w:tcW w:w="3086" w:type="dxa"/>
          </w:tcPr>
          <w:p w14:paraId="23DD78C8" w14:textId="77777777" w:rsidR="0078795A" w:rsidRPr="00181977" w:rsidRDefault="0078795A" w:rsidP="00181977">
            <w:pPr>
              <w:pStyle w:val="TableBody"/>
            </w:pPr>
            <w:r w:rsidRPr="00181977">
              <w:t xml:space="preserve">Influenza </w:t>
            </w:r>
          </w:p>
        </w:tc>
        <w:tc>
          <w:tcPr>
            <w:tcW w:w="2726" w:type="dxa"/>
          </w:tcPr>
          <w:p w14:paraId="026F55AB" w14:textId="77777777" w:rsidR="0078795A" w:rsidRPr="00181977" w:rsidRDefault="0078795A" w:rsidP="00181977">
            <w:pPr>
              <w:pStyle w:val="TableBody"/>
            </w:pPr>
            <w:r w:rsidRPr="00181977">
              <w:t xml:space="preserve">Common </w:t>
            </w:r>
          </w:p>
        </w:tc>
      </w:tr>
      <w:tr w:rsidR="0078795A" w14:paraId="23A4B3C5" w14:textId="77777777" w:rsidTr="00BA2AF8">
        <w:tc>
          <w:tcPr>
            <w:tcW w:w="3114" w:type="dxa"/>
            <w:vMerge/>
          </w:tcPr>
          <w:p w14:paraId="3038EFFD" w14:textId="77777777" w:rsidR="0078795A" w:rsidRPr="00181977" w:rsidRDefault="0078795A" w:rsidP="00181977">
            <w:pPr>
              <w:pStyle w:val="TableBody"/>
            </w:pPr>
          </w:p>
        </w:tc>
        <w:tc>
          <w:tcPr>
            <w:tcW w:w="3086" w:type="dxa"/>
          </w:tcPr>
          <w:p w14:paraId="135B86B5" w14:textId="77777777" w:rsidR="0078795A" w:rsidRPr="00181977" w:rsidRDefault="0078795A" w:rsidP="00181977">
            <w:pPr>
              <w:pStyle w:val="TableBody"/>
            </w:pPr>
            <w:r w:rsidRPr="00181977">
              <w:t xml:space="preserve">Pharyngitis </w:t>
            </w:r>
          </w:p>
        </w:tc>
        <w:tc>
          <w:tcPr>
            <w:tcW w:w="2726" w:type="dxa"/>
          </w:tcPr>
          <w:p w14:paraId="394B9520" w14:textId="77777777" w:rsidR="0078795A" w:rsidRPr="00181977" w:rsidRDefault="0078795A" w:rsidP="00181977">
            <w:pPr>
              <w:pStyle w:val="TableBody"/>
            </w:pPr>
            <w:r w:rsidRPr="00181977">
              <w:t xml:space="preserve">Common </w:t>
            </w:r>
          </w:p>
        </w:tc>
      </w:tr>
      <w:tr w:rsidR="0078795A" w14:paraId="00AC33A7" w14:textId="77777777" w:rsidTr="00BA2AF8">
        <w:tc>
          <w:tcPr>
            <w:tcW w:w="3114" w:type="dxa"/>
            <w:vMerge/>
          </w:tcPr>
          <w:p w14:paraId="00916523" w14:textId="77777777" w:rsidR="0078795A" w:rsidRPr="00181977" w:rsidRDefault="0078795A" w:rsidP="00181977">
            <w:pPr>
              <w:pStyle w:val="TableBody"/>
            </w:pPr>
          </w:p>
        </w:tc>
        <w:tc>
          <w:tcPr>
            <w:tcW w:w="3086" w:type="dxa"/>
          </w:tcPr>
          <w:p w14:paraId="64E197A6" w14:textId="77777777" w:rsidR="0078795A" w:rsidRPr="00181977" w:rsidRDefault="0078795A" w:rsidP="00181977">
            <w:pPr>
              <w:pStyle w:val="TableBody"/>
            </w:pPr>
            <w:r w:rsidRPr="00181977">
              <w:t xml:space="preserve">Sinusitis </w:t>
            </w:r>
          </w:p>
        </w:tc>
        <w:tc>
          <w:tcPr>
            <w:tcW w:w="2726" w:type="dxa"/>
          </w:tcPr>
          <w:p w14:paraId="3D83B464" w14:textId="77777777" w:rsidR="0078795A" w:rsidRPr="00181977" w:rsidRDefault="0078795A" w:rsidP="00181977">
            <w:pPr>
              <w:pStyle w:val="TableBody"/>
            </w:pPr>
            <w:r w:rsidRPr="00181977">
              <w:t xml:space="preserve">Common </w:t>
            </w:r>
          </w:p>
        </w:tc>
      </w:tr>
      <w:tr w:rsidR="0078795A" w14:paraId="1C45B3EB" w14:textId="77777777" w:rsidTr="00BA2AF8">
        <w:tc>
          <w:tcPr>
            <w:tcW w:w="3114" w:type="dxa"/>
            <w:vMerge/>
          </w:tcPr>
          <w:p w14:paraId="6946408B" w14:textId="77777777" w:rsidR="0078795A" w:rsidRPr="00181977" w:rsidRDefault="0078795A" w:rsidP="00181977">
            <w:pPr>
              <w:pStyle w:val="TableBody"/>
            </w:pPr>
          </w:p>
        </w:tc>
        <w:tc>
          <w:tcPr>
            <w:tcW w:w="3086" w:type="dxa"/>
          </w:tcPr>
          <w:p w14:paraId="4726FB26" w14:textId="77777777" w:rsidR="0078795A" w:rsidRPr="00181977" w:rsidRDefault="0078795A" w:rsidP="00181977">
            <w:pPr>
              <w:pStyle w:val="TableBody"/>
            </w:pPr>
            <w:r w:rsidRPr="00181977">
              <w:t xml:space="preserve">Skin infection </w:t>
            </w:r>
          </w:p>
        </w:tc>
        <w:tc>
          <w:tcPr>
            <w:tcW w:w="2726" w:type="dxa"/>
          </w:tcPr>
          <w:p w14:paraId="3D7DC044" w14:textId="77777777" w:rsidR="0078795A" w:rsidRPr="00181977" w:rsidRDefault="0078795A" w:rsidP="00181977">
            <w:pPr>
              <w:pStyle w:val="TableBody"/>
            </w:pPr>
            <w:r w:rsidRPr="00181977">
              <w:t xml:space="preserve">Common </w:t>
            </w:r>
          </w:p>
        </w:tc>
      </w:tr>
      <w:tr w:rsidR="0078795A" w14:paraId="16EE85BF" w14:textId="77777777" w:rsidTr="00BA2AF8">
        <w:tc>
          <w:tcPr>
            <w:tcW w:w="3114" w:type="dxa"/>
            <w:vMerge/>
          </w:tcPr>
          <w:p w14:paraId="3913EF3A" w14:textId="77777777" w:rsidR="0078795A" w:rsidRPr="00181977" w:rsidRDefault="0078795A" w:rsidP="00181977">
            <w:pPr>
              <w:pStyle w:val="TableBody"/>
            </w:pPr>
          </w:p>
        </w:tc>
        <w:tc>
          <w:tcPr>
            <w:tcW w:w="3086" w:type="dxa"/>
          </w:tcPr>
          <w:p w14:paraId="4CCD4808" w14:textId="77777777" w:rsidR="0078795A" w:rsidRPr="00181977" w:rsidRDefault="0078795A" w:rsidP="00181977">
            <w:pPr>
              <w:pStyle w:val="TableBody"/>
            </w:pPr>
            <w:r w:rsidRPr="00181977">
              <w:t xml:space="preserve">Rhinitis </w:t>
            </w:r>
          </w:p>
        </w:tc>
        <w:tc>
          <w:tcPr>
            <w:tcW w:w="2726" w:type="dxa"/>
          </w:tcPr>
          <w:p w14:paraId="7A512B14" w14:textId="77777777" w:rsidR="0078795A" w:rsidRPr="00181977" w:rsidRDefault="0078795A" w:rsidP="00181977">
            <w:pPr>
              <w:pStyle w:val="TableBody"/>
            </w:pPr>
            <w:r w:rsidRPr="00181977">
              <w:t xml:space="preserve">Common </w:t>
            </w:r>
          </w:p>
        </w:tc>
      </w:tr>
      <w:tr w:rsidR="0078795A" w14:paraId="1DDCA72E" w14:textId="77777777" w:rsidTr="00BA2AF8">
        <w:tc>
          <w:tcPr>
            <w:tcW w:w="3114" w:type="dxa"/>
            <w:vMerge/>
          </w:tcPr>
          <w:p w14:paraId="578D9E04" w14:textId="77777777" w:rsidR="0078795A" w:rsidRPr="00181977" w:rsidRDefault="0078795A" w:rsidP="00181977">
            <w:pPr>
              <w:pStyle w:val="TableBody"/>
            </w:pPr>
          </w:p>
        </w:tc>
        <w:tc>
          <w:tcPr>
            <w:tcW w:w="3086" w:type="dxa"/>
          </w:tcPr>
          <w:p w14:paraId="6EF3F10B" w14:textId="77777777" w:rsidR="0078795A" w:rsidRPr="00181977" w:rsidRDefault="0078795A" w:rsidP="00181977">
            <w:pPr>
              <w:pStyle w:val="TableBody"/>
            </w:pPr>
            <w:r w:rsidRPr="00181977">
              <w:t xml:space="preserve">Upper respiratory tract infection </w:t>
            </w:r>
          </w:p>
        </w:tc>
        <w:tc>
          <w:tcPr>
            <w:tcW w:w="2726" w:type="dxa"/>
          </w:tcPr>
          <w:p w14:paraId="1F731AED" w14:textId="77777777" w:rsidR="0078795A" w:rsidRPr="00181977" w:rsidRDefault="0078795A" w:rsidP="00181977">
            <w:pPr>
              <w:pStyle w:val="TableBody"/>
            </w:pPr>
            <w:r w:rsidRPr="00181977">
              <w:t xml:space="preserve">Common </w:t>
            </w:r>
          </w:p>
        </w:tc>
      </w:tr>
      <w:tr w:rsidR="0078795A" w14:paraId="3979F8E7" w14:textId="77777777" w:rsidTr="00BA2AF8">
        <w:tc>
          <w:tcPr>
            <w:tcW w:w="3114" w:type="dxa"/>
            <w:vMerge/>
          </w:tcPr>
          <w:p w14:paraId="35064237" w14:textId="77777777" w:rsidR="0078795A" w:rsidRPr="00181977" w:rsidRDefault="0078795A" w:rsidP="00181977">
            <w:pPr>
              <w:pStyle w:val="TableBody"/>
            </w:pPr>
          </w:p>
        </w:tc>
        <w:tc>
          <w:tcPr>
            <w:tcW w:w="3086" w:type="dxa"/>
          </w:tcPr>
          <w:p w14:paraId="4C26FBCA" w14:textId="77777777" w:rsidR="0078795A" w:rsidRPr="00181977" w:rsidRDefault="0078795A" w:rsidP="00181977">
            <w:pPr>
              <w:pStyle w:val="TableBody"/>
            </w:pPr>
            <w:r w:rsidRPr="00181977">
              <w:t xml:space="preserve">Urinary tract infection </w:t>
            </w:r>
          </w:p>
        </w:tc>
        <w:tc>
          <w:tcPr>
            <w:tcW w:w="2726" w:type="dxa"/>
          </w:tcPr>
          <w:p w14:paraId="0E965CFC" w14:textId="77777777" w:rsidR="0078795A" w:rsidRPr="00181977" w:rsidRDefault="0078795A" w:rsidP="00181977">
            <w:pPr>
              <w:pStyle w:val="TableBody"/>
            </w:pPr>
            <w:r w:rsidRPr="00181977">
              <w:t xml:space="preserve">Common </w:t>
            </w:r>
          </w:p>
        </w:tc>
      </w:tr>
      <w:tr w:rsidR="0078795A" w14:paraId="1A63B858" w14:textId="77777777" w:rsidTr="00BA2AF8">
        <w:tc>
          <w:tcPr>
            <w:tcW w:w="3114" w:type="dxa"/>
            <w:vMerge/>
          </w:tcPr>
          <w:p w14:paraId="174E8917" w14:textId="77777777" w:rsidR="0078795A" w:rsidRPr="00181977" w:rsidRDefault="0078795A" w:rsidP="00181977">
            <w:pPr>
              <w:pStyle w:val="TableBody"/>
            </w:pPr>
          </w:p>
        </w:tc>
        <w:tc>
          <w:tcPr>
            <w:tcW w:w="3086" w:type="dxa"/>
          </w:tcPr>
          <w:p w14:paraId="3AEE02A9" w14:textId="77777777" w:rsidR="0078795A" w:rsidRPr="00181977" w:rsidRDefault="0078795A" w:rsidP="00181977">
            <w:pPr>
              <w:pStyle w:val="TableBody"/>
            </w:pPr>
            <w:r w:rsidRPr="00181977">
              <w:t xml:space="preserve">Erysipelas </w:t>
            </w:r>
          </w:p>
        </w:tc>
        <w:tc>
          <w:tcPr>
            <w:tcW w:w="2726" w:type="dxa"/>
          </w:tcPr>
          <w:p w14:paraId="57E8D5ED" w14:textId="77777777" w:rsidR="0078795A" w:rsidRPr="00181977" w:rsidRDefault="0078795A" w:rsidP="00181977">
            <w:pPr>
              <w:pStyle w:val="TableBody"/>
            </w:pPr>
            <w:r w:rsidRPr="00181977">
              <w:t xml:space="preserve">Common </w:t>
            </w:r>
          </w:p>
        </w:tc>
      </w:tr>
      <w:tr w:rsidR="0078795A" w14:paraId="5C4E981C" w14:textId="77777777" w:rsidTr="00BA2AF8">
        <w:tc>
          <w:tcPr>
            <w:tcW w:w="3114" w:type="dxa"/>
            <w:vMerge/>
          </w:tcPr>
          <w:p w14:paraId="7EA3DA3D" w14:textId="77777777" w:rsidR="0078795A" w:rsidRPr="00181977" w:rsidRDefault="0078795A" w:rsidP="00181977">
            <w:pPr>
              <w:pStyle w:val="TableBody"/>
            </w:pPr>
          </w:p>
        </w:tc>
        <w:tc>
          <w:tcPr>
            <w:tcW w:w="3086" w:type="dxa"/>
          </w:tcPr>
          <w:p w14:paraId="6EF840EE" w14:textId="77777777" w:rsidR="0078795A" w:rsidRPr="00181977" w:rsidRDefault="0078795A" w:rsidP="00181977">
            <w:pPr>
              <w:pStyle w:val="TableBody"/>
            </w:pPr>
            <w:r w:rsidRPr="00181977">
              <w:t xml:space="preserve">Cellulitis </w:t>
            </w:r>
          </w:p>
        </w:tc>
        <w:tc>
          <w:tcPr>
            <w:tcW w:w="2726" w:type="dxa"/>
          </w:tcPr>
          <w:p w14:paraId="44DFE485" w14:textId="77777777" w:rsidR="0078795A" w:rsidRPr="00181977" w:rsidRDefault="0078795A" w:rsidP="00181977">
            <w:pPr>
              <w:pStyle w:val="TableBody"/>
            </w:pPr>
            <w:r w:rsidRPr="00181977">
              <w:t xml:space="preserve">Common </w:t>
            </w:r>
          </w:p>
        </w:tc>
      </w:tr>
      <w:tr w:rsidR="0078795A" w14:paraId="1068756E" w14:textId="77777777" w:rsidTr="00BA2AF8">
        <w:tc>
          <w:tcPr>
            <w:tcW w:w="3114" w:type="dxa"/>
            <w:vMerge/>
          </w:tcPr>
          <w:p w14:paraId="4E2E4330" w14:textId="77777777" w:rsidR="0078795A" w:rsidRPr="00181977" w:rsidRDefault="0078795A" w:rsidP="00181977">
            <w:pPr>
              <w:pStyle w:val="TableBody"/>
            </w:pPr>
          </w:p>
        </w:tc>
        <w:tc>
          <w:tcPr>
            <w:tcW w:w="3086" w:type="dxa"/>
          </w:tcPr>
          <w:p w14:paraId="5FD45A2F" w14:textId="77777777" w:rsidR="0078795A" w:rsidRPr="00181977" w:rsidRDefault="0078795A" w:rsidP="00181977">
            <w:pPr>
              <w:pStyle w:val="TableBody"/>
            </w:pPr>
            <w:r w:rsidRPr="00181977">
              <w:t xml:space="preserve">Sepsis </w:t>
            </w:r>
          </w:p>
        </w:tc>
        <w:tc>
          <w:tcPr>
            <w:tcW w:w="2726" w:type="dxa"/>
          </w:tcPr>
          <w:p w14:paraId="70949D6E" w14:textId="77777777" w:rsidR="0078795A" w:rsidRPr="00181977" w:rsidRDefault="0078795A" w:rsidP="00181977">
            <w:pPr>
              <w:pStyle w:val="TableBody"/>
            </w:pPr>
            <w:r w:rsidRPr="00181977">
              <w:t xml:space="preserve">Uncommon </w:t>
            </w:r>
          </w:p>
        </w:tc>
      </w:tr>
      <w:tr w:rsidR="0078795A" w14:paraId="50D890B3" w14:textId="77777777" w:rsidTr="00BA2AF8">
        <w:tc>
          <w:tcPr>
            <w:tcW w:w="3114" w:type="dxa"/>
            <w:vMerge w:val="restart"/>
          </w:tcPr>
          <w:p w14:paraId="126DC92B" w14:textId="77777777" w:rsidR="0078795A" w:rsidRPr="00181977" w:rsidRDefault="0078795A" w:rsidP="00181977">
            <w:pPr>
              <w:pStyle w:val="TableBody"/>
            </w:pPr>
            <w:r w:rsidRPr="00181977">
              <w:t xml:space="preserve">Neoplasms benign, malignant and unspecified (incl. Cysts and polyps) </w:t>
            </w:r>
          </w:p>
        </w:tc>
        <w:tc>
          <w:tcPr>
            <w:tcW w:w="3086" w:type="dxa"/>
          </w:tcPr>
          <w:p w14:paraId="18CB1FAF" w14:textId="77777777" w:rsidR="0078795A" w:rsidRPr="00181977" w:rsidRDefault="0078795A" w:rsidP="00181977">
            <w:pPr>
              <w:pStyle w:val="TableBody"/>
            </w:pPr>
            <w:r w:rsidRPr="00181977">
              <w:t xml:space="preserve">Malignant neoplasm progression </w:t>
            </w:r>
          </w:p>
        </w:tc>
        <w:tc>
          <w:tcPr>
            <w:tcW w:w="2726" w:type="dxa"/>
          </w:tcPr>
          <w:p w14:paraId="438B44BB" w14:textId="77777777" w:rsidR="0078795A" w:rsidRPr="00181977" w:rsidRDefault="0078795A" w:rsidP="00181977">
            <w:pPr>
              <w:pStyle w:val="TableBody"/>
            </w:pPr>
            <w:r w:rsidRPr="00181977">
              <w:t xml:space="preserve">Not known </w:t>
            </w:r>
          </w:p>
        </w:tc>
      </w:tr>
      <w:tr w:rsidR="0078795A" w14:paraId="20971F38" w14:textId="77777777" w:rsidTr="00BA2AF8">
        <w:tc>
          <w:tcPr>
            <w:tcW w:w="3114" w:type="dxa"/>
            <w:vMerge/>
          </w:tcPr>
          <w:p w14:paraId="1F3409E8" w14:textId="77777777" w:rsidR="0078795A" w:rsidRPr="00181977" w:rsidRDefault="0078795A" w:rsidP="00181977">
            <w:pPr>
              <w:pStyle w:val="TableBody"/>
            </w:pPr>
          </w:p>
        </w:tc>
        <w:tc>
          <w:tcPr>
            <w:tcW w:w="3086" w:type="dxa"/>
          </w:tcPr>
          <w:p w14:paraId="2A6CCBD2" w14:textId="77777777" w:rsidR="0078795A" w:rsidRPr="00181977" w:rsidRDefault="0078795A" w:rsidP="00181977">
            <w:pPr>
              <w:pStyle w:val="TableBody"/>
            </w:pPr>
            <w:r w:rsidRPr="00181977">
              <w:t xml:space="preserve">Neoplasm progression </w:t>
            </w:r>
          </w:p>
        </w:tc>
        <w:tc>
          <w:tcPr>
            <w:tcW w:w="2726" w:type="dxa"/>
          </w:tcPr>
          <w:p w14:paraId="2AD3F628" w14:textId="77777777" w:rsidR="0078795A" w:rsidRPr="00181977" w:rsidRDefault="0078795A" w:rsidP="00181977">
            <w:pPr>
              <w:pStyle w:val="TableBody"/>
            </w:pPr>
            <w:r w:rsidRPr="00181977">
              <w:t xml:space="preserve">Not known </w:t>
            </w:r>
          </w:p>
        </w:tc>
      </w:tr>
      <w:tr w:rsidR="0078795A" w14:paraId="75E3F63C" w14:textId="77777777" w:rsidTr="00BA2AF8">
        <w:tc>
          <w:tcPr>
            <w:tcW w:w="3114" w:type="dxa"/>
            <w:vMerge w:val="restart"/>
          </w:tcPr>
          <w:p w14:paraId="60957425" w14:textId="77777777" w:rsidR="0078795A" w:rsidRPr="00181977" w:rsidRDefault="0078795A" w:rsidP="00181977">
            <w:pPr>
              <w:pStyle w:val="TableBody"/>
            </w:pPr>
            <w:r w:rsidRPr="00181977">
              <w:t xml:space="preserve">Blood and lymphatic system disorders </w:t>
            </w:r>
          </w:p>
        </w:tc>
        <w:tc>
          <w:tcPr>
            <w:tcW w:w="3086" w:type="dxa"/>
          </w:tcPr>
          <w:p w14:paraId="6095903F" w14:textId="77777777" w:rsidR="0078795A" w:rsidRPr="00181977" w:rsidRDefault="0078795A" w:rsidP="00181977">
            <w:pPr>
              <w:pStyle w:val="TableBody"/>
            </w:pPr>
            <w:r w:rsidRPr="00181977">
              <w:t xml:space="preserve">Febrile neutropenia </w:t>
            </w:r>
          </w:p>
        </w:tc>
        <w:tc>
          <w:tcPr>
            <w:tcW w:w="2726" w:type="dxa"/>
          </w:tcPr>
          <w:p w14:paraId="64CBB4CD" w14:textId="77777777" w:rsidR="0078795A" w:rsidRPr="00181977" w:rsidRDefault="0078795A" w:rsidP="00181977">
            <w:pPr>
              <w:pStyle w:val="TableBody"/>
            </w:pPr>
            <w:r w:rsidRPr="00181977">
              <w:t xml:space="preserve">Very common </w:t>
            </w:r>
          </w:p>
        </w:tc>
      </w:tr>
      <w:tr w:rsidR="0078795A" w14:paraId="71302888" w14:textId="77777777" w:rsidTr="00BA2AF8">
        <w:tc>
          <w:tcPr>
            <w:tcW w:w="3114" w:type="dxa"/>
            <w:vMerge/>
          </w:tcPr>
          <w:p w14:paraId="456A4CDD" w14:textId="77777777" w:rsidR="0078795A" w:rsidRPr="00181977" w:rsidRDefault="0078795A" w:rsidP="00181977">
            <w:pPr>
              <w:pStyle w:val="TableBody"/>
            </w:pPr>
          </w:p>
        </w:tc>
        <w:tc>
          <w:tcPr>
            <w:tcW w:w="3086" w:type="dxa"/>
          </w:tcPr>
          <w:p w14:paraId="1A1397E0" w14:textId="77777777" w:rsidR="0078795A" w:rsidRPr="00181977" w:rsidRDefault="0078795A" w:rsidP="00181977">
            <w:pPr>
              <w:pStyle w:val="TableBody"/>
            </w:pPr>
            <w:proofErr w:type="spellStart"/>
            <w:r w:rsidRPr="00181977">
              <w:t>Anaemia</w:t>
            </w:r>
            <w:proofErr w:type="spellEnd"/>
            <w:r w:rsidRPr="00181977">
              <w:t xml:space="preserve"> </w:t>
            </w:r>
          </w:p>
        </w:tc>
        <w:tc>
          <w:tcPr>
            <w:tcW w:w="2726" w:type="dxa"/>
          </w:tcPr>
          <w:p w14:paraId="7CB61AD4" w14:textId="77777777" w:rsidR="0078795A" w:rsidRPr="00181977" w:rsidRDefault="0078795A" w:rsidP="00181977">
            <w:pPr>
              <w:pStyle w:val="TableBody"/>
            </w:pPr>
            <w:r w:rsidRPr="00181977">
              <w:t xml:space="preserve">Very common </w:t>
            </w:r>
          </w:p>
        </w:tc>
      </w:tr>
      <w:tr w:rsidR="0078795A" w14:paraId="1056C131" w14:textId="77777777" w:rsidTr="00BA2AF8">
        <w:tc>
          <w:tcPr>
            <w:tcW w:w="3114" w:type="dxa"/>
            <w:vMerge/>
          </w:tcPr>
          <w:p w14:paraId="5F8FCA70" w14:textId="77777777" w:rsidR="0078795A" w:rsidRPr="00181977" w:rsidRDefault="0078795A" w:rsidP="00181977">
            <w:pPr>
              <w:pStyle w:val="TableBody"/>
            </w:pPr>
          </w:p>
        </w:tc>
        <w:tc>
          <w:tcPr>
            <w:tcW w:w="3086" w:type="dxa"/>
          </w:tcPr>
          <w:p w14:paraId="2A560D38" w14:textId="77777777" w:rsidR="0078795A" w:rsidRPr="00181977" w:rsidRDefault="0078795A" w:rsidP="00181977">
            <w:pPr>
              <w:pStyle w:val="TableBody"/>
            </w:pPr>
            <w:r w:rsidRPr="00181977">
              <w:t xml:space="preserve">Thrombocytopenia </w:t>
            </w:r>
          </w:p>
        </w:tc>
        <w:tc>
          <w:tcPr>
            <w:tcW w:w="2726" w:type="dxa"/>
          </w:tcPr>
          <w:p w14:paraId="4245F1B7" w14:textId="77777777" w:rsidR="0078795A" w:rsidRPr="00181977" w:rsidRDefault="0078795A" w:rsidP="00181977">
            <w:pPr>
              <w:pStyle w:val="TableBody"/>
            </w:pPr>
            <w:r w:rsidRPr="00181977">
              <w:t xml:space="preserve">Very common </w:t>
            </w:r>
          </w:p>
        </w:tc>
      </w:tr>
      <w:tr w:rsidR="0078795A" w14:paraId="65741B37" w14:textId="77777777" w:rsidTr="00BA2AF8">
        <w:tc>
          <w:tcPr>
            <w:tcW w:w="3114" w:type="dxa"/>
            <w:vMerge/>
          </w:tcPr>
          <w:p w14:paraId="6B3E21C1" w14:textId="77777777" w:rsidR="0078795A" w:rsidRPr="00181977" w:rsidRDefault="0078795A" w:rsidP="00181977">
            <w:pPr>
              <w:pStyle w:val="TableBody"/>
            </w:pPr>
          </w:p>
        </w:tc>
        <w:tc>
          <w:tcPr>
            <w:tcW w:w="3086" w:type="dxa"/>
          </w:tcPr>
          <w:p w14:paraId="49A1E8B7" w14:textId="77777777" w:rsidR="0078795A" w:rsidRPr="00181977" w:rsidRDefault="0078795A" w:rsidP="00181977">
            <w:pPr>
              <w:pStyle w:val="TableBody"/>
            </w:pPr>
            <w:r w:rsidRPr="00181977">
              <w:t xml:space="preserve">White blood cell count decreased / leukopenia </w:t>
            </w:r>
          </w:p>
        </w:tc>
        <w:tc>
          <w:tcPr>
            <w:tcW w:w="2726" w:type="dxa"/>
          </w:tcPr>
          <w:p w14:paraId="63699B35" w14:textId="77777777" w:rsidR="0078795A" w:rsidRPr="00181977" w:rsidRDefault="0078795A" w:rsidP="00181977">
            <w:pPr>
              <w:pStyle w:val="TableBody"/>
            </w:pPr>
            <w:r w:rsidRPr="00181977">
              <w:t xml:space="preserve">Very common </w:t>
            </w:r>
          </w:p>
        </w:tc>
      </w:tr>
      <w:tr w:rsidR="0078795A" w14:paraId="1D09E2D4" w14:textId="77777777" w:rsidTr="00BA2AF8">
        <w:tc>
          <w:tcPr>
            <w:tcW w:w="3114" w:type="dxa"/>
            <w:vMerge/>
          </w:tcPr>
          <w:p w14:paraId="3244FA74" w14:textId="77777777" w:rsidR="0078795A" w:rsidRPr="00181977" w:rsidRDefault="0078795A" w:rsidP="00181977">
            <w:pPr>
              <w:pStyle w:val="TableBody"/>
            </w:pPr>
          </w:p>
        </w:tc>
        <w:tc>
          <w:tcPr>
            <w:tcW w:w="3086" w:type="dxa"/>
          </w:tcPr>
          <w:p w14:paraId="1B48F615" w14:textId="77777777" w:rsidR="0078795A" w:rsidRPr="00181977" w:rsidRDefault="0078795A" w:rsidP="00181977">
            <w:pPr>
              <w:pStyle w:val="TableBody"/>
            </w:pPr>
            <w:r w:rsidRPr="00181977">
              <w:t xml:space="preserve">Neutropenia </w:t>
            </w:r>
          </w:p>
        </w:tc>
        <w:tc>
          <w:tcPr>
            <w:tcW w:w="2726" w:type="dxa"/>
          </w:tcPr>
          <w:p w14:paraId="5915311C" w14:textId="77777777" w:rsidR="0078795A" w:rsidRPr="00181977" w:rsidRDefault="0078795A" w:rsidP="00181977">
            <w:pPr>
              <w:pStyle w:val="TableBody"/>
            </w:pPr>
            <w:r w:rsidRPr="00181977">
              <w:t xml:space="preserve">Very common </w:t>
            </w:r>
          </w:p>
        </w:tc>
      </w:tr>
      <w:tr w:rsidR="0078795A" w14:paraId="19DCE47D" w14:textId="77777777" w:rsidTr="00BA2AF8">
        <w:tc>
          <w:tcPr>
            <w:tcW w:w="3114" w:type="dxa"/>
            <w:vMerge/>
          </w:tcPr>
          <w:p w14:paraId="1F4FA8D3" w14:textId="77777777" w:rsidR="0078795A" w:rsidRPr="00181977" w:rsidRDefault="0078795A" w:rsidP="00181977">
            <w:pPr>
              <w:pStyle w:val="TableBody"/>
            </w:pPr>
          </w:p>
        </w:tc>
        <w:tc>
          <w:tcPr>
            <w:tcW w:w="3086" w:type="dxa"/>
          </w:tcPr>
          <w:p w14:paraId="4E0C56E8" w14:textId="77777777" w:rsidR="0078795A" w:rsidRPr="00181977" w:rsidRDefault="0078795A" w:rsidP="00181977">
            <w:pPr>
              <w:pStyle w:val="TableBody"/>
            </w:pPr>
            <w:proofErr w:type="spellStart"/>
            <w:r w:rsidRPr="00181977">
              <w:t>Hypoprothrombinaemia</w:t>
            </w:r>
            <w:proofErr w:type="spellEnd"/>
            <w:r w:rsidRPr="00181977">
              <w:t xml:space="preserve"> </w:t>
            </w:r>
          </w:p>
        </w:tc>
        <w:tc>
          <w:tcPr>
            <w:tcW w:w="2726" w:type="dxa"/>
          </w:tcPr>
          <w:p w14:paraId="4A6EDB39" w14:textId="77777777" w:rsidR="0078795A" w:rsidRPr="00181977" w:rsidRDefault="0078795A" w:rsidP="00181977">
            <w:pPr>
              <w:pStyle w:val="TableBody"/>
            </w:pPr>
            <w:r w:rsidRPr="00181977">
              <w:t xml:space="preserve">Not known </w:t>
            </w:r>
          </w:p>
        </w:tc>
      </w:tr>
      <w:tr w:rsidR="0078795A" w14:paraId="46EB5ED4" w14:textId="77777777" w:rsidTr="00BA2AF8">
        <w:tc>
          <w:tcPr>
            <w:tcW w:w="3114" w:type="dxa"/>
            <w:vMerge/>
          </w:tcPr>
          <w:p w14:paraId="4A364D87" w14:textId="77777777" w:rsidR="0078795A" w:rsidRPr="00181977" w:rsidRDefault="0078795A" w:rsidP="00181977">
            <w:pPr>
              <w:pStyle w:val="TableBody"/>
            </w:pPr>
          </w:p>
        </w:tc>
        <w:tc>
          <w:tcPr>
            <w:tcW w:w="3086" w:type="dxa"/>
          </w:tcPr>
          <w:p w14:paraId="2048FDC6" w14:textId="77777777" w:rsidR="0078795A" w:rsidRPr="00181977" w:rsidRDefault="0078795A" w:rsidP="00181977">
            <w:pPr>
              <w:pStyle w:val="TableBody"/>
            </w:pPr>
            <w:r w:rsidRPr="00181977">
              <w:t xml:space="preserve">Immune Thrombocytopenia </w:t>
            </w:r>
          </w:p>
        </w:tc>
        <w:tc>
          <w:tcPr>
            <w:tcW w:w="2726" w:type="dxa"/>
          </w:tcPr>
          <w:p w14:paraId="2B3C6494" w14:textId="77777777" w:rsidR="0078795A" w:rsidRPr="00181977" w:rsidRDefault="0078795A" w:rsidP="00181977">
            <w:pPr>
              <w:pStyle w:val="TableBody"/>
            </w:pPr>
            <w:r w:rsidRPr="00181977">
              <w:t xml:space="preserve">Not Known </w:t>
            </w:r>
          </w:p>
        </w:tc>
      </w:tr>
      <w:tr w:rsidR="0078795A" w14:paraId="1E39A21C" w14:textId="77777777" w:rsidTr="00BA2AF8">
        <w:tc>
          <w:tcPr>
            <w:tcW w:w="3114" w:type="dxa"/>
            <w:vMerge w:val="restart"/>
          </w:tcPr>
          <w:p w14:paraId="4EA1B56B" w14:textId="77777777" w:rsidR="0078795A" w:rsidRPr="00181977" w:rsidRDefault="0078795A" w:rsidP="00181977">
            <w:pPr>
              <w:pStyle w:val="TableBody"/>
            </w:pPr>
            <w:r w:rsidRPr="00181977">
              <w:t xml:space="preserve">Immune system disorders </w:t>
            </w:r>
          </w:p>
        </w:tc>
        <w:tc>
          <w:tcPr>
            <w:tcW w:w="3086" w:type="dxa"/>
          </w:tcPr>
          <w:p w14:paraId="2CB9B1E0" w14:textId="77777777" w:rsidR="0078795A" w:rsidRPr="00181977" w:rsidRDefault="0078795A" w:rsidP="00181977">
            <w:pPr>
              <w:pStyle w:val="TableBody"/>
            </w:pPr>
            <w:r w:rsidRPr="00181977">
              <w:t xml:space="preserve">Hypersensitivity </w:t>
            </w:r>
          </w:p>
        </w:tc>
        <w:tc>
          <w:tcPr>
            <w:tcW w:w="2726" w:type="dxa"/>
          </w:tcPr>
          <w:p w14:paraId="6AE99658" w14:textId="77777777" w:rsidR="0078795A" w:rsidRPr="00181977" w:rsidRDefault="0078795A" w:rsidP="00181977">
            <w:pPr>
              <w:pStyle w:val="TableBody"/>
            </w:pPr>
            <w:r w:rsidRPr="00181977">
              <w:t xml:space="preserve">Common </w:t>
            </w:r>
          </w:p>
        </w:tc>
      </w:tr>
      <w:tr w:rsidR="0078795A" w14:paraId="5970629E" w14:textId="77777777" w:rsidTr="00BA2AF8">
        <w:tc>
          <w:tcPr>
            <w:tcW w:w="3114" w:type="dxa"/>
            <w:vMerge/>
          </w:tcPr>
          <w:p w14:paraId="240CD4A1" w14:textId="77777777" w:rsidR="0078795A" w:rsidRPr="00181977" w:rsidRDefault="0078795A" w:rsidP="00181977">
            <w:pPr>
              <w:pStyle w:val="TableBody"/>
            </w:pPr>
          </w:p>
        </w:tc>
        <w:tc>
          <w:tcPr>
            <w:tcW w:w="3086" w:type="dxa"/>
          </w:tcPr>
          <w:p w14:paraId="1B45F0C5" w14:textId="77777777" w:rsidR="0078795A" w:rsidRPr="00181977" w:rsidRDefault="0078795A" w:rsidP="00181977">
            <w:pPr>
              <w:pStyle w:val="TableBody"/>
            </w:pPr>
            <w:r w:rsidRPr="005B34B2">
              <w:rPr>
                <w:vertAlign w:val="superscript"/>
              </w:rPr>
              <w:t>2</w:t>
            </w:r>
            <w:r w:rsidRPr="00181977">
              <w:t xml:space="preserve">Anaphylactic reaction </w:t>
            </w:r>
          </w:p>
        </w:tc>
        <w:tc>
          <w:tcPr>
            <w:tcW w:w="2726" w:type="dxa"/>
          </w:tcPr>
          <w:p w14:paraId="65326598" w14:textId="77777777" w:rsidR="0078795A" w:rsidRPr="00181977" w:rsidRDefault="0078795A" w:rsidP="00181977">
            <w:pPr>
              <w:pStyle w:val="TableBody"/>
            </w:pPr>
            <w:r w:rsidRPr="00181977">
              <w:t xml:space="preserve">Not known </w:t>
            </w:r>
          </w:p>
        </w:tc>
      </w:tr>
      <w:tr w:rsidR="0078795A" w14:paraId="4045427E" w14:textId="77777777" w:rsidTr="00BA2AF8">
        <w:tc>
          <w:tcPr>
            <w:tcW w:w="3114" w:type="dxa"/>
            <w:vMerge/>
          </w:tcPr>
          <w:p w14:paraId="47841E8A" w14:textId="77777777" w:rsidR="0078795A" w:rsidRPr="00181977" w:rsidRDefault="0078795A" w:rsidP="00181977">
            <w:pPr>
              <w:pStyle w:val="TableBody"/>
            </w:pPr>
          </w:p>
        </w:tc>
        <w:tc>
          <w:tcPr>
            <w:tcW w:w="3086" w:type="dxa"/>
          </w:tcPr>
          <w:p w14:paraId="3294777D" w14:textId="77777777" w:rsidR="0078795A" w:rsidRPr="00181977" w:rsidRDefault="0078795A" w:rsidP="00181977">
            <w:pPr>
              <w:pStyle w:val="TableBody"/>
            </w:pPr>
            <w:r w:rsidRPr="005B34B2">
              <w:rPr>
                <w:vertAlign w:val="superscript"/>
              </w:rPr>
              <w:t>2</w:t>
            </w:r>
            <w:r w:rsidRPr="00181977">
              <w:t xml:space="preserve">Anaphylactic shock </w:t>
            </w:r>
          </w:p>
        </w:tc>
        <w:tc>
          <w:tcPr>
            <w:tcW w:w="2726" w:type="dxa"/>
          </w:tcPr>
          <w:p w14:paraId="04B8CAB5" w14:textId="77777777" w:rsidR="0078795A" w:rsidRPr="00181977" w:rsidRDefault="0078795A" w:rsidP="00181977">
            <w:pPr>
              <w:pStyle w:val="TableBody"/>
            </w:pPr>
            <w:r w:rsidRPr="00181977">
              <w:t xml:space="preserve">Not known </w:t>
            </w:r>
          </w:p>
        </w:tc>
      </w:tr>
      <w:tr w:rsidR="0078795A" w14:paraId="6853DE91" w14:textId="77777777" w:rsidTr="00BA2AF8">
        <w:tc>
          <w:tcPr>
            <w:tcW w:w="3114" w:type="dxa"/>
            <w:vMerge w:val="restart"/>
          </w:tcPr>
          <w:p w14:paraId="3C14B337" w14:textId="77777777" w:rsidR="0078795A" w:rsidRPr="00181977" w:rsidRDefault="0078795A" w:rsidP="00181977">
            <w:pPr>
              <w:pStyle w:val="TableBody"/>
            </w:pPr>
            <w:r w:rsidRPr="00181977">
              <w:t xml:space="preserve">Metabolism and nutrition disorders </w:t>
            </w:r>
          </w:p>
          <w:p w14:paraId="012C1DD9" w14:textId="77777777" w:rsidR="0078795A" w:rsidRPr="00181977" w:rsidRDefault="0078795A" w:rsidP="00181977">
            <w:pPr>
              <w:pStyle w:val="TableBody"/>
            </w:pPr>
          </w:p>
        </w:tc>
        <w:tc>
          <w:tcPr>
            <w:tcW w:w="3086" w:type="dxa"/>
          </w:tcPr>
          <w:p w14:paraId="1481D1A5" w14:textId="77777777" w:rsidR="0078795A" w:rsidRPr="00181977" w:rsidRDefault="0078795A" w:rsidP="00181977">
            <w:pPr>
              <w:pStyle w:val="TableBody"/>
            </w:pPr>
            <w:r w:rsidRPr="00181977">
              <w:t xml:space="preserve">Weight Decreased/Weight Loss </w:t>
            </w:r>
          </w:p>
        </w:tc>
        <w:tc>
          <w:tcPr>
            <w:tcW w:w="2726" w:type="dxa"/>
          </w:tcPr>
          <w:p w14:paraId="5354692E" w14:textId="77777777" w:rsidR="0078795A" w:rsidRPr="00181977" w:rsidRDefault="0078795A" w:rsidP="00181977">
            <w:pPr>
              <w:pStyle w:val="TableBody"/>
            </w:pPr>
            <w:r w:rsidRPr="00181977">
              <w:t xml:space="preserve">Very common </w:t>
            </w:r>
          </w:p>
        </w:tc>
      </w:tr>
      <w:tr w:rsidR="0078795A" w14:paraId="065FE5C0" w14:textId="77777777" w:rsidTr="00BA2AF8">
        <w:tc>
          <w:tcPr>
            <w:tcW w:w="3114" w:type="dxa"/>
            <w:vMerge/>
          </w:tcPr>
          <w:p w14:paraId="748E4287" w14:textId="77777777" w:rsidR="0078795A" w:rsidRPr="00181977" w:rsidRDefault="0078795A" w:rsidP="00181977">
            <w:pPr>
              <w:pStyle w:val="TableBody"/>
            </w:pPr>
          </w:p>
        </w:tc>
        <w:tc>
          <w:tcPr>
            <w:tcW w:w="3086" w:type="dxa"/>
          </w:tcPr>
          <w:p w14:paraId="109B3DCA" w14:textId="77777777" w:rsidR="0078795A" w:rsidRPr="00181977" w:rsidRDefault="0078795A" w:rsidP="00181977">
            <w:pPr>
              <w:pStyle w:val="TableBody"/>
            </w:pPr>
            <w:r w:rsidRPr="00181977">
              <w:t xml:space="preserve">Weight Increased </w:t>
            </w:r>
          </w:p>
        </w:tc>
        <w:tc>
          <w:tcPr>
            <w:tcW w:w="2726" w:type="dxa"/>
          </w:tcPr>
          <w:p w14:paraId="2E9E34E4" w14:textId="77777777" w:rsidR="0078795A" w:rsidRPr="00181977" w:rsidRDefault="0078795A" w:rsidP="00181977">
            <w:pPr>
              <w:pStyle w:val="TableBody"/>
            </w:pPr>
            <w:r w:rsidRPr="00181977">
              <w:t xml:space="preserve">Very common </w:t>
            </w:r>
          </w:p>
        </w:tc>
      </w:tr>
      <w:tr w:rsidR="0078795A" w14:paraId="5B9D3FE9" w14:textId="77777777" w:rsidTr="00BA2AF8">
        <w:tc>
          <w:tcPr>
            <w:tcW w:w="3114" w:type="dxa"/>
            <w:vMerge/>
          </w:tcPr>
          <w:p w14:paraId="27FD9ED7" w14:textId="77777777" w:rsidR="0078795A" w:rsidRPr="00181977" w:rsidRDefault="0078795A" w:rsidP="00181977">
            <w:pPr>
              <w:pStyle w:val="TableBody"/>
            </w:pPr>
          </w:p>
        </w:tc>
        <w:tc>
          <w:tcPr>
            <w:tcW w:w="3086" w:type="dxa"/>
          </w:tcPr>
          <w:p w14:paraId="47C35866" w14:textId="77777777" w:rsidR="0078795A" w:rsidRPr="00181977" w:rsidRDefault="0078795A" w:rsidP="00181977">
            <w:pPr>
              <w:pStyle w:val="TableBody"/>
            </w:pPr>
            <w:r w:rsidRPr="00181977">
              <w:t xml:space="preserve">Decreased appetite </w:t>
            </w:r>
          </w:p>
        </w:tc>
        <w:tc>
          <w:tcPr>
            <w:tcW w:w="2726" w:type="dxa"/>
          </w:tcPr>
          <w:p w14:paraId="2C232709" w14:textId="77777777" w:rsidR="0078795A" w:rsidRPr="00181977" w:rsidRDefault="0078795A" w:rsidP="00181977">
            <w:pPr>
              <w:pStyle w:val="TableBody"/>
            </w:pPr>
            <w:r w:rsidRPr="00181977">
              <w:t xml:space="preserve">Very common </w:t>
            </w:r>
          </w:p>
        </w:tc>
      </w:tr>
      <w:tr w:rsidR="0078795A" w14:paraId="3EF85DDA" w14:textId="77777777" w:rsidTr="00BA2AF8">
        <w:tc>
          <w:tcPr>
            <w:tcW w:w="3114" w:type="dxa"/>
            <w:vMerge/>
          </w:tcPr>
          <w:p w14:paraId="3AA9BDF6" w14:textId="77777777" w:rsidR="0078795A" w:rsidRPr="00181977" w:rsidRDefault="0078795A" w:rsidP="00181977">
            <w:pPr>
              <w:pStyle w:val="TableBody"/>
            </w:pPr>
          </w:p>
        </w:tc>
        <w:tc>
          <w:tcPr>
            <w:tcW w:w="3086" w:type="dxa"/>
          </w:tcPr>
          <w:p w14:paraId="1CE96AEC" w14:textId="77777777" w:rsidR="0078795A" w:rsidRPr="00181977" w:rsidRDefault="0078795A" w:rsidP="00181977">
            <w:pPr>
              <w:pStyle w:val="TableBody"/>
            </w:pPr>
            <w:r w:rsidRPr="00181977">
              <w:t xml:space="preserve">Anorexia </w:t>
            </w:r>
          </w:p>
        </w:tc>
        <w:tc>
          <w:tcPr>
            <w:tcW w:w="2726" w:type="dxa"/>
          </w:tcPr>
          <w:p w14:paraId="41B7B06F" w14:textId="77777777" w:rsidR="0078795A" w:rsidRPr="00181977" w:rsidRDefault="0078795A" w:rsidP="00181977">
            <w:pPr>
              <w:pStyle w:val="TableBody"/>
            </w:pPr>
            <w:r w:rsidRPr="00181977">
              <w:t xml:space="preserve">Very common </w:t>
            </w:r>
          </w:p>
        </w:tc>
      </w:tr>
      <w:tr w:rsidR="0078795A" w14:paraId="14E8D396" w14:textId="77777777" w:rsidTr="00BA2AF8">
        <w:tc>
          <w:tcPr>
            <w:tcW w:w="3114" w:type="dxa"/>
            <w:vMerge/>
          </w:tcPr>
          <w:p w14:paraId="593551A1" w14:textId="77777777" w:rsidR="0078795A" w:rsidRPr="00181977" w:rsidRDefault="0078795A" w:rsidP="00181977">
            <w:pPr>
              <w:pStyle w:val="TableBody"/>
            </w:pPr>
          </w:p>
        </w:tc>
        <w:tc>
          <w:tcPr>
            <w:tcW w:w="3086" w:type="dxa"/>
          </w:tcPr>
          <w:p w14:paraId="6D897ABB" w14:textId="77777777" w:rsidR="0078795A" w:rsidRPr="00181977" w:rsidRDefault="0078795A" w:rsidP="00181977">
            <w:pPr>
              <w:pStyle w:val="TableBody"/>
            </w:pPr>
            <w:proofErr w:type="spellStart"/>
            <w:r w:rsidRPr="00181977">
              <w:t>Hyperkalaemia</w:t>
            </w:r>
            <w:proofErr w:type="spellEnd"/>
            <w:r w:rsidRPr="00181977">
              <w:t xml:space="preserve"> </w:t>
            </w:r>
          </w:p>
        </w:tc>
        <w:tc>
          <w:tcPr>
            <w:tcW w:w="2726" w:type="dxa"/>
          </w:tcPr>
          <w:p w14:paraId="4E3651B1" w14:textId="77777777" w:rsidR="0078795A" w:rsidRPr="00181977" w:rsidRDefault="0078795A" w:rsidP="00181977">
            <w:pPr>
              <w:pStyle w:val="TableBody"/>
            </w:pPr>
            <w:r w:rsidRPr="00181977">
              <w:t xml:space="preserve">Not known </w:t>
            </w:r>
          </w:p>
        </w:tc>
      </w:tr>
      <w:tr w:rsidR="00DE10BA" w14:paraId="1460891B" w14:textId="77777777" w:rsidTr="00BA2AF8">
        <w:tc>
          <w:tcPr>
            <w:tcW w:w="3114" w:type="dxa"/>
            <w:vMerge w:val="restart"/>
          </w:tcPr>
          <w:p w14:paraId="4309E4A1" w14:textId="77777777" w:rsidR="00DE10BA" w:rsidRPr="00181977" w:rsidRDefault="00DE10BA" w:rsidP="00181977">
            <w:pPr>
              <w:pStyle w:val="TableBody"/>
            </w:pPr>
            <w:r w:rsidRPr="00181977">
              <w:t xml:space="preserve">Psychiatric disorders </w:t>
            </w:r>
          </w:p>
          <w:p w14:paraId="6D94C4BC" w14:textId="77777777" w:rsidR="00DE10BA" w:rsidRPr="00181977" w:rsidRDefault="00DE10BA" w:rsidP="00181977">
            <w:pPr>
              <w:pStyle w:val="TableBody"/>
            </w:pPr>
          </w:p>
        </w:tc>
        <w:tc>
          <w:tcPr>
            <w:tcW w:w="3086" w:type="dxa"/>
          </w:tcPr>
          <w:p w14:paraId="7F4C4EBD" w14:textId="77777777" w:rsidR="00DE10BA" w:rsidRPr="00181977" w:rsidRDefault="00DE10BA" w:rsidP="00181977">
            <w:pPr>
              <w:pStyle w:val="TableBody"/>
            </w:pPr>
            <w:r w:rsidRPr="00181977">
              <w:t xml:space="preserve">Insomnia </w:t>
            </w:r>
          </w:p>
        </w:tc>
        <w:tc>
          <w:tcPr>
            <w:tcW w:w="2726" w:type="dxa"/>
          </w:tcPr>
          <w:p w14:paraId="2D759EF9" w14:textId="77777777" w:rsidR="00DE10BA" w:rsidRPr="00181977" w:rsidRDefault="00DE10BA" w:rsidP="00181977">
            <w:pPr>
              <w:pStyle w:val="TableBody"/>
            </w:pPr>
            <w:r w:rsidRPr="00181977">
              <w:t xml:space="preserve">Very common </w:t>
            </w:r>
          </w:p>
        </w:tc>
      </w:tr>
      <w:tr w:rsidR="00DE10BA" w14:paraId="7067ED52" w14:textId="77777777" w:rsidTr="00BA2AF8">
        <w:tc>
          <w:tcPr>
            <w:tcW w:w="3114" w:type="dxa"/>
            <w:vMerge/>
          </w:tcPr>
          <w:p w14:paraId="567891B2" w14:textId="77777777" w:rsidR="00DE10BA" w:rsidRPr="00181977" w:rsidRDefault="00DE10BA" w:rsidP="00181977">
            <w:pPr>
              <w:pStyle w:val="TableBody"/>
            </w:pPr>
          </w:p>
        </w:tc>
        <w:tc>
          <w:tcPr>
            <w:tcW w:w="3086" w:type="dxa"/>
          </w:tcPr>
          <w:p w14:paraId="6A7A3F0A" w14:textId="77777777" w:rsidR="00DE10BA" w:rsidRPr="00181977" w:rsidRDefault="00DE10BA" w:rsidP="00181977">
            <w:pPr>
              <w:pStyle w:val="TableBody"/>
            </w:pPr>
            <w:r w:rsidRPr="00181977">
              <w:t xml:space="preserve">Depression </w:t>
            </w:r>
          </w:p>
        </w:tc>
        <w:tc>
          <w:tcPr>
            <w:tcW w:w="2726" w:type="dxa"/>
          </w:tcPr>
          <w:p w14:paraId="6ED1599E" w14:textId="77777777" w:rsidR="00DE10BA" w:rsidRPr="00181977" w:rsidRDefault="00DE10BA" w:rsidP="00181977">
            <w:pPr>
              <w:pStyle w:val="TableBody"/>
            </w:pPr>
            <w:r w:rsidRPr="00181977">
              <w:t xml:space="preserve">Common </w:t>
            </w:r>
          </w:p>
        </w:tc>
      </w:tr>
      <w:tr w:rsidR="00DE10BA" w14:paraId="65AE31DF" w14:textId="77777777" w:rsidTr="00BA2AF8">
        <w:tc>
          <w:tcPr>
            <w:tcW w:w="3114" w:type="dxa"/>
            <w:vMerge/>
          </w:tcPr>
          <w:p w14:paraId="5E08446B" w14:textId="77777777" w:rsidR="00DE10BA" w:rsidRPr="00181977" w:rsidRDefault="00DE10BA" w:rsidP="00181977">
            <w:pPr>
              <w:pStyle w:val="TableBody"/>
            </w:pPr>
          </w:p>
        </w:tc>
        <w:tc>
          <w:tcPr>
            <w:tcW w:w="3086" w:type="dxa"/>
          </w:tcPr>
          <w:p w14:paraId="7E35B0C8" w14:textId="77777777" w:rsidR="00DE10BA" w:rsidRPr="00181977" w:rsidRDefault="00DE10BA" w:rsidP="00181977">
            <w:pPr>
              <w:pStyle w:val="TableBody"/>
            </w:pPr>
            <w:r w:rsidRPr="00181977">
              <w:t xml:space="preserve">Anxiety </w:t>
            </w:r>
          </w:p>
        </w:tc>
        <w:tc>
          <w:tcPr>
            <w:tcW w:w="2726" w:type="dxa"/>
          </w:tcPr>
          <w:p w14:paraId="6CCBE8C8" w14:textId="77777777" w:rsidR="00DE10BA" w:rsidRPr="00181977" w:rsidRDefault="00DE10BA" w:rsidP="00181977">
            <w:pPr>
              <w:pStyle w:val="TableBody"/>
            </w:pPr>
            <w:r w:rsidRPr="00181977">
              <w:t xml:space="preserve">Common </w:t>
            </w:r>
          </w:p>
        </w:tc>
      </w:tr>
      <w:tr w:rsidR="00DE10BA" w14:paraId="3ED3D4B6" w14:textId="77777777" w:rsidTr="00BA2AF8">
        <w:tc>
          <w:tcPr>
            <w:tcW w:w="3114" w:type="dxa"/>
            <w:vMerge/>
          </w:tcPr>
          <w:p w14:paraId="66BC2388" w14:textId="77777777" w:rsidR="00DE10BA" w:rsidRPr="00181977" w:rsidRDefault="00DE10BA" w:rsidP="00181977">
            <w:pPr>
              <w:pStyle w:val="TableBody"/>
            </w:pPr>
          </w:p>
        </w:tc>
        <w:tc>
          <w:tcPr>
            <w:tcW w:w="3086" w:type="dxa"/>
          </w:tcPr>
          <w:p w14:paraId="5AAC0B58" w14:textId="77777777" w:rsidR="00DE10BA" w:rsidRPr="00181977" w:rsidRDefault="00DE10BA" w:rsidP="00181977">
            <w:pPr>
              <w:pStyle w:val="TableBody"/>
            </w:pPr>
            <w:r w:rsidRPr="00181977">
              <w:t xml:space="preserve">Thinking abnormal </w:t>
            </w:r>
          </w:p>
        </w:tc>
        <w:tc>
          <w:tcPr>
            <w:tcW w:w="2726" w:type="dxa"/>
          </w:tcPr>
          <w:p w14:paraId="153C213D" w14:textId="77777777" w:rsidR="00DE10BA" w:rsidRPr="00181977" w:rsidRDefault="00DE10BA" w:rsidP="00181977">
            <w:pPr>
              <w:pStyle w:val="TableBody"/>
            </w:pPr>
            <w:r w:rsidRPr="00181977">
              <w:t xml:space="preserve">Common </w:t>
            </w:r>
          </w:p>
        </w:tc>
      </w:tr>
      <w:tr w:rsidR="00DE10BA" w14:paraId="49CFC6D0" w14:textId="77777777" w:rsidTr="00BA2AF8">
        <w:tc>
          <w:tcPr>
            <w:tcW w:w="3114" w:type="dxa"/>
            <w:vMerge w:val="restart"/>
          </w:tcPr>
          <w:p w14:paraId="5F9422C1" w14:textId="77777777" w:rsidR="00DE10BA" w:rsidRPr="00181977" w:rsidRDefault="00DE10BA" w:rsidP="00181977">
            <w:pPr>
              <w:pStyle w:val="TableBody"/>
            </w:pPr>
            <w:r w:rsidRPr="00181977">
              <w:t xml:space="preserve">Nervous system disorders </w:t>
            </w:r>
          </w:p>
          <w:p w14:paraId="510641BF" w14:textId="77777777" w:rsidR="00DE10BA" w:rsidRPr="00181977" w:rsidRDefault="00DE10BA" w:rsidP="00181977">
            <w:pPr>
              <w:pStyle w:val="TableBody"/>
            </w:pPr>
          </w:p>
        </w:tc>
        <w:tc>
          <w:tcPr>
            <w:tcW w:w="3086" w:type="dxa"/>
          </w:tcPr>
          <w:p w14:paraId="78150AFC" w14:textId="77777777" w:rsidR="00DE10BA" w:rsidRPr="00181977" w:rsidRDefault="00DE10BA" w:rsidP="00181977">
            <w:pPr>
              <w:pStyle w:val="TableBody"/>
            </w:pPr>
            <w:r w:rsidRPr="00181977">
              <w:t>Tremor</w:t>
            </w:r>
            <w:r w:rsidRPr="005B34B2">
              <w:rPr>
                <w:vertAlign w:val="superscript"/>
              </w:rPr>
              <w:t>3</w:t>
            </w:r>
            <w:r w:rsidRPr="00181977">
              <w:t xml:space="preserve"> </w:t>
            </w:r>
          </w:p>
        </w:tc>
        <w:tc>
          <w:tcPr>
            <w:tcW w:w="2726" w:type="dxa"/>
          </w:tcPr>
          <w:p w14:paraId="5A535424" w14:textId="77777777" w:rsidR="00DE10BA" w:rsidRPr="00181977" w:rsidRDefault="00DE10BA" w:rsidP="00181977">
            <w:pPr>
              <w:pStyle w:val="TableBody"/>
            </w:pPr>
            <w:r w:rsidRPr="00181977">
              <w:t xml:space="preserve">Very common </w:t>
            </w:r>
          </w:p>
        </w:tc>
      </w:tr>
      <w:tr w:rsidR="00DE10BA" w14:paraId="2DEABCBE" w14:textId="77777777" w:rsidTr="00BA2AF8">
        <w:tc>
          <w:tcPr>
            <w:tcW w:w="3114" w:type="dxa"/>
            <w:vMerge/>
          </w:tcPr>
          <w:p w14:paraId="430AFC51" w14:textId="77777777" w:rsidR="00DE10BA" w:rsidRPr="00181977" w:rsidRDefault="00DE10BA" w:rsidP="00181977">
            <w:pPr>
              <w:pStyle w:val="TableBody"/>
            </w:pPr>
          </w:p>
        </w:tc>
        <w:tc>
          <w:tcPr>
            <w:tcW w:w="3086" w:type="dxa"/>
          </w:tcPr>
          <w:p w14:paraId="177E98B4" w14:textId="77777777" w:rsidR="00DE10BA" w:rsidRPr="00181977" w:rsidRDefault="00DE10BA" w:rsidP="00181977">
            <w:pPr>
              <w:pStyle w:val="TableBody"/>
            </w:pPr>
            <w:r w:rsidRPr="00181977">
              <w:t xml:space="preserve">Dizziness </w:t>
            </w:r>
          </w:p>
        </w:tc>
        <w:tc>
          <w:tcPr>
            <w:tcW w:w="2726" w:type="dxa"/>
          </w:tcPr>
          <w:p w14:paraId="6EB4ECBB" w14:textId="77777777" w:rsidR="00DE10BA" w:rsidRPr="00181977" w:rsidRDefault="00DE10BA" w:rsidP="00181977">
            <w:pPr>
              <w:pStyle w:val="TableBody"/>
            </w:pPr>
            <w:r w:rsidRPr="00181977">
              <w:t xml:space="preserve">Very common </w:t>
            </w:r>
          </w:p>
        </w:tc>
      </w:tr>
      <w:tr w:rsidR="00DE10BA" w14:paraId="55089FE8" w14:textId="77777777" w:rsidTr="00BA2AF8">
        <w:tc>
          <w:tcPr>
            <w:tcW w:w="3114" w:type="dxa"/>
            <w:vMerge/>
          </w:tcPr>
          <w:p w14:paraId="215793C6" w14:textId="77777777" w:rsidR="00DE10BA" w:rsidRPr="00181977" w:rsidRDefault="00DE10BA" w:rsidP="00181977">
            <w:pPr>
              <w:pStyle w:val="TableBody"/>
            </w:pPr>
          </w:p>
        </w:tc>
        <w:tc>
          <w:tcPr>
            <w:tcW w:w="3086" w:type="dxa"/>
          </w:tcPr>
          <w:p w14:paraId="37CCE919" w14:textId="77777777" w:rsidR="00DE10BA" w:rsidRPr="00181977" w:rsidRDefault="00DE10BA" w:rsidP="00181977">
            <w:pPr>
              <w:pStyle w:val="TableBody"/>
            </w:pPr>
            <w:r w:rsidRPr="00181977">
              <w:t xml:space="preserve">Headache </w:t>
            </w:r>
          </w:p>
        </w:tc>
        <w:tc>
          <w:tcPr>
            <w:tcW w:w="2726" w:type="dxa"/>
          </w:tcPr>
          <w:p w14:paraId="4B173993" w14:textId="77777777" w:rsidR="00DE10BA" w:rsidRPr="00181977" w:rsidRDefault="00DE10BA" w:rsidP="00181977">
            <w:pPr>
              <w:pStyle w:val="TableBody"/>
            </w:pPr>
            <w:r w:rsidRPr="00181977">
              <w:t xml:space="preserve">Very common </w:t>
            </w:r>
          </w:p>
        </w:tc>
      </w:tr>
      <w:tr w:rsidR="00DE10BA" w14:paraId="0E966FEB" w14:textId="77777777" w:rsidTr="00BA2AF8">
        <w:tc>
          <w:tcPr>
            <w:tcW w:w="3114" w:type="dxa"/>
            <w:vMerge/>
          </w:tcPr>
          <w:p w14:paraId="46EB6983" w14:textId="77777777" w:rsidR="00DE10BA" w:rsidRPr="00181977" w:rsidRDefault="00DE10BA" w:rsidP="00181977">
            <w:pPr>
              <w:pStyle w:val="TableBody"/>
            </w:pPr>
          </w:p>
        </w:tc>
        <w:tc>
          <w:tcPr>
            <w:tcW w:w="3086" w:type="dxa"/>
          </w:tcPr>
          <w:p w14:paraId="503BA573" w14:textId="77777777" w:rsidR="00DE10BA" w:rsidRPr="00181977" w:rsidRDefault="00DE10BA" w:rsidP="00181977">
            <w:pPr>
              <w:pStyle w:val="TableBody"/>
            </w:pPr>
            <w:proofErr w:type="spellStart"/>
            <w:r w:rsidRPr="00181977">
              <w:t>Dysgeusia</w:t>
            </w:r>
            <w:proofErr w:type="spellEnd"/>
            <w:r w:rsidRPr="00181977">
              <w:t xml:space="preserve"> </w:t>
            </w:r>
          </w:p>
        </w:tc>
        <w:tc>
          <w:tcPr>
            <w:tcW w:w="2726" w:type="dxa"/>
          </w:tcPr>
          <w:p w14:paraId="1B4704F8" w14:textId="77777777" w:rsidR="00DE10BA" w:rsidRPr="00181977" w:rsidRDefault="00DE10BA" w:rsidP="00181977">
            <w:pPr>
              <w:pStyle w:val="TableBody"/>
            </w:pPr>
            <w:r w:rsidRPr="00181977">
              <w:t xml:space="preserve">Very common </w:t>
            </w:r>
          </w:p>
        </w:tc>
      </w:tr>
      <w:tr w:rsidR="00DE10BA" w14:paraId="2B935D6A" w14:textId="77777777" w:rsidTr="00BA2AF8">
        <w:tc>
          <w:tcPr>
            <w:tcW w:w="3114" w:type="dxa"/>
            <w:vMerge/>
          </w:tcPr>
          <w:p w14:paraId="3C504B56" w14:textId="77777777" w:rsidR="00DE10BA" w:rsidRPr="00181977" w:rsidRDefault="00DE10BA" w:rsidP="00181977">
            <w:pPr>
              <w:pStyle w:val="TableBody"/>
            </w:pPr>
          </w:p>
        </w:tc>
        <w:tc>
          <w:tcPr>
            <w:tcW w:w="3086" w:type="dxa"/>
          </w:tcPr>
          <w:p w14:paraId="6F66E839" w14:textId="77777777" w:rsidR="00DE10BA" w:rsidRPr="00181977" w:rsidRDefault="00DE10BA" w:rsidP="00181977">
            <w:pPr>
              <w:pStyle w:val="TableBody"/>
            </w:pPr>
            <w:proofErr w:type="spellStart"/>
            <w:r w:rsidRPr="00181977">
              <w:t>Paraesthesia</w:t>
            </w:r>
            <w:proofErr w:type="spellEnd"/>
            <w:r w:rsidRPr="00181977">
              <w:t xml:space="preserve"> </w:t>
            </w:r>
          </w:p>
        </w:tc>
        <w:tc>
          <w:tcPr>
            <w:tcW w:w="2726" w:type="dxa"/>
          </w:tcPr>
          <w:p w14:paraId="59E7C592" w14:textId="77777777" w:rsidR="00DE10BA" w:rsidRPr="00181977" w:rsidRDefault="00DE10BA" w:rsidP="00181977">
            <w:pPr>
              <w:pStyle w:val="TableBody"/>
            </w:pPr>
            <w:r w:rsidRPr="00181977">
              <w:t xml:space="preserve">Very common </w:t>
            </w:r>
          </w:p>
        </w:tc>
      </w:tr>
      <w:tr w:rsidR="00DE10BA" w14:paraId="0AC1A4BD" w14:textId="77777777" w:rsidTr="00BA2AF8">
        <w:tc>
          <w:tcPr>
            <w:tcW w:w="3114" w:type="dxa"/>
            <w:vMerge/>
          </w:tcPr>
          <w:p w14:paraId="4F736A26" w14:textId="77777777" w:rsidR="00DE10BA" w:rsidRPr="00181977" w:rsidRDefault="00DE10BA" w:rsidP="00181977">
            <w:pPr>
              <w:pStyle w:val="TableBody"/>
            </w:pPr>
          </w:p>
        </w:tc>
        <w:tc>
          <w:tcPr>
            <w:tcW w:w="3086" w:type="dxa"/>
          </w:tcPr>
          <w:p w14:paraId="19BC07F4" w14:textId="77777777" w:rsidR="00DE10BA" w:rsidRPr="00181977" w:rsidRDefault="00DE10BA" w:rsidP="00181977">
            <w:pPr>
              <w:pStyle w:val="TableBody"/>
            </w:pPr>
            <w:proofErr w:type="spellStart"/>
            <w:r w:rsidRPr="00181977">
              <w:t>Hypoaesthesia</w:t>
            </w:r>
            <w:proofErr w:type="spellEnd"/>
            <w:r w:rsidRPr="00181977">
              <w:t xml:space="preserve"> </w:t>
            </w:r>
          </w:p>
        </w:tc>
        <w:tc>
          <w:tcPr>
            <w:tcW w:w="2726" w:type="dxa"/>
          </w:tcPr>
          <w:p w14:paraId="5D89CE71" w14:textId="77777777" w:rsidR="00DE10BA" w:rsidRPr="00181977" w:rsidRDefault="00DE10BA" w:rsidP="00181977">
            <w:pPr>
              <w:pStyle w:val="TableBody"/>
            </w:pPr>
            <w:r w:rsidRPr="00181977">
              <w:t xml:space="preserve">Very common </w:t>
            </w:r>
          </w:p>
        </w:tc>
      </w:tr>
      <w:tr w:rsidR="00DE10BA" w14:paraId="02D661A0" w14:textId="77777777" w:rsidTr="00BA2AF8">
        <w:tc>
          <w:tcPr>
            <w:tcW w:w="3114" w:type="dxa"/>
            <w:vMerge/>
          </w:tcPr>
          <w:p w14:paraId="41D9986A" w14:textId="77777777" w:rsidR="00DE10BA" w:rsidRPr="00181977" w:rsidRDefault="00DE10BA" w:rsidP="00181977">
            <w:pPr>
              <w:pStyle w:val="TableBody"/>
            </w:pPr>
          </w:p>
        </w:tc>
        <w:tc>
          <w:tcPr>
            <w:tcW w:w="3086" w:type="dxa"/>
          </w:tcPr>
          <w:p w14:paraId="53B8E55C" w14:textId="77777777" w:rsidR="00DE10BA" w:rsidRPr="00181977" w:rsidRDefault="00DE10BA" w:rsidP="00181977">
            <w:pPr>
              <w:pStyle w:val="TableBody"/>
            </w:pPr>
            <w:r w:rsidRPr="00181977">
              <w:t xml:space="preserve">Peripheral neuropathy </w:t>
            </w:r>
          </w:p>
        </w:tc>
        <w:tc>
          <w:tcPr>
            <w:tcW w:w="2726" w:type="dxa"/>
          </w:tcPr>
          <w:p w14:paraId="7743E5DE" w14:textId="77777777" w:rsidR="00DE10BA" w:rsidRPr="00181977" w:rsidRDefault="00DE10BA" w:rsidP="00181977">
            <w:pPr>
              <w:pStyle w:val="TableBody"/>
            </w:pPr>
            <w:r w:rsidRPr="00181977">
              <w:t xml:space="preserve">Common </w:t>
            </w:r>
          </w:p>
        </w:tc>
      </w:tr>
      <w:tr w:rsidR="00DE10BA" w14:paraId="5C33BE6A" w14:textId="77777777" w:rsidTr="00BA2AF8">
        <w:tc>
          <w:tcPr>
            <w:tcW w:w="3114" w:type="dxa"/>
            <w:vMerge/>
          </w:tcPr>
          <w:p w14:paraId="756BE0DB" w14:textId="77777777" w:rsidR="00DE10BA" w:rsidRPr="00181977" w:rsidRDefault="00DE10BA" w:rsidP="00181977">
            <w:pPr>
              <w:pStyle w:val="TableBody"/>
            </w:pPr>
          </w:p>
        </w:tc>
        <w:tc>
          <w:tcPr>
            <w:tcW w:w="3086" w:type="dxa"/>
          </w:tcPr>
          <w:p w14:paraId="469E386F" w14:textId="77777777" w:rsidR="00DE10BA" w:rsidRPr="00181977" w:rsidRDefault="00DE10BA" w:rsidP="00181977">
            <w:pPr>
              <w:pStyle w:val="TableBody"/>
            </w:pPr>
            <w:r w:rsidRPr="00181977">
              <w:t xml:space="preserve">Hypertonia </w:t>
            </w:r>
          </w:p>
        </w:tc>
        <w:tc>
          <w:tcPr>
            <w:tcW w:w="2726" w:type="dxa"/>
          </w:tcPr>
          <w:p w14:paraId="3EE7C314" w14:textId="77777777" w:rsidR="00DE10BA" w:rsidRPr="00181977" w:rsidRDefault="00DE10BA" w:rsidP="00181977">
            <w:pPr>
              <w:pStyle w:val="TableBody"/>
            </w:pPr>
            <w:r w:rsidRPr="00181977">
              <w:t xml:space="preserve">Common </w:t>
            </w:r>
          </w:p>
        </w:tc>
      </w:tr>
      <w:tr w:rsidR="00DE10BA" w14:paraId="3D42A138" w14:textId="77777777" w:rsidTr="00BA2AF8">
        <w:tc>
          <w:tcPr>
            <w:tcW w:w="3114" w:type="dxa"/>
            <w:vMerge/>
          </w:tcPr>
          <w:p w14:paraId="481CD4C7" w14:textId="77777777" w:rsidR="00DE10BA" w:rsidRPr="00181977" w:rsidRDefault="00DE10BA" w:rsidP="00181977">
            <w:pPr>
              <w:pStyle w:val="TableBody"/>
            </w:pPr>
          </w:p>
        </w:tc>
        <w:tc>
          <w:tcPr>
            <w:tcW w:w="3086" w:type="dxa"/>
          </w:tcPr>
          <w:p w14:paraId="151BC231" w14:textId="77777777" w:rsidR="00DE10BA" w:rsidRPr="00181977" w:rsidRDefault="00DE10BA" w:rsidP="00181977">
            <w:pPr>
              <w:pStyle w:val="TableBody"/>
            </w:pPr>
            <w:r w:rsidRPr="00181977">
              <w:t xml:space="preserve">Somnolence </w:t>
            </w:r>
          </w:p>
        </w:tc>
        <w:tc>
          <w:tcPr>
            <w:tcW w:w="2726" w:type="dxa"/>
          </w:tcPr>
          <w:p w14:paraId="64F59ADB" w14:textId="77777777" w:rsidR="00DE10BA" w:rsidRPr="00181977" w:rsidRDefault="00DE10BA" w:rsidP="00181977">
            <w:pPr>
              <w:pStyle w:val="TableBody"/>
            </w:pPr>
            <w:r w:rsidRPr="00181977">
              <w:t xml:space="preserve">Common </w:t>
            </w:r>
          </w:p>
        </w:tc>
      </w:tr>
      <w:tr w:rsidR="00DE10BA" w14:paraId="32D5C0CB" w14:textId="77777777" w:rsidTr="00BA2AF8">
        <w:tc>
          <w:tcPr>
            <w:tcW w:w="3114" w:type="dxa"/>
            <w:vMerge/>
          </w:tcPr>
          <w:p w14:paraId="402FBD22" w14:textId="77777777" w:rsidR="00DE10BA" w:rsidRPr="00181977" w:rsidRDefault="00DE10BA" w:rsidP="00181977">
            <w:pPr>
              <w:pStyle w:val="TableBody"/>
            </w:pPr>
          </w:p>
        </w:tc>
        <w:tc>
          <w:tcPr>
            <w:tcW w:w="3086" w:type="dxa"/>
          </w:tcPr>
          <w:p w14:paraId="02778863" w14:textId="77777777" w:rsidR="00DE10BA" w:rsidRPr="00181977" w:rsidRDefault="00DE10BA" w:rsidP="00181977">
            <w:pPr>
              <w:pStyle w:val="TableBody"/>
            </w:pPr>
            <w:r w:rsidRPr="00181977">
              <w:t xml:space="preserve">Ataxia </w:t>
            </w:r>
          </w:p>
        </w:tc>
        <w:tc>
          <w:tcPr>
            <w:tcW w:w="2726" w:type="dxa"/>
          </w:tcPr>
          <w:p w14:paraId="3EB7F8EF" w14:textId="77777777" w:rsidR="00DE10BA" w:rsidRPr="00181977" w:rsidRDefault="00DE10BA" w:rsidP="00181977">
            <w:pPr>
              <w:pStyle w:val="TableBody"/>
            </w:pPr>
            <w:r w:rsidRPr="00181977">
              <w:t xml:space="preserve">Common </w:t>
            </w:r>
          </w:p>
        </w:tc>
      </w:tr>
      <w:tr w:rsidR="00DE10BA" w14:paraId="0B39C784" w14:textId="77777777" w:rsidTr="00BA2AF8">
        <w:tc>
          <w:tcPr>
            <w:tcW w:w="3114" w:type="dxa"/>
            <w:vMerge/>
          </w:tcPr>
          <w:p w14:paraId="4D51FFAA" w14:textId="77777777" w:rsidR="00DE10BA" w:rsidRPr="00181977" w:rsidRDefault="00DE10BA" w:rsidP="00181977">
            <w:pPr>
              <w:pStyle w:val="TableBody"/>
            </w:pPr>
          </w:p>
        </w:tc>
        <w:tc>
          <w:tcPr>
            <w:tcW w:w="3086" w:type="dxa"/>
          </w:tcPr>
          <w:p w14:paraId="5DCA0761" w14:textId="77777777" w:rsidR="00DE10BA" w:rsidRPr="00181977" w:rsidRDefault="00DE10BA" w:rsidP="00181977">
            <w:pPr>
              <w:pStyle w:val="TableBody"/>
            </w:pPr>
            <w:r w:rsidRPr="00181977">
              <w:t xml:space="preserve">Paresis </w:t>
            </w:r>
          </w:p>
        </w:tc>
        <w:tc>
          <w:tcPr>
            <w:tcW w:w="2726" w:type="dxa"/>
          </w:tcPr>
          <w:p w14:paraId="2A8A0049" w14:textId="77777777" w:rsidR="00DE10BA" w:rsidRPr="00181977" w:rsidRDefault="00DE10BA" w:rsidP="00181977">
            <w:pPr>
              <w:pStyle w:val="TableBody"/>
            </w:pPr>
            <w:r w:rsidRPr="00181977">
              <w:t xml:space="preserve">Rare </w:t>
            </w:r>
          </w:p>
        </w:tc>
      </w:tr>
      <w:tr w:rsidR="00DE10BA" w14:paraId="288D8FCA" w14:textId="77777777" w:rsidTr="00BA2AF8">
        <w:tc>
          <w:tcPr>
            <w:tcW w:w="3114" w:type="dxa"/>
            <w:vMerge/>
          </w:tcPr>
          <w:p w14:paraId="42A7C202" w14:textId="77777777" w:rsidR="00DE10BA" w:rsidRPr="00181977" w:rsidRDefault="00DE10BA" w:rsidP="00181977">
            <w:pPr>
              <w:pStyle w:val="TableBody"/>
            </w:pPr>
          </w:p>
        </w:tc>
        <w:tc>
          <w:tcPr>
            <w:tcW w:w="3086" w:type="dxa"/>
          </w:tcPr>
          <w:p w14:paraId="38CAA344" w14:textId="77777777" w:rsidR="00DE10BA" w:rsidRPr="00181977" w:rsidRDefault="00DE10BA" w:rsidP="00181977">
            <w:pPr>
              <w:pStyle w:val="TableBody"/>
            </w:pPr>
            <w:r w:rsidRPr="00181977">
              <w:t xml:space="preserve">Brain </w:t>
            </w:r>
            <w:proofErr w:type="spellStart"/>
            <w:r w:rsidRPr="00181977">
              <w:t>oedema</w:t>
            </w:r>
            <w:proofErr w:type="spellEnd"/>
            <w:r w:rsidRPr="00181977">
              <w:t xml:space="preserve"> </w:t>
            </w:r>
          </w:p>
        </w:tc>
        <w:tc>
          <w:tcPr>
            <w:tcW w:w="2726" w:type="dxa"/>
          </w:tcPr>
          <w:p w14:paraId="50E627B1" w14:textId="77777777" w:rsidR="00DE10BA" w:rsidRPr="00181977" w:rsidRDefault="00DE10BA" w:rsidP="00181977">
            <w:pPr>
              <w:pStyle w:val="TableBody"/>
            </w:pPr>
            <w:r w:rsidRPr="00181977">
              <w:t xml:space="preserve">Not known </w:t>
            </w:r>
          </w:p>
        </w:tc>
      </w:tr>
      <w:tr w:rsidR="00DE10BA" w14:paraId="19D06989" w14:textId="77777777" w:rsidTr="00BA2AF8">
        <w:tc>
          <w:tcPr>
            <w:tcW w:w="3114" w:type="dxa"/>
            <w:vMerge w:val="restart"/>
          </w:tcPr>
          <w:p w14:paraId="59D1EDBB" w14:textId="77777777" w:rsidR="00DE10BA" w:rsidRPr="00181977" w:rsidRDefault="00DE10BA" w:rsidP="00181977">
            <w:pPr>
              <w:pStyle w:val="TableBody"/>
            </w:pPr>
            <w:r w:rsidRPr="00181977">
              <w:t xml:space="preserve">Eye disorders </w:t>
            </w:r>
          </w:p>
          <w:p w14:paraId="659A055C" w14:textId="77777777" w:rsidR="00DE10BA" w:rsidRPr="00181977" w:rsidRDefault="00DE10BA" w:rsidP="00181977">
            <w:pPr>
              <w:pStyle w:val="TableBody"/>
            </w:pPr>
          </w:p>
        </w:tc>
        <w:tc>
          <w:tcPr>
            <w:tcW w:w="3086" w:type="dxa"/>
          </w:tcPr>
          <w:p w14:paraId="60CC7FE0" w14:textId="77777777" w:rsidR="00DE10BA" w:rsidRPr="00181977" w:rsidRDefault="00DE10BA" w:rsidP="00181977">
            <w:pPr>
              <w:pStyle w:val="TableBody"/>
            </w:pPr>
            <w:r w:rsidRPr="00181977">
              <w:t xml:space="preserve">Conjunctivitis </w:t>
            </w:r>
          </w:p>
        </w:tc>
        <w:tc>
          <w:tcPr>
            <w:tcW w:w="2726" w:type="dxa"/>
          </w:tcPr>
          <w:p w14:paraId="20528BF8" w14:textId="77777777" w:rsidR="00DE10BA" w:rsidRPr="00181977" w:rsidRDefault="00DE10BA" w:rsidP="00181977">
            <w:pPr>
              <w:pStyle w:val="TableBody"/>
            </w:pPr>
            <w:r w:rsidRPr="00181977">
              <w:t xml:space="preserve">Very common </w:t>
            </w:r>
          </w:p>
        </w:tc>
      </w:tr>
      <w:tr w:rsidR="00DE10BA" w14:paraId="0EA5EA79" w14:textId="77777777" w:rsidTr="00BA2AF8">
        <w:tc>
          <w:tcPr>
            <w:tcW w:w="3114" w:type="dxa"/>
            <w:vMerge/>
          </w:tcPr>
          <w:p w14:paraId="6B6D6856" w14:textId="77777777" w:rsidR="00DE10BA" w:rsidRPr="00181977" w:rsidRDefault="00DE10BA" w:rsidP="00181977">
            <w:pPr>
              <w:pStyle w:val="TableBody"/>
            </w:pPr>
          </w:p>
        </w:tc>
        <w:tc>
          <w:tcPr>
            <w:tcW w:w="3086" w:type="dxa"/>
          </w:tcPr>
          <w:p w14:paraId="5F489497" w14:textId="77777777" w:rsidR="00DE10BA" w:rsidRPr="00181977" w:rsidRDefault="00DE10BA" w:rsidP="00181977">
            <w:pPr>
              <w:pStyle w:val="TableBody"/>
            </w:pPr>
            <w:r w:rsidRPr="00181977">
              <w:t xml:space="preserve">Lacrimation increased </w:t>
            </w:r>
          </w:p>
        </w:tc>
        <w:tc>
          <w:tcPr>
            <w:tcW w:w="2726" w:type="dxa"/>
          </w:tcPr>
          <w:p w14:paraId="7E794DAD" w14:textId="77777777" w:rsidR="00DE10BA" w:rsidRPr="00181977" w:rsidRDefault="00DE10BA" w:rsidP="00181977">
            <w:pPr>
              <w:pStyle w:val="TableBody"/>
            </w:pPr>
            <w:r w:rsidRPr="00181977">
              <w:t xml:space="preserve">Very common </w:t>
            </w:r>
          </w:p>
        </w:tc>
      </w:tr>
      <w:tr w:rsidR="00DE10BA" w14:paraId="631E9D7C" w14:textId="77777777" w:rsidTr="00BA2AF8">
        <w:tc>
          <w:tcPr>
            <w:tcW w:w="3114" w:type="dxa"/>
            <w:vMerge/>
          </w:tcPr>
          <w:p w14:paraId="0E20EAEB" w14:textId="77777777" w:rsidR="00DE10BA" w:rsidRPr="00181977" w:rsidRDefault="00DE10BA" w:rsidP="00181977">
            <w:pPr>
              <w:pStyle w:val="TableBody"/>
            </w:pPr>
          </w:p>
        </w:tc>
        <w:tc>
          <w:tcPr>
            <w:tcW w:w="3086" w:type="dxa"/>
          </w:tcPr>
          <w:p w14:paraId="1FE0ED60" w14:textId="77777777" w:rsidR="00DE10BA" w:rsidRPr="00181977" w:rsidRDefault="00DE10BA" w:rsidP="00181977">
            <w:pPr>
              <w:pStyle w:val="TableBody"/>
            </w:pPr>
            <w:r w:rsidRPr="00181977">
              <w:t xml:space="preserve">Dry eye </w:t>
            </w:r>
          </w:p>
        </w:tc>
        <w:tc>
          <w:tcPr>
            <w:tcW w:w="2726" w:type="dxa"/>
          </w:tcPr>
          <w:p w14:paraId="12FF319A" w14:textId="77777777" w:rsidR="00DE10BA" w:rsidRPr="00181977" w:rsidRDefault="00DE10BA" w:rsidP="00181977">
            <w:pPr>
              <w:pStyle w:val="TableBody"/>
            </w:pPr>
            <w:r w:rsidRPr="00181977">
              <w:t xml:space="preserve">Common </w:t>
            </w:r>
          </w:p>
        </w:tc>
      </w:tr>
      <w:tr w:rsidR="00DE10BA" w14:paraId="5F88BA84" w14:textId="77777777" w:rsidTr="00BA2AF8">
        <w:tc>
          <w:tcPr>
            <w:tcW w:w="3114" w:type="dxa"/>
            <w:vMerge/>
          </w:tcPr>
          <w:p w14:paraId="288C9542" w14:textId="77777777" w:rsidR="00DE10BA" w:rsidRPr="00181977" w:rsidRDefault="00DE10BA" w:rsidP="00181977">
            <w:pPr>
              <w:pStyle w:val="TableBody"/>
            </w:pPr>
          </w:p>
        </w:tc>
        <w:tc>
          <w:tcPr>
            <w:tcW w:w="3086" w:type="dxa"/>
          </w:tcPr>
          <w:p w14:paraId="3446DE71" w14:textId="77777777" w:rsidR="00DE10BA" w:rsidRPr="00181977" w:rsidRDefault="00DE10BA" w:rsidP="00181977">
            <w:pPr>
              <w:pStyle w:val="TableBody"/>
            </w:pPr>
            <w:proofErr w:type="spellStart"/>
            <w:r w:rsidRPr="00181977">
              <w:t>Papilloedema</w:t>
            </w:r>
            <w:proofErr w:type="spellEnd"/>
            <w:r w:rsidRPr="00181977">
              <w:t xml:space="preserve"> </w:t>
            </w:r>
          </w:p>
        </w:tc>
        <w:tc>
          <w:tcPr>
            <w:tcW w:w="2726" w:type="dxa"/>
          </w:tcPr>
          <w:p w14:paraId="1DD06A3F" w14:textId="77777777" w:rsidR="00DE10BA" w:rsidRPr="00181977" w:rsidRDefault="00DE10BA" w:rsidP="00181977">
            <w:pPr>
              <w:pStyle w:val="TableBody"/>
            </w:pPr>
            <w:r w:rsidRPr="00181977">
              <w:t xml:space="preserve">Not known </w:t>
            </w:r>
          </w:p>
        </w:tc>
      </w:tr>
      <w:tr w:rsidR="00DE10BA" w14:paraId="42F5D9E2" w14:textId="77777777" w:rsidTr="00BA2AF8">
        <w:tc>
          <w:tcPr>
            <w:tcW w:w="3114" w:type="dxa"/>
            <w:vMerge/>
          </w:tcPr>
          <w:p w14:paraId="1B684CAC" w14:textId="77777777" w:rsidR="00DE10BA" w:rsidRPr="00181977" w:rsidRDefault="00DE10BA" w:rsidP="00181977">
            <w:pPr>
              <w:pStyle w:val="TableBody"/>
            </w:pPr>
          </w:p>
        </w:tc>
        <w:tc>
          <w:tcPr>
            <w:tcW w:w="3086" w:type="dxa"/>
          </w:tcPr>
          <w:p w14:paraId="0B52197C" w14:textId="77777777" w:rsidR="00DE10BA" w:rsidRPr="00181977" w:rsidRDefault="00DE10BA" w:rsidP="00181977">
            <w:pPr>
              <w:pStyle w:val="TableBody"/>
            </w:pPr>
            <w:r w:rsidRPr="00181977">
              <w:t xml:space="preserve">Retinal </w:t>
            </w:r>
            <w:proofErr w:type="spellStart"/>
            <w:r w:rsidRPr="00181977">
              <w:t>haemorrhage</w:t>
            </w:r>
            <w:proofErr w:type="spellEnd"/>
            <w:r w:rsidRPr="00181977">
              <w:t xml:space="preserve"> </w:t>
            </w:r>
          </w:p>
        </w:tc>
        <w:tc>
          <w:tcPr>
            <w:tcW w:w="2726" w:type="dxa"/>
          </w:tcPr>
          <w:p w14:paraId="67A869F5" w14:textId="77777777" w:rsidR="00DE10BA" w:rsidRPr="00181977" w:rsidRDefault="00DE10BA" w:rsidP="00181977">
            <w:pPr>
              <w:pStyle w:val="TableBody"/>
            </w:pPr>
            <w:r w:rsidRPr="00181977">
              <w:t xml:space="preserve">Not known </w:t>
            </w:r>
          </w:p>
        </w:tc>
      </w:tr>
      <w:tr w:rsidR="00DE10BA" w14:paraId="02521446" w14:textId="77777777" w:rsidTr="00BA2AF8">
        <w:tc>
          <w:tcPr>
            <w:tcW w:w="3114" w:type="dxa"/>
          </w:tcPr>
          <w:p w14:paraId="6CB492EF" w14:textId="77777777" w:rsidR="00DE10BA" w:rsidRPr="00181977" w:rsidRDefault="00DE10BA" w:rsidP="00181977">
            <w:pPr>
              <w:pStyle w:val="TableBody"/>
            </w:pPr>
            <w:r w:rsidRPr="00181977">
              <w:t xml:space="preserve">Ear and Labyrinth Disorders </w:t>
            </w:r>
          </w:p>
        </w:tc>
        <w:tc>
          <w:tcPr>
            <w:tcW w:w="3086" w:type="dxa"/>
          </w:tcPr>
          <w:p w14:paraId="6675C0E0" w14:textId="77777777" w:rsidR="00DE10BA" w:rsidRPr="00181977" w:rsidRDefault="00DE10BA" w:rsidP="00181977">
            <w:pPr>
              <w:pStyle w:val="TableBody"/>
            </w:pPr>
            <w:r w:rsidRPr="00181977">
              <w:t xml:space="preserve">Deafness </w:t>
            </w:r>
          </w:p>
        </w:tc>
        <w:tc>
          <w:tcPr>
            <w:tcW w:w="2726" w:type="dxa"/>
          </w:tcPr>
          <w:p w14:paraId="4E753A80" w14:textId="77777777" w:rsidR="00DE10BA" w:rsidRPr="00181977" w:rsidRDefault="00DE10BA" w:rsidP="00181977">
            <w:pPr>
              <w:pStyle w:val="TableBody"/>
            </w:pPr>
            <w:r w:rsidRPr="00181977">
              <w:t xml:space="preserve">Uncommon </w:t>
            </w:r>
          </w:p>
        </w:tc>
      </w:tr>
      <w:tr w:rsidR="00DE10BA" w14:paraId="16E32423" w14:textId="77777777" w:rsidTr="00BA2AF8">
        <w:tc>
          <w:tcPr>
            <w:tcW w:w="3114" w:type="dxa"/>
            <w:vMerge w:val="restart"/>
          </w:tcPr>
          <w:p w14:paraId="21E077C1" w14:textId="77777777" w:rsidR="00DE10BA" w:rsidRPr="00181977" w:rsidRDefault="00DE10BA" w:rsidP="00181977">
            <w:pPr>
              <w:pStyle w:val="TableBody"/>
            </w:pPr>
            <w:r w:rsidRPr="00181977">
              <w:t xml:space="preserve">Cardiac disorders </w:t>
            </w:r>
          </w:p>
        </w:tc>
        <w:tc>
          <w:tcPr>
            <w:tcW w:w="3086" w:type="dxa"/>
          </w:tcPr>
          <w:p w14:paraId="3B5EF50B" w14:textId="77777777" w:rsidR="00DE10BA" w:rsidRPr="00181977" w:rsidRDefault="00DE10BA" w:rsidP="00181977">
            <w:pPr>
              <w:pStyle w:val="TableBody"/>
            </w:pPr>
            <w:r w:rsidRPr="005B34B2">
              <w:rPr>
                <w:vertAlign w:val="superscript"/>
              </w:rPr>
              <w:t>3</w:t>
            </w:r>
            <w:r w:rsidRPr="00181977">
              <w:t xml:space="preserve">Blood pressure decreased </w:t>
            </w:r>
          </w:p>
        </w:tc>
        <w:tc>
          <w:tcPr>
            <w:tcW w:w="2726" w:type="dxa"/>
          </w:tcPr>
          <w:p w14:paraId="44EB6DE1" w14:textId="77777777" w:rsidR="00DE10BA" w:rsidRPr="00181977" w:rsidRDefault="00DE10BA" w:rsidP="00181977">
            <w:pPr>
              <w:pStyle w:val="TableBody"/>
            </w:pPr>
            <w:r w:rsidRPr="00181977">
              <w:t xml:space="preserve">Very common </w:t>
            </w:r>
          </w:p>
        </w:tc>
      </w:tr>
      <w:tr w:rsidR="00DE10BA" w14:paraId="786343CA" w14:textId="77777777" w:rsidTr="00BA2AF8">
        <w:tc>
          <w:tcPr>
            <w:tcW w:w="3114" w:type="dxa"/>
            <w:vMerge/>
          </w:tcPr>
          <w:p w14:paraId="22EE0C90" w14:textId="77777777" w:rsidR="00DE10BA" w:rsidRPr="00181977" w:rsidRDefault="00DE10BA" w:rsidP="00181977">
            <w:pPr>
              <w:pStyle w:val="TableBody"/>
            </w:pPr>
          </w:p>
        </w:tc>
        <w:tc>
          <w:tcPr>
            <w:tcW w:w="3086" w:type="dxa"/>
          </w:tcPr>
          <w:p w14:paraId="2164AC7B" w14:textId="77777777" w:rsidR="00DE10BA" w:rsidRPr="00181977" w:rsidRDefault="00DE10BA" w:rsidP="00181977">
            <w:pPr>
              <w:pStyle w:val="TableBody"/>
            </w:pPr>
            <w:r w:rsidRPr="005B34B2">
              <w:rPr>
                <w:vertAlign w:val="superscript"/>
              </w:rPr>
              <w:t>3</w:t>
            </w:r>
            <w:r w:rsidRPr="00181977">
              <w:t xml:space="preserve">Blood pressure increased </w:t>
            </w:r>
          </w:p>
        </w:tc>
        <w:tc>
          <w:tcPr>
            <w:tcW w:w="2726" w:type="dxa"/>
          </w:tcPr>
          <w:p w14:paraId="2E39BF0E" w14:textId="77777777" w:rsidR="00DE10BA" w:rsidRPr="00181977" w:rsidRDefault="00DE10BA" w:rsidP="00181977">
            <w:pPr>
              <w:pStyle w:val="TableBody"/>
            </w:pPr>
            <w:r w:rsidRPr="00181977">
              <w:t xml:space="preserve">Very common </w:t>
            </w:r>
          </w:p>
        </w:tc>
      </w:tr>
      <w:tr w:rsidR="00DE10BA" w14:paraId="091438E5" w14:textId="77777777" w:rsidTr="00BA2AF8">
        <w:tc>
          <w:tcPr>
            <w:tcW w:w="3114" w:type="dxa"/>
            <w:vMerge/>
          </w:tcPr>
          <w:p w14:paraId="132C9612" w14:textId="77777777" w:rsidR="00DE10BA" w:rsidRPr="00181977" w:rsidRDefault="00DE10BA" w:rsidP="00181977">
            <w:pPr>
              <w:pStyle w:val="TableBody"/>
            </w:pPr>
          </w:p>
        </w:tc>
        <w:tc>
          <w:tcPr>
            <w:tcW w:w="3086" w:type="dxa"/>
          </w:tcPr>
          <w:p w14:paraId="3085E36B" w14:textId="77777777" w:rsidR="00DE10BA" w:rsidRPr="00181977" w:rsidRDefault="00DE10BA" w:rsidP="00181977">
            <w:pPr>
              <w:pStyle w:val="TableBody"/>
            </w:pPr>
            <w:r w:rsidRPr="005B34B2">
              <w:rPr>
                <w:vertAlign w:val="superscript"/>
              </w:rPr>
              <w:t>3</w:t>
            </w:r>
            <w:r w:rsidRPr="00181977">
              <w:t xml:space="preserve">Heart beat irregular </w:t>
            </w:r>
          </w:p>
        </w:tc>
        <w:tc>
          <w:tcPr>
            <w:tcW w:w="2726" w:type="dxa"/>
          </w:tcPr>
          <w:p w14:paraId="1B72402A" w14:textId="77777777" w:rsidR="00DE10BA" w:rsidRPr="00181977" w:rsidRDefault="00DE10BA" w:rsidP="00181977">
            <w:pPr>
              <w:pStyle w:val="TableBody"/>
            </w:pPr>
            <w:r w:rsidRPr="00181977">
              <w:t xml:space="preserve">Very common </w:t>
            </w:r>
          </w:p>
        </w:tc>
      </w:tr>
      <w:tr w:rsidR="00DE10BA" w14:paraId="7F978B66" w14:textId="77777777" w:rsidTr="00BA2AF8">
        <w:tc>
          <w:tcPr>
            <w:tcW w:w="3114" w:type="dxa"/>
            <w:vMerge/>
          </w:tcPr>
          <w:p w14:paraId="67D74E0E" w14:textId="77777777" w:rsidR="00DE10BA" w:rsidRPr="00181977" w:rsidRDefault="00DE10BA" w:rsidP="00181977">
            <w:pPr>
              <w:pStyle w:val="TableBody"/>
            </w:pPr>
          </w:p>
        </w:tc>
        <w:tc>
          <w:tcPr>
            <w:tcW w:w="3086" w:type="dxa"/>
          </w:tcPr>
          <w:p w14:paraId="49DA5703" w14:textId="77777777" w:rsidR="00DE10BA" w:rsidRPr="00181977" w:rsidRDefault="00DE10BA" w:rsidP="00181977">
            <w:pPr>
              <w:pStyle w:val="TableBody"/>
            </w:pPr>
            <w:r w:rsidRPr="005B34B2">
              <w:rPr>
                <w:vertAlign w:val="superscript"/>
              </w:rPr>
              <w:t>3</w:t>
            </w:r>
            <w:r w:rsidRPr="00181977">
              <w:t xml:space="preserve">Palpitation </w:t>
            </w:r>
          </w:p>
        </w:tc>
        <w:tc>
          <w:tcPr>
            <w:tcW w:w="2726" w:type="dxa"/>
          </w:tcPr>
          <w:p w14:paraId="5848E574" w14:textId="77777777" w:rsidR="00DE10BA" w:rsidRPr="00181977" w:rsidRDefault="00DE10BA" w:rsidP="00181977">
            <w:pPr>
              <w:pStyle w:val="TableBody"/>
            </w:pPr>
            <w:r w:rsidRPr="00181977">
              <w:t xml:space="preserve">Very common </w:t>
            </w:r>
          </w:p>
        </w:tc>
      </w:tr>
      <w:tr w:rsidR="00DE10BA" w14:paraId="5FC5B44C" w14:textId="77777777" w:rsidTr="00BA2AF8">
        <w:tc>
          <w:tcPr>
            <w:tcW w:w="3114" w:type="dxa"/>
            <w:vMerge/>
          </w:tcPr>
          <w:p w14:paraId="73CBB659" w14:textId="77777777" w:rsidR="00DE10BA" w:rsidRPr="00181977" w:rsidRDefault="00DE10BA" w:rsidP="00181977">
            <w:pPr>
              <w:pStyle w:val="TableBody"/>
            </w:pPr>
          </w:p>
        </w:tc>
        <w:tc>
          <w:tcPr>
            <w:tcW w:w="3086" w:type="dxa"/>
          </w:tcPr>
          <w:p w14:paraId="691F5C8E" w14:textId="77777777" w:rsidR="00DE10BA" w:rsidRPr="00181977" w:rsidRDefault="00DE10BA" w:rsidP="00181977">
            <w:pPr>
              <w:pStyle w:val="TableBody"/>
            </w:pPr>
            <w:r w:rsidRPr="005B34B2">
              <w:rPr>
                <w:vertAlign w:val="superscript"/>
              </w:rPr>
              <w:t>3</w:t>
            </w:r>
            <w:r w:rsidRPr="00181977">
              <w:t xml:space="preserve">Cardiac flutter </w:t>
            </w:r>
          </w:p>
        </w:tc>
        <w:tc>
          <w:tcPr>
            <w:tcW w:w="2726" w:type="dxa"/>
          </w:tcPr>
          <w:p w14:paraId="732EA6E6" w14:textId="77777777" w:rsidR="00DE10BA" w:rsidRPr="00181977" w:rsidRDefault="00DE10BA" w:rsidP="00181977">
            <w:pPr>
              <w:pStyle w:val="TableBody"/>
            </w:pPr>
            <w:r w:rsidRPr="00181977">
              <w:t xml:space="preserve">Very common </w:t>
            </w:r>
          </w:p>
        </w:tc>
      </w:tr>
      <w:tr w:rsidR="00DE10BA" w14:paraId="2AD06B84" w14:textId="77777777" w:rsidTr="00BA2AF8">
        <w:tc>
          <w:tcPr>
            <w:tcW w:w="3114" w:type="dxa"/>
            <w:vMerge/>
          </w:tcPr>
          <w:p w14:paraId="3EA2B36E" w14:textId="77777777" w:rsidR="00DE10BA" w:rsidRPr="00181977" w:rsidRDefault="00DE10BA" w:rsidP="00181977">
            <w:pPr>
              <w:pStyle w:val="TableBody"/>
            </w:pPr>
          </w:p>
        </w:tc>
        <w:tc>
          <w:tcPr>
            <w:tcW w:w="3086" w:type="dxa"/>
          </w:tcPr>
          <w:p w14:paraId="02CA6B6A" w14:textId="77777777" w:rsidR="00DE10BA" w:rsidRPr="00181977" w:rsidRDefault="00DE10BA" w:rsidP="00181977">
            <w:pPr>
              <w:pStyle w:val="TableBody"/>
            </w:pPr>
            <w:r w:rsidRPr="005B34B2">
              <w:rPr>
                <w:vertAlign w:val="superscript"/>
              </w:rPr>
              <w:t>4</w:t>
            </w:r>
            <w:r w:rsidRPr="00181977">
              <w:t xml:space="preserve">Ejection fraction decreased </w:t>
            </w:r>
          </w:p>
        </w:tc>
        <w:tc>
          <w:tcPr>
            <w:tcW w:w="2726" w:type="dxa"/>
          </w:tcPr>
          <w:p w14:paraId="2A877CED" w14:textId="77777777" w:rsidR="00DE10BA" w:rsidRPr="00181977" w:rsidRDefault="00DE10BA" w:rsidP="00181977">
            <w:pPr>
              <w:pStyle w:val="TableBody"/>
            </w:pPr>
            <w:r w:rsidRPr="00181977">
              <w:t xml:space="preserve">Very common </w:t>
            </w:r>
          </w:p>
        </w:tc>
      </w:tr>
      <w:tr w:rsidR="00DE10BA" w14:paraId="24D034A3" w14:textId="77777777" w:rsidTr="00BA2AF8">
        <w:tc>
          <w:tcPr>
            <w:tcW w:w="3114" w:type="dxa"/>
            <w:vMerge/>
          </w:tcPr>
          <w:p w14:paraId="18B96226" w14:textId="77777777" w:rsidR="00DE10BA" w:rsidRPr="00181977" w:rsidRDefault="00DE10BA" w:rsidP="00181977">
            <w:pPr>
              <w:pStyle w:val="TableBody"/>
            </w:pPr>
          </w:p>
        </w:tc>
        <w:tc>
          <w:tcPr>
            <w:tcW w:w="3086" w:type="dxa"/>
          </w:tcPr>
          <w:p w14:paraId="1AF71251" w14:textId="77777777" w:rsidR="00DE10BA" w:rsidRPr="00181977" w:rsidRDefault="00DE10BA" w:rsidP="00181977">
            <w:pPr>
              <w:pStyle w:val="TableBody"/>
            </w:pPr>
            <w:r w:rsidRPr="005B34B2">
              <w:rPr>
                <w:vertAlign w:val="superscript"/>
              </w:rPr>
              <w:t>2</w:t>
            </w:r>
            <w:r w:rsidRPr="00181977">
              <w:t xml:space="preserve">Cardiac failure (congestive) </w:t>
            </w:r>
          </w:p>
        </w:tc>
        <w:tc>
          <w:tcPr>
            <w:tcW w:w="2726" w:type="dxa"/>
          </w:tcPr>
          <w:p w14:paraId="13865DFB" w14:textId="77777777" w:rsidR="00DE10BA" w:rsidRPr="00181977" w:rsidRDefault="00DE10BA" w:rsidP="00181977">
            <w:pPr>
              <w:pStyle w:val="TableBody"/>
            </w:pPr>
            <w:r w:rsidRPr="00181977">
              <w:t xml:space="preserve">Common </w:t>
            </w:r>
          </w:p>
        </w:tc>
      </w:tr>
      <w:tr w:rsidR="00DE10BA" w14:paraId="1C5B1D83" w14:textId="77777777" w:rsidTr="00BA2AF8">
        <w:tc>
          <w:tcPr>
            <w:tcW w:w="3114" w:type="dxa"/>
            <w:vMerge/>
          </w:tcPr>
          <w:p w14:paraId="62800B82" w14:textId="77777777" w:rsidR="00DE10BA" w:rsidRPr="00181977" w:rsidRDefault="00DE10BA" w:rsidP="00181977">
            <w:pPr>
              <w:pStyle w:val="TableBody"/>
            </w:pPr>
          </w:p>
        </w:tc>
        <w:tc>
          <w:tcPr>
            <w:tcW w:w="3086" w:type="dxa"/>
          </w:tcPr>
          <w:p w14:paraId="65466034" w14:textId="77777777" w:rsidR="00DE10BA" w:rsidRPr="00181977" w:rsidRDefault="00DE10BA" w:rsidP="00181977">
            <w:pPr>
              <w:pStyle w:val="TableBody"/>
            </w:pPr>
            <w:r w:rsidRPr="005B34B2">
              <w:rPr>
                <w:vertAlign w:val="superscript"/>
              </w:rPr>
              <w:t>2,3</w:t>
            </w:r>
            <w:r w:rsidRPr="00181977">
              <w:t xml:space="preserve">Supraventricular tachyarrhythmia </w:t>
            </w:r>
          </w:p>
        </w:tc>
        <w:tc>
          <w:tcPr>
            <w:tcW w:w="2726" w:type="dxa"/>
          </w:tcPr>
          <w:p w14:paraId="57E58CE5" w14:textId="77777777" w:rsidR="00DE10BA" w:rsidRPr="00181977" w:rsidRDefault="00DE10BA" w:rsidP="00181977">
            <w:pPr>
              <w:pStyle w:val="TableBody"/>
            </w:pPr>
            <w:r w:rsidRPr="00181977">
              <w:t xml:space="preserve">Common </w:t>
            </w:r>
          </w:p>
        </w:tc>
      </w:tr>
      <w:tr w:rsidR="00DE10BA" w14:paraId="4FF886DF" w14:textId="77777777" w:rsidTr="00BA2AF8">
        <w:tc>
          <w:tcPr>
            <w:tcW w:w="3114" w:type="dxa"/>
            <w:vMerge/>
          </w:tcPr>
          <w:p w14:paraId="6E87E8C7" w14:textId="77777777" w:rsidR="00DE10BA" w:rsidRPr="00181977" w:rsidRDefault="00DE10BA" w:rsidP="00181977">
            <w:pPr>
              <w:pStyle w:val="TableBody"/>
            </w:pPr>
          </w:p>
        </w:tc>
        <w:tc>
          <w:tcPr>
            <w:tcW w:w="3086" w:type="dxa"/>
          </w:tcPr>
          <w:p w14:paraId="6EFA115A" w14:textId="77777777" w:rsidR="00DE10BA" w:rsidRPr="00181977" w:rsidRDefault="00DE10BA" w:rsidP="00181977">
            <w:pPr>
              <w:pStyle w:val="TableBody"/>
            </w:pPr>
            <w:r w:rsidRPr="00181977">
              <w:t xml:space="preserve">Cardiomyopathy </w:t>
            </w:r>
          </w:p>
        </w:tc>
        <w:tc>
          <w:tcPr>
            <w:tcW w:w="2726" w:type="dxa"/>
          </w:tcPr>
          <w:p w14:paraId="0A789BAA" w14:textId="77777777" w:rsidR="00DE10BA" w:rsidRPr="00181977" w:rsidRDefault="00DE10BA" w:rsidP="00181977">
            <w:pPr>
              <w:pStyle w:val="TableBody"/>
            </w:pPr>
            <w:r w:rsidRPr="00181977">
              <w:t xml:space="preserve">Common </w:t>
            </w:r>
          </w:p>
        </w:tc>
      </w:tr>
      <w:tr w:rsidR="00DE10BA" w14:paraId="56E55614" w14:textId="77777777" w:rsidTr="00BA2AF8">
        <w:tc>
          <w:tcPr>
            <w:tcW w:w="3114" w:type="dxa"/>
            <w:vMerge/>
          </w:tcPr>
          <w:p w14:paraId="0C5B091C" w14:textId="77777777" w:rsidR="00DE10BA" w:rsidRPr="00181977" w:rsidRDefault="00DE10BA" w:rsidP="00181977">
            <w:pPr>
              <w:pStyle w:val="TableBody"/>
            </w:pPr>
          </w:p>
        </w:tc>
        <w:tc>
          <w:tcPr>
            <w:tcW w:w="3086" w:type="dxa"/>
          </w:tcPr>
          <w:p w14:paraId="1B792076" w14:textId="77777777" w:rsidR="00DE10BA" w:rsidRPr="00181977" w:rsidRDefault="00DE10BA" w:rsidP="00181977">
            <w:pPr>
              <w:pStyle w:val="TableBody"/>
            </w:pPr>
            <w:r w:rsidRPr="00181977">
              <w:t xml:space="preserve">Pericardial effusion </w:t>
            </w:r>
          </w:p>
        </w:tc>
        <w:tc>
          <w:tcPr>
            <w:tcW w:w="2726" w:type="dxa"/>
          </w:tcPr>
          <w:p w14:paraId="10DF0591" w14:textId="77777777" w:rsidR="00DE10BA" w:rsidRPr="00181977" w:rsidRDefault="00DE10BA" w:rsidP="00181977">
            <w:pPr>
              <w:pStyle w:val="TableBody"/>
            </w:pPr>
            <w:r w:rsidRPr="00181977">
              <w:t xml:space="preserve">Uncommon </w:t>
            </w:r>
          </w:p>
        </w:tc>
      </w:tr>
      <w:tr w:rsidR="00DE10BA" w14:paraId="5A86FD73" w14:textId="77777777" w:rsidTr="00BA2AF8">
        <w:tc>
          <w:tcPr>
            <w:tcW w:w="3114" w:type="dxa"/>
            <w:vMerge/>
          </w:tcPr>
          <w:p w14:paraId="37242544" w14:textId="77777777" w:rsidR="00DE10BA" w:rsidRPr="00181977" w:rsidRDefault="00DE10BA" w:rsidP="00181977">
            <w:pPr>
              <w:pStyle w:val="TableBody"/>
            </w:pPr>
          </w:p>
        </w:tc>
        <w:tc>
          <w:tcPr>
            <w:tcW w:w="3086" w:type="dxa"/>
          </w:tcPr>
          <w:p w14:paraId="00B6800B" w14:textId="77777777" w:rsidR="00DE10BA" w:rsidRPr="00181977" w:rsidRDefault="00DE10BA" w:rsidP="00181977">
            <w:pPr>
              <w:pStyle w:val="TableBody"/>
            </w:pPr>
            <w:r w:rsidRPr="00181977">
              <w:t xml:space="preserve">Cardiogenic shock </w:t>
            </w:r>
          </w:p>
        </w:tc>
        <w:tc>
          <w:tcPr>
            <w:tcW w:w="2726" w:type="dxa"/>
          </w:tcPr>
          <w:p w14:paraId="745ACD68" w14:textId="77777777" w:rsidR="00DE10BA" w:rsidRPr="00181977" w:rsidRDefault="00DE10BA" w:rsidP="00181977">
            <w:pPr>
              <w:pStyle w:val="TableBody"/>
            </w:pPr>
            <w:r w:rsidRPr="00181977">
              <w:t xml:space="preserve">Not known </w:t>
            </w:r>
          </w:p>
        </w:tc>
      </w:tr>
      <w:tr w:rsidR="00DE10BA" w14:paraId="4D4EA197" w14:textId="77777777" w:rsidTr="00BA2AF8">
        <w:tc>
          <w:tcPr>
            <w:tcW w:w="3114" w:type="dxa"/>
            <w:vMerge/>
          </w:tcPr>
          <w:p w14:paraId="07B61519" w14:textId="77777777" w:rsidR="00DE10BA" w:rsidRPr="00181977" w:rsidRDefault="00DE10BA" w:rsidP="00181977">
            <w:pPr>
              <w:pStyle w:val="TableBody"/>
            </w:pPr>
          </w:p>
        </w:tc>
        <w:tc>
          <w:tcPr>
            <w:tcW w:w="3086" w:type="dxa"/>
          </w:tcPr>
          <w:p w14:paraId="6F541E45" w14:textId="77777777" w:rsidR="00DE10BA" w:rsidRPr="00181977" w:rsidRDefault="00DE10BA" w:rsidP="00181977">
            <w:pPr>
              <w:pStyle w:val="TableBody"/>
            </w:pPr>
            <w:r w:rsidRPr="00181977">
              <w:t xml:space="preserve">Pericarditis </w:t>
            </w:r>
          </w:p>
        </w:tc>
        <w:tc>
          <w:tcPr>
            <w:tcW w:w="2726" w:type="dxa"/>
          </w:tcPr>
          <w:p w14:paraId="091A3422" w14:textId="77777777" w:rsidR="00DE10BA" w:rsidRPr="00181977" w:rsidRDefault="00DE10BA" w:rsidP="00181977">
            <w:pPr>
              <w:pStyle w:val="TableBody"/>
            </w:pPr>
            <w:r w:rsidRPr="00181977">
              <w:t xml:space="preserve">Not known </w:t>
            </w:r>
          </w:p>
        </w:tc>
      </w:tr>
      <w:tr w:rsidR="00DE10BA" w14:paraId="3F704EAB" w14:textId="77777777" w:rsidTr="00BA2AF8">
        <w:tc>
          <w:tcPr>
            <w:tcW w:w="3114" w:type="dxa"/>
            <w:vMerge/>
          </w:tcPr>
          <w:p w14:paraId="5C9A0242" w14:textId="77777777" w:rsidR="00DE10BA" w:rsidRPr="00181977" w:rsidRDefault="00DE10BA" w:rsidP="00181977">
            <w:pPr>
              <w:pStyle w:val="TableBody"/>
            </w:pPr>
          </w:p>
        </w:tc>
        <w:tc>
          <w:tcPr>
            <w:tcW w:w="3086" w:type="dxa"/>
          </w:tcPr>
          <w:p w14:paraId="1B55871B" w14:textId="77777777" w:rsidR="00DE10BA" w:rsidRPr="00181977" w:rsidRDefault="00DE10BA" w:rsidP="00181977">
            <w:pPr>
              <w:pStyle w:val="TableBody"/>
            </w:pPr>
            <w:r w:rsidRPr="00181977">
              <w:t xml:space="preserve">Bradycardia </w:t>
            </w:r>
          </w:p>
        </w:tc>
        <w:tc>
          <w:tcPr>
            <w:tcW w:w="2726" w:type="dxa"/>
          </w:tcPr>
          <w:p w14:paraId="3B2CC437" w14:textId="77777777" w:rsidR="00DE10BA" w:rsidRPr="00181977" w:rsidRDefault="00DE10BA" w:rsidP="00181977">
            <w:pPr>
              <w:pStyle w:val="TableBody"/>
            </w:pPr>
            <w:r w:rsidRPr="00181977">
              <w:t xml:space="preserve">Not known </w:t>
            </w:r>
          </w:p>
        </w:tc>
      </w:tr>
      <w:tr w:rsidR="00DE10BA" w14:paraId="28A3AB2B" w14:textId="77777777" w:rsidTr="00BA2AF8">
        <w:tc>
          <w:tcPr>
            <w:tcW w:w="3114" w:type="dxa"/>
            <w:vMerge/>
          </w:tcPr>
          <w:p w14:paraId="5286C40C" w14:textId="77777777" w:rsidR="00DE10BA" w:rsidRPr="00181977" w:rsidRDefault="00DE10BA" w:rsidP="00181977">
            <w:pPr>
              <w:pStyle w:val="TableBody"/>
            </w:pPr>
          </w:p>
        </w:tc>
        <w:tc>
          <w:tcPr>
            <w:tcW w:w="3086" w:type="dxa"/>
          </w:tcPr>
          <w:p w14:paraId="171BD69B" w14:textId="77777777" w:rsidR="00DE10BA" w:rsidRPr="00181977" w:rsidRDefault="00DE10BA" w:rsidP="00181977">
            <w:pPr>
              <w:pStyle w:val="TableBody"/>
            </w:pPr>
            <w:r w:rsidRPr="00181977">
              <w:t xml:space="preserve">Gallop rhythm present </w:t>
            </w:r>
          </w:p>
        </w:tc>
        <w:tc>
          <w:tcPr>
            <w:tcW w:w="2726" w:type="dxa"/>
          </w:tcPr>
          <w:p w14:paraId="2204AE69" w14:textId="77777777" w:rsidR="00DE10BA" w:rsidRPr="00181977" w:rsidRDefault="00DE10BA" w:rsidP="00181977">
            <w:pPr>
              <w:pStyle w:val="TableBody"/>
            </w:pPr>
            <w:r w:rsidRPr="00181977">
              <w:t xml:space="preserve">Not known </w:t>
            </w:r>
          </w:p>
        </w:tc>
      </w:tr>
      <w:tr w:rsidR="00DE10BA" w14:paraId="7B6FBFCF" w14:textId="77777777" w:rsidTr="00BA2AF8">
        <w:tc>
          <w:tcPr>
            <w:tcW w:w="3114" w:type="dxa"/>
            <w:vMerge w:val="restart"/>
          </w:tcPr>
          <w:p w14:paraId="29EA4CDD" w14:textId="77777777" w:rsidR="00DE10BA" w:rsidRPr="00181977" w:rsidRDefault="00DE10BA" w:rsidP="00181977">
            <w:pPr>
              <w:pStyle w:val="TableBody"/>
            </w:pPr>
            <w:r w:rsidRPr="00181977">
              <w:t xml:space="preserve">Vascular disorders </w:t>
            </w:r>
          </w:p>
        </w:tc>
        <w:tc>
          <w:tcPr>
            <w:tcW w:w="3086" w:type="dxa"/>
          </w:tcPr>
          <w:p w14:paraId="1C9395A0" w14:textId="77777777" w:rsidR="00DE10BA" w:rsidRPr="00181977" w:rsidRDefault="00DE10BA" w:rsidP="00181977">
            <w:pPr>
              <w:pStyle w:val="TableBody"/>
            </w:pPr>
            <w:proofErr w:type="spellStart"/>
            <w:r w:rsidRPr="00181977">
              <w:t>Lymphoedema</w:t>
            </w:r>
            <w:proofErr w:type="spellEnd"/>
            <w:r w:rsidRPr="00181977">
              <w:t xml:space="preserve"> </w:t>
            </w:r>
          </w:p>
        </w:tc>
        <w:tc>
          <w:tcPr>
            <w:tcW w:w="2726" w:type="dxa"/>
          </w:tcPr>
          <w:p w14:paraId="64DFDEB5" w14:textId="77777777" w:rsidR="00DE10BA" w:rsidRPr="00181977" w:rsidRDefault="00DE10BA" w:rsidP="00181977">
            <w:pPr>
              <w:pStyle w:val="TableBody"/>
            </w:pPr>
            <w:r w:rsidRPr="00181977">
              <w:t xml:space="preserve">Very common </w:t>
            </w:r>
          </w:p>
        </w:tc>
      </w:tr>
      <w:tr w:rsidR="00DE10BA" w14:paraId="70D5829B" w14:textId="77777777" w:rsidTr="00BA2AF8">
        <w:tc>
          <w:tcPr>
            <w:tcW w:w="3114" w:type="dxa"/>
            <w:vMerge/>
          </w:tcPr>
          <w:p w14:paraId="091E6449" w14:textId="77777777" w:rsidR="00DE10BA" w:rsidRPr="00181977" w:rsidRDefault="00DE10BA" w:rsidP="00181977">
            <w:pPr>
              <w:pStyle w:val="TableBody"/>
            </w:pPr>
          </w:p>
        </w:tc>
        <w:tc>
          <w:tcPr>
            <w:tcW w:w="3086" w:type="dxa"/>
          </w:tcPr>
          <w:p w14:paraId="6DF9F033" w14:textId="77777777" w:rsidR="00DE10BA" w:rsidRPr="00181977" w:rsidRDefault="00DE10BA" w:rsidP="00181977">
            <w:pPr>
              <w:pStyle w:val="TableBody"/>
            </w:pPr>
            <w:r w:rsidRPr="00181977">
              <w:t xml:space="preserve">Hot flush </w:t>
            </w:r>
          </w:p>
        </w:tc>
        <w:tc>
          <w:tcPr>
            <w:tcW w:w="2726" w:type="dxa"/>
          </w:tcPr>
          <w:p w14:paraId="2880D0C3" w14:textId="77777777" w:rsidR="00DE10BA" w:rsidRPr="00181977" w:rsidRDefault="00DE10BA" w:rsidP="00181977">
            <w:pPr>
              <w:pStyle w:val="TableBody"/>
            </w:pPr>
            <w:r w:rsidRPr="00181977">
              <w:t xml:space="preserve">Very common </w:t>
            </w:r>
          </w:p>
        </w:tc>
      </w:tr>
      <w:tr w:rsidR="00DE10BA" w14:paraId="7796E29A" w14:textId="77777777" w:rsidTr="00BA2AF8">
        <w:tc>
          <w:tcPr>
            <w:tcW w:w="3114" w:type="dxa"/>
            <w:vMerge/>
          </w:tcPr>
          <w:p w14:paraId="4A00763C" w14:textId="77777777" w:rsidR="00DE10BA" w:rsidRPr="00181977" w:rsidRDefault="00DE10BA" w:rsidP="00181977">
            <w:pPr>
              <w:pStyle w:val="TableBody"/>
            </w:pPr>
          </w:p>
        </w:tc>
        <w:tc>
          <w:tcPr>
            <w:tcW w:w="3086" w:type="dxa"/>
          </w:tcPr>
          <w:p w14:paraId="0EC4B471" w14:textId="77777777" w:rsidR="00DE10BA" w:rsidRPr="00181977" w:rsidRDefault="00DE10BA" w:rsidP="00181977">
            <w:pPr>
              <w:pStyle w:val="TableBody"/>
            </w:pPr>
            <w:r w:rsidRPr="005B34B2">
              <w:rPr>
                <w:vertAlign w:val="superscript"/>
              </w:rPr>
              <w:t>2,3</w:t>
            </w:r>
            <w:r w:rsidRPr="00181977">
              <w:t xml:space="preserve">Hypotension </w:t>
            </w:r>
          </w:p>
        </w:tc>
        <w:tc>
          <w:tcPr>
            <w:tcW w:w="2726" w:type="dxa"/>
          </w:tcPr>
          <w:p w14:paraId="2B4B01F5" w14:textId="77777777" w:rsidR="00DE10BA" w:rsidRPr="00181977" w:rsidRDefault="00DE10BA" w:rsidP="00181977">
            <w:pPr>
              <w:pStyle w:val="TableBody"/>
            </w:pPr>
            <w:r w:rsidRPr="00181977">
              <w:t xml:space="preserve">Common </w:t>
            </w:r>
          </w:p>
        </w:tc>
      </w:tr>
      <w:tr w:rsidR="00DE10BA" w14:paraId="01031291" w14:textId="77777777" w:rsidTr="00BA2AF8">
        <w:tc>
          <w:tcPr>
            <w:tcW w:w="3114" w:type="dxa"/>
            <w:vMerge/>
          </w:tcPr>
          <w:p w14:paraId="72801C89" w14:textId="77777777" w:rsidR="00DE10BA" w:rsidRPr="00181977" w:rsidRDefault="00DE10BA" w:rsidP="00181977">
            <w:pPr>
              <w:pStyle w:val="TableBody"/>
            </w:pPr>
          </w:p>
        </w:tc>
        <w:tc>
          <w:tcPr>
            <w:tcW w:w="3086" w:type="dxa"/>
          </w:tcPr>
          <w:p w14:paraId="37D3B7DE" w14:textId="77777777" w:rsidR="00DE10BA" w:rsidRPr="00181977" w:rsidRDefault="00DE10BA" w:rsidP="00181977">
            <w:pPr>
              <w:pStyle w:val="TableBody"/>
            </w:pPr>
            <w:r w:rsidRPr="00181977">
              <w:t xml:space="preserve">Hypertension </w:t>
            </w:r>
          </w:p>
        </w:tc>
        <w:tc>
          <w:tcPr>
            <w:tcW w:w="2726" w:type="dxa"/>
          </w:tcPr>
          <w:p w14:paraId="5041A27A" w14:textId="77777777" w:rsidR="00DE10BA" w:rsidRPr="00181977" w:rsidRDefault="00DE10BA" w:rsidP="00181977">
            <w:pPr>
              <w:pStyle w:val="TableBody"/>
            </w:pPr>
            <w:r w:rsidRPr="00181977">
              <w:t xml:space="preserve">Common </w:t>
            </w:r>
          </w:p>
        </w:tc>
      </w:tr>
      <w:tr w:rsidR="00DE10BA" w14:paraId="586EE295" w14:textId="77777777" w:rsidTr="00BA2AF8">
        <w:tc>
          <w:tcPr>
            <w:tcW w:w="3114" w:type="dxa"/>
            <w:vMerge/>
          </w:tcPr>
          <w:p w14:paraId="6DEBFBE5" w14:textId="77777777" w:rsidR="00DE10BA" w:rsidRPr="00181977" w:rsidRDefault="00DE10BA" w:rsidP="00181977">
            <w:pPr>
              <w:pStyle w:val="TableBody"/>
            </w:pPr>
          </w:p>
        </w:tc>
        <w:tc>
          <w:tcPr>
            <w:tcW w:w="3086" w:type="dxa"/>
          </w:tcPr>
          <w:p w14:paraId="112B7B61" w14:textId="77777777" w:rsidR="00DE10BA" w:rsidRPr="00181977" w:rsidRDefault="00DE10BA" w:rsidP="00181977">
            <w:pPr>
              <w:pStyle w:val="TableBody"/>
            </w:pPr>
            <w:r w:rsidRPr="00181977">
              <w:t xml:space="preserve">Vasodilatation </w:t>
            </w:r>
          </w:p>
        </w:tc>
        <w:tc>
          <w:tcPr>
            <w:tcW w:w="2726" w:type="dxa"/>
          </w:tcPr>
          <w:p w14:paraId="4C28E891" w14:textId="77777777" w:rsidR="00DE10BA" w:rsidRPr="00181977" w:rsidRDefault="00DE10BA" w:rsidP="00181977">
            <w:pPr>
              <w:pStyle w:val="TableBody"/>
            </w:pPr>
            <w:r w:rsidRPr="00181977">
              <w:t xml:space="preserve">Common </w:t>
            </w:r>
          </w:p>
        </w:tc>
      </w:tr>
      <w:tr w:rsidR="00DE10BA" w14:paraId="38F3975A" w14:textId="77777777" w:rsidTr="00BA2AF8">
        <w:tc>
          <w:tcPr>
            <w:tcW w:w="3114" w:type="dxa"/>
            <w:vMerge w:val="restart"/>
          </w:tcPr>
          <w:p w14:paraId="30F75B27" w14:textId="77777777" w:rsidR="00DE10BA" w:rsidRPr="00181977" w:rsidRDefault="00DE10BA" w:rsidP="00181977">
            <w:pPr>
              <w:pStyle w:val="TableBody"/>
            </w:pPr>
            <w:r w:rsidRPr="00181977">
              <w:t xml:space="preserve">Respiratory, thoracic and mediastinal disorders </w:t>
            </w:r>
          </w:p>
        </w:tc>
        <w:tc>
          <w:tcPr>
            <w:tcW w:w="3086" w:type="dxa"/>
          </w:tcPr>
          <w:p w14:paraId="1C70A5A9" w14:textId="77777777" w:rsidR="00DE10BA" w:rsidRPr="00181977" w:rsidRDefault="00DE10BA" w:rsidP="00181977">
            <w:pPr>
              <w:pStyle w:val="TableBody"/>
            </w:pPr>
            <w:r w:rsidRPr="005B34B2">
              <w:rPr>
                <w:vertAlign w:val="superscript"/>
              </w:rPr>
              <w:t>2,3</w:t>
            </w:r>
            <w:r w:rsidRPr="00181977">
              <w:t xml:space="preserve">Wheezing </w:t>
            </w:r>
          </w:p>
        </w:tc>
        <w:tc>
          <w:tcPr>
            <w:tcW w:w="2726" w:type="dxa"/>
          </w:tcPr>
          <w:p w14:paraId="28900A9B" w14:textId="77777777" w:rsidR="00DE10BA" w:rsidRPr="00181977" w:rsidRDefault="00DE10BA" w:rsidP="00181977">
            <w:pPr>
              <w:pStyle w:val="TableBody"/>
            </w:pPr>
            <w:r w:rsidRPr="00181977">
              <w:t xml:space="preserve">Very common </w:t>
            </w:r>
          </w:p>
        </w:tc>
      </w:tr>
      <w:tr w:rsidR="00DE10BA" w14:paraId="712148CD" w14:textId="77777777" w:rsidTr="00BA2AF8">
        <w:tc>
          <w:tcPr>
            <w:tcW w:w="3114" w:type="dxa"/>
            <w:vMerge/>
          </w:tcPr>
          <w:p w14:paraId="740236A0" w14:textId="77777777" w:rsidR="00DE10BA" w:rsidRPr="00181977" w:rsidRDefault="00DE10BA" w:rsidP="00181977">
            <w:pPr>
              <w:pStyle w:val="TableBody"/>
            </w:pPr>
          </w:p>
        </w:tc>
        <w:tc>
          <w:tcPr>
            <w:tcW w:w="3086" w:type="dxa"/>
          </w:tcPr>
          <w:p w14:paraId="13F69DA6" w14:textId="77777777" w:rsidR="00DE10BA" w:rsidRPr="00181977" w:rsidRDefault="00DE10BA" w:rsidP="00181977">
            <w:pPr>
              <w:pStyle w:val="TableBody"/>
            </w:pPr>
            <w:r w:rsidRPr="005B34B2">
              <w:rPr>
                <w:vertAlign w:val="superscript"/>
              </w:rPr>
              <w:t>2</w:t>
            </w:r>
            <w:r w:rsidRPr="00181977">
              <w:t xml:space="preserve">Dyspnoea </w:t>
            </w:r>
          </w:p>
        </w:tc>
        <w:tc>
          <w:tcPr>
            <w:tcW w:w="2726" w:type="dxa"/>
          </w:tcPr>
          <w:p w14:paraId="770AB727" w14:textId="77777777" w:rsidR="00DE10BA" w:rsidRPr="00181977" w:rsidRDefault="00DE10BA" w:rsidP="00181977">
            <w:pPr>
              <w:pStyle w:val="TableBody"/>
            </w:pPr>
            <w:r w:rsidRPr="00181977">
              <w:t xml:space="preserve">Very common </w:t>
            </w:r>
          </w:p>
        </w:tc>
      </w:tr>
      <w:tr w:rsidR="00DE10BA" w14:paraId="36BD0386" w14:textId="77777777" w:rsidTr="00BA2AF8">
        <w:tc>
          <w:tcPr>
            <w:tcW w:w="3114" w:type="dxa"/>
            <w:vMerge/>
          </w:tcPr>
          <w:p w14:paraId="24F2E792" w14:textId="77777777" w:rsidR="00DE10BA" w:rsidRPr="00181977" w:rsidRDefault="00DE10BA" w:rsidP="00181977">
            <w:pPr>
              <w:pStyle w:val="TableBody"/>
            </w:pPr>
          </w:p>
        </w:tc>
        <w:tc>
          <w:tcPr>
            <w:tcW w:w="3086" w:type="dxa"/>
          </w:tcPr>
          <w:p w14:paraId="15AA92B3" w14:textId="77777777" w:rsidR="00DE10BA" w:rsidRPr="00181977" w:rsidRDefault="00DE10BA" w:rsidP="00181977">
            <w:pPr>
              <w:pStyle w:val="TableBody"/>
            </w:pPr>
            <w:r w:rsidRPr="00181977">
              <w:t xml:space="preserve">Cough </w:t>
            </w:r>
          </w:p>
        </w:tc>
        <w:tc>
          <w:tcPr>
            <w:tcW w:w="2726" w:type="dxa"/>
          </w:tcPr>
          <w:p w14:paraId="4BCA9B84" w14:textId="77777777" w:rsidR="00DE10BA" w:rsidRPr="00181977" w:rsidRDefault="00DE10BA" w:rsidP="00181977">
            <w:pPr>
              <w:pStyle w:val="TableBody"/>
            </w:pPr>
            <w:r w:rsidRPr="00181977">
              <w:t xml:space="preserve">Very common </w:t>
            </w:r>
          </w:p>
        </w:tc>
      </w:tr>
      <w:tr w:rsidR="00DE10BA" w14:paraId="5568E3AD" w14:textId="77777777" w:rsidTr="00BA2AF8">
        <w:tc>
          <w:tcPr>
            <w:tcW w:w="3114" w:type="dxa"/>
            <w:vMerge/>
          </w:tcPr>
          <w:p w14:paraId="0C3D0D17" w14:textId="77777777" w:rsidR="00DE10BA" w:rsidRPr="00181977" w:rsidRDefault="00DE10BA" w:rsidP="00181977">
            <w:pPr>
              <w:pStyle w:val="TableBody"/>
            </w:pPr>
          </w:p>
        </w:tc>
        <w:tc>
          <w:tcPr>
            <w:tcW w:w="3086" w:type="dxa"/>
          </w:tcPr>
          <w:p w14:paraId="1D2BE3EE" w14:textId="77777777" w:rsidR="00DE10BA" w:rsidRPr="00181977" w:rsidRDefault="00DE10BA" w:rsidP="00181977">
            <w:pPr>
              <w:pStyle w:val="TableBody"/>
            </w:pPr>
            <w:r w:rsidRPr="00181977">
              <w:t xml:space="preserve">Epistaxis </w:t>
            </w:r>
          </w:p>
        </w:tc>
        <w:tc>
          <w:tcPr>
            <w:tcW w:w="2726" w:type="dxa"/>
          </w:tcPr>
          <w:p w14:paraId="37D3DA42" w14:textId="77777777" w:rsidR="00DE10BA" w:rsidRPr="00181977" w:rsidRDefault="00DE10BA" w:rsidP="00181977">
            <w:pPr>
              <w:pStyle w:val="TableBody"/>
            </w:pPr>
            <w:r w:rsidRPr="00181977">
              <w:t xml:space="preserve">Very common </w:t>
            </w:r>
          </w:p>
        </w:tc>
      </w:tr>
      <w:tr w:rsidR="00DE10BA" w14:paraId="5C54E58C" w14:textId="77777777" w:rsidTr="00BA2AF8">
        <w:tc>
          <w:tcPr>
            <w:tcW w:w="3114" w:type="dxa"/>
            <w:vMerge/>
          </w:tcPr>
          <w:p w14:paraId="33F34B8D" w14:textId="77777777" w:rsidR="00DE10BA" w:rsidRPr="00181977" w:rsidRDefault="00DE10BA" w:rsidP="00181977">
            <w:pPr>
              <w:pStyle w:val="TableBody"/>
            </w:pPr>
          </w:p>
        </w:tc>
        <w:tc>
          <w:tcPr>
            <w:tcW w:w="3086" w:type="dxa"/>
          </w:tcPr>
          <w:p w14:paraId="17A622B0" w14:textId="77777777" w:rsidR="00DE10BA" w:rsidRPr="00181977" w:rsidRDefault="00DE10BA" w:rsidP="00181977">
            <w:pPr>
              <w:pStyle w:val="TableBody"/>
            </w:pPr>
            <w:proofErr w:type="spellStart"/>
            <w:r w:rsidRPr="00181977">
              <w:t>Rhinorrhoea</w:t>
            </w:r>
            <w:proofErr w:type="spellEnd"/>
            <w:r w:rsidRPr="00181977">
              <w:t xml:space="preserve"> </w:t>
            </w:r>
          </w:p>
        </w:tc>
        <w:tc>
          <w:tcPr>
            <w:tcW w:w="2726" w:type="dxa"/>
          </w:tcPr>
          <w:p w14:paraId="5B8D71D5" w14:textId="77777777" w:rsidR="00DE10BA" w:rsidRPr="00181977" w:rsidRDefault="00DE10BA" w:rsidP="00181977">
            <w:pPr>
              <w:pStyle w:val="TableBody"/>
            </w:pPr>
            <w:r w:rsidRPr="00181977">
              <w:t xml:space="preserve">Very common </w:t>
            </w:r>
          </w:p>
        </w:tc>
      </w:tr>
      <w:tr w:rsidR="00DE10BA" w14:paraId="7341839D" w14:textId="77777777" w:rsidTr="00BA2AF8">
        <w:tc>
          <w:tcPr>
            <w:tcW w:w="3114" w:type="dxa"/>
            <w:vMerge/>
          </w:tcPr>
          <w:p w14:paraId="3FF71EA6" w14:textId="77777777" w:rsidR="00DE10BA" w:rsidRPr="00181977" w:rsidRDefault="00DE10BA" w:rsidP="00181977">
            <w:pPr>
              <w:pStyle w:val="TableBody"/>
            </w:pPr>
          </w:p>
        </w:tc>
        <w:tc>
          <w:tcPr>
            <w:tcW w:w="3086" w:type="dxa"/>
          </w:tcPr>
          <w:p w14:paraId="065FAAA3" w14:textId="77777777" w:rsidR="00DE10BA" w:rsidRPr="00181977" w:rsidRDefault="00DE10BA" w:rsidP="00181977">
            <w:pPr>
              <w:pStyle w:val="TableBody"/>
            </w:pPr>
            <w:r w:rsidRPr="00181977">
              <w:t xml:space="preserve">Oropharyngeal pain </w:t>
            </w:r>
          </w:p>
        </w:tc>
        <w:tc>
          <w:tcPr>
            <w:tcW w:w="2726" w:type="dxa"/>
          </w:tcPr>
          <w:p w14:paraId="1F21EB03" w14:textId="77777777" w:rsidR="00DE10BA" w:rsidRPr="00181977" w:rsidRDefault="00DE10BA" w:rsidP="00181977">
            <w:pPr>
              <w:pStyle w:val="TableBody"/>
            </w:pPr>
            <w:r w:rsidRPr="00181977">
              <w:t xml:space="preserve">Very common </w:t>
            </w:r>
          </w:p>
        </w:tc>
      </w:tr>
      <w:tr w:rsidR="00DE10BA" w14:paraId="7BD9D1A1" w14:textId="77777777" w:rsidTr="00BA2AF8">
        <w:tc>
          <w:tcPr>
            <w:tcW w:w="3114" w:type="dxa"/>
            <w:vMerge/>
          </w:tcPr>
          <w:p w14:paraId="336320B6" w14:textId="77777777" w:rsidR="00DE10BA" w:rsidRPr="00181977" w:rsidRDefault="00DE10BA" w:rsidP="00181977">
            <w:pPr>
              <w:pStyle w:val="TableBody"/>
            </w:pPr>
          </w:p>
        </w:tc>
        <w:tc>
          <w:tcPr>
            <w:tcW w:w="3086" w:type="dxa"/>
          </w:tcPr>
          <w:p w14:paraId="7CEAB790" w14:textId="77777777" w:rsidR="00DE10BA" w:rsidRPr="00181977" w:rsidRDefault="00DE10BA" w:rsidP="00181977">
            <w:pPr>
              <w:pStyle w:val="TableBody"/>
            </w:pPr>
            <w:r w:rsidRPr="00181977">
              <w:t xml:space="preserve">Asthma </w:t>
            </w:r>
          </w:p>
        </w:tc>
        <w:tc>
          <w:tcPr>
            <w:tcW w:w="2726" w:type="dxa"/>
          </w:tcPr>
          <w:p w14:paraId="5390FA29" w14:textId="77777777" w:rsidR="00DE10BA" w:rsidRPr="00181977" w:rsidRDefault="00DE10BA" w:rsidP="00181977">
            <w:pPr>
              <w:pStyle w:val="TableBody"/>
            </w:pPr>
            <w:r w:rsidRPr="00181977">
              <w:t xml:space="preserve">Common </w:t>
            </w:r>
          </w:p>
        </w:tc>
      </w:tr>
      <w:tr w:rsidR="00DE10BA" w14:paraId="21BD2857" w14:textId="77777777" w:rsidTr="00BA2AF8">
        <w:tc>
          <w:tcPr>
            <w:tcW w:w="3114" w:type="dxa"/>
            <w:vMerge/>
          </w:tcPr>
          <w:p w14:paraId="6E4C0C6A" w14:textId="77777777" w:rsidR="00DE10BA" w:rsidRPr="00181977" w:rsidRDefault="00DE10BA" w:rsidP="00181977">
            <w:pPr>
              <w:pStyle w:val="TableBody"/>
            </w:pPr>
          </w:p>
        </w:tc>
        <w:tc>
          <w:tcPr>
            <w:tcW w:w="3086" w:type="dxa"/>
          </w:tcPr>
          <w:p w14:paraId="76853351" w14:textId="77777777" w:rsidR="00DE10BA" w:rsidRPr="00181977" w:rsidRDefault="00DE10BA" w:rsidP="00181977">
            <w:pPr>
              <w:pStyle w:val="TableBody"/>
            </w:pPr>
            <w:r w:rsidRPr="00181977">
              <w:t xml:space="preserve">Lung disorder </w:t>
            </w:r>
          </w:p>
        </w:tc>
        <w:tc>
          <w:tcPr>
            <w:tcW w:w="2726" w:type="dxa"/>
          </w:tcPr>
          <w:p w14:paraId="6F0EB185" w14:textId="77777777" w:rsidR="00DE10BA" w:rsidRPr="00181977" w:rsidRDefault="00DE10BA" w:rsidP="00181977">
            <w:pPr>
              <w:pStyle w:val="TableBody"/>
            </w:pPr>
            <w:r w:rsidRPr="00181977">
              <w:t xml:space="preserve">Common </w:t>
            </w:r>
          </w:p>
        </w:tc>
      </w:tr>
      <w:tr w:rsidR="00DE10BA" w14:paraId="5C5F1AC2" w14:textId="77777777" w:rsidTr="00BA2AF8">
        <w:tc>
          <w:tcPr>
            <w:tcW w:w="3114" w:type="dxa"/>
            <w:vMerge/>
          </w:tcPr>
          <w:p w14:paraId="70C1502B" w14:textId="77777777" w:rsidR="00DE10BA" w:rsidRPr="00181977" w:rsidRDefault="00DE10BA" w:rsidP="00181977">
            <w:pPr>
              <w:pStyle w:val="TableBody"/>
            </w:pPr>
          </w:p>
        </w:tc>
        <w:tc>
          <w:tcPr>
            <w:tcW w:w="3086" w:type="dxa"/>
          </w:tcPr>
          <w:p w14:paraId="432D7529" w14:textId="77777777" w:rsidR="00DE10BA" w:rsidRPr="00181977" w:rsidRDefault="00DE10BA" w:rsidP="00181977">
            <w:pPr>
              <w:pStyle w:val="TableBody"/>
            </w:pPr>
            <w:r w:rsidRPr="005B34B2">
              <w:rPr>
                <w:vertAlign w:val="superscript"/>
              </w:rPr>
              <w:t>2</w:t>
            </w:r>
            <w:r w:rsidRPr="00181977">
              <w:t xml:space="preserve">Pleural effusion </w:t>
            </w:r>
          </w:p>
        </w:tc>
        <w:tc>
          <w:tcPr>
            <w:tcW w:w="2726" w:type="dxa"/>
          </w:tcPr>
          <w:p w14:paraId="41F48355" w14:textId="77777777" w:rsidR="00DE10BA" w:rsidRPr="00181977" w:rsidRDefault="00DE10BA" w:rsidP="00181977">
            <w:pPr>
              <w:pStyle w:val="TableBody"/>
            </w:pPr>
            <w:r w:rsidRPr="00181977">
              <w:t xml:space="preserve">Common </w:t>
            </w:r>
          </w:p>
        </w:tc>
      </w:tr>
      <w:tr w:rsidR="00DE10BA" w14:paraId="1B78D190" w14:textId="77777777" w:rsidTr="00BA2AF8">
        <w:tc>
          <w:tcPr>
            <w:tcW w:w="3114" w:type="dxa"/>
            <w:vMerge/>
          </w:tcPr>
          <w:p w14:paraId="47927E3C" w14:textId="77777777" w:rsidR="00DE10BA" w:rsidRPr="00181977" w:rsidRDefault="00DE10BA" w:rsidP="00181977">
            <w:pPr>
              <w:pStyle w:val="TableBody"/>
            </w:pPr>
          </w:p>
        </w:tc>
        <w:tc>
          <w:tcPr>
            <w:tcW w:w="3086" w:type="dxa"/>
          </w:tcPr>
          <w:p w14:paraId="5A01A401" w14:textId="77777777" w:rsidR="00DE10BA" w:rsidRPr="00181977" w:rsidRDefault="00DE10BA" w:rsidP="00181977">
            <w:pPr>
              <w:pStyle w:val="TableBody"/>
            </w:pPr>
            <w:r w:rsidRPr="005B34B2">
              <w:rPr>
                <w:vertAlign w:val="superscript"/>
              </w:rPr>
              <w:t>2</w:t>
            </w:r>
            <w:r w:rsidRPr="00181977">
              <w:t xml:space="preserve">Pneumonia </w:t>
            </w:r>
          </w:p>
        </w:tc>
        <w:tc>
          <w:tcPr>
            <w:tcW w:w="2726" w:type="dxa"/>
          </w:tcPr>
          <w:p w14:paraId="0BFD9CE6" w14:textId="77777777" w:rsidR="00DE10BA" w:rsidRPr="00181977" w:rsidRDefault="00DE10BA" w:rsidP="00181977">
            <w:pPr>
              <w:pStyle w:val="TableBody"/>
            </w:pPr>
            <w:r w:rsidRPr="00181977">
              <w:t xml:space="preserve">Common </w:t>
            </w:r>
          </w:p>
        </w:tc>
      </w:tr>
      <w:tr w:rsidR="00DE10BA" w14:paraId="6DA2AA4A" w14:textId="77777777" w:rsidTr="00BA2AF8">
        <w:tc>
          <w:tcPr>
            <w:tcW w:w="3114" w:type="dxa"/>
            <w:vMerge/>
          </w:tcPr>
          <w:p w14:paraId="050C4906" w14:textId="77777777" w:rsidR="00DE10BA" w:rsidRPr="00181977" w:rsidRDefault="00DE10BA" w:rsidP="00181977">
            <w:pPr>
              <w:pStyle w:val="TableBody"/>
            </w:pPr>
          </w:p>
        </w:tc>
        <w:tc>
          <w:tcPr>
            <w:tcW w:w="3086" w:type="dxa"/>
          </w:tcPr>
          <w:p w14:paraId="435A1823" w14:textId="77777777" w:rsidR="00DE10BA" w:rsidRPr="00181977" w:rsidRDefault="00DE10BA" w:rsidP="00181977">
            <w:pPr>
              <w:pStyle w:val="TableBody"/>
            </w:pPr>
            <w:r w:rsidRPr="00181977">
              <w:t xml:space="preserve">Pneumonitis </w:t>
            </w:r>
          </w:p>
        </w:tc>
        <w:tc>
          <w:tcPr>
            <w:tcW w:w="2726" w:type="dxa"/>
          </w:tcPr>
          <w:p w14:paraId="725CCFF4" w14:textId="77777777" w:rsidR="00DE10BA" w:rsidRPr="00181977" w:rsidRDefault="00DE10BA" w:rsidP="00181977">
            <w:pPr>
              <w:pStyle w:val="TableBody"/>
            </w:pPr>
            <w:r w:rsidRPr="00181977">
              <w:t xml:space="preserve">Uncommon </w:t>
            </w:r>
          </w:p>
        </w:tc>
      </w:tr>
      <w:tr w:rsidR="00DE10BA" w14:paraId="66A24382" w14:textId="77777777" w:rsidTr="00BA2AF8">
        <w:tc>
          <w:tcPr>
            <w:tcW w:w="3114" w:type="dxa"/>
            <w:vMerge/>
          </w:tcPr>
          <w:p w14:paraId="146BD365" w14:textId="77777777" w:rsidR="00DE10BA" w:rsidRPr="00181977" w:rsidRDefault="00DE10BA" w:rsidP="00181977">
            <w:pPr>
              <w:pStyle w:val="TableBody"/>
            </w:pPr>
          </w:p>
        </w:tc>
        <w:tc>
          <w:tcPr>
            <w:tcW w:w="3086" w:type="dxa"/>
          </w:tcPr>
          <w:p w14:paraId="07997C92" w14:textId="77777777" w:rsidR="00DE10BA" w:rsidRPr="00181977" w:rsidRDefault="00DE10BA" w:rsidP="00181977">
            <w:pPr>
              <w:pStyle w:val="TableBody"/>
            </w:pPr>
            <w:r w:rsidRPr="005B34B2">
              <w:rPr>
                <w:vertAlign w:val="superscript"/>
              </w:rPr>
              <w:t>2</w:t>
            </w:r>
            <w:r w:rsidRPr="00181977">
              <w:t xml:space="preserve">Pulmonary fibrosis </w:t>
            </w:r>
          </w:p>
        </w:tc>
        <w:tc>
          <w:tcPr>
            <w:tcW w:w="2726" w:type="dxa"/>
          </w:tcPr>
          <w:p w14:paraId="264CAD54" w14:textId="77777777" w:rsidR="00DE10BA" w:rsidRPr="00181977" w:rsidRDefault="00DE10BA" w:rsidP="00181977">
            <w:pPr>
              <w:pStyle w:val="TableBody"/>
            </w:pPr>
            <w:r w:rsidRPr="00181977">
              <w:t xml:space="preserve">Not known </w:t>
            </w:r>
          </w:p>
        </w:tc>
      </w:tr>
      <w:tr w:rsidR="00DE10BA" w14:paraId="12371015" w14:textId="77777777" w:rsidTr="00BA2AF8">
        <w:tc>
          <w:tcPr>
            <w:tcW w:w="3114" w:type="dxa"/>
            <w:vMerge/>
          </w:tcPr>
          <w:p w14:paraId="7A04C3D1" w14:textId="77777777" w:rsidR="00DE10BA" w:rsidRPr="00181977" w:rsidRDefault="00DE10BA" w:rsidP="00181977">
            <w:pPr>
              <w:pStyle w:val="TableBody"/>
            </w:pPr>
          </w:p>
        </w:tc>
        <w:tc>
          <w:tcPr>
            <w:tcW w:w="3086" w:type="dxa"/>
          </w:tcPr>
          <w:p w14:paraId="23D910DA" w14:textId="77777777" w:rsidR="00DE10BA" w:rsidRPr="00181977" w:rsidRDefault="00DE10BA" w:rsidP="00181977">
            <w:pPr>
              <w:pStyle w:val="TableBody"/>
            </w:pPr>
            <w:r w:rsidRPr="005B34B2">
              <w:rPr>
                <w:vertAlign w:val="superscript"/>
              </w:rPr>
              <w:t>2</w:t>
            </w:r>
            <w:r w:rsidRPr="00181977">
              <w:t xml:space="preserve">Respiratory distress </w:t>
            </w:r>
          </w:p>
        </w:tc>
        <w:tc>
          <w:tcPr>
            <w:tcW w:w="2726" w:type="dxa"/>
          </w:tcPr>
          <w:p w14:paraId="596852A3" w14:textId="77777777" w:rsidR="00DE10BA" w:rsidRPr="00181977" w:rsidRDefault="00DE10BA" w:rsidP="00181977">
            <w:pPr>
              <w:pStyle w:val="TableBody"/>
            </w:pPr>
            <w:r w:rsidRPr="00181977">
              <w:t xml:space="preserve">Not known </w:t>
            </w:r>
          </w:p>
        </w:tc>
      </w:tr>
      <w:tr w:rsidR="00DE10BA" w14:paraId="49BAED55" w14:textId="77777777" w:rsidTr="00BA2AF8">
        <w:tc>
          <w:tcPr>
            <w:tcW w:w="3114" w:type="dxa"/>
            <w:vMerge/>
          </w:tcPr>
          <w:p w14:paraId="6570B970" w14:textId="77777777" w:rsidR="00DE10BA" w:rsidRPr="00181977" w:rsidRDefault="00DE10BA" w:rsidP="00181977">
            <w:pPr>
              <w:pStyle w:val="TableBody"/>
            </w:pPr>
          </w:p>
        </w:tc>
        <w:tc>
          <w:tcPr>
            <w:tcW w:w="3086" w:type="dxa"/>
          </w:tcPr>
          <w:p w14:paraId="3086E64A" w14:textId="77777777" w:rsidR="00DE10BA" w:rsidRPr="00181977" w:rsidRDefault="00DE10BA" w:rsidP="00181977">
            <w:pPr>
              <w:pStyle w:val="TableBody"/>
            </w:pPr>
            <w:r w:rsidRPr="005B34B2">
              <w:rPr>
                <w:vertAlign w:val="superscript"/>
              </w:rPr>
              <w:t>2</w:t>
            </w:r>
            <w:r w:rsidRPr="00181977">
              <w:t xml:space="preserve">Respiratory failure </w:t>
            </w:r>
          </w:p>
        </w:tc>
        <w:tc>
          <w:tcPr>
            <w:tcW w:w="2726" w:type="dxa"/>
          </w:tcPr>
          <w:p w14:paraId="423D6E3D" w14:textId="77777777" w:rsidR="00DE10BA" w:rsidRPr="00181977" w:rsidRDefault="00DE10BA" w:rsidP="00181977">
            <w:pPr>
              <w:pStyle w:val="TableBody"/>
            </w:pPr>
            <w:r w:rsidRPr="00181977">
              <w:t xml:space="preserve">Not known </w:t>
            </w:r>
          </w:p>
        </w:tc>
      </w:tr>
      <w:tr w:rsidR="00DE10BA" w14:paraId="3C36A2EF" w14:textId="77777777" w:rsidTr="00BA2AF8">
        <w:tc>
          <w:tcPr>
            <w:tcW w:w="3114" w:type="dxa"/>
            <w:vMerge/>
          </w:tcPr>
          <w:p w14:paraId="232FA12F" w14:textId="77777777" w:rsidR="00DE10BA" w:rsidRPr="00181977" w:rsidRDefault="00DE10BA" w:rsidP="00181977">
            <w:pPr>
              <w:pStyle w:val="TableBody"/>
            </w:pPr>
          </w:p>
        </w:tc>
        <w:tc>
          <w:tcPr>
            <w:tcW w:w="3086" w:type="dxa"/>
          </w:tcPr>
          <w:p w14:paraId="7547509A" w14:textId="77777777" w:rsidR="00DE10BA" w:rsidRPr="00181977" w:rsidRDefault="00DE10BA" w:rsidP="00181977">
            <w:pPr>
              <w:pStyle w:val="TableBody"/>
            </w:pPr>
            <w:r w:rsidRPr="005B34B2">
              <w:rPr>
                <w:vertAlign w:val="superscript"/>
              </w:rPr>
              <w:t>2</w:t>
            </w:r>
            <w:r w:rsidRPr="00181977">
              <w:t xml:space="preserve">Lung infiltration </w:t>
            </w:r>
          </w:p>
        </w:tc>
        <w:tc>
          <w:tcPr>
            <w:tcW w:w="2726" w:type="dxa"/>
          </w:tcPr>
          <w:p w14:paraId="4BEC1D8E" w14:textId="77777777" w:rsidR="00DE10BA" w:rsidRPr="00181977" w:rsidRDefault="00DE10BA" w:rsidP="00181977">
            <w:pPr>
              <w:pStyle w:val="TableBody"/>
            </w:pPr>
            <w:r w:rsidRPr="00181977">
              <w:t xml:space="preserve">Not known </w:t>
            </w:r>
          </w:p>
        </w:tc>
      </w:tr>
      <w:tr w:rsidR="00DE10BA" w14:paraId="6CD32BC9" w14:textId="77777777" w:rsidTr="00BA2AF8">
        <w:tc>
          <w:tcPr>
            <w:tcW w:w="3114" w:type="dxa"/>
            <w:vMerge/>
          </w:tcPr>
          <w:p w14:paraId="17157634" w14:textId="77777777" w:rsidR="00DE10BA" w:rsidRPr="00181977" w:rsidRDefault="00DE10BA" w:rsidP="00181977">
            <w:pPr>
              <w:pStyle w:val="TableBody"/>
            </w:pPr>
          </w:p>
        </w:tc>
        <w:tc>
          <w:tcPr>
            <w:tcW w:w="3086" w:type="dxa"/>
          </w:tcPr>
          <w:p w14:paraId="2D647864" w14:textId="77777777" w:rsidR="00DE10BA" w:rsidRPr="00181977" w:rsidRDefault="00DE10BA" w:rsidP="00181977">
            <w:pPr>
              <w:pStyle w:val="TableBody"/>
            </w:pPr>
            <w:r w:rsidRPr="005B34B2">
              <w:rPr>
                <w:vertAlign w:val="superscript"/>
              </w:rPr>
              <w:t>2</w:t>
            </w:r>
            <w:r w:rsidRPr="00181977">
              <w:t xml:space="preserve">Acute pulmonary </w:t>
            </w:r>
            <w:proofErr w:type="spellStart"/>
            <w:r w:rsidRPr="00181977">
              <w:t>oedema</w:t>
            </w:r>
            <w:proofErr w:type="spellEnd"/>
            <w:r w:rsidRPr="00181977">
              <w:t xml:space="preserve"> </w:t>
            </w:r>
          </w:p>
        </w:tc>
        <w:tc>
          <w:tcPr>
            <w:tcW w:w="2726" w:type="dxa"/>
          </w:tcPr>
          <w:p w14:paraId="026B6375" w14:textId="77777777" w:rsidR="00DE10BA" w:rsidRPr="00181977" w:rsidRDefault="00DE10BA" w:rsidP="00181977">
            <w:pPr>
              <w:pStyle w:val="TableBody"/>
            </w:pPr>
            <w:r w:rsidRPr="00181977">
              <w:t xml:space="preserve">Not known </w:t>
            </w:r>
          </w:p>
        </w:tc>
      </w:tr>
      <w:tr w:rsidR="00DE10BA" w14:paraId="078D6D64" w14:textId="77777777" w:rsidTr="00BA2AF8">
        <w:tc>
          <w:tcPr>
            <w:tcW w:w="3114" w:type="dxa"/>
            <w:vMerge/>
          </w:tcPr>
          <w:p w14:paraId="7C43A545" w14:textId="77777777" w:rsidR="00DE10BA" w:rsidRPr="00181977" w:rsidRDefault="00DE10BA" w:rsidP="00181977">
            <w:pPr>
              <w:pStyle w:val="TableBody"/>
            </w:pPr>
          </w:p>
        </w:tc>
        <w:tc>
          <w:tcPr>
            <w:tcW w:w="3086" w:type="dxa"/>
          </w:tcPr>
          <w:p w14:paraId="4A284486" w14:textId="77777777" w:rsidR="00DE10BA" w:rsidRPr="00181977" w:rsidRDefault="00DE10BA" w:rsidP="00181977">
            <w:pPr>
              <w:pStyle w:val="TableBody"/>
            </w:pPr>
            <w:r w:rsidRPr="005B34B2">
              <w:rPr>
                <w:vertAlign w:val="superscript"/>
              </w:rPr>
              <w:t>2</w:t>
            </w:r>
            <w:r w:rsidRPr="00181977">
              <w:t xml:space="preserve">Acute respiratory distress syndrome </w:t>
            </w:r>
          </w:p>
        </w:tc>
        <w:tc>
          <w:tcPr>
            <w:tcW w:w="2726" w:type="dxa"/>
          </w:tcPr>
          <w:p w14:paraId="05D99749" w14:textId="77777777" w:rsidR="00DE10BA" w:rsidRPr="00181977" w:rsidRDefault="00DE10BA" w:rsidP="00181977">
            <w:pPr>
              <w:pStyle w:val="TableBody"/>
            </w:pPr>
            <w:r w:rsidRPr="00181977">
              <w:t xml:space="preserve">Not known </w:t>
            </w:r>
          </w:p>
        </w:tc>
      </w:tr>
      <w:tr w:rsidR="00DE10BA" w14:paraId="6AABE22A" w14:textId="77777777" w:rsidTr="00BA2AF8">
        <w:tc>
          <w:tcPr>
            <w:tcW w:w="3114" w:type="dxa"/>
            <w:vMerge/>
          </w:tcPr>
          <w:p w14:paraId="57AA4CB3" w14:textId="77777777" w:rsidR="00DE10BA" w:rsidRPr="00181977" w:rsidRDefault="00DE10BA" w:rsidP="00181977">
            <w:pPr>
              <w:pStyle w:val="TableBody"/>
            </w:pPr>
          </w:p>
        </w:tc>
        <w:tc>
          <w:tcPr>
            <w:tcW w:w="3086" w:type="dxa"/>
          </w:tcPr>
          <w:p w14:paraId="3B4D51C9" w14:textId="77777777" w:rsidR="00DE10BA" w:rsidRPr="00181977" w:rsidRDefault="00DE10BA" w:rsidP="00181977">
            <w:pPr>
              <w:pStyle w:val="TableBody"/>
            </w:pPr>
            <w:r w:rsidRPr="005B34B2">
              <w:rPr>
                <w:vertAlign w:val="superscript"/>
              </w:rPr>
              <w:t>2</w:t>
            </w:r>
            <w:r w:rsidRPr="00181977">
              <w:t xml:space="preserve">Bronchospasm </w:t>
            </w:r>
          </w:p>
        </w:tc>
        <w:tc>
          <w:tcPr>
            <w:tcW w:w="2726" w:type="dxa"/>
          </w:tcPr>
          <w:p w14:paraId="20474EEF" w14:textId="77777777" w:rsidR="00DE10BA" w:rsidRPr="00181977" w:rsidRDefault="00DE10BA" w:rsidP="00181977">
            <w:pPr>
              <w:pStyle w:val="TableBody"/>
            </w:pPr>
            <w:r w:rsidRPr="00181977">
              <w:t xml:space="preserve">Not known </w:t>
            </w:r>
          </w:p>
        </w:tc>
      </w:tr>
      <w:tr w:rsidR="00DE10BA" w14:paraId="3B8ED84E" w14:textId="77777777" w:rsidTr="00BA2AF8">
        <w:tc>
          <w:tcPr>
            <w:tcW w:w="3114" w:type="dxa"/>
            <w:vMerge/>
          </w:tcPr>
          <w:p w14:paraId="5F106010" w14:textId="77777777" w:rsidR="00DE10BA" w:rsidRPr="00181977" w:rsidRDefault="00DE10BA" w:rsidP="00181977">
            <w:pPr>
              <w:pStyle w:val="TableBody"/>
            </w:pPr>
          </w:p>
        </w:tc>
        <w:tc>
          <w:tcPr>
            <w:tcW w:w="3086" w:type="dxa"/>
          </w:tcPr>
          <w:p w14:paraId="12423ADB" w14:textId="77777777" w:rsidR="00DE10BA" w:rsidRPr="00181977" w:rsidRDefault="00DE10BA" w:rsidP="00181977">
            <w:pPr>
              <w:pStyle w:val="TableBody"/>
            </w:pPr>
            <w:r w:rsidRPr="005B34B2">
              <w:rPr>
                <w:vertAlign w:val="superscript"/>
              </w:rPr>
              <w:t>2</w:t>
            </w:r>
            <w:r w:rsidRPr="00181977">
              <w:t xml:space="preserve">Hypoxia </w:t>
            </w:r>
          </w:p>
        </w:tc>
        <w:tc>
          <w:tcPr>
            <w:tcW w:w="2726" w:type="dxa"/>
          </w:tcPr>
          <w:p w14:paraId="11D88C66" w14:textId="77777777" w:rsidR="00DE10BA" w:rsidRPr="00181977" w:rsidRDefault="00DE10BA" w:rsidP="00181977">
            <w:pPr>
              <w:pStyle w:val="TableBody"/>
            </w:pPr>
            <w:r w:rsidRPr="00181977">
              <w:t xml:space="preserve">Not known </w:t>
            </w:r>
          </w:p>
        </w:tc>
      </w:tr>
      <w:tr w:rsidR="00DE10BA" w14:paraId="3A350770" w14:textId="77777777" w:rsidTr="00BA2AF8">
        <w:tc>
          <w:tcPr>
            <w:tcW w:w="3114" w:type="dxa"/>
            <w:vMerge/>
          </w:tcPr>
          <w:p w14:paraId="720D0B77" w14:textId="77777777" w:rsidR="00DE10BA" w:rsidRPr="00181977" w:rsidRDefault="00DE10BA" w:rsidP="00181977">
            <w:pPr>
              <w:pStyle w:val="TableBody"/>
            </w:pPr>
          </w:p>
        </w:tc>
        <w:tc>
          <w:tcPr>
            <w:tcW w:w="3086" w:type="dxa"/>
          </w:tcPr>
          <w:p w14:paraId="797DB9FB" w14:textId="77777777" w:rsidR="00DE10BA" w:rsidRPr="00181977" w:rsidRDefault="00DE10BA" w:rsidP="00181977">
            <w:pPr>
              <w:pStyle w:val="TableBody"/>
            </w:pPr>
            <w:r w:rsidRPr="005B34B2">
              <w:rPr>
                <w:vertAlign w:val="superscript"/>
              </w:rPr>
              <w:t>2</w:t>
            </w:r>
            <w:r w:rsidRPr="00181977">
              <w:t xml:space="preserve">Oxygen saturation decreased </w:t>
            </w:r>
          </w:p>
        </w:tc>
        <w:tc>
          <w:tcPr>
            <w:tcW w:w="2726" w:type="dxa"/>
          </w:tcPr>
          <w:p w14:paraId="6754C5CC" w14:textId="77777777" w:rsidR="00DE10BA" w:rsidRPr="00181977" w:rsidRDefault="00DE10BA" w:rsidP="00181977">
            <w:pPr>
              <w:pStyle w:val="TableBody"/>
            </w:pPr>
            <w:r w:rsidRPr="00181977">
              <w:t xml:space="preserve">Not known </w:t>
            </w:r>
          </w:p>
        </w:tc>
      </w:tr>
      <w:tr w:rsidR="00DE10BA" w14:paraId="77325DBE" w14:textId="77777777" w:rsidTr="00BA2AF8">
        <w:tc>
          <w:tcPr>
            <w:tcW w:w="3114" w:type="dxa"/>
            <w:vMerge/>
          </w:tcPr>
          <w:p w14:paraId="1F6B35D9" w14:textId="77777777" w:rsidR="00DE10BA" w:rsidRPr="00181977" w:rsidRDefault="00DE10BA" w:rsidP="00181977">
            <w:pPr>
              <w:pStyle w:val="TableBody"/>
            </w:pPr>
          </w:p>
        </w:tc>
        <w:tc>
          <w:tcPr>
            <w:tcW w:w="3086" w:type="dxa"/>
          </w:tcPr>
          <w:p w14:paraId="6EFD775B" w14:textId="77777777" w:rsidR="00DE10BA" w:rsidRPr="00181977" w:rsidRDefault="00DE10BA" w:rsidP="00181977">
            <w:pPr>
              <w:pStyle w:val="TableBody"/>
            </w:pPr>
            <w:r w:rsidRPr="00181977">
              <w:t xml:space="preserve">Laryngeal </w:t>
            </w:r>
            <w:proofErr w:type="spellStart"/>
            <w:r w:rsidRPr="00181977">
              <w:t>oedema</w:t>
            </w:r>
            <w:proofErr w:type="spellEnd"/>
            <w:r w:rsidRPr="00181977">
              <w:t xml:space="preserve"> </w:t>
            </w:r>
          </w:p>
        </w:tc>
        <w:tc>
          <w:tcPr>
            <w:tcW w:w="2726" w:type="dxa"/>
          </w:tcPr>
          <w:p w14:paraId="0CD8E0BD" w14:textId="77777777" w:rsidR="00DE10BA" w:rsidRPr="00181977" w:rsidRDefault="00DE10BA" w:rsidP="00181977">
            <w:pPr>
              <w:pStyle w:val="TableBody"/>
            </w:pPr>
            <w:r w:rsidRPr="00181977">
              <w:t xml:space="preserve">Not known </w:t>
            </w:r>
          </w:p>
        </w:tc>
      </w:tr>
      <w:tr w:rsidR="00DE10BA" w14:paraId="4BA060BA" w14:textId="77777777" w:rsidTr="00BA2AF8">
        <w:tc>
          <w:tcPr>
            <w:tcW w:w="3114" w:type="dxa"/>
            <w:vMerge/>
          </w:tcPr>
          <w:p w14:paraId="62432CDF" w14:textId="77777777" w:rsidR="00DE10BA" w:rsidRPr="00181977" w:rsidRDefault="00DE10BA" w:rsidP="00181977">
            <w:pPr>
              <w:pStyle w:val="TableBody"/>
            </w:pPr>
          </w:p>
        </w:tc>
        <w:tc>
          <w:tcPr>
            <w:tcW w:w="3086" w:type="dxa"/>
          </w:tcPr>
          <w:p w14:paraId="461D41C0" w14:textId="77777777" w:rsidR="00DE10BA" w:rsidRPr="00181977" w:rsidRDefault="00DE10BA" w:rsidP="00181977">
            <w:pPr>
              <w:pStyle w:val="TableBody"/>
            </w:pPr>
            <w:r w:rsidRPr="005B34B2">
              <w:rPr>
                <w:vertAlign w:val="superscript"/>
              </w:rPr>
              <w:t>2</w:t>
            </w:r>
            <w:r w:rsidRPr="00181977">
              <w:t xml:space="preserve">Orthopnoea </w:t>
            </w:r>
          </w:p>
        </w:tc>
        <w:tc>
          <w:tcPr>
            <w:tcW w:w="2726" w:type="dxa"/>
          </w:tcPr>
          <w:p w14:paraId="6B703B50" w14:textId="77777777" w:rsidR="00DE10BA" w:rsidRPr="00181977" w:rsidRDefault="00DE10BA" w:rsidP="00181977">
            <w:pPr>
              <w:pStyle w:val="TableBody"/>
            </w:pPr>
            <w:r w:rsidRPr="00181977">
              <w:t xml:space="preserve">Not known </w:t>
            </w:r>
          </w:p>
        </w:tc>
      </w:tr>
      <w:tr w:rsidR="00DE10BA" w14:paraId="7AE6CFAA" w14:textId="77777777" w:rsidTr="00BA2AF8">
        <w:tc>
          <w:tcPr>
            <w:tcW w:w="3114" w:type="dxa"/>
            <w:vMerge/>
          </w:tcPr>
          <w:p w14:paraId="62AB925D" w14:textId="77777777" w:rsidR="00DE10BA" w:rsidRPr="00181977" w:rsidRDefault="00DE10BA" w:rsidP="00181977">
            <w:pPr>
              <w:pStyle w:val="TableBody"/>
            </w:pPr>
          </w:p>
        </w:tc>
        <w:tc>
          <w:tcPr>
            <w:tcW w:w="3086" w:type="dxa"/>
          </w:tcPr>
          <w:p w14:paraId="6B1AEEF8" w14:textId="77777777" w:rsidR="00DE10BA" w:rsidRPr="00181977" w:rsidRDefault="00DE10BA" w:rsidP="00181977">
            <w:pPr>
              <w:pStyle w:val="TableBody"/>
            </w:pPr>
            <w:r w:rsidRPr="00181977">
              <w:t xml:space="preserve">Pulmonary </w:t>
            </w:r>
            <w:proofErr w:type="spellStart"/>
            <w:r w:rsidRPr="00181977">
              <w:t>oedema</w:t>
            </w:r>
            <w:proofErr w:type="spellEnd"/>
            <w:r w:rsidRPr="00181977">
              <w:t xml:space="preserve"> </w:t>
            </w:r>
          </w:p>
        </w:tc>
        <w:tc>
          <w:tcPr>
            <w:tcW w:w="2726" w:type="dxa"/>
          </w:tcPr>
          <w:p w14:paraId="034EA399" w14:textId="77777777" w:rsidR="00DE10BA" w:rsidRPr="00181977" w:rsidRDefault="00DE10BA" w:rsidP="00181977">
            <w:pPr>
              <w:pStyle w:val="TableBody"/>
            </w:pPr>
            <w:r w:rsidRPr="00181977">
              <w:t xml:space="preserve">Not known </w:t>
            </w:r>
          </w:p>
        </w:tc>
      </w:tr>
      <w:tr w:rsidR="00DE10BA" w14:paraId="0F71E8F2" w14:textId="77777777" w:rsidTr="00BA2AF8">
        <w:tc>
          <w:tcPr>
            <w:tcW w:w="3114" w:type="dxa"/>
            <w:vMerge/>
          </w:tcPr>
          <w:p w14:paraId="03B9979D" w14:textId="77777777" w:rsidR="00DE10BA" w:rsidRPr="00181977" w:rsidRDefault="00DE10BA" w:rsidP="00181977">
            <w:pPr>
              <w:pStyle w:val="TableBody"/>
            </w:pPr>
          </w:p>
        </w:tc>
        <w:tc>
          <w:tcPr>
            <w:tcW w:w="3086" w:type="dxa"/>
          </w:tcPr>
          <w:p w14:paraId="01FA06FB" w14:textId="77777777" w:rsidR="00DE10BA" w:rsidRPr="00181977" w:rsidRDefault="00DE10BA" w:rsidP="00181977">
            <w:pPr>
              <w:pStyle w:val="TableBody"/>
            </w:pPr>
            <w:r w:rsidRPr="00181977">
              <w:t xml:space="preserve">Interstitial lung disease </w:t>
            </w:r>
          </w:p>
        </w:tc>
        <w:tc>
          <w:tcPr>
            <w:tcW w:w="2726" w:type="dxa"/>
          </w:tcPr>
          <w:p w14:paraId="6FEA6D59" w14:textId="77777777" w:rsidR="00DE10BA" w:rsidRPr="00181977" w:rsidRDefault="00DE10BA" w:rsidP="00181977">
            <w:pPr>
              <w:pStyle w:val="TableBody"/>
            </w:pPr>
            <w:r w:rsidRPr="00181977">
              <w:t xml:space="preserve">Not known </w:t>
            </w:r>
          </w:p>
        </w:tc>
      </w:tr>
      <w:tr w:rsidR="00A15276" w14:paraId="4E932253" w14:textId="77777777" w:rsidTr="00BA2AF8">
        <w:tc>
          <w:tcPr>
            <w:tcW w:w="3114" w:type="dxa"/>
            <w:vMerge w:val="restart"/>
          </w:tcPr>
          <w:p w14:paraId="20024ED4" w14:textId="77777777" w:rsidR="00A15276" w:rsidRPr="00181977" w:rsidRDefault="00A15276" w:rsidP="00181977">
            <w:pPr>
              <w:pStyle w:val="TableBody"/>
            </w:pPr>
            <w:r w:rsidRPr="00181977">
              <w:t xml:space="preserve">Gastrointestinal disorders </w:t>
            </w:r>
          </w:p>
        </w:tc>
        <w:tc>
          <w:tcPr>
            <w:tcW w:w="3086" w:type="dxa"/>
          </w:tcPr>
          <w:p w14:paraId="1396D65D" w14:textId="77777777" w:rsidR="00A15276" w:rsidRPr="00181977" w:rsidRDefault="00A15276" w:rsidP="00181977">
            <w:pPr>
              <w:pStyle w:val="TableBody"/>
            </w:pPr>
            <w:proofErr w:type="spellStart"/>
            <w:r w:rsidRPr="00181977">
              <w:t>Diarrhoea</w:t>
            </w:r>
            <w:proofErr w:type="spellEnd"/>
            <w:r w:rsidRPr="00181977">
              <w:t xml:space="preserve"> </w:t>
            </w:r>
          </w:p>
        </w:tc>
        <w:tc>
          <w:tcPr>
            <w:tcW w:w="2726" w:type="dxa"/>
          </w:tcPr>
          <w:p w14:paraId="1CAA5BDE" w14:textId="77777777" w:rsidR="00A15276" w:rsidRPr="00181977" w:rsidRDefault="00A15276" w:rsidP="00181977">
            <w:pPr>
              <w:pStyle w:val="TableBody"/>
            </w:pPr>
            <w:r w:rsidRPr="00181977">
              <w:t xml:space="preserve">Very common </w:t>
            </w:r>
          </w:p>
        </w:tc>
      </w:tr>
      <w:tr w:rsidR="00A15276" w14:paraId="484C62C5" w14:textId="77777777" w:rsidTr="00BA2AF8">
        <w:tc>
          <w:tcPr>
            <w:tcW w:w="3114" w:type="dxa"/>
            <w:vMerge/>
          </w:tcPr>
          <w:p w14:paraId="7D989959" w14:textId="77777777" w:rsidR="00A15276" w:rsidRPr="00181977" w:rsidRDefault="00A15276" w:rsidP="00181977">
            <w:pPr>
              <w:pStyle w:val="TableBody"/>
            </w:pPr>
          </w:p>
        </w:tc>
        <w:tc>
          <w:tcPr>
            <w:tcW w:w="3086" w:type="dxa"/>
          </w:tcPr>
          <w:p w14:paraId="623FEB4F" w14:textId="77777777" w:rsidR="00A15276" w:rsidRPr="00181977" w:rsidRDefault="00A15276" w:rsidP="00181977">
            <w:pPr>
              <w:pStyle w:val="TableBody"/>
            </w:pPr>
            <w:r w:rsidRPr="00181977">
              <w:t xml:space="preserve">Vomiting </w:t>
            </w:r>
          </w:p>
        </w:tc>
        <w:tc>
          <w:tcPr>
            <w:tcW w:w="2726" w:type="dxa"/>
          </w:tcPr>
          <w:p w14:paraId="493318D4" w14:textId="77777777" w:rsidR="00A15276" w:rsidRPr="00181977" w:rsidRDefault="00A15276" w:rsidP="00181977">
            <w:pPr>
              <w:pStyle w:val="TableBody"/>
            </w:pPr>
            <w:r w:rsidRPr="00181977">
              <w:t xml:space="preserve">Very common </w:t>
            </w:r>
          </w:p>
        </w:tc>
      </w:tr>
      <w:tr w:rsidR="00A15276" w14:paraId="4C5F1829" w14:textId="77777777" w:rsidTr="00BA2AF8">
        <w:tc>
          <w:tcPr>
            <w:tcW w:w="3114" w:type="dxa"/>
            <w:vMerge/>
          </w:tcPr>
          <w:p w14:paraId="3575ECAB" w14:textId="77777777" w:rsidR="00A15276" w:rsidRPr="00181977" w:rsidRDefault="00A15276" w:rsidP="00181977">
            <w:pPr>
              <w:pStyle w:val="TableBody"/>
            </w:pPr>
          </w:p>
        </w:tc>
        <w:tc>
          <w:tcPr>
            <w:tcW w:w="3086" w:type="dxa"/>
          </w:tcPr>
          <w:p w14:paraId="08053271" w14:textId="77777777" w:rsidR="00A15276" w:rsidRPr="00181977" w:rsidRDefault="00A15276" w:rsidP="00181977">
            <w:pPr>
              <w:pStyle w:val="TableBody"/>
            </w:pPr>
            <w:r w:rsidRPr="00181977">
              <w:t xml:space="preserve">Nausea </w:t>
            </w:r>
          </w:p>
        </w:tc>
        <w:tc>
          <w:tcPr>
            <w:tcW w:w="2726" w:type="dxa"/>
          </w:tcPr>
          <w:p w14:paraId="4A6CD61E" w14:textId="77777777" w:rsidR="00A15276" w:rsidRPr="00181977" w:rsidRDefault="00A15276" w:rsidP="00181977">
            <w:pPr>
              <w:pStyle w:val="TableBody"/>
            </w:pPr>
            <w:r w:rsidRPr="00181977">
              <w:t xml:space="preserve">Very common </w:t>
            </w:r>
          </w:p>
        </w:tc>
      </w:tr>
      <w:tr w:rsidR="00A15276" w14:paraId="282BE603" w14:textId="77777777" w:rsidTr="00BA2AF8">
        <w:tc>
          <w:tcPr>
            <w:tcW w:w="3114" w:type="dxa"/>
            <w:vMerge/>
          </w:tcPr>
          <w:p w14:paraId="772EBFDF" w14:textId="77777777" w:rsidR="00A15276" w:rsidRPr="00181977" w:rsidRDefault="00A15276" w:rsidP="00181977">
            <w:pPr>
              <w:pStyle w:val="TableBody"/>
            </w:pPr>
          </w:p>
        </w:tc>
        <w:tc>
          <w:tcPr>
            <w:tcW w:w="3086" w:type="dxa"/>
          </w:tcPr>
          <w:p w14:paraId="5783CC31" w14:textId="77777777" w:rsidR="00A15276" w:rsidRPr="00181977" w:rsidRDefault="00A15276" w:rsidP="00181977">
            <w:pPr>
              <w:pStyle w:val="TableBody"/>
            </w:pPr>
            <w:r w:rsidRPr="00181977">
              <w:t xml:space="preserve">Lip swelling </w:t>
            </w:r>
          </w:p>
        </w:tc>
        <w:tc>
          <w:tcPr>
            <w:tcW w:w="2726" w:type="dxa"/>
          </w:tcPr>
          <w:p w14:paraId="763D4924" w14:textId="77777777" w:rsidR="00A15276" w:rsidRPr="00181977" w:rsidRDefault="00A15276" w:rsidP="00181977">
            <w:pPr>
              <w:pStyle w:val="TableBody"/>
            </w:pPr>
            <w:r w:rsidRPr="00181977">
              <w:t xml:space="preserve">Very common </w:t>
            </w:r>
          </w:p>
        </w:tc>
      </w:tr>
      <w:tr w:rsidR="00A15276" w14:paraId="513A37ED" w14:textId="77777777" w:rsidTr="00BA2AF8">
        <w:tc>
          <w:tcPr>
            <w:tcW w:w="3114" w:type="dxa"/>
            <w:vMerge/>
          </w:tcPr>
          <w:p w14:paraId="3723C55A" w14:textId="77777777" w:rsidR="00A15276" w:rsidRPr="00181977" w:rsidRDefault="00A15276" w:rsidP="00181977">
            <w:pPr>
              <w:pStyle w:val="TableBody"/>
            </w:pPr>
          </w:p>
        </w:tc>
        <w:tc>
          <w:tcPr>
            <w:tcW w:w="3086" w:type="dxa"/>
          </w:tcPr>
          <w:p w14:paraId="7256D360" w14:textId="77777777" w:rsidR="00A15276" w:rsidRPr="00181977" w:rsidRDefault="00A15276" w:rsidP="00181977">
            <w:pPr>
              <w:pStyle w:val="TableBody"/>
            </w:pPr>
            <w:r w:rsidRPr="00181977">
              <w:t xml:space="preserve">Abdominal pain </w:t>
            </w:r>
          </w:p>
        </w:tc>
        <w:tc>
          <w:tcPr>
            <w:tcW w:w="2726" w:type="dxa"/>
          </w:tcPr>
          <w:p w14:paraId="07F8073C" w14:textId="77777777" w:rsidR="00A15276" w:rsidRPr="00181977" w:rsidRDefault="00A15276" w:rsidP="00181977">
            <w:pPr>
              <w:pStyle w:val="TableBody"/>
            </w:pPr>
            <w:r w:rsidRPr="00181977">
              <w:t xml:space="preserve">Very common </w:t>
            </w:r>
          </w:p>
        </w:tc>
      </w:tr>
      <w:tr w:rsidR="00A15276" w14:paraId="1A6EE299" w14:textId="77777777" w:rsidTr="00BA2AF8">
        <w:tc>
          <w:tcPr>
            <w:tcW w:w="3114" w:type="dxa"/>
            <w:vMerge/>
          </w:tcPr>
          <w:p w14:paraId="4180629A" w14:textId="77777777" w:rsidR="00A15276" w:rsidRPr="00181977" w:rsidRDefault="00A15276" w:rsidP="00181977">
            <w:pPr>
              <w:pStyle w:val="TableBody"/>
            </w:pPr>
          </w:p>
        </w:tc>
        <w:tc>
          <w:tcPr>
            <w:tcW w:w="3086" w:type="dxa"/>
          </w:tcPr>
          <w:p w14:paraId="7553902C" w14:textId="77777777" w:rsidR="00A15276" w:rsidRPr="00181977" w:rsidRDefault="00A15276" w:rsidP="00181977">
            <w:pPr>
              <w:pStyle w:val="TableBody"/>
            </w:pPr>
            <w:r w:rsidRPr="00181977">
              <w:t xml:space="preserve">Stomatitis </w:t>
            </w:r>
          </w:p>
        </w:tc>
        <w:tc>
          <w:tcPr>
            <w:tcW w:w="2726" w:type="dxa"/>
          </w:tcPr>
          <w:p w14:paraId="21CEED36" w14:textId="77777777" w:rsidR="00A15276" w:rsidRPr="00181977" w:rsidRDefault="00A15276" w:rsidP="00181977">
            <w:pPr>
              <w:pStyle w:val="TableBody"/>
            </w:pPr>
            <w:r w:rsidRPr="00181977">
              <w:t xml:space="preserve">Very common </w:t>
            </w:r>
          </w:p>
        </w:tc>
      </w:tr>
      <w:tr w:rsidR="00A15276" w14:paraId="1D115AEA" w14:textId="77777777" w:rsidTr="00BA2AF8">
        <w:tc>
          <w:tcPr>
            <w:tcW w:w="3114" w:type="dxa"/>
            <w:vMerge/>
          </w:tcPr>
          <w:p w14:paraId="2AF7C0FB" w14:textId="77777777" w:rsidR="00A15276" w:rsidRPr="00181977" w:rsidRDefault="00A15276" w:rsidP="00181977">
            <w:pPr>
              <w:pStyle w:val="TableBody"/>
            </w:pPr>
          </w:p>
        </w:tc>
        <w:tc>
          <w:tcPr>
            <w:tcW w:w="3086" w:type="dxa"/>
          </w:tcPr>
          <w:p w14:paraId="7DB315E7" w14:textId="77777777" w:rsidR="00A15276" w:rsidRPr="00181977" w:rsidRDefault="00A15276" w:rsidP="00181977">
            <w:pPr>
              <w:pStyle w:val="TableBody"/>
            </w:pPr>
            <w:r w:rsidRPr="00181977">
              <w:t xml:space="preserve">Pancreatitis </w:t>
            </w:r>
          </w:p>
        </w:tc>
        <w:tc>
          <w:tcPr>
            <w:tcW w:w="2726" w:type="dxa"/>
          </w:tcPr>
          <w:p w14:paraId="5A5C2C03" w14:textId="77777777" w:rsidR="00A15276" w:rsidRPr="00181977" w:rsidRDefault="00A15276" w:rsidP="00181977">
            <w:pPr>
              <w:pStyle w:val="TableBody"/>
            </w:pPr>
            <w:r w:rsidRPr="00181977">
              <w:t xml:space="preserve">Very common </w:t>
            </w:r>
          </w:p>
        </w:tc>
      </w:tr>
      <w:tr w:rsidR="00A15276" w14:paraId="6B52838F" w14:textId="77777777" w:rsidTr="00BA2AF8">
        <w:tc>
          <w:tcPr>
            <w:tcW w:w="3114" w:type="dxa"/>
            <w:vMerge/>
          </w:tcPr>
          <w:p w14:paraId="3DD98518" w14:textId="77777777" w:rsidR="00A15276" w:rsidRPr="00181977" w:rsidRDefault="00A15276" w:rsidP="00181977">
            <w:pPr>
              <w:pStyle w:val="TableBody"/>
            </w:pPr>
          </w:p>
        </w:tc>
        <w:tc>
          <w:tcPr>
            <w:tcW w:w="3086" w:type="dxa"/>
          </w:tcPr>
          <w:p w14:paraId="5CD3CB80" w14:textId="77777777" w:rsidR="00A15276" w:rsidRPr="00181977" w:rsidRDefault="00A15276" w:rsidP="00181977">
            <w:pPr>
              <w:pStyle w:val="TableBody"/>
            </w:pPr>
            <w:r w:rsidRPr="00181977">
              <w:t xml:space="preserve">Constipation </w:t>
            </w:r>
          </w:p>
        </w:tc>
        <w:tc>
          <w:tcPr>
            <w:tcW w:w="2726" w:type="dxa"/>
          </w:tcPr>
          <w:p w14:paraId="4432C8EA" w14:textId="77777777" w:rsidR="00A15276" w:rsidRPr="00181977" w:rsidRDefault="00A15276" w:rsidP="00181977">
            <w:pPr>
              <w:pStyle w:val="TableBody"/>
            </w:pPr>
            <w:r w:rsidRPr="00181977">
              <w:t xml:space="preserve">Very common </w:t>
            </w:r>
          </w:p>
        </w:tc>
      </w:tr>
      <w:tr w:rsidR="00A15276" w14:paraId="2BD4B584" w14:textId="77777777" w:rsidTr="00BA2AF8">
        <w:tc>
          <w:tcPr>
            <w:tcW w:w="3114" w:type="dxa"/>
            <w:vMerge/>
          </w:tcPr>
          <w:p w14:paraId="578DFAE3" w14:textId="77777777" w:rsidR="00A15276" w:rsidRPr="00181977" w:rsidRDefault="00A15276" w:rsidP="00181977">
            <w:pPr>
              <w:pStyle w:val="TableBody"/>
            </w:pPr>
          </w:p>
        </w:tc>
        <w:tc>
          <w:tcPr>
            <w:tcW w:w="3086" w:type="dxa"/>
          </w:tcPr>
          <w:p w14:paraId="7CDEACB4" w14:textId="77777777" w:rsidR="00A15276" w:rsidRPr="00181977" w:rsidRDefault="00A15276" w:rsidP="00181977">
            <w:pPr>
              <w:pStyle w:val="TableBody"/>
            </w:pPr>
            <w:r w:rsidRPr="00181977">
              <w:t xml:space="preserve">Dyspepsia </w:t>
            </w:r>
          </w:p>
        </w:tc>
        <w:tc>
          <w:tcPr>
            <w:tcW w:w="2726" w:type="dxa"/>
          </w:tcPr>
          <w:p w14:paraId="05947838" w14:textId="77777777" w:rsidR="00A15276" w:rsidRPr="00181977" w:rsidRDefault="00A15276" w:rsidP="00181977">
            <w:pPr>
              <w:pStyle w:val="TableBody"/>
            </w:pPr>
            <w:r w:rsidRPr="00181977">
              <w:t xml:space="preserve">Very common </w:t>
            </w:r>
          </w:p>
        </w:tc>
      </w:tr>
      <w:tr w:rsidR="00A15276" w14:paraId="06B54731" w14:textId="77777777" w:rsidTr="00BA2AF8">
        <w:tc>
          <w:tcPr>
            <w:tcW w:w="3114" w:type="dxa"/>
            <w:vMerge/>
          </w:tcPr>
          <w:p w14:paraId="1A445322" w14:textId="77777777" w:rsidR="00A15276" w:rsidRPr="00181977" w:rsidRDefault="00A15276" w:rsidP="00181977">
            <w:pPr>
              <w:pStyle w:val="TableBody"/>
            </w:pPr>
          </w:p>
        </w:tc>
        <w:tc>
          <w:tcPr>
            <w:tcW w:w="3086" w:type="dxa"/>
          </w:tcPr>
          <w:p w14:paraId="4A361272" w14:textId="77777777" w:rsidR="00A15276" w:rsidRPr="00181977" w:rsidRDefault="00A15276" w:rsidP="00181977">
            <w:pPr>
              <w:pStyle w:val="TableBody"/>
            </w:pPr>
            <w:proofErr w:type="spellStart"/>
            <w:r w:rsidRPr="00181977">
              <w:t>Haemorrhoids</w:t>
            </w:r>
            <w:proofErr w:type="spellEnd"/>
            <w:r w:rsidRPr="00181977">
              <w:t xml:space="preserve"> </w:t>
            </w:r>
          </w:p>
        </w:tc>
        <w:tc>
          <w:tcPr>
            <w:tcW w:w="2726" w:type="dxa"/>
          </w:tcPr>
          <w:p w14:paraId="176E8A1D" w14:textId="77777777" w:rsidR="00A15276" w:rsidRPr="00181977" w:rsidRDefault="00A15276" w:rsidP="00181977">
            <w:pPr>
              <w:pStyle w:val="TableBody"/>
            </w:pPr>
            <w:r w:rsidRPr="00181977">
              <w:t xml:space="preserve">Common </w:t>
            </w:r>
          </w:p>
        </w:tc>
      </w:tr>
      <w:tr w:rsidR="00A15276" w14:paraId="3CBFA013" w14:textId="77777777" w:rsidTr="00BA2AF8">
        <w:tc>
          <w:tcPr>
            <w:tcW w:w="3114" w:type="dxa"/>
            <w:vMerge/>
          </w:tcPr>
          <w:p w14:paraId="7378CF4E" w14:textId="77777777" w:rsidR="00A15276" w:rsidRPr="00181977" w:rsidRDefault="00A15276" w:rsidP="00181977">
            <w:pPr>
              <w:pStyle w:val="TableBody"/>
            </w:pPr>
          </w:p>
        </w:tc>
        <w:tc>
          <w:tcPr>
            <w:tcW w:w="3086" w:type="dxa"/>
          </w:tcPr>
          <w:p w14:paraId="7CB5DF7D" w14:textId="77777777" w:rsidR="00A15276" w:rsidRPr="00181977" w:rsidRDefault="00A15276" w:rsidP="00181977">
            <w:pPr>
              <w:pStyle w:val="TableBody"/>
            </w:pPr>
            <w:r w:rsidRPr="00181977">
              <w:t xml:space="preserve">Dry mouth </w:t>
            </w:r>
          </w:p>
        </w:tc>
        <w:tc>
          <w:tcPr>
            <w:tcW w:w="2726" w:type="dxa"/>
          </w:tcPr>
          <w:p w14:paraId="684BBDDC" w14:textId="77777777" w:rsidR="00A15276" w:rsidRPr="00181977" w:rsidRDefault="00A15276" w:rsidP="00181977">
            <w:pPr>
              <w:pStyle w:val="TableBody"/>
            </w:pPr>
            <w:r w:rsidRPr="00181977">
              <w:t xml:space="preserve">Common </w:t>
            </w:r>
          </w:p>
        </w:tc>
      </w:tr>
      <w:tr w:rsidR="00A15276" w14:paraId="29CEF2A9" w14:textId="77777777" w:rsidTr="00BA2AF8">
        <w:tc>
          <w:tcPr>
            <w:tcW w:w="3114" w:type="dxa"/>
            <w:vMerge w:val="restart"/>
          </w:tcPr>
          <w:p w14:paraId="1E6CDC1C" w14:textId="77777777" w:rsidR="00A15276" w:rsidRPr="00181977" w:rsidRDefault="00A15276" w:rsidP="00181977">
            <w:pPr>
              <w:pStyle w:val="TableBody"/>
            </w:pPr>
            <w:r w:rsidRPr="00181977">
              <w:t xml:space="preserve">Hepatobiliary disorders </w:t>
            </w:r>
          </w:p>
        </w:tc>
        <w:tc>
          <w:tcPr>
            <w:tcW w:w="3086" w:type="dxa"/>
          </w:tcPr>
          <w:p w14:paraId="5144E487" w14:textId="77777777" w:rsidR="00A15276" w:rsidRPr="00181977" w:rsidRDefault="00A15276" w:rsidP="00181977">
            <w:pPr>
              <w:pStyle w:val="TableBody"/>
            </w:pPr>
            <w:r w:rsidRPr="00181977">
              <w:t xml:space="preserve">Hepatocellular Injury </w:t>
            </w:r>
          </w:p>
        </w:tc>
        <w:tc>
          <w:tcPr>
            <w:tcW w:w="2726" w:type="dxa"/>
          </w:tcPr>
          <w:p w14:paraId="5AFFFE63" w14:textId="77777777" w:rsidR="00A15276" w:rsidRPr="00181977" w:rsidRDefault="00A15276" w:rsidP="00181977">
            <w:pPr>
              <w:pStyle w:val="TableBody"/>
            </w:pPr>
            <w:r w:rsidRPr="00181977">
              <w:t xml:space="preserve">Common </w:t>
            </w:r>
          </w:p>
        </w:tc>
      </w:tr>
      <w:tr w:rsidR="00A15276" w14:paraId="618D9F62" w14:textId="77777777" w:rsidTr="00BA2AF8">
        <w:tc>
          <w:tcPr>
            <w:tcW w:w="3114" w:type="dxa"/>
            <w:vMerge/>
          </w:tcPr>
          <w:p w14:paraId="033FF6F2" w14:textId="77777777" w:rsidR="00A15276" w:rsidRPr="00181977" w:rsidRDefault="00A15276" w:rsidP="00181977">
            <w:pPr>
              <w:pStyle w:val="TableBody"/>
            </w:pPr>
          </w:p>
        </w:tc>
        <w:tc>
          <w:tcPr>
            <w:tcW w:w="3086" w:type="dxa"/>
          </w:tcPr>
          <w:p w14:paraId="47F14235" w14:textId="77777777" w:rsidR="00A15276" w:rsidRPr="00181977" w:rsidRDefault="00A15276" w:rsidP="00181977">
            <w:pPr>
              <w:pStyle w:val="TableBody"/>
            </w:pPr>
            <w:r w:rsidRPr="00181977">
              <w:t xml:space="preserve">Hepatitis </w:t>
            </w:r>
          </w:p>
        </w:tc>
        <w:tc>
          <w:tcPr>
            <w:tcW w:w="2726" w:type="dxa"/>
          </w:tcPr>
          <w:p w14:paraId="0D85D01D" w14:textId="77777777" w:rsidR="00A15276" w:rsidRPr="00181977" w:rsidRDefault="00A15276" w:rsidP="00181977">
            <w:pPr>
              <w:pStyle w:val="TableBody"/>
            </w:pPr>
            <w:r w:rsidRPr="00181977">
              <w:t xml:space="preserve">Common </w:t>
            </w:r>
          </w:p>
        </w:tc>
      </w:tr>
      <w:tr w:rsidR="00A15276" w14:paraId="32DBBDC1" w14:textId="77777777" w:rsidTr="00BA2AF8">
        <w:tc>
          <w:tcPr>
            <w:tcW w:w="3114" w:type="dxa"/>
            <w:vMerge/>
          </w:tcPr>
          <w:p w14:paraId="11284AF2" w14:textId="77777777" w:rsidR="00A15276" w:rsidRPr="00181977" w:rsidRDefault="00A15276" w:rsidP="00181977">
            <w:pPr>
              <w:pStyle w:val="TableBody"/>
            </w:pPr>
          </w:p>
        </w:tc>
        <w:tc>
          <w:tcPr>
            <w:tcW w:w="3086" w:type="dxa"/>
          </w:tcPr>
          <w:p w14:paraId="51CFDF4F" w14:textId="77777777" w:rsidR="00A15276" w:rsidRPr="00181977" w:rsidRDefault="00A15276" w:rsidP="00181977">
            <w:pPr>
              <w:pStyle w:val="TableBody"/>
            </w:pPr>
            <w:r w:rsidRPr="00181977">
              <w:t xml:space="preserve">Liver Tenderness </w:t>
            </w:r>
          </w:p>
        </w:tc>
        <w:tc>
          <w:tcPr>
            <w:tcW w:w="2726" w:type="dxa"/>
          </w:tcPr>
          <w:p w14:paraId="2EB6B8C9" w14:textId="77777777" w:rsidR="00A15276" w:rsidRPr="00181977" w:rsidRDefault="00A15276" w:rsidP="00181977">
            <w:pPr>
              <w:pStyle w:val="TableBody"/>
            </w:pPr>
            <w:r w:rsidRPr="00181977">
              <w:t xml:space="preserve">Common </w:t>
            </w:r>
          </w:p>
        </w:tc>
      </w:tr>
      <w:tr w:rsidR="00A15276" w14:paraId="261BCF37" w14:textId="77777777" w:rsidTr="00BA2AF8">
        <w:tc>
          <w:tcPr>
            <w:tcW w:w="3114" w:type="dxa"/>
            <w:vMerge/>
          </w:tcPr>
          <w:p w14:paraId="330B5A93" w14:textId="77777777" w:rsidR="00A15276" w:rsidRPr="00181977" w:rsidRDefault="00A15276" w:rsidP="00181977">
            <w:pPr>
              <w:pStyle w:val="TableBody"/>
            </w:pPr>
          </w:p>
        </w:tc>
        <w:tc>
          <w:tcPr>
            <w:tcW w:w="3086" w:type="dxa"/>
          </w:tcPr>
          <w:p w14:paraId="559E7B7D" w14:textId="77777777" w:rsidR="00A15276" w:rsidRPr="00181977" w:rsidRDefault="00A15276" w:rsidP="00181977">
            <w:pPr>
              <w:pStyle w:val="TableBody"/>
            </w:pPr>
            <w:r w:rsidRPr="00181977">
              <w:t xml:space="preserve">Jaundice </w:t>
            </w:r>
          </w:p>
        </w:tc>
        <w:tc>
          <w:tcPr>
            <w:tcW w:w="2726" w:type="dxa"/>
          </w:tcPr>
          <w:p w14:paraId="3BF44C31" w14:textId="77777777" w:rsidR="00A15276" w:rsidRPr="00181977" w:rsidRDefault="00A15276" w:rsidP="00181977">
            <w:pPr>
              <w:pStyle w:val="TableBody"/>
            </w:pPr>
            <w:r w:rsidRPr="00181977">
              <w:t xml:space="preserve">Rare </w:t>
            </w:r>
          </w:p>
        </w:tc>
      </w:tr>
      <w:tr w:rsidR="00A15276" w14:paraId="5E75D869" w14:textId="77777777" w:rsidTr="00BA2AF8">
        <w:tc>
          <w:tcPr>
            <w:tcW w:w="3114" w:type="dxa"/>
            <w:vMerge/>
          </w:tcPr>
          <w:p w14:paraId="13E93B8A" w14:textId="77777777" w:rsidR="00A15276" w:rsidRPr="00181977" w:rsidRDefault="00A15276" w:rsidP="00181977">
            <w:pPr>
              <w:pStyle w:val="TableBody"/>
            </w:pPr>
          </w:p>
        </w:tc>
        <w:tc>
          <w:tcPr>
            <w:tcW w:w="3086" w:type="dxa"/>
          </w:tcPr>
          <w:p w14:paraId="759DC657" w14:textId="77777777" w:rsidR="00A15276" w:rsidRPr="00181977" w:rsidRDefault="00A15276" w:rsidP="00181977">
            <w:pPr>
              <w:pStyle w:val="TableBody"/>
            </w:pPr>
            <w:r w:rsidRPr="00181977">
              <w:t xml:space="preserve">Hepatic Failure </w:t>
            </w:r>
          </w:p>
        </w:tc>
        <w:tc>
          <w:tcPr>
            <w:tcW w:w="2726" w:type="dxa"/>
          </w:tcPr>
          <w:p w14:paraId="40CEF410" w14:textId="77777777" w:rsidR="00A15276" w:rsidRPr="00181977" w:rsidRDefault="00A15276" w:rsidP="00181977">
            <w:pPr>
              <w:pStyle w:val="TableBody"/>
            </w:pPr>
            <w:r w:rsidRPr="00181977">
              <w:t xml:space="preserve">Not known </w:t>
            </w:r>
          </w:p>
        </w:tc>
      </w:tr>
      <w:tr w:rsidR="00A15276" w14:paraId="3B4D29B0" w14:textId="77777777" w:rsidTr="00BA2AF8">
        <w:tc>
          <w:tcPr>
            <w:tcW w:w="3114" w:type="dxa"/>
            <w:vMerge w:val="restart"/>
          </w:tcPr>
          <w:p w14:paraId="69FC22BD" w14:textId="77777777" w:rsidR="00A15276" w:rsidRPr="00181977" w:rsidRDefault="00A15276" w:rsidP="00181977">
            <w:pPr>
              <w:pStyle w:val="TableBody"/>
            </w:pPr>
            <w:r w:rsidRPr="00181977">
              <w:t xml:space="preserve">Skin and subcutaneous disorders </w:t>
            </w:r>
          </w:p>
        </w:tc>
        <w:tc>
          <w:tcPr>
            <w:tcW w:w="3086" w:type="dxa"/>
          </w:tcPr>
          <w:p w14:paraId="08CD8A66" w14:textId="77777777" w:rsidR="00A15276" w:rsidRPr="00181977" w:rsidRDefault="00A15276" w:rsidP="00181977">
            <w:pPr>
              <w:pStyle w:val="TableBody"/>
            </w:pPr>
            <w:r w:rsidRPr="00181977">
              <w:t xml:space="preserve">Erythema </w:t>
            </w:r>
          </w:p>
        </w:tc>
        <w:tc>
          <w:tcPr>
            <w:tcW w:w="2726" w:type="dxa"/>
          </w:tcPr>
          <w:p w14:paraId="50432772" w14:textId="77777777" w:rsidR="00A15276" w:rsidRPr="00181977" w:rsidRDefault="00A15276" w:rsidP="00181977">
            <w:pPr>
              <w:pStyle w:val="TableBody"/>
            </w:pPr>
            <w:r w:rsidRPr="00181977">
              <w:t xml:space="preserve">Very common </w:t>
            </w:r>
          </w:p>
        </w:tc>
      </w:tr>
      <w:tr w:rsidR="00A15276" w14:paraId="65E432C6" w14:textId="77777777" w:rsidTr="00BA2AF8">
        <w:tc>
          <w:tcPr>
            <w:tcW w:w="3114" w:type="dxa"/>
            <w:vMerge/>
          </w:tcPr>
          <w:p w14:paraId="1A4526A6" w14:textId="77777777" w:rsidR="00A15276" w:rsidRPr="00181977" w:rsidRDefault="00A15276" w:rsidP="00181977">
            <w:pPr>
              <w:pStyle w:val="TableBody"/>
            </w:pPr>
          </w:p>
        </w:tc>
        <w:tc>
          <w:tcPr>
            <w:tcW w:w="3086" w:type="dxa"/>
          </w:tcPr>
          <w:p w14:paraId="69E85C62" w14:textId="77777777" w:rsidR="00A15276" w:rsidRPr="00181977" w:rsidRDefault="00A15276" w:rsidP="00181977">
            <w:pPr>
              <w:pStyle w:val="TableBody"/>
            </w:pPr>
            <w:r w:rsidRPr="00181977">
              <w:t xml:space="preserve">Rash </w:t>
            </w:r>
          </w:p>
        </w:tc>
        <w:tc>
          <w:tcPr>
            <w:tcW w:w="2726" w:type="dxa"/>
          </w:tcPr>
          <w:p w14:paraId="122D10A5" w14:textId="77777777" w:rsidR="00A15276" w:rsidRPr="00181977" w:rsidRDefault="00A15276" w:rsidP="00181977">
            <w:pPr>
              <w:pStyle w:val="TableBody"/>
            </w:pPr>
            <w:r w:rsidRPr="00181977">
              <w:t xml:space="preserve">Very common </w:t>
            </w:r>
          </w:p>
        </w:tc>
      </w:tr>
      <w:tr w:rsidR="00A15276" w14:paraId="620BE986" w14:textId="77777777" w:rsidTr="00BA2AF8">
        <w:tc>
          <w:tcPr>
            <w:tcW w:w="3114" w:type="dxa"/>
            <w:vMerge/>
          </w:tcPr>
          <w:p w14:paraId="7E7CD5E7" w14:textId="77777777" w:rsidR="00A15276" w:rsidRPr="00181977" w:rsidRDefault="00A15276" w:rsidP="00181977">
            <w:pPr>
              <w:pStyle w:val="TableBody"/>
            </w:pPr>
          </w:p>
        </w:tc>
        <w:tc>
          <w:tcPr>
            <w:tcW w:w="3086" w:type="dxa"/>
          </w:tcPr>
          <w:p w14:paraId="1627086A" w14:textId="77777777" w:rsidR="00A15276" w:rsidRPr="00181977" w:rsidRDefault="00A15276" w:rsidP="00181977">
            <w:pPr>
              <w:pStyle w:val="TableBody"/>
            </w:pPr>
            <w:r w:rsidRPr="00181977">
              <w:t>Swelling face</w:t>
            </w:r>
            <w:r w:rsidRPr="005B34B2">
              <w:rPr>
                <w:vertAlign w:val="superscript"/>
              </w:rPr>
              <w:t>3</w:t>
            </w:r>
            <w:r w:rsidRPr="00181977">
              <w:t xml:space="preserve"> </w:t>
            </w:r>
          </w:p>
        </w:tc>
        <w:tc>
          <w:tcPr>
            <w:tcW w:w="2726" w:type="dxa"/>
          </w:tcPr>
          <w:p w14:paraId="727A89F8" w14:textId="77777777" w:rsidR="00A15276" w:rsidRPr="00181977" w:rsidRDefault="00A15276" w:rsidP="00181977">
            <w:pPr>
              <w:pStyle w:val="TableBody"/>
            </w:pPr>
            <w:r w:rsidRPr="00181977">
              <w:t xml:space="preserve">Very common </w:t>
            </w:r>
          </w:p>
        </w:tc>
      </w:tr>
      <w:tr w:rsidR="00A15276" w14:paraId="3117D88E" w14:textId="77777777" w:rsidTr="00BA2AF8">
        <w:tc>
          <w:tcPr>
            <w:tcW w:w="3114" w:type="dxa"/>
            <w:vMerge/>
          </w:tcPr>
          <w:p w14:paraId="7E0AB263" w14:textId="77777777" w:rsidR="00A15276" w:rsidRPr="00181977" w:rsidRDefault="00A15276" w:rsidP="00181977">
            <w:pPr>
              <w:pStyle w:val="TableBody"/>
            </w:pPr>
          </w:p>
        </w:tc>
        <w:tc>
          <w:tcPr>
            <w:tcW w:w="3086" w:type="dxa"/>
          </w:tcPr>
          <w:p w14:paraId="7B6A71B4" w14:textId="77777777" w:rsidR="00A15276" w:rsidRPr="00181977" w:rsidRDefault="00A15276" w:rsidP="00181977">
            <w:pPr>
              <w:pStyle w:val="TableBody"/>
            </w:pPr>
            <w:r w:rsidRPr="00181977">
              <w:t xml:space="preserve">Palmar-plantar </w:t>
            </w:r>
            <w:proofErr w:type="spellStart"/>
            <w:r w:rsidRPr="00181977">
              <w:t>erythrodysaesthesia</w:t>
            </w:r>
            <w:proofErr w:type="spellEnd"/>
            <w:r w:rsidRPr="00181977">
              <w:t xml:space="preserve"> syndrome </w:t>
            </w:r>
          </w:p>
        </w:tc>
        <w:tc>
          <w:tcPr>
            <w:tcW w:w="2726" w:type="dxa"/>
          </w:tcPr>
          <w:p w14:paraId="3D98FC67" w14:textId="77777777" w:rsidR="00A15276" w:rsidRPr="00181977" w:rsidRDefault="00A15276" w:rsidP="00181977">
            <w:pPr>
              <w:pStyle w:val="TableBody"/>
            </w:pPr>
            <w:r w:rsidRPr="00181977">
              <w:t xml:space="preserve">Very common </w:t>
            </w:r>
          </w:p>
        </w:tc>
      </w:tr>
      <w:tr w:rsidR="00A15276" w14:paraId="687EDBAF" w14:textId="77777777" w:rsidTr="00BA2AF8">
        <w:tc>
          <w:tcPr>
            <w:tcW w:w="3114" w:type="dxa"/>
            <w:vMerge/>
          </w:tcPr>
          <w:p w14:paraId="7ADB90F4" w14:textId="77777777" w:rsidR="00A15276" w:rsidRPr="00181977" w:rsidRDefault="00A15276" w:rsidP="00181977">
            <w:pPr>
              <w:pStyle w:val="TableBody"/>
            </w:pPr>
          </w:p>
        </w:tc>
        <w:tc>
          <w:tcPr>
            <w:tcW w:w="3086" w:type="dxa"/>
          </w:tcPr>
          <w:p w14:paraId="5454EAE2" w14:textId="77777777" w:rsidR="00A15276" w:rsidRPr="00181977" w:rsidRDefault="00A15276" w:rsidP="00181977">
            <w:pPr>
              <w:pStyle w:val="TableBody"/>
            </w:pPr>
            <w:r w:rsidRPr="00181977">
              <w:t xml:space="preserve">Nail disorder </w:t>
            </w:r>
          </w:p>
        </w:tc>
        <w:tc>
          <w:tcPr>
            <w:tcW w:w="2726" w:type="dxa"/>
          </w:tcPr>
          <w:p w14:paraId="58C3BEE2" w14:textId="77777777" w:rsidR="00A15276" w:rsidRPr="00181977" w:rsidRDefault="00A15276" w:rsidP="00181977">
            <w:pPr>
              <w:pStyle w:val="TableBody"/>
            </w:pPr>
            <w:r w:rsidRPr="00181977">
              <w:t xml:space="preserve">Very common </w:t>
            </w:r>
          </w:p>
        </w:tc>
      </w:tr>
      <w:tr w:rsidR="00A15276" w14:paraId="044754F2" w14:textId="77777777" w:rsidTr="00BA2AF8">
        <w:tc>
          <w:tcPr>
            <w:tcW w:w="3114" w:type="dxa"/>
            <w:vMerge/>
          </w:tcPr>
          <w:p w14:paraId="65BEC4E1" w14:textId="77777777" w:rsidR="00A15276" w:rsidRPr="00181977" w:rsidRDefault="00A15276" w:rsidP="00181977">
            <w:pPr>
              <w:pStyle w:val="TableBody"/>
            </w:pPr>
          </w:p>
        </w:tc>
        <w:tc>
          <w:tcPr>
            <w:tcW w:w="3086" w:type="dxa"/>
          </w:tcPr>
          <w:p w14:paraId="6293D2B0" w14:textId="77777777" w:rsidR="00A15276" w:rsidRPr="00181977" w:rsidRDefault="00A15276" w:rsidP="00181977">
            <w:pPr>
              <w:pStyle w:val="TableBody"/>
            </w:pPr>
            <w:r w:rsidRPr="00181977">
              <w:t xml:space="preserve">Alopecia </w:t>
            </w:r>
          </w:p>
        </w:tc>
        <w:tc>
          <w:tcPr>
            <w:tcW w:w="2726" w:type="dxa"/>
          </w:tcPr>
          <w:p w14:paraId="5C0699CE" w14:textId="77777777" w:rsidR="00A15276" w:rsidRPr="00181977" w:rsidRDefault="00A15276" w:rsidP="00181977">
            <w:pPr>
              <w:pStyle w:val="TableBody"/>
            </w:pPr>
            <w:r w:rsidRPr="00181977">
              <w:t xml:space="preserve">Very common </w:t>
            </w:r>
          </w:p>
        </w:tc>
      </w:tr>
      <w:tr w:rsidR="00A15276" w14:paraId="15DCEECE" w14:textId="77777777" w:rsidTr="00BA2AF8">
        <w:tc>
          <w:tcPr>
            <w:tcW w:w="3114" w:type="dxa"/>
            <w:vMerge/>
          </w:tcPr>
          <w:p w14:paraId="3F928AFA" w14:textId="77777777" w:rsidR="00A15276" w:rsidRPr="00181977" w:rsidRDefault="00A15276" w:rsidP="00181977">
            <w:pPr>
              <w:pStyle w:val="TableBody"/>
            </w:pPr>
          </w:p>
        </w:tc>
        <w:tc>
          <w:tcPr>
            <w:tcW w:w="3086" w:type="dxa"/>
          </w:tcPr>
          <w:p w14:paraId="73EA6219" w14:textId="77777777" w:rsidR="00A15276" w:rsidRPr="00181977" w:rsidRDefault="00A15276" w:rsidP="00181977">
            <w:pPr>
              <w:pStyle w:val="TableBody"/>
            </w:pPr>
            <w:r w:rsidRPr="00181977">
              <w:t xml:space="preserve">Dry skin </w:t>
            </w:r>
          </w:p>
        </w:tc>
        <w:tc>
          <w:tcPr>
            <w:tcW w:w="2726" w:type="dxa"/>
          </w:tcPr>
          <w:p w14:paraId="01C24BA7" w14:textId="77777777" w:rsidR="00A15276" w:rsidRPr="00181977" w:rsidRDefault="00A15276" w:rsidP="00181977">
            <w:pPr>
              <w:pStyle w:val="TableBody"/>
            </w:pPr>
            <w:r w:rsidRPr="00181977">
              <w:t xml:space="preserve">Common </w:t>
            </w:r>
          </w:p>
        </w:tc>
      </w:tr>
      <w:tr w:rsidR="00A15276" w14:paraId="3CD67C6B" w14:textId="77777777" w:rsidTr="00BA2AF8">
        <w:tc>
          <w:tcPr>
            <w:tcW w:w="3114" w:type="dxa"/>
            <w:vMerge/>
          </w:tcPr>
          <w:p w14:paraId="57C223F6" w14:textId="77777777" w:rsidR="00A15276" w:rsidRPr="00181977" w:rsidRDefault="00A15276" w:rsidP="00181977">
            <w:pPr>
              <w:pStyle w:val="TableBody"/>
            </w:pPr>
          </w:p>
        </w:tc>
        <w:tc>
          <w:tcPr>
            <w:tcW w:w="3086" w:type="dxa"/>
          </w:tcPr>
          <w:p w14:paraId="4DEA7E04" w14:textId="77777777" w:rsidR="00A15276" w:rsidRPr="00181977" w:rsidRDefault="00A15276" w:rsidP="00181977">
            <w:pPr>
              <w:pStyle w:val="TableBody"/>
            </w:pPr>
            <w:r w:rsidRPr="00181977">
              <w:t xml:space="preserve">Ecchymosis </w:t>
            </w:r>
          </w:p>
        </w:tc>
        <w:tc>
          <w:tcPr>
            <w:tcW w:w="2726" w:type="dxa"/>
          </w:tcPr>
          <w:p w14:paraId="37F13DA4" w14:textId="77777777" w:rsidR="00A15276" w:rsidRPr="00181977" w:rsidRDefault="00A15276" w:rsidP="00181977">
            <w:pPr>
              <w:pStyle w:val="TableBody"/>
            </w:pPr>
            <w:r w:rsidRPr="00181977">
              <w:t xml:space="preserve">Common </w:t>
            </w:r>
          </w:p>
        </w:tc>
      </w:tr>
      <w:tr w:rsidR="00A15276" w14:paraId="30E63C03" w14:textId="77777777" w:rsidTr="00BA2AF8">
        <w:tc>
          <w:tcPr>
            <w:tcW w:w="3114" w:type="dxa"/>
            <w:vMerge/>
          </w:tcPr>
          <w:p w14:paraId="0B6FE56C" w14:textId="77777777" w:rsidR="00A15276" w:rsidRPr="00181977" w:rsidRDefault="00A15276" w:rsidP="00181977">
            <w:pPr>
              <w:pStyle w:val="TableBody"/>
            </w:pPr>
          </w:p>
        </w:tc>
        <w:tc>
          <w:tcPr>
            <w:tcW w:w="3086" w:type="dxa"/>
          </w:tcPr>
          <w:p w14:paraId="5EC11DD3" w14:textId="77777777" w:rsidR="00A15276" w:rsidRPr="00181977" w:rsidRDefault="00A15276" w:rsidP="00181977">
            <w:pPr>
              <w:pStyle w:val="TableBody"/>
            </w:pPr>
            <w:proofErr w:type="spellStart"/>
            <w:r w:rsidRPr="00181977">
              <w:t>Hyperhydrosis</w:t>
            </w:r>
            <w:proofErr w:type="spellEnd"/>
            <w:r w:rsidRPr="00181977">
              <w:t xml:space="preserve"> </w:t>
            </w:r>
          </w:p>
        </w:tc>
        <w:tc>
          <w:tcPr>
            <w:tcW w:w="2726" w:type="dxa"/>
          </w:tcPr>
          <w:p w14:paraId="31A20D55" w14:textId="77777777" w:rsidR="00A15276" w:rsidRPr="00181977" w:rsidRDefault="00A15276" w:rsidP="00181977">
            <w:pPr>
              <w:pStyle w:val="TableBody"/>
            </w:pPr>
            <w:r w:rsidRPr="00181977">
              <w:t xml:space="preserve">Common </w:t>
            </w:r>
          </w:p>
        </w:tc>
      </w:tr>
      <w:tr w:rsidR="00A15276" w14:paraId="7A3129DE" w14:textId="77777777" w:rsidTr="00BA2AF8">
        <w:tc>
          <w:tcPr>
            <w:tcW w:w="3114" w:type="dxa"/>
            <w:vMerge/>
          </w:tcPr>
          <w:p w14:paraId="0B991988" w14:textId="77777777" w:rsidR="00A15276" w:rsidRPr="00181977" w:rsidRDefault="00A15276" w:rsidP="00181977">
            <w:pPr>
              <w:pStyle w:val="TableBody"/>
            </w:pPr>
          </w:p>
        </w:tc>
        <w:tc>
          <w:tcPr>
            <w:tcW w:w="3086" w:type="dxa"/>
          </w:tcPr>
          <w:p w14:paraId="0B75331A" w14:textId="77777777" w:rsidR="00A15276" w:rsidRPr="00181977" w:rsidRDefault="00A15276" w:rsidP="00181977">
            <w:pPr>
              <w:pStyle w:val="TableBody"/>
            </w:pPr>
            <w:r w:rsidRPr="00181977">
              <w:t xml:space="preserve">Maculopapular rash </w:t>
            </w:r>
          </w:p>
        </w:tc>
        <w:tc>
          <w:tcPr>
            <w:tcW w:w="2726" w:type="dxa"/>
          </w:tcPr>
          <w:p w14:paraId="2A3624DE" w14:textId="77777777" w:rsidR="00A15276" w:rsidRPr="00181977" w:rsidRDefault="00A15276" w:rsidP="00181977">
            <w:pPr>
              <w:pStyle w:val="TableBody"/>
            </w:pPr>
            <w:r w:rsidRPr="00181977">
              <w:t xml:space="preserve">Common </w:t>
            </w:r>
          </w:p>
        </w:tc>
      </w:tr>
      <w:tr w:rsidR="00A15276" w14:paraId="67F47C34" w14:textId="77777777" w:rsidTr="00BA2AF8">
        <w:tc>
          <w:tcPr>
            <w:tcW w:w="3114" w:type="dxa"/>
            <w:vMerge/>
          </w:tcPr>
          <w:p w14:paraId="4B2025F4" w14:textId="77777777" w:rsidR="00A15276" w:rsidRPr="00181977" w:rsidRDefault="00A15276" w:rsidP="00181977">
            <w:pPr>
              <w:pStyle w:val="TableBody"/>
            </w:pPr>
          </w:p>
        </w:tc>
        <w:tc>
          <w:tcPr>
            <w:tcW w:w="3086" w:type="dxa"/>
          </w:tcPr>
          <w:p w14:paraId="2B5CE8AB" w14:textId="77777777" w:rsidR="00A15276" w:rsidRPr="00181977" w:rsidRDefault="00A15276" w:rsidP="00181977">
            <w:pPr>
              <w:pStyle w:val="TableBody"/>
            </w:pPr>
            <w:r w:rsidRPr="00181977">
              <w:t xml:space="preserve">Acne </w:t>
            </w:r>
          </w:p>
        </w:tc>
        <w:tc>
          <w:tcPr>
            <w:tcW w:w="2726" w:type="dxa"/>
          </w:tcPr>
          <w:p w14:paraId="2656B899" w14:textId="77777777" w:rsidR="00A15276" w:rsidRPr="00181977" w:rsidRDefault="00A15276" w:rsidP="00181977">
            <w:pPr>
              <w:pStyle w:val="TableBody"/>
            </w:pPr>
            <w:r w:rsidRPr="00181977">
              <w:t xml:space="preserve">Common </w:t>
            </w:r>
          </w:p>
        </w:tc>
      </w:tr>
      <w:tr w:rsidR="00A15276" w14:paraId="03638272" w14:textId="77777777" w:rsidTr="00BA2AF8">
        <w:tc>
          <w:tcPr>
            <w:tcW w:w="3114" w:type="dxa"/>
            <w:vMerge/>
          </w:tcPr>
          <w:p w14:paraId="294DC0B1" w14:textId="77777777" w:rsidR="00A15276" w:rsidRPr="00181977" w:rsidRDefault="00A15276" w:rsidP="00181977">
            <w:pPr>
              <w:pStyle w:val="TableBody"/>
            </w:pPr>
          </w:p>
        </w:tc>
        <w:tc>
          <w:tcPr>
            <w:tcW w:w="3086" w:type="dxa"/>
          </w:tcPr>
          <w:p w14:paraId="26E60C10" w14:textId="77777777" w:rsidR="00A15276" w:rsidRPr="00181977" w:rsidRDefault="00A15276" w:rsidP="00181977">
            <w:pPr>
              <w:pStyle w:val="TableBody"/>
            </w:pPr>
            <w:proofErr w:type="spellStart"/>
            <w:r w:rsidRPr="00181977">
              <w:t>Onychoclasis</w:t>
            </w:r>
            <w:proofErr w:type="spellEnd"/>
            <w:r w:rsidRPr="00181977">
              <w:t xml:space="preserve"> </w:t>
            </w:r>
          </w:p>
        </w:tc>
        <w:tc>
          <w:tcPr>
            <w:tcW w:w="2726" w:type="dxa"/>
          </w:tcPr>
          <w:p w14:paraId="62697968" w14:textId="77777777" w:rsidR="00A15276" w:rsidRPr="00181977" w:rsidRDefault="00A15276" w:rsidP="00181977">
            <w:pPr>
              <w:pStyle w:val="TableBody"/>
            </w:pPr>
            <w:r w:rsidRPr="00181977">
              <w:t xml:space="preserve">Common </w:t>
            </w:r>
          </w:p>
        </w:tc>
      </w:tr>
      <w:tr w:rsidR="00A15276" w14:paraId="7B644283" w14:textId="77777777" w:rsidTr="00BA2AF8">
        <w:tc>
          <w:tcPr>
            <w:tcW w:w="3114" w:type="dxa"/>
            <w:vMerge/>
          </w:tcPr>
          <w:p w14:paraId="1B9005F7" w14:textId="77777777" w:rsidR="00A15276" w:rsidRPr="00181977" w:rsidRDefault="00A15276" w:rsidP="00181977">
            <w:pPr>
              <w:pStyle w:val="TableBody"/>
            </w:pPr>
          </w:p>
        </w:tc>
        <w:tc>
          <w:tcPr>
            <w:tcW w:w="3086" w:type="dxa"/>
          </w:tcPr>
          <w:p w14:paraId="7F419132" w14:textId="77777777" w:rsidR="00A15276" w:rsidRPr="00181977" w:rsidRDefault="00A15276" w:rsidP="00181977">
            <w:pPr>
              <w:pStyle w:val="TableBody"/>
            </w:pPr>
            <w:r w:rsidRPr="00181977">
              <w:t xml:space="preserve">Pruritus </w:t>
            </w:r>
          </w:p>
        </w:tc>
        <w:tc>
          <w:tcPr>
            <w:tcW w:w="2726" w:type="dxa"/>
          </w:tcPr>
          <w:p w14:paraId="116C1B69" w14:textId="77777777" w:rsidR="00A15276" w:rsidRPr="00181977" w:rsidRDefault="00A15276" w:rsidP="00181977">
            <w:pPr>
              <w:pStyle w:val="TableBody"/>
            </w:pPr>
            <w:r w:rsidRPr="00181977">
              <w:t xml:space="preserve">Common </w:t>
            </w:r>
          </w:p>
        </w:tc>
      </w:tr>
      <w:tr w:rsidR="00A15276" w14:paraId="72F5FA9F" w14:textId="77777777" w:rsidTr="00BA2AF8">
        <w:tc>
          <w:tcPr>
            <w:tcW w:w="3114" w:type="dxa"/>
            <w:vMerge/>
          </w:tcPr>
          <w:p w14:paraId="5058A4B5" w14:textId="77777777" w:rsidR="00A15276" w:rsidRPr="00181977" w:rsidRDefault="00A15276" w:rsidP="00181977">
            <w:pPr>
              <w:pStyle w:val="TableBody"/>
            </w:pPr>
          </w:p>
        </w:tc>
        <w:tc>
          <w:tcPr>
            <w:tcW w:w="3086" w:type="dxa"/>
          </w:tcPr>
          <w:p w14:paraId="73B39D2D" w14:textId="77777777" w:rsidR="00A15276" w:rsidRPr="00181977" w:rsidRDefault="00A15276" w:rsidP="00181977">
            <w:pPr>
              <w:pStyle w:val="TableBody"/>
            </w:pPr>
            <w:r w:rsidRPr="00181977">
              <w:t xml:space="preserve">Dermatitis </w:t>
            </w:r>
          </w:p>
        </w:tc>
        <w:tc>
          <w:tcPr>
            <w:tcW w:w="2726" w:type="dxa"/>
          </w:tcPr>
          <w:p w14:paraId="4CA1B6FE" w14:textId="77777777" w:rsidR="00A15276" w:rsidRPr="00181977" w:rsidRDefault="00A15276" w:rsidP="00181977">
            <w:pPr>
              <w:pStyle w:val="TableBody"/>
            </w:pPr>
            <w:r w:rsidRPr="00181977">
              <w:t xml:space="preserve">Common </w:t>
            </w:r>
          </w:p>
        </w:tc>
      </w:tr>
      <w:tr w:rsidR="00A15276" w14:paraId="7609FEBC" w14:textId="77777777" w:rsidTr="00BA2AF8">
        <w:tc>
          <w:tcPr>
            <w:tcW w:w="3114" w:type="dxa"/>
            <w:vMerge/>
          </w:tcPr>
          <w:p w14:paraId="619CA97C" w14:textId="77777777" w:rsidR="00A15276" w:rsidRPr="00181977" w:rsidRDefault="00A15276" w:rsidP="00181977">
            <w:pPr>
              <w:pStyle w:val="TableBody"/>
            </w:pPr>
          </w:p>
        </w:tc>
        <w:tc>
          <w:tcPr>
            <w:tcW w:w="3086" w:type="dxa"/>
          </w:tcPr>
          <w:p w14:paraId="521EE079" w14:textId="77777777" w:rsidR="00A15276" w:rsidRPr="00181977" w:rsidRDefault="00A15276" w:rsidP="00181977">
            <w:pPr>
              <w:pStyle w:val="TableBody"/>
            </w:pPr>
            <w:proofErr w:type="spellStart"/>
            <w:r w:rsidRPr="00181977">
              <w:t>Urticaria</w:t>
            </w:r>
            <w:proofErr w:type="spellEnd"/>
            <w:r w:rsidRPr="00181977">
              <w:t xml:space="preserve"> </w:t>
            </w:r>
          </w:p>
        </w:tc>
        <w:tc>
          <w:tcPr>
            <w:tcW w:w="2726" w:type="dxa"/>
          </w:tcPr>
          <w:p w14:paraId="0596676A" w14:textId="77777777" w:rsidR="00A15276" w:rsidRPr="00181977" w:rsidRDefault="00A15276" w:rsidP="00181977">
            <w:pPr>
              <w:pStyle w:val="TableBody"/>
            </w:pPr>
            <w:r w:rsidRPr="00181977">
              <w:t xml:space="preserve">Uncommon </w:t>
            </w:r>
          </w:p>
        </w:tc>
      </w:tr>
      <w:tr w:rsidR="00A15276" w14:paraId="7B8E233B" w14:textId="77777777" w:rsidTr="00BA2AF8">
        <w:tc>
          <w:tcPr>
            <w:tcW w:w="3114" w:type="dxa"/>
            <w:vMerge/>
          </w:tcPr>
          <w:p w14:paraId="787E5918" w14:textId="77777777" w:rsidR="00A15276" w:rsidRPr="00181977" w:rsidRDefault="00A15276" w:rsidP="00181977">
            <w:pPr>
              <w:pStyle w:val="TableBody"/>
            </w:pPr>
          </w:p>
        </w:tc>
        <w:tc>
          <w:tcPr>
            <w:tcW w:w="3086" w:type="dxa"/>
          </w:tcPr>
          <w:p w14:paraId="222CF604" w14:textId="77777777" w:rsidR="00A15276" w:rsidRPr="00181977" w:rsidRDefault="00A15276" w:rsidP="00181977">
            <w:pPr>
              <w:pStyle w:val="TableBody"/>
            </w:pPr>
            <w:r w:rsidRPr="00181977">
              <w:t xml:space="preserve">Angioedema </w:t>
            </w:r>
          </w:p>
        </w:tc>
        <w:tc>
          <w:tcPr>
            <w:tcW w:w="2726" w:type="dxa"/>
          </w:tcPr>
          <w:p w14:paraId="31E6BA84" w14:textId="77777777" w:rsidR="00A15276" w:rsidRPr="00181977" w:rsidRDefault="00A15276" w:rsidP="00181977">
            <w:pPr>
              <w:pStyle w:val="TableBody"/>
            </w:pPr>
            <w:r w:rsidRPr="00181977">
              <w:t xml:space="preserve">Not known </w:t>
            </w:r>
          </w:p>
        </w:tc>
      </w:tr>
      <w:tr w:rsidR="00BC1D20" w14:paraId="528FC1C5" w14:textId="77777777" w:rsidTr="00BA2AF8">
        <w:tc>
          <w:tcPr>
            <w:tcW w:w="3114" w:type="dxa"/>
            <w:vMerge w:val="restart"/>
          </w:tcPr>
          <w:p w14:paraId="16EA8100" w14:textId="77777777" w:rsidR="00BC1D20" w:rsidRPr="00181977" w:rsidRDefault="00BC1D20" w:rsidP="00181977">
            <w:pPr>
              <w:pStyle w:val="TableBody"/>
            </w:pPr>
            <w:r w:rsidRPr="00181977">
              <w:t xml:space="preserve">Musculoskeletal and connective tissue disorders </w:t>
            </w:r>
          </w:p>
        </w:tc>
        <w:tc>
          <w:tcPr>
            <w:tcW w:w="3086" w:type="dxa"/>
          </w:tcPr>
          <w:p w14:paraId="3D63AC80" w14:textId="77777777" w:rsidR="00BC1D20" w:rsidRPr="00181977" w:rsidRDefault="00BC1D20" w:rsidP="00181977">
            <w:pPr>
              <w:pStyle w:val="TableBody"/>
            </w:pPr>
            <w:r w:rsidRPr="00181977">
              <w:t xml:space="preserve">Arthralgia </w:t>
            </w:r>
          </w:p>
        </w:tc>
        <w:tc>
          <w:tcPr>
            <w:tcW w:w="2726" w:type="dxa"/>
          </w:tcPr>
          <w:p w14:paraId="33DD79A0" w14:textId="77777777" w:rsidR="00BC1D20" w:rsidRPr="00181977" w:rsidRDefault="00BC1D20" w:rsidP="00181977">
            <w:pPr>
              <w:pStyle w:val="TableBody"/>
            </w:pPr>
            <w:r w:rsidRPr="00181977">
              <w:t xml:space="preserve">Very common </w:t>
            </w:r>
          </w:p>
        </w:tc>
      </w:tr>
      <w:tr w:rsidR="00BC1D20" w14:paraId="27A4DDCD" w14:textId="77777777" w:rsidTr="00BA2AF8">
        <w:tc>
          <w:tcPr>
            <w:tcW w:w="3114" w:type="dxa"/>
            <w:vMerge/>
          </w:tcPr>
          <w:p w14:paraId="700989D1" w14:textId="77777777" w:rsidR="00BC1D20" w:rsidRPr="00181977" w:rsidRDefault="00BC1D20" w:rsidP="00181977">
            <w:pPr>
              <w:pStyle w:val="TableBody"/>
            </w:pPr>
          </w:p>
        </w:tc>
        <w:tc>
          <w:tcPr>
            <w:tcW w:w="3086" w:type="dxa"/>
          </w:tcPr>
          <w:p w14:paraId="38F8FC4E" w14:textId="77777777" w:rsidR="00BC1D20" w:rsidRPr="00181977" w:rsidRDefault="00BC1D20" w:rsidP="00181977">
            <w:pPr>
              <w:pStyle w:val="TableBody"/>
            </w:pPr>
            <w:r w:rsidRPr="00181977">
              <w:t xml:space="preserve">Muscle tightness </w:t>
            </w:r>
          </w:p>
        </w:tc>
        <w:tc>
          <w:tcPr>
            <w:tcW w:w="2726" w:type="dxa"/>
          </w:tcPr>
          <w:p w14:paraId="42F40D09" w14:textId="77777777" w:rsidR="00BC1D20" w:rsidRPr="00181977" w:rsidRDefault="00BC1D20" w:rsidP="00181977">
            <w:pPr>
              <w:pStyle w:val="TableBody"/>
            </w:pPr>
            <w:r w:rsidRPr="00181977">
              <w:t xml:space="preserve">Very common </w:t>
            </w:r>
          </w:p>
        </w:tc>
      </w:tr>
      <w:tr w:rsidR="00BC1D20" w14:paraId="187D65D3" w14:textId="77777777" w:rsidTr="00BA2AF8">
        <w:tc>
          <w:tcPr>
            <w:tcW w:w="3114" w:type="dxa"/>
            <w:vMerge/>
          </w:tcPr>
          <w:p w14:paraId="7ADDB88B" w14:textId="77777777" w:rsidR="00BC1D20" w:rsidRPr="00181977" w:rsidRDefault="00BC1D20" w:rsidP="00181977">
            <w:pPr>
              <w:pStyle w:val="TableBody"/>
            </w:pPr>
          </w:p>
        </w:tc>
        <w:tc>
          <w:tcPr>
            <w:tcW w:w="3086" w:type="dxa"/>
          </w:tcPr>
          <w:p w14:paraId="26FD99BE" w14:textId="77777777" w:rsidR="00BC1D20" w:rsidRPr="00181977" w:rsidRDefault="00BC1D20" w:rsidP="00181977">
            <w:pPr>
              <w:pStyle w:val="TableBody"/>
            </w:pPr>
            <w:r w:rsidRPr="00181977">
              <w:t xml:space="preserve">Myalgia </w:t>
            </w:r>
          </w:p>
        </w:tc>
        <w:tc>
          <w:tcPr>
            <w:tcW w:w="2726" w:type="dxa"/>
          </w:tcPr>
          <w:p w14:paraId="69FFE191" w14:textId="77777777" w:rsidR="00BC1D20" w:rsidRPr="00181977" w:rsidRDefault="00BC1D20" w:rsidP="00181977">
            <w:pPr>
              <w:pStyle w:val="TableBody"/>
            </w:pPr>
            <w:r w:rsidRPr="00181977">
              <w:t xml:space="preserve">Very common </w:t>
            </w:r>
          </w:p>
        </w:tc>
      </w:tr>
      <w:tr w:rsidR="00BC1D20" w14:paraId="6133F476" w14:textId="77777777" w:rsidTr="00BA2AF8">
        <w:tc>
          <w:tcPr>
            <w:tcW w:w="3114" w:type="dxa"/>
            <w:vMerge/>
          </w:tcPr>
          <w:p w14:paraId="1DB80394" w14:textId="77777777" w:rsidR="00BC1D20" w:rsidRPr="00181977" w:rsidRDefault="00BC1D20" w:rsidP="00181977">
            <w:pPr>
              <w:pStyle w:val="TableBody"/>
            </w:pPr>
          </w:p>
        </w:tc>
        <w:tc>
          <w:tcPr>
            <w:tcW w:w="3086" w:type="dxa"/>
          </w:tcPr>
          <w:p w14:paraId="376E19E3" w14:textId="77777777" w:rsidR="00BC1D20" w:rsidRPr="00181977" w:rsidRDefault="00BC1D20" w:rsidP="00181977">
            <w:pPr>
              <w:pStyle w:val="TableBody"/>
            </w:pPr>
            <w:r w:rsidRPr="00181977">
              <w:t xml:space="preserve">Arthritis </w:t>
            </w:r>
          </w:p>
        </w:tc>
        <w:tc>
          <w:tcPr>
            <w:tcW w:w="2726" w:type="dxa"/>
          </w:tcPr>
          <w:p w14:paraId="15E3DA21" w14:textId="77777777" w:rsidR="00BC1D20" w:rsidRPr="00181977" w:rsidRDefault="00BC1D20" w:rsidP="00181977">
            <w:pPr>
              <w:pStyle w:val="TableBody"/>
            </w:pPr>
            <w:r w:rsidRPr="00181977">
              <w:t xml:space="preserve">Common </w:t>
            </w:r>
          </w:p>
        </w:tc>
      </w:tr>
      <w:tr w:rsidR="00BC1D20" w14:paraId="2EDDABA7" w14:textId="77777777" w:rsidTr="00BA2AF8">
        <w:tc>
          <w:tcPr>
            <w:tcW w:w="3114" w:type="dxa"/>
            <w:vMerge/>
          </w:tcPr>
          <w:p w14:paraId="21362FDB" w14:textId="77777777" w:rsidR="00BC1D20" w:rsidRPr="00181977" w:rsidRDefault="00BC1D20" w:rsidP="00181977">
            <w:pPr>
              <w:pStyle w:val="TableBody"/>
            </w:pPr>
          </w:p>
        </w:tc>
        <w:tc>
          <w:tcPr>
            <w:tcW w:w="3086" w:type="dxa"/>
          </w:tcPr>
          <w:p w14:paraId="36D6A7FF" w14:textId="77777777" w:rsidR="00BC1D20" w:rsidRPr="00181977" w:rsidRDefault="00BC1D20" w:rsidP="00181977">
            <w:pPr>
              <w:pStyle w:val="TableBody"/>
            </w:pPr>
            <w:r w:rsidRPr="00181977">
              <w:t xml:space="preserve">Back pain </w:t>
            </w:r>
          </w:p>
        </w:tc>
        <w:tc>
          <w:tcPr>
            <w:tcW w:w="2726" w:type="dxa"/>
          </w:tcPr>
          <w:p w14:paraId="63F7A765" w14:textId="77777777" w:rsidR="00BC1D20" w:rsidRPr="00181977" w:rsidRDefault="00BC1D20" w:rsidP="00181977">
            <w:pPr>
              <w:pStyle w:val="TableBody"/>
            </w:pPr>
            <w:r w:rsidRPr="00181977">
              <w:t xml:space="preserve">Common </w:t>
            </w:r>
          </w:p>
        </w:tc>
      </w:tr>
      <w:tr w:rsidR="00BC1D20" w14:paraId="73401205" w14:textId="77777777" w:rsidTr="00BA2AF8">
        <w:tc>
          <w:tcPr>
            <w:tcW w:w="3114" w:type="dxa"/>
            <w:vMerge/>
          </w:tcPr>
          <w:p w14:paraId="090EF6F8" w14:textId="77777777" w:rsidR="00BC1D20" w:rsidRPr="00181977" w:rsidRDefault="00BC1D20" w:rsidP="00181977">
            <w:pPr>
              <w:pStyle w:val="TableBody"/>
            </w:pPr>
          </w:p>
        </w:tc>
        <w:tc>
          <w:tcPr>
            <w:tcW w:w="3086" w:type="dxa"/>
          </w:tcPr>
          <w:p w14:paraId="1E253EA5" w14:textId="77777777" w:rsidR="00BC1D20" w:rsidRPr="00181977" w:rsidRDefault="00BC1D20" w:rsidP="00181977">
            <w:pPr>
              <w:pStyle w:val="TableBody"/>
            </w:pPr>
            <w:r w:rsidRPr="00181977">
              <w:t xml:space="preserve">Bone pain </w:t>
            </w:r>
          </w:p>
        </w:tc>
        <w:tc>
          <w:tcPr>
            <w:tcW w:w="2726" w:type="dxa"/>
          </w:tcPr>
          <w:p w14:paraId="15E0FC69" w14:textId="77777777" w:rsidR="00BC1D20" w:rsidRPr="00181977" w:rsidRDefault="00BC1D20" w:rsidP="00181977">
            <w:pPr>
              <w:pStyle w:val="TableBody"/>
            </w:pPr>
            <w:r w:rsidRPr="00181977">
              <w:t xml:space="preserve">Common </w:t>
            </w:r>
          </w:p>
        </w:tc>
      </w:tr>
      <w:tr w:rsidR="00BC1D20" w14:paraId="4D528999" w14:textId="77777777" w:rsidTr="00BA2AF8">
        <w:tc>
          <w:tcPr>
            <w:tcW w:w="3114" w:type="dxa"/>
            <w:vMerge/>
          </w:tcPr>
          <w:p w14:paraId="7C004DC3" w14:textId="77777777" w:rsidR="00BC1D20" w:rsidRPr="00181977" w:rsidRDefault="00BC1D20" w:rsidP="00181977">
            <w:pPr>
              <w:pStyle w:val="TableBody"/>
            </w:pPr>
          </w:p>
        </w:tc>
        <w:tc>
          <w:tcPr>
            <w:tcW w:w="3086" w:type="dxa"/>
          </w:tcPr>
          <w:p w14:paraId="32B42D19" w14:textId="77777777" w:rsidR="00BC1D20" w:rsidRPr="00181977" w:rsidRDefault="00BC1D20" w:rsidP="00181977">
            <w:pPr>
              <w:pStyle w:val="TableBody"/>
            </w:pPr>
            <w:r w:rsidRPr="00181977">
              <w:t xml:space="preserve">Muscle spasms </w:t>
            </w:r>
          </w:p>
        </w:tc>
        <w:tc>
          <w:tcPr>
            <w:tcW w:w="2726" w:type="dxa"/>
          </w:tcPr>
          <w:p w14:paraId="4532EA47" w14:textId="77777777" w:rsidR="00BC1D20" w:rsidRPr="00181977" w:rsidRDefault="00BC1D20" w:rsidP="00181977">
            <w:pPr>
              <w:pStyle w:val="TableBody"/>
            </w:pPr>
            <w:r w:rsidRPr="00181977">
              <w:t xml:space="preserve">Common </w:t>
            </w:r>
          </w:p>
        </w:tc>
      </w:tr>
      <w:tr w:rsidR="00BC1D20" w14:paraId="58DE53C6" w14:textId="77777777" w:rsidTr="00BA2AF8">
        <w:tc>
          <w:tcPr>
            <w:tcW w:w="3114" w:type="dxa"/>
            <w:vMerge/>
          </w:tcPr>
          <w:p w14:paraId="72758A52" w14:textId="77777777" w:rsidR="00BC1D20" w:rsidRPr="00181977" w:rsidRDefault="00BC1D20" w:rsidP="00181977">
            <w:pPr>
              <w:pStyle w:val="TableBody"/>
            </w:pPr>
          </w:p>
        </w:tc>
        <w:tc>
          <w:tcPr>
            <w:tcW w:w="3086" w:type="dxa"/>
          </w:tcPr>
          <w:p w14:paraId="22486088" w14:textId="77777777" w:rsidR="00BC1D20" w:rsidRPr="00181977" w:rsidRDefault="00BC1D20" w:rsidP="00181977">
            <w:pPr>
              <w:pStyle w:val="TableBody"/>
            </w:pPr>
            <w:r w:rsidRPr="00181977">
              <w:t xml:space="preserve">Neck pain </w:t>
            </w:r>
          </w:p>
        </w:tc>
        <w:tc>
          <w:tcPr>
            <w:tcW w:w="2726" w:type="dxa"/>
          </w:tcPr>
          <w:p w14:paraId="4DABF4E2" w14:textId="77777777" w:rsidR="00BC1D20" w:rsidRPr="00181977" w:rsidRDefault="00BC1D20" w:rsidP="00181977">
            <w:pPr>
              <w:pStyle w:val="TableBody"/>
            </w:pPr>
            <w:r w:rsidRPr="00181977">
              <w:t xml:space="preserve">Common </w:t>
            </w:r>
          </w:p>
        </w:tc>
      </w:tr>
      <w:tr w:rsidR="00BC1D20" w14:paraId="60FFA23B" w14:textId="77777777" w:rsidTr="00BA2AF8">
        <w:tc>
          <w:tcPr>
            <w:tcW w:w="3114" w:type="dxa"/>
            <w:vMerge/>
          </w:tcPr>
          <w:p w14:paraId="6440AC51" w14:textId="77777777" w:rsidR="00BC1D20" w:rsidRPr="00181977" w:rsidRDefault="00BC1D20" w:rsidP="00181977">
            <w:pPr>
              <w:pStyle w:val="TableBody"/>
            </w:pPr>
          </w:p>
        </w:tc>
        <w:tc>
          <w:tcPr>
            <w:tcW w:w="3086" w:type="dxa"/>
          </w:tcPr>
          <w:p w14:paraId="201F9404" w14:textId="77777777" w:rsidR="00BC1D20" w:rsidRPr="00181977" w:rsidRDefault="00BC1D20" w:rsidP="00181977">
            <w:pPr>
              <w:pStyle w:val="TableBody"/>
            </w:pPr>
            <w:r w:rsidRPr="00181977">
              <w:t xml:space="preserve">Pain in extremity </w:t>
            </w:r>
          </w:p>
        </w:tc>
        <w:tc>
          <w:tcPr>
            <w:tcW w:w="2726" w:type="dxa"/>
          </w:tcPr>
          <w:p w14:paraId="767E2934" w14:textId="77777777" w:rsidR="00BC1D20" w:rsidRPr="00181977" w:rsidRDefault="00BC1D20" w:rsidP="00181977">
            <w:pPr>
              <w:pStyle w:val="TableBody"/>
            </w:pPr>
            <w:r w:rsidRPr="00181977">
              <w:t xml:space="preserve">Common </w:t>
            </w:r>
          </w:p>
        </w:tc>
      </w:tr>
      <w:tr w:rsidR="00BC1D20" w14:paraId="3C49B782" w14:textId="77777777" w:rsidTr="00BA2AF8">
        <w:tc>
          <w:tcPr>
            <w:tcW w:w="3114" w:type="dxa"/>
            <w:vMerge w:val="restart"/>
          </w:tcPr>
          <w:p w14:paraId="49FF9277" w14:textId="77777777" w:rsidR="00BC1D20" w:rsidRPr="00181977" w:rsidRDefault="00BC1D20" w:rsidP="00181977">
            <w:pPr>
              <w:pStyle w:val="TableBody"/>
            </w:pPr>
            <w:r w:rsidRPr="00181977">
              <w:t xml:space="preserve">Renal and urinary conditions </w:t>
            </w:r>
          </w:p>
        </w:tc>
        <w:tc>
          <w:tcPr>
            <w:tcW w:w="3086" w:type="dxa"/>
          </w:tcPr>
          <w:p w14:paraId="6CA2C1AF" w14:textId="77777777" w:rsidR="00BC1D20" w:rsidRPr="00181977" w:rsidRDefault="00BC1D20" w:rsidP="00181977">
            <w:pPr>
              <w:pStyle w:val="TableBody"/>
            </w:pPr>
            <w:r w:rsidRPr="00181977">
              <w:t xml:space="preserve">Renal disorder </w:t>
            </w:r>
          </w:p>
        </w:tc>
        <w:tc>
          <w:tcPr>
            <w:tcW w:w="2726" w:type="dxa"/>
          </w:tcPr>
          <w:p w14:paraId="3AED4A57" w14:textId="77777777" w:rsidR="00BC1D20" w:rsidRPr="00181977" w:rsidRDefault="00BC1D20" w:rsidP="00181977">
            <w:pPr>
              <w:pStyle w:val="TableBody"/>
            </w:pPr>
            <w:r w:rsidRPr="00181977">
              <w:t xml:space="preserve">Common </w:t>
            </w:r>
          </w:p>
        </w:tc>
      </w:tr>
      <w:tr w:rsidR="00BC1D20" w14:paraId="4D65C401" w14:textId="77777777" w:rsidTr="00BA2AF8">
        <w:tc>
          <w:tcPr>
            <w:tcW w:w="3114" w:type="dxa"/>
            <w:vMerge/>
          </w:tcPr>
          <w:p w14:paraId="7311D023" w14:textId="77777777" w:rsidR="00BC1D20" w:rsidRPr="00181977" w:rsidRDefault="00BC1D20" w:rsidP="00181977">
            <w:pPr>
              <w:pStyle w:val="TableBody"/>
            </w:pPr>
          </w:p>
        </w:tc>
        <w:tc>
          <w:tcPr>
            <w:tcW w:w="3086" w:type="dxa"/>
          </w:tcPr>
          <w:p w14:paraId="0D6ACDB9" w14:textId="77777777" w:rsidR="00BC1D20" w:rsidRPr="00181977" w:rsidRDefault="00BC1D20" w:rsidP="00181977">
            <w:pPr>
              <w:pStyle w:val="TableBody"/>
            </w:pPr>
            <w:r w:rsidRPr="00181977">
              <w:t xml:space="preserve">Glomerulonephritis membranous </w:t>
            </w:r>
          </w:p>
        </w:tc>
        <w:tc>
          <w:tcPr>
            <w:tcW w:w="2726" w:type="dxa"/>
          </w:tcPr>
          <w:p w14:paraId="5562E130" w14:textId="77777777" w:rsidR="00BC1D20" w:rsidRPr="00181977" w:rsidRDefault="00BC1D20" w:rsidP="00181977">
            <w:pPr>
              <w:pStyle w:val="TableBody"/>
            </w:pPr>
            <w:r w:rsidRPr="00181977">
              <w:t xml:space="preserve">Not known </w:t>
            </w:r>
          </w:p>
        </w:tc>
      </w:tr>
      <w:tr w:rsidR="00BC1D20" w14:paraId="1E916DA2" w14:textId="77777777" w:rsidTr="00BA2AF8">
        <w:tc>
          <w:tcPr>
            <w:tcW w:w="3114" w:type="dxa"/>
            <w:vMerge/>
          </w:tcPr>
          <w:p w14:paraId="541D44D6" w14:textId="77777777" w:rsidR="00BC1D20" w:rsidRPr="00181977" w:rsidRDefault="00BC1D20" w:rsidP="00181977">
            <w:pPr>
              <w:pStyle w:val="TableBody"/>
            </w:pPr>
          </w:p>
        </w:tc>
        <w:tc>
          <w:tcPr>
            <w:tcW w:w="3086" w:type="dxa"/>
          </w:tcPr>
          <w:p w14:paraId="01E6A3DB" w14:textId="77777777" w:rsidR="00BC1D20" w:rsidRPr="00181977" w:rsidRDefault="00BC1D20" w:rsidP="00181977">
            <w:pPr>
              <w:pStyle w:val="TableBody"/>
            </w:pPr>
            <w:proofErr w:type="spellStart"/>
            <w:r w:rsidRPr="00181977">
              <w:t>Glomerulonephropathy</w:t>
            </w:r>
            <w:proofErr w:type="spellEnd"/>
            <w:r w:rsidRPr="00181977">
              <w:t xml:space="preserve"> </w:t>
            </w:r>
          </w:p>
        </w:tc>
        <w:tc>
          <w:tcPr>
            <w:tcW w:w="2726" w:type="dxa"/>
          </w:tcPr>
          <w:p w14:paraId="0828C16F" w14:textId="77777777" w:rsidR="00BC1D20" w:rsidRPr="00181977" w:rsidRDefault="00BC1D20" w:rsidP="00181977">
            <w:pPr>
              <w:pStyle w:val="TableBody"/>
            </w:pPr>
            <w:r w:rsidRPr="00181977">
              <w:t xml:space="preserve">Not known </w:t>
            </w:r>
          </w:p>
        </w:tc>
      </w:tr>
      <w:tr w:rsidR="00BC1D20" w14:paraId="7AEB781F" w14:textId="77777777" w:rsidTr="00BA2AF8">
        <w:tc>
          <w:tcPr>
            <w:tcW w:w="3114" w:type="dxa"/>
            <w:vMerge/>
          </w:tcPr>
          <w:p w14:paraId="4C27B410" w14:textId="77777777" w:rsidR="00BC1D20" w:rsidRPr="00181977" w:rsidRDefault="00BC1D20" w:rsidP="00181977">
            <w:pPr>
              <w:pStyle w:val="TableBody"/>
            </w:pPr>
          </w:p>
        </w:tc>
        <w:tc>
          <w:tcPr>
            <w:tcW w:w="3086" w:type="dxa"/>
          </w:tcPr>
          <w:p w14:paraId="2A339AB3" w14:textId="77777777" w:rsidR="00BC1D20" w:rsidRPr="00181977" w:rsidRDefault="00BC1D20" w:rsidP="00181977">
            <w:pPr>
              <w:pStyle w:val="TableBody"/>
            </w:pPr>
            <w:r w:rsidRPr="00181977">
              <w:t xml:space="preserve">Renal failure </w:t>
            </w:r>
          </w:p>
        </w:tc>
        <w:tc>
          <w:tcPr>
            <w:tcW w:w="2726" w:type="dxa"/>
          </w:tcPr>
          <w:p w14:paraId="18C28EC2" w14:textId="77777777" w:rsidR="00BC1D20" w:rsidRPr="00181977" w:rsidRDefault="00BC1D20" w:rsidP="00181977">
            <w:pPr>
              <w:pStyle w:val="TableBody"/>
            </w:pPr>
            <w:r w:rsidRPr="00181977">
              <w:t xml:space="preserve">Not known </w:t>
            </w:r>
          </w:p>
        </w:tc>
      </w:tr>
      <w:tr w:rsidR="00BC1D20" w14:paraId="1DC2B394" w14:textId="77777777" w:rsidTr="00BA2AF8">
        <w:tc>
          <w:tcPr>
            <w:tcW w:w="3114" w:type="dxa"/>
            <w:vMerge w:val="restart"/>
          </w:tcPr>
          <w:p w14:paraId="366C40B0" w14:textId="77777777" w:rsidR="00BC1D20" w:rsidRPr="00181977" w:rsidRDefault="00BC1D20" w:rsidP="00181977">
            <w:pPr>
              <w:pStyle w:val="TableBody"/>
            </w:pPr>
            <w:r w:rsidRPr="00181977">
              <w:t xml:space="preserve">Pregnancy, puerperium and perinatal disorders </w:t>
            </w:r>
          </w:p>
        </w:tc>
        <w:tc>
          <w:tcPr>
            <w:tcW w:w="3086" w:type="dxa"/>
          </w:tcPr>
          <w:p w14:paraId="71FA6A7D" w14:textId="77777777" w:rsidR="00BC1D20" w:rsidRPr="00181977" w:rsidRDefault="00BC1D20" w:rsidP="00181977">
            <w:pPr>
              <w:pStyle w:val="TableBody"/>
            </w:pPr>
            <w:r w:rsidRPr="00181977">
              <w:t xml:space="preserve">Oligohydramnios </w:t>
            </w:r>
          </w:p>
        </w:tc>
        <w:tc>
          <w:tcPr>
            <w:tcW w:w="2726" w:type="dxa"/>
          </w:tcPr>
          <w:p w14:paraId="2ED43359" w14:textId="77777777" w:rsidR="00BC1D20" w:rsidRPr="00181977" w:rsidRDefault="00BC1D20" w:rsidP="00181977">
            <w:pPr>
              <w:pStyle w:val="TableBody"/>
            </w:pPr>
            <w:r w:rsidRPr="00181977">
              <w:t xml:space="preserve">Not known </w:t>
            </w:r>
          </w:p>
        </w:tc>
      </w:tr>
      <w:tr w:rsidR="00BC1D20" w14:paraId="21562BE9" w14:textId="77777777" w:rsidTr="00BA2AF8">
        <w:tc>
          <w:tcPr>
            <w:tcW w:w="3114" w:type="dxa"/>
            <w:vMerge/>
          </w:tcPr>
          <w:p w14:paraId="516FEADD" w14:textId="77777777" w:rsidR="00BC1D20" w:rsidRPr="00181977" w:rsidRDefault="00BC1D20" w:rsidP="00181977">
            <w:pPr>
              <w:pStyle w:val="TableBody"/>
            </w:pPr>
          </w:p>
        </w:tc>
        <w:tc>
          <w:tcPr>
            <w:tcW w:w="3086" w:type="dxa"/>
          </w:tcPr>
          <w:p w14:paraId="4D91FFAB" w14:textId="77777777" w:rsidR="00BC1D20" w:rsidRPr="00181977" w:rsidRDefault="00BC1D20" w:rsidP="00181977">
            <w:pPr>
              <w:pStyle w:val="TableBody"/>
            </w:pPr>
            <w:r w:rsidRPr="00181977">
              <w:t xml:space="preserve">Renal hypoplasia </w:t>
            </w:r>
          </w:p>
        </w:tc>
        <w:tc>
          <w:tcPr>
            <w:tcW w:w="2726" w:type="dxa"/>
          </w:tcPr>
          <w:p w14:paraId="750A25B9" w14:textId="77777777" w:rsidR="00BC1D20" w:rsidRPr="00181977" w:rsidRDefault="00BC1D20" w:rsidP="00181977">
            <w:pPr>
              <w:pStyle w:val="TableBody"/>
            </w:pPr>
            <w:r w:rsidRPr="00181977">
              <w:t xml:space="preserve">Not known </w:t>
            </w:r>
          </w:p>
        </w:tc>
      </w:tr>
      <w:tr w:rsidR="00BC1D20" w14:paraId="643A6801" w14:textId="77777777" w:rsidTr="00BA2AF8">
        <w:tc>
          <w:tcPr>
            <w:tcW w:w="3114" w:type="dxa"/>
            <w:vMerge/>
          </w:tcPr>
          <w:p w14:paraId="01DF4D4F" w14:textId="77777777" w:rsidR="00BC1D20" w:rsidRPr="00181977" w:rsidRDefault="00BC1D20" w:rsidP="00181977">
            <w:pPr>
              <w:pStyle w:val="TableBody"/>
            </w:pPr>
          </w:p>
        </w:tc>
        <w:tc>
          <w:tcPr>
            <w:tcW w:w="3086" w:type="dxa"/>
          </w:tcPr>
          <w:p w14:paraId="6EA583FF" w14:textId="77777777" w:rsidR="00BC1D20" w:rsidRPr="00181977" w:rsidRDefault="00BC1D20" w:rsidP="00181977">
            <w:pPr>
              <w:pStyle w:val="TableBody"/>
            </w:pPr>
            <w:r w:rsidRPr="00181977">
              <w:t xml:space="preserve">Pulmonary hypoplasia </w:t>
            </w:r>
          </w:p>
        </w:tc>
        <w:tc>
          <w:tcPr>
            <w:tcW w:w="2726" w:type="dxa"/>
          </w:tcPr>
          <w:p w14:paraId="5EC5C599" w14:textId="77777777" w:rsidR="00BC1D20" w:rsidRPr="00181977" w:rsidRDefault="00BC1D20" w:rsidP="00181977">
            <w:pPr>
              <w:pStyle w:val="TableBody"/>
            </w:pPr>
            <w:r w:rsidRPr="00181977">
              <w:t xml:space="preserve">Not known </w:t>
            </w:r>
          </w:p>
        </w:tc>
      </w:tr>
      <w:tr w:rsidR="00BC1D20" w14:paraId="33B8EF9F" w14:textId="77777777" w:rsidTr="00BA2AF8">
        <w:tc>
          <w:tcPr>
            <w:tcW w:w="3114" w:type="dxa"/>
          </w:tcPr>
          <w:p w14:paraId="2FB4DE02" w14:textId="77777777" w:rsidR="00BC1D20" w:rsidRPr="00181977" w:rsidRDefault="00BC1D20" w:rsidP="00181977">
            <w:pPr>
              <w:pStyle w:val="TableBody"/>
            </w:pPr>
            <w:r w:rsidRPr="00181977">
              <w:t xml:space="preserve">Reproductive system and breast disorders </w:t>
            </w:r>
          </w:p>
        </w:tc>
        <w:tc>
          <w:tcPr>
            <w:tcW w:w="3086" w:type="dxa"/>
          </w:tcPr>
          <w:p w14:paraId="48B5BEEE" w14:textId="77777777" w:rsidR="00BC1D20" w:rsidRPr="00181977" w:rsidRDefault="00BC1D20" w:rsidP="00181977">
            <w:pPr>
              <w:pStyle w:val="TableBody"/>
            </w:pPr>
            <w:r w:rsidRPr="00181977">
              <w:t xml:space="preserve">Breast inflammation/mastitis </w:t>
            </w:r>
          </w:p>
        </w:tc>
        <w:tc>
          <w:tcPr>
            <w:tcW w:w="2726" w:type="dxa"/>
          </w:tcPr>
          <w:p w14:paraId="7F6A7FE2" w14:textId="77777777" w:rsidR="00BC1D20" w:rsidRPr="00181977" w:rsidRDefault="00BC1D20" w:rsidP="00181977">
            <w:pPr>
              <w:pStyle w:val="TableBody"/>
            </w:pPr>
            <w:r w:rsidRPr="00181977">
              <w:t xml:space="preserve">Common </w:t>
            </w:r>
          </w:p>
        </w:tc>
      </w:tr>
      <w:tr w:rsidR="00BC1D20" w14:paraId="51AA867F" w14:textId="77777777" w:rsidTr="00BA2AF8">
        <w:tc>
          <w:tcPr>
            <w:tcW w:w="3114" w:type="dxa"/>
            <w:vMerge w:val="restart"/>
          </w:tcPr>
          <w:p w14:paraId="58CD7D9A" w14:textId="77777777" w:rsidR="00BC1D20" w:rsidRPr="00181977" w:rsidRDefault="00BC1D20" w:rsidP="00181977">
            <w:pPr>
              <w:pStyle w:val="TableBody"/>
            </w:pPr>
            <w:r w:rsidRPr="00181977">
              <w:t xml:space="preserve">General disorders and administration site conditions </w:t>
            </w:r>
          </w:p>
        </w:tc>
        <w:tc>
          <w:tcPr>
            <w:tcW w:w="3086" w:type="dxa"/>
          </w:tcPr>
          <w:p w14:paraId="5E586ACA" w14:textId="77777777" w:rsidR="00BC1D20" w:rsidRPr="00181977" w:rsidRDefault="00BC1D20" w:rsidP="00181977">
            <w:pPr>
              <w:pStyle w:val="TableBody"/>
            </w:pPr>
            <w:r w:rsidRPr="00181977">
              <w:t xml:space="preserve">Asthenia </w:t>
            </w:r>
          </w:p>
        </w:tc>
        <w:tc>
          <w:tcPr>
            <w:tcW w:w="2726" w:type="dxa"/>
          </w:tcPr>
          <w:p w14:paraId="0105AC2A" w14:textId="77777777" w:rsidR="00BC1D20" w:rsidRPr="00181977" w:rsidRDefault="00BC1D20" w:rsidP="00181977">
            <w:pPr>
              <w:pStyle w:val="TableBody"/>
            </w:pPr>
            <w:r w:rsidRPr="00181977">
              <w:t xml:space="preserve">Very common </w:t>
            </w:r>
          </w:p>
        </w:tc>
      </w:tr>
      <w:tr w:rsidR="00BC1D20" w14:paraId="321D8463" w14:textId="77777777" w:rsidTr="00BA2AF8">
        <w:tc>
          <w:tcPr>
            <w:tcW w:w="3114" w:type="dxa"/>
            <w:vMerge/>
          </w:tcPr>
          <w:p w14:paraId="15F69BAB" w14:textId="77777777" w:rsidR="00BC1D20" w:rsidRPr="00181977" w:rsidRDefault="00BC1D20" w:rsidP="00181977">
            <w:pPr>
              <w:pStyle w:val="TableBody"/>
            </w:pPr>
          </w:p>
        </w:tc>
        <w:tc>
          <w:tcPr>
            <w:tcW w:w="3086" w:type="dxa"/>
          </w:tcPr>
          <w:p w14:paraId="30BEB2C8" w14:textId="77777777" w:rsidR="00BC1D20" w:rsidRPr="00181977" w:rsidRDefault="00BC1D20" w:rsidP="00181977">
            <w:pPr>
              <w:pStyle w:val="TableBody"/>
            </w:pPr>
            <w:r w:rsidRPr="00181977">
              <w:t xml:space="preserve">Chest pain </w:t>
            </w:r>
          </w:p>
        </w:tc>
        <w:tc>
          <w:tcPr>
            <w:tcW w:w="2726" w:type="dxa"/>
          </w:tcPr>
          <w:p w14:paraId="1EDD7D52" w14:textId="77777777" w:rsidR="00BC1D20" w:rsidRPr="00181977" w:rsidRDefault="00BC1D20" w:rsidP="00181977">
            <w:pPr>
              <w:pStyle w:val="TableBody"/>
            </w:pPr>
            <w:r w:rsidRPr="00181977">
              <w:t xml:space="preserve">Very common </w:t>
            </w:r>
          </w:p>
        </w:tc>
      </w:tr>
      <w:tr w:rsidR="00BC1D20" w14:paraId="118C5A8E" w14:textId="77777777" w:rsidTr="00BA2AF8">
        <w:tc>
          <w:tcPr>
            <w:tcW w:w="3114" w:type="dxa"/>
            <w:vMerge/>
          </w:tcPr>
          <w:p w14:paraId="316C9C63" w14:textId="77777777" w:rsidR="00BC1D20" w:rsidRPr="00181977" w:rsidRDefault="00BC1D20" w:rsidP="00181977">
            <w:pPr>
              <w:pStyle w:val="TableBody"/>
            </w:pPr>
          </w:p>
        </w:tc>
        <w:tc>
          <w:tcPr>
            <w:tcW w:w="3086" w:type="dxa"/>
          </w:tcPr>
          <w:p w14:paraId="2EB85450" w14:textId="77777777" w:rsidR="00BC1D20" w:rsidRPr="00181977" w:rsidRDefault="00BC1D20" w:rsidP="00181977">
            <w:pPr>
              <w:pStyle w:val="TableBody"/>
            </w:pPr>
            <w:r w:rsidRPr="00181977">
              <w:t xml:space="preserve">Chills </w:t>
            </w:r>
          </w:p>
        </w:tc>
        <w:tc>
          <w:tcPr>
            <w:tcW w:w="2726" w:type="dxa"/>
          </w:tcPr>
          <w:p w14:paraId="70874C70" w14:textId="77777777" w:rsidR="00BC1D20" w:rsidRPr="00181977" w:rsidRDefault="00BC1D20" w:rsidP="00181977">
            <w:pPr>
              <w:pStyle w:val="TableBody"/>
            </w:pPr>
            <w:r w:rsidRPr="00181977">
              <w:t xml:space="preserve">Very common </w:t>
            </w:r>
          </w:p>
        </w:tc>
      </w:tr>
      <w:tr w:rsidR="00BC1D20" w14:paraId="4FA2A01F" w14:textId="77777777" w:rsidTr="00BA2AF8">
        <w:tc>
          <w:tcPr>
            <w:tcW w:w="3114" w:type="dxa"/>
            <w:vMerge/>
          </w:tcPr>
          <w:p w14:paraId="507AA26C" w14:textId="77777777" w:rsidR="00BC1D20" w:rsidRPr="00181977" w:rsidRDefault="00BC1D20" w:rsidP="00181977">
            <w:pPr>
              <w:pStyle w:val="TableBody"/>
            </w:pPr>
          </w:p>
        </w:tc>
        <w:tc>
          <w:tcPr>
            <w:tcW w:w="3086" w:type="dxa"/>
          </w:tcPr>
          <w:p w14:paraId="0BB5E2DA" w14:textId="77777777" w:rsidR="00BC1D20" w:rsidRPr="00181977" w:rsidRDefault="00BC1D20" w:rsidP="00181977">
            <w:pPr>
              <w:pStyle w:val="TableBody"/>
            </w:pPr>
            <w:r w:rsidRPr="00181977">
              <w:t xml:space="preserve">Fatigue </w:t>
            </w:r>
          </w:p>
        </w:tc>
        <w:tc>
          <w:tcPr>
            <w:tcW w:w="2726" w:type="dxa"/>
          </w:tcPr>
          <w:p w14:paraId="5BCC81F6" w14:textId="77777777" w:rsidR="00BC1D20" w:rsidRPr="00181977" w:rsidRDefault="00BC1D20" w:rsidP="00181977">
            <w:pPr>
              <w:pStyle w:val="TableBody"/>
            </w:pPr>
            <w:r w:rsidRPr="00181977">
              <w:t xml:space="preserve">Very common </w:t>
            </w:r>
          </w:p>
        </w:tc>
      </w:tr>
      <w:tr w:rsidR="00BC1D20" w14:paraId="44B664B6" w14:textId="77777777" w:rsidTr="00BA2AF8">
        <w:tc>
          <w:tcPr>
            <w:tcW w:w="3114" w:type="dxa"/>
            <w:vMerge/>
          </w:tcPr>
          <w:p w14:paraId="2CE5925D" w14:textId="77777777" w:rsidR="00BC1D20" w:rsidRPr="00181977" w:rsidRDefault="00BC1D20" w:rsidP="00181977">
            <w:pPr>
              <w:pStyle w:val="TableBody"/>
            </w:pPr>
          </w:p>
        </w:tc>
        <w:tc>
          <w:tcPr>
            <w:tcW w:w="3086" w:type="dxa"/>
          </w:tcPr>
          <w:p w14:paraId="7E2CD019" w14:textId="77777777" w:rsidR="00BC1D20" w:rsidRPr="00181977" w:rsidRDefault="00BC1D20" w:rsidP="00181977">
            <w:pPr>
              <w:pStyle w:val="TableBody"/>
            </w:pPr>
            <w:r w:rsidRPr="00181977">
              <w:t xml:space="preserve">Influenza-like symptoms </w:t>
            </w:r>
          </w:p>
        </w:tc>
        <w:tc>
          <w:tcPr>
            <w:tcW w:w="2726" w:type="dxa"/>
          </w:tcPr>
          <w:p w14:paraId="183858E1" w14:textId="77777777" w:rsidR="00BC1D20" w:rsidRPr="00181977" w:rsidRDefault="00BC1D20" w:rsidP="00181977">
            <w:pPr>
              <w:pStyle w:val="TableBody"/>
            </w:pPr>
            <w:r w:rsidRPr="00181977">
              <w:t xml:space="preserve">Very common </w:t>
            </w:r>
          </w:p>
        </w:tc>
      </w:tr>
      <w:tr w:rsidR="00BC1D20" w14:paraId="4A1742FB" w14:textId="77777777" w:rsidTr="00BA2AF8">
        <w:tc>
          <w:tcPr>
            <w:tcW w:w="3114" w:type="dxa"/>
            <w:vMerge/>
          </w:tcPr>
          <w:p w14:paraId="24428411" w14:textId="77777777" w:rsidR="00BC1D20" w:rsidRPr="00181977" w:rsidRDefault="00BC1D20" w:rsidP="00181977">
            <w:pPr>
              <w:pStyle w:val="TableBody"/>
            </w:pPr>
          </w:p>
        </w:tc>
        <w:tc>
          <w:tcPr>
            <w:tcW w:w="3086" w:type="dxa"/>
          </w:tcPr>
          <w:p w14:paraId="26D153DF" w14:textId="77777777" w:rsidR="00BC1D20" w:rsidRPr="00181977" w:rsidRDefault="00BC1D20" w:rsidP="00181977">
            <w:pPr>
              <w:pStyle w:val="TableBody"/>
            </w:pPr>
            <w:r w:rsidRPr="00181977">
              <w:t xml:space="preserve">Infusion related reaction </w:t>
            </w:r>
          </w:p>
        </w:tc>
        <w:tc>
          <w:tcPr>
            <w:tcW w:w="2726" w:type="dxa"/>
          </w:tcPr>
          <w:p w14:paraId="478B67BB" w14:textId="77777777" w:rsidR="00BC1D20" w:rsidRPr="00181977" w:rsidRDefault="00BC1D20" w:rsidP="00181977">
            <w:pPr>
              <w:pStyle w:val="TableBody"/>
            </w:pPr>
            <w:r w:rsidRPr="00181977">
              <w:t xml:space="preserve">Very common </w:t>
            </w:r>
          </w:p>
        </w:tc>
      </w:tr>
      <w:tr w:rsidR="00BC1D20" w14:paraId="16D965D8" w14:textId="77777777" w:rsidTr="00BA2AF8">
        <w:tc>
          <w:tcPr>
            <w:tcW w:w="3114" w:type="dxa"/>
            <w:vMerge/>
          </w:tcPr>
          <w:p w14:paraId="79716D0C" w14:textId="77777777" w:rsidR="00BC1D20" w:rsidRPr="00181977" w:rsidRDefault="00BC1D20" w:rsidP="00181977">
            <w:pPr>
              <w:pStyle w:val="TableBody"/>
            </w:pPr>
          </w:p>
        </w:tc>
        <w:tc>
          <w:tcPr>
            <w:tcW w:w="3086" w:type="dxa"/>
          </w:tcPr>
          <w:p w14:paraId="0F716BB6" w14:textId="77777777" w:rsidR="00BC1D20" w:rsidRPr="00181977" w:rsidRDefault="00BC1D20" w:rsidP="00181977">
            <w:pPr>
              <w:pStyle w:val="TableBody"/>
            </w:pPr>
            <w:r w:rsidRPr="00181977">
              <w:t xml:space="preserve">Pain </w:t>
            </w:r>
          </w:p>
        </w:tc>
        <w:tc>
          <w:tcPr>
            <w:tcW w:w="2726" w:type="dxa"/>
          </w:tcPr>
          <w:p w14:paraId="0D3DCC75" w14:textId="77777777" w:rsidR="00BC1D20" w:rsidRPr="00181977" w:rsidRDefault="00BC1D20" w:rsidP="00181977">
            <w:pPr>
              <w:pStyle w:val="TableBody"/>
            </w:pPr>
            <w:r w:rsidRPr="00181977">
              <w:t xml:space="preserve">Very common </w:t>
            </w:r>
          </w:p>
        </w:tc>
      </w:tr>
      <w:tr w:rsidR="00BC1D20" w14:paraId="0946C2F5" w14:textId="77777777" w:rsidTr="00BA2AF8">
        <w:tc>
          <w:tcPr>
            <w:tcW w:w="3114" w:type="dxa"/>
            <w:vMerge/>
          </w:tcPr>
          <w:p w14:paraId="2D24D1EE" w14:textId="77777777" w:rsidR="00BC1D20" w:rsidRPr="00181977" w:rsidRDefault="00BC1D20" w:rsidP="00181977">
            <w:pPr>
              <w:pStyle w:val="TableBody"/>
            </w:pPr>
          </w:p>
        </w:tc>
        <w:tc>
          <w:tcPr>
            <w:tcW w:w="3086" w:type="dxa"/>
          </w:tcPr>
          <w:p w14:paraId="789675B8" w14:textId="77777777" w:rsidR="00BC1D20" w:rsidRPr="00181977" w:rsidRDefault="00BC1D20" w:rsidP="00181977">
            <w:pPr>
              <w:pStyle w:val="TableBody"/>
            </w:pPr>
            <w:r w:rsidRPr="00181977">
              <w:t xml:space="preserve">Pyrexia </w:t>
            </w:r>
          </w:p>
        </w:tc>
        <w:tc>
          <w:tcPr>
            <w:tcW w:w="2726" w:type="dxa"/>
          </w:tcPr>
          <w:p w14:paraId="3F2F0104" w14:textId="77777777" w:rsidR="00BC1D20" w:rsidRPr="00181977" w:rsidRDefault="00BC1D20" w:rsidP="00181977">
            <w:pPr>
              <w:pStyle w:val="TableBody"/>
            </w:pPr>
            <w:r w:rsidRPr="00181977">
              <w:t xml:space="preserve">Very common </w:t>
            </w:r>
          </w:p>
        </w:tc>
      </w:tr>
      <w:tr w:rsidR="00BC1D20" w14:paraId="4BFFA91E" w14:textId="77777777" w:rsidTr="00BA2AF8">
        <w:tc>
          <w:tcPr>
            <w:tcW w:w="3114" w:type="dxa"/>
            <w:vMerge/>
          </w:tcPr>
          <w:p w14:paraId="7AB1F5EF" w14:textId="77777777" w:rsidR="00BC1D20" w:rsidRPr="00181977" w:rsidRDefault="00BC1D20" w:rsidP="00181977">
            <w:pPr>
              <w:pStyle w:val="TableBody"/>
            </w:pPr>
          </w:p>
        </w:tc>
        <w:tc>
          <w:tcPr>
            <w:tcW w:w="3086" w:type="dxa"/>
          </w:tcPr>
          <w:p w14:paraId="1834D63A" w14:textId="77777777" w:rsidR="00BC1D20" w:rsidRPr="00181977" w:rsidRDefault="00BC1D20" w:rsidP="00181977">
            <w:pPr>
              <w:pStyle w:val="TableBody"/>
            </w:pPr>
            <w:r w:rsidRPr="00181977">
              <w:t xml:space="preserve">Peripheral </w:t>
            </w:r>
            <w:proofErr w:type="spellStart"/>
            <w:r w:rsidRPr="00181977">
              <w:t>oedema</w:t>
            </w:r>
            <w:proofErr w:type="spellEnd"/>
            <w:r w:rsidRPr="00181977">
              <w:t xml:space="preserve"> </w:t>
            </w:r>
          </w:p>
        </w:tc>
        <w:tc>
          <w:tcPr>
            <w:tcW w:w="2726" w:type="dxa"/>
          </w:tcPr>
          <w:p w14:paraId="3E0B210C" w14:textId="77777777" w:rsidR="00BC1D20" w:rsidRPr="00181977" w:rsidRDefault="00BC1D20" w:rsidP="00181977">
            <w:pPr>
              <w:pStyle w:val="TableBody"/>
            </w:pPr>
            <w:r w:rsidRPr="00181977">
              <w:t xml:space="preserve">Very common </w:t>
            </w:r>
          </w:p>
        </w:tc>
      </w:tr>
      <w:tr w:rsidR="00BC1D20" w14:paraId="5A34867C" w14:textId="77777777" w:rsidTr="00BA2AF8">
        <w:tc>
          <w:tcPr>
            <w:tcW w:w="3114" w:type="dxa"/>
            <w:vMerge/>
          </w:tcPr>
          <w:p w14:paraId="2A07C2FC" w14:textId="77777777" w:rsidR="00BC1D20" w:rsidRPr="00181977" w:rsidRDefault="00BC1D20" w:rsidP="00181977">
            <w:pPr>
              <w:pStyle w:val="TableBody"/>
            </w:pPr>
          </w:p>
        </w:tc>
        <w:tc>
          <w:tcPr>
            <w:tcW w:w="3086" w:type="dxa"/>
          </w:tcPr>
          <w:p w14:paraId="06D00448" w14:textId="77777777" w:rsidR="00BC1D20" w:rsidRPr="00181977" w:rsidRDefault="00BC1D20" w:rsidP="00181977">
            <w:pPr>
              <w:pStyle w:val="TableBody"/>
            </w:pPr>
            <w:r w:rsidRPr="00181977">
              <w:t xml:space="preserve">Mucosal inflammation </w:t>
            </w:r>
          </w:p>
        </w:tc>
        <w:tc>
          <w:tcPr>
            <w:tcW w:w="2726" w:type="dxa"/>
          </w:tcPr>
          <w:p w14:paraId="7541039D" w14:textId="77777777" w:rsidR="00BC1D20" w:rsidRPr="00181977" w:rsidRDefault="00BC1D20" w:rsidP="00181977">
            <w:pPr>
              <w:pStyle w:val="TableBody"/>
            </w:pPr>
            <w:r w:rsidRPr="00181977">
              <w:t xml:space="preserve">Very common </w:t>
            </w:r>
          </w:p>
        </w:tc>
      </w:tr>
      <w:tr w:rsidR="00BC1D20" w14:paraId="6081F9EE" w14:textId="77777777" w:rsidTr="00BA2AF8">
        <w:tc>
          <w:tcPr>
            <w:tcW w:w="3114" w:type="dxa"/>
            <w:vMerge/>
          </w:tcPr>
          <w:p w14:paraId="2C1824FB" w14:textId="77777777" w:rsidR="00BC1D20" w:rsidRPr="00181977" w:rsidRDefault="00BC1D20" w:rsidP="00181977">
            <w:pPr>
              <w:pStyle w:val="TableBody"/>
            </w:pPr>
          </w:p>
        </w:tc>
        <w:tc>
          <w:tcPr>
            <w:tcW w:w="3086" w:type="dxa"/>
          </w:tcPr>
          <w:p w14:paraId="354F742C" w14:textId="77777777" w:rsidR="00BC1D20" w:rsidRPr="00181977" w:rsidRDefault="00BC1D20" w:rsidP="00181977">
            <w:pPr>
              <w:pStyle w:val="TableBody"/>
            </w:pPr>
            <w:r w:rsidRPr="00181977">
              <w:t xml:space="preserve">Malaise </w:t>
            </w:r>
          </w:p>
        </w:tc>
        <w:tc>
          <w:tcPr>
            <w:tcW w:w="2726" w:type="dxa"/>
          </w:tcPr>
          <w:p w14:paraId="44287E4C" w14:textId="77777777" w:rsidR="00BC1D20" w:rsidRPr="00181977" w:rsidRDefault="00BC1D20" w:rsidP="00181977">
            <w:pPr>
              <w:pStyle w:val="TableBody"/>
            </w:pPr>
            <w:r w:rsidRPr="00181977">
              <w:t xml:space="preserve">Common </w:t>
            </w:r>
          </w:p>
        </w:tc>
      </w:tr>
      <w:tr w:rsidR="00BC1D20" w14:paraId="5FF74C76" w14:textId="77777777" w:rsidTr="00BA2AF8">
        <w:tc>
          <w:tcPr>
            <w:tcW w:w="3114" w:type="dxa"/>
            <w:vMerge/>
          </w:tcPr>
          <w:p w14:paraId="755E14DF" w14:textId="77777777" w:rsidR="00BC1D20" w:rsidRPr="00181977" w:rsidRDefault="00BC1D20" w:rsidP="00181977">
            <w:pPr>
              <w:pStyle w:val="TableBody"/>
            </w:pPr>
          </w:p>
        </w:tc>
        <w:tc>
          <w:tcPr>
            <w:tcW w:w="3086" w:type="dxa"/>
          </w:tcPr>
          <w:p w14:paraId="3553A10E" w14:textId="77777777" w:rsidR="00BC1D20" w:rsidRPr="00181977" w:rsidRDefault="00BC1D20" w:rsidP="00181977">
            <w:pPr>
              <w:pStyle w:val="TableBody"/>
            </w:pPr>
            <w:proofErr w:type="spellStart"/>
            <w:r w:rsidRPr="00181977">
              <w:t>Oedema</w:t>
            </w:r>
            <w:proofErr w:type="spellEnd"/>
            <w:r w:rsidRPr="00181977">
              <w:t xml:space="preserve"> </w:t>
            </w:r>
          </w:p>
        </w:tc>
        <w:tc>
          <w:tcPr>
            <w:tcW w:w="2726" w:type="dxa"/>
          </w:tcPr>
          <w:p w14:paraId="64565B3E" w14:textId="77777777" w:rsidR="00BC1D20" w:rsidRPr="00181977" w:rsidRDefault="00BC1D20" w:rsidP="00181977">
            <w:pPr>
              <w:pStyle w:val="TableBody"/>
            </w:pPr>
            <w:r w:rsidRPr="00181977">
              <w:t xml:space="preserve">Common </w:t>
            </w:r>
          </w:p>
        </w:tc>
      </w:tr>
      <w:tr w:rsidR="00BC1D20" w14:paraId="02F65BC4" w14:textId="77777777" w:rsidTr="00BA2AF8">
        <w:tc>
          <w:tcPr>
            <w:tcW w:w="3114" w:type="dxa"/>
            <w:vMerge w:val="restart"/>
          </w:tcPr>
          <w:p w14:paraId="2D3D3D22" w14:textId="77777777" w:rsidR="00BC1D20" w:rsidRPr="00181977" w:rsidRDefault="00BC1D20" w:rsidP="00181977">
            <w:pPr>
              <w:pStyle w:val="TableBody"/>
            </w:pPr>
            <w:r w:rsidRPr="00181977">
              <w:t xml:space="preserve">Injury, poisoning and procedural complications </w:t>
            </w:r>
          </w:p>
          <w:p w14:paraId="215F1B45" w14:textId="77777777" w:rsidR="00BC1D20" w:rsidRPr="00181977" w:rsidRDefault="00BC1D20" w:rsidP="00181977">
            <w:pPr>
              <w:pStyle w:val="TableBody"/>
            </w:pPr>
          </w:p>
        </w:tc>
        <w:tc>
          <w:tcPr>
            <w:tcW w:w="3086" w:type="dxa"/>
          </w:tcPr>
          <w:p w14:paraId="58A5D858" w14:textId="77777777" w:rsidR="00BC1D20" w:rsidRPr="00181977" w:rsidRDefault="00BC1D20" w:rsidP="00181977">
            <w:pPr>
              <w:pStyle w:val="TableBody"/>
            </w:pPr>
            <w:r w:rsidRPr="00181977">
              <w:t xml:space="preserve">Nail toxicity </w:t>
            </w:r>
          </w:p>
        </w:tc>
        <w:tc>
          <w:tcPr>
            <w:tcW w:w="2726" w:type="dxa"/>
          </w:tcPr>
          <w:p w14:paraId="6D697D3C" w14:textId="77777777" w:rsidR="00BC1D20" w:rsidRPr="00181977" w:rsidRDefault="00BC1D20" w:rsidP="00181977">
            <w:pPr>
              <w:pStyle w:val="TableBody"/>
            </w:pPr>
            <w:r w:rsidRPr="00181977">
              <w:t xml:space="preserve">Very common </w:t>
            </w:r>
          </w:p>
        </w:tc>
      </w:tr>
      <w:tr w:rsidR="00BC1D20" w14:paraId="4B54F13B" w14:textId="77777777" w:rsidTr="00BA2AF8">
        <w:tc>
          <w:tcPr>
            <w:tcW w:w="3114" w:type="dxa"/>
            <w:vMerge/>
          </w:tcPr>
          <w:p w14:paraId="402B1025" w14:textId="77777777" w:rsidR="00BC1D20" w:rsidRPr="00181977" w:rsidRDefault="00BC1D20" w:rsidP="00181977">
            <w:pPr>
              <w:pStyle w:val="TableBody"/>
            </w:pPr>
          </w:p>
        </w:tc>
        <w:tc>
          <w:tcPr>
            <w:tcW w:w="3086" w:type="dxa"/>
          </w:tcPr>
          <w:p w14:paraId="4F174026" w14:textId="77777777" w:rsidR="00BC1D20" w:rsidRPr="00181977" w:rsidRDefault="00BC1D20" w:rsidP="00181977">
            <w:pPr>
              <w:pStyle w:val="TableBody"/>
            </w:pPr>
            <w:r w:rsidRPr="00181977">
              <w:t xml:space="preserve">Contusion </w:t>
            </w:r>
          </w:p>
          <w:p w14:paraId="4A04C114" w14:textId="77777777" w:rsidR="00BC1D20" w:rsidRPr="00181977" w:rsidRDefault="00BC1D20" w:rsidP="00181977">
            <w:pPr>
              <w:pStyle w:val="TableBody"/>
            </w:pPr>
          </w:p>
        </w:tc>
        <w:tc>
          <w:tcPr>
            <w:tcW w:w="2726" w:type="dxa"/>
          </w:tcPr>
          <w:p w14:paraId="336FFCD9" w14:textId="77777777" w:rsidR="00BC1D20" w:rsidRPr="00181977" w:rsidRDefault="00BC1D20" w:rsidP="00181977">
            <w:pPr>
              <w:pStyle w:val="TableBody"/>
            </w:pPr>
            <w:r w:rsidRPr="00181977">
              <w:t xml:space="preserve">Common </w:t>
            </w:r>
          </w:p>
          <w:p w14:paraId="6A43EFD7" w14:textId="77777777" w:rsidR="00BC1D20" w:rsidRPr="00181977" w:rsidRDefault="00BC1D20" w:rsidP="00181977">
            <w:pPr>
              <w:pStyle w:val="TableBody"/>
            </w:pPr>
          </w:p>
        </w:tc>
      </w:tr>
    </w:tbl>
    <w:p w14:paraId="14B75461" w14:textId="77777777" w:rsidR="0078795A" w:rsidRPr="00570AA3" w:rsidRDefault="00BC1D20" w:rsidP="00C4138E">
      <w:pPr>
        <w:pStyle w:val="Bodyofcontents"/>
        <w:rPr>
          <w:sz w:val="18"/>
          <w:szCs w:val="18"/>
        </w:rPr>
      </w:pPr>
      <w:r w:rsidRPr="00570AA3">
        <w:rPr>
          <w:sz w:val="18"/>
          <w:szCs w:val="18"/>
          <w:vertAlign w:val="superscript"/>
        </w:rPr>
        <w:t>1</w:t>
      </w:r>
      <w:r w:rsidRPr="00570AA3">
        <w:rPr>
          <w:sz w:val="18"/>
          <w:szCs w:val="18"/>
        </w:rPr>
        <w:t xml:space="preserve"> Adverse drug reactions (ADRs) were identified as events that occurred with at least a 2% difference compared to the control arm in at least one of the major randomised clinical trials;</w:t>
      </w:r>
      <w:r w:rsidR="00570AA3">
        <w:rPr>
          <w:sz w:val="18"/>
          <w:szCs w:val="18"/>
        </w:rPr>
        <w:t xml:space="preserve"> </w:t>
      </w:r>
      <w:r w:rsidRPr="00570AA3">
        <w:rPr>
          <w:sz w:val="18"/>
          <w:szCs w:val="18"/>
          <w:vertAlign w:val="superscript"/>
        </w:rPr>
        <w:t>2</w:t>
      </w:r>
      <w:r w:rsidR="00570AA3">
        <w:rPr>
          <w:sz w:val="18"/>
          <w:szCs w:val="18"/>
        </w:rPr>
        <w:t xml:space="preserve"> </w:t>
      </w:r>
      <w:r w:rsidRPr="00570AA3">
        <w:rPr>
          <w:sz w:val="18"/>
          <w:szCs w:val="18"/>
        </w:rPr>
        <w:t>Denotes adverse reactions that have been reported in association with a fatal outcome;</w:t>
      </w:r>
      <w:r w:rsidR="00570AA3">
        <w:rPr>
          <w:sz w:val="18"/>
          <w:szCs w:val="18"/>
        </w:rPr>
        <w:t xml:space="preserve"> </w:t>
      </w:r>
      <w:r w:rsidRPr="00570AA3">
        <w:rPr>
          <w:sz w:val="18"/>
          <w:szCs w:val="18"/>
          <w:vertAlign w:val="superscript"/>
        </w:rPr>
        <w:t>3</w:t>
      </w:r>
      <w:r w:rsidRPr="00570AA3">
        <w:rPr>
          <w:sz w:val="18"/>
          <w:szCs w:val="18"/>
        </w:rPr>
        <w:t xml:space="preserve"> Denotes adverse reactions that are reported largely in association with Infusion-related reactions. Specific percentages for these are not available;</w:t>
      </w:r>
      <w:r w:rsidR="00570AA3">
        <w:rPr>
          <w:sz w:val="18"/>
          <w:szCs w:val="18"/>
        </w:rPr>
        <w:t xml:space="preserve"> </w:t>
      </w:r>
      <w:r w:rsidRPr="00570AA3">
        <w:rPr>
          <w:sz w:val="18"/>
          <w:szCs w:val="18"/>
          <w:vertAlign w:val="superscript"/>
        </w:rPr>
        <w:t>4</w:t>
      </w:r>
      <w:r w:rsidRPr="00570AA3">
        <w:rPr>
          <w:sz w:val="18"/>
          <w:szCs w:val="18"/>
        </w:rPr>
        <w:t xml:space="preserve"> Observed with combination therapy following </w:t>
      </w:r>
      <w:proofErr w:type="spellStart"/>
      <w:r w:rsidRPr="00570AA3">
        <w:rPr>
          <w:sz w:val="18"/>
          <w:szCs w:val="18"/>
        </w:rPr>
        <w:t>anthracyclines</w:t>
      </w:r>
      <w:proofErr w:type="spellEnd"/>
      <w:r w:rsidRPr="00570AA3">
        <w:rPr>
          <w:sz w:val="18"/>
          <w:szCs w:val="18"/>
        </w:rPr>
        <w:t xml:space="preserve"> and combined with </w:t>
      </w:r>
      <w:proofErr w:type="spellStart"/>
      <w:r w:rsidRPr="00570AA3">
        <w:rPr>
          <w:sz w:val="18"/>
          <w:szCs w:val="18"/>
        </w:rPr>
        <w:t>taxanes</w:t>
      </w:r>
      <w:proofErr w:type="spellEnd"/>
    </w:p>
    <w:p w14:paraId="582CCEF3" w14:textId="77777777" w:rsidR="00BC1D20" w:rsidRDefault="00BC1D20" w:rsidP="00BC1D20">
      <w:pPr>
        <w:pStyle w:val="Bodyofcontents"/>
      </w:pPr>
      <w:r>
        <w:t xml:space="preserve">The following information is relevant to all indications. </w:t>
      </w:r>
    </w:p>
    <w:p w14:paraId="4A0C2595" w14:textId="77777777" w:rsidR="00BC1D20" w:rsidRDefault="00BC1D20" w:rsidP="00181977">
      <w:pPr>
        <w:pStyle w:val="Subheading1"/>
      </w:pPr>
      <w:r>
        <w:t xml:space="preserve">Infusion-Related Reactions (IRRs) and Hypersensitivity </w:t>
      </w:r>
    </w:p>
    <w:p w14:paraId="4F0A8EC8" w14:textId="0E982C3F" w:rsidR="00BC1D20" w:rsidRDefault="00BC1D20" w:rsidP="00BC1D20">
      <w:pPr>
        <w:pStyle w:val="Bodyofcontents"/>
      </w:pPr>
      <w:r>
        <w:t xml:space="preserve">IRRs such as chills and/or fever, dyspnoea, hypotension, wheezing, bronchospasm, tachycardia, reduced oxygen saturation and respiratory distress </w:t>
      </w:r>
      <w:proofErr w:type="gramStart"/>
      <w:r>
        <w:t>were seen</w:t>
      </w:r>
      <w:proofErr w:type="gramEnd"/>
      <w:r>
        <w:t xml:space="preserve"> in all </w:t>
      </w:r>
      <w:proofErr w:type="spellStart"/>
      <w:r w:rsidR="00920C71">
        <w:t>trastuzumab</w:t>
      </w:r>
      <w:proofErr w:type="spellEnd"/>
      <w:r>
        <w:t xml:space="preserve"> clinical trials (see PRECAUTIONS). </w:t>
      </w:r>
    </w:p>
    <w:p w14:paraId="63147DB3" w14:textId="77777777" w:rsidR="00BC1D20" w:rsidRDefault="00BC1D20" w:rsidP="00BC1D20">
      <w:pPr>
        <w:pStyle w:val="Bodyofcontents"/>
      </w:pPr>
      <w:r>
        <w:t xml:space="preserve">IRRS may be clinically difficult to distinguish from hypersensitivity reactions. </w:t>
      </w:r>
    </w:p>
    <w:p w14:paraId="24271D36" w14:textId="7EE6290D" w:rsidR="00BC1D20" w:rsidRDefault="00BC1D20" w:rsidP="00BC1D20">
      <w:pPr>
        <w:pStyle w:val="Bodyofcontents"/>
      </w:pPr>
      <w:r>
        <w:t xml:space="preserve">The rate of IRRs of all grades varied between studies depending on the indication, whether </w:t>
      </w:r>
      <w:proofErr w:type="spellStart"/>
      <w:r w:rsidR="00920C71">
        <w:t>trastuzumab</w:t>
      </w:r>
      <w:proofErr w:type="spellEnd"/>
      <w:r>
        <w:t xml:space="preserve"> </w:t>
      </w:r>
      <w:proofErr w:type="gramStart"/>
      <w:r>
        <w:t>was given</w:t>
      </w:r>
      <w:proofErr w:type="gramEnd"/>
      <w:r>
        <w:t xml:space="preserve"> concurrently with chemotherapy or as monotherapy and data collection methodology. </w:t>
      </w:r>
    </w:p>
    <w:p w14:paraId="0B986AA6" w14:textId="4CB39A5C" w:rsidR="00BC1D20" w:rsidRDefault="00BC1D20" w:rsidP="00BC1D20">
      <w:pPr>
        <w:pStyle w:val="Bodyofcontents"/>
      </w:pPr>
      <w:r>
        <w:t xml:space="preserve">In early breast cancer, the rate of IRRs ranged from 18% to 54% in the </w:t>
      </w:r>
      <w:proofErr w:type="spellStart"/>
      <w:proofErr w:type="gramStart"/>
      <w:r w:rsidR="00920C71">
        <w:t>trastuzumab</w:t>
      </w:r>
      <w:proofErr w:type="spellEnd"/>
      <w:r>
        <w:t xml:space="preserve"> containing</w:t>
      </w:r>
      <w:proofErr w:type="gramEnd"/>
      <w:r>
        <w:t xml:space="preserve"> arm compared to 6% to 50% in the comparator arm (which may have contained other chemotherapy). Severe reactions (grade </w:t>
      </w:r>
      <w:proofErr w:type="gramStart"/>
      <w:r>
        <w:t>3</w:t>
      </w:r>
      <w:proofErr w:type="gramEnd"/>
      <w:r>
        <w:t xml:space="preserve"> and above) ranged from 0.5% to 6% in the </w:t>
      </w:r>
      <w:proofErr w:type="spellStart"/>
      <w:r w:rsidR="00920C71">
        <w:t>trastuzumab</w:t>
      </w:r>
      <w:proofErr w:type="spellEnd"/>
      <w:r>
        <w:t xml:space="preserve"> containing arm compared to 0.3% to 5 % in the comparator arm. </w:t>
      </w:r>
    </w:p>
    <w:p w14:paraId="71402776" w14:textId="20C89036" w:rsidR="00BC1D20" w:rsidRDefault="00BC1D20" w:rsidP="00BC1D20">
      <w:pPr>
        <w:pStyle w:val="Bodyofcontents"/>
      </w:pPr>
      <w:r>
        <w:t xml:space="preserve">In metastatic breast cancer, the rate of IRRs ranged from 49% to 54% in the </w:t>
      </w:r>
      <w:proofErr w:type="spellStart"/>
      <w:r w:rsidR="00920C71">
        <w:t>trastuzumab</w:t>
      </w:r>
      <w:proofErr w:type="spellEnd"/>
      <w:r>
        <w:t xml:space="preserve"> containing arm compared to 36% to 58% in the comparator arm (which may have contained other chemotherapy), </w:t>
      </w:r>
      <w:r>
        <w:lastRenderedPageBreak/>
        <w:t xml:space="preserve">Severe reactions (grade 3 and above) ranged from 5 % to 7% in the </w:t>
      </w:r>
      <w:proofErr w:type="spellStart"/>
      <w:r w:rsidR="00920C71">
        <w:t>trastuzumab</w:t>
      </w:r>
      <w:proofErr w:type="spellEnd"/>
      <w:r>
        <w:t xml:space="preserve"> containing arm compared to 5% to 6% in the comparator arm. </w:t>
      </w:r>
    </w:p>
    <w:p w14:paraId="4536CCCF" w14:textId="77777777" w:rsidR="00BC1D20" w:rsidRDefault="00BC1D20" w:rsidP="00BC1D20">
      <w:pPr>
        <w:pStyle w:val="Bodyofcontents"/>
      </w:pPr>
      <w:proofErr w:type="spellStart"/>
      <w:r>
        <w:t>Anaphylactoid</w:t>
      </w:r>
      <w:proofErr w:type="spellEnd"/>
      <w:r>
        <w:t xml:space="preserve"> reactions </w:t>
      </w:r>
      <w:proofErr w:type="gramStart"/>
      <w:r>
        <w:t>were observed</w:t>
      </w:r>
      <w:proofErr w:type="gramEnd"/>
      <w:r>
        <w:t xml:space="preserve"> in isolated cases (see PRECAUTIONS). </w:t>
      </w:r>
    </w:p>
    <w:p w14:paraId="625BED40" w14:textId="77777777" w:rsidR="00BC1D20" w:rsidRDefault="00BC1D20" w:rsidP="00181977">
      <w:pPr>
        <w:pStyle w:val="Subheading1"/>
      </w:pPr>
      <w:r>
        <w:t xml:space="preserve">Cardiac Dysfunction </w:t>
      </w:r>
    </w:p>
    <w:p w14:paraId="7BA99819" w14:textId="499181FB" w:rsidR="00BC1D20" w:rsidRDefault="00BC1D20" w:rsidP="00BC1D20">
      <w:pPr>
        <w:pStyle w:val="Bodyofcontents"/>
      </w:pPr>
      <w:r w:rsidRPr="002936B8">
        <w:t xml:space="preserve">Congestive heart failure (NYHA Class II-IV) is a common adverse reaction to </w:t>
      </w:r>
      <w:proofErr w:type="spellStart"/>
      <w:r w:rsidR="00920C71">
        <w:t>trastuzumab</w:t>
      </w:r>
      <w:proofErr w:type="spellEnd"/>
      <w:r w:rsidRPr="002936B8">
        <w:t xml:space="preserve">. It has been associated with fatal outcome. Signs and symptoms of heart failure, such as dyspnoea, orthopnoea, increased cough, pulmonary oedema, pulmonary hypertension and S3 gallop or reduced ventricular ejection fraction, have been observed in patients treated with </w:t>
      </w:r>
      <w:proofErr w:type="spellStart"/>
      <w:r w:rsidR="00920C71">
        <w:t>trastuzumab</w:t>
      </w:r>
      <w:proofErr w:type="spellEnd"/>
      <w:r w:rsidRPr="002936B8">
        <w:t xml:space="preserve"> (see </w:t>
      </w:r>
      <w:r>
        <w:t xml:space="preserve">PRECAUTIONS). </w:t>
      </w:r>
    </w:p>
    <w:p w14:paraId="343CEDD8" w14:textId="77777777" w:rsidR="00BC1D20" w:rsidRDefault="00BC1D20" w:rsidP="00181977">
      <w:pPr>
        <w:pStyle w:val="Subheading2"/>
      </w:pPr>
      <w:r>
        <w:t>Locally Advanced Breast Cancer (</w:t>
      </w:r>
      <w:proofErr w:type="spellStart"/>
      <w:r>
        <w:t>neoadjuvant</w:t>
      </w:r>
      <w:proofErr w:type="spellEnd"/>
      <w:r>
        <w:t xml:space="preserve"> –adjuvant setting) </w:t>
      </w:r>
    </w:p>
    <w:p w14:paraId="207D4D90" w14:textId="6BAA37C4" w:rsidR="00BC1D20" w:rsidRDefault="00BC1D20" w:rsidP="00BC1D20">
      <w:pPr>
        <w:pStyle w:val="Bodyofcontents"/>
        <w:rPr>
          <w:szCs w:val="22"/>
        </w:rPr>
      </w:pPr>
      <w:r>
        <w:t xml:space="preserve">In the clinical trial setting, when </w:t>
      </w:r>
      <w:proofErr w:type="spellStart"/>
      <w:r w:rsidR="00920C71">
        <w:t>trastuzumab</w:t>
      </w:r>
      <w:proofErr w:type="spellEnd"/>
      <w:r>
        <w:t xml:space="preserve"> was administered concurrently with </w:t>
      </w:r>
      <w:proofErr w:type="spellStart"/>
      <w:r>
        <w:t>neoadjuvant</w:t>
      </w:r>
      <w:proofErr w:type="spellEnd"/>
      <w:r>
        <w:t xml:space="preserve"> chemotherapy containing 3-4 cycles of a </w:t>
      </w:r>
      <w:proofErr w:type="spellStart"/>
      <w:r>
        <w:t>neoadjuvant</w:t>
      </w:r>
      <w:proofErr w:type="spellEnd"/>
      <w:r>
        <w:t xml:space="preserve"> </w:t>
      </w:r>
      <w:proofErr w:type="spellStart"/>
      <w:r>
        <w:t>anthracycline</w:t>
      </w:r>
      <w:proofErr w:type="spellEnd"/>
      <w:r>
        <w:t xml:space="preserve"> (cumulative doxorubicin </w:t>
      </w:r>
      <w:r>
        <w:rPr>
          <w:szCs w:val="22"/>
        </w:rPr>
        <w:t>dose 180 mg/m</w:t>
      </w:r>
      <w:r w:rsidRPr="00DF210C">
        <w:rPr>
          <w:vertAlign w:val="subscript"/>
        </w:rPr>
        <w:t xml:space="preserve">2 </w:t>
      </w:r>
      <w:r>
        <w:rPr>
          <w:szCs w:val="22"/>
        </w:rPr>
        <w:t xml:space="preserve">or </w:t>
      </w:r>
      <w:proofErr w:type="spellStart"/>
      <w:r>
        <w:rPr>
          <w:szCs w:val="22"/>
        </w:rPr>
        <w:t>epirubicin</w:t>
      </w:r>
      <w:proofErr w:type="spellEnd"/>
      <w:r>
        <w:rPr>
          <w:szCs w:val="22"/>
        </w:rPr>
        <w:t xml:space="preserve"> dose 360 mg/m</w:t>
      </w:r>
      <w:r w:rsidRPr="00DF210C">
        <w:rPr>
          <w:vertAlign w:val="subscript"/>
        </w:rPr>
        <w:t>2</w:t>
      </w:r>
      <w:r>
        <w:rPr>
          <w:szCs w:val="22"/>
        </w:rPr>
        <w:t xml:space="preserve">) overall, the incidence of symptomatic cardiac dysfunction was up to 1.7 % in the </w:t>
      </w:r>
      <w:proofErr w:type="spellStart"/>
      <w:r w:rsidR="00920C71">
        <w:t>trastuzumab</w:t>
      </w:r>
      <w:proofErr w:type="spellEnd"/>
      <w:r>
        <w:rPr>
          <w:szCs w:val="22"/>
        </w:rPr>
        <w:t xml:space="preserve"> arm. </w:t>
      </w:r>
    </w:p>
    <w:p w14:paraId="02155BD7" w14:textId="77777777" w:rsidR="00BC1D20" w:rsidRDefault="00BC1D20" w:rsidP="00181977">
      <w:pPr>
        <w:pStyle w:val="Subheading2"/>
      </w:pPr>
      <w:r>
        <w:t xml:space="preserve">Early Breast Cancer (adjuvant setting) </w:t>
      </w:r>
    </w:p>
    <w:p w14:paraId="0871085F" w14:textId="4C9EAB7F" w:rsidR="00BC1D20" w:rsidRDefault="00BC1D20" w:rsidP="00BC1D20">
      <w:pPr>
        <w:pStyle w:val="Bodyofcontents"/>
        <w:rPr>
          <w:szCs w:val="22"/>
        </w:rPr>
      </w:pPr>
      <w:r>
        <w:rPr>
          <w:szCs w:val="22"/>
        </w:rPr>
        <w:t xml:space="preserve">In 3 pivotal clinical trials of adjuvant </w:t>
      </w:r>
      <w:proofErr w:type="spellStart"/>
      <w:r w:rsidR="00920C71">
        <w:t>trastuzumab</w:t>
      </w:r>
      <w:proofErr w:type="spellEnd"/>
      <w:r>
        <w:rPr>
          <w:szCs w:val="22"/>
        </w:rPr>
        <w:t xml:space="preserve"> given in combination with chemotherapy the incidence of grade 3/4 cardiac dysfunction (symptomatic CHF) was similar in patients who were administered chemotherapy alone and in patients who were administered </w:t>
      </w:r>
      <w:proofErr w:type="spellStart"/>
      <w:r w:rsidR="00920C71">
        <w:t>trastuzumab</w:t>
      </w:r>
      <w:proofErr w:type="spellEnd"/>
      <w:r>
        <w:rPr>
          <w:szCs w:val="22"/>
        </w:rPr>
        <w:t xml:space="preserve"> sequentially to a </w:t>
      </w:r>
      <w:proofErr w:type="spellStart"/>
      <w:r>
        <w:rPr>
          <w:szCs w:val="22"/>
        </w:rPr>
        <w:t>taxane</w:t>
      </w:r>
      <w:proofErr w:type="spellEnd"/>
      <w:r>
        <w:rPr>
          <w:szCs w:val="22"/>
        </w:rPr>
        <w:t xml:space="preserve"> (0.3 - 0.4%). The rate was highest in patients who were administered </w:t>
      </w:r>
      <w:proofErr w:type="spellStart"/>
      <w:r w:rsidR="00920C71">
        <w:t>trastuzumab</w:t>
      </w:r>
      <w:proofErr w:type="spellEnd"/>
      <w:r>
        <w:rPr>
          <w:szCs w:val="22"/>
        </w:rPr>
        <w:t xml:space="preserve"> concurrently with a </w:t>
      </w:r>
      <w:proofErr w:type="spellStart"/>
      <w:r>
        <w:rPr>
          <w:szCs w:val="22"/>
        </w:rPr>
        <w:t>taxane</w:t>
      </w:r>
      <w:proofErr w:type="spellEnd"/>
      <w:r>
        <w:rPr>
          <w:szCs w:val="22"/>
        </w:rPr>
        <w:t xml:space="preserve"> (2.0%). At 3 years, the cardiac event rate in patients receiving AC→P (doxorubicin plus cyclophosphamide followed by paclitaxel) + H (</w:t>
      </w:r>
      <w:proofErr w:type="spellStart"/>
      <w:r w:rsidR="00920C71">
        <w:t>trastuzumab</w:t>
      </w:r>
      <w:proofErr w:type="spellEnd"/>
      <w:r>
        <w:rPr>
          <w:szCs w:val="22"/>
        </w:rPr>
        <w:t xml:space="preserve">) </w:t>
      </w:r>
      <w:proofErr w:type="gramStart"/>
      <w:r>
        <w:rPr>
          <w:szCs w:val="22"/>
        </w:rPr>
        <w:t>was estimated</w:t>
      </w:r>
      <w:proofErr w:type="gramEnd"/>
      <w:r>
        <w:rPr>
          <w:szCs w:val="22"/>
        </w:rPr>
        <w:t xml:space="preserve"> at 3.2%, compared with 0.8% in AC→P treated patients. No increase in the cumulative incidence of cardiac events </w:t>
      </w:r>
      <w:proofErr w:type="gramStart"/>
      <w:r>
        <w:rPr>
          <w:szCs w:val="22"/>
        </w:rPr>
        <w:t>was seen</w:t>
      </w:r>
      <w:proofErr w:type="gramEnd"/>
      <w:r>
        <w:rPr>
          <w:szCs w:val="22"/>
        </w:rPr>
        <w:t xml:space="preserve"> with further follow-up at 5 years. </w:t>
      </w:r>
    </w:p>
    <w:p w14:paraId="735AE001" w14:textId="7E25F941" w:rsidR="00BC1D20" w:rsidRDefault="00BC1D20" w:rsidP="00BC1D20">
      <w:pPr>
        <w:pStyle w:val="Bodyofcontents"/>
        <w:rPr>
          <w:szCs w:val="22"/>
        </w:rPr>
      </w:pPr>
      <w:r>
        <w:rPr>
          <w:szCs w:val="22"/>
        </w:rPr>
        <w:t xml:space="preserve">At 5.5 years, the rates of symptomatic cardiac or LVEF events were 1.0%, 2.3%, and 1.1% in the AC→D (doxorubicin plus cyclophosphamide, followed by docetaxel), AC→DH (doxorubicin plus cyclophosphamide, followed by docetaxel plus </w:t>
      </w:r>
      <w:proofErr w:type="spellStart"/>
      <w:r>
        <w:rPr>
          <w:szCs w:val="22"/>
        </w:rPr>
        <w:t>trastuzumab</w:t>
      </w:r>
      <w:proofErr w:type="spellEnd"/>
      <w:r>
        <w:rPr>
          <w:szCs w:val="22"/>
        </w:rPr>
        <w:t xml:space="preserve">), and </w:t>
      </w:r>
      <w:proofErr w:type="spellStart"/>
      <w:r>
        <w:rPr>
          <w:szCs w:val="22"/>
        </w:rPr>
        <w:t>DCarbH</w:t>
      </w:r>
      <w:proofErr w:type="spellEnd"/>
      <w:r>
        <w:rPr>
          <w:szCs w:val="22"/>
        </w:rPr>
        <w:t xml:space="preserve"> (docetaxel, carboplatin and </w:t>
      </w:r>
      <w:proofErr w:type="spellStart"/>
      <w:r w:rsidR="00920C71">
        <w:t>trastuzumab</w:t>
      </w:r>
      <w:proofErr w:type="spellEnd"/>
      <w:r>
        <w:rPr>
          <w:szCs w:val="22"/>
        </w:rPr>
        <w:t xml:space="preserve">) treatment arms, respectively. For symptomatic CHF (NCI-CTC Grade 3 - 4), the 5-year rates were 0.6%, 1.9%, and 0.4% in the AC→D, AC→DH, and </w:t>
      </w:r>
      <w:proofErr w:type="spellStart"/>
      <w:r>
        <w:rPr>
          <w:szCs w:val="22"/>
        </w:rPr>
        <w:t>DCarbH</w:t>
      </w:r>
      <w:proofErr w:type="spellEnd"/>
      <w:r>
        <w:rPr>
          <w:szCs w:val="22"/>
        </w:rPr>
        <w:t xml:space="preserve"> treatment arms, respectively. </w:t>
      </w:r>
      <w:proofErr w:type="gramStart"/>
      <w:r>
        <w:rPr>
          <w:szCs w:val="22"/>
        </w:rPr>
        <w:t xml:space="preserve">The overall risk of developing symptomatic cardiac events was low and similar for patients in AC→D and </w:t>
      </w:r>
      <w:proofErr w:type="spellStart"/>
      <w:r>
        <w:rPr>
          <w:szCs w:val="22"/>
        </w:rPr>
        <w:t>DCarbH</w:t>
      </w:r>
      <w:proofErr w:type="spellEnd"/>
      <w:r>
        <w:rPr>
          <w:szCs w:val="22"/>
        </w:rPr>
        <w:t xml:space="preserve"> arms; relative to both the AC→D and </w:t>
      </w:r>
      <w:proofErr w:type="spellStart"/>
      <w:r>
        <w:rPr>
          <w:szCs w:val="22"/>
        </w:rPr>
        <w:t>DCarbH</w:t>
      </w:r>
      <w:proofErr w:type="spellEnd"/>
      <w:r>
        <w:rPr>
          <w:szCs w:val="22"/>
        </w:rPr>
        <w:t xml:space="preserve"> arms there was an increased risk of developing a symptomatic cardiac event for patients in the AC→DH arm, being </w:t>
      </w:r>
      <w:proofErr w:type="spellStart"/>
      <w:r>
        <w:rPr>
          <w:szCs w:val="22"/>
        </w:rPr>
        <w:t>discernable</w:t>
      </w:r>
      <w:proofErr w:type="spellEnd"/>
      <w:r>
        <w:rPr>
          <w:szCs w:val="22"/>
        </w:rPr>
        <w:t xml:space="preserve"> by a continuous increase in the cumulative rate of symptomatic cardiac or LVEF events up to 2.3% compared to approximately 1% in the two comparator arms (AC→D and </w:t>
      </w:r>
      <w:proofErr w:type="spellStart"/>
      <w:r>
        <w:rPr>
          <w:szCs w:val="22"/>
        </w:rPr>
        <w:t>DCarbH</w:t>
      </w:r>
      <w:proofErr w:type="spellEnd"/>
      <w:r>
        <w:rPr>
          <w:szCs w:val="22"/>
        </w:rPr>
        <w:t>).</w:t>
      </w:r>
      <w:proofErr w:type="gramEnd"/>
      <w:r>
        <w:rPr>
          <w:szCs w:val="22"/>
        </w:rPr>
        <w:t xml:space="preserve"> </w:t>
      </w:r>
    </w:p>
    <w:p w14:paraId="00507FBE" w14:textId="2E954880" w:rsidR="00BC1D20" w:rsidRDefault="00BC1D20" w:rsidP="000E60EC">
      <w:pPr>
        <w:pStyle w:val="Bodyofcontents"/>
        <w:spacing w:after="160"/>
        <w:rPr>
          <w:szCs w:val="22"/>
        </w:rPr>
      </w:pPr>
      <w:r>
        <w:rPr>
          <w:szCs w:val="22"/>
        </w:rPr>
        <w:t xml:space="preserve">When </w:t>
      </w:r>
      <w:proofErr w:type="spellStart"/>
      <w:r w:rsidR="00920C71">
        <w:t>trastuzumab</w:t>
      </w:r>
      <w:proofErr w:type="spellEnd"/>
      <w:r>
        <w:rPr>
          <w:szCs w:val="22"/>
        </w:rPr>
        <w:t xml:space="preserve"> was administered after completion of adjuvant chemotherapy, NYHA class III-IV heart failure was observed in 0.6% of patients in the </w:t>
      </w:r>
      <w:proofErr w:type="gramStart"/>
      <w:r>
        <w:rPr>
          <w:szCs w:val="22"/>
        </w:rPr>
        <w:t>1 year</w:t>
      </w:r>
      <w:proofErr w:type="gramEnd"/>
      <w:r>
        <w:rPr>
          <w:szCs w:val="22"/>
        </w:rPr>
        <w:t xml:space="preserve"> arm after a median follow up of 12 months. After a median follow-up of 3.6 </w:t>
      </w:r>
      <w:proofErr w:type="gramStart"/>
      <w:r>
        <w:rPr>
          <w:szCs w:val="22"/>
        </w:rPr>
        <w:t>years</w:t>
      </w:r>
      <w:proofErr w:type="gramEnd"/>
      <w:r>
        <w:rPr>
          <w:szCs w:val="22"/>
        </w:rPr>
        <w:t xml:space="preserve"> the incidence of severe CHF and left ventricular dysfunction after 1 year </w:t>
      </w:r>
      <w:proofErr w:type="spellStart"/>
      <w:r w:rsidR="00920C71">
        <w:t>trastuzumab</w:t>
      </w:r>
      <w:proofErr w:type="spellEnd"/>
      <w:r>
        <w:rPr>
          <w:szCs w:val="22"/>
        </w:rPr>
        <w:t xml:space="preserve"> therapy remained low at 0.8% and 9.8%, respectively. </w:t>
      </w:r>
    </w:p>
    <w:p w14:paraId="2B414A41" w14:textId="378F73AF" w:rsidR="00BC1D20" w:rsidRDefault="00BC1D20" w:rsidP="000E60EC">
      <w:pPr>
        <w:pStyle w:val="Bodyofcontents"/>
        <w:spacing w:after="160"/>
        <w:rPr>
          <w:szCs w:val="22"/>
        </w:rPr>
      </w:pPr>
      <w:r>
        <w:rPr>
          <w:szCs w:val="22"/>
        </w:rPr>
        <w:t xml:space="preserve">After a median follow-up of 8 years the incidence of severe CHF (NYHA Class III &amp; IV) following 1 year of </w:t>
      </w:r>
      <w:proofErr w:type="spellStart"/>
      <w:r w:rsidR="00920C71">
        <w:t>trastuzumab</w:t>
      </w:r>
      <w:proofErr w:type="spellEnd"/>
      <w:r>
        <w:rPr>
          <w:szCs w:val="22"/>
        </w:rPr>
        <w:t xml:space="preserve"> therapy (combined analysis of the two </w:t>
      </w:r>
      <w:proofErr w:type="spellStart"/>
      <w:r w:rsidR="00920C71">
        <w:t>trastuzumab</w:t>
      </w:r>
      <w:proofErr w:type="spellEnd"/>
      <w:r>
        <w:rPr>
          <w:szCs w:val="22"/>
        </w:rPr>
        <w:t xml:space="preserve"> treatment arms) was 0.8%, and the rate of mild symptomatic and asymptomatic left ventricular dysfunction was 4.6%. </w:t>
      </w:r>
    </w:p>
    <w:p w14:paraId="02CA7C3B" w14:textId="097317BE" w:rsidR="00BC1D20" w:rsidRDefault="00BC1D20" w:rsidP="000E60EC">
      <w:pPr>
        <w:pStyle w:val="Bodyofcontents"/>
        <w:spacing w:after="160"/>
        <w:rPr>
          <w:szCs w:val="22"/>
        </w:rPr>
      </w:pPr>
      <w:r>
        <w:rPr>
          <w:szCs w:val="22"/>
        </w:rPr>
        <w:t>Reversibility of severe CHF (defined as a sequence of at lea</w:t>
      </w:r>
      <w:r w:rsidR="00181977">
        <w:rPr>
          <w:szCs w:val="22"/>
        </w:rPr>
        <w:t xml:space="preserve">st two consecutive LVEF values </w:t>
      </w:r>
      <w:r w:rsidR="00181977">
        <w:t>≥</w:t>
      </w:r>
      <w:r>
        <w:rPr>
          <w:szCs w:val="22"/>
        </w:rPr>
        <w:t xml:space="preserve"> 50% after the event) was evident for 71.4% of </w:t>
      </w:r>
      <w:proofErr w:type="spellStart"/>
      <w:r w:rsidR="00920C71">
        <w:t>trastuzumab</w:t>
      </w:r>
      <w:proofErr w:type="spellEnd"/>
      <w:r>
        <w:rPr>
          <w:szCs w:val="22"/>
        </w:rPr>
        <w:t xml:space="preserve">-treated patients. Reversibility of mild symptomatic and asymptomatic left ventricular dysfunction </w:t>
      </w:r>
      <w:proofErr w:type="gramStart"/>
      <w:r>
        <w:rPr>
          <w:szCs w:val="22"/>
        </w:rPr>
        <w:t>was demonstrated</w:t>
      </w:r>
      <w:proofErr w:type="gramEnd"/>
      <w:r>
        <w:rPr>
          <w:szCs w:val="22"/>
        </w:rPr>
        <w:t xml:space="preserve"> for 79.5% of </w:t>
      </w:r>
      <w:proofErr w:type="spellStart"/>
      <w:r w:rsidR="00920C71">
        <w:lastRenderedPageBreak/>
        <w:t>trastuzumab</w:t>
      </w:r>
      <w:proofErr w:type="spellEnd"/>
      <w:r>
        <w:rPr>
          <w:szCs w:val="22"/>
        </w:rPr>
        <w:t xml:space="preserve">-treated patients. Approximately 17% of cardiac dysfunction related events occurred after completion of </w:t>
      </w:r>
      <w:proofErr w:type="spellStart"/>
      <w:r w:rsidR="00920C71">
        <w:t>trastuzumab</w:t>
      </w:r>
      <w:proofErr w:type="spellEnd"/>
      <w:r>
        <w:rPr>
          <w:szCs w:val="22"/>
        </w:rPr>
        <w:t xml:space="preserve">. </w:t>
      </w:r>
    </w:p>
    <w:p w14:paraId="2D0C926A" w14:textId="77777777" w:rsidR="00BC1D20" w:rsidRDefault="00BC1D20" w:rsidP="00BC1D20">
      <w:pPr>
        <w:pStyle w:val="Bodyofcontents"/>
        <w:rPr>
          <w:szCs w:val="22"/>
        </w:rPr>
      </w:pPr>
      <w:r>
        <w:rPr>
          <w:szCs w:val="22"/>
        </w:rPr>
        <w:t xml:space="preserve">In the joint analysis of studies NSABP B-31 and NCCTG N9831, with a median follow-up of 8.1 years for the AC→PH group (doxorubicin plus cyclophosphamide, followed by paclitaxel plus </w:t>
      </w:r>
      <w:proofErr w:type="spellStart"/>
      <w:r>
        <w:rPr>
          <w:szCs w:val="22"/>
        </w:rPr>
        <w:t>trastuzumab</w:t>
      </w:r>
      <w:proofErr w:type="spellEnd"/>
      <w:r>
        <w:rPr>
          <w:szCs w:val="22"/>
        </w:rPr>
        <w:t xml:space="preserve">): in patients with a symptomatic CHF event, while data are missing for 22.6%, 64.5% </w:t>
      </w:r>
      <w:proofErr w:type="gramStart"/>
      <w:r>
        <w:rPr>
          <w:szCs w:val="22"/>
        </w:rPr>
        <w:t>were known</w:t>
      </w:r>
      <w:proofErr w:type="gramEnd"/>
      <w:r>
        <w:rPr>
          <w:szCs w:val="22"/>
        </w:rPr>
        <w:t xml:space="preserve"> to recover, and 12.9% experienced no recovery. The median time to first recovery by LVEF status occurred at 8.3 months (range 1 – 104 months); 90.3% experienced a full or partial LVEF recovery.</w:t>
      </w:r>
    </w:p>
    <w:p w14:paraId="5659C214" w14:textId="77777777" w:rsidR="00BC1D20" w:rsidRDefault="00BC1D20" w:rsidP="000E60EC">
      <w:pPr>
        <w:pStyle w:val="Subheading2"/>
        <w:spacing w:after="160"/>
      </w:pPr>
      <w:r>
        <w:t xml:space="preserve">Metastatic Breast Cancer </w:t>
      </w:r>
    </w:p>
    <w:p w14:paraId="4C775461" w14:textId="3D863A48" w:rsidR="00BC1D20" w:rsidRDefault="00BC1D20" w:rsidP="00BC1D20">
      <w:pPr>
        <w:pStyle w:val="Bodyofcontents"/>
      </w:pPr>
      <w:r>
        <w:t xml:space="preserve">Depending on the criteria used to define cardiac dysfunction, the incidence in the pivotal metastatic trials varied between 9% and 12% in the </w:t>
      </w:r>
      <w:proofErr w:type="spellStart"/>
      <w:r w:rsidR="00920C71">
        <w:t>trastuzumab</w:t>
      </w:r>
      <w:proofErr w:type="spellEnd"/>
      <w:r>
        <w:t xml:space="preserve"> + paclitaxel subgroup, compared with 1% - 4% for the paclitaxel-alone subgroup. For </w:t>
      </w:r>
      <w:proofErr w:type="spellStart"/>
      <w:r w:rsidR="00920C71">
        <w:t>trastuzumab</w:t>
      </w:r>
      <w:proofErr w:type="spellEnd"/>
      <w:r>
        <w:t xml:space="preserve"> monotherapy, the rate was 6 - 9%. The highest rate of cardiac dysfunction </w:t>
      </w:r>
      <w:proofErr w:type="gramStart"/>
      <w:r>
        <w:t>was seen</w:t>
      </w:r>
      <w:proofErr w:type="gramEnd"/>
      <w:r>
        <w:t xml:space="preserve"> in patients receiving concurrent </w:t>
      </w:r>
      <w:proofErr w:type="spellStart"/>
      <w:r w:rsidR="00920C71">
        <w:t>trastuzumab</w:t>
      </w:r>
      <w:proofErr w:type="spellEnd"/>
      <w:r>
        <w:t xml:space="preserve"> + </w:t>
      </w:r>
      <w:proofErr w:type="spellStart"/>
      <w:r>
        <w:t>anthracycline</w:t>
      </w:r>
      <w:proofErr w:type="spellEnd"/>
      <w:r>
        <w:t xml:space="preserve"> / cyclophosphamide (27%), significantly higher than in the </w:t>
      </w:r>
      <w:proofErr w:type="spellStart"/>
      <w:r>
        <w:t>anthracycline</w:t>
      </w:r>
      <w:proofErr w:type="spellEnd"/>
      <w:r>
        <w:t xml:space="preserve"> / cyclophosphamide-alone subgroup (7 - 10%). In study M77001 with prospective monitoring of cardiac function, the incidence of symptomatic heart failure was 2.2% in patients receiving </w:t>
      </w:r>
      <w:proofErr w:type="spellStart"/>
      <w:r w:rsidR="00920C71">
        <w:t>trastuzumab</w:t>
      </w:r>
      <w:proofErr w:type="spellEnd"/>
      <w:r>
        <w:t xml:space="preserve"> and docetaxel, compared with 0% in patients receiving docetaxel-alone. Most of the patients (79%) who developed cardiac dysfunction in these trials experienced an improvement after receiving standard treatment for heart failure. </w:t>
      </w:r>
    </w:p>
    <w:p w14:paraId="18ECE249" w14:textId="77777777" w:rsidR="00BC1D20" w:rsidRDefault="00BC1D20" w:rsidP="000E60EC">
      <w:pPr>
        <w:pStyle w:val="Subheading2"/>
        <w:spacing w:after="160"/>
      </w:pPr>
      <w:r>
        <w:t xml:space="preserve">Advanced Gastric Cancer </w:t>
      </w:r>
    </w:p>
    <w:p w14:paraId="52B1C437" w14:textId="20BB1A20" w:rsidR="00BC1D20" w:rsidRDefault="00BC1D20" w:rsidP="000E60EC">
      <w:pPr>
        <w:pStyle w:val="Bodyofcontents"/>
        <w:spacing w:after="160"/>
      </w:pPr>
      <w:r>
        <w:t>In Study BO18255 (</w:t>
      </w:r>
      <w:proofErr w:type="spellStart"/>
      <w:r>
        <w:t>ToGA</w:t>
      </w:r>
      <w:proofErr w:type="spellEnd"/>
      <w:r>
        <w:t xml:space="preserve">), at screening, the median LVEF value was 64% (range 48% - 90%) in the </w:t>
      </w:r>
      <w:proofErr w:type="spellStart"/>
      <w:r>
        <w:t>fluoropyrimidine</w:t>
      </w:r>
      <w:proofErr w:type="spellEnd"/>
      <w:r>
        <w:t xml:space="preserve">/cisplatin (FP) arm and 65% (range 50% - 86%) in the </w:t>
      </w:r>
      <w:proofErr w:type="spellStart"/>
      <w:r w:rsidR="00920C71">
        <w:t>trastuzumab</w:t>
      </w:r>
      <w:proofErr w:type="spellEnd"/>
      <w:r>
        <w:t xml:space="preserve"> + FP arm. </w:t>
      </w:r>
    </w:p>
    <w:p w14:paraId="08C14694" w14:textId="44E5EF4D" w:rsidR="00BC1D20" w:rsidRDefault="00BC1D20" w:rsidP="000E60EC">
      <w:pPr>
        <w:pStyle w:val="Bodyofcontents"/>
        <w:spacing w:after="160"/>
      </w:pPr>
      <w:r>
        <w:t>The majority of the LVEF decreases noted in Study BO18255 (</w:t>
      </w:r>
      <w:proofErr w:type="spellStart"/>
      <w:r>
        <w:t>ToGA</w:t>
      </w:r>
      <w:proofErr w:type="spellEnd"/>
      <w:r>
        <w:t xml:space="preserve">) were asymptomatic, with the exception of </w:t>
      </w:r>
      <w:proofErr w:type="gramStart"/>
      <w:r>
        <w:t>1</w:t>
      </w:r>
      <w:proofErr w:type="gramEnd"/>
      <w:r>
        <w:t xml:space="preserve"> patient in the </w:t>
      </w:r>
      <w:proofErr w:type="spellStart"/>
      <w:r w:rsidR="00920C71">
        <w:t>trastuzumab</w:t>
      </w:r>
      <w:proofErr w:type="spellEnd"/>
      <w:r>
        <w:t xml:space="preserve"> arm whose LVEF decrease coincided with cardiac failure.</w:t>
      </w:r>
    </w:p>
    <w:p w14:paraId="79BD5203" w14:textId="77777777" w:rsidR="00BC1D20" w:rsidRDefault="00BC1D20" w:rsidP="000E60EC">
      <w:pPr>
        <w:pStyle w:val="TableTitle"/>
        <w:spacing w:after="80"/>
      </w:pPr>
      <w:r>
        <w:t>Table 14: Summary of LVEF Change from baseline (Study BO18255)</w:t>
      </w:r>
    </w:p>
    <w:tbl>
      <w:tblPr>
        <w:tblStyle w:val="TableGrid"/>
        <w:tblW w:w="0" w:type="auto"/>
        <w:tblLook w:val="04A0" w:firstRow="1" w:lastRow="0" w:firstColumn="1" w:lastColumn="0" w:noHBand="0" w:noVBand="1"/>
      </w:tblPr>
      <w:tblGrid>
        <w:gridCol w:w="3005"/>
        <w:gridCol w:w="3005"/>
        <w:gridCol w:w="3006"/>
      </w:tblGrid>
      <w:tr w:rsidR="00BC1D20" w14:paraId="68141399" w14:textId="77777777" w:rsidTr="00BC1D20">
        <w:tc>
          <w:tcPr>
            <w:tcW w:w="3005" w:type="dxa"/>
          </w:tcPr>
          <w:p w14:paraId="6F002A68" w14:textId="77777777" w:rsidR="00BC1D20" w:rsidRPr="002936B8" w:rsidRDefault="00BC1D20" w:rsidP="002936B8">
            <w:pPr>
              <w:pStyle w:val="TableHeading"/>
              <w:jc w:val="center"/>
            </w:pPr>
            <w:r w:rsidRPr="002936B8">
              <w:t>LVEF Decrease</w:t>
            </w:r>
            <w:r w:rsidRPr="00920C71">
              <w:rPr>
                <w:vertAlign w:val="superscript"/>
              </w:rPr>
              <w:t>#</w:t>
            </w:r>
            <w:r w:rsidRPr="002936B8">
              <w:t>:</w:t>
            </w:r>
          </w:p>
          <w:p w14:paraId="7467D895" w14:textId="77777777" w:rsidR="00BC1D20" w:rsidRPr="002936B8" w:rsidRDefault="00BC1D20" w:rsidP="002936B8">
            <w:pPr>
              <w:pStyle w:val="TableHeading"/>
              <w:jc w:val="center"/>
            </w:pPr>
            <w:r w:rsidRPr="002936B8">
              <w:t>Lowest Post-screening Value</w:t>
            </w:r>
          </w:p>
        </w:tc>
        <w:tc>
          <w:tcPr>
            <w:tcW w:w="3005" w:type="dxa"/>
          </w:tcPr>
          <w:p w14:paraId="4EECAF42" w14:textId="77777777" w:rsidR="00BC1D20" w:rsidRPr="002936B8" w:rsidRDefault="00BC1D20" w:rsidP="002936B8">
            <w:pPr>
              <w:pStyle w:val="TableHeading"/>
              <w:jc w:val="center"/>
            </w:pPr>
            <w:r w:rsidRPr="002936B8">
              <w:t>FP</w:t>
            </w:r>
          </w:p>
          <w:p w14:paraId="690C5CCD" w14:textId="77777777" w:rsidR="00BC1D20" w:rsidRPr="002936B8" w:rsidRDefault="00BC1D20" w:rsidP="002936B8">
            <w:pPr>
              <w:pStyle w:val="TableHeading"/>
              <w:jc w:val="center"/>
            </w:pPr>
            <w:r w:rsidRPr="002936B8">
              <w:t>(</w:t>
            </w:r>
            <w:r w:rsidRPr="00920C71">
              <w:rPr>
                <w:i/>
              </w:rPr>
              <w:t>n</w:t>
            </w:r>
            <w:r w:rsidRPr="002936B8">
              <w:t xml:space="preserve"> = 290)</w:t>
            </w:r>
          </w:p>
          <w:p w14:paraId="1A511EE8" w14:textId="77777777" w:rsidR="00BC1D20" w:rsidRPr="002936B8" w:rsidRDefault="00BC1D20" w:rsidP="002936B8">
            <w:pPr>
              <w:pStyle w:val="TableHeading"/>
              <w:jc w:val="center"/>
            </w:pPr>
            <w:r w:rsidRPr="002936B8">
              <w:t>(% patients in each treatment arm)</w:t>
            </w:r>
          </w:p>
        </w:tc>
        <w:tc>
          <w:tcPr>
            <w:tcW w:w="3006" w:type="dxa"/>
          </w:tcPr>
          <w:p w14:paraId="351B7C7B" w14:textId="77777777" w:rsidR="00BC1D20" w:rsidRPr="002936B8" w:rsidRDefault="00BC1D20" w:rsidP="002936B8">
            <w:pPr>
              <w:pStyle w:val="TableHeading"/>
              <w:jc w:val="center"/>
            </w:pPr>
            <w:r w:rsidRPr="002936B8">
              <w:t>FP + H</w:t>
            </w:r>
          </w:p>
          <w:p w14:paraId="7A83381F" w14:textId="77777777" w:rsidR="00BC1D20" w:rsidRPr="002936B8" w:rsidRDefault="00BC1D20" w:rsidP="002936B8">
            <w:pPr>
              <w:pStyle w:val="TableHeading"/>
              <w:jc w:val="center"/>
            </w:pPr>
            <w:r w:rsidRPr="002936B8">
              <w:t>(</w:t>
            </w:r>
            <w:r w:rsidRPr="00920C71">
              <w:rPr>
                <w:i/>
              </w:rPr>
              <w:t>n</w:t>
            </w:r>
            <w:r w:rsidRPr="002936B8">
              <w:t xml:space="preserve"> = 294)</w:t>
            </w:r>
          </w:p>
          <w:p w14:paraId="170CFB5E" w14:textId="77777777" w:rsidR="00BC1D20" w:rsidRPr="002936B8" w:rsidRDefault="00BC1D20" w:rsidP="002936B8">
            <w:pPr>
              <w:pStyle w:val="TableHeading"/>
              <w:jc w:val="center"/>
            </w:pPr>
            <w:r w:rsidRPr="002936B8">
              <w:t>(% patients in each treatment arm)</w:t>
            </w:r>
          </w:p>
        </w:tc>
      </w:tr>
      <w:tr w:rsidR="00BC1D20" w14:paraId="57D98629" w14:textId="77777777" w:rsidTr="00BC1D20">
        <w:tc>
          <w:tcPr>
            <w:tcW w:w="3005" w:type="dxa"/>
          </w:tcPr>
          <w:p w14:paraId="6540B53D" w14:textId="77777777" w:rsidR="00BC1D20" w:rsidRDefault="00181977" w:rsidP="009D7260">
            <w:pPr>
              <w:pStyle w:val="TableBody"/>
            </w:pPr>
            <w:r>
              <w:t>LVEF decrease ≥</w:t>
            </w:r>
            <w:r w:rsidR="00BC1D20">
              <w:t xml:space="preserve">10% to &lt;50% </w:t>
            </w:r>
          </w:p>
        </w:tc>
        <w:tc>
          <w:tcPr>
            <w:tcW w:w="3005" w:type="dxa"/>
          </w:tcPr>
          <w:p w14:paraId="7E75CB22" w14:textId="77777777" w:rsidR="00BC1D20" w:rsidRPr="002936B8" w:rsidRDefault="00BC1D20" w:rsidP="002936B8">
            <w:pPr>
              <w:pStyle w:val="TableBody"/>
              <w:jc w:val="center"/>
            </w:pPr>
            <w:r w:rsidRPr="002936B8">
              <w:t>1.1%</w:t>
            </w:r>
          </w:p>
        </w:tc>
        <w:tc>
          <w:tcPr>
            <w:tcW w:w="3006" w:type="dxa"/>
          </w:tcPr>
          <w:p w14:paraId="07FEDFBA" w14:textId="77777777" w:rsidR="00BC1D20" w:rsidRPr="002936B8" w:rsidRDefault="00BC1D20" w:rsidP="002936B8">
            <w:pPr>
              <w:pStyle w:val="TableBody"/>
              <w:jc w:val="center"/>
            </w:pPr>
            <w:r w:rsidRPr="002936B8">
              <w:t>4.6%</w:t>
            </w:r>
          </w:p>
        </w:tc>
      </w:tr>
      <w:tr w:rsidR="00BC1D20" w14:paraId="4EA44844" w14:textId="77777777" w:rsidTr="00BC1D20">
        <w:tc>
          <w:tcPr>
            <w:tcW w:w="3005" w:type="dxa"/>
          </w:tcPr>
          <w:p w14:paraId="4EFCB773" w14:textId="77777777" w:rsidR="00BC1D20" w:rsidRDefault="00BC1D20" w:rsidP="009D7260">
            <w:pPr>
              <w:pStyle w:val="TableBody"/>
            </w:pPr>
            <w:r>
              <w:t xml:space="preserve">Absolute Value &lt;50% </w:t>
            </w:r>
          </w:p>
        </w:tc>
        <w:tc>
          <w:tcPr>
            <w:tcW w:w="3005" w:type="dxa"/>
          </w:tcPr>
          <w:p w14:paraId="50168779" w14:textId="77777777" w:rsidR="00BC1D20" w:rsidRPr="002936B8" w:rsidRDefault="00BC1D20" w:rsidP="002936B8">
            <w:pPr>
              <w:pStyle w:val="TableBody"/>
              <w:jc w:val="center"/>
            </w:pPr>
            <w:r w:rsidRPr="002936B8">
              <w:t>1.1%</w:t>
            </w:r>
          </w:p>
        </w:tc>
        <w:tc>
          <w:tcPr>
            <w:tcW w:w="3006" w:type="dxa"/>
          </w:tcPr>
          <w:p w14:paraId="0B581EDA" w14:textId="77777777" w:rsidR="00BC1D20" w:rsidRPr="002936B8" w:rsidRDefault="00BC1D20" w:rsidP="002936B8">
            <w:pPr>
              <w:pStyle w:val="TableBody"/>
              <w:jc w:val="center"/>
            </w:pPr>
            <w:r w:rsidRPr="002936B8">
              <w:t>5.9%</w:t>
            </w:r>
          </w:p>
        </w:tc>
      </w:tr>
      <w:tr w:rsidR="00BC1D20" w14:paraId="35B9F4D5" w14:textId="77777777" w:rsidTr="00BC1D20">
        <w:tc>
          <w:tcPr>
            <w:tcW w:w="3005" w:type="dxa"/>
          </w:tcPr>
          <w:p w14:paraId="0F7545F4" w14:textId="77777777" w:rsidR="00BC1D20" w:rsidRDefault="00181977" w:rsidP="009D7260">
            <w:pPr>
              <w:pStyle w:val="TableBody"/>
            </w:pPr>
            <w:r>
              <w:t>LVEF decrease ≥ 10% to ≥</w:t>
            </w:r>
            <w:r w:rsidR="00BC1D20">
              <w:t xml:space="preserve"> 50% </w:t>
            </w:r>
          </w:p>
        </w:tc>
        <w:tc>
          <w:tcPr>
            <w:tcW w:w="3005" w:type="dxa"/>
          </w:tcPr>
          <w:p w14:paraId="21094EAD" w14:textId="77777777" w:rsidR="00BC1D20" w:rsidRPr="002936B8" w:rsidRDefault="00BC1D20" w:rsidP="002936B8">
            <w:pPr>
              <w:pStyle w:val="TableBody"/>
              <w:jc w:val="center"/>
            </w:pPr>
            <w:r w:rsidRPr="002936B8">
              <w:t>11.8%</w:t>
            </w:r>
          </w:p>
        </w:tc>
        <w:tc>
          <w:tcPr>
            <w:tcW w:w="3006" w:type="dxa"/>
          </w:tcPr>
          <w:p w14:paraId="7D1BFCB0" w14:textId="77777777" w:rsidR="00BC1D20" w:rsidRPr="002936B8" w:rsidRDefault="00BC1D20" w:rsidP="002936B8">
            <w:pPr>
              <w:pStyle w:val="TableBody"/>
              <w:jc w:val="center"/>
            </w:pPr>
            <w:r w:rsidRPr="002936B8">
              <w:t>16.5%</w:t>
            </w:r>
          </w:p>
        </w:tc>
      </w:tr>
    </w:tbl>
    <w:p w14:paraId="39F263D3" w14:textId="441A4739" w:rsidR="00BC1D20" w:rsidRPr="00920C71" w:rsidRDefault="00BC1D20" w:rsidP="00C4138E">
      <w:pPr>
        <w:pStyle w:val="Bodyofcontents"/>
        <w:rPr>
          <w:sz w:val="18"/>
          <w:szCs w:val="18"/>
        </w:rPr>
      </w:pPr>
      <w:r w:rsidRPr="00920C71">
        <w:rPr>
          <w:sz w:val="18"/>
          <w:szCs w:val="18"/>
        </w:rPr>
        <w:t xml:space="preserve">FP: </w:t>
      </w:r>
      <w:proofErr w:type="spellStart"/>
      <w:r w:rsidRPr="00920C71">
        <w:rPr>
          <w:sz w:val="18"/>
          <w:szCs w:val="18"/>
        </w:rPr>
        <w:t>fluoropyrimidine</w:t>
      </w:r>
      <w:proofErr w:type="spellEnd"/>
      <w:r w:rsidRPr="00920C71">
        <w:rPr>
          <w:sz w:val="18"/>
          <w:szCs w:val="18"/>
        </w:rPr>
        <w:t xml:space="preserve">/cisplatin; FP+H: </w:t>
      </w:r>
      <w:proofErr w:type="spellStart"/>
      <w:r w:rsidRPr="00920C71">
        <w:rPr>
          <w:sz w:val="18"/>
          <w:szCs w:val="18"/>
        </w:rPr>
        <w:t>fluoropyrimidine</w:t>
      </w:r>
      <w:proofErr w:type="spellEnd"/>
      <w:r w:rsidRPr="00920C71">
        <w:rPr>
          <w:sz w:val="18"/>
          <w:szCs w:val="18"/>
        </w:rPr>
        <w:t xml:space="preserve">/cisplatin + </w:t>
      </w:r>
      <w:proofErr w:type="spellStart"/>
      <w:r w:rsidR="00920C71" w:rsidRPr="00920C71">
        <w:rPr>
          <w:sz w:val="18"/>
          <w:szCs w:val="18"/>
        </w:rPr>
        <w:t>trastuzumab</w:t>
      </w:r>
      <w:proofErr w:type="spellEnd"/>
      <w:r w:rsidRPr="00920C71">
        <w:rPr>
          <w:sz w:val="18"/>
          <w:szCs w:val="18"/>
        </w:rPr>
        <w:t xml:space="preserve">; </w:t>
      </w:r>
      <w:r w:rsidRPr="00920C71">
        <w:rPr>
          <w:sz w:val="18"/>
          <w:szCs w:val="18"/>
          <w:vertAlign w:val="superscript"/>
        </w:rPr>
        <w:t>#</w:t>
      </w:r>
      <w:proofErr w:type="gramStart"/>
      <w:r w:rsidRPr="00920C71">
        <w:rPr>
          <w:sz w:val="18"/>
          <w:szCs w:val="18"/>
        </w:rPr>
        <w:t>Only</w:t>
      </w:r>
      <w:proofErr w:type="gramEnd"/>
      <w:r w:rsidRPr="00920C71">
        <w:rPr>
          <w:sz w:val="18"/>
          <w:szCs w:val="18"/>
        </w:rPr>
        <w:t xml:space="preserve"> includes patients whose method of assessment at that visit is the same as at their initial assessments (FP: </w:t>
      </w:r>
      <w:r w:rsidRPr="00920C71">
        <w:rPr>
          <w:i/>
          <w:sz w:val="18"/>
          <w:szCs w:val="18"/>
        </w:rPr>
        <w:t>n</w:t>
      </w:r>
      <w:r w:rsidRPr="00920C71">
        <w:rPr>
          <w:sz w:val="18"/>
          <w:szCs w:val="18"/>
        </w:rPr>
        <w:t xml:space="preserve"> = 187 and FP + H: </w:t>
      </w:r>
      <w:r w:rsidRPr="00920C71">
        <w:rPr>
          <w:i/>
          <w:sz w:val="18"/>
          <w:szCs w:val="18"/>
        </w:rPr>
        <w:t>n</w:t>
      </w:r>
      <w:r w:rsidRPr="00920C71">
        <w:rPr>
          <w:sz w:val="18"/>
          <w:szCs w:val="18"/>
        </w:rPr>
        <w:t xml:space="preserve"> = 237).</w:t>
      </w:r>
    </w:p>
    <w:tbl>
      <w:tblPr>
        <w:tblStyle w:val="TableGrid"/>
        <w:tblW w:w="0" w:type="auto"/>
        <w:tblLook w:val="04A0" w:firstRow="1" w:lastRow="0" w:firstColumn="1" w:lastColumn="0" w:noHBand="0" w:noVBand="1"/>
      </w:tblPr>
      <w:tblGrid>
        <w:gridCol w:w="3005"/>
        <w:gridCol w:w="3005"/>
        <w:gridCol w:w="3006"/>
      </w:tblGrid>
      <w:tr w:rsidR="00BC1D20" w14:paraId="6A9D8F32" w14:textId="77777777" w:rsidTr="00BC1D20">
        <w:tc>
          <w:tcPr>
            <w:tcW w:w="3005" w:type="dxa"/>
          </w:tcPr>
          <w:p w14:paraId="22EC6454" w14:textId="77777777" w:rsidR="00BC1D20" w:rsidRDefault="00BC1D20" w:rsidP="00BC1D20">
            <w:pPr>
              <w:pStyle w:val="Bodyofcontents"/>
            </w:pPr>
          </w:p>
        </w:tc>
        <w:tc>
          <w:tcPr>
            <w:tcW w:w="3005" w:type="dxa"/>
          </w:tcPr>
          <w:p w14:paraId="61D1B9B7" w14:textId="77777777" w:rsidR="00BC1D20" w:rsidRPr="002936B8" w:rsidRDefault="00BC1D20" w:rsidP="002936B8">
            <w:pPr>
              <w:pStyle w:val="TableHeading"/>
              <w:jc w:val="center"/>
            </w:pPr>
            <w:r w:rsidRPr="002936B8">
              <w:t>FP</w:t>
            </w:r>
          </w:p>
          <w:p w14:paraId="45CE7B18" w14:textId="77777777" w:rsidR="00BC1D20" w:rsidRPr="002936B8" w:rsidRDefault="00BC1D20" w:rsidP="002936B8">
            <w:pPr>
              <w:pStyle w:val="TableHeading"/>
              <w:jc w:val="center"/>
            </w:pPr>
            <w:r w:rsidRPr="002936B8">
              <w:t>(</w:t>
            </w:r>
            <w:r w:rsidRPr="00920C71">
              <w:rPr>
                <w:i/>
              </w:rPr>
              <w:t>n</w:t>
            </w:r>
            <w:r w:rsidRPr="002936B8">
              <w:t xml:space="preserve"> = 290)</w:t>
            </w:r>
          </w:p>
          <w:p w14:paraId="1D552ADA" w14:textId="77777777" w:rsidR="00BC1D20" w:rsidRPr="002936B8" w:rsidRDefault="00BC1D20" w:rsidP="002936B8">
            <w:pPr>
              <w:pStyle w:val="TableHeading"/>
              <w:jc w:val="center"/>
            </w:pPr>
            <w:r w:rsidRPr="002936B8">
              <w:t>(% patients in each treatment arm)</w:t>
            </w:r>
          </w:p>
        </w:tc>
        <w:tc>
          <w:tcPr>
            <w:tcW w:w="3006" w:type="dxa"/>
          </w:tcPr>
          <w:p w14:paraId="6759AC95" w14:textId="77777777" w:rsidR="00BC1D20" w:rsidRPr="002936B8" w:rsidRDefault="00BC1D20" w:rsidP="002936B8">
            <w:pPr>
              <w:pStyle w:val="TableHeading"/>
              <w:jc w:val="center"/>
            </w:pPr>
            <w:r w:rsidRPr="002936B8">
              <w:t>FP +H</w:t>
            </w:r>
          </w:p>
          <w:p w14:paraId="763EC397" w14:textId="77777777" w:rsidR="00BC1D20" w:rsidRPr="002936B8" w:rsidRDefault="00BC1D20" w:rsidP="002936B8">
            <w:pPr>
              <w:pStyle w:val="TableHeading"/>
              <w:jc w:val="center"/>
            </w:pPr>
            <w:r w:rsidRPr="002936B8">
              <w:t>(</w:t>
            </w:r>
            <w:r w:rsidRPr="00920C71">
              <w:rPr>
                <w:i/>
              </w:rPr>
              <w:t>n</w:t>
            </w:r>
            <w:r w:rsidRPr="002936B8">
              <w:t xml:space="preserve"> = 294)</w:t>
            </w:r>
          </w:p>
          <w:p w14:paraId="60E27489" w14:textId="77777777" w:rsidR="00BC1D20" w:rsidRPr="002936B8" w:rsidRDefault="00BC1D20" w:rsidP="002936B8">
            <w:pPr>
              <w:pStyle w:val="TableHeading"/>
              <w:jc w:val="center"/>
            </w:pPr>
            <w:r w:rsidRPr="002936B8">
              <w:t>(% patients in each treatment arm)</w:t>
            </w:r>
          </w:p>
        </w:tc>
      </w:tr>
      <w:tr w:rsidR="00BC1D20" w14:paraId="7D9BD649" w14:textId="77777777" w:rsidTr="00BC1D20">
        <w:tc>
          <w:tcPr>
            <w:tcW w:w="3005" w:type="dxa"/>
          </w:tcPr>
          <w:p w14:paraId="398B72CA" w14:textId="77777777" w:rsidR="00BC1D20" w:rsidRDefault="00BC1D20" w:rsidP="009D7260">
            <w:pPr>
              <w:pStyle w:val="TableBody"/>
            </w:pPr>
            <w:r>
              <w:t xml:space="preserve">Total Cardiac Events </w:t>
            </w:r>
          </w:p>
        </w:tc>
        <w:tc>
          <w:tcPr>
            <w:tcW w:w="3005" w:type="dxa"/>
          </w:tcPr>
          <w:p w14:paraId="35BF925D" w14:textId="77777777" w:rsidR="00BC1D20" w:rsidRPr="002936B8" w:rsidRDefault="00BC1D20" w:rsidP="002936B8">
            <w:pPr>
              <w:pStyle w:val="TableBody"/>
              <w:jc w:val="center"/>
            </w:pPr>
            <w:r w:rsidRPr="002936B8">
              <w:t>6%</w:t>
            </w:r>
          </w:p>
        </w:tc>
        <w:tc>
          <w:tcPr>
            <w:tcW w:w="3006" w:type="dxa"/>
          </w:tcPr>
          <w:p w14:paraId="115ED19B" w14:textId="77777777" w:rsidR="00BC1D20" w:rsidRPr="002936B8" w:rsidRDefault="00BC1D20" w:rsidP="002936B8">
            <w:pPr>
              <w:pStyle w:val="TableBody"/>
              <w:jc w:val="center"/>
            </w:pPr>
            <w:r w:rsidRPr="002936B8">
              <w:t>6%</w:t>
            </w:r>
          </w:p>
        </w:tc>
      </w:tr>
      <w:tr w:rsidR="00BC1D20" w14:paraId="46132570" w14:textId="77777777" w:rsidTr="00BC1D20">
        <w:tc>
          <w:tcPr>
            <w:tcW w:w="3005" w:type="dxa"/>
          </w:tcPr>
          <w:p w14:paraId="5E78AA73" w14:textId="77777777" w:rsidR="00BC1D20" w:rsidRDefault="00181977" w:rsidP="009D7260">
            <w:pPr>
              <w:pStyle w:val="TableBody"/>
            </w:pPr>
            <w:r>
              <w:t>≥</w:t>
            </w:r>
            <w:r w:rsidR="00BC1D20">
              <w:t xml:space="preserve"> Grade 3 NCI CTCAE v3.0 </w:t>
            </w:r>
          </w:p>
        </w:tc>
        <w:tc>
          <w:tcPr>
            <w:tcW w:w="3005" w:type="dxa"/>
          </w:tcPr>
          <w:p w14:paraId="562FE866" w14:textId="77777777" w:rsidR="00BC1D20" w:rsidRPr="002936B8" w:rsidRDefault="00BC1D20" w:rsidP="002936B8">
            <w:pPr>
              <w:pStyle w:val="TableBody"/>
              <w:jc w:val="center"/>
            </w:pPr>
            <w:r w:rsidRPr="002936B8">
              <w:t xml:space="preserve">3% </w:t>
            </w:r>
            <w:r w:rsidRPr="00920C71">
              <w:rPr>
                <w:vertAlign w:val="superscript"/>
              </w:rPr>
              <w:t>a</w:t>
            </w:r>
          </w:p>
        </w:tc>
        <w:tc>
          <w:tcPr>
            <w:tcW w:w="3006" w:type="dxa"/>
          </w:tcPr>
          <w:p w14:paraId="06F37D1B" w14:textId="77777777" w:rsidR="00BC1D20" w:rsidRPr="002936B8" w:rsidRDefault="00BC1D20" w:rsidP="002936B8">
            <w:pPr>
              <w:pStyle w:val="TableBody"/>
              <w:jc w:val="center"/>
            </w:pPr>
            <w:r w:rsidRPr="002936B8">
              <w:t xml:space="preserve">1% </w:t>
            </w:r>
            <w:r w:rsidRPr="00920C71">
              <w:rPr>
                <w:vertAlign w:val="superscript"/>
              </w:rPr>
              <w:t>b</w:t>
            </w:r>
          </w:p>
        </w:tc>
      </w:tr>
    </w:tbl>
    <w:p w14:paraId="67900F1B" w14:textId="3F2B1EEA" w:rsidR="00BC1D20" w:rsidRPr="00103962" w:rsidRDefault="00BC1D20" w:rsidP="00C4138E">
      <w:pPr>
        <w:pStyle w:val="Bodyofcontents"/>
        <w:rPr>
          <w:sz w:val="18"/>
          <w:szCs w:val="18"/>
        </w:rPr>
      </w:pPr>
      <w:r w:rsidRPr="00920C71">
        <w:rPr>
          <w:sz w:val="18"/>
          <w:szCs w:val="18"/>
        </w:rPr>
        <w:t xml:space="preserve">FP: </w:t>
      </w:r>
      <w:proofErr w:type="spellStart"/>
      <w:r w:rsidRPr="00920C71">
        <w:rPr>
          <w:sz w:val="18"/>
          <w:szCs w:val="18"/>
        </w:rPr>
        <w:t>fluoropyrimidine</w:t>
      </w:r>
      <w:proofErr w:type="spellEnd"/>
      <w:r w:rsidRPr="00920C71">
        <w:rPr>
          <w:sz w:val="18"/>
          <w:szCs w:val="18"/>
        </w:rPr>
        <w:t xml:space="preserve">/cisplatin; FP+H: </w:t>
      </w:r>
      <w:proofErr w:type="spellStart"/>
      <w:r w:rsidRPr="00920C71">
        <w:rPr>
          <w:sz w:val="18"/>
          <w:szCs w:val="18"/>
        </w:rPr>
        <w:t>fluoropyrimidine</w:t>
      </w:r>
      <w:proofErr w:type="spellEnd"/>
      <w:r w:rsidRPr="00920C71">
        <w:rPr>
          <w:sz w:val="18"/>
          <w:szCs w:val="18"/>
        </w:rPr>
        <w:t xml:space="preserve">/cisplatin + </w:t>
      </w:r>
      <w:proofErr w:type="spellStart"/>
      <w:r w:rsidR="00920C71" w:rsidRPr="001F15F5">
        <w:rPr>
          <w:sz w:val="18"/>
          <w:szCs w:val="18"/>
        </w:rPr>
        <w:t>trastuzumab</w:t>
      </w:r>
      <w:proofErr w:type="spellEnd"/>
      <w:r w:rsidRPr="00920C71">
        <w:rPr>
          <w:sz w:val="18"/>
          <w:szCs w:val="18"/>
        </w:rPr>
        <w:t xml:space="preserve">; </w:t>
      </w:r>
      <w:r w:rsidRPr="00103962">
        <w:rPr>
          <w:sz w:val="18"/>
          <w:szCs w:val="18"/>
          <w:vertAlign w:val="superscript"/>
        </w:rPr>
        <w:t>a</w:t>
      </w:r>
      <w:r w:rsidRPr="00103962">
        <w:rPr>
          <w:sz w:val="18"/>
          <w:szCs w:val="18"/>
        </w:rPr>
        <w:t xml:space="preserve"> 9 patients experienced 9 Events; </w:t>
      </w:r>
      <w:r w:rsidRPr="00103962">
        <w:rPr>
          <w:sz w:val="18"/>
          <w:szCs w:val="18"/>
          <w:vertAlign w:val="superscript"/>
        </w:rPr>
        <w:t>b</w:t>
      </w:r>
      <w:r w:rsidRPr="00103962">
        <w:rPr>
          <w:sz w:val="18"/>
          <w:szCs w:val="18"/>
        </w:rPr>
        <w:t xml:space="preserve"> 4 patients experienced 5 Events</w:t>
      </w:r>
    </w:p>
    <w:p w14:paraId="1CA05B59" w14:textId="77777777" w:rsidR="00BC1D20" w:rsidRDefault="00BC1D20" w:rsidP="00BC1D20">
      <w:pPr>
        <w:pStyle w:val="Bodyofcontents"/>
        <w:rPr>
          <w:szCs w:val="22"/>
        </w:rPr>
      </w:pPr>
      <w:r>
        <w:rPr>
          <w:szCs w:val="22"/>
        </w:rPr>
        <w:t>Overall, there were no significant differences in cardiotoxicity between the treatment arm and the comparator arm.</w:t>
      </w:r>
    </w:p>
    <w:p w14:paraId="4EDD2552" w14:textId="6695359C" w:rsidR="00BC1D20" w:rsidRDefault="00BC1D20" w:rsidP="009D7260">
      <w:pPr>
        <w:pStyle w:val="Subheading1"/>
      </w:pPr>
      <w:r>
        <w:lastRenderedPageBreak/>
        <w:t xml:space="preserve">Haematological Toxicity </w:t>
      </w:r>
    </w:p>
    <w:p w14:paraId="1ACD6CFB" w14:textId="77777777" w:rsidR="00280918" w:rsidRPr="0044052B" w:rsidRDefault="00280918" w:rsidP="00280918">
      <w:pPr>
        <w:pStyle w:val="Bodyofcontents"/>
      </w:pPr>
      <w:r w:rsidRPr="0044052B">
        <w:t xml:space="preserve">Febrile neutropenia, leukopenia, anaemia, thrombocytopenia and neutropenia occurred very commonly. The frequency of occurrence of hypoprothrombinemia </w:t>
      </w:r>
      <w:proofErr w:type="gramStart"/>
      <w:r w:rsidRPr="0044052B">
        <w:t>is not known</w:t>
      </w:r>
      <w:proofErr w:type="gramEnd"/>
      <w:r w:rsidRPr="0044052B">
        <w:t xml:space="preserve">. The risk of neutropenia </w:t>
      </w:r>
      <w:proofErr w:type="gramStart"/>
      <w:r w:rsidRPr="0044052B">
        <w:t>may be slightly increased</w:t>
      </w:r>
      <w:proofErr w:type="gramEnd"/>
      <w:r w:rsidRPr="0044052B">
        <w:t xml:space="preserve"> when </w:t>
      </w:r>
      <w:proofErr w:type="spellStart"/>
      <w:r w:rsidRPr="0044052B">
        <w:t>trastuzumab</w:t>
      </w:r>
      <w:proofErr w:type="spellEnd"/>
      <w:r w:rsidRPr="0044052B">
        <w:t xml:space="preserve"> is administered with docetaxel following </w:t>
      </w:r>
      <w:proofErr w:type="spellStart"/>
      <w:r w:rsidRPr="0044052B">
        <w:t>anthracycline</w:t>
      </w:r>
      <w:proofErr w:type="spellEnd"/>
      <w:r w:rsidRPr="0044052B">
        <w:t xml:space="preserve"> therapy.</w:t>
      </w:r>
    </w:p>
    <w:p w14:paraId="14ED9947" w14:textId="77777777" w:rsidR="00BC1D20" w:rsidRDefault="00BC1D20" w:rsidP="009D7260">
      <w:pPr>
        <w:pStyle w:val="Subheading2"/>
      </w:pPr>
      <w:r>
        <w:t xml:space="preserve">Breast Cancer </w:t>
      </w:r>
    </w:p>
    <w:p w14:paraId="7A1DEE24" w14:textId="77777777" w:rsidR="00BC1D20" w:rsidRDefault="00BC1D20" w:rsidP="002654EF">
      <w:pPr>
        <w:pStyle w:val="Subheading3"/>
      </w:pPr>
      <w:r>
        <w:t xml:space="preserve">Monotherapy– Study H0649g </w:t>
      </w:r>
    </w:p>
    <w:p w14:paraId="6945C181" w14:textId="744DBC3D" w:rsidR="00BC1D20" w:rsidRDefault="00BC1D20" w:rsidP="00BC1D20">
      <w:pPr>
        <w:pStyle w:val="Bodyofcontents"/>
      </w:pPr>
      <w:r>
        <w:t xml:space="preserve">Haematological toxicity is infrequent following the administration of </w:t>
      </w:r>
      <w:proofErr w:type="spellStart"/>
      <w:r w:rsidR="00103962">
        <w:t>trastuzumab</w:t>
      </w:r>
      <w:proofErr w:type="spellEnd"/>
      <w:r>
        <w:t xml:space="preserve"> as monotherapy in the metastatic setting, WHO Grade 3 </w:t>
      </w:r>
      <w:proofErr w:type="spellStart"/>
      <w:r>
        <w:t>leucopenia</w:t>
      </w:r>
      <w:proofErr w:type="spellEnd"/>
      <w:r>
        <w:t xml:space="preserve">, thrombocytopenia and anaemia occurring in &lt;1% of patients. No WHO Grade 4 toxicities </w:t>
      </w:r>
      <w:proofErr w:type="gramStart"/>
      <w:r>
        <w:t>were observed</w:t>
      </w:r>
      <w:proofErr w:type="gramEnd"/>
      <w:r>
        <w:t xml:space="preserve">. </w:t>
      </w:r>
    </w:p>
    <w:p w14:paraId="341D5764" w14:textId="77777777" w:rsidR="00BC1D20" w:rsidRDefault="00BC1D20" w:rsidP="002654EF">
      <w:pPr>
        <w:pStyle w:val="Subheading3"/>
      </w:pPr>
      <w:r>
        <w:t xml:space="preserve">Combination Therapy – Studies H0648g and M77001 </w:t>
      </w:r>
    </w:p>
    <w:p w14:paraId="64AE75E3" w14:textId="3360FC65" w:rsidR="00BC1D20" w:rsidRDefault="00BC1D20" w:rsidP="00BC1D20">
      <w:pPr>
        <w:pStyle w:val="Bodyofcontents"/>
      </w:pPr>
      <w:r>
        <w:t xml:space="preserve">WHO Grade </w:t>
      </w:r>
      <w:proofErr w:type="gramStart"/>
      <w:r>
        <w:t>3</w:t>
      </w:r>
      <w:proofErr w:type="gramEnd"/>
      <w:r>
        <w:t xml:space="preserve"> or 4 haematological toxicity was observed in 63% of patients treated with </w:t>
      </w:r>
      <w:proofErr w:type="spellStart"/>
      <w:r w:rsidR="00103962">
        <w:t>trastuzumab</w:t>
      </w:r>
      <w:proofErr w:type="spellEnd"/>
      <w:r>
        <w:t xml:space="preserve"> and an </w:t>
      </w:r>
      <w:proofErr w:type="spellStart"/>
      <w:r>
        <w:t>anthracycline</w:t>
      </w:r>
      <w:proofErr w:type="spellEnd"/>
      <w:r>
        <w:t xml:space="preserve">/cyclophosphamide compared to an incidence of 62% in patients treated with the </w:t>
      </w:r>
      <w:proofErr w:type="spellStart"/>
      <w:r>
        <w:t>anthracycline</w:t>
      </w:r>
      <w:proofErr w:type="spellEnd"/>
      <w:r>
        <w:t xml:space="preserve">/cyclophosphamide combination without </w:t>
      </w:r>
      <w:proofErr w:type="spellStart"/>
      <w:r w:rsidR="00103962">
        <w:t>trastuzumab</w:t>
      </w:r>
      <w:proofErr w:type="spellEnd"/>
      <w:r>
        <w:t xml:space="preserve">. </w:t>
      </w:r>
    </w:p>
    <w:p w14:paraId="13ED6826" w14:textId="78B61AD4" w:rsidR="00BC1D20" w:rsidRDefault="00BC1D20" w:rsidP="00BC1D20">
      <w:pPr>
        <w:pStyle w:val="Bodyofcontents"/>
      </w:pPr>
      <w:r>
        <w:t xml:space="preserve">There was an increase in WHO Grade 3 or </w:t>
      </w:r>
      <w:proofErr w:type="gramStart"/>
      <w:r>
        <w:t>4</w:t>
      </w:r>
      <w:proofErr w:type="gramEnd"/>
      <w:r>
        <w:t xml:space="preserve"> haematological toxicity in patients treated with the combination of </w:t>
      </w:r>
      <w:proofErr w:type="spellStart"/>
      <w:r w:rsidR="00103962">
        <w:t>trastuzumab</w:t>
      </w:r>
      <w:proofErr w:type="spellEnd"/>
      <w:r>
        <w:t xml:space="preserve"> and paclitaxel compared with patients receiving paclitaxel-alone (34% vs. 21%). Haematological toxicity </w:t>
      </w:r>
      <w:proofErr w:type="gramStart"/>
      <w:r>
        <w:t>was also increased</w:t>
      </w:r>
      <w:proofErr w:type="gramEnd"/>
      <w:r>
        <w:t xml:space="preserve"> in patients receiving </w:t>
      </w:r>
      <w:proofErr w:type="spellStart"/>
      <w:r w:rsidR="00103962">
        <w:t>trastuzumab</w:t>
      </w:r>
      <w:proofErr w:type="spellEnd"/>
      <w:r>
        <w:t xml:space="preserve"> and docetaxel, compared with docetaxel-alone (32% grade 3/4 neutropenia vs. 22%, using NCI-CTC criteria). The incidence of febrile neutropenia/neutropenic sepsis </w:t>
      </w:r>
      <w:proofErr w:type="gramStart"/>
      <w:r>
        <w:t>was also increased</w:t>
      </w:r>
      <w:proofErr w:type="gramEnd"/>
      <w:r>
        <w:t xml:space="preserve"> in patients treated with </w:t>
      </w:r>
      <w:proofErr w:type="spellStart"/>
      <w:r w:rsidR="00103962">
        <w:t>trastuzumab</w:t>
      </w:r>
      <w:proofErr w:type="spellEnd"/>
      <w:r>
        <w:t xml:space="preserve"> + docetaxel (23% vs. 17% for patients treated with docetaxel-alone). </w:t>
      </w:r>
    </w:p>
    <w:p w14:paraId="15C135C0" w14:textId="77777777" w:rsidR="00BC1D20" w:rsidRDefault="00BC1D20" w:rsidP="002654EF">
      <w:pPr>
        <w:pStyle w:val="Subheading3"/>
      </w:pPr>
      <w:r>
        <w:t xml:space="preserve">Early Setting – HERA Trial </w:t>
      </w:r>
    </w:p>
    <w:p w14:paraId="3037C637" w14:textId="7D302A54" w:rsidR="00BC1D20" w:rsidRDefault="00BC1D20" w:rsidP="00BC1D20">
      <w:pPr>
        <w:pStyle w:val="Bodyofcontents"/>
      </w:pPr>
      <w:r>
        <w:t xml:space="preserve">Using NCI-CTC criteria, in the BO16348 (HERA) trial, 0.4% of </w:t>
      </w:r>
      <w:proofErr w:type="spellStart"/>
      <w:r w:rsidR="00103962">
        <w:t>trastuzumab</w:t>
      </w:r>
      <w:proofErr w:type="spellEnd"/>
      <w:r>
        <w:t xml:space="preserve"> treated patients experienced a shift of </w:t>
      </w:r>
      <w:proofErr w:type="gramStart"/>
      <w:r>
        <w:t>3</w:t>
      </w:r>
      <w:proofErr w:type="gramEnd"/>
      <w:r>
        <w:t xml:space="preserve"> or 4 grades from baseline, compared with 0.6% in the observation arm. </w:t>
      </w:r>
    </w:p>
    <w:p w14:paraId="66BC000C" w14:textId="77777777" w:rsidR="00BC1D20" w:rsidRDefault="00BC1D20" w:rsidP="009D7260">
      <w:pPr>
        <w:pStyle w:val="Subheading2"/>
      </w:pPr>
      <w:r>
        <w:t xml:space="preserve">Advanced Gastric Cancer </w:t>
      </w:r>
    </w:p>
    <w:p w14:paraId="555AC4EB" w14:textId="77777777" w:rsidR="00BC1D20" w:rsidRDefault="00BC1D20" w:rsidP="00BC1D20">
      <w:pPr>
        <w:pStyle w:val="Bodyofcontents"/>
      </w:pPr>
      <w:r>
        <w:t xml:space="preserve">The most frequently reported adverse events categorized under the Blood and Lymphatic System Disorders SOC (Grade ≥3) </w:t>
      </w:r>
      <w:proofErr w:type="gramStart"/>
      <w:r>
        <w:t>are shown</w:t>
      </w:r>
      <w:proofErr w:type="gramEnd"/>
      <w:r>
        <w:t xml:space="preserve"> below by trial treatment. </w:t>
      </w:r>
    </w:p>
    <w:p w14:paraId="16414F2E" w14:textId="77777777" w:rsidR="00BC1D20" w:rsidRDefault="00BC1D20" w:rsidP="009D7260">
      <w:pPr>
        <w:pStyle w:val="TableHeading"/>
      </w:pPr>
      <w:r>
        <w:t>Table 16: Frequently reported adverse events grade &gt; 3 in blood and lymphatic System Disorders (SOC)</w:t>
      </w:r>
    </w:p>
    <w:tbl>
      <w:tblPr>
        <w:tblStyle w:val="TableGrid"/>
        <w:tblW w:w="0" w:type="auto"/>
        <w:tblLook w:val="04A0" w:firstRow="1" w:lastRow="0" w:firstColumn="1" w:lastColumn="0" w:noHBand="0" w:noVBand="1"/>
      </w:tblPr>
      <w:tblGrid>
        <w:gridCol w:w="3005"/>
        <w:gridCol w:w="3005"/>
        <w:gridCol w:w="3006"/>
      </w:tblGrid>
      <w:tr w:rsidR="00BC1D20" w14:paraId="482715DE" w14:textId="77777777" w:rsidTr="00BC1D20">
        <w:tc>
          <w:tcPr>
            <w:tcW w:w="3005" w:type="dxa"/>
          </w:tcPr>
          <w:p w14:paraId="62874916" w14:textId="77777777" w:rsidR="00BC1D20" w:rsidRDefault="00BC1D20" w:rsidP="00BC1D20">
            <w:pPr>
              <w:pStyle w:val="Bodyofcontents"/>
            </w:pPr>
          </w:p>
        </w:tc>
        <w:tc>
          <w:tcPr>
            <w:tcW w:w="3005" w:type="dxa"/>
          </w:tcPr>
          <w:p w14:paraId="7B0BC5BA" w14:textId="77777777" w:rsidR="00BC1D20" w:rsidRPr="002936B8" w:rsidRDefault="00BC1D20" w:rsidP="002936B8">
            <w:pPr>
              <w:pStyle w:val="TableHeading"/>
              <w:jc w:val="center"/>
            </w:pPr>
            <w:r w:rsidRPr="002936B8">
              <w:t>FP</w:t>
            </w:r>
          </w:p>
          <w:p w14:paraId="0DAD70A0" w14:textId="77777777" w:rsidR="00BC1D20" w:rsidRPr="002936B8" w:rsidRDefault="00BC1D20" w:rsidP="002936B8">
            <w:pPr>
              <w:pStyle w:val="TableHeading"/>
              <w:jc w:val="center"/>
            </w:pPr>
            <w:r w:rsidRPr="002936B8">
              <w:t>(</w:t>
            </w:r>
            <w:r w:rsidRPr="00103962">
              <w:rPr>
                <w:i/>
              </w:rPr>
              <w:t>n</w:t>
            </w:r>
            <w:r w:rsidRPr="002936B8">
              <w:t xml:space="preserve"> = 290)</w:t>
            </w:r>
          </w:p>
          <w:p w14:paraId="51C66DEF" w14:textId="77777777" w:rsidR="00BC1D20" w:rsidRPr="002936B8" w:rsidRDefault="00BC1D20" w:rsidP="002936B8">
            <w:pPr>
              <w:pStyle w:val="TableHeading"/>
              <w:jc w:val="center"/>
            </w:pPr>
            <w:r w:rsidRPr="002936B8">
              <w:t>(% patients in each treatment arm)</w:t>
            </w:r>
          </w:p>
        </w:tc>
        <w:tc>
          <w:tcPr>
            <w:tcW w:w="3006" w:type="dxa"/>
          </w:tcPr>
          <w:p w14:paraId="4474526D" w14:textId="77777777" w:rsidR="00BC1D20" w:rsidRPr="002936B8" w:rsidRDefault="00BC1D20" w:rsidP="002936B8">
            <w:pPr>
              <w:pStyle w:val="TableHeading"/>
              <w:jc w:val="center"/>
            </w:pPr>
            <w:r w:rsidRPr="002936B8">
              <w:t>FP + H</w:t>
            </w:r>
          </w:p>
          <w:p w14:paraId="3D8AE8F4" w14:textId="77777777" w:rsidR="00BC1D20" w:rsidRPr="002936B8" w:rsidRDefault="00BC1D20" w:rsidP="002936B8">
            <w:pPr>
              <w:pStyle w:val="TableHeading"/>
              <w:jc w:val="center"/>
            </w:pPr>
            <w:r w:rsidRPr="002936B8">
              <w:t>(</w:t>
            </w:r>
            <w:r w:rsidRPr="00103962">
              <w:rPr>
                <w:i/>
              </w:rPr>
              <w:t>n</w:t>
            </w:r>
            <w:r w:rsidRPr="002936B8">
              <w:t xml:space="preserve"> = 294)</w:t>
            </w:r>
          </w:p>
          <w:p w14:paraId="1517ABD0" w14:textId="77777777" w:rsidR="00BC1D20" w:rsidRPr="002936B8" w:rsidRDefault="00BC1D20" w:rsidP="002936B8">
            <w:pPr>
              <w:pStyle w:val="TableHeading"/>
              <w:jc w:val="center"/>
            </w:pPr>
            <w:r w:rsidRPr="002936B8">
              <w:t>(% patients in each treatment arm)</w:t>
            </w:r>
          </w:p>
        </w:tc>
      </w:tr>
      <w:tr w:rsidR="00B663CE" w14:paraId="2A6B425B" w14:textId="77777777" w:rsidTr="00BC1D20">
        <w:tc>
          <w:tcPr>
            <w:tcW w:w="3005" w:type="dxa"/>
          </w:tcPr>
          <w:p w14:paraId="1E7EAE2E" w14:textId="77777777" w:rsidR="00B663CE" w:rsidRDefault="00B663CE" w:rsidP="009D7260">
            <w:pPr>
              <w:pStyle w:val="TableBody"/>
            </w:pPr>
            <w:r>
              <w:t xml:space="preserve">Neutropenia </w:t>
            </w:r>
          </w:p>
        </w:tc>
        <w:tc>
          <w:tcPr>
            <w:tcW w:w="3005" w:type="dxa"/>
          </w:tcPr>
          <w:p w14:paraId="7CECEDF4" w14:textId="77777777" w:rsidR="00B663CE" w:rsidRPr="002936B8" w:rsidRDefault="00B663CE" w:rsidP="002936B8">
            <w:pPr>
              <w:pStyle w:val="TableBody"/>
              <w:jc w:val="center"/>
            </w:pPr>
            <w:r w:rsidRPr="002936B8">
              <w:t>30%</w:t>
            </w:r>
          </w:p>
        </w:tc>
        <w:tc>
          <w:tcPr>
            <w:tcW w:w="3006" w:type="dxa"/>
          </w:tcPr>
          <w:p w14:paraId="2871A247" w14:textId="77777777" w:rsidR="00B663CE" w:rsidRPr="002936B8" w:rsidRDefault="00B663CE" w:rsidP="002936B8">
            <w:pPr>
              <w:pStyle w:val="TableBody"/>
              <w:jc w:val="center"/>
            </w:pPr>
            <w:r w:rsidRPr="002936B8">
              <w:t>27%</w:t>
            </w:r>
          </w:p>
        </w:tc>
      </w:tr>
      <w:tr w:rsidR="00B663CE" w14:paraId="0D0CFB09" w14:textId="77777777" w:rsidTr="00BC1D20">
        <w:tc>
          <w:tcPr>
            <w:tcW w:w="3005" w:type="dxa"/>
          </w:tcPr>
          <w:p w14:paraId="6FDD5840" w14:textId="77777777" w:rsidR="00B663CE" w:rsidRDefault="00B663CE" w:rsidP="009D7260">
            <w:pPr>
              <w:pStyle w:val="TableBody"/>
            </w:pPr>
            <w:proofErr w:type="spellStart"/>
            <w:r>
              <w:t>Anaemia</w:t>
            </w:r>
            <w:proofErr w:type="spellEnd"/>
            <w:r>
              <w:t xml:space="preserve"> </w:t>
            </w:r>
          </w:p>
        </w:tc>
        <w:tc>
          <w:tcPr>
            <w:tcW w:w="3005" w:type="dxa"/>
          </w:tcPr>
          <w:p w14:paraId="198F7C20" w14:textId="77777777" w:rsidR="00B663CE" w:rsidRPr="002936B8" w:rsidRDefault="00B663CE" w:rsidP="002936B8">
            <w:pPr>
              <w:pStyle w:val="TableBody"/>
              <w:jc w:val="center"/>
            </w:pPr>
            <w:r w:rsidRPr="002936B8">
              <w:t>10%</w:t>
            </w:r>
          </w:p>
        </w:tc>
        <w:tc>
          <w:tcPr>
            <w:tcW w:w="3006" w:type="dxa"/>
          </w:tcPr>
          <w:p w14:paraId="30998841" w14:textId="77777777" w:rsidR="00B663CE" w:rsidRPr="002936B8" w:rsidRDefault="00B663CE" w:rsidP="002936B8">
            <w:pPr>
              <w:pStyle w:val="TableBody"/>
              <w:jc w:val="center"/>
            </w:pPr>
            <w:r w:rsidRPr="002936B8">
              <w:t>12%</w:t>
            </w:r>
          </w:p>
        </w:tc>
      </w:tr>
      <w:tr w:rsidR="00B663CE" w14:paraId="0426E5A2" w14:textId="77777777" w:rsidTr="00BC1D20">
        <w:tc>
          <w:tcPr>
            <w:tcW w:w="3005" w:type="dxa"/>
          </w:tcPr>
          <w:p w14:paraId="46073E71" w14:textId="77777777" w:rsidR="00B663CE" w:rsidRDefault="00B663CE" w:rsidP="009D7260">
            <w:pPr>
              <w:pStyle w:val="TableBody"/>
            </w:pPr>
            <w:r>
              <w:t xml:space="preserve">Febrile neutropenia </w:t>
            </w:r>
          </w:p>
        </w:tc>
        <w:tc>
          <w:tcPr>
            <w:tcW w:w="3005" w:type="dxa"/>
          </w:tcPr>
          <w:p w14:paraId="1EF35B68" w14:textId="77777777" w:rsidR="00B663CE" w:rsidRPr="002936B8" w:rsidRDefault="00B663CE" w:rsidP="002936B8">
            <w:pPr>
              <w:pStyle w:val="TableBody"/>
              <w:jc w:val="center"/>
            </w:pPr>
            <w:r w:rsidRPr="002936B8">
              <w:t>3%</w:t>
            </w:r>
          </w:p>
        </w:tc>
        <w:tc>
          <w:tcPr>
            <w:tcW w:w="3006" w:type="dxa"/>
          </w:tcPr>
          <w:p w14:paraId="79065CE6" w14:textId="77777777" w:rsidR="00B663CE" w:rsidRPr="002936B8" w:rsidRDefault="00B663CE" w:rsidP="002936B8">
            <w:pPr>
              <w:pStyle w:val="TableBody"/>
              <w:jc w:val="center"/>
            </w:pPr>
            <w:r w:rsidRPr="002936B8">
              <w:t>5%</w:t>
            </w:r>
          </w:p>
        </w:tc>
      </w:tr>
      <w:tr w:rsidR="00B663CE" w14:paraId="58AC564E" w14:textId="77777777" w:rsidTr="00BC1D20">
        <w:tc>
          <w:tcPr>
            <w:tcW w:w="3005" w:type="dxa"/>
          </w:tcPr>
          <w:p w14:paraId="634437EA" w14:textId="77777777" w:rsidR="00B663CE" w:rsidRDefault="00B663CE" w:rsidP="009D7260">
            <w:pPr>
              <w:pStyle w:val="TableBody"/>
            </w:pPr>
            <w:r>
              <w:t xml:space="preserve">Thrombocytopenia </w:t>
            </w:r>
          </w:p>
        </w:tc>
        <w:tc>
          <w:tcPr>
            <w:tcW w:w="3005" w:type="dxa"/>
          </w:tcPr>
          <w:p w14:paraId="4B21F176" w14:textId="77777777" w:rsidR="00B663CE" w:rsidRPr="002936B8" w:rsidRDefault="00B663CE" w:rsidP="002936B8">
            <w:pPr>
              <w:pStyle w:val="TableBody"/>
              <w:jc w:val="center"/>
            </w:pPr>
            <w:r w:rsidRPr="002936B8">
              <w:t>3%</w:t>
            </w:r>
          </w:p>
        </w:tc>
        <w:tc>
          <w:tcPr>
            <w:tcW w:w="3006" w:type="dxa"/>
          </w:tcPr>
          <w:p w14:paraId="70391375" w14:textId="77777777" w:rsidR="00B663CE" w:rsidRPr="002936B8" w:rsidRDefault="00B663CE" w:rsidP="002936B8">
            <w:pPr>
              <w:pStyle w:val="TableBody"/>
              <w:jc w:val="center"/>
            </w:pPr>
            <w:r w:rsidRPr="002936B8">
              <w:t>5%</w:t>
            </w:r>
          </w:p>
        </w:tc>
      </w:tr>
    </w:tbl>
    <w:p w14:paraId="6677D044" w14:textId="3BD4C756" w:rsidR="00BC1D20" w:rsidRPr="00103962" w:rsidRDefault="00B663CE" w:rsidP="00C4138E">
      <w:pPr>
        <w:pStyle w:val="Bodyofcontents"/>
        <w:rPr>
          <w:sz w:val="18"/>
          <w:szCs w:val="18"/>
        </w:rPr>
      </w:pPr>
      <w:r w:rsidRPr="00103962">
        <w:rPr>
          <w:sz w:val="18"/>
          <w:szCs w:val="18"/>
        </w:rPr>
        <w:t xml:space="preserve">FP: </w:t>
      </w:r>
      <w:proofErr w:type="spellStart"/>
      <w:r w:rsidRPr="00103962">
        <w:rPr>
          <w:sz w:val="18"/>
          <w:szCs w:val="18"/>
        </w:rPr>
        <w:t>fluoropyrimidine</w:t>
      </w:r>
      <w:proofErr w:type="spellEnd"/>
      <w:r w:rsidRPr="00103962">
        <w:rPr>
          <w:sz w:val="18"/>
          <w:szCs w:val="18"/>
        </w:rPr>
        <w:t xml:space="preserve">/cisplatin; FP+H: </w:t>
      </w:r>
      <w:proofErr w:type="spellStart"/>
      <w:r w:rsidRPr="00103962">
        <w:rPr>
          <w:sz w:val="18"/>
          <w:szCs w:val="18"/>
        </w:rPr>
        <w:t>fluoropyrimidine</w:t>
      </w:r>
      <w:proofErr w:type="spellEnd"/>
      <w:r w:rsidRPr="00103962">
        <w:rPr>
          <w:sz w:val="18"/>
          <w:szCs w:val="18"/>
        </w:rPr>
        <w:t xml:space="preserve">/cisplatin + </w:t>
      </w:r>
      <w:proofErr w:type="spellStart"/>
      <w:r w:rsidR="00103962" w:rsidRPr="00103962">
        <w:rPr>
          <w:sz w:val="18"/>
          <w:szCs w:val="18"/>
        </w:rPr>
        <w:t>trastuzumab</w:t>
      </w:r>
      <w:proofErr w:type="spellEnd"/>
    </w:p>
    <w:p w14:paraId="1D7DAA0E" w14:textId="77777777" w:rsidR="00B663CE" w:rsidRDefault="00B663CE" w:rsidP="00B663CE">
      <w:pPr>
        <w:pStyle w:val="Bodyofcontents"/>
      </w:pPr>
      <w:r w:rsidRPr="00B663CE">
        <w:t xml:space="preserve">The total percentage of patients who experienced an adverse event of </w:t>
      </w:r>
      <w:r w:rsidR="00103962">
        <w:t>≥</w:t>
      </w:r>
      <w:r w:rsidRPr="00B663CE">
        <w:t xml:space="preserve"> Grade 3 NCI CTCAE v3.0 categorized under this SOC were 38% in the FP arm and 40% in the FP + H arm.</w:t>
      </w:r>
    </w:p>
    <w:p w14:paraId="78F19D65" w14:textId="77777777" w:rsidR="00B663CE" w:rsidRPr="00B663CE" w:rsidRDefault="00B663CE" w:rsidP="00B663CE">
      <w:pPr>
        <w:pStyle w:val="Bodyofcontents"/>
      </w:pPr>
      <w:r w:rsidRPr="00B663CE">
        <w:t xml:space="preserve">Overall, there were no significant differences in </w:t>
      </w:r>
      <w:proofErr w:type="spellStart"/>
      <w:r w:rsidRPr="00B663CE">
        <w:t>haematotoxicity</w:t>
      </w:r>
      <w:proofErr w:type="spellEnd"/>
      <w:r w:rsidRPr="00B663CE">
        <w:t xml:space="preserve"> between the treatment arm and the comparator arm.</w:t>
      </w:r>
    </w:p>
    <w:p w14:paraId="68302260" w14:textId="77777777" w:rsidR="00B663CE" w:rsidRDefault="00B663CE" w:rsidP="009D7260">
      <w:pPr>
        <w:pStyle w:val="Subheading1"/>
      </w:pPr>
      <w:r>
        <w:lastRenderedPageBreak/>
        <w:t xml:space="preserve">Hepatic and Renal Toxicity </w:t>
      </w:r>
    </w:p>
    <w:p w14:paraId="19A3B24A" w14:textId="77777777" w:rsidR="00B663CE" w:rsidRDefault="00B663CE" w:rsidP="009D7260">
      <w:pPr>
        <w:pStyle w:val="Subheading2"/>
      </w:pPr>
      <w:r>
        <w:t xml:space="preserve">Breast Cancer </w:t>
      </w:r>
    </w:p>
    <w:p w14:paraId="37FB8C90" w14:textId="77777777" w:rsidR="00B663CE" w:rsidRDefault="00B663CE" w:rsidP="002654EF">
      <w:pPr>
        <w:pStyle w:val="Subheading3"/>
      </w:pPr>
      <w:r>
        <w:t xml:space="preserve">Monotherapy– Study H0649g </w:t>
      </w:r>
    </w:p>
    <w:p w14:paraId="484C3552" w14:textId="6CEFFA97" w:rsidR="00B663CE" w:rsidRDefault="00B663CE" w:rsidP="00B663CE">
      <w:pPr>
        <w:pStyle w:val="Bodyofcontents"/>
      </w:pPr>
      <w:r>
        <w:t xml:space="preserve">WHO Grade 3 or 4 hepatic toxicity </w:t>
      </w:r>
      <w:proofErr w:type="gramStart"/>
      <w:r>
        <w:t>was observed</w:t>
      </w:r>
      <w:proofErr w:type="gramEnd"/>
      <w:r>
        <w:t xml:space="preserve"> in 12% of patients following administration of </w:t>
      </w:r>
      <w:proofErr w:type="spellStart"/>
      <w:r w:rsidR="00103962">
        <w:t>trastuzumab</w:t>
      </w:r>
      <w:proofErr w:type="spellEnd"/>
      <w:r>
        <w:t xml:space="preserve"> as monotherapy in the metastatic setting. This toxicity was associated with progression of disease in the liver in 60% of these patients. No WHO Grade 3 or </w:t>
      </w:r>
      <w:proofErr w:type="gramStart"/>
      <w:r>
        <w:t>4</w:t>
      </w:r>
      <w:proofErr w:type="gramEnd"/>
      <w:r>
        <w:t xml:space="preserve"> renal toxicity was observed. </w:t>
      </w:r>
    </w:p>
    <w:p w14:paraId="2EA66FCB" w14:textId="77777777" w:rsidR="00B663CE" w:rsidRDefault="00B663CE" w:rsidP="002654EF">
      <w:pPr>
        <w:pStyle w:val="Subheading3"/>
      </w:pPr>
      <w:r>
        <w:t xml:space="preserve">Combination Therapy – Study H0648g </w:t>
      </w:r>
    </w:p>
    <w:p w14:paraId="421B92E4" w14:textId="7B6AF230" w:rsidR="00B663CE" w:rsidRDefault="00B663CE" w:rsidP="00B663CE">
      <w:pPr>
        <w:pStyle w:val="Bodyofcontents"/>
      </w:pPr>
      <w:r>
        <w:t xml:space="preserve">WHO Grade </w:t>
      </w:r>
      <w:proofErr w:type="gramStart"/>
      <w:r>
        <w:t>3</w:t>
      </w:r>
      <w:proofErr w:type="gramEnd"/>
      <w:r>
        <w:t xml:space="preserve"> or 4 hepatic toxicity was observed in 6% of patients treated with </w:t>
      </w:r>
      <w:proofErr w:type="spellStart"/>
      <w:r w:rsidR="00103962">
        <w:t>trastuzumab</w:t>
      </w:r>
      <w:proofErr w:type="spellEnd"/>
      <w:r>
        <w:t xml:space="preserve"> and an </w:t>
      </w:r>
      <w:proofErr w:type="spellStart"/>
      <w:r>
        <w:t>anthracycline</w:t>
      </w:r>
      <w:proofErr w:type="spellEnd"/>
      <w:r>
        <w:t xml:space="preserve">/cyclophosphamide compared with an incidence of 8% in patients treated with the </w:t>
      </w:r>
      <w:proofErr w:type="spellStart"/>
      <w:r>
        <w:t>anthracycline</w:t>
      </w:r>
      <w:proofErr w:type="spellEnd"/>
      <w:r>
        <w:t xml:space="preserve">/cyclophosphamide combination without </w:t>
      </w:r>
      <w:proofErr w:type="spellStart"/>
      <w:r w:rsidR="00103962">
        <w:t>trastuzumab</w:t>
      </w:r>
      <w:proofErr w:type="spellEnd"/>
      <w:r>
        <w:t xml:space="preserve">. No WHO Grade 3 or </w:t>
      </w:r>
      <w:proofErr w:type="gramStart"/>
      <w:r>
        <w:t>4</w:t>
      </w:r>
      <w:proofErr w:type="gramEnd"/>
      <w:r>
        <w:t xml:space="preserve"> renal toxicity was observed. </w:t>
      </w:r>
    </w:p>
    <w:p w14:paraId="36DF0DFE" w14:textId="50DA2741" w:rsidR="00B663CE" w:rsidRDefault="00B663CE" w:rsidP="00B663CE">
      <w:pPr>
        <w:pStyle w:val="Bodyofcontents"/>
      </w:pPr>
      <w:r>
        <w:t xml:space="preserve">WHO Grade 3 or 4 hepatic toxicity was less frequently observed among patients receiving </w:t>
      </w:r>
      <w:proofErr w:type="spellStart"/>
      <w:r w:rsidR="00103962">
        <w:t>trastuzumab</w:t>
      </w:r>
      <w:proofErr w:type="spellEnd"/>
      <w:r>
        <w:t xml:space="preserve"> and paclitaxel than among patients receiving paclitaxel-alone (7% </w:t>
      </w:r>
      <w:proofErr w:type="gramStart"/>
      <w:r>
        <w:t>vs.15%</w:t>
      </w:r>
      <w:proofErr w:type="gramEnd"/>
      <w:r>
        <w:t xml:space="preserve">). No WHO Grade 3 or </w:t>
      </w:r>
      <w:proofErr w:type="gramStart"/>
      <w:r>
        <w:t>4</w:t>
      </w:r>
      <w:proofErr w:type="gramEnd"/>
      <w:r>
        <w:t xml:space="preserve"> renal toxicity was observed. </w:t>
      </w:r>
    </w:p>
    <w:p w14:paraId="2628A8F5" w14:textId="77777777" w:rsidR="00B663CE" w:rsidRDefault="00B663CE" w:rsidP="009D7260">
      <w:pPr>
        <w:pStyle w:val="Subheading2"/>
      </w:pPr>
      <w:r>
        <w:t xml:space="preserve">Advanced Gastric Cancer </w:t>
      </w:r>
    </w:p>
    <w:p w14:paraId="00E69720" w14:textId="77777777" w:rsidR="00B663CE" w:rsidRDefault="00B663CE" w:rsidP="00B663CE">
      <w:pPr>
        <w:pStyle w:val="Bodyofcontents"/>
      </w:pPr>
      <w:r>
        <w:t>In Study BO18255 (</w:t>
      </w:r>
      <w:proofErr w:type="spellStart"/>
      <w:r>
        <w:t>ToGA</w:t>
      </w:r>
      <w:proofErr w:type="spellEnd"/>
      <w:r>
        <w:t xml:space="preserve">) no significant differences in hepatic and renal toxicity were observed between the two treatment arms. </w:t>
      </w:r>
    </w:p>
    <w:p w14:paraId="29404B1E" w14:textId="5C20C05A" w:rsidR="00B663CE" w:rsidRDefault="00B663CE" w:rsidP="00B663CE">
      <w:pPr>
        <w:pStyle w:val="Bodyofcontents"/>
      </w:pPr>
      <w:r>
        <w:t xml:space="preserve">NCI-CTCAE (v3.0) grade ≥ 3 renal toxicity was not significantly higher in patients receiving </w:t>
      </w:r>
      <w:proofErr w:type="spellStart"/>
      <w:r w:rsidR="00103962">
        <w:t>trastuzumab</w:t>
      </w:r>
      <w:proofErr w:type="spellEnd"/>
      <w:r>
        <w:t xml:space="preserve"> than those in the </w:t>
      </w:r>
      <w:proofErr w:type="spellStart"/>
      <w:r>
        <w:t>fluoropyrimidine</w:t>
      </w:r>
      <w:proofErr w:type="spellEnd"/>
      <w:r>
        <w:t xml:space="preserve">/cisplatin arm (3% and 2% respectively). </w:t>
      </w:r>
    </w:p>
    <w:p w14:paraId="228E82FC" w14:textId="6F80316E" w:rsidR="00B663CE" w:rsidRDefault="00B663CE" w:rsidP="00B663CE">
      <w:pPr>
        <w:pStyle w:val="Bodyofcontents"/>
      </w:pPr>
      <w:r>
        <w:t xml:space="preserve">NCI-CTCAE (v3.0) grade ≥ 3 adverse events in the Hepatobiliary Disorders SOC: </w:t>
      </w:r>
      <w:proofErr w:type="spellStart"/>
      <w:r>
        <w:t>Hyperbilirubinaemia</w:t>
      </w:r>
      <w:proofErr w:type="spellEnd"/>
      <w:r>
        <w:t xml:space="preserve"> was the only reported adverse event and was not significantly higher in patients receiving </w:t>
      </w:r>
      <w:proofErr w:type="spellStart"/>
      <w:r w:rsidR="00103962">
        <w:t>trastuzumab</w:t>
      </w:r>
      <w:proofErr w:type="spellEnd"/>
      <w:r>
        <w:t xml:space="preserve"> than those in the </w:t>
      </w:r>
      <w:proofErr w:type="spellStart"/>
      <w:r>
        <w:t>fluoropyrimidine</w:t>
      </w:r>
      <w:proofErr w:type="spellEnd"/>
      <w:r>
        <w:t xml:space="preserve">/cisplatin arm (1% and &lt;1% respectively). </w:t>
      </w:r>
    </w:p>
    <w:p w14:paraId="5043CEA8" w14:textId="77777777" w:rsidR="00B663CE" w:rsidRDefault="00B663CE" w:rsidP="009D7260">
      <w:pPr>
        <w:pStyle w:val="Subheading1"/>
      </w:pPr>
      <w:r>
        <w:t xml:space="preserve">Diarrhoea </w:t>
      </w:r>
    </w:p>
    <w:p w14:paraId="545BE1B4" w14:textId="77777777" w:rsidR="00B663CE" w:rsidRDefault="00B663CE" w:rsidP="009D7260">
      <w:pPr>
        <w:pStyle w:val="Subheading2"/>
      </w:pPr>
      <w:r>
        <w:t xml:space="preserve">Breast Cancer </w:t>
      </w:r>
    </w:p>
    <w:p w14:paraId="63EE904D" w14:textId="77777777" w:rsidR="00B663CE" w:rsidRDefault="00B663CE" w:rsidP="002654EF">
      <w:pPr>
        <w:pStyle w:val="Subheading3"/>
      </w:pPr>
      <w:r>
        <w:t xml:space="preserve">Monotherapy– Study H0649g </w:t>
      </w:r>
    </w:p>
    <w:p w14:paraId="5222D8FA" w14:textId="23F54904" w:rsidR="00B663CE" w:rsidRDefault="00B663CE" w:rsidP="00B663CE">
      <w:pPr>
        <w:pStyle w:val="Bodyofcontents"/>
      </w:pPr>
      <w:r>
        <w:t xml:space="preserve">Of patients treated with </w:t>
      </w:r>
      <w:proofErr w:type="spellStart"/>
      <w:r w:rsidR="00103962">
        <w:t>trastuzumab</w:t>
      </w:r>
      <w:proofErr w:type="spellEnd"/>
      <w:r>
        <w:t xml:space="preserve"> monotherapy in the metastatic setting, 27% experienced diarrhoea. </w:t>
      </w:r>
    </w:p>
    <w:p w14:paraId="1DEAC417" w14:textId="77777777" w:rsidR="00B663CE" w:rsidRDefault="00B663CE" w:rsidP="002654EF">
      <w:pPr>
        <w:pStyle w:val="Subheading3"/>
      </w:pPr>
      <w:r>
        <w:t xml:space="preserve">Combination Therapy – Studies H0648g and M77001 </w:t>
      </w:r>
    </w:p>
    <w:p w14:paraId="527174F4" w14:textId="343B0CF1" w:rsidR="00B663CE" w:rsidRDefault="00B663CE" w:rsidP="00B663CE">
      <w:pPr>
        <w:pStyle w:val="Bodyofcontents"/>
      </w:pPr>
      <w:r>
        <w:t xml:space="preserve">An increase in the incidence of diarrhoea, primarily mild to moderate in severity, </w:t>
      </w:r>
      <w:proofErr w:type="gramStart"/>
      <w:r>
        <w:t>has been observed</w:t>
      </w:r>
      <w:proofErr w:type="gramEnd"/>
      <w:r>
        <w:t xml:space="preserve"> in patients receiving </w:t>
      </w:r>
      <w:proofErr w:type="spellStart"/>
      <w:r w:rsidR="00103962">
        <w:t>trastuzumab</w:t>
      </w:r>
      <w:proofErr w:type="spellEnd"/>
      <w:r>
        <w:t xml:space="preserve"> in combination with chemotherapy compared with patients receiving chemotherapy-alone or </w:t>
      </w:r>
      <w:proofErr w:type="spellStart"/>
      <w:r w:rsidR="00103962">
        <w:t>trastuzumab</w:t>
      </w:r>
      <w:proofErr w:type="spellEnd"/>
      <w:r>
        <w:t xml:space="preserve">-alone. </w:t>
      </w:r>
    </w:p>
    <w:p w14:paraId="65A0A33C" w14:textId="77777777" w:rsidR="00B663CE" w:rsidRDefault="00B663CE" w:rsidP="002654EF">
      <w:pPr>
        <w:pStyle w:val="Subheading3"/>
      </w:pPr>
      <w:r>
        <w:t xml:space="preserve">Early Setting – HERA Study </w:t>
      </w:r>
    </w:p>
    <w:p w14:paraId="5EA31288" w14:textId="586C42E8" w:rsidR="00B663CE" w:rsidRDefault="00B663CE" w:rsidP="00B663CE">
      <w:pPr>
        <w:pStyle w:val="Bodyofcontents"/>
      </w:pPr>
      <w:r>
        <w:t xml:space="preserve">In the HERA trial, 8% of </w:t>
      </w:r>
      <w:proofErr w:type="spellStart"/>
      <w:r w:rsidR="00103962">
        <w:t>trastuzumab</w:t>
      </w:r>
      <w:proofErr w:type="spellEnd"/>
      <w:r>
        <w:t xml:space="preserve"> treated patients experienced diarrhoea during the first year of treatment.</w:t>
      </w:r>
    </w:p>
    <w:p w14:paraId="310ACE2A" w14:textId="77777777" w:rsidR="00B663CE" w:rsidRDefault="00B663CE" w:rsidP="009D7260">
      <w:pPr>
        <w:pStyle w:val="Subheading2"/>
      </w:pPr>
      <w:r>
        <w:lastRenderedPageBreak/>
        <w:t xml:space="preserve">Advanced Gastric Cancer </w:t>
      </w:r>
    </w:p>
    <w:p w14:paraId="0693E42C" w14:textId="238BDA72" w:rsidR="00B663CE" w:rsidRDefault="00B663CE" w:rsidP="00B663CE">
      <w:pPr>
        <w:pStyle w:val="Bodyofcontents"/>
      </w:pPr>
      <w:r>
        <w:t>In Study BO18255 (</w:t>
      </w:r>
      <w:proofErr w:type="spellStart"/>
      <w:r>
        <w:t>ToGA</w:t>
      </w:r>
      <w:proofErr w:type="spellEnd"/>
      <w:r>
        <w:t xml:space="preserve">), 109 patients (37%) in the </w:t>
      </w:r>
      <w:proofErr w:type="spellStart"/>
      <w:r w:rsidR="00103962">
        <w:t>trastuzumab</w:t>
      </w:r>
      <w:proofErr w:type="spellEnd"/>
      <w:r>
        <w:t xml:space="preserve"> treatment arm versus 80 patients (28%) in the comparator arm experienced any grade diarrhoea. Four percent (4%) of patients in the </w:t>
      </w:r>
      <w:proofErr w:type="spellStart"/>
      <w:r>
        <w:t>fluoropyrimidine</w:t>
      </w:r>
      <w:proofErr w:type="spellEnd"/>
      <w:r>
        <w:t xml:space="preserve">/cisplatin arm experienced Grade </w:t>
      </w:r>
      <w:r w:rsidR="00CE1AD6" w:rsidRPr="00CE1AD6">
        <w:rPr>
          <w:u w:val="single"/>
        </w:rPr>
        <w:t>&gt;</w:t>
      </w:r>
      <w:r>
        <w:t xml:space="preserve"> 3 diarrhoea vs. 9% in the </w:t>
      </w:r>
      <w:proofErr w:type="spellStart"/>
      <w:r w:rsidR="00103962">
        <w:t>trastuzumab</w:t>
      </w:r>
      <w:proofErr w:type="spellEnd"/>
      <w:r>
        <w:t xml:space="preserve"> arm. </w:t>
      </w:r>
    </w:p>
    <w:p w14:paraId="72A52753" w14:textId="77777777" w:rsidR="00B663CE" w:rsidRDefault="00B663CE" w:rsidP="009D7260">
      <w:pPr>
        <w:pStyle w:val="Subheading1"/>
      </w:pPr>
      <w:r>
        <w:t xml:space="preserve">Infection </w:t>
      </w:r>
    </w:p>
    <w:p w14:paraId="44E295F6" w14:textId="32988A29" w:rsidR="00B663CE" w:rsidRDefault="00B663CE" w:rsidP="00B663CE">
      <w:pPr>
        <w:pStyle w:val="Bodyofcontents"/>
      </w:pPr>
      <w:r>
        <w:t xml:space="preserve">An increased incidence of infections, primarily mild upper respiratory infections of minor clinical significance or catheter infections, has been observed primarily in patients treated with </w:t>
      </w:r>
      <w:proofErr w:type="spellStart"/>
      <w:r w:rsidR="00103962">
        <w:t>trastuzumab</w:t>
      </w:r>
      <w:proofErr w:type="spellEnd"/>
      <w:r>
        <w:t xml:space="preserve"> + chemotherapy compared with patients receiving chemotherapy-alone or </w:t>
      </w:r>
      <w:proofErr w:type="spellStart"/>
      <w:r w:rsidR="00103962">
        <w:t>trastuzumab</w:t>
      </w:r>
      <w:proofErr w:type="spellEnd"/>
      <w:r>
        <w:t xml:space="preserve">-alone. </w:t>
      </w:r>
    </w:p>
    <w:p w14:paraId="439FCD1E" w14:textId="77777777" w:rsidR="00B663CE" w:rsidRDefault="00B663CE" w:rsidP="009D7260">
      <w:pPr>
        <w:pStyle w:val="Subheading1"/>
      </w:pPr>
      <w:r>
        <w:t xml:space="preserve">Laboratory Abnormalities </w:t>
      </w:r>
    </w:p>
    <w:p w14:paraId="648CCE10" w14:textId="77777777" w:rsidR="00B663CE" w:rsidRDefault="00B663CE" w:rsidP="00B663CE">
      <w:pPr>
        <w:pStyle w:val="Bodyofcontents"/>
      </w:pPr>
      <w:r>
        <w:t xml:space="preserve">Febrile neutropenia occurs very commonly. Commonly occurring adverse reactions include anaemia, leukopenia, thrombocytopenia and neutropenia. The frequency of occurrence of hypoprothrombinemia </w:t>
      </w:r>
      <w:proofErr w:type="gramStart"/>
      <w:r>
        <w:t>is not known</w:t>
      </w:r>
      <w:proofErr w:type="gramEnd"/>
      <w:r>
        <w:t xml:space="preserve">. </w:t>
      </w:r>
    </w:p>
    <w:p w14:paraId="08CA37AC" w14:textId="77777777" w:rsidR="00B663CE" w:rsidRDefault="00B663CE" w:rsidP="009D7260">
      <w:pPr>
        <w:pStyle w:val="Subheading1"/>
      </w:pPr>
      <w:r>
        <w:t xml:space="preserve">Immunogenicity </w:t>
      </w:r>
    </w:p>
    <w:p w14:paraId="50C67EA0" w14:textId="0F474B09" w:rsidR="00B663CE" w:rsidRPr="002936B8" w:rsidRDefault="00B663CE" w:rsidP="00B663CE">
      <w:pPr>
        <w:pStyle w:val="Bodyofcontents"/>
      </w:pPr>
      <w:r>
        <w:t xml:space="preserve">In a </w:t>
      </w:r>
      <w:proofErr w:type="spellStart"/>
      <w:r>
        <w:t>neoadjuvant</w:t>
      </w:r>
      <w:proofErr w:type="spellEnd"/>
      <w:r>
        <w:t xml:space="preserve">-adjuvant breast cancer trial, </w:t>
      </w:r>
      <w:r w:rsidRPr="002936B8">
        <w:t xml:space="preserve">8.1% (24/296) </w:t>
      </w:r>
      <w:r>
        <w:t xml:space="preserve">of patients treated with </w:t>
      </w:r>
      <w:proofErr w:type="spellStart"/>
      <w:r w:rsidR="00103962">
        <w:t>trastuzumab</w:t>
      </w:r>
      <w:proofErr w:type="spellEnd"/>
      <w:r>
        <w:t xml:space="preserve"> developed antibodies against </w:t>
      </w:r>
      <w:proofErr w:type="spellStart"/>
      <w:r>
        <w:t>trastuzumab</w:t>
      </w:r>
      <w:proofErr w:type="spellEnd"/>
      <w:r>
        <w:t xml:space="preserve"> (regardless of antibody presence at baseline). </w:t>
      </w:r>
      <w:r w:rsidRPr="002936B8">
        <w:t>Neutralizing anti-</w:t>
      </w:r>
      <w:proofErr w:type="spellStart"/>
      <w:r w:rsidRPr="002936B8">
        <w:t>trastuzumab</w:t>
      </w:r>
      <w:proofErr w:type="spellEnd"/>
      <w:r w:rsidRPr="002936B8">
        <w:t xml:space="preserve"> antibodies were detected in post-baseline samples in </w:t>
      </w:r>
      <w:proofErr w:type="gramStart"/>
      <w:r w:rsidRPr="002936B8">
        <w:t>2</w:t>
      </w:r>
      <w:proofErr w:type="gramEnd"/>
      <w:r w:rsidRPr="002936B8">
        <w:t xml:space="preserve"> of 24 </w:t>
      </w:r>
      <w:proofErr w:type="spellStart"/>
      <w:r w:rsidR="00103962">
        <w:t>trastuzumab</w:t>
      </w:r>
      <w:proofErr w:type="spellEnd"/>
      <w:r w:rsidR="00103962">
        <w:t xml:space="preserve"> </w:t>
      </w:r>
      <w:r w:rsidRPr="002936B8">
        <w:t xml:space="preserve">patients. </w:t>
      </w:r>
    </w:p>
    <w:p w14:paraId="69F4A25B" w14:textId="1D2BC669" w:rsidR="00B663CE" w:rsidRDefault="00B663CE" w:rsidP="00B663CE">
      <w:pPr>
        <w:pStyle w:val="Bodyofcontents"/>
      </w:pPr>
      <w:r>
        <w:t xml:space="preserve">The clinical relevance of these antibodies </w:t>
      </w:r>
      <w:proofErr w:type="gramStart"/>
      <w:r>
        <w:t>is not known</w:t>
      </w:r>
      <w:proofErr w:type="gramEnd"/>
      <w:r>
        <w:t>. However</w:t>
      </w:r>
      <w:r w:rsidR="00BA2AF8">
        <w:t>,</w:t>
      </w:r>
      <w:r>
        <w:t xml:space="preserve"> the pharmacokinetics, efficacy [determined by pathological complete response (</w:t>
      </w:r>
      <w:proofErr w:type="spellStart"/>
      <w:r>
        <w:t>pCR</w:t>
      </w:r>
      <w:proofErr w:type="spellEnd"/>
      <w:r>
        <w:t xml:space="preserve">)] or safety [determined by the occurrence of administration related reaction (ARRs)] of </w:t>
      </w:r>
      <w:proofErr w:type="spellStart"/>
      <w:r>
        <w:t>trastuzumab</w:t>
      </w:r>
      <w:proofErr w:type="spellEnd"/>
      <w:r>
        <w:t xml:space="preserve"> did not appear to be adversely affected by these antibodies. </w:t>
      </w:r>
    </w:p>
    <w:p w14:paraId="69055BEA" w14:textId="1A761ACC" w:rsidR="00B663CE" w:rsidRDefault="00B663CE" w:rsidP="009D7260">
      <w:pPr>
        <w:pStyle w:val="Subheading1"/>
      </w:pPr>
      <w:r>
        <w:t xml:space="preserve">Switching treatment from </w:t>
      </w:r>
      <w:proofErr w:type="spellStart"/>
      <w:r w:rsidR="00181C14">
        <w:t>Trastuzumab</w:t>
      </w:r>
      <w:proofErr w:type="spellEnd"/>
      <w:r w:rsidR="00181C14">
        <w:t xml:space="preserve"> </w:t>
      </w:r>
      <w:r>
        <w:t xml:space="preserve">IV to </w:t>
      </w:r>
      <w:proofErr w:type="spellStart"/>
      <w:r w:rsidR="00181C14">
        <w:t>Trastuzumab</w:t>
      </w:r>
      <w:proofErr w:type="spellEnd"/>
      <w:r w:rsidR="00181C14">
        <w:t xml:space="preserve"> </w:t>
      </w:r>
      <w:r>
        <w:t xml:space="preserve">SC and vice versa </w:t>
      </w:r>
    </w:p>
    <w:p w14:paraId="0DA41E91" w14:textId="71390566" w:rsidR="00B663CE" w:rsidRPr="009D7260" w:rsidRDefault="00B663CE" w:rsidP="009D7260">
      <w:pPr>
        <w:pStyle w:val="Bodyofcontents"/>
      </w:pPr>
      <w:r w:rsidRPr="009D7260">
        <w:t>Study MO22982 (</w:t>
      </w:r>
      <w:proofErr w:type="spellStart"/>
      <w:r w:rsidRPr="009D7260">
        <w:t>PrefHER</w:t>
      </w:r>
      <w:proofErr w:type="spellEnd"/>
      <w:r w:rsidRPr="009D7260">
        <w:t xml:space="preserve">) investigated switching from </w:t>
      </w:r>
      <w:proofErr w:type="spellStart"/>
      <w:r w:rsidR="00181C14">
        <w:t>Trastuzumab</w:t>
      </w:r>
      <w:proofErr w:type="spellEnd"/>
      <w:r w:rsidR="00181C14" w:rsidRPr="009D7260">
        <w:t xml:space="preserve"> </w:t>
      </w:r>
      <w:r w:rsidRPr="009D7260">
        <w:t xml:space="preserve">IV to </w:t>
      </w:r>
      <w:proofErr w:type="spellStart"/>
      <w:r w:rsidR="00181C14">
        <w:t>Trastuzumab</w:t>
      </w:r>
      <w:proofErr w:type="spellEnd"/>
      <w:r w:rsidR="00181C14" w:rsidRPr="009D7260">
        <w:t xml:space="preserve"> </w:t>
      </w:r>
      <w:r w:rsidRPr="009D7260">
        <w:t xml:space="preserve">SC, and vice versa, in patients with HER2 positive EBC, with a primary objective to evaluate patient preference for either </w:t>
      </w:r>
      <w:proofErr w:type="spellStart"/>
      <w:r w:rsidR="00181C14">
        <w:t>Trastuzumab</w:t>
      </w:r>
      <w:proofErr w:type="spellEnd"/>
      <w:r w:rsidR="00181C14" w:rsidRPr="009D7260">
        <w:t xml:space="preserve"> </w:t>
      </w:r>
      <w:r w:rsidRPr="009D7260">
        <w:t xml:space="preserve">IV infusion or </w:t>
      </w:r>
      <w:proofErr w:type="spellStart"/>
      <w:r w:rsidR="00181C14">
        <w:t>Trastuzumab</w:t>
      </w:r>
      <w:proofErr w:type="spellEnd"/>
      <w:r w:rsidR="00181C14" w:rsidRPr="009D7260">
        <w:t xml:space="preserve"> </w:t>
      </w:r>
      <w:r w:rsidRPr="009D7260">
        <w:t xml:space="preserve">SC injection. This trial investigated using a 2-arm, cross-over design with patients being randomized to one of two different q3w </w:t>
      </w:r>
      <w:proofErr w:type="spellStart"/>
      <w:r w:rsidR="00181C14">
        <w:t>Trastuzumab</w:t>
      </w:r>
      <w:proofErr w:type="spellEnd"/>
      <w:r w:rsidR="00181C14" w:rsidRPr="009D7260">
        <w:t xml:space="preserve"> </w:t>
      </w:r>
      <w:r w:rsidRPr="009D7260">
        <w:t>treatment sequences (</w:t>
      </w:r>
      <w:proofErr w:type="spellStart"/>
      <w:r w:rsidR="00181C14">
        <w:t>Trastuzumab</w:t>
      </w:r>
      <w:proofErr w:type="spellEnd"/>
      <w:r w:rsidR="00181C14" w:rsidRPr="009D7260">
        <w:t xml:space="preserve"> </w:t>
      </w:r>
      <w:r w:rsidRPr="009D7260">
        <w:t xml:space="preserve">IV (Cycles 1-4) → </w:t>
      </w:r>
      <w:proofErr w:type="spellStart"/>
      <w:r w:rsidR="00181C14">
        <w:t>Trastuzumab</w:t>
      </w:r>
      <w:proofErr w:type="spellEnd"/>
      <w:r w:rsidR="00181C14" w:rsidRPr="009D7260">
        <w:t xml:space="preserve"> </w:t>
      </w:r>
      <w:r w:rsidRPr="009D7260">
        <w:t xml:space="preserve">SC (Cycles 5-8), or </w:t>
      </w:r>
      <w:proofErr w:type="spellStart"/>
      <w:r w:rsidR="00181C14">
        <w:t>Trastuzumab</w:t>
      </w:r>
      <w:proofErr w:type="spellEnd"/>
      <w:r w:rsidR="00181C14" w:rsidRPr="009D7260">
        <w:t xml:space="preserve"> </w:t>
      </w:r>
      <w:r w:rsidRPr="009D7260">
        <w:t xml:space="preserve">SC (Cycles 1-4) → </w:t>
      </w:r>
      <w:proofErr w:type="spellStart"/>
      <w:r w:rsidR="00181C14">
        <w:t>Trastuzumab</w:t>
      </w:r>
      <w:proofErr w:type="spellEnd"/>
      <w:r w:rsidR="00181C14" w:rsidRPr="009D7260">
        <w:t xml:space="preserve"> </w:t>
      </w:r>
      <w:r w:rsidRPr="009D7260">
        <w:t xml:space="preserve">IV (Cycles 5-8)). Patients participating in this trial </w:t>
      </w:r>
      <w:proofErr w:type="gramStart"/>
      <w:r w:rsidRPr="009D7260">
        <w:t xml:space="preserve">could be enrolled at any time as long as there were at least 10 remaining cycles of </w:t>
      </w:r>
      <w:proofErr w:type="spellStart"/>
      <w:r w:rsidR="00BE5C7D">
        <w:t>Trastuzumab</w:t>
      </w:r>
      <w:proofErr w:type="spellEnd"/>
      <w:r w:rsidR="00BE5C7D" w:rsidRPr="009D7260">
        <w:t xml:space="preserve"> </w:t>
      </w:r>
      <w:r w:rsidRPr="009D7260">
        <w:t xml:space="preserve">in their planned treatment regimen, therefore patients were either naïve to </w:t>
      </w:r>
      <w:proofErr w:type="spellStart"/>
      <w:r w:rsidR="00181C14">
        <w:t>Trastuzuzmab</w:t>
      </w:r>
      <w:proofErr w:type="spellEnd"/>
      <w:r w:rsidR="00181C14" w:rsidRPr="009D7260">
        <w:t xml:space="preserve"> </w:t>
      </w:r>
      <w:r w:rsidRPr="009D7260">
        <w:t xml:space="preserve">IV treatment (20.3%) or pre-exposed to </w:t>
      </w:r>
      <w:proofErr w:type="spellStart"/>
      <w:r w:rsidR="00181C14">
        <w:t>Trastuzumab</w:t>
      </w:r>
      <w:proofErr w:type="spellEnd"/>
      <w:r w:rsidR="00181C14" w:rsidRPr="009D7260">
        <w:t xml:space="preserve"> </w:t>
      </w:r>
      <w:r w:rsidRPr="009D7260">
        <w:t>IV (79.7%) as part of ongoing adjuvant treatment for HER2 positive EBC</w:t>
      </w:r>
      <w:proofErr w:type="gramEnd"/>
      <w:r w:rsidRPr="009D7260">
        <w:t xml:space="preserve">. Overall, switches from </w:t>
      </w:r>
      <w:proofErr w:type="spellStart"/>
      <w:r w:rsidR="00341EAD">
        <w:t>Trastuzuzmab</w:t>
      </w:r>
      <w:proofErr w:type="spellEnd"/>
      <w:r w:rsidR="00341EAD" w:rsidRPr="009D7260">
        <w:t xml:space="preserve"> </w:t>
      </w:r>
      <w:r w:rsidRPr="009D7260">
        <w:t xml:space="preserve">IV to </w:t>
      </w:r>
      <w:proofErr w:type="spellStart"/>
      <w:r w:rsidR="00341EAD">
        <w:t>Trastuzumab</w:t>
      </w:r>
      <w:proofErr w:type="spellEnd"/>
      <w:r w:rsidR="00341EAD" w:rsidRPr="009D7260">
        <w:t xml:space="preserve"> </w:t>
      </w:r>
      <w:r w:rsidRPr="009D7260">
        <w:t xml:space="preserve">SC and vice versa </w:t>
      </w:r>
      <w:proofErr w:type="gramStart"/>
      <w:r w:rsidRPr="009D7260">
        <w:t>were well tolerated</w:t>
      </w:r>
      <w:proofErr w:type="gramEnd"/>
      <w:r w:rsidRPr="009D7260">
        <w:t xml:space="preserve">. Pre-switch rates (Cycles 1-4) for SAEs, Grade 3 AEs and treatment discontinuations due to AEs were low (&lt;5%) and similar to post-switch rates (Cycles 5-8). No Grade 4 or Grade 5 AEs </w:t>
      </w:r>
      <w:proofErr w:type="gramStart"/>
      <w:r w:rsidRPr="009D7260">
        <w:t>were reported</w:t>
      </w:r>
      <w:proofErr w:type="gramEnd"/>
      <w:r w:rsidRPr="009D7260">
        <w:t xml:space="preserve">. The effect of multiple switches back and forth </w:t>
      </w:r>
      <w:proofErr w:type="gramStart"/>
      <w:r w:rsidRPr="009D7260">
        <w:t>was not investigated</w:t>
      </w:r>
      <w:proofErr w:type="gramEnd"/>
      <w:r w:rsidRPr="009D7260">
        <w:t xml:space="preserve"> (see also CLINICAL TRIALS).</w:t>
      </w:r>
    </w:p>
    <w:p w14:paraId="6C354C22" w14:textId="77777777" w:rsidR="000B377E" w:rsidRPr="00A15169" w:rsidRDefault="000B377E" w:rsidP="000B377E">
      <w:pPr>
        <w:pStyle w:val="SubjectHeading"/>
      </w:pPr>
      <w:r w:rsidRPr="00A15169">
        <w:t>DOSAGE AND ADMINISTRATION</w:t>
      </w:r>
    </w:p>
    <w:p w14:paraId="53B69BAD" w14:textId="339106C7" w:rsidR="00B663CE" w:rsidRDefault="00B663CE" w:rsidP="00B663CE">
      <w:pPr>
        <w:pStyle w:val="Bodyofcontents"/>
      </w:pPr>
      <w:r>
        <w:t xml:space="preserve">HER2 testing is mandatory prior to initiation of </w:t>
      </w:r>
      <w:proofErr w:type="spellStart"/>
      <w:r w:rsidR="00103962">
        <w:t>trastuzumab</w:t>
      </w:r>
      <w:proofErr w:type="spellEnd"/>
      <w:r>
        <w:t xml:space="preserve"> therapy (refer to Detection of HER2 Protein Overexpression and Gene Amplification below). </w:t>
      </w:r>
    </w:p>
    <w:p w14:paraId="1F7F2845" w14:textId="01A33EE1" w:rsidR="00B663CE" w:rsidRDefault="00B663CE" w:rsidP="00B663CE">
      <w:pPr>
        <w:pStyle w:val="Bodyofcontents"/>
      </w:pPr>
      <w:r>
        <w:lastRenderedPageBreak/>
        <w:t>In order to prevent medication errors</w:t>
      </w:r>
      <w:r w:rsidR="00976D4E">
        <w:t>,</w:t>
      </w:r>
      <w:r>
        <w:t xml:space="preserve"> it is important to check the vial labels to ensure the medicine being prepared and </w:t>
      </w:r>
      <w:proofErr w:type="gramStart"/>
      <w:r>
        <w:t>administered</w:t>
      </w:r>
      <w:proofErr w:type="gramEnd"/>
      <w:r>
        <w:t xml:space="preserve"> is </w:t>
      </w:r>
      <w:proofErr w:type="spellStart"/>
      <w:r w:rsidR="00976D4E" w:rsidRPr="00FA117B">
        <w:rPr>
          <w:b/>
        </w:rPr>
        <w:t>T</w:t>
      </w:r>
      <w:r w:rsidRPr="00FA117B">
        <w:rPr>
          <w:b/>
        </w:rPr>
        <w:t>rastuzumab</w:t>
      </w:r>
      <w:proofErr w:type="spellEnd"/>
      <w:r w:rsidR="00976D4E">
        <w:t xml:space="preserve"> (OGIVRI)</w:t>
      </w:r>
      <w:r>
        <w:t xml:space="preserve"> and not </w:t>
      </w:r>
      <w:proofErr w:type="spellStart"/>
      <w:r w:rsidR="00976D4E" w:rsidRPr="00FA117B">
        <w:rPr>
          <w:b/>
        </w:rPr>
        <w:t>T</w:t>
      </w:r>
      <w:r w:rsidRPr="00FA117B">
        <w:rPr>
          <w:b/>
        </w:rPr>
        <w:t>rastuzumab</w:t>
      </w:r>
      <w:proofErr w:type="spellEnd"/>
      <w:r w:rsidRPr="00FA117B">
        <w:rPr>
          <w:b/>
        </w:rPr>
        <w:t xml:space="preserve"> </w:t>
      </w:r>
      <w:proofErr w:type="spellStart"/>
      <w:r w:rsidRPr="00FA117B">
        <w:rPr>
          <w:b/>
        </w:rPr>
        <w:t>emtansine</w:t>
      </w:r>
      <w:proofErr w:type="spellEnd"/>
      <w:r w:rsidR="008A6480">
        <w:t xml:space="preserve"> (KADCYLA</w:t>
      </w:r>
      <w:r w:rsidR="008A6480" w:rsidRPr="008D7AA0">
        <w:rPr>
          <w:vertAlign w:val="superscript"/>
        </w:rPr>
        <w:t>®</w:t>
      </w:r>
      <w:r w:rsidR="008A6480" w:rsidRPr="008A6480">
        <w:t>)</w:t>
      </w:r>
      <w:r>
        <w:t xml:space="preserve">. </w:t>
      </w:r>
    </w:p>
    <w:p w14:paraId="7E27E3E0" w14:textId="5E99F427" w:rsidR="0072179F" w:rsidRDefault="00B663CE" w:rsidP="00B663CE">
      <w:pPr>
        <w:pStyle w:val="Bodyofcontents"/>
      </w:pPr>
      <w:r w:rsidRPr="002936B8">
        <w:t xml:space="preserve">It is important to check the labels to ensure the correct formulation (intravenous or subcutaneous) </w:t>
      </w:r>
      <w:proofErr w:type="gramStart"/>
      <w:r w:rsidRPr="002936B8">
        <w:t>is being administered</w:t>
      </w:r>
      <w:proofErr w:type="gramEnd"/>
      <w:r w:rsidRPr="002936B8">
        <w:t xml:space="preserve"> to the patient as was prescribed. </w:t>
      </w:r>
      <w:r>
        <w:t xml:space="preserve">Switching treatment between </w:t>
      </w:r>
      <w:proofErr w:type="spellStart"/>
      <w:r w:rsidR="008C7AEB">
        <w:t>Trastuzumab</w:t>
      </w:r>
      <w:proofErr w:type="spellEnd"/>
      <w:r w:rsidR="008C7AEB">
        <w:t xml:space="preserve"> </w:t>
      </w:r>
      <w:r>
        <w:t xml:space="preserve">IV and </w:t>
      </w:r>
      <w:proofErr w:type="spellStart"/>
      <w:r w:rsidR="008C7AEB">
        <w:t>Trastuzumab</w:t>
      </w:r>
      <w:proofErr w:type="spellEnd"/>
      <w:r w:rsidR="008C7AEB">
        <w:t xml:space="preserve"> </w:t>
      </w:r>
      <w:r>
        <w:t>SC and vice versa, using a three-weekly (q3w) dosing regimen, was investigated in study MO22982 (</w:t>
      </w:r>
      <w:proofErr w:type="spellStart"/>
      <w:r>
        <w:t>PrefHER</w:t>
      </w:r>
      <w:proofErr w:type="spellEnd"/>
      <w:r>
        <w:t>) (see CLINICAL TRIALS, ADVERSE EFFECTS).</w:t>
      </w:r>
      <w:r w:rsidR="0011416E">
        <w:t xml:space="preserve"> </w:t>
      </w:r>
    </w:p>
    <w:p w14:paraId="6C38B289" w14:textId="53386A50" w:rsidR="00B663CE" w:rsidRDefault="00B663CE" w:rsidP="00B663CE">
      <w:pPr>
        <w:pStyle w:val="Bodyofcontents"/>
      </w:pPr>
      <w:r>
        <w:t xml:space="preserve">In order to improve traceability of biological medicinal products, the trade name and the batch number of the administered product </w:t>
      </w:r>
      <w:proofErr w:type="gramStart"/>
      <w:r>
        <w:t>should be clearly recorded</w:t>
      </w:r>
      <w:proofErr w:type="gramEnd"/>
      <w:r>
        <w:t xml:space="preserve"> in the patient medical record. </w:t>
      </w:r>
    </w:p>
    <w:p w14:paraId="1461B6D8" w14:textId="77777777" w:rsidR="0072179F" w:rsidRDefault="0072179F" w:rsidP="0072179F">
      <w:pPr>
        <w:pStyle w:val="Bodyofcontents"/>
      </w:pPr>
      <w:r>
        <w:t>Do not administer OGIVRI to patients with rare hereditary problems of fructose intolerance because it contains sorbitol as an excipient (see Precautions).</w:t>
      </w:r>
    </w:p>
    <w:p w14:paraId="562618F2" w14:textId="77777777" w:rsidR="00B663CE" w:rsidRDefault="00B663CE" w:rsidP="009D7260">
      <w:pPr>
        <w:pStyle w:val="Subheading1"/>
      </w:pPr>
      <w:r>
        <w:t xml:space="preserve">Recommended Dosage </w:t>
      </w:r>
    </w:p>
    <w:p w14:paraId="0E97DA67" w14:textId="77777777" w:rsidR="00B663CE" w:rsidRDefault="00B663CE" w:rsidP="009D7260">
      <w:pPr>
        <w:pStyle w:val="Subheading2"/>
      </w:pPr>
      <w:r>
        <w:t xml:space="preserve">Early Breast Cancer </w:t>
      </w:r>
    </w:p>
    <w:p w14:paraId="72A256C4" w14:textId="77777777" w:rsidR="00B663CE" w:rsidRDefault="00B663CE" w:rsidP="00B663CE">
      <w:pPr>
        <w:pStyle w:val="Bodyofcontents"/>
      </w:pPr>
      <w:r w:rsidRPr="00EF613A">
        <w:rPr>
          <w:i/>
        </w:rPr>
        <w:t>Three-weekly schedule:</w:t>
      </w:r>
      <w:r>
        <w:t xml:space="preserve"> the recommended initial loading dose is 8 mg/kg body weight, followed by a maintenance dose of 6 mg/kg body weight administered at </w:t>
      </w:r>
      <w:proofErr w:type="gramStart"/>
      <w:r>
        <w:t>3</w:t>
      </w:r>
      <w:proofErr w:type="gramEnd"/>
      <w:r>
        <w:t xml:space="preserve"> weekly intervals. </w:t>
      </w:r>
    </w:p>
    <w:p w14:paraId="58E783A1" w14:textId="77777777" w:rsidR="00B663CE" w:rsidRDefault="00B663CE" w:rsidP="00B663CE">
      <w:pPr>
        <w:pStyle w:val="Bodyofcontents"/>
      </w:pPr>
      <w:r w:rsidRPr="00EF613A">
        <w:rPr>
          <w:i/>
        </w:rPr>
        <w:t>Weekly schedule</w:t>
      </w:r>
      <w:r>
        <w:t xml:space="preserve">: the recommended initial loading dose is 4 mg/kg body weight, followed by a maintenance dose of 2 mg/kg body weight administered at weekly intervals. </w:t>
      </w:r>
    </w:p>
    <w:p w14:paraId="44B19D04" w14:textId="77777777" w:rsidR="00B663CE" w:rsidRDefault="00B663CE" w:rsidP="009D7260">
      <w:pPr>
        <w:pStyle w:val="Subheading2"/>
      </w:pPr>
      <w:r>
        <w:t xml:space="preserve">Locally Advanced Breast Cancer </w:t>
      </w:r>
    </w:p>
    <w:p w14:paraId="6CE18103" w14:textId="77777777" w:rsidR="00B663CE" w:rsidRDefault="00B663CE" w:rsidP="00B663CE">
      <w:pPr>
        <w:pStyle w:val="Bodyofcontents"/>
      </w:pPr>
      <w:r w:rsidRPr="00EF613A">
        <w:rPr>
          <w:i/>
        </w:rPr>
        <w:t>Three-weekly schedule</w:t>
      </w:r>
      <w:r>
        <w:t xml:space="preserve">: the recommended initial loading dose is 8 mg/kg body weight, followed by a maintenance dose of 6 mg/kg body weight administered at </w:t>
      </w:r>
      <w:proofErr w:type="gramStart"/>
      <w:r>
        <w:t>3</w:t>
      </w:r>
      <w:proofErr w:type="gramEnd"/>
      <w:r>
        <w:t xml:space="preserve"> weekly intervals. </w:t>
      </w:r>
    </w:p>
    <w:p w14:paraId="221F32C6" w14:textId="77777777" w:rsidR="00B663CE" w:rsidRDefault="00B663CE" w:rsidP="009D7260">
      <w:pPr>
        <w:pStyle w:val="Subheading2"/>
      </w:pPr>
      <w:r>
        <w:t xml:space="preserve">Metastatic Breast Cancer </w:t>
      </w:r>
    </w:p>
    <w:p w14:paraId="21EB91F3" w14:textId="77777777" w:rsidR="00B663CE" w:rsidRDefault="00B663CE" w:rsidP="00B663CE">
      <w:pPr>
        <w:pStyle w:val="Bodyofcontents"/>
      </w:pPr>
      <w:r w:rsidRPr="00EF613A">
        <w:rPr>
          <w:i/>
        </w:rPr>
        <w:t>Three-weekly schedule</w:t>
      </w:r>
      <w:r>
        <w:t xml:space="preserve">: the recommended initial loading dose is 8 mg/kg body weight, followed by a maintenance dose of 6 mg/kg body weight administered at </w:t>
      </w:r>
      <w:proofErr w:type="gramStart"/>
      <w:r>
        <w:t>3</w:t>
      </w:r>
      <w:proofErr w:type="gramEnd"/>
      <w:r>
        <w:t xml:space="preserve"> weekly intervals. </w:t>
      </w:r>
    </w:p>
    <w:p w14:paraId="654ADDB5" w14:textId="77777777" w:rsidR="00B663CE" w:rsidRDefault="00B663CE" w:rsidP="00B663CE">
      <w:pPr>
        <w:pStyle w:val="Bodyofcontents"/>
      </w:pPr>
      <w:r w:rsidRPr="00EF613A">
        <w:rPr>
          <w:i/>
        </w:rPr>
        <w:t>Weekly schedule</w:t>
      </w:r>
      <w:r>
        <w:t xml:space="preserve">: the recommended initial loading dose is 4 mg/kg body weight, followed by a maintenance dose of 2 mg/kg body weight administered at weekly intervals. </w:t>
      </w:r>
    </w:p>
    <w:p w14:paraId="04285F12" w14:textId="77777777" w:rsidR="00B663CE" w:rsidRDefault="00B663CE" w:rsidP="009D7260">
      <w:pPr>
        <w:pStyle w:val="Subheading2"/>
      </w:pPr>
      <w:r>
        <w:t xml:space="preserve">Advanced Gastric Cancer </w:t>
      </w:r>
    </w:p>
    <w:p w14:paraId="1BD3E1C0" w14:textId="77777777" w:rsidR="00B663CE" w:rsidRDefault="00B663CE" w:rsidP="00B663CE">
      <w:pPr>
        <w:pStyle w:val="Bodyofcontents"/>
      </w:pPr>
      <w:r w:rsidRPr="00EF613A">
        <w:rPr>
          <w:i/>
        </w:rPr>
        <w:t>Three-weekly schedule</w:t>
      </w:r>
      <w:r>
        <w:t xml:space="preserve">: the recommended initial loading dose is 8 mg/kg body weight, followed by a maintenance dose of 6 mg/kg body weight administered at 3-weekly intervals. </w:t>
      </w:r>
    </w:p>
    <w:p w14:paraId="2A883CAC" w14:textId="77777777" w:rsidR="00B663CE" w:rsidRDefault="00B663CE" w:rsidP="00B663CE">
      <w:pPr>
        <w:pStyle w:val="Bodyofcontents"/>
      </w:pPr>
      <w:r>
        <w:t xml:space="preserve">Refer to the CLINICAL TRIALS section (including Table 2 for early breast cancer) for the sequence and dosing of chemotherapy medicines used in the supporting pivotal trials. Refer also to the currently approved product information for the chemotherapy partners. </w:t>
      </w:r>
    </w:p>
    <w:p w14:paraId="478C559F" w14:textId="77777777" w:rsidR="00B663CE" w:rsidRDefault="00B663CE" w:rsidP="009D7260">
      <w:pPr>
        <w:pStyle w:val="Subheading1"/>
      </w:pPr>
      <w:r>
        <w:t xml:space="preserve">Administration </w:t>
      </w:r>
    </w:p>
    <w:p w14:paraId="6DBD8502" w14:textId="3653595A" w:rsidR="00B663CE" w:rsidRDefault="00A231CB" w:rsidP="00B663CE">
      <w:pPr>
        <w:pStyle w:val="Bodyofcontents"/>
      </w:pPr>
      <w:r>
        <w:t>OGIVRI</w:t>
      </w:r>
      <w:r w:rsidR="00B663CE">
        <w:t xml:space="preserve"> IV solution is not to </w:t>
      </w:r>
      <w:proofErr w:type="gramStart"/>
      <w:r w:rsidR="00B663CE">
        <w:t>be used</w:t>
      </w:r>
      <w:proofErr w:type="gramEnd"/>
      <w:r w:rsidR="00B663CE">
        <w:t xml:space="preserve"> for subcutaneous administration and must be administered as an IV infusion. Do not administer as an IV push or bolus. </w:t>
      </w:r>
    </w:p>
    <w:p w14:paraId="1AA48C2C" w14:textId="3697A6D1" w:rsidR="00B663CE" w:rsidRDefault="00A231CB" w:rsidP="00B663CE">
      <w:pPr>
        <w:pStyle w:val="Bodyofcontents"/>
      </w:pPr>
      <w:r>
        <w:lastRenderedPageBreak/>
        <w:t>OGIVRI</w:t>
      </w:r>
      <w:r w:rsidR="00B663CE">
        <w:t xml:space="preserve"> IV loading doses </w:t>
      </w:r>
      <w:proofErr w:type="gramStart"/>
      <w:r w:rsidR="00B663CE">
        <w:t>should be administered</w:t>
      </w:r>
      <w:proofErr w:type="gramEnd"/>
      <w:r w:rsidR="00B663CE">
        <w:t xml:space="preserve"> over approximately 90 minutes. If the loading dose </w:t>
      </w:r>
      <w:proofErr w:type="gramStart"/>
      <w:r w:rsidR="00B663CE">
        <w:t>was</w:t>
      </w:r>
      <w:proofErr w:type="gramEnd"/>
      <w:r w:rsidR="00B663CE">
        <w:t xml:space="preserve"> well tolerated, subsequent doses can be administered as a 30 minute infusion. </w:t>
      </w:r>
    </w:p>
    <w:p w14:paraId="35A243EF" w14:textId="77777777" w:rsidR="00B663CE" w:rsidRDefault="00B663CE" w:rsidP="00B663CE">
      <w:pPr>
        <w:pStyle w:val="Bodyofcontents"/>
      </w:pPr>
      <w:r>
        <w:t xml:space="preserve">Patients </w:t>
      </w:r>
      <w:proofErr w:type="gramStart"/>
      <w:r>
        <w:t>should be observed</w:t>
      </w:r>
      <w:proofErr w:type="gramEnd"/>
      <w:r>
        <w:t xml:space="preserve"> for fever and chills or other infusion-associated symptoms (see ADVERSE EFFECTS). Interruption of the infusion and/or medication may help to control such symptoms. The infusion </w:t>
      </w:r>
      <w:proofErr w:type="gramStart"/>
      <w:r>
        <w:t>may be resumed</w:t>
      </w:r>
      <w:proofErr w:type="gramEnd"/>
      <w:r>
        <w:t xml:space="preserve"> when symptoms abate. </w:t>
      </w:r>
    </w:p>
    <w:p w14:paraId="2D14FA66" w14:textId="77777777" w:rsidR="00B663CE" w:rsidRDefault="00B663CE" w:rsidP="009D7260">
      <w:pPr>
        <w:pStyle w:val="Subheading1"/>
      </w:pPr>
      <w:r>
        <w:t xml:space="preserve">Duration of Treatment </w:t>
      </w:r>
    </w:p>
    <w:p w14:paraId="18D6D4FA" w14:textId="6C3E9623" w:rsidR="00B663CE" w:rsidRDefault="00B663CE" w:rsidP="00B663CE">
      <w:pPr>
        <w:pStyle w:val="Bodyofcontents"/>
      </w:pPr>
      <w:r>
        <w:t xml:space="preserve">Patients with </w:t>
      </w:r>
      <w:r w:rsidRPr="00EF613A">
        <w:rPr>
          <w:b/>
        </w:rPr>
        <w:t>early or locally advanced breast cancer</w:t>
      </w:r>
      <w:r>
        <w:t xml:space="preserve"> </w:t>
      </w:r>
      <w:proofErr w:type="gramStart"/>
      <w:r>
        <w:t>should be treated</w:t>
      </w:r>
      <w:proofErr w:type="gramEnd"/>
      <w:r>
        <w:t xml:space="preserve"> for 1 year or until disease recurrence, </w:t>
      </w:r>
      <w:r w:rsidR="00F238D7">
        <w:t xml:space="preserve">or unmanageable toxicity, </w:t>
      </w:r>
      <w:r>
        <w:t xml:space="preserve">whichever occurs first. However, extending adjuvant treatment beyond one year </w:t>
      </w:r>
      <w:proofErr w:type="gramStart"/>
      <w:r>
        <w:t>is not recommended</w:t>
      </w:r>
      <w:proofErr w:type="gramEnd"/>
      <w:r>
        <w:t xml:space="preserve"> (see CLINICAL TRIALS, Early breast cancer). </w:t>
      </w:r>
    </w:p>
    <w:p w14:paraId="04B53DF6" w14:textId="77777777" w:rsidR="00B663CE" w:rsidRDefault="00B663CE" w:rsidP="00B663CE">
      <w:pPr>
        <w:pStyle w:val="Bodyofcontents"/>
      </w:pPr>
      <w:r>
        <w:t xml:space="preserve">Patients with </w:t>
      </w:r>
      <w:r w:rsidRPr="00EF613A">
        <w:rPr>
          <w:b/>
        </w:rPr>
        <w:t>metastatic breast cancer</w:t>
      </w:r>
      <w:r>
        <w:t xml:space="preserve"> and </w:t>
      </w:r>
      <w:r w:rsidRPr="00EF613A">
        <w:rPr>
          <w:b/>
        </w:rPr>
        <w:t>advanced gastric cancer</w:t>
      </w:r>
      <w:r>
        <w:t xml:space="preserve"> </w:t>
      </w:r>
      <w:proofErr w:type="gramStart"/>
      <w:r>
        <w:t>should be treated</w:t>
      </w:r>
      <w:proofErr w:type="gramEnd"/>
      <w:r>
        <w:t xml:space="preserve"> until progression of disease. </w:t>
      </w:r>
    </w:p>
    <w:p w14:paraId="3816B041" w14:textId="77777777" w:rsidR="00B663CE" w:rsidRDefault="00B663CE" w:rsidP="009D7260">
      <w:pPr>
        <w:pStyle w:val="Subheading1"/>
      </w:pPr>
      <w:r>
        <w:t xml:space="preserve">Missed Doses </w:t>
      </w:r>
    </w:p>
    <w:p w14:paraId="597475B1" w14:textId="31715154" w:rsidR="00B663CE" w:rsidRDefault="00B663CE" w:rsidP="00B663CE">
      <w:pPr>
        <w:pStyle w:val="Bodyofcontents"/>
      </w:pPr>
      <w:r>
        <w:t xml:space="preserve">If the patient has missed a dose of </w:t>
      </w:r>
      <w:r w:rsidR="00A231CB">
        <w:t>OGIVRI</w:t>
      </w:r>
      <w:r>
        <w:t xml:space="preserve"> by one week or less, then the usual maintenance dose of </w:t>
      </w:r>
      <w:r w:rsidR="00A231CB">
        <w:t>OGIVRI</w:t>
      </w:r>
      <w:r>
        <w:t xml:space="preserve"> (weekly regimen: 2 mg/kg; 3-weekly: 6 mg/kg) should be administered as soon as possible (do not wait until the next planned cycle). Subsequent maintenance doses should then be administered 7 days or 21 days later according to the weekly or three-weekly schedules, respectively. </w:t>
      </w:r>
    </w:p>
    <w:p w14:paraId="63D3FD76" w14:textId="243C380B" w:rsidR="00B663CE" w:rsidRDefault="00B663CE" w:rsidP="00B663CE">
      <w:pPr>
        <w:pStyle w:val="Bodyofcontents"/>
      </w:pPr>
      <w:r>
        <w:t xml:space="preserve">If the patient has missed a dose of </w:t>
      </w:r>
      <w:r w:rsidR="00A231CB">
        <w:t>OGIVRI</w:t>
      </w:r>
      <w:r>
        <w:t xml:space="preserve"> by more than one week, a re-loading dose of </w:t>
      </w:r>
      <w:r w:rsidR="00A231CB">
        <w:t>OGIVRI</w:t>
      </w:r>
      <w:r>
        <w:t xml:space="preserve"> should be administered over approximately 90 minutes (weekly regimen: 4 mg/kg; 3-weekly: 8 mg/kg) as soon as possible. Subsequent maintenance doses (weekly regimen: 2 mg/kg; 3-weekly: 6 mg/kg) should be administered 7 days or 21 days later according to the weekly or three-weekly schedules, respectively. </w:t>
      </w:r>
    </w:p>
    <w:p w14:paraId="56AF82DD" w14:textId="77777777" w:rsidR="00B663CE" w:rsidRDefault="00B663CE" w:rsidP="009D7260">
      <w:pPr>
        <w:pStyle w:val="Subheading1"/>
      </w:pPr>
      <w:r>
        <w:t xml:space="preserve">Dose Reduction </w:t>
      </w:r>
    </w:p>
    <w:p w14:paraId="263C40D0" w14:textId="42AC6F4D" w:rsidR="00B663CE" w:rsidRDefault="00133069" w:rsidP="00B663CE">
      <w:pPr>
        <w:pStyle w:val="Bodyofcontents"/>
      </w:pPr>
      <w:r>
        <w:t xml:space="preserve">If the patient develops an infusion-related reaction (IRR), the infusion rate of </w:t>
      </w:r>
      <w:r w:rsidR="00754C25">
        <w:t>OGIVRI</w:t>
      </w:r>
      <w:r>
        <w:t xml:space="preserve"> </w:t>
      </w:r>
      <w:proofErr w:type="gramStart"/>
      <w:r>
        <w:t>may be slowed or interrupted (see Precautions)</w:t>
      </w:r>
      <w:proofErr w:type="gramEnd"/>
      <w:r>
        <w:t xml:space="preserve">. </w:t>
      </w:r>
      <w:r w:rsidR="00B663CE">
        <w:t xml:space="preserve">No reductions in the dose of </w:t>
      </w:r>
      <w:proofErr w:type="spellStart"/>
      <w:r w:rsidR="00A72762">
        <w:t>trastuzumab</w:t>
      </w:r>
      <w:proofErr w:type="spellEnd"/>
      <w:r w:rsidR="00B663CE">
        <w:t xml:space="preserve"> </w:t>
      </w:r>
      <w:proofErr w:type="gramStart"/>
      <w:r w:rsidR="00B663CE">
        <w:t>were made</w:t>
      </w:r>
      <w:proofErr w:type="gramEnd"/>
      <w:r w:rsidR="00B663CE">
        <w:t xml:space="preserve"> during clinical trials. Patients may continue </w:t>
      </w:r>
      <w:proofErr w:type="spellStart"/>
      <w:r w:rsidR="00A72762">
        <w:t>trastuzumab</w:t>
      </w:r>
      <w:proofErr w:type="spellEnd"/>
      <w:r w:rsidR="00B663CE">
        <w:t xml:space="preserve"> therapy during periods of reversible, chemotherapy-induced </w:t>
      </w:r>
      <w:proofErr w:type="spellStart"/>
      <w:r w:rsidR="00B663CE">
        <w:t>myelosuppression</w:t>
      </w:r>
      <w:proofErr w:type="spellEnd"/>
      <w:r w:rsidR="00B663CE">
        <w:t xml:space="preserve">, but they </w:t>
      </w:r>
      <w:proofErr w:type="gramStart"/>
      <w:r w:rsidR="00B663CE">
        <w:t>should be carefully monitored</w:t>
      </w:r>
      <w:proofErr w:type="gramEnd"/>
      <w:r w:rsidR="00B663CE">
        <w:t xml:space="preserve"> for complications of neutropenia during this time. The specific instructions to reduce or hold the dose of chemotherapy </w:t>
      </w:r>
      <w:proofErr w:type="gramStart"/>
      <w:r w:rsidR="00B663CE">
        <w:t>should be followed</w:t>
      </w:r>
      <w:proofErr w:type="gramEnd"/>
      <w:r w:rsidR="00B663CE">
        <w:t xml:space="preserve">. </w:t>
      </w:r>
    </w:p>
    <w:p w14:paraId="708F2DF2" w14:textId="77777777" w:rsidR="00B663CE" w:rsidRDefault="00B663CE" w:rsidP="00B663CE">
      <w:pPr>
        <w:pStyle w:val="Bodyofcontents"/>
      </w:pPr>
      <w:r w:rsidRPr="00A72762">
        <w:rPr>
          <w:i/>
        </w:rPr>
        <w:t>Use in Elderly</w:t>
      </w:r>
      <w:r>
        <w:t xml:space="preserve">: In clinical trials, elderly patients did not receive reduced doses of </w:t>
      </w:r>
      <w:proofErr w:type="spellStart"/>
      <w:r>
        <w:t>trastuzumab</w:t>
      </w:r>
      <w:proofErr w:type="spellEnd"/>
      <w:r>
        <w:t xml:space="preserve">. Age </w:t>
      </w:r>
      <w:proofErr w:type="gramStart"/>
      <w:r>
        <w:t>has been shown</w:t>
      </w:r>
      <w:proofErr w:type="gramEnd"/>
      <w:r>
        <w:t xml:space="preserve"> to have no effect on the disposition of </w:t>
      </w:r>
      <w:proofErr w:type="spellStart"/>
      <w:r>
        <w:t>trastuzumab</w:t>
      </w:r>
      <w:proofErr w:type="spellEnd"/>
      <w:r>
        <w:t xml:space="preserve"> (see PHARMACOKINETICS, Pharmacokinetics in Special Populations). </w:t>
      </w:r>
    </w:p>
    <w:p w14:paraId="3FE29A92" w14:textId="77777777" w:rsidR="00B663CE" w:rsidRDefault="00B663CE" w:rsidP="002654EF">
      <w:pPr>
        <w:pStyle w:val="Subheading3"/>
      </w:pPr>
      <w:r>
        <w:t xml:space="preserve">Detection of HER2 Protein Overexpression or HER2 Gene Amplification </w:t>
      </w:r>
    </w:p>
    <w:p w14:paraId="73509E0A" w14:textId="6C36A739" w:rsidR="00B663CE" w:rsidRDefault="00A231CB" w:rsidP="00B663CE">
      <w:pPr>
        <w:pStyle w:val="Bodyofcontents"/>
      </w:pPr>
      <w:r>
        <w:t>OGIVRI</w:t>
      </w:r>
      <w:r w:rsidR="00B663CE">
        <w:t xml:space="preserve"> </w:t>
      </w:r>
      <w:proofErr w:type="gramStart"/>
      <w:r w:rsidR="00B663CE">
        <w:t>should only be used</w:t>
      </w:r>
      <w:proofErr w:type="gramEnd"/>
      <w:r w:rsidR="00B663CE">
        <w:t xml:space="preserve"> in patients whose tumours have HER2 protein overexpression or HER2 gene amplification. </w:t>
      </w:r>
    </w:p>
    <w:p w14:paraId="76CBDF03" w14:textId="77777777" w:rsidR="00B663CE" w:rsidRDefault="00B663CE" w:rsidP="00B663CE">
      <w:pPr>
        <w:pStyle w:val="Bodyofcontents"/>
      </w:pPr>
      <w:r>
        <w:t xml:space="preserve">To ensure accurate and reproducible results, testing </w:t>
      </w:r>
      <w:proofErr w:type="gramStart"/>
      <w:r>
        <w:t>must be performed</w:t>
      </w:r>
      <w:proofErr w:type="gramEnd"/>
      <w:r>
        <w:t xml:space="preserve"> in a specialized laboratory, which can ensure validation of the testing procedures.</w:t>
      </w:r>
    </w:p>
    <w:p w14:paraId="06378030" w14:textId="77777777" w:rsidR="00B663CE" w:rsidRDefault="00B663CE" w:rsidP="00B663CE">
      <w:pPr>
        <w:pStyle w:val="Bodyofcontents"/>
      </w:pPr>
      <w:r>
        <w:t xml:space="preserve">HER2 protein overexpression </w:t>
      </w:r>
      <w:proofErr w:type="gramStart"/>
      <w:r>
        <w:t>should be detected</w:t>
      </w:r>
      <w:proofErr w:type="gramEnd"/>
      <w:r>
        <w:t xml:space="preserve"> using an immunohistochemistry (IHC)-based assessment of fixed tumour blocks. HER2 gene amplification should be detected using in situ hybridization (ISH) of fixed tumour blocks. Examples of ISH include fluorescence in situ hybridization (FISH), chromogenic in situ hybridization (CISH) and silver in situ hybridization (SISH). </w:t>
      </w:r>
    </w:p>
    <w:p w14:paraId="1A3D5BED" w14:textId="77777777" w:rsidR="00B663CE" w:rsidRDefault="00B663CE" w:rsidP="00B663CE">
      <w:pPr>
        <w:pStyle w:val="Bodyofcontents"/>
      </w:pPr>
      <w:r>
        <w:lastRenderedPageBreak/>
        <w:t xml:space="preserve">For any other method to be used for the assessment of HER2 protein or gene expression, the test method must be precise and accurate enough to demonstrate overexpression of HER2 (it must be able to distinguish between moderate (congruent with 2+) and strong (congruent with 3+) HER2 overexpression). </w:t>
      </w:r>
    </w:p>
    <w:p w14:paraId="3EFC4633" w14:textId="77777777" w:rsidR="00B663CE" w:rsidRDefault="00B663CE" w:rsidP="00B663CE">
      <w:pPr>
        <w:pStyle w:val="Bodyofcontents"/>
      </w:pPr>
      <w:r>
        <w:t xml:space="preserve">For full instructions on the use of these assays and interpretation of the </w:t>
      </w:r>
      <w:proofErr w:type="gramStart"/>
      <w:r>
        <w:t>results</w:t>
      </w:r>
      <w:proofErr w:type="gramEnd"/>
      <w:r>
        <w:t xml:space="preserve"> please refer to the package inserts of validated FISH, CISH and SISH assays. Official recommendations on HER2 testing may also apply. </w:t>
      </w:r>
    </w:p>
    <w:p w14:paraId="6F1DE7B8" w14:textId="77777777" w:rsidR="00B663CE" w:rsidRDefault="00B663CE" w:rsidP="001F450B">
      <w:pPr>
        <w:pStyle w:val="Subheading1"/>
      </w:pPr>
      <w:r>
        <w:t xml:space="preserve">Breast Cancer </w:t>
      </w:r>
    </w:p>
    <w:p w14:paraId="694F6BD6" w14:textId="0DBB9D15" w:rsidR="00B663CE" w:rsidRDefault="00A231CB" w:rsidP="00B663CE">
      <w:pPr>
        <w:pStyle w:val="Bodyofcontents"/>
      </w:pPr>
      <w:r>
        <w:t>OGIVRI</w:t>
      </w:r>
      <w:r w:rsidR="00B663CE">
        <w:t xml:space="preserve"> treatment is only appropriate if there is strong HER2 overexpression, as described by a 3+ score by IHC or a positive ISH result. For patients with an intensity score of 2+ on IHC, confirmation of HER2 positive status by ISH is mandatory. </w:t>
      </w:r>
    </w:p>
    <w:p w14:paraId="26E8E376" w14:textId="77777777" w:rsidR="00B663CE" w:rsidRDefault="00B663CE" w:rsidP="001F450B">
      <w:pPr>
        <w:pStyle w:val="Subheading1"/>
      </w:pPr>
      <w:r>
        <w:t xml:space="preserve">Advanced Gastric Cancer </w:t>
      </w:r>
    </w:p>
    <w:p w14:paraId="4F6ADCDD" w14:textId="7185E33A" w:rsidR="00B663CE" w:rsidRDefault="00A231CB" w:rsidP="00B663CE">
      <w:pPr>
        <w:pStyle w:val="Bodyofcontents"/>
      </w:pPr>
      <w:r>
        <w:t>OGIVRI</w:t>
      </w:r>
      <w:r w:rsidR="00B663CE">
        <w:t xml:space="preserve"> treatment is only appropriate if there is HER2 overexpression, as described by a 3+ IHC score. For cases with a score of less than 3+ by IHC, confirmation of HER2 positive status by ISH is mandatory. </w:t>
      </w:r>
    </w:p>
    <w:p w14:paraId="51A7F090" w14:textId="77777777" w:rsidR="00B663CE" w:rsidRDefault="00B663CE" w:rsidP="00B663CE">
      <w:pPr>
        <w:pStyle w:val="Bodyofcontents"/>
      </w:pPr>
      <w:r>
        <w:t xml:space="preserve">Bright-field ISH technology </w:t>
      </w:r>
      <w:proofErr w:type="gramStart"/>
      <w:r>
        <w:t>is recommended</w:t>
      </w:r>
      <w:proofErr w:type="gramEnd"/>
      <w:r>
        <w:t xml:space="preserve"> for advanced gastric cancer samples to enable evaluation of tumour histology and morphology in parallel. Either FISH or SISH </w:t>
      </w:r>
      <w:proofErr w:type="gramStart"/>
      <w:r>
        <w:t>are recommended</w:t>
      </w:r>
      <w:proofErr w:type="gramEnd"/>
      <w:r>
        <w:t xml:space="preserve"> for detecting HER2 gene amplification in advanced gastric cancer tissue. </w:t>
      </w:r>
    </w:p>
    <w:p w14:paraId="32C49BD4" w14:textId="48D215B7" w:rsidR="00B663CE" w:rsidRDefault="00B663CE" w:rsidP="001F450B">
      <w:pPr>
        <w:pStyle w:val="Subheading1"/>
      </w:pPr>
      <w:r>
        <w:t xml:space="preserve">Preparation for IV infusion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462F48" w14:paraId="1E6C5D9C" w14:textId="77777777" w:rsidTr="00462F48">
        <w:tc>
          <w:tcPr>
            <w:tcW w:w="9016" w:type="dxa"/>
          </w:tcPr>
          <w:p w14:paraId="307B9681" w14:textId="77777777" w:rsidR="00462F48" w:rsidRDefault="00462F48" w:rsidP="00462F48">
            <w:pPr>
              <w:pStyle w:val="In-housecoding"/>
              <w:spacing w:before="60" w:after="60"/>
              <w:ind w:right="-46"/>
            </w:pPr>
            <w:r>
              <w:t>Labelling of prepared solution</w:t>
            </w:r>
          </w:p>
          <w:p w14:paraId="4C6A2077" w14:textId="7188EE1B" w:rsidR="00462F48" w:rsidRPr="00462F48" w:rsidRDefault="00462F48" w:rsidP="00462F48">
            <w:pPr>
              <w:spacing w:before="60" w:after="60"/>
              <w:rPr>
                <w:rFonts w:ascii="Times New Roman" w:hAnsi="Times New Roman"/>
              </w:rPr>
            </w:pPr>
            <w:r w:rsidRPr="001137D3">
              <w:rPr>
                <w:rFonts w:ascii="Times New Roman" w:hAnsi="Times New Roman"/>
              </w:rPr>
              <w:t>The label of the resulting solution must contain the following statement: THIS SOLUTION CONTAINS SORBITOL</w:t>
            </w:r>
            <w:r>
              <w:rPr>
                <w:rFonts w:ascii="Times New Roman" w:hAnsi="Times New Roman"/>
              </w:rPr>
              <w:t>.</w:t>
            </w:r>
          </w:p>
        </w:tc>
      </w:tr>
    </w:tbl>
    <w:p w14:paraId="3B9AF3D9" w14:textId="77777777" w:rsidR="00B663CE" w:rsidRDefault="00B663CE" w:rsidP="00462F48">
      <w:pPr>
        <w:pStyle w:val="Subheading2"/>
        <w:spacing w:before="240" w:after="160"/>
      </w:pPr>
      <w:r>
        <w:t xml:space="preserve">Reconstituting the Powder </w:t>
      </w:r>
    </w:p>
    <w:p w14:paraId="4289B1E2" w14:textId="77777777" w:rsidR="00B663CE" w:rsidRDefault="00B663CE" w:rsidP="00B663CE">
      <w:pPr>
        <w:pStyle w:val="Bodyofcontents"/>
      </w:pPr>
      <w:r>
        <w:t xml:space="preserve">Appropriate aseptic technique </w:t>
      </w:r>
      <w:proofErr w:type="gramStart"/>
      <w:r>
        <w:t>should be used</w:t>
      </w:r>
      <w:proofErr w:type="gramEnd"/>
      <w:r>
        <w:t xml:space="preserve">. </w:t>
      </w:r>
    </w:p>
    <w:p w14:paraId="377A1414" w14:textId="782C5109" w:rsidR="00B663CE" w:rsidRDefault="00A231CB" w:rsidP="00B663CE">
      <w:pPr>
        <w:pStyle w:val="Bodyofcontents"/>
      </w:pPr>
      <w:r>
        <w:t>OGIVRI</w:t>
      </w:r>
      <w:r w:rsidR="00B663CE">
        <w:t xml:space="preserve"> </w:t>
      </w:r>
      <w:proofErr w:type="gramStart"/>
      <w:r w:rsidR="00B663CE">
        <w:t>should be carefully handled</w:t>
      </w:r>
      <w:proofErr w:type="gramEnd"/>
      <w:r w:rsidR="00B663CE">
        <w:t xml:space="preserve"> during reconstitution. Causing excessive foaming during reconstitution or shaking the reconstituted </w:t>
      </w:r>
      <w:r>
        <w:t>OGIVRI</w:t>
      </w:r>
      <w:r w:rsidR="00B663CE">
        <w:t xml:space="preserve"> may result in problems with the amount of </w:t>
      </w:r>
      <w:r>
        <w:t>OGIVRI</w:t>
      </w:r>
      <w:r w:rsidR="00B663CE">
        <w:t xml:space="preserve"> that can be withdrawn from the vial. </w:t>
      </w:r>
    </w:p>
    <w:p w14:paraId="62A6E902" w14:textId="77777777" w:rsidR="00B663CE" w:rsidRDefault="00B663CE" w:rsidP="00B663CE">
      <w:pPr>
        <w:pStyle w:val="Bodyofcontents"/>
      </w:pPr>
      <w:r>
        <w:t xml:space="preserve">Each 150 mg vial </w:t>
      </w:r>
      <w:proofErr w:type="gramStart"/>
      <w:r>
        <w:t>should be reconstituted</w:t>
      </w:r>
      <w:proofErr w:type="gramEnd"/>
      <w:r>
        <w:t xml:space="preserve"> with 7.2 mL of sterile water for injections as the solvent. The use of other solvents </w:t>
      </w:r>
      <w:proofErr w:type="gramStart"/>
      <w:r>
        <w:t>should be avoided</w:t>
      </w:r>
      <w:proofErr w:type="gramEnd"/>
      <w:r>
        <w:t xml:space="preserve">. The resultant solution is 7.4 mL of approximately 21 mg/mL </w:t>
      </w:r>
      <w:proofErr w:type="spellStart"/>
      <w:r>
        <w:t>trastuzumab</w:t>
      </w:r>
      <w:proofErr w:type="spellEnd"/>
      <w:r>
        <w:t>. A 4% overage is included to ensure withdrawal of the labelled dose of 150 mg.</w:t>
      </w:r>
    </w:p>
    <w:p w14:paraId="523ED227" w14:textId="427E0670" w:rsidR="001A4461" w:rsidRDefault="00C77839" w:rsidP="001A4461">
      <w:pPr>
        <w:pStyle w:val="Bodyofcontents"/>
        <w:rPr>
          <w:lang w:val="en-US"/>
        </w:rPr>
      </w:pPr>
      <w:r w:rsidRPr="00C77839">
        <w:t>Each</w:t>
      </w:r>
      <w:r>
        <w:t xml:space="preserve"> 440 mg vial </w:t>
      </w:r>
      <w:proofErr w:type="gramStart"/>
      <w:r>
        <w:t>should be reconstituted</w:t>
      </w:r>
      <w:proofErr w:type="gramEnd"/>
      <w:r>
        <w:t xml:space="preserve"> </w:t>
      </w:r>
      <w:r w:rsidRPr="00C77839">
        <w:t xml:space="preserve">with 20 mL of bacteriostatic water for injection as the solvent. The use of other solvents </w:t>
      </w:r>
      <w:proofErr w:type="gramStart"/>
      <w:r w:rsidRPr="00C77839">
        <w:t>should be avoided</w:t>
      </w:r>
      <w:proofErr w:type="gramEnd"/>
      <w:r w:rsidRPr="00C77839">
        <w:t xml:space="preserve">. </w:t>
      </w:r>
      <w:r w:rsidRPr="001F15F5">
        <w:t xml:space="preserve">The resultant multiple-dose solution contains approximately 21 mg/mL </w:t>
      </w:r>
      <w:proofErr w:type="spellStart"/>
      <w:r w:rsidRPr="001F15F5">
        <w:t>trastuzumab</w:t>
      </w:r>
      <w:proofErr w:type="spellEnd"/>
      <w:r w:rsidRPr="001F15F5">
        <w:t>.</w:t>
      </w:r>
      <w:r w:rsidR="001A4461">
        <w:t xml:space="preserve"> </w:t>
      </w:r>
      <w:r w:rsidR="001A4461" w:rsidRPr="00B429F7">
        <w:rPr>
          <w:lang w:val="en-US"/>
        </w:rPr>
        <w:t>In patients with known hypersensitivity to benzyl alcoh</w:t>
      </w:r>
      <w:r w:rsidR="001A4461">
        <w:rPr>
          <w:lang w:val="en-US"/>
        </w:rPr>
        <w:t xml:space="preserve">ol, reconstitute with 20 mL of </w:t>
      </w:r>
      <w:r w:rsidR="00DD3871">
        <w:rPr>
          <w:lang w:val="en-US"/>
        </w:rPr>
        <w:t>S</w:t>
      </w:r>
      <w:r w:rsidR="001A4461">
        <w:rPr>
          <w:lang w:val="en-US"/>
        </w:rPr>
        <w:t xml:space="preserve">terile Water </w:t>
      </w:r>
      <w:proofErr w:type="gramStart"/>
      <w:r w:rsidR="001A4461">
        <w:rPr>
          <w:lang w:val="en-US"/>
        </w:rPr>
        <w:t>For</w:t>
      </w:r>
      <w:proofErr w:type="gramEnd"/>
      <w:r w:rsidR="001A4461">
        <w:rPr>
          <w:lang w:val="en-US"/>
        </w:rPr>
        <w:t xml:space="preserve"> I</w:t>
      </w:r>
      <w:r w:rsidR="001A4461" w:rsidRPr="00B429F7">
        <w:rPr>
          <w:lang w:val="en-US"/>
        </w:rPr>
        <w:t>njection (SWFI) without preservative to yield a single use solution.</w:t>
      </w:r>
    </w:p>
    <w:p w14:paraId="6C793EFD" w14:textId="77777777" w:rsidR="00B663CE" w:rsidRDefault="00B663CE" w:rsidP="009D7260">
      <w:pPr>
        <w:pStyle w:val="Subheading2"/>
      </w:pPr>
      <w:r>
        <w:t xml:space="preserve">Instructions for Reconstitution </w:t>
      </w:r>
    </w:p>
    <w:p w14:paraId="43500920" w14:textId="35CC910D" w:rsidR="001A4461" w:rsidRDefault="001A4461" w:rsidP="00B663CE">
      <w:pPr>
        <w:pStyle w:val="Bodyofcontents"/>
      </w:pPr>
      <w:r>
        <w:t>150 mg vial</w:t>
      </w:r>
    </w:p>
    <w:p w14:paraId="02724F39" w14:textId="163A46BB" w:rsidR="00B663CE" w:rsidRDefault="00B663CE" w:rsidP="001A4461">
      <w:pPr>
        <w:pStyle w:val="Bodyofcontents"/>
        <w:numPr>
          <w:ilvl w:val="0"/>
          <w:numId w:val="5"/>
        </w:numPr>
      </w:pPr>
      <w:r>
        <w:lastRenderedPageBreak/>
        <w:t xml:space="preserve">Using a sterile syringe, slowly inject 7.2 mL (for 150 mg vial) of sterile water for injections in the vial containing the lyophilized </w:t>
      </w:r>
      <w:r w:rsidR="00A231CB">
        <w:t>OGIVRI</w:t>
      </w:r>
      <w:r>
        <w:t xml:space="preserve">, directing the stream into the lyophilized cake. </w:t>
      </w:r>
    </w:p>
    <w:p w14:paraId="7655F2FA" w14:textId="54B84348" w:rsidR="00B663CE" w:rsidRDefault="00B663CE" w:rsidP="001A4461">
      <w:pPr>
        <w:pStyle w:val="Bodyofcontents"/>
        <w:numPr>
          <w:ilvl w:val="0"/>
          <w:numId w:val="5"/>
        </w:numPr>
      </w:pPr>
      <w:r>
        <w:t xml:space="preserve">Swirl vial gently to aid reconstitution. </w:t>
      </w:r>
      <w:r w:rsidR="00A231CB">
        <w:t>OGIVRI</w:t>
      </w:r>
      <w:r>
        <w:t xml:space="preserve"> may be sensitive to shear-induced stress, e.g. agitation or rapid expulsion from a syringe. DO NOT SHAKE. </w:t>
      </w:r>
    </w:p>
    <w:p w14:paraId="5A5766A5" w14:textId="77777777" w:rsidR="00B663CE" w:rsidRDefault="00B663CE" w:rsidP="00B663CE">
      <w:pPr>
        <w:pStyle w:val="Bodyofcontents"/>
      </w:pPr>
      <w:r>
        <w:t xml:space="preserve">Slight foaming of the product upon reconstitution is </w:t>
      </w:r>
      <w:proofErr w:type="gramStart"/>
      <w:r>
        <w:t>not unusual</w:t>
      </w:r>
      <w:proofErr w:type="gramEnd"/>
      <w:r>
        <w:t xml:space="preserve">. Allow the vial to stand undisturbed for approximately 5 minutes. </w:t>
      </w:r>
      <w:proofErr w:type="gramStart"/>
      <w:r>
        <w:t>The reconstituted preparation results in a colourless to pale yellow transparent solution and should be essentially free of visible particulates.</w:t>
      </w:r>
      <w:proofErr w:type="gramEnd"/>
      <w:r>
        <w:t xml:space="preserve"> </w:t>
      </w:r>
    </w:p>
    <w:p w14:paraId="1A25E0C3" w14:textId="77777777" w:rsidR="001A4461" w:rsidRDefault="001A4461" w:rsidP="002654EF">
      <w:pPr>
        <w:pStyle w:val="Subheading3"/>
      </w:pPr>
      <w:r>
        <w:t>440 mg vial with bacteriostatic water for injection</w:t>
      </w:r>
    </w:p>
    <w:p w14:paraId="39F82EC7" w14:textId="77777777" w:rsidR="001A4461" w:rsidRPr="005B1230" w:rsidRDefault="001A4461" w:rsidP="001A4461">
      <w:pPr>
        <w:pStyle w:val="Bodyofcontents"/>
        <w:numPr>
          <w:ilvl w:val="0"/>
          <w:numId w:val="6"/>
        </w:numPr>
        <w:ind w:left="426" w:hanging="426"/>
        <w:rPr>
          <w:lang w:val="en-US"/>
        </w:rPr>
      </w:pPr>
      <w:r w:rsidRPr="005B1230">
        <w:rPr>
          <w:lang w:val="en-US"/>
        </w:rPr>
        <w:t>Using a sterile syringe, slowly inject the 20 mL of diluent into the vial containing the lyophilized cake of O</w:t>
      </w:r>
      <w:r>
        <w:rPr>
          <w:lang w:val="en-US"/>
        </w:rPr>
        <w:t>GIVRI</w:t>
      </w:r>
      <w:r w:rsidRPr="005B1230">
        <w:rPr>
          <w:lang w:val="en-US"/>
        </w:rPr>
        <w:t xml:space="preserve">. The stream of diluent </w:t>
      </w:r>
      <w:proofErr w:type="gramStart"/>
      <w:r w:rsidRPr="005B1230">
        <w:rPr>
          <w:lang w:val="en-US"/>
        </w:rPr>
        <w:t>should be directed</w:t>
      </w:r>
      <w:proofErr w:type="gramEnd"/>
      <w:r w:rsidRPr="005B1230">
        <w:rPr>
          <w:lang w:val="en-US"/>
        </w:rPr>
        <w:t xml:space="preserve"> into the lyophilized cake.</w:t>
      </w:r>
    </w:p>
    <w:p w14:paraId="012768BB" w14:textId="77777777" w:rsidR="001A4461" w:rsidRPr="005B1230" w:rsidRDefault="001A4461" w:rsidP="001A4461">
      <w:pPr>
        <w:pStyle w:val="Bodyofcontents"/>
        <w:numPr>
          <w:ilvl w:val="0"/>
          <w:numId w:val="6"/>
        </w:numPr>
        <w:ind w:left="426" w:hanging="426"/>
        <w:rPr>
          <w:lang w:val="en-US"/>
        </w:rPr>
      </w:pPr>
      <w:r w:rsidRPr="005B1230">
        <w:rPr>
          <w:lang w:val="en-US"/>
        </w:rPr>
        <w:t xml:space="preserve">Swirl the vial gently to aid reconstitution. </w:t>
      </w:r>
      <w:r w:rsidRPr="00B429F7">
        <w:rPr>
          <w:bCs/>
          <w:lang w:val="en-US"/>
        </w:rPr>
        <w:t>DO NOT SHAKE.</w:t>
      </w:r>
    </w:p>
    <w:p w14:paraId="5FE978A4" w14:textId="77777777" w:rsidR="001A4461" w:rsidRPr="005B1230" w:rsidRDefault="001A4461" w:rsidP="001A4461">
      <w:pPr>
        <w:pStyle w:val="Bodyofcontents"/>
        <w:numPr>
          <w:ilvl w:val="0"/>
          <w:numId w:val="6"/>
        </w:numPr>
        <w:ind w:left="426" w:hanging="426"/>
        <w:rPr>
          <w:lang w:val="en-US"/>
        </w:rPr>
      </w:pPr>
      <w:r w:rsidRPr="005B1230">
        <w:rPr>
          <w:lang w:val="en-US"/>
        </w:rPr>
        <w:t>Slight foaming of the product may be present upon reconstitution. Allow the vial to stand undisturbed for approximately 5 minutes.</w:t>
      </w:r>
    </w:p>
    <w:p w14:paraId="70E761FD" w14:textId="77777777" w:rsidR="001A4461" w:rsidRDefault="001A4461" w:rsidP="000E60EC">
      <w:pPr>
        <w:pStyle w:val="Bodyofcontents"/>
        <w:numPr>
          <w:ilvl w:val="0"/>
          <w:numId w:val="6"/>
        </w:numPr>
        <w:ind w:left="426" w:hanging="426"/>
        <w:rPr>
          <w:lang w:val="en-US"/>
        </w:rPr>
      </w:pPr>
      <w:r w:rsidRPr="005B1230">
        <w:rPr>
          <w:lang w:val="en-US"/>
        </w:rPr>
        <w:t xml:space="preserve">Parenteral drug products </w:t>
      </w:r>
      <w:proofErr w:type="gramStart"/>
      <w:r w:rsidRPr="005B1230">
        <w:rPr>
          <w:lang w:val="en-US"/>
        </w:rPr>
        <w:t>should be inspected</w:t>
      </w:r>
      <w:proofErr w:type="gramEnd"/>
      <w:r w:rsidRPr="005B1230">
        <w:rPr>
          <w:lang w:val="en-US"/>
        </w:rPr>
        <w:t xml:space="preserve"> visually for particulate matter and discoloration prior to administration, whenever solution and container permit. Inspect visually for particulates and discoloration. The solution should be free of visible particulates, clear to slightly opalescent and colorless to pale yellow.</w:t>
      </w:r>
    </w:p>
    <w:p w14:paraId="266E384E" w14:textId="1F44FBD0" w:rsidR="00C00C4A" w:rsidRDefault="001A4461" w:rsidP="000E60EC">
      <w:pPr>
        <w:pStyle w:val="Bodyofcontents"/>
        <w:numPr>
          <w:ilvl w:val="0"/>
          <w:numId w:val="6"/>
        </w:numPr>
        <w:ind w:left="426" w:hanging="426"/>
        <w:rPr>
          <w:lang w:val="en-US"/>
        </w:rPr>
      </w:pPr>
      <w:r w:rsidRPr="001A4461">
        <w:rPr>
          <w:lang w:val="en-US"/>
        </w:rPr>
        <w:t>Store reconstituted OGIVRI at 2°C to 8°C; discard unused OGIVRI</w:t>
      </w:r>
      <w:r w:rsidRPr="006839DB">
        <w:rPr>
          <w:lang w:val="en-US"/>
        </w:rPr>
        <w:t xml:space="preserve"> after 2</w:t>
      </w:r>
      <w:r w:rsidR="002654EF">
        <w:rPr>
          <w:lang w:val="en-US"/>
        </w:rPr>
        <w:t>4 hours</w:t>
      </w:r>
      <w:r w:rsidRPr="006839DB">
        <w:rPr>
          <w:lang w:val="en-US"/>
        </w:rPr>
        <w:t xml:space="preserve">. </w:t>
      </w:r>
    </w:p>
    <w:p w14:paraId="31900537" w14:textId="109DAC6A" w:rsidR="001A4461" w:rsidRPr="000E60EC" w:rsidRDefault="00C00C4A" w:rsidP="000E60EC">
      <w:pPr>
        <w:pStyle w:val="Bodyofcontents"/>
        <w:ind w:left="426"/>
        <w:rPr>
          <w:lang w:val="en-US"/>
        </w:rPr>
      </w:pPr>
      <w:r>
        <w:rPr>
          <w:lang w:val="en-US"/>
        </w:rPr>
        <w:t xml:space="preserve">Note: </w:t>
      </w:r>
      <w:r w:rsidR="001A4461" w:rsidRPr="006839DB">
        <w:rPr>
          <w:lang w:val="en-US"/>
        </w:rPr>
        <w:t>If OGIVRI is reconstituted with SWFI without preservative</w:t>
      </w:r>
      <w:r w:rsidR="00CF106A">
        <w:rPr>
          <w:lang w:val="en-US"/>
        </w:rPr>
        <w:t xml:space="preserve"> (</w:t>
      </w:r>
      <w:r w:rsidR="003B7F37">
        <w:rPr>
          <w:lang w:val="en-US"/>
        </w:rPr>
        <w:t>f</w:t>
      </w:r>
      <w:r w:rsidR="00CF106A">
        <w:rPr>
          <w:lang w:val="en-US"/>
        </w:rPr>
        <w:t>or patients with hypersensitivity to benzyl alcohol)</w:t>
      </w:r>
      <w:r w:rsidR="001A4461" w:rsidRPr="006839DB">
        <w:rPr>
          <w:lang w:val="en-US"/>
        </w:rPr>
        <w:t>, use immediately and discard any unused portion.</w:t>
      </w:r>
    </w:p>
    <w:p w14:paraId="6609A23A" w14:textId="77777777" w:rsidR="00B663CE" w:rsidRDefault="00B663CE" w:rsidP="001F450B">
      <w:pPr>
        <w:pStyle w:val="Subheading2"/>
      </w:pPr>
      <w:r>
        <w:t xml:space="preserve">Instructions for Dilution </w:t>
      </w:r>
    </w:p>
    <w:p w14:paraId="1AA1868E" w14:textId="77777777" w:rsidR="00E1494F" w:rsidRDefault="00B663CE" w:rsidP="00B663CE">
      <w:pPr>
        <w:pStyle w:val="Bodyofcontents"/>
      </w:pPr>
      <w:r w:rsidRPr="00E1494F">
        <w:rPr>
          <w:i/>
        </w:rPr>
        <w:t>Weekly Regimen</w:t>
      </w:r>
      <w:r>
        <w:t xml:space="preserve">: Determine the volume of the reconstituted solution required based on a loading dose of </w:t>
      </w:r>
      <w:proofErr w:type="spellStart"/>
      <w:r>
        <w:t>trastuzumab</w:t>
      </w:r>
      <w:proofErr w:type="spellEnd"/>
      <w:r>
        <w:t xml:space="preserve"> 4 mg/kg body weight, or a maintenance dose of </w:t>
      </w:r>
      <w:proofErr w:type="spellStart"/>
      <w:r>
        <w:t>trastuzumab</w:t>
      </w:r>
      <w:proofErr w:type="spellEnd"/>
      <w:r>
        <w:t xml:space="preserve"> 2 mg/kg body weight: </w:t>
      </w:r>
    </w:p>
    <w:p w14:paraId="41B3B640" w14:textId="77777777" w:rsidR="00B663CE" w:rsidRPr="00341EAD" w:rsidRDefault="00B663CE" w:rsidP="000E60EC">
      <w:pPr>
        <w:pStyle w:val="Bodyofcontents"/>
        <w:spacing w:after="0"/>
        <w:rPr>
          <w:szCs w:val="22"/>
        </w:rPr>
      </w:pPr>
      <w:r>
        <w:t xml:space="preserve">Volume (mL) = </w:t>
      </w:r>
      <w:r w:rsidRPr="0033416F">
        <w:rPr>
          <w:b/>
          <w:szCs w:val="22"/>
          <w:u w:val="single"/>
        </w:rPr>
        <w:t>Body weight</w:t>
      </w:r>
      <w:r w:rsidRPr="00D55CEF">
        <w:rPr>
          <w:szCs w:val="22"/>
          <w:u w:val="single"/>
        </w:rPr>
        <w:t xml:space="preserve"> (kg) x </w:t>
      </w:r>
      <w:r w:rsidRPr="0011416E">
        <w:rPr>
          <w:b/>
          <w:szCs w:val="22"/>
          <w:u w:val="single"/>
        </w:rPr>
        <w:t>dose</w:t>
      </w:r>
      <w:r w:rsidRPr="00181C14">
        <w:rPr>
          <w:szCs w:val="22"/>
          <w:u w:val="single"/>
        </w:rPr>
        <w:t xml:space="preserve"> (</w:t>
      </w:r>
      <w:r w:rsidRPr="00181C14">
        <w:rPr>
          <w:b/>
          <w:szCs w:val="22"/>
          <w:u w:val="single"/>
        </w:rPr>
        <w:t xml:space="preserve">4 </w:t>
      </w:r>
      <w:r w:rsidRPr="00181C14">
        <w:rPr>
          <w:szCs w:val="22"/>
          <w:u w:val="single"/>
        </w:rPr>
        <w:t xml:space="preserve">mg/kg for loading or </w:t>
      </w:r>
      <w:r w:rsidRPr="00181C14">
        <w:rPr>
          <w:b/>
          <w:szCs w:val="22"/>
          <w:u w:val="single"/>
        </w:rPr>
        <w:t>2</w:t>
      </w:r>
      <w:r w:rsidRPr="00181C14">
        <w:rPr>
          <w:szCs w:val="22"/>
          <w:u w:val="single"/>
        </w:rPr>
        <w:t xml:space="preserve"> mg/kg for m</w:t>
      </w:r>
      <w:r w:rsidRPr="00341EAD">
        <w:rPr>
          <w:szCs w:val="22"/>
          <w:u w:val="single"/>
        </w:rPr>
        <w:t xml:space="preserve">aintenance) </w:t>
      </w:r>
    </w:p>
    <w:p w14:paraId="266385BA" w14:textId="77777777" w:rsidR="00B663CE" w:rsidRDefault="00B663CE" w:rsidP="00E1494F">
      <w:pPr>
        <w:pStyle w:val="Bodyofcontents"/>
        <w:jc w:val="center"/>
      </w:pPr>
      <w:proofErr w:type="gramStart"/>
      <w:r w:rsidRPr="00341EAD">
        <w:rPr>
          <w:b/>
          <w:szCs w:val="22"/>
        </w:rPr>
        <w:t>21</w:t>
      </w:r>
      <w:proofErr w:type="gramEnd"/>
      <w:r w:rsidRPr="00341EAD">
        <w:rPr>
          <w:b/>
          <w:szCs w:val="22"/>
        </w:rPr>
        <w:t xml:space="preserve"> </w:t>
      </w:r>
      <w:r w:rsidRPr="00341EAD">
        <w:rPr>
          <w:szCs w:val="22"/>
        </w:rPr>
        <w:t>(mg/mL, concentration</w:t>
      </w:r>
      <w:r>
        <w:t xml:space="preserve"> of reconstituted solution)</w:t>
      </w:r>
    </w:p>
    <w:p w14:paraId="530DE731" w14:textId="77777777" w:rsidR="00B663CE" w:rsidRDefault="00B663CE" w:rsidP="00B663CE">
      <w:pPr>
        <w:pStyle w:val="Bodyofcontents"/>
      </w:pPr>
      <w:r w:rsidRPr="00E1494F">
        <w:rPr>
          <w:i/>
        </w:rPr>
        <w:t>Three-Weekly Regimen</w:t>
      </w:r>
      <w:r>
        <w:t xml:space="preserve">: Determine the volume of the reconstituted solution required based on a loading dose of </w:t>
      </w:r>
      <w:proofErr w:type="spellStart"/>
      <w:r>
        <w:t>trastuzumab</w:t>
      </w:r>
      <w:proofErr w:type="spellEnd"/>
      <w:r>
        <w:t xml:space="preserve"> 8 mg/kg body weight, or subsequent every 3 weeks dose of 6 mg/kg body weight: </w:t>
      </w:r>
    </w:p>
    <w:p w14:paraId="576B2C99" w14:textId="77777777" w:rsidR="00B663CE" w:rsidRDefault="00B663CE" w:rsidP="000E60EC">
      <w:pPr>
        <w:pStyle w:val="Bodyofcontents"/>
        <w:spacing w:after="0"/>
      </w:pPr>
      <w:r>
        <w:t xml:space="preserve">Volume (mL) = </w:t>
      </w:r>
      <w:r w:rsidRPr="00E1494F">
        <w:rPr>
          <w:b/>
          <w:u w:val="single"/>
        </w:rPr>
        <w:t>Body weight</w:t>
      </w:r>
      <w:r w:rsidRPr="00E1494F">
        <w:rPr>
          <w:u w:val="single"/>
        </w:rPr>
        <w:t xml:space="preserve"> (kg) x </w:t>
      </w:r>
      <w:r w:rsidRPr="00E1494F">
        <w:rPr>
          <w:b/>
          <w:u w:val="single"/>
        </w:rPr>
        <w:t>dose</w:t>
      </w:r>
      <w:r w:rsidRPr="00E1494F">
        <w:rPr>
          <w:u w:val="single"/>
        </w:rPr>
        <w:t xml:space="preserve"> (</w:t>
      </w:r>
      <w:r w:rsidRPr="00E1494F">
        <w:rPr>
          <w:b/>
          <w:u w:val="single"/>
        </w:rPr>
        <w:t>8</w:t>
      </w:r>
      <w:r w:rsidRPr="00E1494F">
        <w:rPr>
          <w:u w:val="single"/>
        </w:rPr>
        <w:t xml:space="preserve"> mg/kg for loading or </w:t>
      </w:r>
      <w:r w:rsidRPr="00E1494F">
        <w:rPr>
          <w:b/>
          <w:u w:val="single"/>
        </w:rPr>
        <w:t>6</w:t>
      </w:r>
      <w:r w:rsidRPr="00E1494F">
        <w:rPr>
          <w:u w:val="single"/>
        </w:rPr>
        <w:t xml:space="preserve"> mg/kg for maintenance)</w:t>
      </w:r>
      <w:r>
        <w:t xml:space="preserve"> </w:t>
      </w:r>
    </w:p>
    <w:p w14:paraId="459AD5B4" w14:textId="77777777" w:rsidR="00B663CE" w:rsidRDefault="00B663CE" w:rsidP="00E1494F">
      <w:pPr>
        <w:pStyle w:val="Bodyofcontents"/>
        <w:jc w:val="center"/>
      </w:pPr>
      <w:proofErr w:type="gramStart"/>
      <w:r w:rsidRPr="00E1494F">
        <w:rPr>
          <w:b/>
        </w:rPr>
        <w:t>21</w:t>
      </w:r>
      <w:proofErr w:type="gramEnd"/>
      <w:r>
        <w:t xml:space="preserve"> (mg/mL, concentration of reconstituted solution)</w:t>
      </w:r>
    </w:p>
    <w:p w14:paraId="60053859" w14:textId="77777777" w:rsidR="00B663CE" w:rsidRDefault="00B663CE" w:rsidP="001F450B">
      <w:pPr>
        <w:pStyle w:val="Subheading2"/>
      </w:pPr>
      <w:r>
        <w:t xml:space="preserve">Preparation and Stability of the Admixture </w:t>
      </w:r>
    </w:p>
    <w:p w14:paraId="434FA5FE" w14:textId="77777777" w:rsidR="00B663CE" w:rsidRDefault="00B663CE" w:rsidP="00462F48">
      <w:pPr>
        <w:pStyle w:val="Bodyofcontents"/>
        <w:spacing w:after="160"/>
      </w:pPr>
      <w:r>
        <w:t xml:space="preserve">The appropriate amount of the reconstituted solution </w:t>
      </w:r>
      <w:proofErr w:type="gramStart"/>
      <w:r>
        <w:t>should be withdrawn from the vial and added to an infusion bag containing 250 mL of 0.9% sodium chloride</w:t>
      </w:r>
      <w:proofErr w:type="gramEnd"/>
      <w:r>
        <w:t xml:space="preserve">. </w:t>
      </w:r>
    </w:p>
    <w:p w14:paraId="619FDE2F" w14:textId="022CE2A5" w:rsidR="00B663CE" w:rsidRDefault="00B663CE" w:rsidP="00462F48">
      <w:pPr>
        <w:pStyle w:val="Bodyofcontents"/>
        <w:spacing w:after="160"/>
      </w:pPr>
      <w:r>
        <w:t xml:space="preserve">Dextrose (5%) solution </w:t>
      </w:r>
      <w:proofErr w:type="gramStart"/>
      <w:r>
        <w:t>should not be used</w:t>
      </w:r>
      <w:proofErr w:type="gramEnd"/>
      <w:r>
        <w:t xml:space="preserve"> since it causes aggregation of the protein. </w:t>
      </w:r>
      <w:r w:rsidR="00A231CB">
        <w:t>OGIVRI</w:t>
      </w:r>
      <w:r>
        <w:t xml:space="preserve"> SHOULD NOT BE MIXED OR DILUTED WITH OTHER MEDICINES. No incompatibilities between </w:t>
      </w:r>
      <w:r w:rsidR="00A231CB">
        <w:t>OGIVRI</w:t>
      </w:r>
      <w:r>
        <w:t xml:space="preserve"> and polyvinylchloride, polyethylene or polypropylene bags </w:t>
      </w:r>
      <w:proofErr w:type="gramStart"/>
      <w:r>
        <w:t>have been observed</w:t>
      </w:r>
      <w:proofErr w:type="gramEnd"/>
      <w:r>
        <w:t xml:space="preserve">. </w:t>
      </w:r>
    </w:p>
    <w:p w14:paraId="4D1B93E7" w14:textId="77777777" w:rsidR="00B663CE" w:rsidRDefault="00B663CE" w:rsidP="00462F48">
      <w:pPr>
        <w:pStyle w:val="Bodyofcontents"/>
        <w:spacing w:after="160"/>
      </w:pPr>
      <w:r>
        <w:lastRenderedPageBreak/>
        <w:t xml:space="preserve">The infusion bag </w:t>
      </w:r>
      <w:proofErr w:type="gramStart"/>
      <w:r>
        <w:t>should be gently inverted</w:t>
      </w:r>
      <w:proofErr w:type="gramEnd"/>
      <w:r>
        <w:t xml:space="preserve"> to mix the solution in order to avoid foaming. Parenteral drug products </w:t>
      </w:r>
      <w:proofErr w:type="gramStart"/>
      <w:r>
        <w:t>should be inspected</w:t>
      </w:r>
      <w:proofErr w:type="gramEnd"/>
      <w:r>
        <w:t xml:space="preserve"> visually for particulates and discoloration prior to administration. </w:t>
      </w:r>
    </w:p>
    <w:p w14:paraId="3605F529" w14:textId="0EFF9415" w:rsidR="00B663CE" w:rsidRDefault="00B663CE" w:rsidP="00B663CE">
      <w:pPr>
        <w:pStyle w:val="Bodyofcontents"/>
      </w:pPr>
      <w:r>
        <w:t xml:space="preserve">From a microbiological point of view, the </w:t>
      </w:r>
      <w:r w:rsidR="00A231CB">
        <w:t>OGIVRI</w:t>
      </w:r>
      <w:r>
        <w:t xml:space="preserve"> infusion solution</w:t>
      </w:r>
      <w:r w:rsidR="00BD3660">
        <w:t>, if re</w:t>
      </w:r>
      <w:r w:rsidR="000B0BEF">
        <w:t>consti</w:t>
      </w:r>
      <w:r w:rsidR="00BD3660">
        <w:t>tuted with sterile water (SWFI)</w:t>
      </w:r>
      <w:r w:rsidR="000B0BEF">
        <w:t xml:space="preserve"> without preservative</w:t>
      </w:r>
      <w:r w:rsidR="00BD3660">
        <w:t>,</w:t>
      </w:r>
      <w:r>
        <w:t xml:space="preserve"> </w:t>
      </w:r>
      <w:proofErr w:type="gramStart"/>
      <w:r>
        <w:t>should be used</w:t>
      </w:r>
      <w:proofErr w:type="gramEnd"/>
      <w:r>
        <w:t xml:space="preserve"> immediately. If diluted aseptically, it may be stored for 24 hours when refrigerated at 2</w:t>
      </w:r>
      <w:r w:rsidR="001A4461">
        <w:t>°C</w:t>
      </w:r>
      <w:r>
        <w:t xml:space="preserve"> to 8°C.</w:t>
      </w:r>
    </w:p>
    <w:p w14:paraId="1D9B037B" w14:textId="77777777" w:rsidR="000B377E" w:rsidRPr="00A15169" w:rsidRDefault="000B377E" w:rsidP="00B663CE">
      <w:pPr>
        <w:pStyle w:val="SubjectHeading"/>
      </w:pPr>
      <w:r w:rsidRPr="00A15169">
        <w:t>OVERDOSAGE</w:t>
      </w:r>
    </w:p>
    <w:p w14:paraId="5EE15A80" w14:textId="77777777" w:rsidR="00B663CE" w:rsidRDefault="00B663CE" w:rsidP="00462F48">
      <w:pPr>
        <w:pStyle w:val="Bodyofcontents"/>
        <w:spacing w:after="160"/>
      </w:pPr>
      <w:r>
        <w:t xml:space="preserve">There is no experience with </w:t>
      </w:r>
      <w:proofErr w:type="spellStart"/>
      <w:r>
        <w:t>overdosage</w:t>
      </w:r>
      <w:proofErr w:type="spellEnd"/>
      <w:r>
        <w:t xml:space="preserve"> in human clinical trials. Single doses higher than 10 mg/kg </w:t>
      </w:r>
      <w:proofErr w:type="gramStart"/>
      <w:r>
        <w:t>have not been tested</w:t>
      </w:r>
      <w:proofErr w:type="gramEnd"/>
      <w:r>
        <w:t xml:space="preserve">. </w:t>
      </w:r>
    </w:p>
    <w:p w14:paraId="0659D205" w14:textId="77777777" w:rsidR="00B663CE" w:rsidRDefault="00B663CE" w:rsidP="00462F48">
      <w:pPr>
        <w:pStyle w:val="Bodyofcontents"/>
        <w:spacing w:after="160"/>
      </w:pPr>
      <w:r>
        <w:t xml:space="preserve">Treatment of overdose should consist of general supportive measures. </w:t>
      </w:r>
    </w:p>
    <w:p w14:paraId="3EDAC469" w14:textId="77777777" w:rsidR="00B663CE" w:rsidRDefault="00B663CE" w:rsidP="00B663CE">
      <w:pPr>
        <w:pStyle w:val="Bodyofcontents"/>
      </w:pPr>
      <w:r>
        <w:t>For information on the management of overdose, contact the Poisons Information Centre (in Australia call 13 11 26; in New Zealand call 0800 767 766).</w:t>
      </w:r>
    </w:p>
    <w:p w14:paraId="69ADCBA1" w14:textId="77777777" w:rsidR="000B377E" w:rsidRPr="00A15169" w:rsidRDefault="000B377E" w:rsidP="000B377E">
      <w:pPr>
        <w:pStyle w:val="SubjectHeading"/>
      </w:pPr>
      <w:r w:rsidRPr="00A15169">
        <w:t>PRESENTATION AND STORAGE CONDITIONS</w:t>
      </w:r>
    </w:p>
    <w:p w14:paraId="4B69D760" w14:textId="7DE0AFB0" w:rsidR="00B663CE" w:rsidRDefault="00A231CB" w:rsidP="00462F48">
      <w:pPr>
        <w:pStyle w:val="Bodyofcontents"/>
        <w:spacing w:after="120"/>
      </w:pPr>
      <w:r>
        <w:t>OGIVRI</w:t>
      </w:r>
      <w:r w:rsidR="00B663CE">
        <w:t xml:space="preserve"> powder for IV infusion is available as: </w:t>
      </w:r>
    </w:p>
    <w:p w14:paraId="3FA1F1FC" w14:textId="77777777" w:rsidR="00B663CE" w:rsidRDefault="00B663CE" w:rsidP="001F450B">
      <w:pPr>
        <w:pStyle w:val="Bodydot"/>
      </w:pPr>
      <w:r>
        <w:t xml:space="preserve">single-dose 150 mg vial </w:t>
      </w:r>
    </w:p>
    <w:p w14:paraId="42CD1B8D" w14:textId="14FAE355" w:rsidR="00EB56AB" w:rsidRDefault="00EB56AB" w:rsidP="00462F48">
      <w:pPr>
        <w:pStyle w:val="Bodydot"/>
        <w:spacing w:after="160"/>
      </w:pPr>
      <w:r>
        <w:t>440 mg vial with bacteriostatic water for injection</w:t>
      </w:r>
    </w:p>
    <w:p w14:paraId="3DB29A6A" w14:textId="5BF0C19C" w:rsidR="00776931" w:rsidRDefault="00776931" w:rsidP="00462F48">
      <w:pPr>
        <w:pStyle w:val="Bodyofcontents"/>
        <w:spacing w:after="160"/>
      </w:pPr>
      <w:r>
        <w:t>T</w:t>
      </w:r>
      <w:r w:rsidR="00BB100C">
        <w:t xml:space="preserve">he </w:t>
      </w:r>
      <w:r w:rsidR="005B2D8F">
        <w:t>440 mg vial with BWFI</w:t>
      </w:r>
      <w:r>
        <w:t xml:space="preserve"> is </w:t>
      </w:r>
      <w:r w:rsidR="00BB100C">
        <w:t>a Pharmacy Bulk Pack</w:t>
      </w:r>
      <w:r>
        <w:t>.</w:t>
      </w:r>
    </w:p>
    <w:p w14:paraId="51A6C33E" w14:textId="77EFF3B7" w:rsidR="00B663CE" w:rsidRDefault="00B663CE" w:rsidP="00B663CE">
      <w:pPr>
        <w:pStyle w:val="Bodyofcontents"/>
      </w:pPr>
      <w:r>
        <w:t xml:space="preserve">The contents of the sterile vial appear as a lyophilized, white to pale yellow powder. The reconstituted </w:t>
      </w:r>
      <w:r w:rsidR="00A231CB">
        <w:t>OGIVRI</w:t>
      </w:r>
      <w:r>
        <w:t xml:space="preserve"> solution contains approximately 21 mg/mL of </w:t>
      </w:r>
      <w:proofErr w:type="spellStart"/>
      <w:r>
        <w:t>trastuzumab</w:t>
      </w:r>
      <w:proofErr w:type="spellEnd"/>
      <w:r>
        <w:t xml:space="preserve">. </w:t>
      </w:r>
    </w:p>
    <w:p w14:paraId="07D4FF54" w14:textId="77777777" w:rsidR="002654EF" w:rsidRPr="002654EF" w:rsidRDefault="002654EF" w:rsidP="002654EF">
      <w:pPr>
        <w:pStyle w:val="Subheading2"/>
        <w:rPr>
          <w:rStyle w:val="Strong"/>
          <w:b/>
        </w:rPr>
      </w:pPr>
      <w:r w:rsidRPr="002654EF">
        <w:rPr>
          <w:rStyle w:val="Strong"/>
          <w:b/>
        </w:rPr>
        <w:t>Excipient with known effect</w:t>
      </w:r>
    </w:p>
    <w:p w14:paraId="1153F28A" w14:textId="77777777" w:rsidR="002654EF" w:rsidRDefault="002654EF" w:rsidP="002654EF">
      <w:pPr>
        <w:pStyle w:val="Subheading3"/>
      </w:pPr>
      <w:r>
        <w:t>Sorbitol</w:t>
      </w:r>
    </w:p>
    <w:p w14:paraId="5C8C5460" w14:textId="77777777" w:rsidR="002654EF" w:rsidRPr="00842F48" w:rsidRDefault="002654EF" w:rsidP="002654EF">
      <w:pPr>
        <w:pStyle w:val="Bodyofcontents"/>
      </w:pPr>
      <w:proofErr w:type="spellStart"/>
      <w:r>
        <w:t>Ogivri</w:t>
      </w:r>
      <w:proofErr w:type="spellEnd"/>
      <w:r>
        <w:t xml:space="preserve"> contains 0.77 mg sorbitol/ 1.00 mg </w:t>
      </w:r>
      <w:proofErr w:type="spellStart"/>
      <w:r>
        <w:t>trastuzumab</w:t>
      </w:r>
      <w:proofErr w:type="spellEnd"/>
      <w:r>
        <w:t>. There is 115.2 mg of sorbitol in the 150 mg vial and 337.9 mg of sorbitol in the 440 mg Pharmacy Bulk Pack.</w:t>
      </w:r>
    </w:p>
    <w:p w14:paraId="059D0542" w14:textId="77777777" w:rsidR="00B663CE" w:rsidRDefault="00B663CE" w:rsidP="001F450B">
      <w:pPr>
        <w:pStyle w:val="Subheading1"/>
      </w:pPr>
      <w:r>
        <w:t xml:space="preserve">Storage </w:t>
      </w:r>
    </w:p>
    <w:p w14:paraId="73DF5F62" w14:textId="1646A25C" w:rsidR="00B663CE" w:rsidRDefault="00B663CE" w:rsidP="00B663CE">
      <w:pPr>
        <w:pStyle w:val="Bodyofcontents"/>
      </w:pPr>
      <w:r>
        <w:t xml:space="preserve">Store </w:t>
      </w:r>
      <w:r w:rsidR="00A231CB">
        <w:t>OGIVRI</w:t>
      </w:r>
      <w:r w:rsidR="007543DA">
        <w:t xml:space="preserve"> </w:t>
      </w:r>
      <w:r>
        <w:t xml:space="preserve">150 mg </w:t>
      </w:r>
      <w:r w:rsidR="00EB56AB">
        <w:t xml:space="preserve">and 440 mg </w:t>
      </w:r>
      <w:r>
        <w:t xml:space="preserve">vials at 2 to 8°C. Refrigerate. Do not freeze. Do not use beyond the expiration date stamped on the vial. </w:t>
      </w:r>
    </w:p>
    <w:p w14:paraId="5B5B2B76" w14:textId="77777777" w:rsidR="00B663CE" w:rsidRDefault="00B663CE" w:rsidP="001F450B">
      <w:pPr>
        <w:pStyle w:val="Subheading2"/>
      </w:pPr>
      <w:r>
        <w:t xml:space="preserve">Reconstituted Solution </w:t>
      </w:r>
    </w:p>
    <w:p w14:paraId="3884A469" w14:textId="53A427F6" w:rsidR="001A4461" w:rsidRPr="000E60EC" w:rsidRDefault="001A4461" w:rsidP="00462F48">
      <w:pPr>
        <w:pStyle w:val="Bodyofcontents"/>
        <w:spacing w:after="120"/>
        <w:rPr>
          <w:u w:val="single"/>
        </w:rPr>
      </w:pPr>
      <w:r w:rsidRPr="000E60EC">
        <w:rPr>
          <w:u w:val="single"/>
        </w:rPr>
        <w:t>150 mg</w:t>
      </w:r>
    </w:p>
    <w:p w14:paraId="539F2741" w14:textId="661706C4" w:rsidR="00B663CE" w:rsidRDefault="00B663CE" w:rsidP="00B663CE">
      <w:pPr>
        <w:pStyle w:val="Bodyofcontents"/>
      </w:pPr>
      <w:r>
        <w:t xml:space="preserve">A vial of </w:t>
      </w:r>
      <w:r w:rsidR="00A231CB">
        <w:t>OGIVRI</w:t>
      </w:r>
      <w:r>
        <w:t xml:space="preserve"> reconstituted with sterile Water for Injections </w:t>
      </w:r>
      <w:r w:rsidR="000B0BEF">
        <w:t xml:space="preserve">(SWFI) </w:t>
      </w:r>
      <w:r>
        <w:t xml:space="preserve">without preservative </w:t>
      </w:r>
      <w:proofErr w:type="gramStart"/>
      <w:r>
        <w:t>should be used</w:t>
      </w:r>
      <w:proofErr w:type="gramEnd"/>
      <w:r>
        <w:t xml:space="preserve"> immediately and any unused portion must be discarded. </w:t>
      </w:r>
      <w:r w:rsidR="00EB56AB" w:rsidRPr="00EB56AB">
        <w:t>OGIVRI 150 mg</w:t>
      </w:r>
      <w:r w:rsidR="007543DA">
        <w:t xml:space="preserve"> </w:t>
      </w:r>
      <w:r w:rsidRPr="00EB56AB">
        <w:t>is for single use in one patient only.</w:t>
      </w:r>
      <w:r>
        <w:t xml:space="preserve"> Do not freeze the reconstituted solution. </w:t>
      </w:r>
    </w:p>
    <w:p w14:paraId="3DAAD4D4" w14:textId="77777777" w:rsidR="001A4461" w:rsidRPr="001A4461" w:rsidRDefault="001A4461" w:rsidP="002654EF">
      <w:pPr>
        <w:pStyle w:val="Subheading3"/>
      </w:pPr>
      <w:r w:rsidRPr="001A4461">
        <w:t>440 mg</w:t>
      </w:r>
    </w:p>
    <w:p w14:paraId="5DB39DAF" w14:textId="69B7E973" w:rsidR="001A4461" w:rsidRDefault="001A4461" w:rsidP="001A4461">
      <w:pPr>
        <w:pStyle w:val="Bodyofcontents"/>
      </w:pPr>
      <w:r>
        <w:t xml:space="preserve">When </w:t>
      </w:r>
      <w:r w:rsidRPr="00B429F7">
        <w:t xml:space="preserve">reconstituted with BWFI, USP (1.1% benzyl alcohol) the </w:t>
      </w:r>
      <w:r w:rsidR="006460EA">
        <w:t>Pharmacy Bulk Pack</w:t>
      </w:r>
      <w:r w:rsidRPr="00B429F7">
        <w:t xml:space="preserve"> solution </w:t>
      </w:r>
      <w:proofErr w:type="gramStart"/>
      <w:r w:rsidRPr="00B429F7">
        <w:t xml:space="preserve">may be </w:t>
      </w:r>
      <w:r w:rsidR="00BB100C">
        <w:t>kept</w:t>
      </w:r>
      <w:proofErr w:type="gramEnd"/>
      <w:r w:rsidRPr="00B429F7">
        <w:t xml:space="preserve"> for </w:t>
      </w:r>
      <w:r w:rsidR="00BB100C">
        <w:t>no longer than 24 hours</w:t>
      </w:r>
      <w:r w:rsidRPr="00B429F7">
        <w:t xml:space="preserve"> when stored at 2°C to 8°C</w:t>
      </w:r>
      <w:r w:rsidR="00BB100C">
        <w:t xml:space="preserve"> or 6 hours at room temperature or above</w:t>
      </w:r>
    </w:p>
    <w:p w14:paraId="1BB1DD34" w14:textId="77777777" w:rsidR="00B663CE" w:rsidRDefault="00B663CE" w:rsidP="001F450B">
      <w:pPr>
        <w:pStyle w:val="Subheading2"/>
      </w:pPr>
      <w:r>
        <w:lastRenderedPageBreak/>
        <w:t xml:space="preserve">Diluted Solution for Infusion </w:t>
      </w:r>
    </w:p>
    <w:p w14:paraId="06E47A34" w14:textId="511285B7" w:rsidR="00C00ED6" w:rsidRDefault="00B663CE" w:rsidP="00B663CE">
      <w:pPr>
        <w:pStyle w:val="Bodyofcontents"/>
      </w:pPr>
      <w:r>
        <w:t xml:space="preserve">From a microbiological point of view, the </w:t>
      </w:r>
      <w:r w:rsidR="00A231CB">
        <w:t>OGIVRI</w:t>
      </w:r>
      <w:r w:rsidR="00C00ED6">
        <w:t xml:space="preserve"> </w:t>
      </w:r>
      <w:r>
        <w:t>infusion solution</w:t>
      </w:r>
      <w:r w:rsidR="00BD3660">
        <w:t>, when reconstituted with sterile water (SWFI)</w:t>
      </w:r>
      <w:r w:rsidR="000B0BEF">
        <w:t xml:space="preserve"> without preservative</w:t>
      </w:r>
      <w:r w:rsidR="00BD3660">
        <w:t>,</w:t>
      </w:r>
      <w:r>
        <w:t xml:space="preserve"> should be </w:t>
      </w:r>
      <w:proofErr w:type="gramStart"/>
      <w:r>
        <w:t>diluted</w:t>
      </w:r>
      <w:proofErr w:type="gramEnd"/>
      <w:r>
        <w:t xml:space="preserve"> and used immediately</w:t>
      </w:r>
      <w:r w:rsidR="00BD3660">
        <w:t>.</w:t>
      </w:r>
      <w:r w:rsidR="00C00ED6">
        <w:t xml:space="preserve"> </w:t>
      </w:r>
      <w:r>
        <w:t xml:space="preserve">The product </w:t>
      </w:r>
      <w:proofErr w:type="gramStart"/>
      <w:r>
        <w:t>is not intended</w:t>
      </w:r>
      <w:proofErr w:type="gramEnd"/>
      <w:r>
        <w:t xml:space="preserve"> to be stored after dilution. </w:t>
      </w:r>
    </w:p>
    <w:p w14:paraId="117FDFA5" w14:textId="65B7064B" w:rsidR="00B663CE" w:rsidRDefault="00B663CE" w:rsidP="00B663CE">
      <w:pPr>
        <w:pStyle w:val="Bodyofcontents"/>
      </w:pPr>
      <w:r>
        <w:t xml:space="preserve">Solutions of </w:t>
      </w:r>
      <w:r w:rsidR="00A231CB">
        <w:t>OGIVRI</w:t>
      </w:r>
      <w:r>
        <w:t xml:space="preserve"> for infusion are physically and chemically stable in polyvinylchloride, polyethylene or polypropylene bags containing 0.9% sodium chloride at 2</w:t>
      </w:r>
      <w:r w:rsidR="001A4461">
        <w:t>°C</w:t>
      </w:r>
      <w:r>
        <w:t xml:space="preserve"> to 8°C for 24 hours</w:t>
      </w:r>
      <w:r w:rsidR="00BB100C">
        <w:t>, or 6 hours at room temperature or above</w:t>
      </w:r>
      <w:r>
        <w:t xml:space="preserve">. </w:t>
      </w:r>
    </w:p>
    <w:p w14:paraId="71B388EA" w14:textId="77777777" w:rsidR="00B663CE" w:rsidRDefault="00B663CE" w:rsidP="001F450B">
      <w:pPr>
        <w:pStyle w:val="Subheading1"/>
      </w:pPr>
      <w:r>
        <w:t xml:space="preserve">Disposal of Medicines </w:t>
      </w:r>
    </w:p>
    <w:p w14:paraId="0F988042" w14:textId="77777777" w:rsidR="00B663CE" w:rsidRDefault="00B663CE" w:rsidP="00B663CE">
      <w:pPr>
        <w:pStyle w:val="Bodyofcontents"/>
        <w:rPr>
          <w:szCs w:val="22"/>
        </w:rPr>
      </w:pPr>
      <w:r>
        <w:rPr>
          <w:szCs w:val="22"/>
        </w:rPr>
        <w:t xml:space="preserve">The release of medicines into the environment </w:t>
      </w:r>
      <w:proofErr w:type="gramStart"/>
      <w:r>
        <w:rPr>
          <w:szCs w:val="22"/>
        </w:rPr>
        <w:t>should be minimized</w:t>
      </w:r>
      <w:proofErr w:type="gramEnd"/>
      <w:r>
        <w:rPr>
          <w:szCs w:val="22"/>
        </w:rPr>
        <w:t xml:space="preserve">. Medicines </w:t>
      </w:r>
      <w:proofErr w:type="gramStart"/>
      <w:r>
        <w:rPr>
          <w:szCs w:val="22"/>
        </w:rPr>
        <w:t>should not be disposed of</w:t>
      </w:r>
      <w:proofErr w:type="gramEnd"/>
      <w:r>
        <w:rPr>
          <w:szCs w:val="22"/>
        </w:rPr>
        <w:t xml:space="preserve"> via wastewater and disposal through household waste should be avoided. Unused or expired medicine </w:t>
      </w:r>
      <w:proofErr w:type="gramStart"/>
      <w:r>
        <w:rPr>
          <w:szCs w:val="22"/>
        </w:rPr>
        <w:t>should be returned</w:t>
      </w:r>
      <w:proofErr w:type="gramEnd"/>
      <w:r>
        <w:rPr>
          <w:szCs w:val="22"/>
        </w:rPr>
        <w:t xml:space="preserve"> to a pharmacy for disposal. </w:t>
      </w:r>
    </w:p>
    <w:p w14:paraId="687D1235" w14:textId="77777777" w:rsidR="000B377E" w:rsidRDefault="000B377E" w:rsidP="00B663CE">
      <w:pPr>
        <w:pStyle w:val="SubjectHeading"/>
      </w:pPr>
      <w:r w:rsidRPr="00A15169">
        <w:t>NAME AND ADDRESS OF THE SPONSOR</w:t>
      </w:r>
    </w:p>
    <w:p w14:paraId="213057DE" w14:textId="77777777" w:rsidR="00822E38" w:rsidRPr="00A15169" w:rsidRDefault="00822E38" w:rsidP="00822E38">
      <w:pPr>
        <w:pStyle w:val="Subheading2"/>
      </w:pPr>
      <w:proofErr w:type="spellStart"/>
      <w:r w:rsidRPr="00A15169">
        <w:t>Alphapharm</w:t>
      </w:r>
      <w:proofErr w:type="spellEnd"/>
      <w:r w:rsidRPr="00A15169">
        <w:t xml:space="preserve"> Pty Limited</w:t>
      </w:r>
    </w:p>
    <w:p w14:paraId="56A7A69B" w14:textId="77777777" w:rsidR="00822E38" w:rsidRPr="00A15169" w:rsidRDefault="00822E38" w:rsidP="00822E38">
      <w:pPr>
        <w:pStyle w:val="Bodyofcontents"/>
        <w:rPr>
          <w:lang w:val="en-US"/>
        </w:rPr>
      </w:pPr>
      <w:r w:rsidRPr="00A15169">
        <w:rPr>
          <w:lang w:val="en-US"/>
        </w:rPr>
        <w:t xml:space="preserve">Level 1, 30 </w:t>
      </w:r>
      <w:proofErr w:type="gramStart"/>
      <w:r w:rsidRPr="00A15169">
        <w:rPr>
          <w:lang w:val="en-US"/>
        </w:rPr>
        <w:t>The</w:t>
      </w:r>
      <w:proofErr w:type="gramEnd"/>
      <w:r w:rsidRPr="00A15169">
        <w:rPr>
          <w:lang w:val="en-US"/>
        </w:rPr>
        <w:t xml:space="preserve"> Bond</w:t>
      </w:r>
    </w:p>
    <w:p w14:paraId="78AF62AB" w14:textId="77777777" w:rsidR="00822E38" w:rsidRPr="00A15169" w:rsidRDefault="00822E38" w:rsidP="00822E38">
      <w:pPr>
        <w:pStyle w:val="Bodyofcontents"/>
        <w:rPr>
          <w:lang w:val="en-US"/>
        </w:rPr>
      </w:pPr>
      <w:r w:rsidRPr="00A15169">
        <w:rPr>
          <w:lang w:val="en-US"/>
        </w:rPr>
        <w:t xml:space="preserve">30-34 </w:t>
      </w:r>
      <w:proofErr w:type="spellStart"/>
      <w:r w:rsidRPr="00A15169">
        <w:rPr>
          <w:lang w:val="en-US"/>
        </w:rPr>
        <w:t>Hickson</w:t>
      </w:r>
      <w:proofErr w:type="spellEnd"/>
      <w:r w:rsidRPr="00A15169">
        <w:rPr>
          <w:lang w:val="en-US"/>
        </w:rPr>
        <w:t xml:space="preserve"> Road</w:t>
      </w:r>
    </w:p>
    <w:p w14:paraId="7B693C91" w14:textId="77777777" w:rsidR="00822E38" w:rsidRPr="00753893" w:rsidRDefault="00822E38" w:rsidP="00822E38">
      <w:pPr>
        <w:pStyle w:val="Bodyofcontents"/>
      </w:pPr>
      <w:r w:rsidRPr="00A15169">
        <w:rPr>
          <w:lang w:val="en-US"/>
        </w:rPr>
        <w:t>Millers Point NSW 2000</w:t>
      </w:r>
    </w:p>
    <w:p w14:paraId="0F459006" w14:textId="77777777" w:rsidR="00822E38" w:rsidRPr="00753893" w:rsidRDefault="00822E38" w:rsidP="00822E38">
      <w:pPr>
        <w:pStyle w:val="Bodyofcontents"/>
      </w:pPr>
      <w:r w:rsidRPr="00753893">
        <w:t>ABN 93 002 359 739</w:t>
      </w:r>
    </w:p>
    <w:p w14:paraId="7AB2E7B4" w14:textId="77777777" w:rsidR="00822E38" w:rsidRPr="00A15169" w:rsidRDefault="00822E38" w:rsidP="00822E38">
      <w:pPr>
        <w:pStyle w:val="Bodyofcontents"/>
        <w:rPr>
          <w:rFonts w:eastAsia="PMingLiU"/>
          <w:lang w:eastAsia="zh-HK"/>
        </w:rPr>
      </w:pPr>
      <w:r>
        <w:rPr>
          <w:rFonts w:eastAsia="PMingLiU"/>
          <w:lang w:eastAsia="zh-HK"/>
        </w:rPr>
        <w:t>www.mylan.com.au</w:t>
      </w:r>
    </w:p>
    <w:p w14:paraId="4950D5A3" w14:textId="77777777" w:rsidR="00112E54" w:rsidRPr="00A15169" w:rsidRDefault="00112E54" w:rsidP="00112E54">
      <w:pPr>
        <w:pStyle w:val="SubjectHeading"/>
      </w:pPr>
      <w:r w:rsidRPr="00A15169">
        <w:t>POISON SCHEDULE OF THE MEDICINE</w:t>
      </w:r>
    </w:p>
    <w:p w14:paraId="3D20A043" w14:textId="77777777" w:rsidR="00112E54" w:rsidRDefault="00112E54" w:rsidP="00112E54">
      <w:pPr>
        <w:pStyle w:val="Bodyofcontents"/>
      </w:pPr>
      <w:r>
        <w:t>S4 (Prescription Only Medicine)</w:t>
      </w:r>
    </w:p>
    <w:p w14:paraId="27B10036" w14:textId="77777777" w:rsidR="00112E54" w:rsidRDefault="00112E54" w:rsidP="00112E54">
      <w:pPr>
        <w:pStyle w:val="SubjectHeading"/>
      </w:pPr>
      <w:r w:rsidRPr="00A54CFF">
        <w:t>DATE OF FIRST INCLUSION IN THE AUSTRALIAN REGISTER OF</w:t>
      </w:r>
      <w:r>
        <w:t xml:space="preserve"> THERAPEUTIC GOODS (the ARTG)</w:t>
      </w:r>
    </w:p>
    <w:p w14:paraId="4DFAA3B2" w14:textId="3A9D893E" w:rsidR="00112E54" w:rsidRDefault="00150AA2" w:rsidP="000B377E">
      <w:pPr>
        <w:pStyle w:val="Bodyofcontents"/>
      </w:pPr>
      <w:r>
        <w:t>11/12/2018</w:t>
      </w:r>
    </w:p>
    <w:p w14:paraId="2366C18D" w14:textId="77777777" w:rsidR="00112E54" w:rsidRDefault="00112E54" w:rsidP="000B377E">
      <w:pPr>
        <w:pStyle w:val="Bodyofcontents"/>
      </w:pPr>
    </w:p>
    <w:p w14:paraId="381C088D" w14:textId="7D05FA66" w:rsidR="000B377E" w:rsidRPr="00493397" w:rsidRDefault="00112E54" w:rsidP="002936B8">
      <w:pPr>
        <w:pStyle w:val="Subheading2"/>
      </w:pPr>
      <w:proofErr w:type="spellStart"/>
      <w:r>
        <w:t>OGIVRI</w:t>
      </w:r>
      <w:r w:rsidR="000B377E" w:rsidRPr="00493397">
        <w:t>_pi</w:t>
      </w:r>
      <w:proofErr w:type="spellEnd"/>
      <w:r w:rsidR="000B377E" w:rsidRPr="00493397">
        <w:t>\</w:t>
      </w:r>
      <w:r w:rsidR="00F50669">
        <w:t>Dec</w:t>
      </w:r>
      <w:r w:rsidR="005345AF">
        <w:t>18</w:t>
      </w:r>
      <w:r w:rsidR="00150AA2">
        <w:t>/01</w:t>
      </w:r>
      <w:bookmarkStart w:id="1" w:name="_GoBack"/>
      <w:bookmarkEnd w:id="1"/>
    </w:p>
    <w:sectPr w:rsidR="000B377E" w:rsidRPr="00493397" w:rsidSect="0055725A">
      <w:headerReference w:type="default" r:id="rId14"/>
      <w:headerReference w:type="first" r:id="rId15"/>
      <w:pgSz w:w="11906" w:h="16838"/>
      <w:pgMar w:top="1440"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C03D" w14:textId="77777777" w:rsidR="002E2862" w:rsidRDefault="002E2862" w:rsidP="000B377E">
      <w:pPr>
        <w:spacing w:after="0" w:line="240" w:lineRule="auto"/>
      </w:pPr>
      <w:r>
        <w:separator/>
      </w:r>
    </w:p>
  </w:endnote>
  <w:endnote w:type="continuationSeparator" w:id="0">
    <w:p w14:paraId="5BBE9566" w14:textId="77777777" w:rsidR="002E2862" w:rsidRDefault="002E2862" w:rsidP="000B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F0000" w:usb2="00000010" w:usb3="00000000" w:csb0="001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4FC6" w14:textId="77777777" w:rsidR="002E2862" w:rsidRDefault="002E2862" w:rsidP="000B377E">
      <w:pPr>
        <w:spacing w:after="0" w:line="240" w:lineRule="auto"/>
      </w:pPr>
      <w:r>
        <w:separator/>
      </w:r>
    </w:p>
  </w:footnote>
  <w:footnote w:type="continuationSeparator" w:id="0">
    <w:p w14:paraId="19B418F1" w14:textId="77777777" w:rsidR="002E2862" w:rsidRDefault="002E2862" w:rsidP="000B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B1110" w14:paraId="406B166C" w14:textId="77777777" w:rsidTr="00A80A19">
      <w:tc>
        <w:tcPr>
          <w:tcW w:w="8720" w:type="dxa"/>
          <w:shd w:val="clear" w:color="auto" w:fill="E4F2E0"/>
        </w:tcPr>
        <w:p w14:paraId="068F3EDB" w14:textId="77777777" w:rsidR="008B1110" w:rsidRPr="00FB03BD" w:rsidRDefault="008B1110" w:rsidP="008B1110">
          <w:r w:rsidRPr="00D361CA">
            <w:rPr>
              <w:b/>
              <w:sz w:val="20"/>
              <w:szCs w:val="20"/>
            </w:rPr>
            <w:t xml:space="preserve">Attachment 1: Product information for </w:t>
          </w:r>
          <w:r>
            <w:rPr>
              <w:b/>
              <w:sz w:val="20"/>
              <w:szCs w:val="20"/>
            </w:rPr>
            <w:t>[</w:t>
          </w:r>
          <w:proofErr w:type="spellStart"/>
          <w:r w:rsidRPr="00916FCA">
            <w:rPr>
              <w:b/>
              <w:sz w:val="20"/>
              <w:szCs w:val="20"/>
            </w:rPr>
            <w:t>AusPAR</w:t>
          </w:r>
          <w:proofErr w:type="spellEnd"/>
          <w:r w:rsidRPr="00916FCA">
            <w:rPr>
              <w:b/>
              <w:sz w:val="20"/>
              <w:szCs w:val="20"/>
            </w:rPr>
            <w:t xml:space="preserve"> OGIVRI - </w:t>
          </w:r>
          <w:proofErr w:type="spellStart"/>
          <w:r w:rsidRPr="00916FCA">
            <w:rPr>
              <w:b/>
              <w:sz w:val="20"/>
              <w:szCs w:val="20"/>
            </w:rPr>
            <w:t>Trastuzumab</w:t>
          </w:r>
          <w:proofErr w:type="spellEnd"/>
          <w:r w:rsidRPr="00916FCA">
            <w:rPr>
              <w:b/>
              <w:sz w:val="20"/>
              <w:szCs w:val="20"/>
            </w:rPr>
            <w:t xml:space="preserve"> - </w:t>
          </w:r>
          <w:proofErr w:type="spellStart"/>
          <w:r w:rsidRPr="00916FCA">
            <w:rPr>
              <w:b/>
              <w:sz w:val="20"/>
              <w:szCs w:val="20"/>
            </w:rPr>
            <w:t>Alphapharm</w:t>
          </w:r>
          <w:proofErr w:type="spellEnd"/>
          <w:r w:rsidRPr="00916FCA">
            <w:rPr>
              <w:b/>
              <w:sz w:val="20"/>
              <w:szCs w:val="20"/>
            </w:rPr>
            <w:t xml:space="preserve"> Pty Ltd - PM-2017-01084-1-4 Draft V1 - 11 February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3873C8">
            <w:rPr>
              <w:rStyle w:val="Hyperlink"/>
              <w:color w:val="auto"/>
              <w:sz w:val="18"/>
              <w:szCs w:val="18"/>
              <w:u w:val="none"/>
            </w:rPr>
            <w:t>&gt;</w:t>
          </w:r>
        </w:p>
      </w:tc>
    </w:tr>
  </w:tbl>
  <w:p w14:paraId="0C16F756" w14:textId="77777777" w:rsidR="002E2862" w:rsidRDefault="002E2862" w:rsidP="006C6442">
    <w:pPr>
      <w:pStyle w:val="headerPI"/>
    </w:pPr>
  </w:p>
  <w:p w14:paraId="681B5D7B" w14:textId="307438DD" w:rsidR="002E2862" w:rsidRPr="002603F3" w:rsidRDefault="002E2862" w:rsidP="006C6442">
    <w:pPr>
      <w:pStyle w:val="headerPI"/>
    </w:pPr>
    <w:r>
      <w:t>OGIVRI</w:t>
    </w:r>
    <w:r w:rsidRPr="002603F3">
      <w:t xml:space="preserve"> – PRODUCT INFORMATION</w:t>
    </w:r>
    <w:r>
      <w:ptab w:relativeTo="margin" w:alignment="right" w:leader="none"/>
    </w:r>
    <w:r w:rsidRPr="002603F3">
      <w:fldChar w:fldCharType="begin"/>
    </w:r>
    <w:r w:rsidRPr="002603F3">
      <w:instrText xml:space="preserve"> PAGE  \* Arabic  \* MERGEFORMAT </w:instrText>
    </w:r>
    <w:r w:rsidRPr="002603F3">
      <w:fldChar w:fldCharType="separate"/>
    </w:r>
    <w:r w:rsidR="00164A1B">
      <w:rPr>
        <w:noProof/>
      </w:rPr>
      <w:t>20</w:t>
    </w:r>
    <w:r w:rsidRPr="002603F3">
      <w:fldChar w:fldCharType="end"/>
    </w:r>
  </w:p>
  <w:p w14:paraId="7CDE1D35" w14:textId="77777777" w:rsidR="002E2862" w:rsidRDefault="002E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2E2862" w14:paraId="2CCE8AA0" w14:textId="77777777" w:rsidTr="002E2862">
      <w:tc>
        <w:tcPr>
          <w:tcW w:w="8720" w:type="dxa"/>
          <w:shd w:val="clear" w:color="auto" w:fill="E4F2E0"/>
        </w:tcPr>
        <w:p w14:paraId="3E8FC6E8" w14:textId="585C968C" w:rsidR="002E2862" w:rsidRPr="00FB03BD" w:rsidRDefault="002E2862" w:rsidP="003873C8">
          <w:r w:rsidRPr="00D361CA">
            <w:rPr>
              <w:b/>
              <w:sz w:val="20"/>
              <w:szCs w:val="20"/>
            </w:rPr>
            <w:t xml:space="preserve">Attachment 1: Product information for </w:t>
          </w:r>
          <w:r>
            <w:rPr>
              <w:b/>
              <w:sz w:val="20"/>
              <w:szCs w:val="20"/>
            </w:rPr>
            <w:t>[</w:t>
          </w:r>
          <w:proofErr w:type="spellStart"/>
          <w:r w:rsidR="00916FCA" w:rsidRPr="00916FCA">
            <w:rPr>
              <w:b/>
              <w:sz w:val="20"/>
              <w:szCs w:val="20"/>
            </w:rPr>
            <w:t>AusPAR</w:t>
          </w:r>
          <w:proofErr w:type="spellEnd"/>
          <w:r w:rsidR="00916FCA" w:rsidRPr="00916FCA">
            <w:rPr>
              <w:b/>
              <w:sz w:val="20"/>
              <w:szCs w:val="20"/>
            </w:rPr>
            <w:t xml:space="preserve"> OGIVRI - </w:t>
          </w:r>
          <w:proofErr w:type="spellStart"/>
          <w:r w:rsidR="00916FCA" w:rsidRPr="00916FCA">
            <w:rPr>
              <w:b/>
              <w:sz w:val="20"/>
              <w:szCs w:val="20"/>
            </w:rPr>
            <w:t>Trastuzumab</w:t>
          </w:r>
          <w:proofErr w:type="spellEnd"/>
          <w:r w:rsidR="00916FCA" w:rsidRPr="00916FCA">
            <w:rPr>
              <w:b/>
              <w:sz w:val="20"/>
              <w:szCs w:val="20"/>
            </w:rPr>
            <w:t xml:space="preserve"> - </w:t>
          </w:r>
          <w:proofErr w:type="spellStart"/>
          <w:r w:rsidR="00916FCA" w:rsidRPr="00916FCA">
            <w:rPr>
              <w:b/>
              <w:sz w:val="20"/>
              <w:szCs w:val="20"/>
            </w:rPr>
            <w:t>Alphapharm</w:t>
          </w:r>
          <w:proofErr w:type="spellEnd"/>
          <w:r w:rsidR="00916FCA" w:rsidRPr="00916FCA">
            <w:rPr>
              <w:b/>
              <w:sz w:val="20"/>
              <w:szCs w:val="20"/>
            </w:rPr>
            <w:t xml:space="preserve"> Pty Ltd - PM-2017-01084-1-4 Draft V1 - 11 February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3873C8">
            <w:rPr>
              <w:rStyle w:val="Hyperlink"/>
              <w:color w:val="auto"/>
              <w:sz w:val="18"/>
              <w:szCs w:val="18"/>
              <w:u w:val="none"/>
            </w:rPr>
            <w:t>&gt;</w:t>
          </w:r>
        </w:p>
      </w:tc>
    </w:tr>
  </w:tbl>
  <w:p w14:paraId="55007850" w14:textId="77777777" w:rsidR="002E2862" w:rsidRDefault="002E2862" w:rsidP="003F59FF">
    <w:pPr>
      <w:pStyle w:val="DocumentName"/>
    </w:pPr>
  </w:p>
  <w:p w14:paraId="0E1465C4" w14:textId="77777777" w:rsidR="002E2862" w:rsidRDefault="002E2862" w:rsidP="003F59FF">
    <w:pPr>
      <w:pStyle w:val="DocumentName"/>
    </w:pPr>
    <w:r w:rsidRPr="009A47A4">
      <w:t>PRODUCT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C76"/>
    <w:multiLevelType w:val="hybridMultilevel"/>
    <w:tmpl w:val="3EFA8480"/>
    <w:lvl w:ilvl="0" w:tplc="4A7E17D4">
      <w:start w:val="1"/>
      <w:numFmt w:val="bullet"/>
      <w:pStyle w:val="Bodydo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3E15B2"/>
    <w:multiLevelType w:val="hybridMultilevel"/>
    <w:tmpl w:val="BC300F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D55B72"/>
    <w:multiLevelType w:val="hybridMultilevel"/>
    <w:tmpl w:val="E0D4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D22A8E"/>
    <w:multiLevelType w:val="hybridMultilevel"/>
    <w:tmpl w:val="BAC6B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E81904"/>
    <w:multiLevelType w:val="hybridMultilevel"/>
    <w:tmpl w:val="BF1C4ACC"/>
    <w:lvl w:ilvl="0" w:tplc="C2DACFFE">
      <w:start w:val="1"/>
      <w:numFmt w:val="decimal"/>
      <w:lvlText w:val="%1."/>
      <w:lvlJc w:val="left"/>
      <w:pPr>
        <w:ind w:left="720" w:hanging="360"/>
      </w:pPr>
      <w:rPr>
        <w:rFonts w:ascii="Times New Roman" w:eastAsia="SymbolMT"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7E"/>
    <w:rsid w:val="00007061"/>
    <w:rsid w:val="0002294D"/>
    <w:rsid w:val="00046B8B"/>
    <w:rsid w:val="00053543"/>
    <w:rsid w:val="00077536"/>
    <w:rsid w:val="000B0325"/>
    <w:rsid w:val="000B0BEF"/>
    <w:rsid w:val="000B377E"/>
    <w:rsid w:val="000E60EC"/>
    <w:rsid w:val="000E7321"/>
    <w:rsid w:val="000F430E"/>
    <w:rsid w:val="00103962"/>
    <w:rsid w:val="00112E54"/>
    <w:rsid w:val="001137D3"/>
    <w:rsid w:val="0011416E"/>
    <w:rsid w:val="00124C5A"/>
    <w:rsid w:val="00133069"/>
    <w:rsid w:val="00150AA2"/>
    <w:rsid w:val="00162F29"/>
    <w:rsid w:val="00164A1B"/>
    <w:rsid w:val="00164B3D"/>
    <w:rsid w:val="001661C2"/>
    <w:rsid w:val="00173CB1"/>
    <w:rsid w:val="00176E8F"/>
    <w:rsid w:val="00181977"/>
    <w:rsid w:val="00181C14"/>
    <w:rsid w:val="001A4461"/>
    <w:rsid w:val="001A542E"/>
    <w:rsid w:val="001B1052"/>
    <w:rsid w:val="001B551E"/>
    <w:rsid w:val="001E4EB4"/>
    <w:rsid w:val="001F15F5"/>
    <w:rsid w:val="001F450B"/>
    <w:rsid w:val="00213598"/>
    <w:rsid w:val="00224482"/>
    <w:rsid w:val="0023452C"/>
    <w:rsid w:val="002503B9"/>
    <w:rsid w:val="0025770B"/>
    <w:rsid w:val="00263769"/>
    <w:rsid w:val="002654EF"/>
    <w:rsid w:val="00276D38"/>
    <w:rsid w:val="00280918"/>
    <w:rsid w:val="002936B8"/>
    <w:rsid w:val="002A0893"/>
    <w:rsid w:val="002D7351"/>
    <w:rsid w:val="002E03BE"/>
    <w:rsid w:val="002E273C"/>
    <w:rsid w:val="002E2862"/>
    <w:rsid w:val="00302A18"/>
    <w:rsid w:val="0033416F"/>
    <w:rsid w:val="0034080F"/>
    <w:rsid w:val="00341EAD"/>
    <w:rsid w:val="0034611D"/>
    <w:rsid w:val="00364357"/>
    <w:rsid w:val="003672AE"/>
    <w:rsid w:val="003873C8"/>
    <w:rsid w:val="00392B53"/>
    <w:rsid w:val="003A7A85"/>
    <w:rsid w:val="003B3E4F"/>
    <w:rsid w:val="003B56DD"/>
    <w:rsid w:val="003B7F37"/>
    <w:rsid w:val="003C1FAC"/>
    <w:rsid w:val="003E71D3"/>
    <w:rsid w:val="003F29EC"/>
    <w:rsid w:val="003F590C"/>
    <w:rsid w:val="003F59FF"/>
    <w:rsid w:val="003F5F13"/>
    <w:rsid w:val="00417B28"/>
    <w:rsid w:val="004259AD"/>
    <w:rsid w:val="0044052B"/>
    <w:rsid w:val="004412F0"/>
    <w:rsid w:val="00462EEB"/>
    <w:rsid w:val="00462F48"/>
    <w:rsid w:val="00477D2C"/>
    <w:rsid w:val="00483D5B"/>
    <w:rsid w:val="00486FE7"/>
    <w:rsid w:val="004B28CE"/>
    <w:rsid w:val="004C638B"/>
    <w:rsid w:val="004D6A00"/>
    <w:rsid w:val="004F0862"/>
    <w:rsid w:val="004F7058"/>
    <w:rsid w:val="00520F92"/>
    <w:rsid w:val="0052314F"/>
    <w:rsid w:val="005325B3"/>
    <w:rsid w:val="005345AF"/>
    <w:rsid w:val="0055725A"/>
    <w:rsid w:val="005700BF"/>
    <w:rsid w:val="00570AA3"/>
    <w:rsid w:val="00573CBC"/>
    <w:rsid w:val="00576898"/>
    <w:rsid w:val="0058480F"/>
    <w:rsid w:val="00585B59"/>
    <w:rsid w:val="005B2D8F"/>
    <w:rsid w:val="005B34B2"/>
    <w:rsid w:val="005D477D"/>
    <w:rsid w:val="005F720E"/>
    <w:rsid w:val="00602D84"/>
    <w:rsid w:val="00602F9C"/>
    <w:rsid w:val="00605CC5"/>
    <w:rsid w:val="0062720E"/>
    <w:rsid w:val="00635F80"/>
    <w:rsid w:val="0063714D"/>
    <w:rsid w:val="006460EA"/>
    <w:rsid w:val="006546FA"/>
    <w:rsid w:val="00654EFC"/>
    <w:rsid w:val="00674A4F"/>
    <w:rsid w:val="0067763B"/>
    <w:rsid w:val="0068372F"/>
    <w:rsid w:val="006839DB"/>
    <w:rsid w:val="00693B17"/>
    <w:rsid w:val="006A1FD6"/>
    <w:rsid w:val="006C3259"/>
    <w:rsid w:val="006C6442"/>
    <w:rsid w:val="006D5C88"/>
    <w:rsid w:val="006E3353"/>
    <w:rsid w:val="006F15B4"/>
    <w:rsid w:val="006F30F3"/>
    <w:rsid w:val="007103DA"/>
    <w:rsid w:val="00720E12"/>
    <w:rsid w:val="0072179F"/>
    <w:rsid w:val="007543DA"/>
    <w:rsid w:val="00754C25"/>
    <w:rsid w:val="007568C9"/>
    <w:rsid w:val="00774F70"/>
    <w:rsid w:val="00776931"/>
    <w:rsid w:val="0078795A"/>
    <w:rsid w:val="00792F5B"/>
    <w:rsid w:val="007A5D40"/>
    <w:rsid w:val="007B0B98"/>
    <w:rsid w:val="007C6EBE"/>
    <w:rsid w:val="007C7AA9"/>
    <w:rsid w:val="007D05FF"/>
    <w:rsid w:val="007D762E"/>
    <w:rsid w:val="007E28C9"/>
    <w:rsid w:val="007E7475"/>
    <w:rsid w:val="007F55A6"/>
    <w:rsid w:val="00820AA4"/>
    <w:rsid w:val="00822E38"/>
    <w:rsid w:val="00832C7E"/>
    <w:rsid w:val="008347F1"/>
    <w:rsid w:val="00834900"/>
    <w:rsid w:val="00840078"/>
    <w:rsid w:val="008503E1"/>
    <w:rsid w:val="00890C25"/>
    <w:rsid w:val="008A6480"/>
    <w:rsid w:val="008B1110"/>
    <w:rsid w:val="008B16C5"/>
    <w:rsid w:val="008B52B3"/>
    <w:rsid w:val="008C7AEB"/>
    <w:rsid w:val="008D4CA8"/>
    <w:rsid w:val="008D584B"/>
    <w:rsid w:val="008D7AA0"/>
    <w:rsid w:val="008E2CF4"/>
    <w:rsid w:val="008E787A"/>
    <w:rsid w:val="00916FCA"/>
    <w:rsid w:val="00920C71"/>
    <w:rsid w:val="00923A91"/>
    <w:rsid w:val="00966C1A"/>
    <w:rsid w:val="00970066"/>
    <w:rsid w:val="00970144"/>
    <w:rsid w:val="00973907"/>
    <w:rsid w:val="00976D4E"/>
    <w:rsid w:val="00987FE9"/>
    <w:rsid w:val="009B40B0"/>
    <w:rsid w:val="009C6AF7"/>
    <w:rsid w:val="009C7CDB"/>
    <w:rsid w:val="009D7260"/>
    <w:rsid w:val="009E1289"/>
    <w:rsid w:val="009E6D75"/>
    <w:rsid w:val="009F2BC7"/>
    <w:rsid w:val="009F4264"/>
    <w:rsid w:val="009F591C"/>
    <w:rsid w:val="00A070A8"/>
    <w:rsid w:val="00A12D30"/>
    <w:rsid w:val="00A15276"/>
    <w:rsid w:val="00A226E5"/>
    <w:rsid w:val="00A231CB"/>
    <w:rsid w:val="00A33498"/>
    <w:rsid w:val="00A470E3"/>
    <w:rsid w:val="00A7105E"/>
    <w:rsid w:val="00A72762"/>
    <w:rsid w:val="00AB15D9"/>
    <w:rsid w:val="00AB78E8"/>
    <w:rsid w:val="00AC2D99"/>
    <w:rsid w:val="00AC7476"/>
    <w:rsid w:val="00AE3D10"/>
    <w:rsid w:val="00AF2C8E"/>
    <w:rsid w:val="00B663CE"/>
    <w:rsid w:val="00B66C40"/>
    <w:rsid w:val="00B70BD4"/>
    <w:rsid w:val="00B8739D"/>
    <w:rsid w:val="00B95C01"/>
    <w:rsid w:val="00BA1C64"/>
    <w:rsid w:val="00BA2AF8"/>
    <w:rsid w:val="00BB00E6"/>
    <w:rsid w:val="00BB100C"/>
    <w:rsid w:val="00BB5CFF"/>
    <w:rsid w:val="00BC1D20"/>
    <w:rsid w:val="00BD0E3A"/>
    <w:rsid w:val="00BD3660"/>
    <w:rsid w:val="00BE5C7D"/>
    <w:rsid w:val="00BE7E69"/>
    <w:rsid w:val="00C00C4A"/>
    <w:rsid w:val="00C00ED6"/>
    <w:rsid w:val="00C11E1A"/>
    <w:rsid w:val="00C159D1"/>
    <w:rsid w:val="00C17071"/>
    <w:rsid w:val="00C27C64"/>
    <w:rsid w:val="00C4138E"/>
    <w:rsid w:val="00C47492"/>
    <w:rsid w:val="00C6781B"/>
    <w:rsid w:val="00C73288"/>
    <w:rsid w:val="00C73BAE"/>
    <w:rsid w:val="00C75F02"/>
    <w:rsid w:val="00C77839"/>
    <w:rsid w:val="00C95A84"/>
    <w:rsid w:val="00CB2299"/>
    <w:rsid w:val="00CC20FB"/>
    <w:rsid w:val="00CD0F3E"/>
    <w:rsid w:val="00CD3C1E"/>
    <w:rsid w:val="00CE1AD6"/>
    <w:rsid w:val="00CE2743"/>
    <w:rsid w:val="00CF106A"/>
    <w:rsid w:val="00CF5CC5"/>
    <w:rsid w:val="00D00C56"/>
    <w:rsid w:val="00D030AA"/>
    <w:rsid w:val="00D24D3A"/>
    <w:rsid w:val="00D330B4"/>
    <w:rsid w:val="00D37882"/>
    <w:rsid w:val="00D4508F"/>
    <w:rsid w:val="00D511E9"/>
    <w:rsid w:val="00D52330"/>
    <w:rsid w:val="00D55CEF"/>
    <w:rsid w:val="00D57405"/>
    <w:rsid w:val="00D84780"/>
    <w:rsid w:val="00D91CF8"/>
    <w:rsid w:val="00DB456A"/>
    <w:rsid w:val="00DC48C0"/>
    <w:rsid w:val="00DC7164"/>
    <w:rsid w:val="00DD10BC"/>
    <w:rsid w:val="00DD3871"/>
    <w:rsid w:val="00DE10BA"/>
    <w:rsid w:val="00DF210C"/>
    <w:rsid w:val="00E1494F"/>
    <w:rsid w:val="00E20B15"/>
    <w:rsid w:val="00E21E21"/>
    <w:rsid w:val="00E57842"/>
    <w:rsid w:val="00EA1BE7"/>
    <w:rsid w:val="00EB4359"/>
    <w:rsid w:val="00EB56AB"/>
    <w:rsid w:val="00EB7D35"/>
    <w:rsid w:val="00EC6386"/>
    <w:rsid w:val="00EE1405"/>
    <w:rsid w:val="00EE3D47"/>
    <w:rsid w:val="00EE7011"/>
    <w:rsid w:val="00EF613A"/>
    <w:rsid w:val="00F238D7"/>
    <w:rsid w:val="00F50669"/>
    <w:rsid w:val="00F5066E"/>
    <w:rsid w:val="00F654AD"/>
    <w:rsid w:val="00F77AA1"/>
    <w:rsid w:val="00FA117B"/>
    <w:rsid w:val="00FB4FFD"/>
    <w:rsid w:val="00FD7C62"/>
    <w:rsid w:val="00FE1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1A5A"/>
  <w15:chartTrackingRefBased/>
  <w15:docId w15:val="{95262996-4555-4718-AE81-F7FAFD42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B8"/>
    <w:rPr>
      <w:rFonts w:ascii="Calibri" w:eastAsia="SimSun" w:hAnsi="Calibri" w:cs="Times New Roman"/>
      <w:lang w:eastAsia="zh-CN"/>
    </w:rPr>
  </w:style>
  <w:style w:type="paragraph" w:styleId="Heading1">
    <w:name w:val="heading 1"/>
    <w:basedOn w:val="Normal"/>
    <w:next w:val="Normal"/>
    <w:link w:val="Heading1Char"/>
    <w:uiPriority w:val="9"/>
    <w:qFormat/>
    <w:rsid w:val="000B377E"/>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377E"/>
    <w:pPr>
      <w:tabs>
        <w:tab w:val="center" w:pos="4513"/>
        <w:tab w:val="right" w:pos="9026"/>
      </w:tabs>
      <w:spacing w:after="0" w:line="240" w:lineRule="auto"/>
    </w:pPr>
    <w:rPr>
      <w:rFonts w:ascii="Arial" w:hAnsi="Arial"/>
      <w:sz w:val="20"/>
    </w:rPr>
  </w:style>
  <w:style w:type="character" w:customStyle="1" w:styleId="HeaderChar">
    <w:name w:val="Header Char"/>
    <w:basedOn w:val="DefaultParagraphFont"/>
    <w:link w:val="Header"/>
    <w:rsid w:val="000B377E"/>
    <w:rPr>
      <w:rFonts w:ascii="Arial" w:eastAsia="SimSun" w:hAnsi="Arial" w:cs="Times New Roman"/>
      <w:sz w:val="20"/>
      <w:lang w:eastAsia="zh-CN"/>
    </w:rPr>
  </w:style>
  <w:style w:type="paragraph" w:customStyle="1" w:styleId="MainHeading">
    <w:name w:val="Main Heading"/>
    <w:basedOn w:val="Normal"/>
    <w:qFormat/>
    <w:rsid w:val="000B377E"/>
    <w:pPr>
      <w:spacing w:after="0" w:line="240" w:lineRule="auto"/>
      <w:mirrorIndents/>
    </w:pPr>
    <w:rPr>
      <w:rFonts w:ascii="Arial" w:hAnsi="Arial" w:cs="Arial"/>
      <w:b/>
      <w:sz w:val="44"/>
      <w:szCs w:val="60"/>
    </w:rPr>
  </w:style>
  <w:style w:type="paragraph" w:customStyle="1" w:styleId="ActiveIngredientName">
    <w:name w:val="Active Ingredient Name"/>
    <w:basedOn w:val="Normal"/>
    <w:qFormat/>
    <w:rsid w:val="000B377E"/>
    <w:pPr>
      <w:pBdr>
        <w:bottom w:val="single" w:sz="4" w:space="1" w:color="auto"/>
      </w:pBdr>
      <w:spacing w:after="0" w:line="240" w:lineRule="auto"/>
      <w:mirrorIndents/>
    </w:pPr>
    <w:rPr>
      <w:rFonts w:ascii="Arial" w:hAnsi="Arial" w:cs="Arial"/>
      <w:i/>
      <w:sz w:val="20"/>
      <w:szCs w:val="20"/>
    </w:rPr>
  </w:style>
  <w:style w:type="paragraph" w:customStyle="1" w:styleId="SubjectHeading">
    <w:name w:val="Subject Heading"/>
    <w:basedOn w:val="Normal"/>
    <w:qFormat/>
    <w:rsid w:val="000B377E"/>
    <w:pPr>
      <w:keepNext/>
      <w:snapToGrid w:val="0"/>
      <w:spacing w:before="360" w:after="120" w:line="360" w:lineRule="auto"/>
      <w:mirrorIndents/>
    </w:pPr>
    <w:rPr>
      <w:rFonts w:ascii="Arial" w:hAnsi="Arial" w:cs="Arial"/>
      <w:b/>
      <w:caps/>
      <w:sz w:val="28"/>
      <w:szCs w:val="28"/>
    </w:rPr>
  </w:style>
  <w:style w:type="paragraph" w:customStyle="1" w:styleId="Bodyofcontents">
    <w:name w:val="Body of contents"/>
    <w:basedOn w:val="Normal"/>
    <w:qFormat/>
    <w:rsid w:val="000B377E"/>
    <w:pPr>
      <w:spacing w:after="240" w:line="240" w:lineRule="auto"/>
      <w:mirrorIndents/>
      <w:jc w:val="both"/>
    </w:pPr>
    <w:rPr>
      <w:rFonts w:ascii="Times New Roman" w:hAnsi="Times New Roman"/>
      <w:szCs w:val="28"/>
    </w:rPr>
  </w:style>
  <w:style w:type="paragraph" w:customStyle="1" w:styleId="Bodydot">
    <w:name w:val="Body dot"/>
    <w:basedOn w:val="Normal"/>
    <w:qFormat/>
    <w:rsid w:val="000B377E"/>
    <w:pPr>
      <w:numPr>
        <w:numId w:val="2"/>
      </w:numPr>
      <w:adjustRightInd w:val="0"/>
      <w:spacing w:after="240" w:line="240" w:lineRule="auto"/>
      <w:contextualSpacing/>
    </w:pPr>
    <w:rPr>
      <w:rFonts w:ascii="Times New Roman" w:hAnsi="Times New Roman"/>
      <w:szCs w:val="28"/>
    </w:rPr>
  </w:style>
  <w:style w:type="paragraph" w:customStyle="1" w:styleId="Subheading1">
    <w:name w:val="Subheading 1"/>
    <w:basedOn w:val="Normal"/>
    <w:qFormat/>
    <w:rsid w:val="000B377E"/>
    <w:pPr>
      <w:keepNext/>
      <w:spacing w:after="240" w:line="240" w:lineRule="auto"/>
      <w:mirrorIndents/>
    </w:pPr>
    <w:rPr>
      <w:rFonts w:ascii="Arial" w:hAnsi="Arial" w:cs="Arial"/>
      <w:b/>
      <w:szCs w:val="28"/>
    </w:rPr>
  </w:style>
  <w:style w:type="paragraph" w:customStyle="1" w:styleId="TableHeading">
    <w:name w:val="Table Heading"/>
    <w:basedOn w:val="Normal"/>
    <w:qFormat/>
    <w:rsid w:val="000B377E"/>
    <w:pPr>
      <w:autoSpaceDE w:val="0"/>
      <w:autoSpaceDN w:val="0"/>
      <w:adjustRightInd w:val="0"/>
      <w:spacing w:after="0" w:line="240" w:lineRule="auto"/>
    </w:pPr>
    <w:rPr>
      <w:rFonts w:ascii="Times New Roman" w:eastAsia="Times New Roman" w:hAnsi="Times New Roman"/>
      <w:b/>
      <w:sz w:val="20"/>
      <w:szCs w:val="20"/>
      <w:lang w:val="en-US"/>
    </w:rPr>
  </w:style>
  <w:style w:type="paragraph" w:customStyle="1" w:styleId="TableBody">
    <w:name w:val="Table Body"/>
    <w:basedOn w:val="Normal"/>
    <w:qFormat/>
    <w:rsid w:val="000B377E"/>
    <w:pPr>
      <w:autoSpaceDE w:val="0"/>
      <w:autoSpaceDN w:val="0"/>
      <w:adjustRightInd w:val="0"/>
      <w:spacing w:after="0" w:line="240" w:lineRule="auto"/>
    </w:pPr>
    <w:rPr>
      <w:rFonts w:ascii="Times New Roman" w:eastAsia="Times New Roman" w:hAnsi="Times New Roman"/>
      <w:sz w:val="20"/>
      <w:szCs w:val="20"/>
      <w:lang w:val="en-US"/>
    </w:rPr>
  </w:style>
  <w:style w:type="paragraph" w:customStyle="1" w:styleId="Subheading2">
    <w:name w:val="Subheading 2"/>
    <w:basedOn w:val="Normal"/>
    <w:qFormat/>
    <w:rsid w:val="000B377E"/>
    <w:pPr>
      <w:keepNext/>
      <w:spacing w:after="240" w:line="240" w:lineRule="auto"/>
      <w:mirrorIndents/>
    </w:pPr>
    <w:rPr>
      <w:rFonts w:ascii="Times New Roman" w:hAnsi="Times New Roman"/>
      <w:b/>
      <w:szCs w:val="28"/>
    </w:rPr>
  </w:style>
  <w:style w:type="paragraph" w:customStyle="1" w:styleId="Bodynum">
    <w:name w:val="Body num"/>
    <w:basedOn w:val="Bodydot"/>
    <w:qFormat/>
    <w:rsid w:val="000B377E"/>
    <w:pPr>
      <w:numPr>
        <w:numId w:val="0"/>
      </w:numPr>
      <w:ind w:left="714" w:hanging="357"/>
    </w:pPr>
  </w:style>
  <w:style w:type="paragraph" w:customStyle="1" w:styleId="TableTitle">
    <w:name w:val="Table Title"/>
    <w:basedOn w:val="Bodyofcontents"/>
    <w:qFormat/>
    <w:rsid w:val="000B377E"/>
    <w:pPr>
      <w:spacing w:after="0"/>
    </w:pPr>
    <w:rPr>
      <w:b/>
    </w:rPr>
  </w:style>
  <w:style w:type="paragraph" w:customStyle="1" w:styleId="Subheading3">
    <w:name w:val="Subheading 3"/>
    <w:basedOn w:val="Subheading2"/>
    <w:autoRedefine/>
    <w:qFormat/>
    <w:rsid w:val="002654EF"/>
    <w:pPr>
      <w:spacing w:after="120"/>
    </w:pPr>
    <w:rPr>
      <w:b w:val="0"/>
      <w:u w:val="single"/>
    </w:rPr>
  </w:style>
  <w:style w:type="paragraph" w:styleId="BalloonText">
    <w:name w:val="Balloon Text"/>
    <w:basedOn w:val="Normal"/>
    <w:link w:val="BalloonTextChar"/>
    <w:uiPriority w:val="99"/>
    <w:semiHidden/>
    <w:unhideWhenUsed/>
    <w:rsid w:val="000B3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7E"/>
    <w:rPr>
      <w:rFonts w:ascii="Segoe UI" w:eastAsia="SimSun" w:hAnsi="Segoe UI" w:cs="Segoe UI"/>
      <w:sz w:val="18"/>
      <w:szCs w:val="18"/>
      <w:lang w:eastAsia="zh-CN"/>
    </w:rPr>
  </w:style>
  <w:style w:type="character" w:styleId="CommentReference">
    <w:name w:val="annotation reference"/>
    <w:uiPriority w:val="99"/>
    <w:semiHidden/>
    <w:unhideWhenUsed/>
    <w:rsid w:val="000B377E"/>
    <w:rPr>
      <w:sz w:val="16"/>
      <w:szCs w:val="16"/>
    </w:rPr>
  </w:style>
  <w:style w:type="paragraph" w:styleId="CommentText">
    <w:name w:val="annotation text"/>
    <w:basedOn w:val="Normal"/>
    <w:link w:val="CommentTextChar"/>
    <w:uiPriority w:val="99"/>
    <w:semiHidden/>
    <w:unhideWhenUsed/>
    <w:rsid w:val="000B377E"/>
    <w:pPr>
      <w:spacing w:line="240" w:lineRule="auto"/>
    </w:pPr>
    <w:rPr>
      <w:sz w:val="20"/>
      <w:szCs w:val="20"/>
    </w:rPr>
  </w:style>
  <w:style w:type="character" w:customStyle="1" w:styleId="CommentTextChar">
    <w:name w:val="Comment Text Char"/>
    <w:basedOn w:val="DefaultParagraphFont"/>
    <w:link w:val="CommentText"/>
    <w:uiPriority w:val="99"/>
    <w:semiHidden/>
    <w:rsid w:val="000B377E"/>
    <w:rPr>
      <w:rFonts w:ascii="Calibri" w:eastAsia="SimSun" w:hAnsi="Calibri" w:cs="Times New Roman"/>
      <w:sz w:val="20"/>
      <w:szCs w:val="20"/>
      <w:lang w:eastAsia="zh-CN"/>
    </w:rPr>
  </w:style>
  <w:style w:type="paragraph" w:customStyle="1" w:styleId="DocumentName">
    <w:name w:val="Document Name"/>
    <w:basedOn w:val="Normal"/>
    <w:qFormat/>
    <w:rsid w:val="000B377E"/>
    <w:pPr>
      <w:spacing w:after="0" w:line="240" w:lineRule="auto"/>
      <w:mirrorIndents/>
    </w:pPr>
    <w:rPr>
      <w:rFonts w:ascii="Arial" w:hAnsi="Arial" w:cs="Arial"/>
      <w:b/>
      <w:caps/>
      <w:sz w:val="28"/>
      <w:szCs w:val="26"/>
    </w:rPr>
  </w:style>
  <w:style w:type="paragraph" w:styleId="Footer">
    <w:name w:val="footer"/>
    <w:basedOn w:val="Normal"/>
    <w:link w:val="FooterChar"/>
    <w:uiPriority w:val="99"/>
    <w:unhideWhenUsed/>
    <w:rsid w:val="000B3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77E"/>
    <w:rPr>
      <w:rFonts w:ascii="Calibri" w:eastAsia="SimSun" w:hAnsi="Calibri" w:cs="Times New Roman"/>
      <w:lang w:eastAsia="zh-CN"/>
    </w:rPr>
  </w:style>
  <w:style w:type="paragraph" w:customStyle="1" w:styleId="headerPI">
    <w:name w:val="header PI"/>
    <w:basedOn w:val="Header"/>
    <w:link w:val="headerPIChar"/>
    <w:qFormat/>
    <w:rsid w:val="000B377E"/>
    <w:pPr>
      <w:pBdr>
        <w:bottom w:val="single" w:sz="4" w:space="1" w:color="auto"/>
      </w:pBdr>
    </w:pPr>
  </w:style>
  <w:style w:type="character" w:customStyle="1" w:styleId="headerPIChar">
    <w:name w:val="header PI Char"/>
    <w:basedOn w:val="HeaderChar"/>
    <w:link w:val="headerPI"/>
    <w:rsid w:val="000B377E"/>
    <w:rPr>
      <w:rFonts w:ascii="Arial" w:eastAsia="SimSun" w:hAnsi="Arial" w:cs="Times New Roman"/>
      <w:sz w:val="20"/>
      <w:lang w:eastAsia="zh-CN"/>
    </w:rPr>
  </w:style>
  <w:style w:type="character" w:customStyle="1" w:styleId="Heading1Char">
    <w:name w:val="Heading 1 Char"/>
    <w:link w:val="Heading1"/>
    <w:uiPriority w:val="9"/>
    <w:rsid w:val="000B377E"/>
    <w:rPr>
      <w:rFonts w:ascii="Calibri Light" w:eastAsia="SimSun" w:hAnsi="Calibri Light" w:cs="Times New Roman"/>
      <w:color w:val="2E74B5"/>
      <w:sz w:val="32"/>
      <w:szCs w:val="32"/>
      <w:lang w:eastAsia="zh-CN"/>
    </w:rPr>
  </w:style>
  <w:style w:type="character" w:styleId="Hyperlink">
    <w:name w:val="Hyperlink"/>
    <w:uiPriority w:val="99"/>
    <w:rsid w:val="000B377E"/>
    <w:rPr>
      <w:color w:val="0000FF"/>
      <w:u w:val="single"/>
    </w:rPr>
  </w:style>
  <w:style w:type="paragraph" w:customStyle="1" w:styleId="In-housecoding">
    <w:name w:val="In-house coding"/>
    <w:basedOn w:val="Normal"/>
    <w:qFormat/>
    <w:rsid w:val="000B377E"/>
    <w:pPr>
      <w:spacing w:after="240" w:line="240" w:lineRule="auto"/>
      <w:mirrorIndents/>
    </w:pPr>
    <w:rPr>
      <w:rFonts w:ascii="Times New Roman" w:hAnsi="Times New Roman"/>
      <w:b/>
      <w:sz w:val="20"/>
      <w:szCs w:val="28"/>
    </w:rPr>
  </w:style>
  <w:style w:type="table" w:styleId="TableGrid">
    <w:name w:val="Table Grid"/>
    <w:basedOn w:val="TableNormal"/>
    <w:uiPriority w:val="59"/>
    <w:rsid w:val="0069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C01"/>
    <w:pPr>
      <w:autoSpaceDE w:val="0"/>
      <w:autoSpaceDN w:val="0"/>
      <w:adjustRightInd w:val="0"/>
      <w:spacing w:after="0" w:line="240" w:lineRule="auto"/>
    </w:pPr>
    <w:rPr>
      <w:rFonts w:ascii="Cambria Math" w:hAnsi="Cambria Math" w:cs="Cambria Math"/>
      <w:color w:val="000000"/>
      <w:sz w:val="24"/>
      <w:szCs w:val="24"/>
    </w:rPr>
  </w:style>
  <w:style w:type="paragraph" w:styleId="FootnoteText">
    <w:name w:val="footnote text"/>
    <w:basedOn w:val="Normal"/>
    <w:link w:val="FootnoteTextChar"/>
    <w:uiPriority w:val="99"/>
    <w:semiHidden/>
    <w:unhideWhenUsed/>
    <w:rsid w:val="00EF6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13A"/>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EF613A"/>
    <w:rPr>
      <w:vertAlign w:val="superscript"/>
    </w:rPr>
  </w:style>
  <w:style w:type="paragraph" w:styleId="CommentSubject">
    <w:name w:val="annotation subject"/>
    <w:basedOn w:val="CommentText"/>
    <w:next w:val="CommentText"/>
    <w:link w:val="CommentSubjectChar"/>
    <w:uiPriority w:val="99"/>
    <w:semiHidden/>
    <w:unhideWhenUsed/>
    <w:rsid w:val="00EB56AB"/>
    <w:rPr>
      <w:b/>
      <w:bCs/>
    </w:rPr>
  </w:style>
  <w:style w:type="character" w:customStyle="1" w:styleId="CommentSubjectChar">
    <w:name w:val="Comment Subject Char"/>
    <w:basedOn w:val="CommentTextChar"/>
    <w:link w:val="CommentSubject"/>
    <w:uiPriority w:val="99"/>
    <w:semiHidden/>
    <w:rsid w:val="00EB56AB"/>
    <w:rPr>
      <w:rFonts w:ascii="Calibri" w:eastAsia="SimSun" w:hAnsi="Calibri" w:cs="Times New Roman"/>
      <w:b/>
      <w:bCs/>
      <w:sz w:val="20"/>
      <w:szCs w:val="20"/>
      <w:lang w:eastAsia="zh-CN"/>
    </w:rPr>
  </w:style>
  <w:style w:type="paragraph" w:styleId="BodyText">
    <w:name w:val="Body Text"/>
    <w:basedOn w:val="Normal"/>
    <w:link w:val="BodyTextChar"/>
    <w:uiPriority w:val="1"/>
    <w:qFormat/>
    <w:rsid w:val="00C17071"/>
    <w:pPr>
      <w:widowControl w:val="0"/>
      <w:autoSpaceDE w:val="0"/>
      <w:autoSpaceDN w:val="0"/>
      <w:spacing w:after="0" w:line="240" w:lineRule="auto"/>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1"/>
    <w:rsid w:val="00C17071"/>
    <w:rPr>
      <w:rFonts w:ascii="Times New Roman" w:eastAsia="Times New Roman" w:hAnsi="Times New Roman" w:cs="Times New Roman"/>
      <w:lang w:val="en-US"/>
    </w:rPr>
  </w:style>
  <w:style w:type="character" w:styleId="Strong">
    <w:name w:val="Strong"/>
    <w:basedOn w:val="DefaultParagraphFont"/>
    <w:uiPriority w:val="22"/>
    <w:qFormat/>
    <w:rsid w:val="00265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27F9-93D4-4E09-8106-3B294A18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13276</Words>
  <Characters>75675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AusPAR Attachment 1: Product Information for </vt:lpstr>
    </vt:vector>
  </TitlesOfParts>
  <Company/>
  <LinksUpToDate>false</LinksUpToDate>
  <CharactersWithSpaces>88774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Trastuzumab</dc:title>
  <dc:subject>prescription medicines</dc:subject>
  <dc:creator>Alphapharm</dc:creator>
  <cp:keywords>AusPARs</cp:keywords>
  <dc:description/>
  <cp:lastPrinted>2018-12-14T01:53:00Z</cp:lastPrinted>
  <dcterms:created xsi:type="dcterms:W3CDTF">2020-03-18T07:02:00Z</dcterms:created>
  <dcterms:modified xsi:type="dcterms:W3CDTF">2020-03-20T01:37:00Z</dcterms:modified>
</cp:coreProperties>
</file>