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9AD" w:rsidRPr="00A616C3" w:rsidRDefault="008A59AD" w:rsidP="008A59AD">
      <w:pPr>
        <w:pStyle w:val="Heading2"/>
      </w:pPr>
      <w:r w:rsidRPr="00A616C3">
        <w:t>NAME OF THE MEDICINE</w:t>
      </w:r>
    </w:p>
    <w:p w:rsidR="00932086" w:rsidRPr="00A616C3" w:rsidRDefault="00932086">
      <w:pPr>
        <w:pStyle w:val="Heading1"/>
      </w:pPr>
      <w:r w:rsidRPr="00A616C3">
        <w:t>HERCEPTIN</w:t>
      </w:r>
      <w:r w:rsidRPr="00A616C3">
        <w:rPr>
          <w:vertAlign w:val="superscript"/>
        </w:rPr>
        <w:t>®</w:t>
      </w:r>
      <w:r w:rsidR="00A14D57" w:rsidRPr="00A616C3">
        <w:t xml:space="preserve"> SC</w:t>
      </w:r>
    </w:p>
    <w:p w:rsidR="00932086" w:rsidRPr="004656BD" w:rsidRDefault="00464404" w:rsidP="004656BD">
      <w:pPr>
        <w:rPr>
          <w:i/>
        </w:rPr>
      </w:pPr>
      <w:proofErr w:type="spellStart"/>
      <w:proofErr w:type="gramStart"/>
      <w:r w:rsidRPr="004656BD">
        <w:rPr>
          <w:i/>
        </w:rPr>
        <w:t>t</w:t>
      </w:r>
      <w:r w:rsidR="00932086" w:rsidRPr="004656BD">
        <w:rPr>
          <w:i/>
        </w:rPr>
        <w:t>rastuzumab</w:t>
      </w:r>
      <w:proofErr w:type="spellEnd"/>
      <w:proofErr w:type="gramEnd"/>
      <w:r w:rsidR="00C17341" w:rsidRPr="004656BD">
        <w:rPr>
          <w:i/>
        </w:rPr>
        <w:t xml:space="preserve"> (</w:t>
      </w:r>
      <w:proofErr w:type="spellStart"/>
      <w:r w:rsidR="00C17341" w:rsidRPr="004656BD">
        <w:rPr>
          <w:i/>
        </w:rPr>
        <w:t>rch</w:t>
      </w:r>
      <w:proofErr w:type="spellEnd"/>
      <w:r w:rsidR="00C17341" w:rsidRPr="004656BD">
        <w:rPr>
          <w:i/>
        </w:rPr>
        <w:t>)</w:t>
      </w:r>
    </w:p>
    <w:p w:rsidR="00C17341" w:rsidRDefault="00A9443E" w:rsidP="00C17341">
      <w:pPr>
        <w:pStyle w:val="CASNumber"/>
        <w:rPr>
          <w:b/>
          <w:i w:val="0"/>
          <w:sz w:val="24"/>
          <w:szCs w:val="24"/>
        </w:rPr>
      </w:pPr>
      <w:r w:rsidRPr="00A616C3">
        <w:rPr>
          <w:b/>
          <w:i w:val="0"/>
          <w:sz w:val="24"/>
          <w:szCs w:val="24"/>
        </w:rPr>
        <w:t>Solution for subcutaneous (SC) injection</w:t>
      </w:r>
    </w:p>
    <w:p w:rsidR="00932086" w:rsidRPr="00A616C3" w:rsidRDefault="00932086">
      <w:pPr>
        <w:pStyle w:val="CASNumber"/>
        <w:rPr>
          <w:i w:val="0"/>
        </w:rPr>
      </w:pPr>
      <w:r w:rsidRPr="00A616C3">
        <w:rPr>
          <w:i w:val="0"/>
        </w:rPr>
        <w:t>CAS-180288-69-1</w:t>
      </w:r>
    </w:p>
    <w:p w:rsidR="00BD0066" w:rsidRPr="00A616C3" w:rsidRDefault="00BD0066" w:rsidP="00657070">
      <w:r w:rsidRPr="00A616C3">
        <w:t>HERCEPTIN (</w:t>
      </w:r>
      <w:proofErr w:type="spellStart"/>
      <w:r w:rsidRPr="00A616C3">
        <w:t>trastuzumab</w:t>
      </w:r>
      <w:proofErr w:type="spellEnd"/>
      <w:r w:rsidRPr="00A616C3">
        <w:t>) is a recombinant DNA</w:t>
      </w:r>
      <w:r w:rsidRPr="00A616C3">
        <w:noBreakHyphen/>
        <w:t>derived humani</w:t>
      </w:r>
      <w:r w:rsidR="006A7DE4" w:rsidRPr="00A616C3">
        <w:t>z</w:t>
      </w:r>
      <w:r w:rsidRPr="00A616C3">
        <w:t>ed monoclonal antibody that selectively targets the extracellular domain of the human epidermal growth factor receptor 2 protein (HER2).  The antibody is an IgG</w:t>
      </w:r>
      <w:r w:rsidRPr="00A616C3">
        <w:rPr>
          <w:vertAlign w:val="subscript"/>
        </w:rPr>
        <w:t>1</w:t>
      </w:r>
      <w:r w:rsidRPr="00A616C3">
        <w:t xml:space="preserve"> kappa that contains human framework regions with the complementarity</w:t>
      </w:r>
      <w:r w:rsidRPr="00A616C3">
        <w:noBreakHyphen/>
        <w:t xml:space="preserve">determining regions of a murine anti-p185 HER2 antibody that binds to HER2.  </w:t>
      </w:r>
      <w:proofErr w:type="spellStart"/>
      <w:r w:rsidRPr="00A616C3">
        <w:t>Trastuzumab</w:t>
      </w:r>
      <w:proofErr w:type="spellEnd"/>
      <w:r w:rsidRPr="00A616C3">
        <w:t xml:space="preserve"> is composed of 1,328 amino acids and has a molecular weight of ~148 </w:t>
      </w:r>
      <w:proofErr w:type="spellStart"/>
      <w:r w:rsidRPr="00A616C3">
        <w:t>kDa</w:t>
      </w:r>
      <w:proofErr w:type="spellEnd"/>
      <w:r w:rsidRPr="00A616C3">
        <w:t xml:space="preserve">. </w:t>
      </w:r>
    </w:p>
    <w:p w:rsidR="00BD0066" w:rsidRPr="00A616C3" w:rsidRDefault="00BD0066" w:rsidP="00657070">
      <w:pPr>
        <w:rPr>
          <w:lang w:val="en-GB"/>
        </w:rPr>
      </w:pPr>
      <w:r w:rsidRPr="00A616C3">
        <w:rPr>
          <w:lang w:val="en-GB"/>
        </w:rPr>
        <w:t>The humani</w:t>
      </w:r>
      <w:r w:rsidR="006A7DE4" w:rsidRPr="00A616C3">
        <w:rPr>
          <w:lang w:val="en-GB"/>
        </w:rPr>
        <w:t>z</w:t>
      </w:r>
      <w:r w:rsidRPr="00A616C3">
        <w:rPr>
          <w:lang w:val="en-GB"/>
        </w:rPr>
        <w:t xml:space="preserve">ed antibody against HER2 is </w:t>
      </w:r>
      <w:r w:rsidRPr="00A616C3">
        <w:t>produced by recombinant mammalian cells (Chinese</w:t>
      </w:r>
      <w:r w:rsidRPr="00A616C3">
        <w:rPr>
          <w:lang w:val="en-GB"/>
        </w:rPr>
        <w:t xml:space="preserve"> hamster </w:t>
      </w:r>
      <w:r w:rsidRPr="00A616C3">
        <w:t>ovary (</w:t>
      </w:r>
      <w:proofErr w:type="spellStart"/>
      <w:r w:rsidRPr="00A616C3">
        <w:t>rch</w:t>
      </w:r>
      <w:proofErr w:type="spellEnd"/>
      <w:r w:rsidRPr="00A616C3">
        <w:t>)) in</w:t>
      </w:r>
      <w:r w:rsidRPr="00A616C3">
        <w:rPr>
          <w:lang w:val="en-GB"/>
        </w:rPr>
        <w:t xml:space="preserve"> suspension culture in a nutrient medium and purified by affinity chromatography and ion exchange, including specific viral inactivation and removal procedures.</w:t>
      </w:r>
    </w:p>
    <w:p w:rsidR="00932086" w:rsidRPr="00A616C3" w:rsidRDefault="00F43521">
      <w:pPr>
        <w:pStyle w:val="Heading2"/>
      </w:pPr>
      <w:r w:rsidRPr="00A616C3">
        <w:rPr>
          <w:caps w:val="0"/>
        </w:rPr>
        <w:t>DESCRIPTION</w:t>
      </w:r>
    </w:p>
    <w:p w:rsidR="00574AA2" w:rsidRDefault="00932086" w:rsidP="00657070">
      <w:r w:rsidRPr="00A616C3">
        <w:t>HERCEPTIN</w:t>
      </w:r>
      <w:r w:rsidR="00A9443E" w:rsidRPr="00A616C3">
        <w:t xml:space="preserve"> </w:t>
      </w:r>
      <w:r w:rsidR="00A64BA1" w:rsidRPr="00A616C3">
        <w:t xml:space="preserve">solution for </w:t>
      </w:r>
      <w:r w:rsidR="00A9443E" w:rsidRPr="00A616C3">
        <w:t xml:space="preserve">SC </w:t>
      </w:r>
      <w:r w:rsidR="00A64BA1" w:rsidRPr="00A616C3">
        <w:t xml:space="preserve">injection (HERCEPTIN SC) </w:t>
      </w:r>
      <w:r w:rsidRPr="00A616C3">
        <w:t>is a</w:t>
      </w:r>
      <w:r w:rsidR="00A9443E" w:rsidRPr="00A616C3">
        <w:t xml:space="preserve"> colourless to yellowish, clear to opalescent and</w:t>
      </w:r>
      <w:r w:rsidRPr="00A616C3">
        <w:t xml:space="preserve"> contain</w:t>
      </w:r>
      <w:r w:rsidR="00A9443E" w:rsidRPr="00A616C3">
        <w:t>s</w:t>
      </w:r>
      <w:r w:rsidR="00464404" w:rsidRPr="00A616C3">
        <w:t xml:space="preserve"> </w:t>
      </w:r>
      <w:r w:rsidR="00A9443E" w:rsidRPr="00A616C3">
        <w:t xml:space="preserve">600 mg/5mL </w:t>
      </w:r>
      <w:r w:rsidR="00574AA2" w:rsidRPr="00A616C3">
        <w:t xml:space="preserve">of </w:t>
      </w:r>
      <w:proofErr w:type="spellStart"/>
      <w:r w:rsidR="00464404" w:rsidRPr="00A616C3">
        <w:t>trastuzumab</w:t>
      </w:r>
      <w:proofErr w:type="spellEnd"/>
      <w:r w:rsidR="00A9443E" w:rsidRPr="00A616C3">
        <w:t xml:space="preserve">. The formulation contains </w:t>
      </w:r>
      <w:proofErr w:type="spellStart"/>
      <w:r w:rsidR="00A9443E" w:rsidRPr="00A616C3">
        <w:t>hyaluronidase</w:t>
      </w:r>
      <w:proofErr w:type="spellEnd"/>
      <w:r w:rsidR="00A9443E" w:rsidRPr="00A616C3">
        <w:t xml:space="preserve"> (human recombinant), an enzyme used to increase the dispersion and absorption of co-administered drugs when administered subcutaneously. </w:t>
      </w:r>
      <w:r w:rsidR="00464404" w:rsidRPr="00A616C3">
        <w:t xml:space="preserve"> </w:t>
      </w:r>
      <w:r w:rsidR="00A9443E" w:rsidRPr="00A616C3">
        <w:t>Other</w:t>
      </w:r>
      <w:r w:rsidR="00574AA2" w:rsidRPr="00A616C3">
        <w:t xml:space="preserve"> </w:t>
      </w:r>
      <w:r w:rsidR="00464404" w:rsidRPr="00A616C3">
        <w:t>excipients</w:t>
      </w:r>
      <w:r w:rsidR="00A9443E" w:rsidRPr="00A616C3">
        <w:t xml:space="preserve"> include </w:t>
      </w:r>
      <w:r w:rsidR="00464404" w:rsidRPr="00A616C3">
        <w:t xml:space="preserve">histidine hydrochloride, </w:t>
      </w:r>
      <w:r w:rsidRPr="00A616C3">
        <w:t xml:space="preserve">histidine, trehalose </w:t>
      </w:r>
      <w:proofErr w:type="spellStart"/>
      <w:r w:rsidRPr="00A616C3">
        <w:t>dihydrate</w:t>
      </w:r>
      <w:proofErr w:type="spellEnd"/>
      <w:r w:rsidR="00A9443E" w:rsidRPr="00A616C3">
        <w:t>,</w:t>
      </w:r>
      <w:r w:rsidRPr="00A616C3">
        <w:t xml:space="preserve"> </w:t>
      </w:r>
      <w:proofErr w:type="spellStart"/>
      <w:r w:rsidRPr="00A616C3">
        <w:t>polysor</w:t>
      </w:r>
      <w:r w:rsidR="00464404" w:rsidRPr="00A616C3">
        <w:t>bate</w:t>
      </w:r>
      <w:proofErr w:type="spellEnd"/>
      <w:r w:rsidR="00464404" w:rsidRPr="00A616C3">
        <w:t> 20</w:t>
      </w:r>
      <w:r w:rsidR="00A9443E" w:rsidRPr="00A616C3">
        <w:t>, methionine and Water for Injections</w:t>
      </w:r>
      <w:r w:rsidR="00464404" w:rsidRPr="00A616C3">
        <w:t>.</w:t>
      </w:r>
    </w:p>
    <w:p w:rsidR="00066413" w:rsidRPr="00A30380" w:rsidRDefault="00066413" w:rsidP="00066413">
      <w:pPr>
        <w:autoSpaceDE w:val="0"/>
        <w:autoSpaceDN w:val="0"/>
        <w:adjustRightInd w:val="0"/>
        <w:spacing w:after="0" w:line="240" w:lineRule="auto"/>
        <w:rPr>
          <w:rFonts w:cs="Times New Roman"/>
          <w:color w:val="000000"/>
        </w:rPr>
      </w:pPr>
      <w:r w:rsidRPr="00A30380">
        <w:rPr>
          <w:rFonts w:cs="Times New Roman"/>
          <w:color w:val="000000"/>
        </w:rPr>
        <w:t xml:space="preserve">HERCEPTIN is also available as a sterile </w:t>
      </w:r>
      <w:r w:rsidRPr="00BF098F">
        <w:rPr>
          <w:rFonts w:cs="Times New Roman"/>
          <w:color w:val="000000"/>
        </w:rPr>
        <w:t>single-dose vial</w:t>
      </w:r>
      <w:r w:rsidRPr="00A30380">
        <w:rPr>
          <w:rFonts w:cs="Times New Roman"/>
          <w:color w:val="000000"/>
        </w:rPr>
        <w:t xml:space="preserve">, white to pale yellow, preservative-free lyophilized powder for IV infusion </w:t>
      </w:r>
      <w:r w:rsidRPr="00BF098F">
        <w:rPr>
          <w:rFonts w:cs="Times New Roman"/>
          <w:color w:val="000000"/>
        </w:rPr>
        <w:t xml:space="preserve">containing 60 mg or 150 mg of </w:t>
      </w:r>
      <w:proofErr w:type="spellStart"/>
      <w:r w:rsidRPr="00BF098F">
        <w:rPr>
          <w:rFonts w:cs="Times New Roman"/>
          <w:color w:val="000000"/>
        </w:rPr>
        <w:t>trastuzumab</w:t>
      </w:r>
      <w:proofErr w:type="spellEnd"/>
      <w:r w:rsidRPr="00A30380">
        <w:rPr>
          <w:rFonts w:cs="Times New Roman"/>
          <w:color w:val="000000"/>
        </w:rPr>
        <w:t xml:space="preserve"> (See </w:t>
      </w:r>
      <w:r>
        <w:rPr>
          <w:rFonts w:cs="Times New Roman"/>
          <w:color w:val="000000"/>
        </w:rPr>
        <w:t xml:space="preserve">separate </w:t>
      </w:r>
      <w:r w:rsidRPr="00A30380">
        <w:rPr>
          <w:rFonts w:cs="Times New Roman"/>
          <w:color w:val="000000"/>
        </w:rPr>
        <w:t>H</w:t>
      </w:r>
      <w:r>
        <w:rPr>
          <w:rFonts w:cs="Times New Roman"/>
          <w:color w:val="000000"/>
        </w:rPr>
        <w:t>ERCEPTIN</w:t>
      </w:r>
      <w:r w:rsidRPr="00A30380">
        <w:rPr>
          <w:rFonts w:cs="Times New Roman"/>
          <w:color w:val="000000"/>
        </w:rPr>
        <w:t xml:space="preserve"> Powder for Intravenous (IV) Infusion Product Information).</w:t>
      </w:r>
    </w:p>
    <w:p w:rsidR="00932086" w:rsidRPr="00A616C3" w:rsidRDefault="00F43521">
      <w:pPr>
        <w:pStyle w:val="Heading2"/>
      </w:pPr>
      <w:r w:rsidRPr="00A616C3">
        <w:rPr>
          <w:caps w:val="0"/>
        </w:rPr>
        <w:t>PHARMACOLOGY</w:t>
      </w:r>
    </w:p>
    <w:p w:rsidR="00932086" w:rsidRPr="00A616C3" w:rsidRDefault="00932086">
      <w:pPr>
        <w:pStyle w:val="Heading3"/>
      </w:pPr>
      <w:r w:rsidRPr="00A616C3">
        <w:t>Pharmacodynamics</w:t>
      </w:r>
    </w:p>
    <w:p w:rsidR="00932086" w:rsidRPr="00A616C3" w:rsidRDefault="00932086" w:rsidP="00657070">
      <w:pPr>
        <w:rPr>
          <w:lang w:val="en-GB"/>
        </w:rPr>
      </w:pPr>
      <w:r w:rsidRPr="00A616C3">
        <w:rPr>
          <w:lang w:val="en-GB"/>
        </w:rPr>
        <w:t>The HER2 (or c</w:t>
      </w:r>
      <w:r w:rsidRPr="00A616C3">
        <w:rPr>
          <w:lang w:val="en-GB"/>
        </w:rPr>
        <w:noBreakHyphen/>
        <w:t>erbB2) proto</w:t>
      </w:r>
      <w:r w:rsidRPr="00A616C3">
        <w:rPr>
          <w:lang w:val="en-GB"/>
        </w:rPr>
        <w:noBreakHyphen/>
        <w:t>oncogene encodes for a single transmembrane spanning, receptor</w:t>
      </w:r>
      <w:r w:rsidRPr="00A616C3">
        <w:rPr>
          <w:lang w:val="en-GB"/>
        </w:rPr>
        <w:noBreakHyphen/>
        <w:t>like protein of 185 </w:t>
      </w:r>
      <w:proofErr w:type="spellStart"/>
      <w:r w:rsidRPr="00A616C3">
        <w:rPr>
          <w:lang w:val="en-GB"/>
        </w:rPr>
        <w:t>kDa</w:t>
      </w:r>
      <w:proofErr w:type="spellEnd"/>
      <w:r w:rsidRPr="00A616C3">
        <w:rPr>
          <w:lang w:val="en-GB"/>
        </w:rPr>
        <w:t xml:space="preserve">, which is structurally related to the epidermal growth factor receptor. </w:t>
      </w:r>
      <w:r w:rsidR="00EE69A2" w:rsidRPr="00A616C3">
        <w:rPr>
          <w:lang w:val="en-GB"/>
        </w:rPr>
        <w:t>Overexpress</w:t>
      </w:r>
      <w:r w:rsidRPr="00A616C3">
        <w:rPr>
          <w:lang w:val="en-GB"/>
        </w:rPr>
        <w:t>ion of HER2 is observed in 25%</w:t>
      </w:r>
      <w:r w:rsidR="001457FF" w:rsidRPr="00A616C3">
        <w:rPr>
          <w:lang w:val="en-GB"/>
        </w:rPr>
        <w:t xml:space="preserve"> - </w:t>
      </w:r>
      <w:r w:rsidRPr="00A616C3">
        <w:rPr>
          <w:lang w:val="en-GB"/>
        </w:rPr>
        <w:t xml:space="preserve">30% of primary breast </w:t>
      </w:r>
      <w:r w:rsidR="00C22CAB" w:rsidRPr="00A616C3">
        <w:rPr>
          <w:lang w:val="en-GB"/>
        </w:rPr>
        <w:t xml:space="preserve">and </w:t>
      </w:r>
      <w:r w:rsidR="0001237A" w:rsidRPr="00A616C3">
        <w:rPr>
          <w:lang w:val="en-GB"/>
        </w:rPr>
        <w:t>6.8</w:t>
      </w:r>
      <w:r w:rsidR="00C22CAB" w:rsidRPr="00A616C3">
        <w:rPr>
          <w:lang w:val="en-GB"/>
        </w:rPr>
        <w:t>%</w:t>
      </w:r>
      <w:r w:rsidR="00693D71" w:rsidRPr="00A616C3">
        <w:rPr>
          <w:lang w:val="en-GB"/>
        </w:rPr>
        <w:t xml:space="preserve"> - </w:t>
      </w:r>
      <w:r w:rsidR="00AE24D8" w:rsidRPr="00A616C3">
        <w:rPr>
          <w:lang w:val="en-GB"/>
        </w:rPr>
        <w:t>42.6</w:t>
      </w:r>
      <w:r w:rsidR="00C22CAB" w:rsidRPr="00A616C3">
        <w:rPr>
          <w:lang w:val="en-GB"/>
        </w:rPr>
        <w:t xml:space="preserve">% of advanced gastric </w:t>
      </w:r>
      <w:r w:rsidRPr="00A616C3">
        <w:rPr>
          <w:lang w:val="en-GB"/>
        </w:rPr>
        <w:t>cancers.  A consequence of HER2 gene amplification is an increase in HER2 protein expression on the surface of these tumour cells, which results in a constitutively activated HER2 receptor.</w:t>
      </w:r>
    </w:p>
    <w:p w:rsidR="00932086" w:rsidRPr="00A616C3" w:rsidRDefault="00932086" w:rsidP="00657070">
      <w:pPr>
        <w:rPr>
          <w:lang w:val="en-GB"/>
        </w:rPr>
      </w:pPr>
      <w:r w:rsidRPr="00A616C3">
        <w:rPr>
          <w:lang w:val="en-GB"/>
        </w:rPr>
        <w:t xml:space="preserve">Studies indicate that patients whose tumours </w:t>
      </w:r>
      <w:r w:rsidR="00EE05AB" w:rsidRPr="00A616C3">
        <w:rPr>
          <w:lang w:val="en-GB"/>
        </w:rPr>
        <w:t xml:space="preserve">have amplification or </w:t>
      </w:r>
      <w:r w:rsidR="00EE69A2" w:rsidRPr="00A616C3">
        <w:rPr>
          <w:lang w:val="en-GB"/>
        </w:rPr>
        <w:t>overexpress</w:t>
      </w:r>
      <w:r w:rsidRPr="00A616C3">
        <w:rPr>
          <w:lang w:val="en-GB"/>
        </w:rPr>
        <w:t xml:space="preserve"> HER2 have a particularly aggressive form of tumour and a shortened disease</w:t>
      </w:r>
      <w:r w:rsidRPr="00A616C3">
        <w:rPr>
          <w:lang w:val="en-GB"/>
        </w:rPr>
        <w:noBreakHyphen/>
        <w:t xml:space="preserve">free survival compared to patients whose tumours do not </w:t>
      </w:r>
      <w:r w:rsidR="00EE05AB" w:rsidRPr="00A616C3">
        <w:rPr>
          <w:lang w:val="en-GB"/>
        </w:rPr>
        <w:t xml:space="preserve">have amplification or </w:t>
      </w:r>
      <w:r w:rsidR="00EE69A2" w:rsidRPr="00A616C3">
        <w:rPr>
          <w:lang w:val="en-GB"/>
        </w:rPr>
        <w:t>overexpress</w:t>
      </w:r>
      <w:r w:rsidRPr="00A616C3">
        <w:rPr>
          <w:lang w:val="en-GB"/>
        </w:rPr>
        <w:t xml:space="preserve"> HER2.  </w:t>
      </w:r>
    </w:p>
    <w:p w:rsidR="00932086" w:rsidRPr="00A616C3" w:rsidRDefault="00932086" w:rsidP="0059354E">
      <w:pPr>
        <w:spacing w:after="120"/>
      </w:pPr>
      <w:proofErr w:type="spellStart"/>
      <w:r w:rsidRPr="00A616C3">
        <w:lastRenderedPageBreak/>
        <w:t>Trastuzumab</w:t>
      </w:r>
      <w:proofErr w:type="spellEnd"/>
      <w:r w:rsidRPr="00A616C3">
        <w:t xml:space="preserve"> has been shown, both in </w:t>
      </w:r>
      <w:r w:rsidRPr="00A616C3">
        <w:rPr>
          <w:i/>
        </w:rPr>
        <w:t>in-vitro</w:t>
      </w:r>
      <w:r w:rsidRPr="00A616C3">
        <w:t xml:space="preserve"> assays and in animals, to inhibit the proliferation of human tumour cells that </w:t>
      </w:r>
      <w:r w:rsidR="00EE69A2" w:rsidRPr="00A616C3">
        <w:t>overexpress</w:t>
      </w:r>
      <w:r w:rsidRPr="00A616C3">
        <w:t xml:space="preserve"> HER2. </w:t>
      </w:r>
      <w:r w:rsidRPr="00A616C3">
        <w:rPr>
          <w:i/>
        </w:rPr>
        <w:t>In vitro</w:t>
      </w:r>
      <w:r w:rsidRPr="00A616C3">
        <w:t xml:space="preserve">, </w:t>
      </w:r>
      <w:proofErr w:type="spellStart"/>
      <w:r w:rsidRPr="00A616C3">
        <w:t>trastuzumab</w:t>
      </w:r>
      <w:proofErr w:type="spellEnd"/>
      <w:r w:rsidRPr="00A616C3">
        <w:t>-mediated antibody</w:t>
      </w:r>
      <w:r w:rsidRPr="00A616C3">
        <w:noBreakHyphen/>
        <w:t>dependent cell</w:t>
      </w:r>
      <w:r w:rsidRPr="00A616C3">
        <w:noBreakHyphen/>
        <w:t xml:space="preserve">mediated cytotoxicity (ADCC) has been shown to be preferentially exerted on HER2 </w:t>
      </w:r>
      <w:r w:rsidR="00EE69A2" w:rsidRPr="00A616C3">
        <w:t>overexpress</w:t>
      </w:r>
      <w:r w:rsidRPr="00A616C3">
        <w:t xml:space="preserve">ing cancer cells compared with cancer cells that do not </w:t>
      </w:r>
      <w:r w:rsidR="00EE69A2" w:rsidRPr="00A616C3">
        <w:t>overexpress</w:t>
      </w:r>
      <w:r w:rsidRPr="00A616C3">
        <w:t xml:space="preserve"> HER2.  In animal models </w:t>
      </w:r>
      <w:r w:rsidRPr="00A616C3">
        <w:rPr>
          <w:i/>
        </w:rPr>
        <w:t>in vivo</w:t>
      </w:r>
      <w:r w:rsidRPr="00A616C3">
        <w:t xml:space="preserve">, murine anti-HER2 antibody inhibited the growth of human tumours </w:t>
      </w:r>
      <w:r w:rsidR="00EE69A2" w:rsidRPr="00A616C3">
        <w:t>overexpress</w:t>
      </w:r>
      <w:r w:rsidRPr="00A616C3">
        <w:t>ing HER2, indicating that the humani</w:t>
      </w:r>
      <w:r w:rsidR="006A7DE4" w:rsidRPr="00A616C3">
        <w:t>z</w:t>
      </w:r>
      <w:r w:rsidRPr="00A616C3">
        <w:t>ed antibody (</w:t>
      </w:r>
      <w:proofErr w:type="spellStart"/>
      <w:r w:rsidRPr="00A616C3">
        <w:t>trastuzumab</w:t>
      </w:r>
      <w:proofErr w:type="spellEnd"/>
      <w:r w:rsidRPr="00A616C3">
        <w:t xml:space="preserve">) is likely also to have anti-proliferative activity </w:t>
      </w:r>
      <w:r w:rsidRPr="00A616C3">
        <w:rPr>
          <w:i/>
        </w:rPr>
        <w:t>in vivo</w:t>
      </w:r>
      <w:r w:rsidRPr="00A616C3">
        <w:t xml:space="preserve"> against human breast tumours expressing high levels of HER2.</w:t>
      </w:r>
    </w:p>
    <w:p w:rsidR="00932086" w:rsidRPr="00A616C3" w:rsidRDefault="00932086" w:rsidP="0059354E">
      <w:pPr>
        <w:pStyle w:val="Heading3"/>
        <w:spacing w:before="120"/>
      </w:pPr>
      <w:r w:rsidRPr="00A616C3">
        <w:t>Pharmacokinetics</w:t>
      </w:r>
    </w:p>
    <w:p w:rsidR="00C91C6E" w:rsidRPr="003145ED" w:rsidRDefault="00C91C6E" w:rsidP="00C91C6E">
      <w:pPr>
        <w:pStyle w:val="Heading4"/>
        <w:ind w:left="0"/>
        <w:rPr>
          <w:lang w:val="en-GB"/>
        </w:rPr>
      </w:pPr>
      <w:r>
        <w:rPr>
          <w:lang w:val="en-GB"/>
        </w:rPr>
        <w:t>Subcutaneous (</w:t>
      </w:r>
      <w:r w:rsidRPr="003145ED">
        <w:rPr>
          <w:lang w:val="en-GB"/>
        </w:rPr>
        <w:t>SC</w:t>
      </w:r>
      <w:r>
        <w:rPr>
          <w:lang w:val="en-GB"/>
        </w:rPr>
        <w:t>)</w:t>
      </w:r>
      <w:r w:rsidRPr="003145ED">
        <w:rPr>
          <w:lang w:val="en-GB"/>
        </w:rPr>
        <w:t xml:space="preserve"> formulation</w:t>
      </w:r>
    </w:p>
    <w:p w:rsidR="00C91C6E" w:rsidRPr="00A616C3" w:rsidRDefault="00C91C6E" w:rsidP="00C91C6E">
      <w:pPr>
        <w:rPr>
          <w:rFonts w:eastAsia="SimSun"/>
          <w:lang w:eastAsia="zh-CN"/>
        </w:rPr>
      </w:pPr>
      <w:r w:rsidRPr="00A616C3">
        <w:rPr>
          <w:rFonts w:eastAsia="SimSun"/>
          <w:lang w:val="en-GB" w:eastAsia="zh-CN"/>
        </w:rPr>
        <w:t xml:space="preserve">The pharmacokinetics of </w:t>
      </w:r>
      <w:proofErr w:type="spellStart"/>
      <w:r w:rsidRPr="00A616C3">
        <w:rPr>
          <w:rFonts w:eastAsia="SimSun"/>
          <w:lang w:val="en-GB" w:eastAsia="zh-CN"/>
        </w:rPr>
        <w:t>trastuzumab</w:t>
      </w:r>
      <w:proofErr w:type="spellEnd"/>
      <w:r w:rsidRPr="00A616C3">
        <w:rPr>
          <w:rFonts w:eastAsia="SimSun"/>
          <w:lang w:val="en-GB" w:eastAsia="zh-CN"/>
        </w:rPr>
        <w:t xml:space="preserve"> IV and SC formulations </w:t>
      </w:r>
      <w:proofErr w:type="gramStart"/>
      <w:r w:rsidRPr="00A616C3">
        <w:rPr>
          <w:rFonts w:eastAsia="SimSun"/>
          <w:lang w:val="en-GB" w:eastAsia="zh-CN"/>
        </w:rPr>
        <w:t>were</w:t>
      </w:r>
      <w:proofErr w:type="gramEnd"/>
      <w:r w:rsidRPr="00A616C3">
        <w:rPr>
          <w:rFonts w:eastAsia="SimSun"/>
          <w:lang w:val="en-GB" w:eastAsia="zh-CN"/>
        </w:rPr>
        <w:t xml:space="preserve"> compared in the phase III trial BO22227 (HANNAH) (SC formulation: fixed dose of 600 mg administered</w:t>
      </w:r>
      <w:r w:rsidRPr="00A616C3">
        <w:rPr>
          <w:rFonts w:eastAsia="SimSun"/>
          <w:lang w:eastAsia="zh-CN"/>
        </w:rPr>
        <w:t xml:space="preserve"> 3-weekly</w:t>
      </w:r>
      <w:r w:rsidRPr="00A616C3">
        <w:rPr>
          <w:rFonts w:eastAsia="SimSun"/>
          <w:lang w:val="en-GB" w:eastAsia="zh-CN"/>
        </w:rPr>
        <w:t>; IV formulation: 8 mg/kg loading dose, 6 mg/kg maintenance</w:t>
      </w:r>
      <w:r w:rsidRPr="00A616C3">
        <w:rPr>
          <w:rFonts w:eastAsia="SimSun"/>
          <w:lang w:eastAsia="zh-CN"/>
        </w:rPr>
        <w:t xml:space="preserve"> dose every 3 weeks</w:t>
      </w:r>
      <w:r w:rsidRPr="00A616C3">
        <w:rPr>
          <w:rFonts w:eastAsia="SimSun"/>
          <w:lang w:val="en-GB" w:eastAsia="zh-CN"/>
        </w:rPr>
        <w:t>). The pharmacokinetic results for the co</w:t>
      </w:r>
      <w:r w:rsidRPr="00A616C3">
        <w:rPr>
          <w:rFonts w:eastAsia="SimSun"/>
          <w:lang w:val="en-GB" w:eastAsia="zh-CN"/>
        </w:rPr>
        <w:noBreakHyphen/>
        <w:t xml:space="preserve">primary endpoint, </w:t>
      </w:r>
      <w:proofErr w:type="spellStart"/>
      <w:r w:rsidRPr="00A616C3">
        <w:rPr>
          <w:rFonts w:eastAsia="SimSun"/>
          <w:lang w:val="en-GB" w:eastAsia="zh-CN"/>
        </w:rPr>
        <w:t>C</w:t>
      </w:r>
      <w:r w:rsidRPr="00A616C3">
        <w:rPr>
          <w:rFonts w:eastAsia="SimSun"/>
          <w:vertAlign w:val="subscript"/>
          <w:lang w:val="en-GB" w:eastAsia="zh-CN"/>
        </w:rPr>
        <w:t>trough</w:t>
      </w:r>
      <w:proofErr w:type="spellEnd"/>
      <w:r w:rsidRPr="00A616C3">
        <w:rPr>
          <w:rFonts w:eastAsia="SimSun"/>
          <w:lang w:val="en-GB" w:eastAsia="zh-CN"/>
        </w:rPr>
        <w:t xml:space="preserve"> pre</w:t>
      </w:r>
      <w:r w:rsidRPr="00A616C3">
        <w:rPr>
          <w:rFonts w:eastAsia="SimSun"/>
          <w:lang w:val="en-GB" w:eastAsia="zh-CN"/>
        </w:rPr>
        <w:noBreakHyphen/>
        <w:t>dose Cycle 8, showed non</w:t>
      </w:r>
      <w:r w:rsidRPr="00A616C3">
        <w:rPr>
          <w:rFonts w:eastAsia="SimSun"/>
          <w:lang w:val="en-GB" w:eastAsia="zh-CN"/>
        </w:rPr>
        <w:noBreakHyphen/>
        <w:t xml:space="preserve">inferiority of </w:t>
      </w:r>
      <w:r w:rsidR="00066413">
        <w:rPr>
          <w:rFonts w:eastAsia="SimSun"/>
          <w:lang w:val="en-GB" w:eastAsia="zh-CN"/>
        </w:rPr>
        <w:t xml:space="preserve">steady-state </w:t>
      </w:r>
      <w:proofErr w:type="spellStart"/>
      <w:r w:rsidR="00066413">
        <w:rPr>
          <w:rFonts w:eastAsia="SimSun"/>
          <w:lang w:val="en-GB" w:eastAsia="zh-CN"/>
        </w:rPr>
        <w:t>C</w:t>
      </w:r>
      <w:r w:rsidR="00066413" w:rsidRPr="00A616C3">
        <w:rPr>
          <w:rFonts w:eastAsia="SimSun"/>
          <w:vertAlign w:val="subscript"/>
          <w:lang w:val="en-GB" w:eastAsia="zh-CN"/>
        </w:rPr>
        <w:t>trough</w:t>
      </w:r>
      <w:proofErr w:type="spellEnd"/>
      <w:r w:rsidR="00066413">
        <w:rPr>
          <w:rFonts w:eastAsia="SimSun"/>
          <w:lang w:val="en-GB" w:eastAsia="zh-CN"/>
        </w:rPr>
        <w:t xml:space="preserve"> values </w:t>
      </w:r>
      <w:r w:rsidRPr="00A616C3">
        <w:rPr>
          <w:rFonts w:eastAsia="SimSun"/>
          <w:lang w:val="en-GB" w:eastAsia="zh-CN"/>
        </w:rPr>
        <w:t>for the HERCEPTIN SC arm (</w:t>
      </w:r>
      <w:r w:rsidR="00066413">
        <w:rPr>
          <w:rFonts w:eastAsia="SimSun"/>
          <w:lang w:val="en-GB" w:eastAsia="zh-CN"/>
        </w:rPr>
        <w:t>fixed</w:t>
      </w:r>
      <w:r w:rsidRPr="00A616C3">
        <w:rPr>
          <w:rFonts w:eastAsia="SimSun"/>
          <w:lang w:val="en-GB" w:eastAsia="zh-CN"/>
        </w:rPr>
        <w:t xml:space="preserve"> dosing) compared to the HERCEPTIN IV arm</w:t>
      </w:r>
      <w:r w:rsidRPr="00A616C3">
        <w:rPr>
          <w:rFonts w:eastAsia="SimSun"/>
          <w:lang w:eastAsia="zh-CN"/>
        </w:rPr>
        <w:t xml:space="preserve"> (body-weight adjusted dosing).  </w:t>
      </w:r>
    </w:p>
    <w:p w:rsidR="00C91C6E" w:rsidRPr="00A616C3" w:rsidRDefault="00C91C6E" w:rsidP="00C91C6E">
      <w:pPr>
        <w:rPr>
          <w:rFonts w:eastAsia="SimSun"/>
          <w:lang w:eastAsia="zh-CN"/>
        </w:rPr>
      </w:pPr>
      <w:r w:rsidRPr="00A616C3">
        <w:rPr>
          <w:rFonts w:eastAsia="SimSun"/>
          <w:lang w:val="en-GB" w:eastAsia="zh-CN"/>
        </w:rPr>
        <w:t xml:space="preserve">The mean observed </w:t>
      </w:r>
      <w:r w:rsidR="00066413">
        <w:rPr>
          <w:rFonts w:eastAsia="SimSun"/>
          <w:lang w:val="en-GB" w:eastAsia="zh-CN"/>
        </w:rPr>
        <w:t xml:space="preserve">steady-state trough serum </w:t>
      </w:r>
      <w:proofErr w:type="spellStart"/>
      <w:r w:rsidRPr="00A616C3">
        <w:rPr>
          <w:rFonts w:eastAsia="SimSun"/>
          <w:lang w:val="en-GB" w:eastAsia="zh-CN"/>
        </w:rPr>
        <w:t>trastuzumab</w:t>
      </w:r>
      <w:proofErr w:type="spellEnd"/>
      <w:r w:rsidRPr="00A616C3">
        <w:rPr>
          <w:rFonts w:eastAsia="SimSun"/>
          <w:lang w:val="en-GB" w:eastAsia="zh-CN"/>
        </w:rPr>
        <w:t xml:space="preserve"> concentration during the </w:t>
      </w:r>
      <w:proofErr w:type="spellStart"/>
      <w:r w:rsidRPr="00A616C3">
        <w:rPr>
          <w:rFonts w:eastAsia="SimSun"/>
          <w:lang w:val="en-GB" w:eastAsia="zh-CN"/>
        </w:rPr>
        <w:t>neoadjuvant</w:t>
      </w:r>
      <w:proofErr w:type="spellEnd"/>
      <w:r w:rsidRPr="00A616C3">
        <w:rPr>
          <w:rFonts w:eastAsia="SimSun"/>
          <w:lang w:val="en-GB" w:eastAsia="zh-CN"/>
        </w:rPr>
        <w:t xml:space="preserve"> treatment phase, at the pre</w:t>
      </w:r>
      <w:r w:rsidRPr="00A616C3">
        <w:rPr>
          <w:rFonts w:eastAsia="SimSun"/>
          <w:lang w:val="en-GB" w:eastAsia="zh-CN"/>
        </w:rPr>
        <w:noBreakHyphen/>
        <w:t xml:space="preserve">dose Cycle 8 time point, was higher in the HERCEPTIN SC arm than the IV arm, with mean observed values of 78.7 µg/mL (standard deviation (SD): 43.9 µg/mL) as compared to 57.8 µg/mL SD: </w:t>
      </w:r>
      <w:r>
        <w:rPr>
          <w:rFonts w:eastAsia="SimSun"/>
          <w:lang w:val="en-GB" w:eastAsia="zh-CN"/>
        </w:rPr>
        <w:t>(</w:t>
      </w:r>
      <w:r w:rsidRPr="00A616C3">
        <w:rPr>
          <w:rFonts w:eastAsia="SimSun"/>
          <w:lang w:val="en-GB" w:eastAsia="zh-CN"/>
        </w:rPr>
        <w:t xml:space="preserve">30.3 µg/mL). During the adjuvant phase of treatment, at the pre-dose Cycle 13 time point, the mean observed </w:t>
      </w:r>
      <w:proofErr w:type="spellStart"/>
      <w:r w:rsidRPr="00A616C3">
        <w:rPr>
          <w:rFonts w:eastAsia="SimSun"/>
          <w:lang w:val="en-GB" w:eastAsia="zh-CN"/>
        </w:rPr>
        <w:t>trastuzumab</w:t>
      </w:r>
      <w:proofErr w:type="spellEnd"/>
      <w:r w:rsidRPr="00A616C3">
        <w:rPr>
          <w:rFonts w:eastAsia="SimSun"/>
          <w:lang w:val="en-GB" w:eastAsia="zh-CN"/>
        </w:rPr>
        <w:t xml:space="preserve"> concentration values, were 90.4 µg/mL (SD: 41.9 µg/mL) and 62.1 µg/mL (SD: 37.1 µg/mL), respectively for the </w:t>
      </w:r>
      <w:r w:rsidR="00066413">
        <w:rPr>
          <w:rFonts w:eastAsia="SimSun"/>
          <w:lang w:val="en-GB" w:eastAsia="zh-CN"/>
        </w:rPr>
        <w:t xml:space="preserve">HERCEPTIN </w:t>
      </w:r>
      <w:r w:rsidRPr="00A616C3">
        <w:rPr>
          <w:rFonts w:eastAsia="SimSun"/>
          <w:lang w:val="en-GB" w:eastAsia="zh-CN"/>
        </w:rPr>
        <w:t xml:space="preserve">SC and </w:t>
      </w:r>
      <w:r w:rsidR="00066413">
        <w:rPr>
          <w:rFonts w:eastAsia="SimSun"/>
          <w:lang w:val="en-GB" w:eastAsia="zh-CN"/>
        </w:rPr>
        <w:t xml:space="preserve">HERCEPTIN </w:t>
      </w:r>
      <w:r w:rsidRPr="00A616C3">
        <w:rPr>
          <w:rFonts w:eastAsia="SimSun"/>
          <w:lang w:val="en-GB" w:eastAsia="zh-CN"/>
        </w:rPr>
        <w:t xml:space="preserve">IV arms. </w:t>
      </w:r>
      <w:r w:rsidRPr="00A616C3">
        <w:rPr>
          <w:rFonts w:eastAsia="SimSun"/>
          <w:lang w:eastAsia="zh-CN"/>
        </w:rPr>
        <w:t>While approximate steady state concentrations with the</w:t>
      </w:r>
      <w:r w:rsidR="00066413">
        <w:rPr>
          <w:rFonts w:eastAsia="SimSun"/>
          <w:lang w:eastAsia="zh-CN"/>
        </w:rPr>
        <w:t xml:space="preserve"> HERCEPTIN</w:t>
      </w:r>
      <w:r w:rsidRPr="00A616C3">
        <w:rPr>
          <w:rFonts w:eastAsia="SimSun"/>
          <w:lang w:eastAsia="zh-CN"/>
        </w:rPr>
        <w:t xml:space="preserve"> IV or </w:t>
      </w:r>
      <w:r w:rsidR="00066413">
        <w:rPr>
          <w:rFonts w:eastAsia="SimSun"/>
          <w:lang w:eastAsia="zh-CN"/>
        </w:rPr>
        <w:t xml:space="preserve">HERCEPTIN </w:t>
      </w:r>
      <w:r w:rsidRPr="00A616C3">
        <w:rPr>
          <w:rFonts w:eastAsia="SimSun"/>
          <w:lang w:eastAsia="zh-CN"/>
        </w:rPr>
        <w:t xml:space="preserve">SC formulations were reached at </w:t>
      </w:r>
      <w:r w:rsidR="00066413">
        <w:rPr>
          <w:rFonts w:eastAsia="SimSun"/>
          <w:lang w:eastAsia="zh-CN"/>
        </w:rPr>
        <w:t>pre-dose</w:t>
      </w:r>
      <w:r w:rsidRPr="00A616C3">
        <w:rPr>
          <w:rFonts w:eastAsia="SimSun"/>
          <w:lang w:eastAsia="zh-CN"/>
        </w:rPr>
        <w:t xml:space="preserve"> cycle 8, observed concentrations with the </w:t>
      </w:r>
      <w:r w:rsidR="00066413">
        <w:rPr>
          <w:rFonts w:eastAsia="SimSun"/>
          <w:lang w:eastAsia="zh-CN"/>
        </w:rPr>
        <w:t xml:space="preserve">HERCEPTIN </w:t>
      </w:r>
      <w:r w:rsidRPr="00A616C3">
        <w:rPr>
          <w:rFonts w:eastAsia="SimSun"/>
          <w:lang w:eastAsia="zh-CN"/>
        </w:rPr>
        <w:t>SC formulation tended to increase slightly up to</w:t>
      </w:r>
      <w:r w:rsidR="00066413">
        <w:rPr>
          <w:rFonts w:eastAsia="SimSun"/>
          <w:lang w:eastAsia="zh-CN"/>
        </w:rPr>
        <w:t xml:space="preserve"> pre-dose</w:t>
      </w:r>
      <w:r w:rsidRPr="00A616C3">
        <w:rPr>
          <w:rFonts w:eastAsia="SimSun"/>
          <w:lang w:eastAsia="zh-CN"/>
        </w:rPr>
        <w:t xml:space="preserve"> cycle 13. The mean observed </w:t>
      </w:r>
      <w:r w:rsidR="00066413">
        <w:rPr>
          <w:rFonts w:eastAsia="SimSun"/>
          <w:lang w:eastAsia="zh-CN"/>
        </w:rPr>
        <w:t xml:space="preserve">serum </w:t>
      </w:r>
      <w:proofErr w:type="spellStart"/>
      <w:r w:rsidRPr="00A616C3">
        <w:rPr>
          <w:rFonts w:eastAsia="SimSun"/>
          <w:lang w:val="en-GB" w:eastAsia="zh-CN"/>
        </w:rPr>
        <w:t>trastuzumab</w:t>
      </w:r>
      <w:proofErr w:type="spellEnd"/>
      <w:r w:rsidRPr="00A616C3">
        <w:rPr>
          <w:rFonts w:eastAsia="SimSun"/>
          <w:lang w:val="en-GB" w:eastAsia="zh-CN"/>
        </w:rPr>
        <w:t xml:space="preserve"> concentration</w:t>
      </w:r>
      <w:r w:rsidRPr="00A616C3">
        <w:rPr>
          <w:rFonts w:eastAsia="SimSun"/>
          <w:lang w:eastAsia="zh-CN"/>
        </w:rPr>
        <w:t xml:space="preserve"> at pre-dose cycle 18 was: </w:t>
      </w:r>
      <w:proofErr w:type="gramStart"/>
      <w:r w:rsidRPr="00A616C3">
        <w:rPr>
          <w:rFonts w:eastAsia="SimSun"/>
          <w:lang w:eastAsia="zh-CN"/>
        </w:rPr>
        <w:t>90.7 µg/mL,</w:t>
      </w:r>
      <w:proofErr w:type="gramEnd"/>
      <w:r w:rsidRPr="00A616C3">
        <w:rPr>
          <w:rFonts w:eastAsia="SimSun"/>
          <w:lang w:eastAsia="zh-CN"/>
        </w:rPr>
        <w:t xml:space="preserve"> similar to that at </w:t>
      </w:r>
      <w:r w:rsidR="00066413">
        <w:rPr>
          <w:rFonts w:eastAsia="SimSun"/>
          <w:lang w:eastAsia="zh-CN"/>
        </w:rPr>
        <w:t xml:space="preserve">pre-dose </w:t>
      </w:r>
      <w:r w:rsidRPr="00A616C3">
        <w:rPr>
          <w:rFonts w:eastAsia="SimSun"/>
          <w:lang w:eastAsia="zh-CN"/>
        </w:rPr>
        <w:t>cycle 13, suggesting no further increase after cycle 13.</w:t>
      </w:r>
    </w:p>
    <w:p w:rsidR="00C91C6E" w:rsidRPr="00A616C3" w:rsidRDefault="00C91C6E" w:rsidP="00C91C6E">
      <w:pPr>
        <w:rPr>
          <w:rFonts w:eastAsia="SimSun"/>
          <w:strike/>
          <w:lang w:val="en-GB" w:eastAsia="zh-CN"/>
        </w:rPr>
      </w:pPr>
      <w:r w:rsidRPr="00A616C3">
        <w:rPr>
          <w:rFonts w:eastAsia="SimSun"/>
          <w:lang w:val="en-GB" w:eastAsia="zh-CN"/>
        </w:rPr>
        <w:t xml:space="preserve">The median </w:t>
      </w:r>
      <w:proofErr w:type="spellStart"/>
      <w:r w:rsidRPr="00A616C3">
        <w:rPr>
          <w:rFonts w:eastAsia="SimSun"/>
          <w:lang w:val="en-GB" w:eastAsia="zh-CN"/>
        </w:rPr>
        <w:t>T</w:t>
      </w:r>
      <w:r w:rsidRPr="00A616C3">
        <w:rPr>
          <w:rFonts w:eastAsia="SimSun"/>
          <w:vertAlign w:val="subscript"/>
          <w:lang w:val="en-GB" w:eastAsia="zh-CN"/>
        </w:rPr>
        <w:t>max</w:t>
      </w:r>
      <w:proofErr w:type="spellEnd"/>
      <w:r w:rsidRPr="00A616C3">
        <w:rPr>
          <w:rFonts w:eastAsia="SimSun"/>
          <w:vertAlign w:val="subscript"/>
          <w:lang w:val="en-GB" w:eastAsia="zh-CN"/>
        </w:rPr>
        <w:t xml:space="preserve"> </w:t>
      </w:r>
      <w:r w:rsidRPr="00A616C3">
        <w:rPr>
          <w:rFonts w:eastAsia="SimSun"/>
          <w:lang w:val="en-GB" w:eastAsia="zh-CN"/>
        </w:rPr>
        <w:t xml:space="preserve">following </w:t>
      </w:r>
      <w:r w:rsidR="00066413">
        <w:rPr>
          <w:rFonts w:eastAsia="SimSun"/>
          <w:lang w:val="en-GB" w:eastAsia="zh-CN"/>
        </w:rPr>
        <w:t xml:space="preserve">HERCEPTIN </w:t>
      </w:r>
      <w:r w:rsidRPr="00A616C3">
        <w:rPr>
          <w:rFonts w:eastAsia="SimSun"/>
          <w:lang w:val="en-GB" w:eastAsia="zh-CN"/>
        </w:rPr>
        <w:t>SC Cycle 7 administration</w:t>
      </w:r>
      <w:r w:rsidRPr="00A616C3">
        <w:rPr>
          <w:rFonts w:eastAsia="SimSun"/>
          <w:vertAlign w:val="subscript"/>
          <w:lang w:val="en-GB" w:eastAsia="zh-CN"/>
        </w:rPr>
        <w:t xml:space="preserve"> </w:t>
      </w:r>
      <w:r w:rsidRPr="00A616C3">
        <w:rPr>
          <w:rFonts w:eastAsia="SimSun"/>
          <w:lang w:val="en-GB" w:eastAsia="zh-CN"/>
        </w:rPr>
        <w:t>was approximately 3 days</w:t>
      </w:r>
      <w:r w:rsidRPr="00A616C3">
        <w:rPr>
          <w:rFonts w:eastAsia="SimSun"/>
          <w:lang w:eastAsia="zh-CN"/>
        </w:rPr>
        <w:t xml:space="preserve">, with high variability (range 1-14 days). The mean </w:t>
      </w:r>
      <w:proofErr w:type="spellStart"/>
      <w:r w:rsidRPr="00A616C3">
        <w:rPr>
          <w:rFonts w:eastAsia="SimSun"/>
          <w:lang w:eastAsia="zh-CN"/>
        </w:rPr>
        <w:t>C</w:t>
      </w:r>
      <w:r w:rsidRPr="00A616C3">
        <w:rPr>
          <w:rFonts w:eastAsia="SimSun"/>
          <w:vertAlign w:val="subscript"/>
          <w:lang w:eastAsia="zh-CN"/>
        </w:rPr>
        <w:t>max</w:t>
      </w:r>
      <w:proofErr w:type="spellEnd"/>
      <w:r w:rsidRPr="00A616C3">
        <w:rPr>
          <w:rFonts w:eastAsia="SimSun"/>
          <w:lang w:eastAsia="zh-CN"/>
        </w:rPr>
        <w:t xml:space="preserve"> was expectedly lower in the </w:t>
      </w:r>
      <w:r w:rsidRPr="00A616C3">
        <w:rPr>
          <w:rFonts w:eastAsia="SimSun"/>
          <w:lang w:val="en-GB" w:eastAsia="zh-CN"/>
        </w:rPr>
        <w:t>HERCEPTIN</w:t>
      </w:r>
      <w:r w:rsidRPr="00A616C3">
        <w:rPr>
          <w:rFonts w:eastAsia="SimSun"/>
          <w:lang w:eastAsia="zh-CN"/>
        </w:rPr>
        <w:t xml:space="preserve"> SC arm </w:t>
      </w:r>
      <w:proofErr w:type="gramStart"/>
      <w:r w:rsidRPr="00A616C3">
        <w:rPr>
          <w:rFonts w:eastAsia="SimSun"/>
          <w:lang w:eastAsia="zh-CN"/>
        </w:rPr>
        <w:t>(149 </w:t>
      </w:r>
      <w:proofErr w:type="spellStart"/>
      <w:r w:rsidRPr="00A616C3">
        <w:rPr>
          <w:rFonts w:eastAsia="SimSun"/>
          <w:lang w:eastAsia="zh-CN"/>
        </w:rPr>
        <w:t>μg</w:t>
      </w:r>
      <w:proofErr w:type="spellEnd"/>
      <w:r w:rsidRPr="00A616C3">
        <w:rPr>
          <w:rFonts w:eastAsia="SimSun"/>
          <w:lang w:eastAsia="zh-CN"/>
        </w:rPr>
        <w:t>/mL)</w:t>
      </w:r>
      <w:proofErr w:type="gramEnd"/>
      <w:r w:rsidRPr="00A616C3">
        <w:rPr>
          <w:rFonts w:eastAsia="SimSun"/>
          <w:lang w:eastAsia="zh-CN"/>
        </w:rPr>
        <w:t xml:space="preserve"> than in the </w:t>
      </w:r>
      <w:r w:rsidR="00066413">
        <w:rPr>
          <w:rFonts w:eastAsia="SimSun"/>
          <w:lang w:eastAsia="zh-CN"/>
        </w:rPr>
        <w:t xml:space="preserve">HERCEPTIN </w:t>
      </w:r>
      <w:r w:rsidRPr="00A616C3">
        <w:rPr>
          <w:rFonts w:eastAsia="SimSun"/>
          <w:lang w:eastAsia="zh-CN"/>
        </w:rPr>
        <w:t>IV arm (end of infusion value: 221 </w:t>
      </w:r>
      <w:proofErr w:type="spellStart"/>
      <w:r w:rsidRPr="00A616C3">
        <w:rPr>
          <w:rFonts w:eastAsia="SimSun"/>
          <w:lang w:eastAsia="zh-CN"/>
        </w:rPr>
        <w:t>μg</w:t>
      </w:r>
      <w:proofErr w:type="spellEnd"/>
      <w:r w:rsidRPr="00A616C3">
        <w:rPr>
          <w:rFonts w:eastAsia="SimSun"/>
          <w:lang w:eastAsia="zh-CN"/>
        </w:rPr>
        <w:t>/mL).</w:t>
      </w:r>
      <w:r w:rsidRPr="00A616C3">
        <w:rPr>
          <w:rFonts w:eastAsia="SimSun"/>
          <w:strike/>
          <w:lang w:val="en-GB" w:eastAsia="zh-CN"/>
        </w:rPr>
        <w:t xml:space="preserve"> </w:t>
      </w:r>
    </w:p>
    <w:p w:rsidR="00C91C6E" w:rsidRPr="00A616C3" w:rsidRDefault="00C91C6E" w:rsidP="00C91C6E">
      <w:pPr>
        <w:rPr>
          <w:rFonts w:eastAsia="SimSun"/>
          <w:lang w:val="en-GB" w:eastAsia="zh-CN"/>
        </w:rPr>
      </w:pPr>
      <w:r w:rsidRPr="00A616C3">
        <w:rPr>
          <w:rFonts w:eastAsia="SimSun"/>
          <w:lang w:val="en-GB" w:eastAsia="zh-CN"/>
        </w:rPr>
        <w:t>The mean observed AUC</w:t>
      </w:r>
      <w:r w:rsidRPr="00A616C3">
        <w:rPr>
          <w:rFonts w:eastAsia="SimSun"/>
          <w:vertAlign w:val="subscript"/>
          <w:lang w:val="en-GB" w:eastAsia="zh-CN"/>
        </w:rPr>
        <w:t>0-21 days</w:t>
      </w:r>
      <w:r w:rsidRPr="00A616C3">
        <w:rPr>
          <w:rFonts w:eastAsia="SimSun"/>
          <w:lang w:val="en-GB" w:eastAsia="zh-CN"/>
        </w:rPr>
        <w:t xml:space="preserve"> following the Cycle 7 dose was approximately 10% higher with HERCEPTIN SC as compared to the </w:t>
      </w:r>
      <w:r w:rsidR="00066413">
        <w:rPr>
          <w:rFonts w:eastAsia="SimSun"/>
          <w:lang w:val="en-GB" w:eastAsia="zh-CN"/>
        </w:rPr>
        <w:t xml:space="preserve">HERCEPTIN </w:t>
      </w:r>
      <w:r w:rsidRPr="00A616C3">
        <w:rPr>
          <w:rFonts w:eastAsia="SimSun"/>
          <w:lang w:val="en-GB" w:eastAsia="zh-CN"/>
        </w:rPr>
        <w:t>IV formulation. With</w:t>
      </w:r>
      <w:r w:rsidR="00066413">
        <w:rPr>
          <w:rFonts w:eastAsia="SimSun"/>
          <w:lang w:val="en-GB" w:eastAsia="zh-CN"/>
        </w:rPr>
        <w:t xml:space="preserve"> the HERCEPTIN</w:t>
      </w:r>
      <w:r w:rsidRPr="00A616C3">
        <w:rPr>
          <w:rFonts w:eastAsia="SimSun"/>
          <w:lang w:val="en-GB" w:eastAsia="zh-CN"/>
        </w:rPr>
        <w:t xml:space="preserve"> IV and </w:t>
      </w:r>
      <w:r w:rsidR="00066413">
        <w:rPr>
          <w:rFonts w:eastAsia="SimSun"/>
          <w:lang w:val="en-GB" w:eastAsia="zh-CN"/>
        </w:rPr>
        <w:t xml:space="preserve">HERCEPTIN </w:t>
      </w:r>
      <w:r w:rsidRPr="00A616C3">
        <w:rPr>
          <w:rFonts w:eastAsia="SimSun"/>
          <w:lang w:val="en-GB" w:eastAsia="zh-CN"/>
        </w:rPr>
        <w:t xml:space="preserve">SC formulations, body weight had an influence on the </w:t>
      </w:r>
      <w:r w:rsidRPr="00A616C3">
        <w:rPr>
          <w:lang w:val="en-GB"/>
        </w:rPr>
        <w:t xml:space="preserve">pre-dose </w:t>
      </w:r>
      <w:r w:rsidR="00066413">
        <w:rPr>
          <w:lang w:val="en-GB"/>
        </w:rPr>
        <w:t xml:space="preserve">cycle 8 serum </w:t>
      </w:r>
      <w:proofErr w:type="spellStart"/>
      <w:r w:rsidRPr="00A616C3">
        <w:rPr>
          <w:lang w:val="en-GB"/>
        </w:rPr>
        <w:t>trastuzumab</w:t>
      </w:r>
      <w:proofErr w:type="spellEnd"/>
      <w:r w:rsidRPr="00A616C3">
        <w:rPr>
          <w:lang w:val="en-GB"/>
        </w:rPr>
        <w:t xml:space="preserve"> concentration</w:t>
      </w:r>
      <w:r w:rsidRPr="00A616C3">
        <w:rPr>
          <w:rFonts w:eastAsia="SimSun"/>
          <w:lang w:val="en-GB" w:eastAsia="zh-CN"/>
        </w:rPr>
        <w:t xml:space="preserve"> and AUC</w:t>
      </w:r>
      <w:r w:rsidRPr="00A616C3">
        <w:rPr>
          <w:rFonts w:eastAsia="SimSun"/>
          <w:vertAlign w:val="subscript"/>
          <w:lang w:val="en-GB" w:eastAsia="zh-CN"/>
        </w:rPr>
        <w:t>0-21days</w:t>
      </w:r>
      <w:r w:rsidRPr="00A616C3">
        <w:rPr>
          <w:rFonts w:eastAsia="SimSun"/>
          <w:lang w:val="en-GB" w:eastAsia="zh-CN"/>
        </w:rPr>
        <w:t xml:space="preserve"> values. In patients with body weight (BW) below 51 kg (10th percentile), the mean steady state AUC of </w:t>
      </w:r>
      <w:proofErr w:type="spellStart"/>
      <w:r w:rsidRPr="00A616C3">
        <w:rPr>
          <w:rFonts w:eastAsia="SimSun"/>
          <w:lang w:val="en-GB" w:eastAsia="zh-CN"/>
        </w:rPr>
        <w:t>trastuzumab</w:t>
      </w:r>
      <w:proofErr w:type="spellEnd"/>
      <w:r w:rsidRPr="00A616C3">
        <w:rPr>
          <w:rFonts w:eastAsia="SimSun"/>
          <w:lang w:val="en-GB" w:eastAsia="zh-CN"/>
        </w:rPr>
        <w:t xml:space="preserve"> following the Cycle 7 dose was about 80% higher after HERCEPTIN SC than after </w:t>
      </w:r>
      <w:r w:rsidR="00066413">
        <w:rPr>
          <w:rFonts w:eastAsia="SimSun"/>
          <w:lang w:val="en-GB" w:eastAsia="zh-CN"/>
        </w:rPr>
        <w:t xml:space="preserve">HERCEPTIN </w:t>
      </w:r>
      <w:r w:rsidRPr="00A616C3">
        <w:rPr>
          <w:rFonts w:eastAsia="SimSun"/>
          <w:lang w:val="en-GB" w:eastAsia="zh-CN"/>
        </w:rPr>
        <w:t xml:space="preserve">IV treatment. Whereas in the highest BW group, above 90 kg (90th percentile) AUC was 20% lower after </w:t>
      </w:r>
      <w:r w:rsidR="00066413">
        <w:rPr>
          <w:rFonts w:eastAsia="SimSun"/>
          <w:lang w:val="en-GB" w:eastAsia="zh-CN"/>
        </w:rPr>
        <w:t>HERCEPTIN</w:t>
      </w:r>
      <w:r w:rsidR="00066413" w:rsidRPr="00A616C3">
        <w:rPr>
          <w:rFonts w:eastAsia="SimSun"/>
          <w:lang w:val="en-GB" w:eastAsia="zh-CN"/>
        </w:rPr>
        <w:t xml:space="preserve"> </w:t>
      </w:r>
      <w:r w:rsidRPr="00A616C3">
        <w:rPr>
          <w:rFonts w:eastAsia="SimSun"/>
          <w:lang w:val="en-GB" w:eastAsia="zh-CN"/>
        </w:rPr>
        <w:t xml:space="preserve">SC than after </w:t>
      </w:r>
      <w:r w:rsidR="00066413">
        <w:rPr>
          <w:rFonts w:eastAsia="SimSun"/>
          <w:lang w:val="en-GB" w:eastAsia="zh-CN"/>
        </w:rPr>
        <w:t>HERCEPTIN</w:t>
      </w:r>
      <w:r w:rsidR="00066413" w:rsidRPr="00A616C3">
        <w:rPr>
          <w:rFonts w:eastAsia="SimSun"/>
          <w:lang w:val="en-GB" w:eastAsia="zh-CN"/>
        </w:rPr>
        <w:t xml:space="preserve"> </w:t>
      </w:r>
      <w:r w:rsidRPr="00A616C3">
        <w:rPr>
          <w:rFonts w:eastAsia="SimSun"/>
          <w:lang w:val="en-GB" w:eastAsia="zh-CN"/>
        </w:rPr>
        <w:t xml:space="preserve">IV treatment. Across BW subsets, patients who received HERCEPTIN SC had a </w:t>
      </w:r>
      <w:r w:rsidRPr="00A616C3">
        <w:rPr>
          <w:lang w:val="en-GB"/>
        </w:rPr>
        <w:t xml:space="preserve">pre-dose </w:t>
      </w:r>
      <w:proofErr w:type="spellStart"/>
      <w:r w:rsidRPr="00A616C3">
        <w:rPr>
          <w:lang w:val="en-GB"/>
        </w:rPr>
        <w:t>trastuzumab</w:t>
      </w:r>
      <w:proofErr w:type="spellEnd"/>
      <w:r w:rsidRPr="00A616C3">
        <w:rPr>
          <w:lang w:val="en-GB"/>
        </w:rPr>
        <w:t xml:space="preserve"> concentration</w:t>
      </w:r>
      <w:r w:rsidRPr="00A616C3">
        <w:rPr>
          <w:rFonts w:eastAsia="SimSun"/>
          <w:lang w:val="en-GB" w:eastAsia="zh-CN"/>
        </w:rPr>
        <w:t xml:space="preserve"> and AUC</w:t>
      </w:r>
      <w:r w:rsidRPr="00A616C3">
        <w:rPr>
          <w:rFonts w:eastAsia="SimSun"/>
          <w:vertAlign w:val="subscript"/>
          <w:lang w:val="en-GB" w:eastAsia="zh-CN"/>
        </w:rPr>
        <w:t>0-21days</w:t>
      </w:r>
      <w:r w:rsidRPr="00A616C3">
        <w:rPr>
          <w:rFonts w:eastAsia="SimSun"/>
          <w:lang w:val="en-GB" w:eastAsia="zh-CN"/>
        </w:rPr>
        <w:t xml:space="preserve"> values that were comparable to, or higher than observed in patients who received HERCEPTIN IV. Multiple logistic regression analyses showed no correlation of </w:t>
      </w:r>
      <w:proofErr w:type="spellStart"/>
      <w:r w:rsidR="00066413">
        <w:rPr>
          <w:rFonts w:eastAsia="SimSun"/>
          <w:lang w:val="en-GB" w:eastAsia="zh-CN"/>
        </w:rPr>
        <w:t>trastuzumab</w:t>
      </w:r>
      <w:proofErr w:type="spellEnd"/>
      <w:r w:rsidR="00066413">
        <w:rPr>
          <w:rFonts w:eastAsia="SimSun"/>
          <w:lang w:val="en-GB" w:eastAsia="zh-CN"/>
        </w:rPr>
        <w:t xml:space="preserve"> exposure values</w:t>
      </w:r>
      <w:r w:rsidRPr="00A616C3">
        <w:rPr>
          <w:rFonts w:eastAsia="SimSun"/>
          <w:lang w:val="en-GB" w:eastAsia="zh-CN"/>
        </w:rPr>
        <w:t xml:space="preserve"> to efficacy (</w:t>
      </w:r>
      <w:proofErr w:type="spellStart"/>
      <w:r w:rsidRPr="00A616C3">
        <w:rPr>
          <w:rFonts w:eastAsia="SimSun"/>
          <w:lang w:val="en-GB" w:eastAsia="zh-CN"/>
        </w:rPr>
        <w:t>pCR</w:t>
      </w:r>
      <w:proofErr w:type="spellEnd"/>
      <w:r w:rsidRPr="00A616C3">
        <w:rPr>
          <w:rFonts w:eastAsia="SimSun"/>
          <w:lang w:val="en-GB" w:eastAsia="zh-CN"/>
        </w:rPr>
        <w:t>) or safety</w:t>
      </w:r>
      <w:r w:rsidR="00066413">
        <w:rPr>
          <w:rFonts w:eastAsia="SimSun"/>
          <w:lang w:val="en-GB" w:eastAsia="zh-CN"/>
        </w:rPr>
        <w:t xml:space="preserve"> results</w:t>
      </w:r>
      <w:r w:rsidRPr="00A616C3">
        <w:rPr>
          <w:rFonts w:eastAsia="SimSun"/>
          <w:lang w:val="en-GB" w:eastAsia="zh-CN"/>
        </w:rPr>
        <w:t>, and dose adjustment for body weight is not needed.</w:t>
      </w:r>
    </w:p>
    <w:p w:rsidR="00C91C6E" w:rsidRPr="00A616C3" w:rsidRDefault="00C91C6E" w:rsidP="00C91C6E">
      <w:pPr>
        <w:autoSpaceDE w:val="0"/>
        <w:autoSpaceDN w:val="0"/>
        <w:adjustRightInd w:val="0"/>
        <w:spacing w:after="0"/>
      </w:pPr>
      <w:r w:rsidRPr="00A616C3">
        <w:rPr>
          <w:rFonts w:eastAsia="SimSun"/>
          <w:lang w:val="en-GB" w:eastAsia="zh-CN"/>
        </w:rPr>
        <w:t xml:space="preserve">A population PK model with parallel linear and nonlinear elimination from the central compartment was constructed using pooled </w:t>
      </w:r>
      <w:r w:rsidR="00066413">
        <w:rPr>
          <w:rFonts w:eastAsia="SimSun"/>
          <w:lang w:val="en-GB" w:eastAsia="zh-CN"/>
        </w:rPr>
        <w:t>HERCEPTIN</w:t>
      </w:r>
      <w:r w:rsidRPr="00A616C3">
        <w:rPr>
          <w:rFonts w:eastAsia="SimSun"/>
          <w:lang w:val="en-GB" w:eastAsia="zh-CN"/>
        </w:rPr>
        <w:t xml:space="preserve"> SC and </w:t>
      </w:r>
      <w:r w:rsidR="00066413">
        <w:rPr>
          <w:rFonts w:eastAsia="SimSun"/>
          <w:lang w:val="en-GB" w:eastAsia="zh-CN"/>
        </w:rPr>
        <w:t>HERCEPTIN</w:t>
      </w:r>
      <w:r w:rsidR="00066413" w:rsidRPr="00A616C3">
        <w:rPr>
          <w:rFonts w:eastAsia="SimSun"/>
          <w:lang w:val="en-GB" w:eastAsia="zh-CN"/>
        </w:rPr>
        <w:t xml:space="preserve"> </w:t>
      </w:r>
      <w:r w:rsidRPr="00A616C3">
        <w:rPr>
          <w:rFonts w:eastAsia="SimSun"/>
          <w:lang w:val="en-GB" w:eastAsia="zh-CN"/>
        </w:rPr>
        <w:t xml:space="preserve">IV PK data from the HANNAH (BO22227) study. The </w:t>
      </w:r>
      <w:r w:rsidRPr="00A616C3">
        <w:rPr>
          <w:rFonts w:eastAsia="SimSun"/>
          <w:lang w:val="en-GB" w:eastAsia="zh-CN"/>
        </w:rPr>
        <w:lastRenderedPageBreak/>
        <w:t xml:space="preserve">model described the observed PK </w:t>
      </w:r>
      <w:r w:rsidR="00066413">
        <w:rPr>
          <w:rFonts w:eastAsia="SimSun"/>
          <w:lang w:val="en-GB" w:eastAsia="zh-CN"/>
        </w:rPr>
        <w:t>profiles</w:t>
      </w:r>
      <w:r w:rsidRPr="00A616C3">
        <w:rPr>
          <w:rFonts w:eastAsia="SimSun"/>
          <w:lang w:val="en-GB" w:eastAsia="zh-CN"/>
        </w:rPr>
        <w:t xml:space="preserve"> following</w:t>
      </w:r>
      <w:r w:rsidR="00066413">
        <w:rPr>
          <w:rFonts w:eastAsia="SimSun"/>
          <w:lang w:val="en-GB" w:eastAsia="zh-CN"/>
        </w:rPr>
        <w:t xml:space="preserve"> HERCEPTIN</w:t>
      </w:r>
      <w:r w:rsidRPr="00A616C3">
        <w:rPr>
          <w:rFonts w:eastAsia="SimSun"/>
          <w:lang w:val="en-GB" w:eastAsia="zh-CN"/>
        </w:rPr>
        <w:t xml:space="preserve"> IV and </w:t>
      </w:r>
      <w:r w:rsidR="00066413">
        <w:rPr>
          <w:rFonts w:eastAsia="SimSun"/>
          <w:lang w:val="en-GB" w:eastAsia="zh-CN"/>
        </w:rPr>
        <w:t>HERCEPTIN</w:t>
      </w:r>
      <w:r w:rsidR="00066413" w:rsidRPr="00A616C3">
        <w:rPr>
          <w:rFonts w:eastAsia="SimSun"/>
          <w:lang w:val="en-GB" w:eastAsia="zh-CN"/>
        </w:rPr>
        <w:t xml:space="preserve"> </w:t>
      </w:r>
      <w:r w:rsidRPr="00A616C3">
        <w:rPr>
          <w:rFonts w:eastAsia="SimSun"/>
          <w:lang w:val="en-GB" w:eastAsia="zh-CN"/>
        </w:rPr>
        <w:t>SC administration in the study’s patient population: operable or locally advanced breast cancer (LABC). Bioavailability of the subcutaneous formulation was estimated to be 77.1%. Linear elimination clearance (linear CL) was 0.111 L/day and the central compartment volume (</w:t>
      </w:r>
      <w:proofErr w:type="spellStart"/>
      <w:proofErr w:type="gramStart"/>
      <w:r w:rsidRPr="00A616C3">
        <w:rPr>
          <w:rFonts w:eastAsia="SimSun"/>
          <w:lang w:val="en-GB" w:eastAsia="zh-CN"/>
        </w:rPr>
        <w:t>Vc</w:t>
      </w:r>
      <w:proofErr w:type="spellEnd"/>
      <w:proofErr w:type="gramEnd"/>
      <w:r w:rsidRPr="00A616C3">
        <w:rPr>
          <w:rFonts w:eastAsia="SimSun"/>
          <w:lang w:val="en-GB" w:eastAsia="zh-CN"/>
        </w:rPr>
        <w:t>) was 2.91 L. Body weight and serum alanine aminotransferase (ALT) showed a statistically significant influence on PK, however, simulations demonstrated no dose adjustments are required in the localised breast cancer setting.</w:t>
      </w:r>
    </w:p>
    <w:p w:rsidR="00095ADE" w:rsidRPr="00A616C3" w:rsidRDefault="001273F6" w:rsidP="00095ADE">
      <w:pPr>
        <w:pStyle w:val="Heading4"/>
        <w:ind w:left="0"/>
        <w:rPr>
          <w:lang w:val="en-GB"/>
        </w:rPr>
      </w:pPr>
      <w:r>
        <w:rPr>
          <w:lang w:val="en-GB"/>
        </w:rPr>
        <w:t>Intravenous (</w:t>
      </w:r>
      <w:r w:rsidR="00A9443E" w:rsidRPr="00A616C3">
        <w:rPr>
          <w:lang w:val="en-GB"/>
        </w:rPr>
        <w:t>IV</w:t>
      </w:r>
      <w:r>
        <w:rPr>
          <w:lang w:val="en-GB"/>
        </w:rPr>
        <w:t>)</w:t>
      </w:r>
      <w:r w:rsidR="00A9443E" w:rsidRPr="00A616C3">
        <w:rPr>
          <w:lang w:val="en-GB"/>
        </w:rPr>
        <w:t xml:space="preserve"> formulation</w:t>
      </w:r>
    </w:p>
    <w:p w:rsidR="006D53E3" w:rsidRPr="00A616C3" w:rsidRDefault="00B86B8F" w:rsidP="004D27F3">
      <w:pPr>
        <w:rPr>
          <w:lang w:val="en-GB"/>
        </w:rPr>
      </w:pPr>
      <w:r w:rsidRPr="00A616C3">
        <w:rPr>
          <w:lang w:val="en-GB"/>
        </w:rPr>
        <w:t>S</w:t>
      </w:r>
      <w:r w:rsidR="00932086" w:rsidRPr="00A616C3">
        <w:rPr>
          <w:lang w:val="en-GB"/>
        </w:rPr>
        <w:t xml:space="preserve">hort duration </w:t>
      </w:r>
      <w:r w:rsidRPr="00A616C3">
        <w:rPr>
          <w:lang w:val="en-GB"/>
        </w:rPr>
        <w:t xml:space="preserve">IV </w:t>
      </w:r>
      <w:r w:rsidR="00932086" w:rsidRPr="00A616C3">
        <w:rPr>
          <w:lang w:val="en-GB"/>
        </w:rPr>
        <w:t xml:space="preserve">infusions of 10, 50, 100, 250, and 500 mg </w:t>
      </w:r>
      <w:r w:rsidR="00A3679E" w:rsidRPr="00A616C3">
        <w:rPr>
          <w:lang w:val="en-GB"/>
        </w:rPr>
        <w:t xml:space="preserve">HERCEPTIN </w:t>
      </w:r>
      <w:r w:rsidR="00932086" w:rsidRPr="00A616C3">
        <w:rPr>
          <w:lang w:val="en-GB"/>
        </w:rPr>
        <w:t xml:space="preserve">once weekly in patients demonstrated </w:t>
      </w:r>
      <w:r w:rsidRPr="00A616C3">
        <w:rPr>
          <w:lang w:val="en-GB"/>
        </w:rPr>
        <w:t>non-linear</w:t>
      </w:r>
      <w:r w:rsidR="00932086" w:rsidRPr="00A616C3">
        <w:rPr>
          <w:lang w:val="en-GB"/>
        </w:rPr>
        <w:t xml:space="preserve"> pharmacokinetics</w:t>
      </w:r>
      <w:r w:rsidRPr="00A616C3">
        <w:rPr>
          <w:lang w:val="en-GB"/>
        </w:rPr>
        <w:t xml:space="preserve"> where </w:t>
      </w:r>
      <w:r w:rsidR="00932086" w:rsidRPr="00A616C3">
        <w:rPr>
          <w:lang w:val="en-GB"/>
        </w:rPr>
        <w:t>clearance decreased with increased dose.</w:t>
      </w:r>
    </w:p>
    <w:p w:rsidR="00D2760B" w:rsidRPr="00066413" w:rsidRDefault="00932086" w:rsidP="00C73E86">
      <w:pPr>
        <w:rPr>
          <w:rFonts w:cstheme="minorHAnsi"/>
        </w:rPr>
      </w:pPr>
      <w:r w:rsidRPr="00962CE8">
        <w:rPr>
          <w:rFonts w:cstheme="minorHAnsi"/>
        </w:rPr>
        <w:t xml:space="preserve">A population pharmacokinetic method, using data from Phase I, Phase II and pivotal Phase III studies, was used to estimate the steady state pharmacokinetics in </w:t>
      </w:r>
      <w:r w:rsidR="00422CFA" w:rsidRPr="00B30213">
        <w:rPr>
          <w:rFonts w:cstheme="minorHAnsi"/>
        </w:rPr>
        <w:t xml:space="preserve">metastatic breast cancer </w:t>
      </w:r>
      <w:r w:rsidR="009F47BF" w:rsidRPr="000300F1">
        <w:rPr>
          <w:rFonts w:cstheme="minorHAnsi"/>
        </w:rPr>
        <w:t>patients</w:t>
      </w:r>
      <w:r w:rsidRPr="000300F1">
        <w:rPr>
          <w:rFonts w:cstheme="minorHAnsi"/>
        </w:rPr>
        <w:t xml:space="preserve">. </w:t>
      </w:r>
      <w:r w:rsidR="000B4B7A" w:rsidRPr="000300F1">
        <w:rPr>
          <w:rFonts w:cstheme="minorHAnsi"/>
        </w:rPr>
        <w:t>F</w:t>
      </w:r>
      <w:r w:rsidR="00093E4C" w:rsidRPr="00DA18D2">
        <w:rPr>
          <w:rFonts w:cstheme="minorHAnsi"/>
        </w:rPr>
        <w:t xml:space="preserve">or a </w:t>
      </w:r>
      <w:r w:rsidRPr="00DA18D2">
        <w:rPr>
          <w:rFonts w:cstheme="minorHAnsi"/>
        </w:rPr>
        <w:t xml:space="preserve">typical </w:t>
      </w:r>
      <w:r w:rsidR="00093E4C" w:rsidRPr="00DA18D2">
        <w:rPr>
          <w:rFonts w:cstheme="minorHAnsi"/>
        </w:rPr>
        <w:t xml:space="preserve">patient (body weight of 68 kg) the </w:t>
      </w:r>
      <w:r w:rsidRPr="00DA18D2">
        <w:rPr>
          <w:rFonts w:cstheme="minorHAnsi"/>
        </w:rPr>
        <w:t xml:space="preserve">clearance of </w:t>
      </w:r>
      <w:proofErr w:type="spellStart"/>
      <w:r w:rsidRPr="00DA18D2">
        <w:rPr>
          <w:rFonts w:cstheme="minorHAnsi"/>
        </w:rPr>
        <w:t>trastuzumab</w:t>
      </w:r>
      <w:proofErr w:type="spellEnd"/>
      <w:r w:rsidRPr="00DA18D2">
        <w:rPr>
          <w:rFonts w:cstheme="minorHAnsi"/>
        </w:rPr>
        <w:t xml:space="preserve"> was 0.</w:t>
      </w:r>
      <w:r w:rsidR="00CF67D3" w:rsidRPr="00DA18D2">
        <w:rPr>
          <w:rFonts w:cstheme="minorHAnsi"/>
        </w:rPr>
        <w:t>2</w:t>
      </w:r>
      <w:r w:rsidR="00191F29" w:rsidRPr="00DA18D2">
        <w:rPr>
          <w:rFonts w:cstheme="minorHAnsi"/>
        </w:rPr>
        <w:t>4</w:t>
      </w:r>
      <w:r w:rsidR="00CF67D3" w:rsidRPr="00DA18D2">
        <w:rPr>
          <w:rFonts w:cstheme="minorHAnsi"/>
        </w:rPr>
        <w:t xml:space="preserve">1 </w:t>
      </w:r>
      <w:r w:rsidRPr="003974A3">
        <w:rPr>
          <w:rFonts w:cstheme="minorHAnsi"/>
        </w:rPr>
        <w:t xml:space="preserve">L/day and volume of distribution </w:t>
      </w:r>
      <w:r w:rsidR="00CF67D3" w:rsidRPr="003974A3">
        <w:rPr>
          <w:rFonts w:cstheme="minorHAnsi"/>
        </w:rPr>
        <w:t xml:space="preserve">of the central </w:t>
      </w:r>
      <w:r w:rsidR="00B450E1" w:rsidRPr="003974A3">
        <w:rPr>
          <w:rFonts w:cstheme="minorHAnsi"/>
        </w:rPr>
        <w:t>(</w:t>
      </w:r>
      <w:proofErr w:type="spellStart"/>
      <w:r w:rsidR="00B450E1" w:rsidRPr="003974A3">
        <w:rPr>
          <w:rFonts w:cstheme="minorHAnsi"/>
        </w:rPr>
        <w:t>Vc</w:t>
      </w:r>
      <w:proofErr w:type="spellEnd"/>
      <w:r w:rsidR="00B450E1" w:rsidRPr="003974A3">
        <w:rPr>
          <w:rFonts w:cstheme="minorHAnsi"/>
        </w:rPr>
        <w:t xml:space="preserve">) </w:t>
      </w:r>
      <w:r w:rsidR="00B450E1" w:rsidRPr="003974A3">
        <w:rPr>
          <w:rFonts w:cstheme="minorHAnsi"/>
          <w:lang w:val="en-GB"/>
        </w:rPr>
        <w:t>and peripheral (</w:t>
      </w:r>
      <w:proofErr w:type="spellStart"/>
      <w:r w:rsidR="00B450E1" w:rsidRPr="003974A3">
        <w:rPr>
          <w:rFonts w:cstheme="minorHAnsi"/>
          <w:lang w:val="en-GB"/>
        </w:rPr>
        <w:t>Vp</w:t>
      </w:r>
      <w:proofErr w:type="spellEnd"/>
      <w:r w:rsidR="00B450E1" w:rsidRPr="003974A3">
        <w:rPr>
          <w:rFonts w:cstheme="minorHAnsi"/>
          <w:lang w:val="en-GB"/>
        </w:rPr>
        <w:t xml:space="preserve">) </w:t>
      </w:r>
      <w:r w:rsidR="00B450E1" w:rsidRPr="009866DE">
        <w:rPr>
          <w:rFonts w:cstheme="minorHAnsi"/>
        </w:rPr>
        <w:t>compartments</w:t>
      </w:r>
      <w:r w:rsidR="00CF67D3" w:rsidRPr="009866DE">
        <w:rPr>
          <w:rFonts w:cstheme="minorHAnsi"/>
        </w:rPr>
        <w:t xml:space="preserve"> </w:t>
      </w:r>
      <w:r w:rsidRPr="003F417C">
        <w:rPr>
          <w:rFonts w:cstheme="minorHAnsi"/>
        </w:rPr>
        <w:t>w</w:t>
      </w:r>
      <w:r w:rsidR="00B450E1" w:rsidRPr="003F417C">
        <w:rPr>
          <w:rFonts w:cstheme="minorHAnsi"/>
        </w:rPr>
        <w:t>ere</w:t>
      </w:r>
      <w:r w:rsidRPr="003F417C">
        <w:rPr>
          <w:rFonts w:cstheme="minorHAnsi"/>
        </w:rPr>
        <w:t xml:space="preserve"> </w:t>
      </w:r>
      <w:r w:rsidR="00CF67D3" w:rsidRPr="003F417C">
        <w:rPr>
          <w:rFonts w:cstheme="minorHAnsi"/>
        </w:rPr>
        <w:t>3.02</w:t>
      </w:r>
      <w:r w:rsidRPr="003F417C">
        <w:rPr>
          <w:rFonts w:cstheme="minorHAnsi"/>
        </w:rPr>
        <w:t xml:space="preserve"> L, </w:t>
      </w:r>
      <w:r w:rsidR="00B450E1" w:rsidRPr="00066413">
        <w:rPr>
          <w:rFonts w:cstheme="minorHAnsi"/>
        </w:rPr>
        <w:t xml:space="preserve">and </w:t>
      </w:r>
      <w:r w:rsidR="00AD68A9" w:rsidRPr="00066413">
        <w:rPr>
          <w:rFonts w:cstheme="minorHAnsi"/>
        </w:rPr>
        <w:t>2</w:t>
      </w:r>
      <w:r w:rsidR="00B450E1" w:rsidRPr="00066413">
        <w:rPr>
          <w:rFonts w:cstheme="minorHAnsi"/>
        </w:rPr>
        <w:t xml:space="preserve">.68 L respectively, </w:t>
      </w:r>
      <w:r w:rsidRPr="00066413">
        <w:rPr>
          <w:rFonts w:cstheme="minorHAnsi"/>
        </w:rPr>
        <w:t xml:space="preserve">with a corresponding </w:t>
      </w:r>
      <w:r w:rsidR="00B450E1" w:rsidRPr="00066413">
        <w:rPr>
          <w:rFonts w:cstheme="minorHAnsi"/>
        </w:rPr>
        <w:t xml:space="preserve">elimination </w:t>
      </w:r>
      <w:r w:rsidRPr="00066413">
        <w:rPr>
          <w:rFonts w:cstheme="minorHAnsi"/>
        </w:rPr>
        <w:t xml:space="preserve">half-life </w:t>
      </w:r>
      <w:r w:rsidR="00817ED1" w:rsidRPr="00066413">
        <w:rPr>
          <w:rFonts w:cstheme="minorHAnsi"/>
        </w:rPr>
        <w:t>ranging from approximately 28-</w:t>
      </w:r>
      <w:r w:rsidR="00AD68A9" w:rsidRPr="00066413">
        <w:rPr>
          <w:rFonts w:cstheme="minorHAnsi"/>
        </w:rPr>
        <w:t>3</w:t>
      </w:r>
      <w:r w:rsidRPr="00066413">
        <w:rPr>
          <w:rFonts w:cstheme="minorHAnsi"/>
        </w:rPr>
        <w:t>8 days</w:t>
      </w:r>
      <w:r w:rsidR="00817ED1" w:rsidRPr="00066413">
        <w:rPr>
          <w:rFonts w:cstheme="minorHAnsi"/>
        </w:rPr>
        <w:t>.</w:t>
      </w:r>
      <w:r w:rsidR="00B450E1" w:rsidRPr="00066413">
        <w:rPr>
          <w:rFonts w:cstheme="minorHAnsi"/>
        </w:rPr>
        <w:t xml:space="preserve"> </w:t>
      </w:r>
      <w:r w:rsidR="008B598D" w:rsidRPr="00066413">
        <w:rPr>
          <w:rFonts w:cstheme="minorHAnsi"/>
          <w:lang w:val="en-GB"/>
        </w:rPr>
        <w:t xml:space="preserve"> </w:t>
      </w:r>
      <w:r w:rsidR="00817ED1" w:rsidRPr="007C28CF">
        <w:rPr>
          <w:rFonts w:cstheme="minorHAnsi"/>
          <w:lang w:val="en-GB"/>
        </w:rPr>
        <w:t>These indicate</w:t>
      </w:r>
      <w:r w:rsidR="008B598D" w:rsidRPr="007C28CF">
        <w:rPr>
          <w:rFonts w:cstheme="minorHAnsi"/>
          <w:lang w:val="en-GB"/>
        </w:rPr>
        <w:t xml:space="preserve"> steady state pharmacokinetics should </w:t>
      </w:r>
      <w:r w:rsidR="00B450E1" w:rsidRPr="007C28CF">
        <w:rPr>
          <w:rFonts w:cstheme="minorHAnsi"/>
          <w:lang w:val="en-GB"/>
        </w:rPr>
        <w:t xml:space="preserve">therefore </w:t>
      </w:r>
      <w:r w:rsidR="008B598D" w:rsidRPr="007C28CF">
        <w:rPr>
          <w:rFonts w:cstheme="minorHAnsi"/>
          <w:lang w:val="en-GB"/>
        </w:rPr>
        <w:t>be reached by approximately 2</w:t>
      </w:r>
      <w:r w:rsidR="00817ED1" w:rsidRPr="007C28CF">
        <w:rPr>
          <w:rFonts w:cstheme="minorHAnsi"/>
          <w:lang w:val="en-GB"/>
        </w:rPr>
        <w:t>7</w:t>
      </w:r>
      <w:r w:rsidR="008B598D" w:rsidRPr="002E1252">
        <w:rPr>
          <w:rFonts w:cstheme="minorHAnsi"/>
          <w:lang w:val="en-GB"/>
        </w:rPr>
        <w:t xml:space="preserve"> weeks</w:t>
      </w:r>
      <w:r w:rsidR="00817ED1" w:rsidRPr="009554F5">
        <w:rPr>
          <w:rFonts w:cstheme="minorHAnsi"/>
          <w:lang w:val="en-GB"/>
        </w:rPr>
        <w:t>, with</w:t>
      </w:r>
      <w:r w:rsidR="00EB41C4" w:rsidRPr="009554F5">
        <w:rPr>
          <w:rFonts w:cstheme="minorHAnsi"/>
          <w:lang w:val="en-GB"/>
        </w:rPr>
        <w:t xml:space="preserve"> </w:t>
      </w:r>
      <w:r w:rsidR="00EB41C4" w:rsidRPr="00962CE8">
        <w:rPr>
          <w:rFonts w:eastAsia="SimSun" w:cstheme="minorHAnsi"/>
          <w:lang w:eastAsia="zh-CN"/>
        </w:rPr>
        <w:t>me</w:t>
      </w:r>
      <w:r w:rsidR="00C84E09" w:rsidRPr="00962CE8">
        <w:rPr>
          <w:rFonts w:eastAsia="SimSun" w:cstheme="minorHAnsi"/>
          <w:lang w:eastAsia="zh-CN"/>
        </w:rPr>
        <w:t>an</w:t>
      </w:r>
      <w:r w:rsidR="00EB41C4" w:rsidRPr="00962CE8">
        <w:rPr>
          <w:rFonts w:eastAsia="SimSun" w:cstheme="minorHAnsi"/>
          <w:lang w:eastAsia="zh-CN"/>
        </w:rPr>
        <w:t xml:space="preserve"> predicted AUC at steady state (over a three week period) of </w:t>
      </w:r>
      <w:r w:rsidR="00C84E09" w:rsidRPr="00962CE8">
        <w:rPr>
          <w:rFonts w:eastAsia="SimSun" w:cstheme="minorHAnsi"/>
          <w:lang w:eastAsia="zh-CN"/>
        </w:rPr>
        <w:t>1822</w:t>
      </w:r>
      <w:r w:rsidR="00EB41C4" w:rsidRPr="00962CE8">
        <w:rPr>
          <w:rFonts w:eastAsia="SimSun" w:cstheme="minorHAnsi"/>
          <w:lang w:eastAsia="zh-CN"/>
        </w:rPr>
        <w:t>mg•day/L with weekly dosing and</w:t>
      </w:r>
      <w:r w:rsidR="00C84E09" w:rsidRPr="00962CE8">
        <w:rPr>
          <w:rFonts w:eastAsia="SimSun" w:cstheme="minorHAnsi"/>
          <w:lang w:eastAsia="zh-CN"/>
        </w:rPr>
        <w:t>1912</w:t>
      </w:r>
      <w:r w:rsidR="007C115D" w:rsidRPr="00962CE8">
        <w:rPr>
          <w:rFonts w:eastAsia="SimSun" w:cstheme="minorHAnsi"/>
          <w:lang w:eastAsia="zh-CN"/>
        </w:rPr>
        <w:t xml:space="preserve"> </w:t>
      </w:r>
      <w:proofErr w:type="spellStart"/>
      <w:r w:rsidR="00EB41C4" w:rsidRPr="00962CE8">
        <w:rPr>
          <w:rFonts w:eastAsia="SimSun" w:cstheme="minorHAnsi"/>
          <w:lang w:eastAsia="zh-CN"/>
        </w:rPr>
        <w:t>mg•day</w:t>
      </w:r>
      <w:proofErr w:type="spellEnd"/>
      <w:r w:rsidR="00EB41C4" w:rsidRPr="00962CE8">
        <w:rPr>
          <w:rFonts w:eastAsia="SimSun" w:cstheme="minorHAnsi"/>
          <w:lang w:eastAsia="zh-CN"/>
        </w:rPr>
        <w:t>/L with 3-weekly (once every three</w:t>
      </w:r>
      <w:r w:rsidR="00EB41C4" w:rsidRPr="00962CE8">
        <w:rPr>
          <w:rFonts w:eastAsia="SimSun" w:cstheme="minorHAnsi"/>
        </w:rPr>
        <w:t xml:space="preserve"> weeks) </w:t>
      </w:r>
      <w:r w:rsidR="00EB41C4" w:rsidRPr="00962CE8">
        <w:rPr>
          <w:rFonts w:eastAsia="SimSun" w:cstheme="minorHAnsi"/>
          <w:lang w:eastAsia="zh-CN"/>
        </w:rPr>
        <w:t>dosing. The estimated me</w:t>
      </w:r>
      <w:r w:rsidR="00C84E09" w:rsidRPr="00962CE8">
        <w:rPr>
          <w:rFonts w:eastAsia="SimSun" w:cstheme="minorHAnsi"/>
          <w:lang w:eastAsia="zh-CN"/>
        </w:rPr>
        <w:t>an</w:t>
      </w:r>
      <w:r w:rsidR="00EB41C4" w:rsidRPr="00962CE8">
        <w:rPr>
          <w:rFonts w:eastAsia="SimSun" w:cstheme="minorHAnsi"/>
        </w:rPr>
        <w:t xml:space="preserve"> peak and trough concentrations </w:t>
      </w:r>
      <w:r w:rsidR="00EB41C4" w:rsidRPr="00962CE8">
        <w:rPr>
          <w:rFonts w:eastAsia="SimSun" w:cstheme="minorHAnsi"/>
          <w:lang w:eastAsia="zh-CN"/>
        </w:rPr>
        <w:t xml:space="preserve">were </w:t>
      </w:r>
      <w:r w:rsidR="00C84E09" w:rsidRPr="00962CE8">
        <w:rPr>
          <w:rFonts w:eastAsia="SimSun" w:cstheme="minorHAnsi"/>
          <w:lang w:eastAsia="zh-CN"/>
        </w:rPr>
        <w:t xml:space="preserve">113 </w:t>
      </w:r>
      <w:r w:rsidR="00EB41C4" w:rsidRPr="00962CE8">
        <w:rPr>
          <w:rFonts w:eastAsia="SimSun" w:cstheme="minorHAnsi"/>
          <w:lang w:eastAsia="zh-CN"/>
        </w:rPr>
        <w:t xml:space="preserve">mg/L and </w:t>
      </w:r>
      <w:r w:rsidR="00E2308B" w:rsidRPr="00962CE8">
        <w:rPr>
          <w:rFonts w:eastAsia="SimSun" w:cstheme="minorHAnsi"/>
          <w:lang w:eastAsia="zh-CN"/>
        </w:rPr>
        <w:t>69.</w:t>
      </w:r>
      <w:r w:rsidR="00C84E09" w:rsidRPr="00962CE8">
        <w:rPr>
          <w:rFonts w:eastAsia="SimSun" w:cstheme="minorHAnsi"/>
          <w:lang w:eastAsia="zh-CN"/>
        </w:rPr>
        <w:t>9</w:t>
      </w:r>
      <w:r w:rsidR="00EB41C4" w:rsidRPr="00962CE8">
        <w:rPr>
          <w:rFonts w:eastAsia="SimSun" w:cstheme="minorHAnsi"/>
          <w:lang w:eastAsia="zh-CN"/>
        </w:rPr>
        <w:t xml:space="preserve"> mg/L (weekly) and </w:t>
      </w:r>
      <w:r w:rsidR="00C84E09" w:rsidRPr="00962CE8">
        <w:rPr>
          <w:rFonts w:eastAsia="SimSun" w:cstheme="minorHAnsi"/>
          <w:lang w:eastAsia="zh-CN"/>
        </w:rPr>
        <w:t>184</w:t>
      </w:r>
      <w:r w:rsidR="00A20E95" w:rsidRPr="00962CE8">
        <w:rPr>
          <w:rFonts w:eastAsia="SimSun" w:cstheme="minorHAnsi"/>
          <w:lang w:eastAsia="zh-CN"/>
        </w:rPr>
        <w:t xml:space="preserve"> </w:t>
      </w:r>
      <w:r w:rsidR="00EB41C4" w:rsidRPr="00962CE8">
        <w:rPr>
          <w:rFonts w:eastAsia="SimSun" w:cstheme="minorHAnsi"/>
          <w:lang w:eastAsia="zh-CN"/>
        </w:rPr>
        <w:t xml:space="preserve">mg/L and </w:t>
      </w:r>
      <w:proofErr w:type="gramStart"/>
      <w:r w:rsidR="00E2308B" w:rsidRPr="00962CE8">
        <w:rPr>
          <w:rFonts w:eastAsia="SimSun" w:cstheme="minorHAnsi"/>
          <w:lang w:eastAsia="zh-CN"/>
        </w:rPr>
        <w:t>52.9</w:t>
      </w:r>
      <w:r w:rsidR="00C84E09" w:rsidRPr="00962CE8">
        <w:rPr>
          <w:rFonts w:eastAsia="SimSun" w:cstheme="minorHAnsi"/>
          <w:lang w:eastAsia="zh-CN"/>
        </w:rPr>
        <w:t xml:space="preserve"> </w:t>
      </w:r>
      <w:r w:rsidR="00EB41C4" w:rsidRPr="00962CE8">
        <w:rPr>
          <w:rFonts w:eastAsia="SimSun" w:cstheme="minorHAnsi"/>
          <w:lang w:eastAsia="zh-CN"/>
        </w:rPr>
        <w:t xml:space="preserve"> mg</w:t>
      </w:r>
      <w:proofErr w:type="gramEnd"/>
      <w:r w:rsidR="00EB41C4" w:rsidRPr="00962CE8">
        <w:rPr>
          <w:rFonts w:eastAsia="SimSun" w:cstheme="minorHAnsi"/>
          <w:lang w:eastAsia="zh-CN"/>
        </w:rPr>
        <w:t>/L (3-weekly) respectively. Comparable</w:t>
      </w:r>
      <w:r w:rsidR="005C6BDD" w:rsidRPr="00962CE8">
        <w:rPr>
          <w:rFonts w:eastAsia="SimSun" w:cstheme="minorHAnsi"/>
          <w:lang w:eastAsia="zh-CN"/>
        </w:rPr>
        <w:t xml:space="preserve"> </w:t>
      </w:r>
      <w:r w:rsidR="008E53CB" w:rsidRPr="00962CE8">
        <w:rPr>
          <w:rFonts w:cstheme="minorHAnsi"/>
        </w:rPr>
        <w:t>s</w:t>
      </w:r>
      <w:r w:rsidR="00C73E86" w:rsidRPr="00962CE8">
        <w:rPr>
          <w:rFonts w:cstheme="minorHAnsi"/>
        </w:rPr>
        <w:t xml:space="preserve">teady state </w:t>
      </w:r>
      <w:r w:rsidR="00FC20E7" w:rsidRPr="00B30213">
        <w:rPr>
          <w:rFonts w:cstheme="minorHAnsi"/>
        </w:rPr>
        <w:t xml:space="preserve">mean </w:t>
      </w:r>
      <w:proofErr w:type="spellStart"/>
      <w:r w:rsidR="00FC20E7" w:rsidRPr="00B30213">
        <w:rPr>
          <w:rFonts w:cstheme="minorHAnsi"/>
        </w:rPr>
        <w:t>C</w:t>
      </w:r>
      <w:r w:rsidR="00FC20E7" w:rsidRPr="000300F1">
        <w:rPr>
          <w:rFonts w:cstheme="minorHAnsi"/>
          <w:vertAlign w:val="subscript"/>
        </w:rPr>
        <w:t>max</w:t>
      </w:r>
      <w:proofErr w:type="spellEnd"/>
      <w:r w:rsidR="00997519" w:rsidRPr="000300F1">
        <w:rPr>
          <w:rFonts w:cstheme="minorHAnsi"/>
        </w:rPr>
        <w:t xml:space="preserve"> of </w:t>
      </w:r>
      <w:r w:rsidR="00FC20E7" w:rsidRPr="000300F1">
        <w:rPr>
          <w:rFonts w:cstheme="minorHAnsi"/>
        </w:rPr>
        <w:t>225</w:t>
      </w:r>
      <w:r w:rsidR="00C73E86" w:rsidRPr="00DA18D2">
        <w:rPr>
          <w:rFonts w:cstheme="minorHAnsi"/>
        </w:rPr>
        <w:t xml:space="preserve"> </w:t>
      </w:r>
      <w:r w:rsidR="00FC20E7" w:rsidRPr="00DA18D2">
        <w:rPr>
          <w:rFonts w:cstheme="minorHAnsi"/>
        </w:rPr>
        <w:t>µg</w:t>
      </w:r>
      <w:r w:rsidR="00C73E86" w:rsidRPr="00DA18D2">
        <w:rPr>
          <w:rFonts w:cstheme="minorHAnsi"/>
        </w:rPr>
        <w:t>/</w:t>
      </w:r>
      <w:r w:rsidR="00260799" w:rsidRPr="00DA18D2">
        <w:rPr>
          <w:rFonts w:cstheme="minorHAnsi"/>
        </w:rPr>
        <w:t>m</w:t>
      </w:r>
      <w:r w:rsidR="00C73E86" w:rsidRPr="00DA18D2">
        <w:rPr>
          <w:rFonts w:cstheme="minorHAnsi"/>
        </w:rPr>
        <w:t>L</w:t>
      </w:r>
      <w:r w:rsidR="00FC20E7" w:rsidRPr="00DA18D2">
        <w:rPr>
          <w:rFonts w:cstheme="minorHAnsi"/>
        </w:rPr>
        <w:t xml:space="preserve"> and mean </w:t>
      </w:r>
      <w:proofErr w:type="spellStart"/>
      <w:r w:rsidR="00FC20E7" w:rsidRPr="00DA18D2">
        <w:rPr>
          <w:rFonts w:cstheme="minorHAnsi"/>
        </w:rPr>
        <w:t>C</w:t>
      </w:r>
      <w:r w:rsidR="00FC20E7" w:rsidRPr="00DA18D2">
        <w:rPr>
          <w:rFonts w:cstheme="minorHAnsi"/>
          <w:vertAlign w:val="subscript"/>
        </w:rPr>
        <w:t>min</w:t>
      </w:r>
      <w:proofErr w:type="spellEnd"/>
      <w:r w:rsidR="00FC20E7" w:rsidRPr="00DA18D2">
        <w:rPr>
          <w:rFonts w:cstheme="minorHAnsi"/>
        </w:rPr>
        <w:t xml:space="preserve"> of 68.9 µg/mL at day 21 of cycle 18, the last cycle of 1 year</w:t>
      </w:r>
      <w:r w:rsidR="00260799" w:rsidRPr="00DA18D2">
        <w:rPr>
          <w:rFonts w:cstheme="minorHAnsi"/>
        </w:rPr>
        <w:t xml:space="preserve"> of</w:t>
      </w:r>
      <w:r w:rsidR="00FC20E7" w:rsidRPr="00DA18D2">
        <w:rPr>
          <w:rFonts w:cstheme="minorHAnsi"/>
        </w:rPr>
        <w:t xml:space="preserve"> treatment</w:t>
      </w:r>
      <w:r w:rsidR="00D87623" w:rsidRPr="003974A3">
        <w:rPr>
          <w:rFonts w:cstheme="minorHAnsi"/>
        </w:rPr>
        <w:t xml:space="preserve"> </w:t>
      </w:r>
      <w:r w:rsidR="008E53CB" w:rsidRPr="003974A3">
        <w:rPr>
          <w:rFonts w:cstheme="minorHAnsi"/>
        </w:rPr>
        <w:t>have been reported</w:t>
      </w:r>
      <w:r w:rsidR="00D87623" w:rsidRPr="003974A3">
        <w:rPr>
          <w:rFonts w:cstheme="minorHAnsi"/>
        </w:rPr>
        <w:t xml:space="preserve"> in </w:t>
      </w:r>
      <w:r w:rsidR="00303DE7" w:rsidRPr="003974A3">
        <w:rPr>
          <w:rFonts w:cstheme="minorHAnsi"/>
        </w:rPr>
        <w:t>early</w:t>
      </w:r>
      <w:r w:rsidR="00D87623" w:rsidRPr="009866DE">
        <w:rPr>
          <w:rFonts w:cstheme="minorHAnsi"/>
        </w:rPr>
        <w:t xml:space="preserve"> breast cancer patients administered HERCEPTIN</w:t>
      </w:r>
      <w:r w:rsidR="001273F6" w:rsidRPr="009866DE">
        <w:rPr>
          <w:rFonts w:cstheme="minorHAnsi"/>
        </w:rPr>
        <w:t xml:space="preserve"> IV</w:t>
      </w:r>
      <w:r w:rsidR="00D87623" w:rsidRPr="003F417C">
        <w:rPr>
          <w:rFonts w:cstheme="minorHAnsi"/>
        </w:rPr>
        <w:t xml:space="preserve"> 3-weekly</w:t>
      </w:r>
      <w:r w:rsidR="00C73E86" w:rsidRPr="00066413">
        <w:rPr>
          <w:rFonts w:cstheme="minorHAnsi"/>
        </w:rPr>
        <w:t>.</w:t>
      </w:r>
    </w:p>
    <w:p w:rsidR="00D87623" w:rsidRPr="00A616C3" w:rsidRDefault="00D87623" w:rsidP="00D87623">
      <w:r w:rsidRPr="00A616C3">
        <w:t xml:space="preserve">It is expected that serum </w:t>
      </w:r>
      <w:proofErr w:type="spellStart"/>
      <w:r w:rsidRPr="00A616C3">
        <w:t>trastuzumab</w:t>
      </w:r>
      <w:proofErr w:type="spellEnd"/>
      <w:r w:rsidRPr="00A616C3">
        <w:t xml:space="preserve"> levels will fall to less than 5% of the trough levels at steady state approximately 27 weeks </w:t>
      </w:r>
      <w:r w:rsidRPr="00A616C3">
        <w:rPr>
          <w:lang w:val="en-GB"/>
        </w:rPr>
        <w:t xml:space="preserve">(190 days or 5 elimination half-lives) </w:t>
      </w:r>
      <w:r w:rsidRPr="00A616C3">
        <w:t xml:space="preserve">after a dose discontinuation. </w:t>
      </w:r>
    </w:p>
    <w:p w:rsidR="00932086" w:rsidRPr="00A616C3" w:rsidRDefault="00932086" w:rsidP="00657070">
      <w:r w:rsidRPr="00A616C3">
        <w:t xml:space="preserve">Detectable concentrations of the circulating extracellular domain of the HER2 receptor (shed antigen) are found in the serum </w:t>
      </w:r>
      <w:r w:rsidR="00EE69A2" w:rsidRPr="00A616C3">
        <w:t>of some patients with HER2 over</w:t>
      </w:r>
      <w:r w:rsidRPr="00A616C3">
        <w:t xml:space="preserve">expressing tumours.  Determination of shed antigen in baseline serum samples revealed that 64% (286/447) of patients had detectable shed antigen, which ranged as high as 1880 </w:t>
      </w:r>
      <w:r w:rsidR="00566C14" w:rsidRPr="00A616C3">
        <w:rPr>
          <w:rFonts w:eastAsia="SimSun"/>
          <w:lang w:eastAsia="zh-CN"/>
        </w:rPr>
        <w:t>µ</w:t>
      </w:r>
      <w:r w:rsidRPr="00A616C3">
        <w:t xml:space="preserve">g/L (median = 11 </w:t>
      </w:r>
      <w:r w:rsidR="00566C14" w:rsidRPr="00A616C3">
        <w:rPr>
          <w:rFonts w:eastAsia="SimSun"/>
          <w:lang w:eastAsia="zh-CN"/>
        </w:rPr>
        <w:t>µ</w:t>
      </w:r>
      <w:r w:rsidRPr="00A616C3">
        <w:t xml:space="preserve">g/L).  Patients with higher baseline shed antigen levels were more likely to have lower serum trough concentrations of </w:t>
      </w:r>
      <w:proofErr w:type="spellStart"/>
      <w:r w:rsidRPr="00A616C3">
        <w:t>trastuzumab</w:t>
      </w:r>
      <w:proofErr w:type="spellEnd"/>
      <w:r w:rsidRPr="00A616C3">
        <w:t xml:space="preserve">.  However, with weekly dosing, most patients with elevated shed antigen levels achieved target serum concentrations of </w:t>
      </w:r>
      <w:proofErr w:type="spellStart"/>
      <w:r w:rsidRPr="00A616C3">
        <w:t>trastuzumab</w:t>
      </w:r>
      <w:proofErr w:type="spellEnd"/>
      <w:r w:rsidRPr="00A616C3">
        <w:t xml:space="preserve"> (&gt;20 </w:t>
      </w:r>
      <w:r w:rsidR="00BB7C23" w:rsidRPr="00A616C3">
        <w:t>m</w:t>
      </w:r>
      <w:r w:rsidRPr="00A616C3">
        <w:rPr>
          <w:lang w:val="en-GB"/>
        </w:rPr>
        <w:t>g</w:t>
      </w:r>
      <w:r w:rsidRPr="00A616C3">
        <w:t>/L) by week 6.</w:t>
      </w:r>
    </w:p>
    <w:p w:rsidR="00932086" w:rsidRPr="00A616C3" w:rsidRDefault="00932086" w:rsidP="006D53E3">
      <w:pPr>
        <w:pStyle w:val="Heading4"/>
        <w:ind w:left="0"/>
        <w:rPr>
          <w:sz w:val="22"/>
        </w:rPr>
      </w:pPr>
      <w:r w:rsidRPr="00A616C3">
        <w:rPr>
          <w:sz w:val="22"/>
        </w:rPr>
        <w:t xml:space="preserve">Pharmacokinetics in </w:t>
      </w:r>
      <w:r w:rsidR="003B2C9F" w:rsidRPr="00A616C3">
        <w:rPr>
          <w:sz w:val="22"/>
        </w:rPr>
        <w:t>S</w:t>
      </w:r>
      <w:r w:rsidRPr="00A616C3">
        <w:rPr>
          <w:sz w:val="22"/>
        </w:rPr>
        <w:t xml:space="preserve">pecial </w:t>
      </w:r>
      <w:r w:rsidR="003B2C9F" w:rsidRPr="00A616C3">
        <w:rPr>
          <w:sz w:val="22"/>
        </w:rPr>
        <w:t>P</w:t>
      </w:r>
      <w:r w:rsidRPr="00A616C3">
        <w:rPr>
          <w:sz w:val="22"/>
        </w:rPr>
        <w:t>opulations</w:t>
      </w:r>
    </w:p>
    <w:p w:rsidR="00932086" w:rsidRPr="00A616C3" w:rsidRDefault="00FC20E7" w:rsidP="00657070">
      <w:r w:rsidRPr="00A616C3">
        <w:t xml:space="preserve">Dedicated </w:t>
      </w:r>
      <w:r w:rsidR="00932086" w:rsidRPr="00A616C3">
        <w:t xml:space="preserve">pharmacokinetic studies in the elderly and those with renal or hepatic impairment have not been carried out. </w:t>
      </w:r>
      <w:r w:rsidR="00D07E6D" w:rsidRPr="00A616C3">
        <w:t xml:space="preserve">However, in a population PK analysis, age and renal impairment were not shown to affect </w:t>
      </w:r>
      <w:proofErr w:type="spellStart"/>
      <w:r w:rsidR="00D07E6D" w:rsidRPr="00A616C3">
        <w:t>trastuzumab</w:t>
      </w:r>
      <w:proofErr w:type="spellEnd"/>
      <w:r w:rsidR="00D07E6D" w:rsidRPr="00A616C3">
        <w:t xml:space="preserve"> disposition. </w:t>
      </w:r>
      <w:r w:rsidR="00932086" w:rsidRPr="00A616C3">
        <w:t xml:space="preserve">The population </w:t>
      </w:r>
      <w:r w:rsidR="00D07E6D" w:rsidRPr="00A616C3">
        <w:t xml:space="preserve">PK </w:t>
      </w:r>
      <w:r w:rsidR="00932086" w:rsidRPr="00A616C3">
        <w:t xml:space="preserve">analysis </w:t>
      </w:r>
      <w:r w:rsidR="00520D2B" w:rsidRPr="00A616C3">
        <w:t xml:space="preserve">of the IV formulation </w:t>
      </w:r>
      <w:r w:rsidR="00932086" w:rsidRPr="00A616C3">
        <w:t>show</w:t>
      </w:r>
      <w:r w:rsidR="00D07E6D" w:rsidRPr="00A616C3">
        <w:t>ed</w:t>
      </w:r>
      <w:r w:rsidR="00932086" w:rsidRPr="00A616C3">
        <w:t xml:space="preserve"> that the estimated creatinine clearance (Cockcroft and Gault) does not correlate with the pharmacokinetics of </w:t>
      </w:r>
      <w:proofErr w:type="spellStart"/>
      <w:r w:rsidR="00932086" w:rsidRPr="00A616C3">
        <w:t>trastuzumab</w:t>
      </w:r>
      <w:proofErr w:type="spellEnd"/>
      <w:r w:rsidR="00932086" w:rsidRPr="00A616C3">
        <w:t>.</w:t>
      </w:r>
    </w:p>
    <w:p w:rsidR="00932086" w:rsidRPr="00A616C3" w:rsidRDefault="00F43521" w:rsidP="001F2E81">
      <w:pPr>
        <w:pStyle w:val="Heading2"/>
      </w:pPr>
      <w:r w:rsidRPr="00A616C3">
        <w:rPr>
          <w:caps w:val="0"/>
        </w:rPr>
        <w:t>CLINICAL TRIALS</w:t>
      </w:r>
    </w:p>
    <w:p w:rsidR="00250942" w:rsidRPr="00A616C3" w:rsidRDefault="00934348" w:rsidP="00250942">
      <w:pPr>
        <w:pStyle w:val="Heading3"/>
      </w:pPr>
      <w:r>
        <w:t>Early</w:t>
      </w:r>
      <w:r w:rsidRPr="00A616C3">
        <w:t xml:space="preserve"> </w:t>
      </w:r>
      <w:r w:rsidR="00250942" w:rsidRPr="00A616C3">
        <w:t>Breast Cancer</w:t>
      </w:r>
    </w:p>
    <w:p w:rsidR="00191DEB" w:rsidRDefault="00303DE7" w:rsidP="00191DEB">
      <w:pPr>
        <w:rPr>
          <w:lang w:val="en-GB"/>
        </w:rPr>
      </w:pPr>
      <w:r>
        <w:rPr>
          <w:lang w:val="en-GB"/>
        </w:rPr>
        <w:t xml:space="preserve">Early </w:t>
      </w:r>
      <w:r w:rsidR="00250942" w:rsidRPr="00A616C3">
        <w:rPr>
          <w:lang w:val="en-GB"/>
        </w:rPr>
        <w:t>breast cancer is defined as non-metastatic, primary, invasive carcinoma of the breast.</w:t>
      </w:r>
      <w:r w:rsidR="00191DEB">
        <w:rPr>
          <w:lang w:val="en-GB"/>
        </w:rPr>
        <w:t xml:space="preserve"> </w:t>
      </w:r>
    </w:p>
    <w:p w:rsidR="00310582" w:rsidRPr="00A616C3" w:rsidRDefault="00310582" w:rsidP="009C612E">
      <w:pPr>
        <w:rPr>
          <w:b/>
          <w:lang w:val="en-GB"/>
        </w:rPr>
      </w:pPr>
      <w:r w:rsidRPr="00A616C3">
        <w:rPr>
          <w:i/>
          <w:u w:val="single"/>
        </w:rPr>
        <w:t>HERCEPTIN</w:t>
      </w:r>
      <w:r w:rsidR="001273F6">
        <w:rPr>
          <w:i/>
          <w:u w:val="single"/>
        </w:rPr>
        <w:t xml:space="preserve"> IV</w:t>
      </w:r>
      <w:r w:rsidRPr="00A616C3">
        <w:rPr>
          <w:i/>
          <w:u w:val="single"/>
        </w:rPr>
        <w:t xml:space="preserve"> in Combination with Adjuvant Chemotherapy</w:t>
      </w:r>
    </w:p>
    <w:p w:rsidR="00771C3A" w:rsidRDefault="009C612E">
      <w:pPr>
        <w:sectPr w:rsidR="00771C3A" w:rsidSect="00680788">
          <w:headerReference w:type="default" r:id="rId14"/>
          <w:footerReference w:type="even" r:id="rId15"/>
          <w:footerReference w:type="default" r:id="rId16"/>
          <w:headerReference w:type="first" r:id="rId17"/>
          <w:footerReference w:type="first" r:id="rId18"/>
          <w:pgSz w:w="11907" w:h="16840" w:code="9"/>
          <w:pgMar w:top="1418" w:right="708" w:bottom="1418" w:left="1276" w:header="567" w:footer="567" w:gutter="0"/>
          <w:paperSrc w:first="15" w:other="15"/>
          <w:cols w:space="720"/>
        </w:sectPr>
      </w:pPr>
      <w:r w:rsidRPr="00A616C3">
        <w:rPr>
          <w:lang w:val="en-GB"/>
        </w:rPr>
        <w:lastRenderedPageBreak/>
        <w:t xml:space="preserve">The use of </w:t>
      </w:r>
      <w:r w:rsidR="00934348">
        <w:rPr>
          <w:lang w:val="en-GB"/>
        </w:rPr>
        <w:t xml:space="preserve">adjuvant </w:t>
      </w:r>
      <w:r w:rsidRPr="00A616C3">
        <w:rPr>
          <w:lang w:val="en-GB"/>
        </w:rPr>
        <w:t>HERCEPTIN</w:t>
      </w:r>
      <w:r w:rsidR="001273F6">
        <w:rPr>
          <w:lang w:val="en-GB"/>
        </w:rPr>
        <w:t xml:space="preserve"> IV</w:t>
      </w:r>
      <w:r w:rsidRPr="00A616C3">
        <w:rPr>
          <w:lang w:val="en-GB"/>
        </w:rPr>
        <w:t xml:space="preserve"> in the setting of </w:t>
      </w:r>
      <w:r w:rsidR="00934348">
        <w:rPr>
          <w:lang w:val="en-GB"/>
        </w:rPr>
        <w:t>early</w:t>
      </w:r>
      <w:r w:rsidR="00934348" w:rsidRPr="00A616C3">
        <w:rPr>
          <w:lang w:val="en-GB"/>
        </w:rPr>
        <w:t xml:space="preserve"> </w:t>
      </w:r>
      <w:r w:rsidRPr="00A616C3">
        <w:rPr>
          <w:lang w:val="en-GB"/>
        </w:rPr>
        <w:t>breast cancer (after surgery and in association with chemotherapy</w:t>
      </w:r>
      <w:r w:rsidR="000733FE" w:rsidRPr="00A616C3">
        <w:rPr>
          <w:lang w:val="en-GB"/>
        </w:rPr>
        <w:t xml:space="preserve"> and, if applicable, radiotherapy</w:t>
      </w:r>
      <w:r w:rsidRPr="00A616C3">
        <w:rPr>
          <w:lang w:val="en-GB"/>
        </w:rPr>
        <w:t xml:space="preserve">) has been studied in </w:t>
      </w:r>
      <w:r w:rsidR="00537E60" w:rsidRPr="00A616C3">
        <w:rPr>
          <w:lang w:val="en-GB"/>
        </w:rPr>
        <w:t xml:space="preserve">four multicentre </w:t>
      </w:r>
      <w:r w:rsidRPr="00A616C3">
        <w:rPr>
          <w:lang w:val="en-GB"/>
        </w:rPr>
        <w:t>randomi</w:t>
      </w:r>
      <w:r w:rsidR="00D102C6" w:rsidRPr="00A616C3">
        <w:rPr>
          <w:lang w:val="en-GB"/>
        </w:rPr>
        <w:t>z</w:t>
      </w:r>
      <w:r w:rsidRPr="00A616C3">
        <w:rPr>
          <w:lang w:val="en-GB"/>
        </w:rPr>
        <w:t xml:space="preserve">ed </w:t>
      </w:r>
      <w:r w:rsidR="0030471C" w:rsidRPr="00A616C3">
        <w:rPr>
          <w:lang w:val="en-GB"/>
        </w:rPr>
        <w:t xml:space="preserve">phase III </w:t>
      </w:r>
      <w:r w:rsidRPr="00A616C3">
        <w:rPr>
          <w:lang w:val="en-GB"/>
        </w:rPr>
        <w:t xml:space="preserve">trials of patients with HER2 positive breast cancer who have completed surgery. </w:t>
      </w:r>
      <w:r w:rsidR="000733FE" w:rsidRPr="00A616C3">
        <w:rPr>
          <w:lang w:val="en-GB"/>
        </w:rPr>
        <w:t xml:space="preserve"> In these clinical trials, </w:t>
      </w:r>
      <w:r w:rsidR="00303DE7">
        <w:rPr>
          <w:lang w:val="en-GB"/>
        </w:rPr>
        <w:t>early</w:t>
      </w:r>
      <w:r w:rsidR="00303DE7" w:rsidRPr="00A616C3">
        <w:rPr>
          <w:lang w:val="en-GB"/>
        </w:rPr>
        <w:t xml:space="preserve"> </w:t>
      </w:r>
      <w:r w:rsidR="000733FE" w:rsidRPr="00A616C3">
        <w:rPr>
          <w:lang w:val="en-GB"/>
        </w:rPr>
        <w:t xml:space="preserve">breast cancer was limited to operable, primary adenocarcinoma of the breast with positive axillary nodes or node negative disease with additional indicators of a higher degree of risk.  </w:t>
      </w:r>
      <w:r w:rsidRPr="00A616C3">
        <w:rPr>
          <w:lang w:val="en-GB"/>
        </w:rPr>
        <w:t xml:space="preserve">The design of these studies </w:t>
      </w:r>
      <w:r w:rsidR="002667E2" w:rsidRPr="00A616C3">
        <w:rPr>
          <w:lang w:val="en-GB"/>
        </w:rPr>
        <w:t xml:space="preserve">is </w:t>
      </w:r>
      <w:r w:rsidRPr="00A616C3">
        <w:rPr>
          <w:lang w:val="en-GB"/>
        </w:rPr>
        <w:t>summari</w:t>
      </w:r>
      <w:r w:rsidR="006A7DE4" w:rsidRPr="00A616C3">
        <w:rPr>
          <w:lang w:val="en-GB"/>
        </w:rPr>
        <w:t>z</w:t>
      </w:r>
      <w:r w:rsidRPr="00A616C3">
        <w:rPr>
          <w:lang w:val="en-GB"/>
        </w:rPr>
        <w:t xml:space="preserve">ed in </w:t>
      </w:r>
      <w:r w:rsidR="00465440" w:rsidRPr="00A616C3">
        <w:rPr>
          <w:lang w:val="en-GB"/>
        </w:rPr>
        <w:t xml:space="preserve">Table </w:t>
      </w:r>
      <w:r w:rsidR="004B6771">
        <w:rPr>
          <w:lang w:val="en-GB"/>
        </w:rPr>
        <w:t>1</w:t>
      </w:r>
      <w:r w:rsidR="00C8161A" w:rsidRPr="00A616C3">
        <w:rPr>
          <w:lang w:val="en-GB"/>
        </w:rPr>
        <w:t xml:space="preserve"> and efficacy results are presented in Tables </w:t>
      </w:r>
      <w:r w:rsidR="004B6771">
        <w:rPr>
          <w:lang w:val="en-GB"/>
        </w:rPr>
        <w:t>2-5</w:t>
      </w:r>
      <w:r w:rsidRPr="00A616C3">
        <w:rPr>
          <w:lang w:val="en-GB"/>
        </w:rPr>
        <w:t xml:space="preserve">. </w:t>
      </w:r>
      <w:bookmarkStart w:id="0" w:name="_Ref240688997"/>
      <w:bookmarkStart w:id="1" w:name="_GoBack"/>
      <w:bookmarkEnd w:id="1"/>
    </w:p>
    <w:p w:rsidR="00F72D33" w:rsidRPr="00A616C3" w:rsidRDefault="002B2216" w:rsidP="002B2216">
      <w:pPr>
        <w:pStyle w:val="Caption"/>
        <w:keepNext/>
        <w:rPr>
          <w:lang w:val="en-GB"/>
        </w:rPr>
      </w:pPr>
      <w:r w:rsidRPr="00A616C3">
        <w:lastRenderedPageBreak/>
        <w:t>Table</w:t>
      </w:r>
      <w:r w:rsidR="00465440" w:rsidRPr="00A616C3">
        <w:t xml:space="preserve"> </w:t>
      </w:r>
      <w:bookmarkEnd w:id="0"/>
      <w:r w:rsidR="004B6771">
        <w:t>1</w:t>
      </w:r>
      <w:r w:rsidR="00F72D33" w:rsidRPr="00A616C3">
        <w:rPr>
          <w:lang w:val="en-GB"/>
        </w:rPr>
        <w:t xml:space="preserve">: Clinical Trials in </w:t>
      </w:r>
      <w:r w:rsidR="00303DE7">
        <w:rPr>
          <w:lang w:val="en-GB"/>
        </w:rPr>
        <w:t>Early</w:t>
      </w:r>
      <w:r w:rsidR="00303DE7" w:rsidRPr="00A616C3">
        <w:rPr>
          <w:lang w:val="en-GB"/>
        </w:rPr>
        <w:t xml:space="preserve"> </w:t>
      </w:r>
      <w:r w:rsidR="00F72D33" w:rsidRPr="00A616C3">
        <w:rPr>
          <w:lang w:val="en-GB"/>
        </w:rPr>
        <w:t>Breast Cancer</w:t>
      </w:r>
    </w:p>
    <w:tbl>
      <w:tblPr>
        <w:tblW w:w="0" w:type="auto"/>
        <w:jc w:val="center"/>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2953"/>
        <w:gridCol w:w="2694"/>
        <w:gridCol w:w="2616"/>
      </w:tblGrid>
      <w:tr w:rsidR="00537E60" w:rsidRPr="00A616C3" w:rsidTr="00D85FF0">
        <w:trPr>
          <w:trHeight w:val="389"/>
          <w:tblHeader/>
          <w:jc w:val="center"/>
        </w:trPr>
        <w:tc>
          <w:tcPr>
            <w:tcW w:w="2065" w:type="dxa"/>
            <w:shd w:val="clear" w:color="auto" w:fill="auto"/>
          </w:tcPr>
          <w:p w:rsidR="00537E60" w:rsidRPr="00A616C3" w:rsidRDefault="00537E60" w:rsidP="00586B97">
            <w:pPr>
              <w:jc w:val="center"/>
              <w:rPr>
                <w:b/>
                <w:sz w:val="20"/>
                <w:lang w:val="en-GB"/>
              </w:rPr>
            </w:pPr>
          </w:p>
        </w:tc>
        <w:tc>
          <w:tcPr>
            <w:tcW w:w="2953" w:type="dxa"/>
            <w:shd w:val="clear" w:color="auto" w:fill="auto"/>
          </w:tcPr>
          <w:p w:rsidR="00537E60" w:rsidRPr="00A616C3" w:rsidRDefault="00537E60" w:rsidP="00586B97">
            <w:pPr>
              <w:spacing w:after="0"/>
              <w:jc w:val="center"/>
              <w:rPr>
                <w:b/>
                <w:sz w:val="20"/>
                <w:lang w:val="en-GB"/>
              </w:rPr>
            </w:pPr>
            <w:r w:rsidRPr="00A616C3">
              <w:rPr>
                <w:b/>
                <w:sz w:val="20"/>
                <w:lang w:val="en-GB"/>
              </w:rPr>
              <w:t xml:space="preserve">HERA trial                   </w:t>
            </w:r>
          </w:p>
          <w:p w:rsidR="002667E2" w:rsidRPr="00A616C3" w:rsidRDefault="002667E2" w:rsidP="00586B97">
            <w:pPr>
              <w:spacing w:after="0"/>
              <w:jc w:val="center"/>
              <w:rPr>
                <w:b/>
                <w:sz w:val="20"/>
                <w:lang w:val="en-GB"/>
              </w:rPr>
            </w:pPr>
          </w:p>
          <w:p w:rsidR="00537E60" w:rsidRPr="00A616C3" w:rsidRDefault="00F47F30" w:rsidP="00586B97">
            <w:pPr>
              <w:spacing w:after="0"/>
              <w:jc w:val="center"/>
              <w:rPr>
                <w:b/>
                <w:sz w:val="20"/>
                <w:lang w:val="en-GB"/>
              </w:rPr>
            </w:pPr>
            <w:r w:rsidRPr="00A616C3">
              <w:rPr>
                <w:b/>
                <w:i/>
                <w:sz w:val="20"/>
                <w:lang w:val="en-GB"/>
              </w:rPr>
              <w:t xml:space="preserve">n </w:t>
            </w:r>
            <w:r w:rsidR="00537E60" w:rsidRPr="00A616C3">
              <w:rPr>
                <w:b/>
                <w:sz w:val="20"/>
                <w:lang w:val="en-GB"/>
              </w:rPr>
              <w:t>=</w:t>
            </w:r>
            <w:r w:rsidRPr="00A616C3">
              <w:rPr>
                <w:b/>
                <w:sz w:val="20"/>
                <w:lang w:val="en-GB"/>
              </w:rPr>
              <w:t xml:space="preserve"> </w:t>
            </w:r>
            <w:r w:rsidR="00537E60" w:rsidRPr="00A616C3">
              <w:rPr>
                <w:b/>
                <w:sz w:val="20"/>
                <w:lang w:val="en-GB"/>
              </w:rPr>
              <w:t>3386</w:t>
            </w:r>
          </w:p>
        </w:tc>
        <w:tc>
          <w:tcPr>
            <w:tcW w:w="2694" w:type="dxa"/>
            <w:shd w:val="clear" w:color="auto" w:fill="auto"/>
          </w:tcPr>
          <w:p w:rsidR="00537E60" w:rsidRPr="00A616C3" w:rsidRDefault="00537E60" w:rsidP="00586B97">
            <w:pPr>
              <w:spacing w:after="0"/>
              <w:jc w:val="center"/>
              <w:rPr>
                <w:b/>
                <w:sz w:val="20"/>
                <w:lang w:val="en-GB"/>
              </w:rPr>
            </w:pPr>
            <w:r w:rsidRPr="00A616C3">
              <w:rPr>
                <w:b/>
                <w:sz w:val="20"/>
                <w:lang w:val="en-GB"/>
              </w:rPr>
              <w:t>NSAPB B</w:t>
            </w:r>
            <w:r w:rsidR="001F2D9E" w:rsidRPr="00A616C3">
              <w:rPr>
                <w:b/>
                <w:sz w:val="20"/>
                <w:lang w:val="en-GB"/>
              </w:rPr>
              <w:t>-</w:t>
            </w:r>
            <w:r w:rsidRPr="00A616C3">
              <w:rPr>
                <w:b/>
                <w:sz w:val="20"/>
                <w:lang w:val="en-GB"/>
              </w:rPr>
              <w:t xml:space="preserve">31 and NCCTG N9831 trials (joint analysis)           </w:t>
            </w:r>
          </w:p>
          <w:p w:rsidR="00537E60" w:rsidRPr="00A616C3" w:rsidRDefault="00F47F30" w:rsidP="00586B97">
            <w:pPr>
              <w:spacing w:after="0"/>
              <w:jc w:val="center"/>
              <w:rPr>
                <w:b/>
                <w:sz w:val="20"/>
                <w:lang w:val="en-GB"/>
              </w:rPr>
            </w:pPr>
            <w:r w:rsidRPr="00A616C3">
              <w:rPr>
                <w:b/>
                <w:i/>
                <w:sz w:val="20"/>
                <w:lang w:val="en-GB"/>
              </w:rPr>
              <w:t xml:space="preserve">n </w:t>
            </w:r>
            <w:r w:rsidR="00537E60" w:rsidRPr="00A616C3">
              <w:rPr>
                <w:b/>
                <w:sz w:val="20"/>
                <w:lang w:val="en-GB"/>
              </w:rPr>
              <w:t>=</w:t>
            </w:r>
            <w:r w:rsidRPr="00A616C3">
              <w:rPr>
                <w:b/>
                <w:sz w:val="20"/>
                <w:lang w:val="en-GB"/>
              </w:rPr>
              <w:t xml:space="preserve"> </w:t>
            </w:r>
            <w:r w:rsidR="00537E60" w:rsidRPr="00A616C3">
              <w:rPr>
                <w:b/>
                <w:sz w:val="20"/>
                <w:lang w:val="en-GB"/>
              </w:rPr>
              <w:t>3763</w:t>
            </w:r>
          </w:p>
        </w:tc>
        <w:tc>
          <w:tcPr>
            <w:tcW w:w="2616" w:type="dxa"/>
            <w:shd w:val="clear" w:color="auto" w:fill="auto"/>
          </w:tcPr>
          <w:p w:rsidR="00537E60" w:rsidRPr="00A616C3" w:rsidRDefault="00537E60" w:rsidP="00586B97">
            <w:pPr>
              <w:spacing w:after="0"/>
              <w:jc w:val="center"/>
              <w:rPr>
                <w:b/>
                <w:sz w:val="20"/>
                <w:lang w:val="en-GB"/>
              </w:rPr>
            </w:pPr>
            <w:r w:rsidRPr="00A616C3">
              <w:rPr>
                <w:b/>
                <w:sz w:val="20"/>
                <w:lang w:val="en-GB"/>
              </w:rPr>
              <w:t>BCIRG 006</w:t>
            </w:r>
          </w:p>
          <w:p w:rsidR="002667E2" w:rsidRPr="00A616C3" w:rsidRDefault="002667E2" w:rsidP="00586B97">
            <w:pPr>
              <w:spacing w:after="0"/>
              <w:jc w:val="center"/>
              <w:rPr>
                <w:b/>
                <w:sz w:val="20"/>
                <w:lang w:val="en-GB"/>
              </w:rPr>
            </w:pPr>
          </w:p>
          <w:p w:rsidR="000544BC" w:rsidRPr="00A616C3" w:rsidRDefault="00F47F30" w:rsidP="00586B97">
            <w:pPr>
              <w:spacing w:after="0"/>
              <w:jc w:val="center"/>
              <w:rPr>
                <w:b/>
                <w:sz w:val="20"/>
                <w:lang w:val="en-GB"/>
              </w:rPr>
            </w:pPr>
            <w:r w:rsidRPr="00A616C3">
              <w:rPr>
                <w:b/>
                <w:i/>
                <w:sz w:val="20"/>
                <w:lang w:val="en-GB"/>
              </w:rPr>
              <w:t xml:space="preserve">n </w:t>
            </w:r>
            <w:r w:rsidRPr="00A616C3">
              <w:rPr>
                <w:b/>
                <w:sz w:val="20"/>
                <w:lang w:val="en-GB"/>
              </w:rPr>
              <w:t xml:space="preserve">= </w:t>
            </w:r>
            <w:r w:rsidR="00092DBE" w:rsidRPr="00A616C3">
              <w:rPr>
                <w:b/>
                <w:sz w:val="20"/>
                <w:lang w:val="en-GB"/>
              </w:rPr>
              <w:t>3222</w:t>
            </w:r>
          </w:p>
        </w:tc>
      </w:tr>
      <w:tr w:rsidR="00537E60" w:rsidRPr="00A616C3" w:rsidTr="00D85FF0">
        <w:trPr>
          <w:trHeight w:val="2349"/>
          <w:jc w:val="center"/>
        </w:trPr>
        <w:tc>
          <w:tcPr>
            <w:tcW w:w="2065" w:type="dxa"/>
            <w:shd w:val="clear" w:color="auto" w:fill="auto"/>
          </w:tcPr>
          <w:p w:rsidR="00537E60" w:rsidRPr="00A616C3" w:rsidRDefault="00537E60" w:rsidP="00586B97">
            <w:pPr>
              <w:spacing w:after="0"/>
              <w:rPr>
                <w:b/>
                <w:sz w:val="20"/>
                <w:lang w:val="en-GB"/>
              </w:rPr>
            </w:pPr>
            <w:r w:rsidRPr="00A616C3">
              <w:rPr>
                <w:b/>
                <w:sz w:val="20"/>
                <w:lang w:val="en-GB"/>
              </w:rPr>
              <w:t>Eligible patients</w:t>
            </w:r>
          </w:p>
        </w:tc>
        <w:tc>
          <w:tcPr>
            <w:tcW w:w="2953" w:type="dxa"/>
            <w:shd w:val="clear" w:color="auto" w:fill="auto"/>
          </w:tcPr>
          <w:p w:rsidR="001B0FA7" w:rsidRPr="00A616C3" w:rsidRDefault="00537E60" w:rsidP="00586B97">
            <w:pPr>
              <w:spacing w:after="0"/>
              <w:rPr>
                <w:sz w:val="20"/>
                <w:lang w:val="en-GB"/>
              </w:rPr>
            </w:pPr>
            <w:r w:rsidRPr="00A616C3">
              <w:rPr>
                <w:sz w:val="20"/>
                <w:lang w:val="en-GB"/>
              </w:rPr>
              <w:t>Node positive or node negative [</w:t>
            </w:r>
            <w:r w:rsidRPr="00A616C3">
              <w:rPr>
                <w:i/>
                <w:sz w:val="20"/>
                <w:lang w:val="en-GB"/>
              </w:rPr>
              <w:t>n</w:t>
            </w:r>
            <w:r w:rsidR="00F47F30" w:rsidRPr="00A616C3">
              <w:rPr>
                <w:i/>
                <w:sz w:val="20"/>
                <w:lang w:val="en-GB"/>
              </w:rPr>
              <w:t xml:space="preserve"> </w:t>
            </w:r>
            <w:r w:rsidRPr="00A616C3">
              <w:rPr>
                <w:sz w:val="20"/>
                <w:lang w:val="en-GB"/>
              </w:rPr>
              <w:t>=</w:t>
            </w:r>
            <w:r w:rsidR="00F47F30" w:rsidRPr="00A616C3">
              <w:rPr>
                <w:sz w:val="20"/>
                <w:lang w:val="en-GB"/>
              </w:rPr>
              <w:t xml:space="preserve"> </w:t>
            </w:r>
            <w:r w:rsidRPr="00A616C3">
              <w:rPr>
                <w:sz w:val="20"/>
                <w:lang w:val="en-GB"/>
              </w:rPr>
              <w:t xml:space="preserve">1098] and tumour size &gt;1 cm; </w:t>
            </w:r>
          </w:p>
          <w:p w:rsidR="001B0FA7" w:rsidRPr="00A616C3" w:rsidRDefault="001B0FA7" w:rsidP="00586B97">
            <w:pPr>
              <w:spacing w:after="0"/>
              <w:rPr>
                <w:sz w:val="20"/>
                <w:lang w:val="en-GB"/>
              </w:rPr>
            </w:pPr>
          </w:p>
          <w:p w:rsidR="00537E60" w:rsidRPr="00A616C3" w:rsidRDefault="001B0FA7" w:rsidP="00586B97">
            <w:pPr>
              <w:spacing w:after="0"/>
              <w:rPr>
                <w:i/>
                <w:sz w:val="20"/>
                <w:lang w:val="en-GB"/>
              </w:rPr>
            </w:pPr>
            <w:r w:rsidRPr="00A616C3">
              <w:rPr>
                <w:i/>
                <w:sz w:val="20"/>
                <w:lang w:val="en-GB"/>
              </w:rPr>
              <w:t>P</w:t>
            </w:r>
            <w:r w:rsidR="00537E60" w:rsidRPr="00A616C3">
              <w:rPr>
                <w:i/>
                <w:sz w:val="20"/>
                <w:lang w:val="en-GB"/>
              </w:rPr>
              <w:t>rotocol initially unrestricted but amended</w:t>
            </w:r>
            <w:r w:rsidRPr="00A616C3">
              <w:rPr>
                <w:i/>
                <w:sz w:val="20"/>
                <w:lang w:val="en-GB"/>
              </w:rPr>
              <w:t xml:space="preserve"> and</w:t>
            </w:r>
            <w:r w:rsidR="00537E60" w:rsidRPr="00A616C3">
              <w:rPr>
                <w:i/>
                <w:sz w:val="20"/>
                <w:lang w:val="en-GB"/>
              </w:rPr>
              <w:t xml:space="preserve"> node negative patients with tumours ≤1 cm </w:t>
            </w:r>
            <w:r w:rsidRPr="00A616C3">
              <w:rPr>
                <w:i/>
                <w:sz w:val="20"/>
                <w:lang w:val="en-GB"/>
              </w:rPr>
              <w:t xml:space="preserve">[n =93, 8.5%] </w:t>
            </w:r>
            <w:r w:rsidR="00537E60" w:rsidRPr="00A616C3">
              <w:rPr>
                <w:i/>
                <w:sz w:val="20"/>
                <w:lang w:val="en-GB"/>
              </w:rPr>
              <w:t>and  node negative patients with tumours &gt;1</w:t>
            </w:r>
            <w:r w:rsidRPr="00A616C3">
              <w:rPr>
                <w:i/>
                <w:sz w:val="20"/>
                <w:lang w:val="en-GB"/>
              </w:rPr>
              <w:t xml:space="preserve"> </w:t>
            </w:r>
            <w:r w:rsidR="00537E60" w:rsidRPr="00A616C3">
              <w:rPr>
                <w:i/>
                <w:sz w:val="20"/>
                <w:lang w:val="en-GB"/>
              </w:rPr>
              <w:t xml:space="preserve">and ≤2 cm </w:t>
            </w:r>
            <w:r w:rsidRPr="00A616C3">
              <w:rPr>
                <w:i/>
                <w:sz w:val="20"/>
                <w:lang w:val="en-GB"/>
              </w:rPr>
              <w:t xml:space="preserve">[n = 509,46.4%] </w:t>
            </w:r>
            <w:r w:rsidR="00537E60" w:rsidRPr="00A616C3">
              <w:rPr>
                <w:i/>
                <w:sz w:val="20"/>
                <w:lang w:val="en-GB"/>
              </w:rPr>
              <w:t>were included</w:t>
            </w:r>
          </w:p>
        </w:tc>
        <w:tc>
          <w:tcPr>
            <w:tcW w:w="2694" w:type="dxa"/>
            <w:shd w:val="clear" w:color="auto" w:fill="auto"/>
          </w:tcPr>
          <w:p w:rsidR="00537E60" w:rsidRPr="00A616C3" w:rsidRDefault="00537E60" w:rsidP="00586B97">
            <w:pPr>
              <w:spacing w:after="0"/>
              <w:rPr>
                <w:sz w:val="20"/>
                <w:lang w:val="en-GB"/>
              </w:rPr>
            </w:pPr>
            <w:r w:rsidRPr="00A616C3">
              <w:rPr>
                <w:sz w:val="20"/>
                <w:lang w:val="en-GB"/>
              </w:rPr>
              <w:t>Node positive or node negative [</w:t>
            </w:r>
            <w:r w:rsidRPr="00A616C3">
              <w:rPr>
                <w:i/>
                <w:sz w:val="20"/>
                <w:lang w:val="en-GB"/>
              </w:rPr>
              <w:t>n</w:t>
            </w:r>
            <w:r w:rsidR="00F47F30" w:rsidRPr="00A616C3">
              <w:rPr>
                <w:sz w:val="20"/>
                <w:lang w:val="en-GB"/>
              </w:rPr>
              <w:t xml:space="preserve"> </w:t>
            </w:r>
            <w:r w:rsidRPr="00A616C3">
              <w:rPr>
                <w:sz w:val="20"/>
                <w:lang w:val="en-GB"/>
              </w:rPr>
              <w:t>=</w:t>
            </w:r>
            <w:r w:rsidR="00F47F30" w:rsidRPr="00A616C3">
              <w:rPr>
                <w:sz w:val="20"/>
                <w:lang w:val="en-GB"/>
              </w:rPr>
              <w:t xml:space="preserve"> </w:t>
            </w:r>
            <w:r w:rsidRPr="00A616C3">
              <w:rPr>
                <w:sz w:val="20"/>
                <w:lang w:val="en-GB"/>
              </w:rPr>
              <w:t xml:space="preserve">190] and tumour size </w:t>
            </w:r>
          </w:p>
          <w:p w:rsidR="00537E60" w:rsidRPr="00A616C3" w:rsidRDefault="00537E60" w:rsidP="00586B97">
            <w:pPr>
              <w:spacing w:after="0"/>
              <w:rPr>
                <w:sz w:val="20"/>
                <w:lang w:val="en-GB"/>
              </w:rPr>
            </w:pPr>
          </w:p>
          <w:p w:rsidR="00537E60" w:rsidRPr="00A616C3" w:rsidRDefault="00537E60" w:rsidP="00586B97">
            <w:pPr>
              <w:numPr>
                <w:ilvl w:val="0"/>
                <w:numId w:val="3"/>
              </w:numPr>
              <w:spacing w:after="0"/>
              <w:rPr>
                <w:sz w:val="20"/>
                <w:lang w:val="en-GB"/>
              </w:rPr>
            </w:pPr>
            <w:r w:rsidRPr="00A616C3">
              <w:rPr>
                <w:sz w:val="20"/>
                <w:lang w:val="en-GB"/>
              </w:rPr>
              <w:t xml:space="preserve">&gt;2 cm </w:t>
            </w:r>
            <w:r w:rsidR="002B001E" w:rsidRPr="00A616C3">
              <w:rPr>
                <w:sz w:val="20"/>
                <w:lang w:val="en-GB"/>
              </w:rPr>
              <w:t>regardless of hormonal status</w:t>
            </w:r>
            <w:r w:rsidRPr="00A616C3">
              <w:rPr>
                <w:sz w:val="20"/>
                <w:lang w:val="en-GB"/>
              </w:rPr>
              <w:t>; or</w:t>
            </w:r>
          </w:p>
          <w:p w:rsidR="00537E60" w:rsidRPr="00A616C3" w:rsidRDefault="00537E60" w:rsidP="00586B97">
            <w:pPr>
              <w:numPr>
                <w:ilvl w:val="0"/>
                <w:numId w:val="3"/>
              </w:numPr>
              <w:spacing w:after="0"/>
              <w:rPr>
                <w:sz w:val="20"/>
                <w:lang w:val="da-DK"/>
              </w:rPr>
            </w:pPr>
            <w:r w:rsidRPr="00A616C3">
              <w:rPr>
                <w:sz w:val="20"/>
                <w:lang w:val="da-DK"/>
              </w:rPr>
              <w:t>&gt;1 cm and ER–ve</w:t>
            </w:r>
          </w:p>
          <w:p w:rsidR="00537E60" w:rsidRPr="00A616C3" w:rsidRDefault="00537E60" w:rsidP="00586B97">
            <w:pPr>
              <w:spacing w:after="0"/>
              <w:rPr>
                <w:sz w:val="20"/>
                <w:lang w:val="da-DK"/>
              </w:rPr>
            </w:pPr>
          </w:p>
          <w:p w:rsidR="00537E60" w:rsidRPr="00A616C3" w:rsidRDefault="00537E60" w:rsidP="00CA659E">
            <w:pPr>
              <w:spacing w:after="0"/>
              <w:rPr>
                <w:sz w:val="20"/>
                <w:lang w:val="en-GB"/>
              </w:rPr>
            </w:pPr>
            <w:r w:rsidRPr="00A616C3">
              <w:rPr>
                <w:sz w:val="20"/>
                <w:lang w:val="en-GB"/>
              </w:rPr>
              <w:t>[</w:t>
            </w:r>
            <w:r w:rsidRPr="00A616C3">
              <w:rPr>
                <w:i/>
                <w:sz w:val="20"/>
                <w:lang w:val="en-GB"/>
              </w:rPr>
              <w:t>n</w:t>
            </w:r>
            <w:r w:rsidR="00F47F30" w:rsidRPr="00A616C3">
              <w:rPr>
                <w:sz w:val="20"/>
                <w:lang w:val="en-GB"/>
              </w:rPr>
              <w:t xml:space="preserve"> </w:t>
            </w:r>
            <w:r w:rsidRPr="00A616C3">
              <w:rPr>
                <w:sz w:val="20"/>
                <w:lang w:val="en-GB"/>
              </w:rPr>
              <w:t>=</w:t>
            </w:r>
            <w:r w:rsidR="00F47F30" w:rsidRPr="00A616C3">
              <w:rPr>
                <w:sz w:val="20"/>
                <w:lang w:val="en-GB"/>
              </w:rPr>
              <w:t xml:space="preserve"> </w:t>
            </w:r>
            <w:r w:rsidRPr="00A616C3">
              <w:rPr>
                <w:sz w:val="20"/>
                <w:lang w:val="en-GB"/>
              </w:rPr>
              <w:t>63 node-negative and tumour size ≤2 cm])</w:t>
            </w:r>
          </w:p>
        </w:tc>
        <w:tc>
          <w:tcPr>
            <w:tcW w:w="2616" w:type="dxa"/>
            <w:shd w:val="clear" w:color="auto" w:fill="auto"/>
          </w:tcPr>
          <w:p w:rsidR="00AB1CCB" w:rsidRPr="00A616C3" w:rsidRDefault="00483348" w:rsidP="00586B97">
            <w:pPr>
              <w:pStyle w:val="TextTi12"/>
              <w:spacing w:after="0" w:line="240" w:lineRule="auto"/>
              <w:jc w:val="left"/>
              <w:rPr>
                <w:sz w:val="20"/>
                <w:lang w:val="en-GB"/>
              </w:rPr>
            </w:pPr>
            <w:r w:rsidRPr="00A616C3">
              <w:rPr>
                <w:sz w:val="20"/>
                <w:lang w:val="en-GB"/>
              </w:rPr>
              <w:t>N</w:t>
            </w:r>
            <w:r w:rsidR="00537E60" w:rsidRPr="00A616C3">
              <w:rPr>
                <w:sz w:val="20"/>
                <w:lang w:val="en-GB"/>
              </w:rPr>
              <w:t xml:space="preserve">ode positive or node negative and at least 1 of the following: </w:t>
            </w:r>
          </w:p>
          <w:p w:rsidR="002667E2" w:rsidRPr="00A616C3" w:rsidRDefault="002667E2" w:rsidP="00586B97">
            <w:pPr>
              <w:pStyle w:val="TextTi12"/>
              <w:spacing w:after="0" w:line="240" w:lineRule="auto"/>
              <w:jc w:val="left"/>
              <w:rPr>
                <w:sz w:val="20"/>
                <w:lang w:val="en-GB"/>
              </w:rPr>
            </w:pPr>
          </w:p>
          <w:p w:rsidR="00AB1CCB" w:rsidRPr="00A616C3" w:rsidRDefault="00537E60" w:rsidP="00046211">
            <w:pPr>
              <w:pStyle w:val="TextTi12"/>
              <w:numPr>
                <w:ilvl w:val="0"/>
                <w:numId w:val="8"/>
              </w:numPr>
              <w:tabs>
                <w:tab w:val="clear" w:pos="720"/>
                <w:tab w:val="num" w:pos="213"/>
              </w:tabs>
              <w:spacing w:after="0" w:line="240" w:lineRule="auto"/>
              <w:ind w:left="213" w:hanging="213"/>
              <w:jc w:val="left"/>
              <w:rPr>
                <w:sz w:val="20"/>
                <w:lang w:val="en-GB"/>
              </w:rPr>
            </w:pPr>
            <w:r w:rsidRPr="00A616C3">
              <w:rPr>
                <w:sz w:val="20"/>
                <w:lang w:val="en-GB"/>
              </w:rPr>
              <w:t>tumo</w:t>
            </w:r>
            <w:r w:rsidR="00A83A8C" w:rsidRPr="00A616C3">
              <w:rPr>
                <w:sz w:val="20"/>
                <w:lang w:val="en-GB"/>
              </w:rPr>
              <w:t>u</w:t>
            </w:r>
            <w:r w:rsidRPr="00A616C3">
              <w:rPr>
                <w:sz w:val="20"/>
                <w:lang w:val="en-GB"/>
              </w:rPr>
              <w:t xml:space="preserve">r size </w:t>
            </w:r>
            <w:r w:rsidR="00AB1CCB" w:rsidRPr="00A616C3">
              <w:rPr>
                <w:sz w:val="20"/>
                <w:lang w:val="en-GB"/>
              </w:rPr>
              <w:t>&gt;</w:t>
            </w:r>
            <w:r w:rsidR="001B0FA7" w:rsidRPr="00A616C3">
              <w:rPr>
                <w:sz w:val="20"/>
                <w:lang w:val="en-GB"/>
              </w:rPr>
              <w:t xml:space="preserve"> 2 cm and</w:t>
            </w:r>
            <w:r w:rsidRPr="00A616C3">
              <w:rPr>
                <w:sz w:val="20"/>
                <w:lang w:val="en-GB"/>
              </w:rPr>
              <w:t xml:space="preserve"> </w:t>
            </w:r>
            <w:r w:rsidR="00AB1CCB" w:rsidRPr="00A616C3">
              <w:rPr>
                <w:sz w:val="20"/>
                <w:lang w:val="en-GB"/>
              </w:rPr>
              <w:t>ER</w:t>
            </w:r>
            <w:r w:rsidRPr="00A616C3">
              <w:rPr>
                <w:sz w:val="20"/>
                <w:lang w:val="en-GB"/>
              </w:rPr>
              <w:t xml:space="preserve"> and </w:t>
            </w:r>
            <w:r w:rsidR="00AB1CCB" w:rsidRPr="00A616C3">
              <w:rPr>
                <w:sz w:val="20"/>
                <w:lang w:val="en-GB"/>
              </w:rPr>
              <w:t>PR</w:t>
            </w:r>
            <w:r w:rsidRPr="00A616C3">
              <w:rPr>
                <w:sz w:val="20"/>
                <w:lang w:val="en-GB"/>
              </w:rPr>
              <w:t xml:space="preserve"> </w:t>
            </w:r>
            <w:r w:rsidR="00AB1CCB" w:rsidRPr="00A616C3">
              <w:rPr>
                <w:sz w:val="20"/>
                <w:lang w:val="en-GB"/>
              </w:rPr>
              <w:t>-</w:t>
            </w:r>
            <w:proofErr w:type="spellStart"/>
            <w:r w:rsidR="00AB1CCB" w:rsidRPr="00A616C3">
              <w:rPr>
                <w:sz w:val="20"/>
                <w:lang w:val="en-GB"/>
              </w:rPr>
              <w:t>ve</w:t>
            </w:r>
            <w:proofErr w:type="spellEnd"/>
            <w:r w:rsidRPr="00A616C3">
              <w:rPr>
                <w:sz w:val="20"/>
                <w:lang w:val="en-GB"/>
              </w:rPr>
              <w:t xml:space="preserve">, </w:t>
            </w:r>
            <w:r w:rsidR="001B0FA7" w:rsidRPr="00A616C3">
              <w:rPr>
                <w:sz w:val="20"/>
                <w:lang w:val="en-GB"/>
              </w:rPr>
              <w:t>or</w:t>
            </w:r>
          </w:p>
          <w:p w:rsidR="00AB1CCB" w:rsidRPr="00A616C3" w:rsidRDefault="00537E60" w:rsidP="00046211">
            <w:pPr>
              <w:pStyle w:val="TextTi12"/>
              <w:numPr>
                <w:ilvl w:val="0"/>
                <w:numId w:val="8"/>
              </w:numPr>
              <w:tabs>
                <w:tab w:val="clear" w:pos="720"/>
                <w:tab w:val="num" w:pos="213"/>
              </w:tabs>
              <w:spacing w:after="0" w:line="240" w:lineRule="auto"/>
              <w:ind w:left="213" w:hanging="213"/>
              <w:jc w:val="left"/>
              <w:rPr>
                <w:sz w:val="20"/>
                <w:lang w:val="en-GB"/>
              </w:rPr>
            </w:pPr>
            <w:r w:rsidRPr="00A616C3">
              <w:rPr>
                <w:sz w:val="20"/>
                <w:lang w:val="en-GB"/>
              </w:rPr>
              <w:t xml:space="preserve">histologic and/or nuclear grade 2-3, or </w:t>
            </w:r>
          </w:p>
          <w:p w:rsidR="00537E60" w:rsidRPr="00A616C3" w:rsidRDefault="00537E60" w:rsidP="00046211">
            <w:pPr>
              <w:pStyle w:val="TextTi12"/>
              <w:numPr>
                <w:ilvl w:val="0"/>
                <w:numId w:val="8"/>
              </w:numPr>
              <w:tabs>
                <w:tab w:val="clear" w:pos="720"/>
                <w:tab w:val="num" w:pos="213"/>
              </w:tabs>
              <w:spacing w:after="0" w:line="240" w:lineRule="auto"/>
              <w:ind w:left="213" w:hanging="213"/>
              <w:jc w:val="left"/>
              <w:rPr>
                <w:sz w:val="20"/>
                <w:lang w:val="en-GB"/>
              </w:rPr>
            </w:pPr>
            <w:proofErr w:type="gramStart"/>
            <w:r w:rsidRPr="00A616C3">
              <w:rPr>
                <w:sz w:val="20"/>
                <w:lang w:val="en-GB"/>
              </w:rPr>
              <w:t>age</w:t>
            </w:r>
            <w:proofErr w:type="gramEnd"/>
            <w:r w:rsidRPr="00A616C3">
              <w:rPr>
                <w:sz w:val="20"/>
                <w:lang w:val="en-GB"/>
              </w:rPr>
              <w:t xml:space="preserve"> &lt; 35 years.</w:t>
            </w:r>
          </w:p>
        </w:tc>
      </w:tr>
      <w:tr w:rsidR="00537E60" w:rsidRPr="00A616C3" w:rsidTr="00D85FF0">
        <w:trPr>
          <w:jc w:val="center"/>
        </w:trPr>
        <w:tc>
          <w:tcPr>
            <w:tcW w:w="2065" w:type="dxa"/>
            <w:shd w:val="clear" w:color="auto" w:fill="auto"/>
          </w:tcPr>
          <w:p w:rsidR="00537E60" w:rsidRPr="00A616C3" w:rsidRDefault="00537E60" w:rsidP="00586B97">
            <w:pPr>
              <w:spacing w:after="0"/>
              <w:rPr>
                <w:b/>
                <w:sz w:val="20"/>
                <w:lang w:val="en-GB"/>
              </w:rPr>
            </w:pPr>
            <w:r w:rsidRPr="00A616C3">
              <w:rPr>
                <w:b/>
                <w:sz w:val="20"/>
                <w:lang w:val="en-GB"/>
              </w:rPr>
              <w:t>Herceptin dosage regimen</w:t>
            </w:r>
            <w:r w:rsidR="00962CE8">
              <w:rPr>
                <w:b/>
                <w:sz w:val="20"/>
                <w:lang w:val="en-GB"/>
              </w:rPr>
              <w:t xml:space="preserve"> (IV)</w:t>
            </w:r>
          </w:p>
        </w:tc>
        <w:tc>
          <w:tcPr>
            <w:tcW w:w="2953" w:type="dxa"/>
            <w:shd w:val="clear" w:color="auto" w:fill="auto"/>
          </w:tcPr>
          <w:p w:rsidR="006D607C" w:rsidRPr="00A616C3" w:rsidRDefault="006D607C" w:rsidP="00586B97">
            <w:pPr>
              <w:spacing w:after="0"/>
              <w:jc w:val="center"/>
              <w:rPr>
                <w:sz w:val="20"/>
                <w:lang w:val="en-GB"/>
              </w:rPr>
            </w:pPr>
            <w:r w:rsidRPr="00A616C3">
              <w:rPr>
                <w:sz w:val="20"/>
                <w:lang w:val="en-GB"/>
              </w:rPr>
              <w:t>L</w:t>
            </w:r>
            <w:r w:rsidR="009A6F9F" w:rsidRPr="00A616C3">
              <w:rPr>
                <w:sz w:val="20"/>
                <w:lang w:val="en-GB"/>
              </w:rPr>
              <w:t xml:space="preserve">oading dose 8 mg/kg, </w:t>
            </w:r>
          </w:p>
          <w:p w:rsidR="00537E60" w:rsidRPr="00A616C3" w:rsidRDefault="009A6F9F" w:rsidP="008A39E1">
            <w:pPr>
              <w:spacing w:after="0"/>
              <w:jc w:val="center"/>
              <w:rPr>
                <w:sz w:val="20"/>
                <w:lang w:val="en-GB"/>
              </w:rPr>
            </w:pPr>
            <w:r w:rsidRPr="00A616C3">
              <w:rPr>
                <w:sz w:val="20"/>
                <w:lang w:val="en-GB"/>
              </w:rPr>
              <w:t>followed by 6 mg/kg</w:t>
            </w:r>
            <w:r w:rsidR="004A6356" w:rsidRPr="00A616C3">
              <w:rPr>
                <w:sz w:val="20"/>
                <w:lang w:val="en-GB"/>
              </w:rPr>
              <w:t xml:space="preserve"> (</w:t>
            </w:r>
            <w:r w:rsidR="008A39E1" w:rsidRPr="00A616C3">
              <w:rPr>
                <w:sz w:val="20"/>
                <w:lang w:val="en-GB"/>
              </w:rPr>
              <w:t>q3w</w:t>
            </w:r>
            <w:r w:rsidR="004A6356" w:rsidRPr="00A616C3">
              <w:rPr>
                <w:sz w:val="20"/>
                <w:lang w:val="en-GB"/>
              </w:rPr>
              <w:t>)</w:t>
            </w:r>
          </w:p>
        </w:tc>
        <w:tc>
          <w:tcPr>
            <w:tcW w:w="2694" w:type="dxa"/>
            <w:shd w:val="clear" w:color="auto" w:fill="auto"/>
          </w:tcPr>
          <w:p w:rsidR="006D607C" w:rsidRPr="00A616C3" w:rsidRDefault="006D607C" w:rsidP="00A83A8C">
            <w:pPr>
              <w:spacing w:after="0"/>
              <w:jc w:val="center"/>
              <w:rPr>
                <w:sz w:val="20"/>
                <w:lang w:val="en-GB"/>
              </w:rPr>
            </w:pPr>
            <w:r w:rsidRPr="00A616C3">
              <w:rPr>
                <w:sz w:val="20"/>
                <w:lang w:val="en-GB"/>
              </w:rPr>
              <w:t>L</w:t>
            </w:r>
            <w:r w:rsidR="00A83A8C" w:rsidRPr="00A616C3">
              <w:rPr>
                <w:sz w:val="20"/>
                <w:lang w:val="en-GB"/>
              </w:rPr>
              <w:t xml:space="preserve">oading dose 4 mg/kg, </w:t>
            </w:r>
          </w:p>
          <w:p w:rsidR="00A83A8C" w:rsidRPr="00A616C3" w:rsidRDefault="00A83A8C" w:rsidP="00333B30">
            <w:pPr>
              <w:spacing w:after="0"/>
              <w:jc w:val="center"/>
              <w:rPr>
                <w:sz w:val="20"/>
                <w:lang w:val="en-GB"/>
              </w:rPr>
            </w:pPr>
            <w:r w:rsidRPr="00A616C3">
              <w:rPr>
                <w:sz w:val="20"/>
                <w:lang w:val="en-GB"/>
              </w:rPr>
              <w:t>followed by 2 mg/kg</w:t>
            </w:r>
            <w:r w:rsidR="004A6356" w:rsidRPr="00A616C3">
              <w:rPr>
                <w:sz w:val="20"/>
                <w:lang w:val="en-GB"/>
              </w:rPr>
              <w:t xml:space="preserve"> (</w:t>
            </w:r>
            <w:r w:rsidR="00333B30" w:rsidRPr="00A616C3">
              <w:rPr>
                <w:sz w:val="20"/>
                <w:lang w:val="en-GB"/>
              </w:rPr>
              <w:t>q1w</w:t>
            </w:r>
            <w:r w:rsidR="004A6356" w:rsidRPr="00A616C3">
              <w:rPr>
                <w:sz w:val="20"/>
                <w:lang w:val="en-GB"/>
              </w:rPr>
              <w:t>)</w:t>
            </w:r>
          </w:p>
        </w:tc>
        <w:tc>
          <w:tcPr>
            <w:tcW w:w="2616" w:type="dxa"/>
            <w:shd w:val="clear" w:color="auto" w:fill="auto"/>
          </w:tcPr>
          <w:p w:rsidR="006D607C" w:rsidRPr="00A616C3" w:rsidRDefault="006D607C" w:rsidP="006D607C">
            <w:pPr>
              <w:spacing w:after="0"/>
              <w:jc w:val="center"/>
              <w:rPr>
                <w:sz w:val="20"/>
                <w:lang w:val="en-GB"/>
              </w:rPr>
            </w:pPr>
            <w:r w:rsidRPr="00A616C3">
              <w:rPr>
                <w:sz w:val="20"/>
                <w:lang w:val="en-GB"/>
              </w:rPr>
              <w:t xml:space="preserve">Loading dose 4 mg/kg, </w:t>
            </w:r>
          </w:p>
          <w:p w:rsidR="00537E60" w:rsidRPr="00A616C3" w:rsidRDefault="006D607C" w:rsidP="006D607C">
            <w:pPr>
              <w:spacing w:after="0"/>
              <w:jc w:val="center"/>
              <w:rPr>
                <w:sz w:val="20"/>
                <w:lang w:val="en-GB"/>
              </w:rPr>
            </w:pPr>
            <w:proofErr w:type="gramStart"/>
            <w:r w:rsidRPr="00A616C3">
              <w:rPr>
                <w:sz w:val="20"/>
                <w:lang w:val="en-GB"/>
              </w:rPr>
              <w:t>followed</w:t>
            </w:r>
            <w:proofErr w:type="gramEnd"/>
            <w:r w:rsidRPr="00A616C3">
              <w:rPr>
                <w:sz w:val="20"/>
                <w:lang w:val="en-GB"/>
              </w:rPr>
              <w:t xml:space="preserve"> by 2 mg/kg</w:t>
            </w:r>
            <w:r w:rsidR="004A6356" w:rsidRPr="00A616C3">
              <w:rPr>
                <w:sz w:val="20"/>
                <w:lang w:val="en-GB"/>
              </w:rPr>
              <w:t xml:space="preserve"> (</w:t>
            </w:r>
            <w:r w:rsidR="00333B30" w:rsidRPr="00A616C3">
              <w:rPr>
                <w:sz w:val="20"/>
                <w:lang w:val="en-GB"/>
              </w:rPr>
              <w:t>q1w</w:t>
            </w:r>
            <w:r w:rsidR="004A6356" w:rsidRPr="00A616C3">
              <w:rPr>
                <w:sz w:val="20"/>
                <w:lang w:val="en-GB"/>
              </w:rPr>
              <w:t>)</w:t>
            </w:r>
            <w:r w:rsidRPr="00A616C3">
              <w:rPr>
                <w:sz w:val="20"/>
                <w:lang w:val="en-GB"/>
              </w:rPr>
              <w:t>.</w:t>
            </w:r>
          </w:p>
          <w:p w:rsidR="006D607C" w:rsidRPr="00A616C3" w:rsidRDefault="006D607C" w:rsidP="008A39E1">
            <w:pPr>
              <w:spacing w:after="0"/>
              <w:jc w:val="center"/>
              <w:rPr>
                <w:sz w:val="20"/>
                <w:lang w:val="en-GB"/>
              </w:rPr>
            </w:pPr>
            <w:r w:rsidRPr="00A616C3">
              <w:rPr>
                <w:sz w:val="20"/>
                <w:lang w:val="en-GB"/>
              </w:rPr>
              <w:t xml:space="preserve">After chemo, 6 mg/kg </w:t>
            </w:r>
            <w:r w:rsidR="004A6356" w:rsidRPr="00A616C3">
              <w:rPr>
                <w:sz w:val="20"/>
                <w:lang w:val="en-GB"/>
              </w:rPr>
              <w:t>(</w:t>
            </w:r>
            <w:r w:rsidR="008A39E1" w:rsidRPr="00A616C3">
              <w:rPr>
                <w:sz w:val="20"/>
                <w:lang w:val="en-GB"/>
              </w:rPr>
              <w:t>q3w</w:t>
            </w:r>
            <w:r w:rsidR="004A6356" w:rsidRPr="00A616C3">
              <w:rPr>
                <w:sz w:val="20"/>
                <w:lang w:val="en-GB"/>
              </w:rPr>
              <w:t>)</w:t>
            </w:r>
            <w:r w:rsidRPr="00A616C3">
              <w:rPr>
                <w:sz w:val="20"/>
                <w:lang w:val="en-GB"/>
              </w:rPr>
              <w:t xml:space="preserve"> </w:t>
            </w:r>
          </w:p>
        </w:tc>
      </w:tr>
      <w:tr w:rsidR="00537E60" w:rsidRPr="00A616C3" w:rsidTr="00D85FF0">
        <w:trPr>
          <w:trHeight w:val="553"/>
          <w:jc w:val="center"/>
        </w:trPr>
        <w:tc>
          <w:tcPr>
            <w:tcW w:w="2065" w:type="dxa"/>
            <w:shd w:val="clear" w:color="auto" w:fill="auto"/>
          </w:tcPr>
          <w:p w:rsidR="00F531AC" w:rsidRPr="00A616C3" w:rsidRDefault="00537E60" w:rsidP="001273F6">
            <w:pPr>
              <w:spacing w:after="0"/>
              <w:rPr>
                <w:b/>
                <w:sz w:val="20"/>
                <w:lang w:val="en-GB"/>
              </w:rPr>
            </w:pPr>
            <w:r w:rsidRPr="00A616C3">
              <w:rPr>
                <w:b/>
                <w:sz w:val="20"/>
                <w:lang w:val="en-GB"/>
              </w:rPr>
              <w:t xml:space="preserve">Duration of Herceptin </w:t>
            </w:r>
            <w:r w:rsidR="001273F6">
              <w:rPr>
                <w:b/>
                <w:sz w:val="20"/>
                <w:lang w:val="en-GB"/>
              </w:rPr>
              <w:t xml:space="preserve">IV </w:t>
            </w:r>
            <w:r w:rsidRPr="00A616C3">
              <w:rPr>
                <w:b/>
                <w:sz w:val="20"/>
                <w:lang w:val="en-GB"/>
              </w:rPr>
              <w:t>treatment</w:t>
            </w:r>
          </w:p>
        </w:tc>
        <w:tc>
          <w:tcPr>
            <w:tcW w:w="2953" w:type="dxa"/>
            <w:shd w:val="clear" w:color="auto" w:fill="auto"/>
          </w:tcPr>
          <w:p w:rsidR="00F531AC" w:rsidRPr="00A616C3" w:rsidRDefault="00F531AC" w:rsidP="00586B97">
            <w:pPr>
              <w:spacing w:after="0"/>
              <w:jc w:val="center"/>
              <w:rPr>
                <w:sz w:val="20"/>
                <w:lang w:val="en-GB"/>
              </w:rPr>
            </w:pPr>
          </w:p>
          <w:p w:rsidR="00537E60" w:rsidRPr="00A616C3" w:rsidRDefault="00D07E6D" w:rsidP="00586B97">
            <w:pPr>
              <w:spacing w:after="0"/>
              <w:jc w:val="center"/>
              <w:rPr>
                <w:sz w:val="20"/>
                <w:lang w:val="en-GB"/>
              </w:rPr>
            </w:pPr>
            <w:r w:rsidRPr="00A616C3">
              <w:rPr>
                <w:sz w:val="20"/>
                <w:lang w:val="en-GB"/>
              </w:rPr>
              <w:t>1</w:t>
            </w:r>
            <w:r w:rsidR="006350B5" w:rsidRPr="00A616C3">
              <w:rPr>
                <w:sz w:val="20"/>
                <w:lang w:val="en-GB"/>
              </w:rPr>
              <w:t xml:space="preserve"> </w:t>
            </w:r>
            <w:proofErr w:type="spellStart"/>
            <w:r w:rsidRPr="00A616C3">
              <w:rPr>
                <w:sz w:val="20"/>
                <w:lang w:val="en-GB"/>
              </w:rPr>
              <w:t>yr</w:t>
            </w:r>
            <w:proofErr w:type="spellEnd"/>
            <w:r w:rsidRPr="00A616C3">
              <w:rPr>
                <w:sz w:val="20"/>
                <w:lang w:val="en-GB"/>
              </w:rPr>
              <w:t xml:space="preserve"> or 2 </w:t>
            </w:r>
            <w:proofErr w:type="spellStart"/>
            <w:r w:rsidRPr="00A616C3">
              <w:rPr>
                <w:sz w:val="20"/>
                <w:lang w:val="en-GB"/>
              </w:rPr>
              <w:t>yrs</w:t>
            </w:r>
            <w:proofErr w:type="spellEnd"/>
            <w:r w:rsidR="00537E60" w:rsidRPr="00A616C3">
              <w:rPr>
                <w:sz w:val="20"/>
                <w:lang w:val="en-GB"/>
              </w:rPr>
              <w:t xml:space="preserve"> </w:t>
            </w:r>
          </w:p>
        </w:tc>
        <w:tc>
          <w:tcPr>
            <w:tcW w:w="2694" w:type="dxa"/>
            <w:shd w:val="clear" w:color="auto" w:fill="auto"/>
          </w:tcPr>
          <w:p w:rsidR="00F531AC" w:rsidRPr="00A616C3" w:rsidRDefault="00F531AC" w:rsidP="00586B97">
            <w:pPr>
              <w:spacing w:after="0"/>
              <w:jc w:val="center"/>
              <w:rPr>
                <w:sz w:val="20"/>
                <w:lang w:val="en-GB"/>
              </w:rPr>
            </w:pPr>
          </w:p>
          <w:p w:rsidR="00537E60" w:rsidRPr="00A616C3" w:rsidRDefault="00537E60" w:rsidP="00586B97">
            <w:pPr>
              <w:spacing w:after="0"/>
              <w:jc w:val="center"/>
              <w:rPr>
                <w:sz w:val="20"/>
                <w:lang w:val="en-GB"/>
              </w:rPr>
            </w:pPr>
            <w:r w:rsidRPr="00A616C3">
              <w:rPr>
                <w:sz w:val="20"/>
                <w:lang w:val="en-GB"/>
              </w:rPr>
              <w:t>52 weeks</w:t>
            </w:r>
          </w:p>
        </w:tc>
        <w:tc>
          <w:tcPr>
            <w:tcW w:w="2616" w:type="dxa"/>
            <w:shd w:val="clear" w:color="auto" w:fill="auto"/>
          </w:tcPr>
          <w:p w:rsidR="00F531AC" w:rsidRPr="00A616C3" w:rsidRDefault="00F531AC" w:rsidP="00586B97">
            <w:pPr>
              <w:spacing w:after="0"/>
              <w:jc w:val="center"/>
              <w:rPr>
                <w:sz w:val="20"/>
                <w:lang w:val="en-GB"/>
              </w:rPr>
            </w:pPr>
          </w:p>
          <w:p w:rsidR="00537E60" w:rsidRPr="00A616C3" w:rsidRDefault="009A6F9F" w:rsidP="00586B97">
            <w:pPr>
              <w:spacing w:after="0"/>
              <w:jc w:val="center"/>
              <w:rPr>
                <w:sz w:val="20"/>
                <w:lang w:val="en-GB"/>
              </w:rPr>
            </w:pPr>
            <w:r w:rsidRPr="00A616C3">
              <w:rPr>
                <w:sz w:val="20"/>
                <w:lang w:val="en-GB"/>
              </w:rPr>
              <w:t>52 weeks</w:t>
            </w:r>
          </w:p>
        </w:tc>
      </w:tr>
      <w:tr w:rsidR="00537E60" w:rsidRPr="00A616C3" w:rsidTr="00D85FF0">
        <w:trPr>
          <w:jc w:val="center"/>
        </w:trPr>
        <w:tc>
          <w:tcPr>
            <w:tcW w:w="2065" w:type="dxa"/>
            <w:shd w:val="clear" w:color="auto" w:fill="auto"/>
          </w:tcPr>
          <w:p w:rsidR="00537E60" w:rsidRPr="00A616C3" w:rsidRDefault="00537E60" w:rsidP="00586B97">
            <w:pPr>
              <w:spacing w:after="0"/>
              <w:rPr>
                <w:b/>
                <w:sz w:val="20"/>
                <w:lang w:val="en-GB"/>
              </w:rPr>
            </w:pPr>
            <w:r w:rsidRPr="00A616C3">
              <w:rPr>
                <w:b/>
                <w:sz w:val="20"/>
                <w:lang w:val="en-GB"/>
              </w:rPr>
              <w:t>Chemotherapy regimen(s)</w:t>
            </w:r>
          </w:p>
        </w:tc>
        <w:tc>
          <w:tcPr>
            <w:tcW w:w="2953" w:type="dxa"/>
            <w:shd w:val="clear" w:color="auto" w:fill="auto"/>
          </w:tcPr>
          <w:p w:rsidR="00537E60" w:rsidRPr="00A616C3" w:rsidRDefault="00537E60" w:rsidP="00586B97">
            <w:pPr>
              <w:spacing w:after="0"/>
              <w:jc w:val="center"/>
              <w:rPr>
                <w:sz w:val="20"/>
                <w:lang w:val="en-GB"/>
              </w:rPr>
            </w:pPr>
            <w:r w:rsidRPr="00A616C3">
              <w:rPr>
                <w:sz w:val="20"/>
                <w:lang w:val="en-GB"/>
              </w:rPr>
              <w:t>Various</w:t>
            </w:r>
          </w:p>
          <w:p w:rsidR="004D2811" w:rsidRPr="00A616C3" w:rsidRDefault="004D2811" w:rsidP="00586B97">
            <w:pPr>
              <w:spacing w:after="0"/>
              <w:jc w:val="center"/>
              <w:rPr>
                <w:sz w:val="20"/>
                <w:lang w:val="en-GB"/>
              </w:rPr>
            </w:pPr>
          </w:p>
          <w:p w:rsidR="004D2811" w:rsidRPr="00A616C3" w:rsidRDefault="004D2811" w:rsidP="00586B97">
            <w:pPr>
              <w:spacing w:after="0"/>
              <w:jc w:val="center"/>
              <w:rPr>
                <w:sz w:val="20"/>
                <w:lang w:val="en-GB"/>
              </w:rPr>
            </w:pPr>
          </w:p>
          <w:p w:rsidR="004D2811" w:rsidRPr="00A616C3" w:rsidRDefault="004D2811" w:rsidP="00586B97">
            <w:pPr>
              <w:spacing w:after="0"/>
              <w:jc w:val="center"/>
              <w:rPr>
                <w:sz w:val="20"/>
                <w:lang w:val="en-GB"/>
              </w:rPr>
            </w:pPr>
          </w:p>
          <w:p w:rsidR="004D2811" w:rsidRPr="00A616C3" w:rsidRDefault="004D2811" w:rsidP="00586B97">
            <w:pPr>
              <w:spacing w:after="0"/>
              <w:jc w:val="center"/>
              <w:rPr>
                <w:sz w:val="20"/>
                <w:lang w:val="en-GB"/>
              </w:rPr>
            </w:pPr>
          </w:p>
          <w:p w:rsidR="004D2811" w:rsidRPr="00A616C3" w:rsidRDefault="004D2811" w:rsidP="00586B97">
            <w:pPr>
              <w:spacing w:after="0"/>
              <w:jc w:val="center"/>
              <w:rPr>
                <w:sz w:val="20"/>
                <w:lang w:val="en-GB"/>
              </w:rPr>
            </w:pPr>
          </w:p>
          <w:p w:rsidR="004D2811" w:rsidRPr="00A616C3" w:rsidRDefault="004D2811" w:rsidP="004D2811">
            <w:pPr>
              <w:spacing w:after="0"/>
              <w:jc w:val="center"/>
              <w:rPr>
                <w:sz w:val="20"/>
                <w:lang w:val="en-GB"/>
              </w:rPr>
            </w:pPr>
          </w:p>
        </w:tc>
        <w:tc>
          <w:tcPr>
            <w:tcW w:w="2694" w:type="dxa"/>
            <w:shd w:val="clear" w:color="auto" w:fill="auto"/>
          </w:tcPr>
          <w:p w:rsidR="00353427" w:rsidRPr="00A616C3" w:rsidRDefault="00537E60" w:rsidP="00586B97">
            <w:pPr>
              <w:spacing w:after="0"/>
              <w:rPr>
                <w:sz w:val="20"/>
              </w:rPr>
            </w:pPr>
            <w:r w:rsidRPr="00A616C3">
              <w:rPr>
                <w:sz w:val="20"/>
                <w:lang w:val="en-GB"/>
              </w:rPr>
              <w:t xml:space="preserve">AC </w:t>
            </w:r>
            <w:r w:rsidR="008A39E1" w:rsidRPr="00A616C3">
              <w:rPr>
                <w:sz w:val="20"/>
                <w:lang w:val="en-GB"/>
              </w:rPr>
              <w:t xml:space="preserve">(q3w) </w:t>
            </w:r>
            <w:r w:rsidRPr="00A616C3">
              <w:rPr>
                <w:sz w:val="20"/>
                <w:lang w:val="en-GB"/>
              </w:rPr>
              <w:t xml:space="preserve">followed by </w:t>
            </w:r>
            <w:r w:rsidR="00353427" w:rsidRPr="00A616C3">
              <w:rPr>
                <w:sz w:val="20"/>
                <w:lang w:val="en-GB"/>
              </w:rPr>
              <w:t xml:space="preserve">IV </w:t>
            </w:r>
            <w:r w:rsidRPr="00A616C3">
              <w:rPr>
                <w:sz w:val="20"/>
                <w:lang w:val="en-GB"/>
              </w:rPr>
              <w:t>paclitaxel</w:t>
            </w:r>
            <w:r w:rsidR="00353427" w:rsidRPr="00A616C3">
              <w:rPr>
                <w:sz w:val="20"/>
                <w:lang w:val="en-GB"/>
              </w:rPr>
              <w:t xml:space="preserve"> </w:t>
            </w:r>
            <w:r w:rsidR="00353427" w:rsidRPr="00A616C3">
              <w:rPr>
                <w:sz w:val="20"/>
              </w:rPr>
              <w:t xml:space="preserve">as a continuous </w:t>
            </w:r>
            <w:r w:rsidR="00333B30" w:rsidRPr="00A616C3">
              <w:rPr>
                <w:sz w:val="20"/>
              </w:rPr>
              <w:t>IV</w:t>
            </w:r>
            <w:r w:rsidR="00353427" w:rsidRPr="00A616C3">
              <w:rPr>
                <w:sz w:val="20"/>
              </w:rPr>
              <w:t xml:space="preserve"> infusion</w:t>
            </w:r>
            <w:r w:rsidR="00F531AC" w:rsidRPr="00A616C3">
              <w:rPr>
                <w:sz w:val="20"/>
              </w:rPr>
              <w:t xml:space="preserve"> (</w:t>
            </w:r>
            <w:r w:rsidR="00F531AC" w:rsidRPr="00A616C3">
              <w:rPr>
                <w:b/>
                <w:sz w:val="20"/>
                <w:lang w:val="en-GB"/>
              </w:rPr>
              <w:t>AC</w:t>
            </w:r>
            <w:r w:rsidR="00F531AC" w:rsidRPr="00A616C3">
              <w:rPr>
                <w:b/>
                <w:sz w:val="20"/>
              </w:rPr>
              <w:t>→P)</w:t>
            </w:r>
            <w:r w:rsidR="00353427" w:rsidRPr="00A616C3">
              <w:rPr>
                <w:sz w:val="20"/>
              </w:rPr>
              <w:t>.</w:t>
            </w:r>
          </w:p>
          <w:p w:rsidR="00353427" w:rsidRPr="00A616C3" w:rsidRDefault="00353427" w:rsidP="00586B97">
            <w:pPr>
              <w:spacing w:after="0"/>
              <w:rPr>
                <w:sz w:val="20"/>
              </w:rPr>
            </w:pPr>
          </w:p>
          <w:p w:rsidR="00353427" w:rsidRPr="00A616C3" w:rsidRDefault="00353427" w:rsidP="00586B97">
            <w:pPr>
              <w:spacing w:after="0"/>
              <w:rPr>
                <w:sz w:val="20"/>
                <w:lang w:val="en-GB"/>
              </w:rPr>
            </w:pPr>
            <w:r w:rsidRPr="00A616C3">
              <w:rPr>
                <w:sz w:val="20"/>
              </w:rPr>
              <w:t>Paclitaxel:  80 mg/m</w:t>
            </w:r>
            <w:r w:rsidRPr="00A616C3">
              <w:rPr>
                <w:sz w:val="20"/>
                <w:vertAlign w:val="superscript"/>
              </w:rPr>
              <w:t>2</w:t>
            </w:r>
            <w:r w:rsidRPr="00A616C3">
              <w:rPr>
                <w:sz w:val="20"/>
              </w:rPr>
              <w:t xml:space="preserve"> </w:t>
            </w:r>
            <w:r w:rsidR="00BD7CB1" w:rsidRPr="00A616C3">
              <w:rPr>
                <w:sz w:val="20"/>
              </w:rPr>
              <w:t>q1w</w:t>
            </w:r>
            <w:r w:rsidR="00F531AC" w:rsidRPr="00A616C3">
              <w:rPr>
                <w:sz w:val="20"/>
              </w:rPr>
              <w:t xml:space="preserve"> for 12 weeks </w:t>
            </w:r>
            <w:r w:rsidRPr="00A616C3">
              <w:rPr>
                <w:sz w:val="20"/>
              </w:rPr>
              <w:t>or 175 mg/m</w:t>
            </w:r>
            <w:r w:rsidRPr="00A616C3">
              <w:rPr>
                <w:sz w:val="20"/>
                <w:vertAlign w:val="superscript"/>
              </w:rPr>
              <w:t>2</w:t>
            </w:r>
            <w:r w:rsidRPr="00A616C3">
              <w:rPr>
                <w:sz w:val="20"/>
              </w:rPr>
              <w:t xml:space="preserve"> </w:t>
            </w:r>
            <w:r w:rsidR="00BD7CB1" w:rsidRPr="00A616C3">
              <w:rPr>
                <w:sz w:val="20"/>
              </w:rPr>
              <w:t>q3w</w:t>
            </w:r>
            <w:r w:rsidRPr="00A616C3">
              <w:rPr>
                <w:sz w:val="20"/>
              </w:rPr>
              <w:t xml:space="preserve"> for 4 cycles (day 1 of each cycle)</w:t>
            </w:r>
          </w:p>
          <w:p w:rsidR="00353427" w:rsidRPr="00A616C3" w:rsidRDefault="00353427" w:rsidP="00586B97">
            <w:pPr>
              <w:spacing w:after="0"/>
              <w:rPr>
                <w:sz w:val="20"/>
              </w:rPr>
            </w:pPr>
          </w:p>
        </w:tc>
        <w:tc>
          <w:tcPr>
            <w:tcW w:w="2616" w:type="dxa"/>
            <w:shd w:val="clear" w:color="auto" w:fill="auto"/>
          </w:tcPr>
          <w:p w:rsidR="00537E60" w:rsidRPr="00A616C3" w:rsidRDefault="00092DBE" w:rsidP="008A39E1">
            <w:pPr>
              <w:spacing w:after="0"/>
              <w:rPr>
                <w:sz w:val="20"/>
                <w:lang w:val="en-GB"/>
              </w:rPr>
            </w:pPr>
            <w:r w:rsidRPr="00A616C3">
              <w:rPr>
                <w:sz w:val="20"/>
                <w:lang w:val="en-GB"/>
              </w:rPr>
              <w:t xml:space="preserve">AC followed by </w:t>
            </w:r>
            <w:proofErr w:type="spellStart"/>
            <w:r w:rsidRPr="00A616C3">
              <w:rPr>
                <w:sz w:val="20"/>
                <w:lang w:val="en-GB"/>
              </w:rPr>
              <w:t>docetaxel</w:t>
            </w:r>
            <w:proofErr w:type="spellEnd"/>
            <w:r w:rsidRPr="00A616C3">
              <w:rPr>
                <w:sz w:val="20"/>
                <w:lang w:val="en-GB"/>
              </w:rPr>
              <w:t xml:space="preserve"> </w:t>
            </w:r>
            <w:r w:rsidR="00F531AC" w:rsidRPr="00A616C3">
              <w:rPr>
                <w:b/>
                <w:sz w:val="20"/>
                <w:lang w:val="en-GB"/>
              </w:rPr>
              <w:t>(AC</w:t>
            </w:r>
            <w:r w:rsidR="00F531AC" w:rsidRPr="00A616C3">
              <w:rPr>
                <w:b/>
                <w:sz w:val="20"/>
              </w:rPr>
              <w:t>→D)</w:t>
            </w:r>
            <w:r w:rsidR="00F531AC" w:rsidRPr="00A616C3">
              <w:rPr>
                <w:sz w:val="20"/>
                <w:lang w:val="en-GB"/>
              </w:rPr>
              <w:t xml:space="preserve"> </w:t>
            </w:r>
            <w:r w:rsidR="001031E4" w:rsidRPr="00A616C3">
              <w:rPr>
                <w:sz w:val="20"/>
                <w:lang w:val="en-GB"/>
              </w:rPr>
              <w:t>or</w:t>
            </w:r>
            <w:r w:rsidR="00AD468F" w:rsidRPr="00A616C3">
              <w:rPr>
                <w:sz w:val="20"/>
                <w:lang w:val="en-GB"/>
              </w:rPr>
              <w:t xml:space="preserve"> </w:t>
            </w:r>
            <w:proofErr w:type="spellStart"/>
            <w:r w:rsidR="00537E60" w:rsidRPr="00A616C3">
              <w:rPr>
                <w:sz w:val="20"/>
                <w:lang w:val="en-GB"/>
              </w:rPr>
              <w:t>docetaxel</w:t>
            </w:r>
            <w:proofErr w:type="spellEnd"/>
            <w:r w:rsidR="00537E60" w:rsidRPr="00A616C3">
              <w:rPr>
                <w:sz w:val="20"/>
                <w:lang w:val="en-GB"/>
              </w:rPr>
              <w:t xml:space="preserve"> and carboplatin</w:t>
            </w:r>
            <w:r w:rsidR="001031E4" w:rsidRPr="00A616C3">
              <w:rPr>
                <w:sz w:val="20"/>
                <w:lang w:val="en-GB"/>
              </w:rPr>
              <w:t xml:space="preserve"> (</w:t>
            </w:r>
            <w:proofErr w:type="spellStart"/>
            <w:r w:rsidR="001031E4" w:rsidRPr="00A616C3">
              <w:rPr>
                <w:rFonts w:eastAsia="SimSun"/>
                <w:b/>
                <w:bCs/>
                <w:sz w:val="20"/>
                <w:lang w:eastAsia="zh-CN"/>
              </w:rPr>
              <w:t>DCarb</w:t>
            </w:r>
            <w:proofErr w:type="spellEnd"/>
            <w:r w:rsidR="001031E4" w:rsidRPr="00A616C3">
              <w:rPr>
                <w:rFonts w:eastAsia="SimSun"/>
                <w:b/>
                <w:bCs/>
                <w:sz w:val="20"/>
                <w:lang w:eastAsia="zh-CN"/>
              </w:rPr>
              <w:t>)</w:t>
            </w:r>
          </w:p>
          <w:p w:rsidR="009A6F9F" w:rsidRPr="00A616C3" w:rsidRDefault="009A6F9F" w:rsidP="008A39E1">
            <w:pPr>
              <w:spacing w:after="0"/>
              <w:rPr>
                <w:sz w:val="20"/>
                <w:lang w:val="en-GB"/>
              </w:rPr>
            </w:pPr>
          </w:p>
          <w:p w:rsidR="00F531AC" w:rsidRPr="00A616C3" w:rsidRDefault="009A6F9F" w:rsidP="008A39E1">
            <w:pPr>
              <w:spacing w:after="0"/>
              <w:outlineLvl w:val="0"/>
              <w:rPr>
                <w:sz w:val="20"/>
              </w:rPr>
            </w:pPr>
            <w:proofErr w:type="spellStart"/>
            <w:r w:rsidRPr="00A616C3">
              <w:rPr>
                <w:sz w:val="20"/>
              </w:rPr>
              <w:t>Docetaxel</w:t>
            </w:r>
            <w:proofErr w:type="spellEnd"/>
            <w:r w:rsidRPr="00A616C3">
              <w:rPr>
                <w:sz w:val="20"/>
              </w:rPr>
              <w:t xml:space="preserve"> (IV infusion over 60 min): </w:t>
            </w:r>
          </w:p>
          <w:p w:rsidR="00F531AC" w:rsidRPr="00A616C3" w:rsidRDefault="00F531AC" w:rsidP="008A39E1">
            <w:pPr>
              <w:spacing w:after="0"/>
              <w:outlineLvl w:val="0"/>
              <w:rPr>
                <w:sz w:val="20"/>
              </w:rPr>
            </w:pPr>
            <w:r w:rsidRPr="00A616C3">
              <w:rPr>
                <w:b/>
                <w:sz w:val="20"/>
              </w:rPr>
              <w:t>(AC→D):</w:t>
            </w:r>
            <w:r w:rsidRPr="00A616C3">
              <w:rPr>
                <w:sz w:val="20"/>
              </w:rPr>
              <w:t xml:space="preserve"> </w:t>
            </w:r>
            <w:r w:rsidR="009A6F9F" w:rsidRPr="00A616C3">
              <w:rPr>
                <w:sz w:val="20"/>
              </w:rPr>
              <w:t>100 mg/m</w:t>
            </w:r>
            <w:r w:rsidR="009A6F9F" w:rsidRPr="00A616C3">
              <w:rPr>
                <w:sz w:val="20"/>
                <w:vertAlign w:val="superscript"/>
              </w:rPr>
              <w:t>2</w:t>
            </w:r>
            <w:r w:rsidR="009A6F9F" w:rsidRPr="00A616C3">
              <w:rPr>
                <w:sz w:val="20"/>
              </w:rPr>
              <w:t xml:space="preserve"> </w:t>
            </w:r>
            <w:r w:rsidR="00BD7CB1" w:rsidRPr="00A616C3">
              <w:rPr>
                <w:sz w:val="20"/>
              </w:rPr>
              <w:t>q3w</w:t>
            </w:r>
            <w:r w:rsidR="00692D46" w:rsidRPr="00A616C3">
              <w:rPr>
                <w:sz w:val="20"/>
              </w:rPr>
              <w:t xml:space="preserve"> for </w:t>
            </w:r>
            <w:r w:rsidR="009A6F9F" w:rsidRPr="00A616C3">
              <w:rPr>
                <w:sz w:val="20"/>
              </w:rPr>
              <w:t xml:space="preserve">4 cycles or  </w:t>
            </w:r>
          </w:p>
          <w:p w:rsidR="009A6F9F" w:rsidRPr="00A616C3" w:rsidRDefault="004D2811" w:rsidP="008A39E1">
            <w:pPr>
              <w:spacing w:after="0"/>
              <w:outlineLvl w:val="0"/>
              <w:rPr>
                <w:sz w:val="20"/>
              </w:rPr>
            </w:pPr>
            <w:r w:rsidRPr="00A616C3">
              <w:rPr>
                <w:b/>
                <w:sz w:val="20"/>
              </w:rPr>
              <w:t>(</w:t>
            </w:r>
            <w:proofErr w:type="spellStart"/>
            <w:r w:rsidRPr="00A616C3">
              <w:rPr>
                <w:b/>
                <w:sz w:val="20"/>
              </w:rPr>
              <w:t>DCarb</w:t>
            </w:r>
            <w:proofErr w:type="spellEnd"/>
            <w:r w:rsidRPr="00A616C3">
              <w:rPr>
                <w:b/>
                <w:sz w:val="20"/>
              </w:rPr>
              <w:t>)</w:t>
            </w:r>
            <w:r w:rsidR="00F531AC" w:rsidRPr="00A616C3">
              <w:rPr>
                <w:b/>
                <w:sz w:val="20"/>
              </w:rPr>
              <w:t>:</w:t>
            </w:r>
            <w:r w:rsidRPr="00A616C3">
              <w:rPr>
                <w:sz w:val="20"/>
              </w:rPr>
              <w:t xml:space="preserve"> </w:t>
            </w:r>
            <w:r w:rsidR="009A6F9F" w:rsidRPr="00A616C3">
              <w:rPr>
                <w:sz w:val="20"/>
              </w:rPr>
              <w:t>75 mg/m</w:t>
            </w:r>
            <w:r w:rsidR="009A6F9F" w:rsidRPr="00A616C3">
              <w:rPr>
                <w:sz w:val="20"/>
                <w:vertAlign w:val="superscript"/>
              </w:rPr>
              <w:t>2</w:t>
            </w:r>
            <w:r w:rsidR="009A6F9F" w:rsidRPr="00A616C3">
              <w:rPr>
                <w:sz w:val="20"/>
              </w:rPr>
              <w:t xml:space="preserve"> </w:t>
            </w:r>
            <w:r w:rsidR="00BD7CB1" w:rsidRPr="00A616C3">
              <w:rPr>
                <w:sz w:val="20"/>
              </w:rPr>
              <w:t>q3w</w:t>
            </w:r>
            <w:r w:rsidR="009A6F9F" w:rsidRPr="00A616C3">
              <w:rPr>
                <w:sz w:val="20"/>
              </w:rPr>
              <w:t xml:space="preserve"> for  6 cycles </w:t>
            </w:r>
          </w:p>
          <w:p w:rsidR="008A39E1" w:rsidRPr="00A616C3" w:rsidRDefault="001031E4" w:rsidP="008A39E1">
            <w:pPr>
              <w:autoSpaceDE w:val="0"/>
              <w:autoSpaceDN w:val="0"/>
              <w:adjustRightInd w:val="0"/>
              <w:spacing w:after="0"/>
              <w:outlineLvl w:val="0"/>
              <w:rPr>
                <w:sz w:val="20"/>
              </w:rPr>
            </w:pPr>
            <w:r w:rsidRPr="00A616C3">
              <w:rPr>
                <w:sz w:val="20"/>
              </w:rPr>
              <w:t>C</w:t>
            </w:r>
            <w:r w:rsidR="009A6F9F" w:rsidRPr="00A616C3">
              <w:rPr>
                <w:sz w:val="20"/>
              </w:rPr>
              <w:t>arboplatin</w:t>
            </w:r>
            <w:r w:rsidR="00A22AAA" w:rsidRPr="00A616C3">
              <w:rPr>
                <w:sz w:val="20"/>
              </w:rPr>
              <w:t xml:space="preserve"> (at target AUC):</w:t>
            </w:r>
            <w:r w:rsidR="008A39E1" w:rsidRPr="00A616C3">
              <w:rPr>
                <w:sz w:val="20"/>
              </w:rPr>
              <w:t xml:space="preserve"> </w:t>
            </w:r>
            <w:r w:rsidR="009A6F9F" w:rsidRPr="00A616C3">
              <w:rPr>
                <w:sz w:val="20"/>
              </w:rPr>
              <w:t xml:space="preserve"> </w:t>
            </w:r>
          </w:p>
          <w:p w:rsidR="00A22AAA" w:rsidRPr="00A616C3" w:rsidRDefault="009A6F9F" w:rsidP="002065AB">
            <w:pPr>
              <w:autoSpaceDE w:val="0"/>
              <w:autoSpaceDN w:val="0"/>
              <w:adjustRightInd w:val="0"/>
              <w:spacing w:after="0"/>
              <w:outlineLvl w:val="0"/>
              <w:rPr>
                <w:sz w:val="20"/>
              </w:rPr>
            </w:pPr>
            <w:r w:rsidRPr="00A616C3">
              <w:rPr>
                <w:sz w:val="20"/>
              </w:rPr>
              <w:t>6</w:t>
            </w:r>
            <w:r w:rsidR="008A39E1" w:rsidRPr="00A616C3">
              <w:rPr>
                <w:sz w:val="20"/>
              </w:rPr>
              <w:t xml:space="preserve"> </w:t>
            </w:r>
            <w:r w:rsidRPr="00A616C3">
              <w:rPr>
                <w:sz w:val="20"/>
              </w:rPr>
              <w:t xml:space="preserve">mg/mL/min </w:t>
            </w:r>
            <w:r w:rsidR="00A22AAA" w:rsidRPr="00A616C3">
              <w:rPr>
                <w:sz w:val="20"/>
              </w:rPr>
              <w:t xml:space="preserve">(IV infusion over 30 - 60 min) </w:t>
            </w:r>
            <w:r w:rsidR="00BD7CB1" w:rsidRPr="00A616C3">
              <w:rPr>
                <w:sz w:val="20"/>
              </w:rPr>
              <w:t>q3w</w:t>
            </w:r>
            <w:r w:rsidR="004D2811" w:rsidRPr="00A616C3">
              <w:rPr>
                <w:sz w:val="20"/>
              </w:rPr>
              <w:t xml:space="preserve"> for a</w:t>
            </w:r>
            <w:r w:rsidRPr="00A616C3">
              <w:rPr>
                <w:sz w:val="20"/>
              </w:rPr>
              <w:t xml:space="preserve"> total of 6 cycles.</w:t>
            </w:r>
          </w:p>
        </w:tc>
      </w:tr>
      <w:tr w:rsidR="00537E60" w:rsidRPr="00A616C3" w:rsidTr="00D85FF0">
        <w:trPr>
          <w:jc w:val="center"/>
        </w:trPr>
        <w:tc>
          <w:tcPr>
            <w:tcW w:w="2065" w:type="dxa"/>
            <w:shd w:val="clear" w:color="auto" w:fill="auto"/>
          </w:tcPr>
          <w:p w:rsidR="00537E60" w:rsidRPr="00A616C3" w:rsidRDefault="00537E60" w:rsidP="001273F6">
            <w:pPr>
              <w:spacing w:after="0"/>
              <w:rPr>
                <w:b/>
                <w:sz w:val="20"/>
                <w:lang w:val="en-GB"/>
              </w:rPr>
            </w:pPr>
            <w:r w:rsidRPr="00A616C3">
              <w:rPr>
                <w:b/>
                <w:sz w:val="20"/>
                <w:lang w:val="en-GB"/>
              </w:rPr>
              <w:t xml:space="preserve">Timing of Herceptin </w:t>
            </w:r>
            <w:r w:rsidR="001273F6">
              <w:rPr>
                <w:b/>
                <w:sz w:val="20"/>
                <w:lang w:val="en-GB"/>
              </w:rPr>
              <w:t xml:space="preserve">IV </w:t>
            </w:r>
            <w:r w:rsidRPr="00A616C3">
              <w:rPr>
                <w:b/>
                <w:sz w:val="20"/>
                <w:lang w:val="en-GB"/>
              </w:rPr>
              <w:t>in relation to chemotherapy</w:t>
            </w:r>
          </w:p>
        </w:tc>
        <w:tc>
          <w:tcPr>
            <w:tcW w:w="2953" w:type="dxa"/>
            <w:shd w:val="clear" w:color="auto" w:fill="auto"/>
          </w:tcPr>
          <w:p w:rsidR="00537E60" w:rsidRPr="00A616C3" w:rsidRDefault="00537E60" w:rsidP="00A76E47">
            <w:pPr>
              <w:spacing w:after="0"/>
              <w:rPr>
                <w:sz w:val="20"/>
                <w:lang w:val="en-GB"/>
              </w:rPr>
            </w:pPr>
            <w:r w:rsidRPr="00A616C3">
              <w:rPr>
                <w:sz w:val="20"/>
                <w:lang w:val="en-GB"/>
              </w:rPr>
              <w:t xml:space="preserve">After completion of </w:t>
            </w:r>
            <w:r w:rsidR="00A76E47" w:rsidRPr="00A616C3">
              <w:rPr>
                <w:sz w:val="20"/>
                <w:lang w:val="en-GB"/>
              </w:rPr>
              <w:t>(</w:t>
            </w:r>
            <w:r w:rsidRPr="00A616C3">
              <w:rPr>
                <w:sz w:val="20"/>
                <w:lang w:val="en-GB"/>
              </w:rPr>
              <w:t>neo</w:t>
            </w:r>
            <w:r w:rsidR="00A76E47" w:rsidRPr="00A616C3">
              <w:rPr>
                <w:sz w:val="20"/>
                <w:lang w:val="en-GB"/>
              </w:rPr>
              <w:t>)</w:t>
            </w:r>
            <w:r w:rsidRPr="00A616C3">
              <w:rPr>
                <w:sz w:val="20"/>
                <w:lang w:val="en-GB"/>
              </w:rPr>
              <w:t xml:space="preserve">adjuvant </w:t>
            </w:r>
            <w:r w:rsidR="009D5F6F" w:rsidRPr="00A616C3">
              <w:rPr>
                <w:sz w:val="20"/>
                <w:vertAlign w:val="superscript"/>
                <w:lang w:val="en-GB"/>
              </w:rPr>
              <w:t>a</w:t>
            </w:r>
          </w:p>
        </w:tc>
        <w:tc>
          <w:tcPr>
            <w:tcW w:w="2694" w:type="dxa"/>
            <w:shd w:val="clear" w:color="auto" w:fill="auto"/>
          </w:tcPr>
          <w:p w:rsidR="00537E60" w:rsidRPr="00A616C3" w:rsidRDefault="00F70284" w:rsidP="00CA7A42">
            <w:pPr>
              <w:spacing w:after="0"/>
              <w:rPr>
                <w:sz w:val="20"/>
                <w:lang w:val="en-GB"/>
              </w:rPr>
            </w:pPr>
            <w:r w:rsidRPr="00A616C3">
              <w:rPr>
                <w:sz w:val="20"/>
                <w:lang w:val="en-GB"/>
              </w:rPr>
              <w:t>C</w:t>
            </w:r>
            <w:r w:rsidR="00537E60" w:rsidRPr="00A616C3">
              <w:rPr>
                <w:sz w:val="20"/>
                <w:lang w:val="en-GB"/>
              </w:rPr>
              <w:t xml:space="preserve">oncurrent </w:t>
            </w:r>
            <w:r w:rsidR="00F531AC" w:rsidRPr="00A616C3">
              <w:rPr>
                <w:b/>
                <w:sz w:val="20"/>
                <w:lang w:val="en-GB"/>
              </w:rPr>
              <w:t>(AC</w:t>
            </w:r>
            <w:r w:rsidR="00F531AC" w:rsidRPr="00A616C3">
              <w:rPr>
                <w:b/>
                <w:sz w:val="20"/>
              </w:rPr>
              <w:t>→PH)</w:t>
            </w:r>
            <w:r w:rsidR="007323A0" w:rsidRPr="00A616C3">
              <w:rPr>
                <w:b/>
                <w:sz w:val="20"/>
              </w:rPr>
              <w:t xml:space="preserve"> </w:t>
            </w:r>
            <w:r w:rsidRPr="00A616C3">
              <w:rPr>
                <w:sz w:val="20"/>
                <w:lang w:val="en-GB"/>
              </w:rPr>
              <w:t>or sequential</w:t>
            </w:r>
            <w:r w:rsidR="00537E60" w:rsidRPr="00A616C3">
              <w:rPr>
                <w:sz w:val="20"/>
                <w:lang w:val="en-GB"/>
              </w:rPr>
              <w:t xml:space="preserve"> </w:t>
            </w:r>
            <w:r w:rsidR="00F531AC" w:rsidRPr="00A616C3">
              <w:rPr>
                <w:sz w:val="20"/>
                <w:lang w:val="en-GB"/>
              </w:rPr>
              <w:t>(</w:t>
            </w:r>
            <w:r w:rsidR="00F531AC" w:rsidRPr="00A616C3">
              <w:rPr>
                <w:b/>
                <w:sz w:val="20"/>
              </w:rPr>
              <w:t>AC→P→H)</w:t>
            </w:r>
            <w:r w:rsidRPr="00A616C3">
              <w:rPr>
                <w:sz w:val="20"/>
                <w:lang w:val="en-GB"/>
              </w:rPr>
              <w:t xml:space="preserve"> </w:t>
            </w:r>
          </w:p>
        </w:tc>
        <w:tc>
          <w:tcPr>
            <w:tcW w:w="2616" w:type="dxa"/>
            <w:shd w:val="clear" w:color="auto" w:fill="auto"/>
          </w:tcPr>
          <w:p w:rsidR="00537E60" w:rsidRPr="00A616C3" w:rsidRDefault="00F531AC" w:rsidP="00CA7A42">
            <w:pPr>
              <w:spacing w:after="0"/>
              <w:rPr>
                <w:sz w:val="20"/>
                <w:lang w:val="en-GB"/>
              </w:rPr>
            </w:pPr>
            <w:r w:rsidRPr="00A616C3">
              <w:rPr>
                <w:sz w:val="20"/>
                <w:lang w:val="en-GB"/>
              </w:rPr>
              <w:t xml:space="preserve">Concurrent </w:t>
            </w:r>
            <w:r w:rsidRPr="00A616C3">
              <w:rPr>
                <w:b/>
                <w:sz w:val="20"/>
                <w:lang w:val="en-GB"/>
              </w:rPr>
              <w:t>(AC</w:t>
            </w:r>
            <w:r w:rsidR="00A22AAA" w:rsidRPr="00A616C3">
              <w:rPr>
                <w:b/>
                <w:sz w:val="20"/>
              </w:rPr>
              <w:t>→</w:t>
            </w:r>
            <w:r w:rsidRPr="00A616C3">
              <w:rPr>
                <w:b/>
                <w:sz w:val="20"/>
                <w:lang w:val="en-GB"/>
              </w:rPr>
              <w:t>DH</w:t>
            </w:r>
            <w:r w:rsidRPr="00A616C3">
              <w:rPr>
                <w:sz w:val="20"/>
                <w:lang w:val="en-GB"/>
              </w:rPr>
              <w:t xml:space="preserve"> and </w:t>
            </w:r>
            <w:proofErr w:type="spellStart"/>
            <w:r w:rsidRPr="00A616C3">
              <w:rPr>
                <w:b/>
                <w:sz w:val="20"/>
              </w:rPr>
              <w:t>DCarbH</w:t>
            </w:r>
            <w:proofErr w:type="spellEnd"/>
            <w:r w:rsidRPr="00A616C3">
              <w:rPr>
                <w:b/>
                <w:sz w:val="20"/>
              </w:rPr>
              <w:t>)</w:t>
            </w:r>
            <w:r w:rsidRPr="00A616C3">
              <w:rPr>
                <w:sz w:val="20"/>
              </w:rPr>
              <w:t xml:space="preserve"> </w:t>
            </w:r>
          </w:p>
        </w:tc>
      </w:tr>
      <w:tr w:rsidR="00537E60" w:rsidRPr="00A616C3" w:rsidTr="00D85FF0">
        <w:trPr>
          <w:jc w:val="center"/>
        </w:trPr>
        <w:tc>
          <w:tcPr>
            <w:tcW w:w="2065" w:type="dxa"/>
            <w:tcBorders>
              <w:bottom w:val="single" w:sz="4" w:space="0" w:color="auto"/>
            </w:tcBorders>
            <w:shd w:val="clear" w:color="auto" w:fill="auto"/>
          </w:tcPr>
          <w:p w:rsidR="00537E60" w:rsidRPr="00A616C3" w:rsidRDefault="00537E60" w:rsidP="00586B97">
            <w:pPr>
              <w:spacing w:after="0"/>
              <w:rPr>
                <w:b/>
                <w:sz w:val="20"/>
                <w:lang w:val="en-GB"/>
              </w:rPr>
            </w:pPr>
            <w:r w:rsidRPr="00A616C3">
              <w:rPr>
                <w:b/>
                <w:sz w:val="20"/>
                <w:lang w:val="en-GB"/>
              </w:rPr>
              <w:t>Median follow-up</w:t>
            </w:r>
          </w:p>
        </w:tc>
        <w:tc>
          <w:tcPr>
            <w:tcW w:w="2953" w:type="dxa"/>
            <w:tcBorders>
              <w:bottom w:val="single" w:sz="4" w:space="0" w:color="auto"/>
            </w:tcBorders>
            <w:shd w:val="clear" w:color="auto" w:fill="auto"/>
          </w:tcPr>
          <w:p w:rsidR="00537E60" w:rsidRPr="00A616C3" w:rsidRDefault="00537E60" w:rsidP="00586B97">
            <w:pPr>
              <w:spacing w:after="0"/>
              <w:jc w:val="center"/>
              <w:rPr>
                <w:sz w:val="20"/>
                <w:lang w:val="en-GB"/>
              </w:rPr>
            </w:pPr>
            <w:r w:rsidRPr="00A616C3">
              <w:rPr>
                <w:sz w:val="20"/>
                <w:lang w:val="en-GB"/>
              </w:rPr>
              <w:t>1 year (initial evaluation)</w:t>
            </w:r>
          </w:p>
          <w:p w:rsidR="00537E60" w:rsidRPr="00A616C3" w:rsidRDefault="00537E60" w:rsidP="00D07E6D">
            <w:pPr>
              <w:spacing w:after="0"/>
              <w:jc w:val="center"/>
              <w:rPr>
                <w:sz w:val="20"/>
                <w:lang w:val="en-GB"/>
              </w:rPr>
            </w:pPr>
            <w:r w:rsidRPr="00A616C3">
              <w:rPr>
                <w:sz w:val="20"/>
                <w:lang w:val="en-GB"/>
              </w:rPr>
              <w:t>[</w:t>
            </w:r>
            <w:r w:rsidR="00D07E6D" w:rsidRPr="00A616C3">
              <w:rPr>
                <w:sz w:val="20"/>
                <w:lang w:val="en-GB"/>
              </w:rPr>
              <w:t>8</w:t>
            </w:r>
            <w:r w:rsidRPr="00A616C3">
              <w:rPr>
                <w:sz w:val="20"/>
                <w:lang w:val="en-GB"/>
              </w:rPr>
              <w:t xml:space="preserve"> years (follow-up evaluation)]</w:t>
            </w:r>
          </w:p>
        </w:tc>
        <w:tc>
          <w:tcPr>
            <w:tcW w:w="2694" w:type="dxa"/>
            <w:tcBorders>
              <w:bottom w:val="single" w:sz="4" w:space="0" w:color="auto"/>
            </w:tcBorders>
            <w:shd w:val="clear" w:color="auto" w:fill="auto"/>
          </w:tcPr>
          <w:p w:rsidR="00537E60" w:rsidRPr="00A616C3" w:rsidRDefault="00537E60" w:rsidP="00586B97">
            <w:pPr>
              <w:spacing w:after="0"/>
              <w:jc w:val="center"/>
              <w:rPr>
                <w:sz w:val="20"/>
                <w:lang w:val="en-GB"/>
              </w:rPr>
            </w:pPr>
            <w:r w:rsidRPr="00A616C3">
              <w:rPr>
                <w:sz w:val="20"/>
                <w:lang w:val="en-GB"/>
              </w:rPr>
              <w:t>2 years</w:t>
            </w:r>
          </w:p>
          <w:p w:rsidR="00AF63E3" w:rsidRPr="00A616C3" w:rsidRDefault="00AF63E3" w:rsidP="00586B97">
            <w:pPr>
              <w:spacing w:after="0"/>
              <w:jc w:val="center"/>
              <w:rPr>
                <w:sz w:val="20"/>
                <w:lang w:val="en-GB"/>
              </w:rPr>
            </w:pPr>
          </w:p>
        </w:tc>
        <w:tc>
          <w:tcPr>
            <w:tcW w:w="2616" w:type="dxa"/>
            <w:tcBorders>
              <w:bottom w:val="single" w:sz="4" w:space="0" w:color="auto"/>
            </w:tcBorders>
            <w:shd w:val="clear" w:color="auto" w:fill="auto"/>
          </w:tcPr>
          <w:p w:rsidR="00537E60" w:rsidRPr="00A616C3" w:rsidRDefault="00CD2BA1" w:rsidP="00586B97">
            <w:pPr>
              <w:spacing w:after="0"/>
              <w:jc w:val="center"/>
              <w:rPr>
                <w:sz w:val="20"/>
                <w:lang w:val="en-GB"/>
              </w:rPr>
            </w:pPr>
            <w:r w:rsidRPr="00A616C3">
              <w:rPr>
                <w:sz w:val="20"/>
                <w:lang w:val="en-GB"/>
              </w:rPr>
              <w:t>3 years</w:t>
            </w:r>
          </w:p>
        </w:tc>
      </w:tr>
    </w:tbl>
    <w:p w:rsidR="000733FE" w:rsidRPr="00A616C3" w:rsidRDefault="00F531AC" w:rsidP="007323A0">
      <w:pPr>
        <w:spacing w:after="0"/>
        <w:rPr>
          <w:sz w:val="18"/>
          <w:szCs w:val="18"/>
          <w:lang w:val="en-GB"/>
        </w:rPr>
      </w:pPr>
      <w:r w:rsidRPr="00A616C3">
        <w:rPr>
          <w:sz w:val="18"/>
          <w:szCs w:val="18"/>
          <w:lang w:val="en-GB"/>
        </w:rPr>
        <w:t xml:space="preserve">AC = doxorubicin + cyclophosphamide; </w:t>
      </w:r>
      <w:r w:rsidR="00333B30" w:rsidRPr="00A616C3">
        <w:rPr>
          <w:sz w:val="18"/>
          <w:szCs w:val="18"/>
          <w:lang w:val="en-GB"/>
        </w:rPr>
        <w:t xml:space="preserve">q3w </w:t>
      </w:r>
      <w:proofErr w:type="gramStart"/>
      <w:r w:rsidR="00333B30" w:rsidRPr="00A616C3">
        <w:rPr>
          <w:sz w:val="18"/>
          <w:szCs w:val="18"/>
          <w:lang w:val="en-GB"/>
        </w:rPr>
        <w:t>=  every</w:t>
      </w:r>
      <w:proofErr w:type="gramEnd"/>
      <w:r w:rsidR="00333B30" w:rsidRPr="00A616C3">
        <w:rPr>
          <w:sz w:val="18"/>
          <w:szCs w:val="18"/>
          <w:lang w:val="en-GB"/>
        </w:rPr>
        <w:t xml:space="preserve"> 3 weeks; q1w = weekly </w:t>
      </w:r>
      <w:r w:rsidR="00BD7CB1" w:rsidRPr="00A616C3">
        <w:rPr>
          <w:sz w:val="18"/>
          <w:szCs w:val="18"/>
          <w:lang w:val="en-GB"/>
        </w:rPr>
        <w:t>chemo = chemotherapy</w:t>
      </w:r>
      <w:r w:rsidR="002667E2" w:rsidRPr="00A616C3">
        <w:rPr>
          <w:sz w:val="18"/>
          <w:szCs w:val="18"/>
          <w:lang w:val="en-GB"/>
        </w:rPr>
        <w:t>;</w:t>
      </w:r>
      <w:r w:rsidR="009D5F6F" w:rsidRPr="00A616C3">
        <w:rPr>
          <w:sz w:val="18"/>
          <w:szCs w:val="18"/>
          <w:lang w:val="en-GB"/>
        </w:rPr>
        <w:t xml:space="preserve"> </w:t>
      </w:r>
      <w:r w:rsidR="009D5F6F" w:rsidRPr="00A616C3">
        <w:rPr>
          <w:sz w:val="18"/>
          <w:szCs w:val="18"/>
          <w:vertAlign w:val="superscript"/>
          <w:lang w:val="en-GB"/>
        </w:rPr>
        <w:t xml:space="preserve">a </w:t>
      </w:r>
      <w:r w:rsidR="009D5F6F" w:rsidRPr="00A616C3">
        <w:rPr>
          <w:sz w:val="18"/>
          <w:szCs w:val="18"/>
          <w:lang w:val="en-GB"/>
        </w:rPr>
        <w:t xml:space="preserve">89% of subjects received adjuvant chemotherapy; 5% </w:t>
      </w:r>
      <w:r w:rsidR="00412140" w:rsidRPr="00A616C3">
        <w:rPr>
          <w:sz w:val="18"/>
          <w:szCs w:val="18"/>
          <w:lang w:val="en-GB"/>
        </w:rPr>
        <w:t xml:space="preserve">received </w:t>
      </w:r>
      <w:proofErr w:type="spellStart"/>
      <w:r w:rsidR="009D5F6F" w:rsidRPr="00A616C3">
        <w:rPr>
          <w:sz w:val="18"/>
          <w:szCs w:val="18"/>
          <w:lang w:val="en-GB"/>
        </w:rPr>
        <w:t>neoadjuvant</w:t>
      </w:r>
      <w:proofErr w:type="spellEnd"/>
      <w:r w:rsidR="009D5F6F" w:rsidRPr="00A616C3">
        <w:rPr>
          <w:sz w:val="18"/>
          <w:szCs w:val="18"/>
          <w:lang w:val="en-GB"/>
        </w:rPr>
        <w:t xml:space="preserve"> </w:t>
      </w:r>
      <w:r w:rsidR="007B4A18" w:rsidRPr="00A616C3">
        <w:rPr>
          <w:sz w:val="18"/>
          <w:szCs w:val="18"/>
          <w:lang w:val="en-GB"/>
        </w:rPr>
        <w:t xml:space="preserve">chemotherapy </w:t>
      </w:r>
      <w:r w:rsidR="009D5F6F" w:rsidRPr="00A616C3">
        <w:rPr>
          <w:sz w:val="18"/>
          <w:szCs w:val="18"/>
          <w:lang w:val="en-GB"/>
        </w:rPr>
        <w:t xml:space="preserve">and 6% </w:t>
      </w:r>
      <w:r w:rsidR="00412140" w:rsidRPr="00A616C3">
        <w:rPr>
          <w:sz w:val="18"/>
          <w:szCs w:val="18"/>
          <w:lang w:val="en-GB"/>
        </w:rPr>
        <w:t xml:space="preserve">received </w:t>
      </w:r>
      <w:r w:rsidR="009D5F6F" w:rsidRPr="00A616C3">
        <w:rPr>
          <w:sz w:val="18"/>
          <w:szCs w:val="18"/>
          <w:lang w:val="en-GB"/>
        </w:rPr>
        <w:t xml:space="preserve">a combination of </w:t>
      </w:r>
      <w:proofErr w:type="spellStart"/>
      <w:r w:rsidR="009D5F6F" w:rsidRPr="00A616C3">
        <w:rPr>
          <w:sz w:val="18"/>
          <w:szCs w:val="18"/>
          <w:lang w:val="en-GB"/>
        </w:rPr>
        <w:t>neoadjuvant</w:t>
      </w:r>
      <w:proofErr w:type="spellEnd"/>
      <w:r w:rsidR="009D5F6F" w:rsidRPr="00A616C3">
        <w:rPr>
          <w:sz w:val="18"/>
          <w:szCs w:val="18"/>
          <w:lang w:val="en-GB"/>
        </w:rPr>
        <w:t xml:space="preserve"> and adjuvant chemother</w:t>
      </w:r>
      <w:r w:rsidR="007B4A18" w:rsidRPr="00A616C3">
        <w:rPr>
          <w:sz w:val="18"/>
          <w:szCs w:val="18"/>
          <w:lang w:val="en-GB"/>
        </w:rPr>
        <w:t>a</w:t>
      </w:r>
      <w:r w:rsidR="009D5F6F" w:rsidRPr="00A616C3">
        <w:rPr>
          <w:sz w:val="18"/>
          <w:szCs w:val="18"/>
          <w:lang w:val="en-GB"/>
        </w:rPr>
        <w:t>py.</w:t>
      </w:r>
      <w:r w:rsidR="002667E2" w:rsidRPr="00A616C3">
        <w:rPr>
          <w:sz w:val="18"/>
          <w:szCs w:val="18"/>
          <w:lang w:val="en-GB"/>
        </w:rPr>
        <w:t xml:space="preserve"> </w:t>
      </w:r>
    </w:p>
    <w:p w:rsidR="00614F34" w:rsidRPr="00A616C3" w:rsidRDefault="00614F34" w:rsidP="00CA659E">
      <w:pPr>
        <w:spacing w:after="0"/>
        <w:rPr>
          <w:lang w:val="en-GB"/>
        </w:rPr>
      </w:pPr>
    </w:p>
    <w:p w:rsidR="00C6020F" w:rsidRPr="00A616C3" w:rsidRDefault="00D07E6D" w:rsidP="001C136D">
      <w:pPr>
        <w:spacing w:after="0"/>
        <w:rPr>
          <w:lang w:val="en-GB"/>
        </w:rPr>
      </w:pPr>
      <w:r w:rsidRPr="00A616C3">
        <w:rPr>
          <w:lang w:val="en-GB"/>
        </w:rPr>
        <w:t>The HERA trial was designed to compare 1 and 2 years of 3-weekly HERCEPTIN</w:t>
      </w:r>
      <w:r w:rsidR="001273F6" w:rsidRPr="001273F6">
        <w:rPr>
          <w:lang w:val="en-GB"/>
        </w:rPr>
        <w:t xml:space="preserve"> </w:t>
      </w:r>
      <w:r w:rsidR="001273F6">
        <w:rPr>
          <w:lang w:val="en-GB"/>
        </w:rPr>
        <w:t>IV</w:t>
      </w:r>
      <w:r w:rsidRPr="00A616C3">
        <w:rPr>
          <w:lang w:val="en-GB"/>
        </w:rPr>
        <w:t xml:space="preserve"> treatment vs. observation in patients with HER2 positive breast cancer following surgery, established chemotherapy and radiotherapy (if applicable). In addition, a comparison of 2 years HERCEPTIN </w:t>
      </w:r>
      <w:r w:rsidR="001273F6">
        <w:rPr>
          <w:lang w:val="en-GB"/>
        </w:rPr>
        <w:t xml:space="preserve">IV </w:t>
      </w:r>
      <w:r w:rsidRPr="00A616C3">
        <w:rPr>
          <w:lang w:val="en-GB"/>
        </w:rPr>
        <w:t xml:space="preserve">treatment vs. 1 year HERCEPTIN </w:t>
      </w:r>
      <w:r w:rsidR="001273F6">
        <w:rPr>
          <w:lang w:val="en-GB"/>
        </w:rPr>
        <w:t xml:space="preserve">IV </w:t>
      </w:r>
      <w:r w:rsidRPr="00A616C3">
        <w:rPr>
          <w:lang w:val="en-GB"/>
        </w:rPr>
        <w:t xml:space="preserve">treatment was performed. Patients assigned to receive </w:t>
      </w:r>
      <w:r w:rsidR="002D04AE">
        <w:rPr>
          <w:lang w:val="en-GB"/>
        </w:rPr>
        <w:lastRenderedPageBreak/>
        <w:t xml:space="preserve">HERCEPTIN </w:t>
      </w:r>
      <w:r w:rsidR="001273F6">
        <w:rPr>
          <w:lang w:val="en-GB"/>
        </w:rPr>
        <w:t xml:space="preserve">IV </w:t>
      </w:r>
      <w:r w:rsidRPr="00A616C3">
        <w:rPr>
          <w:lang w:val="en-GB"/>
        </w:rPr>
        <w:t xml:space="preserve">were given an initial loading dose of 8 mg/kg, followed by 6 mg/kg every 3 weeks for either 1 or 2 years. </w:t>
      </w:r>
      <w:r w:rsidR="00C6020F" w:rsidRPr="00A616C3">
        <w:rPr>
          <w:lang w:val="en-GB"/>
        </w:rPr>
        <w:t>The efficacy results from the HERA trial are summarized in the following table:</w:t>
      </w:r>
    </w:p>
    <w:p w:rsidR="00081E93" w:rsidRPr="00A616C3" w:rsidRDefault="00081E93" w:rsidP="001C136D">
      <w:pPr>
        <w:spacing w:after="0"/>
        <w:rPr>
          <w:lang w:val="en-GB"/>
        </w:rPr>
      </w:pPr>
    </w:p>
    <w:p w:rsidR="00C6020F" w:rsidRPr="00A616C3" w:rsidRDefault="00C6020F" w:rsidP="00C6020F">
      <w:pPr>
        <w:pStyle w:val="Caption"/>
        <w:keepNext/>
        <w:rPr>
          <w:lang w:val="en-GB"/>
        </w:rPr>
      </w:pPr>
      <w:r w:rsidRPr="00A616C3">
        <w:t xml:space="preserve">Table </w:t>
      </w:r>
      <w:r w:rsidR="004B6771">
        <w:t>2</w:t>
      </w:r>
      <w:r w:rsidRPr="00A616C3">
        <w:rPr>
          <w:lang w:val="en-GB"/>
        </w:rPr>
        <w:t>: Efficacy Results from the HERA Trial</w:t>
      </w:r>
      <w:r w:rsidR="00D07E6D" w:rsidRPr="00A616C3">
        <w:rPr>
          <w:lang w:val="en-GB"/>
        </w:rPr>
        <w:t xml:space="preserve"> at 12 months</w:t>
      </w:r>
      <w:r w:rsidR="00D07E6D" w:rsidRPr="00A616C3">
        <w:rPr>
          <w:vertAlign w:val="superscript"/>
          <w:lang w:val="en-GB"/>
        </w:rPr>
        <w:t>1</w:t>
      </w:r>
      <w:r w:rsidR="00D07E6D" w:rsidRPr="00A616C3">
        <w:rPr>
          <w:lang w:val="en-GB"/>
        </w:rPr>
        <w:t xml:space="preserve"> and 8 years</w:t>
      </w:r>
      <w:r w:rsidR="00D07E6D" w:rsidRPr="00A616C3">
        <w:rPr>
          <w:vertAlign w:val="superscript"/>
          <w:lang w:val="en-GB"/>
        </w:rPr>
        <w:t>2</w:t>
      </w:r>
      <w:r w:rsidR="00D07E6D" w:rsidRPr="00A616C3">
        <w:rPr>
          <w:lang w:val="en-GB"/>
        </w:rPr>
        <w:t xml:space="preserve"> of median follow up</w:t>
      </w:r>
      <w:r w:rsidRPr="00A616C3">
        <w:rPr>
          <w:lang w:val="en-GB"/>
        </w:rPr>
        <w:t xml:space="preserve"> </w:t>
      </w:r>
    </w:p>
    <w:tbl>
      <w:tblPr>
        <w:tblW w:w="946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503"/>
        <w:gridCol w:w="1275"/>
        <w:gridCol w:w="1134"/>
        <w:gridCol w:w="993"/>
        <w:gridCol w:w="1559"/>
      </w:tblGrid>
      <w:tr w:rsidR="00CC0FD9" w:rsidRPr="00A616C3" w:rsidTr="00CC0FD9">
        <w:tc>
          <w:tcPr>
            <w:tcW w:w="4503" w:type="dxa"/>
            <w:tcBorders>
              <w:top w:val="single" w:sz="4" w:space="0" w:color="auto"/>
              <w:bottom w:val="single" w:sz="4" w:space="0" w:color="auto"/>
            </w:tcBorders>
            <w:shd w:val="clear" w:color="auto" w:fill="auto"/>
          </w:tcPr>
          <w:p w:rsidR="00A54D45" w:rsidRPr="00A616C3" w:rsidRDefault="00A54D45" w:rsidP="00586B97">
            <w:pPr>
              <w:spacing w:after="0"/>
              <w:rPr>
                <w:b/>
                <w:sz w:val="20"/>
                <w:lang w:val="en-GB"/>
              </w:rPr>
            </w:pPr>
            <w:r w:rsidRPr="00A616C3">
              <w:rPr>
                <w:b/>
                <w:sz w:val="20"/>
                <w:lang w:val="en-GB"/>
              </w:rPr>
              <w:t>Parameter</w:t>
            </w:r>
          </w:p>
        </w:tc>
        <w:tc>
          <w:tcPr>
            <w:tcW w:w="1275" w:type="dxa"/>
            <w:tcBorders>
              <w:top w:val="single" w:sz="4" w:space="0" w:color="auto"/>
              <w:bottom w:val="single" w:sz="4" w:space="0" w:color="auto"/>
            </w:tcBorders>
            <w:shd w:val="clear" w:color="auto" w:fill="auto"/>
          </w:tcPr>
          <w:p w:rsidR="00A54D45" w:rsidRPr="00A616C3" w:rsidRDefault="00A54D45" w:rsidP="00586B97">
            <w:pPr>
              <w:spacing w:after="0"/>
              <w:jc w:val="center"/>
              <w:rPr>
                <w:b/>
                <w:sz w:val="20"/>
                <w:lang w:val="en-GB"/>
              </w:rPr>
            </w:pPr>
            <w:r w:rsidRPr="00A616C3">
              <w:rPr>
                <w:b/>
                <w:sz w:val="20"/>
                <w:lang w:val="en-GB"/>
              </w:rPr>
              <w:t>Observation</w:t>
            </w:r>
          </w:p>
          <w:p w:rsidR="00A54D45" w:rsidRPr="00A616C3" w:rsidRDefault="00A54D45" w:rsidP="00CB021E">
            <w:pPr>
              <w:spacing w:after="0"/>
              <w:jc w:val="center"/>
              <w:rPr>
                <w:b/>
                <w:sz w:val="20"/>
                <w:lang w:val="en-GB"/>
              </w:rPr>
            </w:pPr>
          </w:p>
        </w:tc>
        <w:tc>
          <w:tcPr>
            <w:tcW w:w="1134" w:type="dxa"/>
            <w:tcBorders>
              <w:top w:val="single" w:sz="4" w:space="0" w:color="auto"/>
              <w:bottom w:val="single" w:sz="4" w:space="0" w:color="auto"/>
            </w:tcBorders>
            <w:shd w:val="clear" w:color="auto" w:fill="auto"/>
          </w:tcPr>
          <w:p w:rsidR="00260799" w:rsidRPr="00A616C3" w:rsidRDefault="00A54D45" w:rsidP="00A54D45">
            <w:pPr>
              <w:spacing w:after="0"/>
              <w:jc w:val="center"/>
              <w:rPr>
                <w:b/>
                <w:sz w:val="20"/>
                <w:lang w:val="en-GB"/>
              </w:rPr>
            </w:pPr>
            <w:r w:rsidRPr="00A616C3">
              <w:rPr>
                <w:b/>
                <w:sz w:val="20"/>
                <w:lang w:val="en-GB"/>
              </w:rPr>
              <w:t>Herceptin</w:t>
            </w:r>
            <w:r w:rsidR="008C43BC">
              <w:rPr>
                <w:b/>
                <w:sz w:val="20"/>
                <w:lang w:val="en-GB"/>
              </w:rPr>
              <w:t xml:space="preserve"> IV</w:t>
            </w:r>
          </w:p>
          <w:p w:rsidR="00A54D45" w:rsidRPr="00A616C3" w:rsidRDefault="00260799" w:rsidP="00EA4E8A">
            <w:pPr>
              <w:spacing w:after="0"/>
              <w:jc w:val="center"/>
              <w:rPr>
                <w:b/>
                <w:sz w:val="20"/>
                <w:lang w:val="en-GB"/>
              </w:rPr>
            </w:pPr>
            <w:r w:rsidRPr="00A616C3">
              <w:rPr>
                <w:b/>
                <w:sz w:val="20"/>
                <w:lang w:val="en-GB"/>
              </w:rPr>
              <w:t>1yr treatment</w:t>
            </w:r>
          </w:p>
        </w:tc>
        <w:tc>
          <w:tcPr>
            <w:tcW w:w="993" w:type="dxa"/>
            <w:tcBorders>
              <w:top w:val="single" w:sz="4" w:space="0" w:color="auto"/>
              <w:bottom w:val="single" w:sz="4" w:space="0" w:color="auto"/>
            </w:tcBorders>
            <w:shd w:val="clear" w:color="auto" w:fill="auto"/>
          </w:tcPr>
          <w:p w:rsidR="00A54D45" w:rsidRPr="00A616C3" w:rsidRDefault="00A54D45" w:rsidP="00717FFA">
            <w:pPr>
              <w:spacing w:after="0"/>
              <w:jc w:val="center"/>
              <w:rPr>
                <w:b/>
                <w:sz w:val="20"/>
                <w:lang w:val="en-GB"/>
              </w:rPr>
            </w:pPr>
            <w:r w:rsidRPr="00A616C3">
              <w:rPr>
                <w:b/>
                <w:sz w:val="20"/>
                <w:lang w:val="en-GB"/>
              </w:rPr>
              <w:t xml:space="preserve">p-value </w:t>
            </w:r>
          </w:p>
        </w:tc>
        <w:tc>
          <w:tcPr>
            <w:tcW w:w="1559" w:type="dxa"/>
            <w:tcBorders>
              <w:top w:val="single" w:sz="4" w:space="0" w:color="auto"/>
              <w:bottom w:val="single" w:sz="4" w:space="0" w:color="auto"/>
            </w:tcBorders>
            <w:shd w:val="clear" w:color="auto" w:fill="auto"/>
          </w:tcPr>
          <w:p w:rsidR="00A54D45" w:rsidRPr="00A616C3" w:rsidRDefault="00A54D45" w:rsidP="00717FFA">
            <w:pPr>
              <w:spacing w:after="0"/>
              <w:jc w:val="center"/>
              <w:rPr>
                <w:b/>
                <w:sz w:val="20"/>
                <w:lang w:val="en-GB"/>
              </w:rPr>
            </w:pPr>
            <w:r w:rsidRPr="00A616C3">
              <w:rPr>
                <w:b/>
                <w:sz w:val="20"/>
                <w:lang w:val="en-GB"/>
              </w:rPr>
              <w:t xml:space="preserve">HR </w:t>
            </w:r>
          </w:p>
          <w:p w:rsidR="00A54D45" w:rsidRPr="00A616C3" w:rsidRDefault="00556243" w:rsidP="00556243">
            <w:pPr>
              <w:spacing w:after="0"/>
              <w:jc w:val="center"/>
              <w:rPr>
                <w:b/>
                <w:sz w:val="20"/>
                <w:lang w:val="en-GB"/>
              </w:rPr>
            </w:pPr>
            <w:r w:rsidRPr="00A616C3">
              <w:rPr>
                <w:rFonts w:eastAsia="SimSun"/>
                <w:b/>
                <w:sz w:val="20"/>
                <w:lang w:val="fr-FR" w:eastAsia="zh-CN"/>
              </w:rPr>
              <w:t>(95% CI)</w:t>
            </w:r>
          </w:p>
        </w:tc>
      </w:tr>
      <w:tr w:rsidR="00CC0FD9" w:rsidRPr="00A616C3" w:rsidTr="00CC0FD9">
        <w:tc>
          <w:tcPr>
            <w:tcW w:w="4503" w:type="dxa"/>
            <w:tcBorders>
              <w:top w:val="single" w:sz="4" w:space="0" w:color="auto"/>
            </w:tcBorders>
            <w:shd w:val="clear" w:color="auto" w:fill="auto"/>
          </w:tcPr>
          <w:p w:rsidR="00A54D45" w:rsidRPr="00A616C3" w:rsidRDefault="00CC0FD9" w:rsidP="00D07E6D">
            <w:pPr>
              <w:spacing w:after="0"/>
              <w:rPr>
                <w:b/>
                <w:sz w:val="20"/>
                <w:u w:val="single"/>
                <w:lang w:val="en-GB"/>
              </w:rPr>
            </w:pPr>
            <w:r w:rsidRPr="00A616C3">
              <w:rPr>
                <w:b/>
                <w:sz w:val="20"/>
                <w:u w:val="single"/>
                <w:lang w:val="en-GB"/>
              </w:rPr>
              <w:t xml:space="preserve">Disease </w:t>
            </w:r>
            <w:r w:rsidR="00D07E6D" w:rsidRPr="00A616C3">
              <w:rPr>
                <w:b/>
                <w:sz w:val="20"/>
                <w:u w:val="single"/>
                <w:lang w:val="en-GB"/>
              </w:rPr>
              <w:t>free survival</w:t>
            </w:r>
          </w:p>
        </w:tc>
        <w:tc>
          <w:tcPr>
            <w:tcW w:w="1275" w:type="dxa"/>
            <w:tcBorders>
              <w:top w:val="single" w:sz="4" w:space="0" w:color="auto"/>
            </w:tcBorders>
            <w:shd w:val="clear" w:color="auto" w:fill="auto"/>
          </w:tcPr>
          <w:p w:rsidR="00A54D45" w:rsidRPr="00A616C3" w:rsidRDefault="00A54D45" w:rsidP="00586B97">
            <w:pPr>
              <w:spacing w:after="0"/>
              <w:jc w:val="center"/>
              <w:rPr>
                <w:sz w:val="20"/>
                <w:lang w:val="en-GB"/>
              </w:rPr>
            </w:pPr>
          </w:p>
        </w:tc>
        <w:tc>
          <w:tcPr>
            <w:tcW w:w="1134" w:type="dxa"/>
            <w:tcBorders>
              <w:top w:val="single" w:sz="4" w:space="0" w:color="auto"/>
            </w:tcBorders>
            <w:shd w:val="clear" w:color="auto" w:fill="auto"/>
          </w:tcPr>
          <w:p w:rsidR="00A54D45" w:rsidRPr="00A616C3" w:rsidRDefault="00A54D45" w:rsidP="00586B97">
            <w:pPr>
              <w:spacing w:after="0"/>
              <w:jc w:val="center"/>
              <w:rPr>
                <w:sz w:val="20"/>
                <w:lang w:val="en-GB"/>
              </w:rPr>
            </w:pPr>
          </w:p>
        </w:tc>
        <w:tc>
          <w:tcPr>
            <w:tcW w:w="993" w:type="dxa"/>
            <w:tcBorders>
              <w:top w:val="single" w:sz="4" w:space="0" w:color="auto"/>
            </w:tcBorders>
            <w:shd w:val="clear" w:color="auto" w:fill="auto"/>
          </w:tcPr>
          <w:p w:rsidR="00A54D45" w:rsidRPr="00A616C3" w:rsidRDefault="00A54D45" w:rsidP="00586B97">
            <w:pPr>
              <w:spacing w:after="0"/>
              <w:jc w:val="center"/>
              <w:rPr>
                <w:sz w:val="20"/>
                <w:lang w:val="en-GB"/>
              </w:rPr>
            </w:pPr>
          </w:p>
        </w:tc>
        <w:tc>
          <w:tcPr>
            <w:tcW w:w="1559" w:type="dxa"/>
            <w:tcBorders>
              <w:top w:val="single" w:sz="4" w:space="0" w:color="auto"/>
            </w:tcBorders>
            <w:shd w:val="clear" w:color="auto" w:fill="auto"/>
          </w:tcPr>
          <w:p w:rsidR="00A54D45" w:rsidRPr="00A616C3" w:rsidRDefault="00A54D45" w:rsidP="00586B97">
            <w:pPr>
              <w:spacing w:after="0"/>
              <w:jc w:val="center"/>
              <w:rPr>
                <w:sz w:val="20"/>
                <w:lang w:val="en-GB"/>
              </w:rPr>
            </w:pPr>
          </w:p>
        </w:tc>
      </w:tr>
      <w:tr w:rsidR="00CC0FD9" w:rsidRPr="00A616C3" w:rsidTr="00CC0FD9">
        <w:tc>
          <w:tcPr>
            <w:tcW w:w="4503" w:type="dxa"/>
            <w:tcBorders>
              <w:bottom w:val="nil"/>
            </w:tcBorders>
            <w:shd w:val="clear" w:color="auto" w:fill="auto"/>
          </w:tcPr>
          <w:p w:rsidR="00A54D45" w:rsidRPr="00A616C3" w:rsidRDefault="00D07E6D" w:rsidP="00D07E6D">
            <w:pPr>
              <w:spacing w:after="0"/>
              <w:rPr>
                <w:sz w:val="20"/>
                <w:lang w:val="en-GB"/>
              </w:rPr>
            </w:pPr>
            <w:r w:rsidRPr="00A616C3">
              <w:rPr>
                <w:sz w:val="20"/>
                <w:lang w:val="en-GB"/>
              </w:rPr>
              <w:t>No. of patients with event</w:t>
            </w:r>
            <w:r w:rsidRPr="00A616C3" w:rsidDel="00D07E6D">
              <w:rPr>
                <w:sz w:val="20"/>
                <w:lang w:val="en-GB"/>
              </w:rPr>
              <w:t xml:space="preserve"> </w:t>
            </w:r>
            <w:r w:rsidRPr="00A616C3">
              <w:rPr>
                <w:sz w:val="20"/>
                <w:lang w:val="en-GB"/>
              </w:rPr>
              <w:t xml:space="preserve"> </w:t>
            </w:r>
            <w:r w:rsidR="00A54D45" w:rsidRPr="00A616C3">
              <w:rPr>
                <w:sz w:val="20"/>
                <w:lang w:val="en-GB"/>
              </w:rPr>
              <w:t>(1 year</w:t>
            </w:r>
            <w:r w:rsidRPr="00A616C3">
              <w:rPr>
                <w:sz w:val="20"/>
                <w:vertAlign w:val="superscript"/>
                <w:lang w:val="en-GB"/>
              </w:rPr>
              <w:t>1</w:t>
            </w:r>
            <w:r w:rsidR="00A54D45" w:rsidRPr="00A616C3">
              <w:rPr>
                <w:sz w:val="20"/>
                <w:lang w:val="en-GB"/>
              </w:rPr>
              <w:t>)</w:t>
            </w:r>
          </w:p>
        </w:tc>
        <w:tc>
          <w:tcPr>
            <w:tcW w:w="1275" w:type="dxa"/>
            <w:tcBorders>
              <w:bottom w:val="nil"/>
            </w:tcBorders>
            <w:shd w:val="clear" w:color="auto" w:fill="auto"/>
          </w:tcPr>
          <w:p w:rsidR="00A54D45" w:rsidRPr="00A616C3" w:rsidRDefault="00A54D45" w:rsidP="00C8161A">
            <w:pPr>
              <w:spacing w:after="0"/>
              <w:jc w:val="center"/>
              <w:rPr>
                <w:sz w:val="20"/>
                <w:lang w:val="en-GB"/>
              </w:rPr>
            </w:pPr>
            <w:r w:rsidRPr="00A616C3">
              <w:rPr>
                <w:sz w:val="20"/>
                <w:lang w:val="en-GB"/>
              </w:rPr>
              <w:t>12.9%</w:t>
            </w:r>
          </w:p>
        </w:tc>
        <w:tc>
          <w:tcPr>
            <w:tcW w:w="1134" w:type="dxa"/>
            <w:tcBorders>
              <w:bottom w:val="nil"/>
            </w:tcBorders>
            <w:shd w:val="clear" w:color="auto" w:fill="auto"/>
          </w:tcPr>
          <w:p w:rsidR="00A54D45" w:rsidRPr="00A616C3" w:rsidRDefault="00A54D45" w:rsidP="00C8161A">
            <w:pPr>
              <w:spacing w:after="0"/>
              <w:jc w:val="center"/>
              <w:rPr>
                <w:sz w:val="20"/>
                <w:lang w:val="en-GB"/>
              </w:rPr>
            </w:pPr>
            <w:r w:rsidRPr="00A616C3">
              <w:rPr>
                <w:sz w:val="20"/>
                <w:lang w:val="en-GB"/>
              </w:rPr>
              <w:t>7.5%</w:t>
            </w:r>
          </w:p>
        </w:tc>
        <w:tc>
          <w:tcPr>
            <w:tcW w:w="993" w:type="dxa"/>
            <w:tcBorders>
              <w:bottom w:val="nil"/>
            </w:tcBorders>
            <w:shd w:val="clear" w:color="auto" w:fill="auto"/>
          </w:tcPr>
          <w:p w:rsidR="00A54D45" w:rsidRPr="00A616C3" w:rsidRDefault="00A54D45" w:rsidP="00586B97">
            <w:pPr>
              <w:spacing w:after="0"/>
              <w:jc w:val="center"/>
              <w:rPr>
                <w:sz w:val="20"/>
                <w:lang w:val="en-GB"/>
              </w:rPr>
            </w:pPr>
            <w:r w:rsidRPr="00A616C3">
              <w:rPr>
                <w:sz w:val="20"/>
                <w:lang w:val="en-GB"/>
              </w:rPr>
              <w:t>&lt;0.0001</w:t>
            </w:r>
          </w:p>
        </w:tc>
        <w:tc>
          <w:tcPr>
            <w:tcW w:w="1559" w:type="dxa"/>
            <w:tcBorders>
              <w:bottom w:val="nil"/>
            </w:tcBorders>
            <w:shd w:val="clear" w:color="auto" w:fill="auto"/>
          </w:tcPr>
          <w:p w:rsidR="00A54D45" w:rsidRPr="00A616C3" w:rsidRDefault="00A54D45" w:rsidP="00CC0FD9">
            <w:pPr>
              <w:spacing w:after="0"/>
              <w:jc w:val="center"/>
              <w:rPr>
                <w:sz w:val="20"/>
                <w:lang w:val="en-GB"/>
              </w:rPr>
            </w:pPr>
            <w:r w:rsidRPr="00A616C3">
              <w:rPr>
                <w:sz w:val="20"/>
                <w:lang w:val="en-GB"/>
              </w:rPr>
              <w:t>0.54</w:t>
            </w:r>
            <w:r w:rsidR="00C8161A" w:rsidRPr="00A616C3">
              <w:rPr>
                <w:sz w:val="20"/>
                <w:lang w:val="en-GB"/>
              </w:rPr>
              <w:t xml:space="preserve"> (0.44</w:t>
            </w:r>
            <w:r w:rsidR="00CC0FD9" w:rsidRPr="00A616C3">
              <w:rPr>
                <w:sz w:val="20"/>
                <w:lang w:val="en-GB"/>
              </w:rPr>
              <w:t>,</w:t>
            </w:r>
            <w:r w:rsidR="000E32A0" w:rsidRPr="00A616C3">
              <w:rPr>
                <w:sz w:val="20"/>
                <w:lang w:val="en-GB"/>
              </w:rPr>
              <w:t xml:space="preserve"> </w:t>
            </w:r>
            <w:r w:rsidR="00C8161A" w:rsidRPr="00A616C3">
              <w:rPr>
                <w:sz w:val="20"/>
                <w:lang w:val="en-GB"/>
              </w:rPr>
              <w:t>0.67)</w:t>
            </w:r>
          </w:p>
        </w:tc>
      </w:tr>
      <w:tr w:rsidR="000E32A0" w:rsidRPr="00A616C3" w:rsidTr="00CC0FD9">
        <w:tc>
          <w:tcPr>
            <w:tcW w:w="4503" w:type="dxa"/>
            <w:tcBorders>
              <w:bottom w:val="nil"/>
            </w:tcBorders>
            <w:shd w:val="clear" w:color="auto" w:fill="auto"/>
          </w:tcPr>
          <w:p w:rsidR="000E32A0" w:rsidRPr="00A616C3" w:rsidRDefault="000E32A0" w:rsidP="00571763">
            <w:pPr>
              <w:spacing w:after="0"/>
              <w:rPr>
                <w:sz w:val="20"/>
                <w:lang w:val="en-GB"/>
              </w:rPr>
            </w:pPr>
            <w:r w:rsidRPr="00A616C3">
              <w:rPr>
                <w:sz w:val="20"/>
                <w:lang w:val="en-GB"/>
              </w:rPr>
              <w:t xml:space="preserve"> No. of patients with event (8 year</w:t>
            </w:r>
            <w:r w:rsidRPr="00A616C3">
              <w:rPr>
                <w:sz w:val="20"/>
                <w:vertAlign w:val="superscript"/>
                <w:lang w:val="en-GB"/>
              </w:rPr>
              <w:t>2</w:t>
            </w:r>
            <w:r w:rsidRPr="00A616C3">
              <w:rPr>
                <w:sz w:val="20"/>
                <w:lang w:val="en-GB"/>
              </w:rPr>
              <w:t>)</w:t>
            </w:r>
          </w:p>
        </w:tc>
        <w:tc>
          <w:tcPr>
            <w:tcW w:w="1275" w:type="dxa"/>
            <w:tcBorders>
              <w:bottom w:val="nil"/>
            </w:tcBorders>
            <w:shd w:val="clear" w:color="auto" w:fill="auto"/>
          </w:tcPr>
          <w:p w:rsidR="000E32A0" w:rsidRPr="00A616C3" w:rsidRDefault="000E32A0" w:rsidP="00586B97">
            <w:pPr>
              <w:spacing w:after="0"/>
              <w:jc w:val="center"/>
              <w:rPr>
                <w:sz w:val="20"/>
                <w:lang w:val="en-GB"/>
              </w:rPr>
            </w:pPr>
            <w:r w:rsidRPr="00A616C3">
              <w:rPr>
                <w:sz w:val="20"/>
                <w:lang w:val="en-GB"/>
              </w:rPr>
              <w:t>33.6%</w:t>
            </w:r>
          </w:p>
        </w:tc>
        <w:tc>
          <w:tcPr>
            <w:tcW w:w="1134" w:type="dxa"/>
            <w:tcBorders>
              <w:bottom w:val="nil"/>
            </w:tcBorders>
            <w:shd w:val="clear" w:color="auto" w:fill="auto"/>
          </w:tcPr>
          <w:p w:rsidR="000E32A0" w:rsidRPr="00A616C3" w:rsidRDefault="000E32A0" w:rsidP="00586B97">
            <w:pPr>
              <w:spacing w:after="0"/>
              <w:jc w:val="center"/>
              <w:rPr>
                <w:sz w:val="20"/>
                <w:lang w:val="en-GB"/>
              </w:rPr>
            </w:pPr>
            <w:r w:rsidRPr="00A616C3">
              <w:rPr>
                <w:sz w:val="20"/>
                <w:lang w:val="en-GB"/>
              </w:rPr>
              <w:t>27.7%</w:t>
            </w:r>
          </w:p>
        </w:tc>
        <w:tc>
          <w:tcPr>
            <w:tcW w:w="993" w:type="dxa"/>
            <w:tcBorders>
              <w:bottom w:val="nil"/>
            </w:tcBorders>
            <w:shd w:val="clear" w:color="auto" w:fill="auto"/>
          </w:tcPr>
          <w:p w:rsidR="000E32A0" w:rsidRPr="00A616C3" w:rsidRDefault="000E32A0" w:rsidP="00586B97">
            <w:pPr>
              <w:spacing w:after="0"/>
              <w:jc w:val="center"/>
              <w:rPr>
                <w:sz w:val="20"/>
                <w:lang w:val="en-GB"/>
              </w:rPr>
            </w:pPr>
            <w:r w:rsidRPr="00A616C3">
              <w:rPr>
                <w:sz w:val="20"/>
                <w:lang w:val="en-GB"/>
              </w:rPr>
              <w:t>&lt;0.0001</w:t>
            </w:r>
          </w:p>
        </w:tc>
        <w:tc>
          <w:tcPr>
            <w:tcW w:w="1559" w:type="dxa"/>
            <w:tcBorders>
              <w:bottom w:val="nil"/>
            </w:tcBorders>
            <w:shd w:val="clear" w:color="auto" w:fill="auto"/>
          </w:tcPr>
          <w:p w:rsidR="000E32A0" w:rsidRPr="00A616C3" w:rsidRDefault="000E32A0" w:rsidP="00586B97">
            <w:pPr>
              <w:spacing w:after="0"/>
              <w:jc w:val="center"/>
              <w:rPr>
                <w:sz w:val="20"/>
                <w:lang w:val="en-GB"/>
              </w:rPr>
            </w:pPr>
            <w:r w:rsidRPr="00A616C3">
              <w:rPr>
                <w:sz w:val="20"/>
                <w:lang w:val="en-GB"/>
              </w:rPr>
              <w:t>0.76 (0.67, 0.86)</w:t>
            </w:r>
          </w:p>
        </w:tc>
      </w:tr>
      <w:tr w:rsidR="00CC0FD9" w:rsidRPr="00A616C3" w:rsidTr="00CC0FD9">
        <w:tc>
          <w:tcPr>
            <w:tcW w:w="4503" w:type="dxa"/>
            <w:tcBorders>
              <w:top w:val="single" w:sz="4" w:space="0" w:color="auto"/>
            </w:tcBorders>
            <w:shd w:val="clear" w:color="auto" w:fill="auto"/>
          </w:tcPr>
          <w:p w:rsidR="00A54D45" w:rsidRPr="00A616C3" w:rsidRDefault="000E32A0" w:rsidP="00CC0FD9">
            <w:pPr>
              <w:spacing w:after="0"/>
              <w:rPr>
                <w:sz w:val="20"/>
                <w:u w:val="single"/>
                <w:lang w:val="en-GB"/>
              </w:rPr>
            </w:pPr>
            <w:r w:rsidRPr="00A616C3">
              <w:rPr>
                <w:b/>
                <w:sz w:val="20"/>
                <w:u w:val="single"/>
                <w:lang w:val="en-GB"/>
              </w:rPr>
              <w:t xml:space="preserve">Overall </w:t>
            </w:r>
            <w:r w:rsidR="00CC0FD9" w:rsidRPr="00A616C3">
              <w:rPr>
                <w:b/>
                <w:sz w:val="20"/>
                <w:u w:val="single"/>
                <w:lang w:val="en-GB"/>
              </w:rPr>
              <w:t>Survival</w:t>
            </w:r>
          </w:p>
        </w:tc>
        <w:tc>
          <w:tcPr>
            <w:tcW w:w="1275" w:type="dxa"/>
            <w:tcBorders>
              <w:top w:val="single" w:sz="4" w:space="0" w:color="auto"/>
            </w:tcBorders>
            <w:shd w:val="clear" w:color="auto" w:fill="auto"/>
          </w:tcPr>
          <w:p w:rsidR="00A54D45" w:rsidRPr="00A616C3" w:rsidRDefault="00A54D45" w:rsidP="00586B97">
            <w:pPr>
              <w:spacing w:after="0"/>
              <w:jc w:val="center"/>
              <w:rPr>
                <w:sz w:val="20"/>
                <w:lang w:val="en-GB"/>
              </w:rPr>
            </w:pPr>
          </w:p>
        </w:tc>
        <w:tc>
          <w:tcPr>
            <w:tcW w:w="1134" w:type="dxa"/>
            <w:tcBorders>
              <w:top w:val="single" w:sz="4" w:space="0" w:color="auto"/>
            </w:tcBorders>
            <w:shd w:val="clear" w:color="auto" w:fill="auto"/>
          </w:tcPr>
          <w:p w:rsidR="00A54D45" w:rsidRPr="00A616C3" w:rsidRDefault="00A54D45" w:rsidP="00586B97">
            <w:pPr>
              <w:spacing w:after="0"/>
              <w:jc w:val="center"/>
              <w:rPr>
                <w:sz w:val="20"/>
                <w:lang w:val="en-GB"/>
              </w:rPr>
            </w:pPr>
          </w:p>
        </w:tc>
        <w:tc>
          <w:tcPr>
            <w:tcW w:w="993" w:type="dxa"/>
            <w:tcBorders>
              <w:top w:val="single" w:sz="4" w:space="0" w:color="auto"/>
            </w:tcBorders>
            <w:shd w:val="clear" w:color="auto" w:fill="auto"/>
          </w:tcPr>
          <w:p w:rsidR="00A54D45" w:rsidRPr="00A616C3" w:rsidRDefault="00A54D45" w:rsidP="00586B97">
            <w:pPr>
              <w:spacing w:after="0"/>
              <w:jc w:val="center"/>
              <w:rPr>
                <w:sz w:val="20"/>
                <w:lang w:val="en-GB"/>
              </w:rPr>
            </w:pPr>
          </w:p>
        </w:tc>
        <w:tc>
          <w:tcPr>
            <w:tcW w:w="1559" w:type="dxa"/>
            <w:tcBorders>
              <w:top w:val="single" w:sz="4" w:space="0" w:color="auto"/>
            </w:tcBorders>
            <w:shd w:val="clear" w:color="auto" w:fill="auto"/>
          </w:tcPr>
          <w:p w:rsidR="00A54D45" w:rsidRPr="00A616C3" w:rsidRDefault="00A54D45" w:rsidP="00586B97">
            <w:pPr>
              <w:spacing w:after="0"/>
              <w:jc w:val="center"/>
              <w:rPr>
                <w:sz w:val="20"/>
                <w:lang w:val="en-GB"/>
              </w:rPr>
            </w:pPr>
          </w:p>
        </w:tc>
      </w:tr>
      <w:tr w:rsidR="00CC0FD9" w:rsidRPr="00A616C3" w:rsidTr="00CC0FD9">
        <w:tc>
          <w:tcPr>
            <w:tcW w:w="4503" w:type="dxa"/>
            <w:shd w:val="clear" w:color="auto" w:fill="auto"/>
          </w:tcPr>
          <w:p w:rsidR="00A54D45" w:rsidRPr="00A616C3" w:rsidRDefault="000E32A0" w:rsidP="00586B97">
            <w:pPr>
              <w:spacing w:after="0"/>
              <w:rPr>
                <w:sz w:val="20"/>
                <w:lang w:val="en-GB"/>
              </w:rPr>
            </w:pPr>
            <w:r w:rsidRPr="00A616C3">
              <w:rPr>
                <w:sz w:val="20"/>
                <w:lang w:val="en-GB"/>
              </w:rPr>
              <w:t>No. of patients with event (1 year</w:t>
            </w:r>
            <w:r w:rsidRPr="00A616C3">
              <w:rPr>
                <w:sz w:val="20"/>
                <w:vertAlign w:val="superscript"/>
                <w:lang w:val="en-GB"/>
              </w:rPr>
              <w:t>1</w:t>
            </w:r>
            <w:r w:rsidRPr="00A616C3">
              <w:rPr>
                <w:sz w:val="20"/>
                <w:lang w:val="en-GB"/>
              </w:rPr>
              <w:t xml:space="preserve"> )</w:t>
            </w:r>
          </w:p>
        </w:tc>
        <w:tc>
          <w:tcPr>
            <w:tcW w:w="1275" w:type="dxa"/>
            <w:shd w:val="clear" w:color="auto" w:fill="auto"/>
          </w:tcPr>
          <w:p w:rsidR="00A54D45" w:rsidRPr="00A616C3" w:rsidRDefault="00A54D45" w:rsidP="00586B97">
            <w:pPr>
              <w:spacing w:after="0"/>
              <w:jc w:val="center"/>
              <w:rPr>
                <w:sz w:val="20"/>
                <w:lang w:val="en-GB"/>
              </w:rPr>
            </w:pPr>
            <w:r w:rsidRPr="00A616C3">
              <w:rPr>
                <w:sz w:val="20"/>
              </w:rPr>
              <w:t>2.4%</w:t>
            </w:r>
          </w:p>
        </w:tc>
        <w:tc>
          <w:tcPr>
            <w:tcW w:w="1134" w:type="dxa"/>
            <w:shd w:val="clear" w:color="auto" w:fill="auto"/>
          </w:tcPr>
          <w:p w:rsidR="00A54D45" w:rsidRPr="00A616C3" w:rsidRDefault="00A54D45" w:rsidP="00586B97">
            <w:pPr>
              <w:spacing w:after="0"/>
              <w:jc w:val="center"/>
              <w:rPr>
                <w:sz w:val="20"/>
                <w:lang w:val="en-GB"/>
              </w:rPr>
            </w:pPr>
            <w:r w:rsidRPr="00A616C3">
              <w:rPr>
                <w:sz w:val="20"/>
              </w:rPr>
              <w:t>1.8%</w:t>
            </w:r>
          </w:p>
        </w:tc>
        <w:tc>
          <w:tcPr>
            <w:tcW w:w="993" w:type="dxa"/>
            <w:shd w:val="clear" w:color="auto" w:fill="auto"/>
          </w:tcPr>
          <w:p w:rsidR="00A54D45" w:rsidRPr="00A616C3" w:rsidRDefault="00A54D45" w:rsidP="00586B97">
            <w:pPr>
              <w:spacing w:after="0"/>
              <w:jc w:val="center"/>
              <w:rPr>
                <w:sz w:val="20"/>
                <w:lang w:val="en-GB"/>
              </w:rPr>
            </w:pPr>
            <w:r w:rsidRPr="00A616C3">
              <w:rPr>
                <w:sz w:val="20"/>
              </w:rPr>
              <w:t>0.24</w:t>
            </w:r>
          </w:p>
        </w:tc>
        <w:tc>
          <w:tcPr>
            <w:tcW w:w="1559" w:type="dxa"/>
            <w:shd w:val="clear" w:color="auto" w:fill="auto"/>
          </w:tcPr>
          <w:p w:rsidR="00A54D45" w:rsidRPr="00A616C3" w:rsidRDefault="00A54D45" w:rsidP="00586B97">
            <w:pPr>
              <w:spacing w:after="0"/>
              <w:jc w:val="center"/>
              <w:rPr>
                <w:sz w:val="20"/>
                <w:lang w:val="en-GB"/>
              </w:rPr>
            </w:pPr>
            <w:r w:rsidRPr="00A616C3">
              <w:rPr>
                <w:sz w:val="20"/>
              </w:rPr>
              <w:t>0.75</w:t>
            </w:r>
            <w:r w:rsidR="00633331" w:rsidRPr="00A616C3">
              <w:rPr>
                <w:sz w:val="20"/>
              </w:rPr>
              <w:t xml:space="preserve"> </w:t>
            </w:r>
            <w:r w:rsidR="00CC0FD9" w:rsidRPr="00A616C3">
              <w:rPr>
                <w:sz w:val="20"/>
                <w:lang w:val="en-GB"/>
              </w:rPr>
              <w:t>(0.47,</w:t>
            </w:r>
            <w:r w:rsidR="000E32A0" w:rsidRPr="00A616C3">
              <w:rPr>
                <w:sz w:val="20"/>
                <w:lang w:val="en-GB"/>
              </w:rPr>
              <w:t xml:space="preserve"> </w:t>
            </w:r>
            <w:r w:rsidR="00633331" w:rsidRPr="00A616C3">
              <w:rPr>
                <w:sz w:val="20"/>
                <w:lang w:val="en-GB"/>
              </w:rPr>
              <w:t>1.21)</w:t>
            </w:r>
          </w:p>
        </w:tc>
      </w:tr>
      <w:tr w:rsidR="000E32A0" w:rsidRPr="00A616C3" w:rsidTr="00CC0FD9">
        <w:tc>
          <w:tcPr>
            <w:tcW w:w="4503" w:type="dxa"/>
            <w:shd w:val="clear" w:color="auto" w:fill="auto"/>
          </w:tcPr>
          <w:p w:rsidR="000E32A0" w:rsidRPr="00A616C3" w:rsidRDefault="000E32A0" w:rsidP="00571763">
            <w:pPr>
              <w:spacing w:after="0"/>
              <w:rPr>
                <w:sz w:val="20"/>
              </w:rPr>
            </w:pPr>
            <w:r w:rsidRPr="00A616C3">
              <w:rPr>
                <w:sz w:val="20"/>
                <w:lang w:val="en-GB"/>
              </w:rPr>
              <w:t>No. of patients with event (8 year</w:t>
            </w:r>
            <w:r w:rsidRPr="00A616C3">
              <w:rPr>
                <w:sz w:val="20"/>
                <w:vertAlign w:val="superscript"/>
                <w:lang w:val="en-GB"/>
              </w:rPr>
              <w:t>2</w:t>
            </w:r>
            <w:r w:rsidRPr="00A616C3">
              <w:rPr>
                <w:sz w:val="20"/>
                <w:lang w:val="en-GB"/>
              </w:rPr>
              <w:t>)</w:t>
            </w:r>
          </w:p>
        </w:tc>
        <w:tc>
          <w:tcPr>
            <w:tcW w:w="1275" w:type="dxa"/>
            <w:shd w:val="clear" w:color="auto" w:fill="auto"/>
          </w:tcPr>
          <w:p w:rsidR="000E32A0" w:rsidRPr="00A616C3" w:rsidRDefault="000E32A0" w:rsidP="00586B97">
            <w:pPr>
              <w:spacing w:after="0"/>
              <w:jc w:val="center"/>
              <w:rPr>
                <w:sz w:val="20"/>
              </w:rPr>
            </w:pPr>
            <w:r w:rsidRPr="00A616C3">
              <w:rPr>
                <w:sz w:val="20"/>
                <w:lang w:val="en-GB"/>
              </w:rPr>
              <w:t>20.6%</w:t>
            </w:r>
          </w:p>
        </w:tc>
        <w:tc>
          <w:tcPr>
            <w:tcW w:w="1134" w:type="dxa"/>
            <w:shd w:val="clear" w:color="auto" w:fill="auto"/>
          </w:tcPr>
          <w:p w:rsidR="000E32A0" w:rsidRPr="00A616C3" w:rsidRDefault="000E32A0" w:rsidP="00586B97">
            <w:pPr>
              <w:spacing w:after="0"/>
              <w:jc w:val="center"/>
              <w:rPr>
                <w:sz w:val="20"/>
              </w:rPr>
            </w:pPr>
            <w:r w:rsidRPr="00A616C3">
              <w:rPr>
                <w:sz w:val="20"/>
                <w:lang w:val="en-GB"/>
              </w:rPr>
              <w:t>16.3%</w:t>
            </w:r>
          </w:p>
        </w:tc>
        <w:tc>
          <w:tcPr>
            <w:tcW w:w="993" w:type="dxa"/>
            <w:shd w:val="clear" w:color="auto" w:fill="auto"/>
          </w:tcPr>
          <w:p w:rsidR="000E32A0" w:rsidRPr="00A616C3" w:rsidRDefault="000E32A0" w:rsidP="00586B97">
            <w:pPr>
              <w:spacing w:after="0"/>
              <w:jc w:val="center"/>
              <w:rPr>
                <w:sz w:val="20"/>
              </w:rPr>
            </w:pPr>
            <w:r w:rsidRPr="00A616C3">
              <w:rPr>
                <w:sz w:val="20"/>
              </w:rPr>
              <w:t>0.0005</w:t>
            </w:r>
          </w:p>
        </w:tc>
        <w:tc>
          <w:tcPr>
            <w:tcW w:w="1559" w:type="dxa"/>
            <w:shd w:val="clear" w:color="auto" w:fill="auto"/>
          </w:tcPr>
          <w:p w:rsidR="000E32A0" w:rsidRPr="00A616C3" w:rsidRDefault="000E32A0" w:rsidP="00586B97">
            <w:pPr>
              <w:spacing w:after="0"/>
              <w:jc w:val="center"/>
              <w:rPr>
                <w:sz w:val="20"/>
              </w:rPr>
            </w:pPr>
            <w:r w:rsidRPr="00A616C3">
              <w:rPr>
                <w:sz w:val="20"/>
              </w:rPr>
              <w:t xml:space="preserve">0.76 </w:t>
            </w:r>
            <w:r w:rsidRPr="00A616C3">
              <w:rPr>
                <w:sz w:val="20"/>
                <w:lang w:val="en-GB"/>
              </w:rPr>
              <w:t>(0.65, 0.88)</w:t>
            </w:r>
          </w:p>
        </w:tc>
      </w:tr>
    </w:tbl>
    <w:p w:rsidR="00A54D45" w:rsidRPr="00A616C3" w:rsidRDefault="00F062AB" w:rsidP="00914BD8">
      <w:pPr>
        <w:spacing w:after="0"/>
        <w:rPr>
          <w:sz w:val="18"/>
          <w:szCs w:val="18"/>
          <w:lang w:val="en-GB"/>
        </w:rPr>
      </w:pPr>
      <w:r w:rsidRPr="00A616C3">
        <w:rPr>
          <w:sz w:val="18"/>
          <w:szCs w:val="18"/>
          <w:lang w:val="en-GB"/>
        </w:rPr>
        <w:t>HR: Hazard ratio;</w:t>
      </w:r>
      <w:r w:rsidRPr="00A616C3">
        <w:rPr>
          <w:sz w:val="18"/>
          <w:szCs w:val="18"/>
          <w:vertAlign w:val="superscript"/>
          <w:lang w:val="en-GB"/>
        </w:rPr>
        <w:t xml:space="preserve"> </w:t>
      </w:r>
      <w:r w:rsidR="000E32A0" w:rsidRPr="00A616C3">
        <w:rPr>
          <w:sz w:val="18"/>
          <w:vertAlign w:val="superscript"/>
          <w:lang w:val="en-GB"/>
        </w:rPr>
        <w:t xml:space="preserve">1 </w:t>
      </w:r>
      <w:r w:rsidR="000E32A0" w:rsidRPr="00A616C3">
        <w:rPr>
          <w:sz w:val="18"/>
          <w:lang w:val="en-GB"/>
        </w:rPr>
        <w:t>co-primary endpoint of DFS of 1 year vs. observation met the pre-defined statistical boundary</w:t>
      </w:r>
      <w:r w:rsidR="000E32A0" w:rsidRPr="00A616C3">
        <w:rPr>
          <w:sz w:val="18"/>
          <w:szCs w:val="18"/>
          <w:lang w:val="en-GB"/>
        </w:rPr>
        <w:t xml:space="preserve">; </w:t>
      </w:r>
      <w:r w:rsidR="000E32A0" w:rsidRPr="00A616C3">
        <w:rPr>
          <w:sz w:val="18"/>
          <w:vertAlign w:val="superscript"/>
          <w:lang w:val="en-GB"/>
        </w:rPr>
        <w:t xml:space="preserve">2 </w:t>
      </w:r>
      <w:r w:rsidR="000E32A0" w:rsidRPr="00A616C3">
        <w:rPr>
          <w:sz w:val="18"/>
          <w:lang w:val="en-GB"/>
        </w:rPr>
        <w:t>final analysis (includes crossover of 52% of patients from the observation arm to Herceptin</w:t>
      </w:r>
      <w:r w:rsidR="008C43BC">
        <w:rPr>
          <w:sz w:val="18"/>
          <w:lang w:val="en-GB"/>
        </w:rPr>
        <w:t xml:space="preserve"> IV</w:t>
      </w:r>
      <w:r w:rsidR="000E32A0" w:rsidRPr="00A616C3">
        <w:rPr>
          <w:sz w:val="18"/>
          <w:lang w:val="en-GB"/>
        </w:rPr>
        <w:t xml:space="preserve">) </w:t>
      </w:r>
    </w:p>
    <w:p w:rsidR="00C6020F" w:rsidRPr="00A616C3" w:rsidRDefault="00C6020F" w:rsidP="00C6020F">
      <w:pPr>
        <w:spacing w:after="0"/>
        <w:rPr>
          <w:lang w:val="en-GB"/>
        </w:rPr>
      </w:pPr>
    </w:p>
    <w:p w:rsidR="00556243" w:rsidRPr="00A616C3" w:rsidRDefault="000733FE" w:rsidP="00914BD8">
      <w:pPr>
        <w:pStyle w:val="TextTi12"/>
        <w:spacing w:after="0" w:line="240" w:lineRule="auto"/>
        <w:rPr>
          <w:sz w:val="22"/>
          <w:lang w:val="en-GB"/>
        </w:rPr>
      </w:pPr>
      <w:r w:rsidRPr="00A616C3">
        <w:rPr>
          <w:sz w:val="22"/>
          <w:lang w:val="en-GB"/>
        </w:rPr>
        <w:t xml:space="preserve">The HERA </w:t>
      </w:r>
      <w:r w:rsidR="000E32A0" w:rsidRPr="00A616C3">
        <w:rPr>
          <w:sz w:val="22"/>
          <w:lang w:val="en-GB"/>
        </w:rPr>
        <w:t xml:space="preserve">trial </w:t>
      </w:r>
      <w:r w:rsidRPr="00A616C3">
        <w:rPr>
          <w:sz w:val="22"/>
          <w:lang w:val="en-GB"/>
        </w:rPr>
        <w:t>included a subgroup of patients (</w:t>
      </w:r>
      <w:r w:rsidRPr="00A616C3">
        <w:rPr>
          <w:i/>
          <w:sz w:val="22"/>
          <w:lang w:val="en-GB"/>
        </w:rPr>
        <w:t>n</w:t>
      </w:r>
      <w:r w:rsidR="000C4763" w:rsidRPr="00A616C3">
        <w:rPr>
          <w:sz w:val="22"/>
          <w:lang w:val="en-GB"/>
        </w:rPr>
        <w:t xml:space="preserve"> </w:t>
      </w:r>
      <w:r w:rsidRPr="00A616C3">
        <w:rPr>
          <w:sz w:val="22"/>
          <w:lang w:val="en-GB"/>
        </w:rPr>
        <w:t>=</w:t>
      </w:r>
      <w:r w:rsidR="000C4763" w:rsidRPr="00A616C3">
        <w:rPr>
          <w:sz w:val="22"/>
          <w:lang w:val="en-GB"/>
        </w:rPr>
        <w:t xml:space="preserve"> </w:t>
      </w:r>
      <w:r w:rsidRPr="00A616C3">
        <w:rPr>
          <w:sz w:val="22"/>
          <w:lang w:val="en-GB"/>
        </w:rPr>
        <w:t>602) with small tumours (&lt;2 cm) and node-negative disease.  In this subgroup, the relative risk reduction was similar to the overall trial population (HR = 0.50; 95% CI 0.21</w:t>
      </w:r>
      <w:r w:rsidR="001457FF" w:rsidRPr="00A616C3">
        <w:rPr>
          <w:sz w:val="22"/>
          <w:lang w:val="en-GB"/>
        </w:rPr>
        <w:t xml:space="preserve"> </w:t>
      </w:r>
      <w:r w:rsidRPr="00A616C3">
        <w:rPr>
          <w:sz w:val="22"/>
          <w:lang w:val="en-GB"/>
        </w:rPr>
        <w:t>-</w:t>
      </w:r>
      <w:r w:rsidR="001457FF" w:rsidRPr="00A616C3">
        <w:rPr>
          <w:sz w:val="22"/>
          <w:lang w:val="en-GB"/>
        </w:rPr>
        <w:t xml:space="preserve"> </w:t>
      </w:r>
      <w:r w:rsidRPr="00A616C3">
        <w:rPr>
          <w:sz w:val="22"/>
          <w:lang w:val="en-GB"/>
        </w:rPr>
        <w:t xml:space="preserve">1.15).  However, the benefit in terms of absolute difference in rate of recurrence after 1 year of follow-up was smaller (2.7% recurrence rate with </w:t>
      </w:r>
      <w:r w:rsidR="00542D73" w:rsidRPr="00A616C3">
        <w:rPr>
          <w:sz w:val="22"/>
          <w:lang w:val="en-GB"/>
        </w:rPr>
        <w:t xml:space="preserve">HERCEPTIN </w:t>
      </w:r>
      <w:r w:rsidR="001273F6">
        <w:rPr>
          <w:sz w:val="22"/>
          <w:lang w:val="en-GB"/>
        </w:rPr>
        <w:t xml:space="preserve">IV </w:t>
      </w:r>
      <w:r w:rsidRPr="00A616C3">
        <w:rPr>
          <w:sz w:val="22"/>
          <w:lang w:val="en-GB"/>
        </w:rPr>
        <w:t>vs. 5.5% with observation).</w:t>
      </w:r>
    </w:p>
    <w:p w:rsidR="00483B0D" w:rsidRPr="00A616C3" w:rsidRDefault="00483B0D" w:rsidP="00914BD8">
      <w:pPr>
        <w:pStyle w:val="TextTi12"/>
        <w:spacing w:after="0" w:line="240" w:lineRule="auto"/>
        <w:rPr>
          <w:sz w:val="22"/>
          <w:lang w:val="en-GB"/>
        </w:rPr>
      </w:pPr>
    </w:p>
    <w:p w:rsidR="00483B0D" w:rsidRPr="00A616C3" w:rsidRDefault="00483B0D" w:rsidP="00483B0D">
      <w:pPr>
        <w:pStyle w:val="TextTi12"/>
        <w:spacing w:after="0" w:line="240" w:lineRule="auto"/>
        <w:rPr>
          <w:sz w:val="22"/>
          <w:lang w:val="en-GB"/>
        </w:rPr>
      </w:pPr>
      <w:r w:rsidRPr="00A616C3">
        <w:rPr>
          <w:sz w:val="22"/>
          <w:lang w:val="en-GB"/>
        </w:rPr>
        <w:t xml:space="preserve">In the final analysis (8 year median follow up) extending HERCEPTIN </w:t>
      </w:r>
      <w:r w:rsidR="001273F6">
        <w:rPr>
          <w:sz w:val="22"/>
          <w:lang w:val="en-GB"/>
        </w:rPr>
        <w:t xml:space="preserve">IV </w:t>
      </w:r>
      <w:r w:rsidRPr="00A616C3">
        <w:rPr>
          <w:sz w:val="22"/>
          <w:lang w:val="en-GB"/>
        </w:rPr>
        <w:t>treatment for a duration of 2 years did not show additional benefit over treatment for 1 year [DFS HR in the intent to treat (ITT) population of 2 years vs. 1 year = 0.99 (95% CI: 0.87, 1.13); p-value = 0.90 and OS HR = 0.98 (0.83, 1.15); p-value =  0.78]. The rate of asymptomatic cardiac dysfunction was increased in the 2-year treatment arm (8.1% vs. 4.6% in the 1-year treatment arm). More patients experienced at least one grade 3 or 4 adverse event in the 2-year treatment arm (20.4%) compared with the 1-year treatment arm (16.3%).</w:t>
      </w:r>
    </w:p>
    <w:p w:rsidR="00614F34" w:rsidRPr="00A616C3" w:rsidRDefault="00614F34" w:rsidP="00556243">
      <w:pPr>
        <w:pStyle w:val="TextTi12"/>
        <w:spacing w:after="0" w:line="240" w:lineRule="auto"/>
        <w:rPr>
          <w:sz w:val="22"/>
        </w:rPr>
      </w:pPr>
    </w:p>
    <w:p w:rsidR="00483348" w:rsidRPr="00A616C3" w:rsidRDefault="00483348" w:rsidP="00556243">
      <w:pPr>
        <w:pStyle w:val="TextTi12"/>
        <w:spacing w:after="0" w:line="240" w:lineRule="auto"/>
        <w:rPr>
          <w:sz w:val="22"/>
        </w:rPr>
      </w:pPr>
      <w:r w:rsidRPr="00A616C3">
        <w:rPr>
          <w:sz w:val="22"/>
        </w:rPr>
        <w:t xml:space="preserve">The efficacy results from the joint analysis of the NCCTG 9831 and NSABP B-31 trials are summarized in the following table: </w:t>
      </w:r>
    </w:p>
    <w:p w:rsidR="00556243" w:rsidRPr="00A616C3" w:rsidRDefault="00556243" w:rsidP="00914BD8">
      <w:pPr>
        <w:pStyle w:val="TextTi12"/>
        <w:spacing w:after="0" w:line="240" w:lineRule="auto"/>
        <w:rPr>
          <w:lang w:val="en-GB"/>
        </w:rPr>
      </w:pPr>
    </w:p>
    <w:p w:rsidR="001A393A" w:rsidRPr="00A616C3" w:rsidRDefault="001A393A" w:rsidP="001A393A">
      <w:pPr>
        <w:pStyle w:val="Caption"/>
        <w:keepNext/>
      </w:pPr>
      <w:r w:rsidRPr="00A616C3">
        <w:t xml:space="preserve">Table </w:t>
      </w:r>
      <w:r w:rsidR="004B6771">
        <w:t>3</w:t>
      </w:r>
      <w:r w:rsidRPr="00A616C3">
        <w:rPr>
          <w:lang w:val="en-GB"/>
        </w:rPr>
        <w:t>: Efficacy Results from NSAPB B-31 and NCCTG N9831 trials (joint analysis)</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4179"/>
        <w:gridCol w:w="1418"/>
        <w:gridCol w:w="1275"/>
        <w:gridCol w:w="993"/>
        <w:gridCol w:w="1559"/>
      </w:tblGrid>
      <w:tr w:rsidR="00556243" w:rsidRPr="00A616C3" w:rsidTr="00CC0FD9">
        <w:tc>
          <w:tcPr>
            <w:tcW w:w="4179" w:type="dxa"/>
            <w:shd w:val="clear" w:color="auto" w:fill="auto"/>
          </w:tcPr>
          <w:p w:rsidR="00556243" w:rsidRPr="00A616C3" w:rsidRDefault="00556243" w:rsidP="00CC0FD9">
            <w:pPr>
              <w:pStyle w:val="TableText10"/>
              <w:keepNext/>
              <w:rPr>
                <w:b/>
                <w:lang w:val="pt-PT"/>
              </w:rPr>
            </w:pPr>
            <w:r w:rsidRPr="00A616C3">
              <w:rPr>
                <w:b/>
                <w:lang w:val="pt-PT"/>
              </w:rPr>
              <w:t>Parameter</w:t>
            </w:r>
          </w:p>
          <w:p w:rsidR="00556243" w:rsidRPr="00A616C3" w:rsidRDefault="00556243" w:rsidP="00CC0FD9">
            <w:pPr>
              <w:pStyle w:val="TableText10"/>
              <w:keepNext/>
              <w:rPr>
                <w:b/>
              </w:rPr>
            </w:pPr>
          </w:p>
        </w:tc>
        <w:tc>
          <w:tcPr>
            <w:tcW w:w="1418" w:type="dxa"/>
            <w:shd w:val="clear" w:color="auto" w:fill="auto"/>
          </w:tcPr>
          <w:p w:rsidR="00556243" w:rsidRPr="00A616C3" w:rsidRDefault="00556243" w:rsidP="00586B97">
            <w:pPr>
              <w:pStyle w:val="TableText10"/>
              <w:keepNext/>
              <w:jc w:val="center"/>
              <w:rPr>
                <w:rFonts w:eastAsia="SimSun"/>
                <w:b/>
                <w:lang w:eastAsia="zh-CN"/>
              </w:rPr>
            </w:pPr>
            <w:r w:rsidRPr="00A616C3">
              <w:rPr>
                <w:rFonts w:eastAsia="SimSun"/>
                <w:b/>
                <w:lang w:eastAsia="zh-CN"/>
              </w:rPr>
              <w:t>AC</w:t>
            </w:r>
            <w:r w:rsidRPr="00A616C3">
              <w:rPr>
                <w:b/>
              </w:rPr>
              <w:t>→</w:t>
            </w:r>
            <w:r w:rsidRPr="00A616C3">
              <w:rPr>
                <w:rFonts w:eastAsia="SimSun"/>
                <w:b/>
                <w:lang w:eastAsia="zh-CN"/>
              </w:rPr>
              <w:t>P</w:t>
            </w:r>
          </w:p>
          <w:p w:rsidR="00556243" w:rsidRPr="00A616C3" w:rsidRDefault="00556243" w:rsidP="00643D18">
            <w:pPr>
              <w:pStyle w:val="TableText10"/>
              <w:keepNext/>
              <w:jc w:val="center"/>
              <w:rPr>
                <w:rFonts w:eastAsia="SimSun"/>
                <w:b/>
                <w:lang w:eastAsia="zh-CN"/>
              </w:rPr>
            </w:pPr>
          </w:p>
        </w:tc>
        <w:tc>
          <w:tcPr>
            <w:tcW w:w="1275" w:type="dxa"/>
            <w:shd w:val="clear" w:color="auto" w:fill="auto"/>
          </w:tcPr>
          <w:p w:rsidR="00556243" w:rsidRPr="00A616C3" w:rsidRDefault="00556243" w:rsidP="00586B97">
            <w:pPr>
              <w:pStyle w:val="TableText10"/>
              <w:keepNext/>
              <w:jc w:val="center"/>
              <w:rPr>
                <w:rFonts w:eastAsia="SimSun"/>
                <w:b/>
                <w:lang w:eastAsia="zh-CN"/>
              </w:rPr>
            </w:pPr>
            <w:r w:rsidRPr="00A616C3">
              <w:rPr>
                <w:rFonts w:eastAsia="SimSun"/>
                <w:b/>
                <w:lang w:eastAsia="zh-CN"/>
              </w:rPr>
              <w:t>AC</w:t>
            </w:r>
            <w:r w:rsidRPr="00A616C3">
              <w:rPr>
                <w:b/>
              </w:rPr>
              <w:t>→</w:t>
            </w:r>
            <w:r w:rsidRPr="00A616C3">
              <w:rPr>
                <w:rFonts w:eastAsia="SimSun"/>
                <w:b/>
                <w:lang w:eastAsia="zh-CN"/>
              </w:rPr>
              <w:t>PH</w:t>
            </w:r>
          </w:p>
          <w:p w:rsidR="00556243" w:rsidRPr="00A616C3" w:rsidRDefault="00556243" w:rsidP="00643D18">
            <w:pPr>
              <w:pStyle w:val="TableText10"/>
              <w:keepNext/>
              <w:jc w:val="center"/>
              <w:rPr>
                <w:rFonts w:eastAsia="SimSun"/>
                <w:b/>
                <w:lang w:eastAsia="zh-CN"/>
              </w:rPr>
            </w:pPr>
          </w:p>
        </w:tc>
        <w:tc>
          <w:tcPr>
            <w:tcW w:w="993" w:type="dxa"/>
            <w:shd w:val="clear" w:color="auto" w:fill="auto"/>
          </w:tcPr>
          <w:p w:rsidR="00556243" w:rsidRPr="00A616C3" w:rsidRDefault="00556243" w:rsidP="00586B97">
            <w:pPr>
              <w:pStyle w:val="TableText10"/>
              <w:keepNext/>
              <w:jc w:val="center"/>
              <w:rPr>
                <w:rFonts w:eastAsia="SimSun"/>
                <w:b/>
                <w:lang w:eastAsia="zh-CN"/>
              </w:rPr>
            </w:pPr>
            <w:r w:rsidRPr="00A616C3">
              <w:rPr>
                <w:rFonts w:eastAsia="SimSun"/>
                <w:b/>
                <w:lang w:eastAsia="zh-CN"/>
              </w:rPr>
              <w:t xml:space="preserve">p-value </w:t>
            </w:r>
          </w:p>
          <w:p w:rsidR="00556243" w:rsidRPr="00A616C3" w:rsidRDefault="00556243" w:rsidP="00586B97">
            <w:pPr>
              <w:pStyle w:val="TableText10"/>
              <w:keepNext/>
              <w:jc w:val="center"/>
              <w:rPr>
                <w:rFonts w:eastAsia="SimSun"/>
                <w:b/>
                <w:lang w:eastAsia="zh-CN"/>
              </w:rPr>
            </w:pPr>
          </w:p>
        </w:tc>
        <w:tc>
          <w:tcPr>
            <w:tcW w:w="1559" w:type="dxa"/>
            <w:shd w:val="clear" w:color="auto" w:fill="auto"/>
          </w:tcPr>
          <w:p w:rsidR="00556243" w:rsidRPr="00A616C3" w:rsidRDefault="00556243" w:rsidP="006144DB">
            <w:pPr>
              <w:spacing w:after="0"/>
              <w:jc w:val="center"/>
              <w:rPr>
                <w:b/>
                <w:sz w:val="20"/>
                <w:lang w:val="en-GB"/>
              </w:rPr>
            </w:pPr>
            <w:r w:rsidRPr="00A616C3">
              <w:rPr>
                <w:b/>
                <w:sz w:val="20"/>
                <w:lang w:val="en-GB"/>
              </w:rPr>
              <w:t xml:space="preserve">HR </w:t>
            </w:r>
          </w:p>
          <w:p w:rsidR="00556243" w:rsidRPr="00A616C3" w:rsidRDefault="00556243" w:rsidP="00556243">
            <w:pPr>
              <w:pStyle w:val="TableText10"/>
              <w:keepNext/>
              <w:jc w:val="center"/>
              <w:rPr>
                <w:rFonts w:eastAsia="SimSun"/>
                <w:b/>
                <w:lang w:val="fr-FR" w:eastAsia="zh-CN"/>
              </w:rPr>
            </w:pPr>
            <w:r w:rsidRPr="00A616C3">
              <w:rPr>
                <w:rFonts w:eastAsia="SimSun"/>
                <w:b/>
                <w:lang w:val="fr-FR" w:eastAsia="zh-CN"/>
              </w:rPr>
              <w:t>(95% CI)</w:t>
            </w:r>
          </w:p>
        </w:tc>
      </w:tr>
      <w:tr w:rsidR="00CC0FD9" w:rsidRPr="00A616C3" w:rsidTr="00CC0FD9">
        <w:tc>
          <w:tcPr>
            <w:tcW w:w="4179" w:type="dxa"/>
            <w:shd w:val="clear" w:color="auto" w:fill="auto"/>
          </w:tcPr>
          <w:p w:rsidR="00CC0FD9" w:rsidRPr="00A616C3" w:rsidRDefault="00CC0FD9" w:rsidP="00586B97">
            <w:pPr>
              <w:pStyle w:val="TableText10"/>
              <w:keepNext/>
              <w:rPr>
                <w:b/>
                <w:u w:val="single"/>
                <w:lang w:val="en-GB"/>
              </w:rPr>
            </w:pPr>
            <w:r w:rsidRPr="00A616C3">
              <w:rPr>
                <w:b/>
                <w:u w:val="single"/>
                <w:lang w:val="en-GB"/>
              </w:rPr>
              <w:t>Disease recurrence</w:t>
            </w:r>
          </w:p>
          <w:p w:rsidR="00CC0FD9" w:rsidRPr="00A616C3" w:rsidRDefault="00CC0FD9" w:rsidP="00586B97">
            <w:pPr>
              <w:pStyle w:val="TableText10"/>
              <w:keepNext/>
            </w:pPr>
            <w:r w:rsidRPr="00A616C3">
              <w:rPr>
                <w:lang w:val="en-GB"/>
              </w:rPr>
              <w:t>Rate (Herceptin vs. observation)</w:t>
            </w:r>
          </w:p>
        </w:tc>
        <w:tc>
          <w:tcPr>
            <w:tcW w:w="1418" w:type="dxa"/>
            <w:shd w:val="clear" w:color="auto" w:fill="auto"/>
          </w:tcPr>
          <w:p w:rsidR="00CC0FD9" w:rsidRPr="00A616C3" w:rsidRDefault="00CC0FD9" w:rsidP="00586B97">
            <w:pPr>
              <w:pStyle w:val="TableText10"/>
              <w:keepNext/>
              <w:jc w:val="center"/>
            </w:pPr>
          </w:p>
          <w:p w:rsidR="00CC0FD9" w:rsidRPr="00A616C3" w:rsidRDefault="00CC0FD9" w:rsidP="00556243">
            <w:pPr>
              <w:pStyle w:val="TableText10"/>
              <w:keepNext/>
              <w:jc w:val="center"/>
            </w:pPr>
            <w:r w:rsidRPr="00A616C3">
              <w:t>15.5%</w:t>
            </w:r>
          </w:p>
        </w:tc>
        <w:tc>
          <w:tcPr>
            <w:tcW w:w="1275" w:type="dxa"/>
            <w:shd w:val="clear" w:color="auto" w:fill="auto"/>
          </w:tcPr>
          <w:p w:rsidR="00CC0FD9" w:rsidRPr="00A616C3" w:rsidRDefault="00CC0FD9" w:rsidP="00586B97">
            <w:pPr>
              <w:pStyle w:val="TableText10"/>
              <w:keepNext/>
              <w:jc w:val="center"/>
            </w:pPr>
          </w:p>
          <w:p w:rsidR="00CC0FD9" w:rsidRPr="00A616C3" w:rsidRDefault="00CC0FD9" w:rsidP="00586B97">
            <w:pPr>
              <w:pStyle w:val="TableText10"/>
              <w:keepNext/>
              <w:jc w:val="center"/>
            </w:pPr>
            <w:r w:rsidRPr="00A616C3">
              <w:t>8.0%</w:t>
            </w:r>
          </w:p>
        </w:tc>
        <w:tc>
          <w:tcPr>
            <w:tcW w:w="993" w:type="dxa"/>
            <w:shd w:val="clear" w:color="auto" w:fill="auto"/>
          </w:tcPr>
          <w:p w:rsidR="00CC0FD9" w:rsidRPr="00A616C3" w:rsidRDefault="00CC0FD9" w:rsidP="00586B97">
            <w:pPr>
              <w:pStyle w:val="TableText10"/>
              <w:keepNext/>
              <w:jc w:val="center"/>
            </w:pPr>
          </w:p>
          <w:p w:rsidR="00CC0FD9" w:rsidRPr="00A616C3" w:rsidRDefault="00CC0FD9" w:rsidP="00586B97">
            <w:pPr>
              <w:pStyle w:val="TableText10"/>
              <w:keepNext/>
              <w:jc w:val="center"/>
            </w:pPr>
            <w:r w:rsidRPr="00A616C3">
              <w:t>&lt; 0.0001</w:t>
            </w:r>
          </w:p>
        </w:tc>
        <w:tc>
          <w:tcPr>
            <w:tcW w:w="1559" w:type="dxa"/>
            <w:shd w:val="clear" w:color="auto" w:fill="auto"/>
          </w:tcPr>
          <w:p w:rsidR="00CC0FD9" w:rsidRPr="00A616C3" w:rsidRDefault="00CC0FD9" w:rsidP="00586B97">
            <w:pPr>
              <w:pStyle w:val="TableText10"/>
              <w:keepNext/>
              <w:jc w:val="center"/>
            </w:pPr>
          </w:p>
          <w:p w:rsidR="00CC0FD9" w:rsidRPr="00A616C3" w:rsidRDefault="00CC0FD9" w:rsidP="00586B97">
            <w:pPr>
              <w:pStyle w:val="TableText10"/>
              <w:keepNext/>
              <w:jc w:val="center"/>
            </w:pPr>
            <w:r w:rsidRPr="00A616C3">
              <w:t>0.48 (0.39, 0.59)</w:t>
            </w:r>
          </w:p>
        </w:tc>
      </w:tr>
      <w:tr w:rsidR="00483348" w:rsidRPr="00A616C3" w:rsidTr="00CC0FD9">
        <w:tc>
          <w:tcPr>
            <w:tcW w:w="4179" w:type="dxa"/>
            <w:shd w:val="clear" w:color="auto" w:fill="auto"/>
          </w:tcPr>
          <w:p w:rsidR="00CC0FD9" w:rsidRPr="00A616C3" w:rsidRDefault="00CC0FD9" w:rsidP="00586B97">
            <w:pPr>
              <w:pStyle w:val="TableText10"/>
              <w:keepNext/>
              <w:rPr>
                <w:u w:val="single"/>
              </w:rPr>
            </w:pPr>
            <w:r w:rsidRPr="00A616C3">
              <w:rPr>
                <w:b/>
                <w:u w:val="single"/>
                <w:lang w:val="en-GB"/>
              </w:rPr>
              <w:t>Survival</w:t>
            </w:r>
            <w:r w:rsidRPr="00A616C3">
              <w:rPr>
                <w:u w:val="single"/>
              </w:rPr>
              <w:t xml:space="preserve"> </w:t>
            </w:r>
          </w:p>
          <w:p w:rsidR="00483348" w:rsidRPr="00A616C3" w:rsidRDefault="00CC0FD9" w:rsidP="00586B97">
            <w:pPr>
              <w:pStyle w:val="TableText10"/>
              <w:keepNext/>
            </w:pPr>
            <w:r w:rsidRPr="00A616C3">
              <w:rPr>
                <w:lang w:val="en-GB"/>
              </w:rPr>
              <w:t>Deaths (Herceptin vs. observation)</w:t>
            </w:r>
          </w:p>
        </w:tc>
        <w:tc>
          <w:tcPr>
            <w:tcW w:w="1418" w:type="dxa"/>
            <w:shd w:val="clear" w:color="auto" w:fill="auto"/>
          </w:tcPr>
          <w:p w:rsidR="00483348" w:rsidRPr="00A616C3" w:rsidRDefault="00483348" w:rsidP="00586B97">
            <w:pPr>
              <w:pStyle w:val="TableText10"/>
              <w:keepNext/>
              <w:jc w:val="center"/>
            </w:pPr>
          </w:p>
          <w:p w:rsidR="00483348" w:rsidRPr="00A616C3" w:rsidRDefault="00556243" w:rsidP="00586B97">
            <w:pPr>
              <w:pStyle w:val="TableText10"/>
              <w:keepNext/>
              <w:jc w:val="center"/>
            </w:pPr>
            <w:r w:rsidRPr="00A616C3">
              <w:t>5.5%</w:t>
            </w:r>
          </w:p>
        </w:tc>
        <w:tc>
          <w:tcPr>
            <w:tcW w:w="1275" w:type="dxa"/>
            <w:shd w:val="clear" w:color="auto" w:fill="auto"/>
          </w:tcPr>
          <w:p w:rsidR="00483348" w:rsidRPr="00A616C3" w:rsidRDefault="00483348" w:rsidP="00586B97">
            <w:pPr>
              <w:pStyle w:val="TableText10"/>
              <w:keepNext/>
              <w:jc w:val="center"/>
            </w:pPr>
          </w:p>
          <w:p w:rsidR="00483348" w:rsidRPr="00A616C3" w:rsidRDefault="00556243" w:rsidP="00586B97">
            <w:pPr>
              <w:pStyle w:val="TableText10"/>
              <w:keepNext/>
              <w:jc w:val="center"/>
            </w:pPr>
            <w:r w:rsidRPr="00A616C3">
              <w:t>3.7%</w:t>
            </w:r>
          </w:p>
        </w:tc>
        <w:tc>
          <w:tcPr>
            <w:tcW w:w="993" w:type="dxa"/>
            <w:shd w:val="clear" w:color="auto" w:fill="auto"/>
          </w:tcPr>
          <w:p w:rsidR="00483348" w:rsidRPr="00A616C3" w:rsidRDefault="00483348" w:rsidP="00586B97">
            <w:pPr>
              <w:pStyle w:val="TableText10"/>
              <w:keepNext/>
              <w:jc w:val="center"/>
            </w:pPr>
          </w:p>
          <w:p w:rsidR="00483348" w:rsidRPr="00A616C3" w:rsidRDefault="00483348" w:rsidP="00586B97">
            <w:pPr>
              <w:pStyle w:val="TableText10"/>
              <w:keepNext/>
              <w:jc w:val="center"/>
            </w:pPr>
            <w:r w:rsidRPr="00A616C3">
              <w:t>0.014</w:t>
            </w:r>
          </w:p>
        </w:tc>
        <w:tc>
          <w:tcPr>
            <w:tcW w:w="1559" w:type="dxa"/>
            <w:shd w:val="clear" w:color="auto" w:fill="auto"/>
          </w:tcPr>
          <w:p w:rsidR="00483348" w:rsidRPr="00A616C3" w:rsidRDefault="00483348" w:rsidP="00586B97">
            <w:pPr>
              <w:pStyle w:val="TableText10"/>
              <w:keepNext/>
              <w:jc w:val="center"/>
            </w:pPr>
          </w:p>
          <w:p w:rsidR="00483348" w:rsidRPr="00A616C3" w:rsidRDefault="00483348" w:rsidP="00586B97">
            <w:pPr>
              <w:pStyle w:val="TableText10"/>
              <w:keepNext/>
              <w:jc w:val="center"/>
            </w:pPr>
            <w:r w:rsidRPr="00A616C3">
              <w:t>0.67 (0.48, 0.92)</w:t>
            </w:r>
          </w:p>
        </w:tc>
      </w:tr>
    </w:tbl>
    <w:p w:rsidR="00483348" w:rsidRPr="00A616C3" w:rsidRDefault="00483348" w:rsidP="00483348">
      <w:pPr>
        <w:pStyle w:val="TableText10"/>
        <w:keepNext/>
        <w:rPr>
          <w:sz w:val="18"/>
          <w:szCs w:val="18"/>
        </w:rPr>
      </w:pPr>
      <w:r w:rsidRPr="00A616C3">
        <w:rPr>
          <w:sz w:val="18"/>
          <w:szCs w:val="18"/>
        </w:rPr>
        <w:t xml:space="preserve">A: doxorubicin; C: cyclophosphamide; P: paclitaxel; H: </w:t>
      </w:r>
      <w:r w:rsidR="00F062AB" w:rsidRPr="00A616C3">
        <w:rPr>
          <w:sz w:val="18"/>
          <w:szCs w:val="18"/>
        </w:rPr>
        <w:t>Herceptin</w:t>
      </w:r>
      <w:r w:rsidR="001273F6" w:rsidRPr="001273F6">
        <w:rPr>
          <w:sz w:val="18"/>
          <w:szCs w:val="18"/>
        </w:rPr>
        <w:t xml:space="preserve"> </w:t>
      </w:r>
      <w:r w:rsidR="001273F6">
        <w:rPr>
          <w:sz w:val="18"/>
          <w:szCs w:val="18"/>
        </w:rPr>
        <w:t>IV</w:t>
      </w:r>
      <w:r w:rsidR="00F062AB" w:rsidRPr="00A616C3">
        <w:rPr>
          <w:sz w:val="18"/>
          <w:szCs w:val="18"/>
        </w:rPr>
        <w:t xml:space="preserve">; </w:t>
      </w:r>
      <w:r w:rsidR="00F062AB" w:rsidRPr="00A616C3">
        <w:rPr>
          <w:sz w:val="18"/>
          <w:szCs w:val="18"/>
          <w:lang w:val="en-GB"/>
        </w:rPr>
        <w:t>HR: Hazard ratio</w:t>
      </w:r>
    </w:p>
    <w:p w:rsidR="004C748E" w:rsidRPr="00A616C3" w:rsidRDefault="004C748E" w:rsidP="00CA659E">
      <w:pPr>
        <w:spacing w:after="0"/>
      </w:pPr>
    </w:p>
    <w:p w:rsidR="00483348" w:rsidRPr="00A616C3" w:rsidRDefault="00483348" w:rsidP="00CA659E">
      <w:pPr>
        <w:spacing w:after="0"/>
      </w:pPr>
      <w:r w:rsidRPr="00A616C3">
        <w:t>The efficacy results from the BCIRG 006 are summarized in the following tables:</w:t>
      </w:r>
    </w:p>
    <w:p w:rsidR="003971B8" w:rsidRPr="00A616C3" w:rsidRDefault="003971B8" w:rsidP="00CA659E">
      <w:pPr>
        <w:spacing w:after="0"/>
      </w:pPr>
    </w:p>
    <w:p w:rsidR="00483348" w:rsidRPr="00A616C3" w:rsidRDefault="001A393A" w:rsidP="00483348">
      <w:pPr>
        <w:keepNext/>
        <w:widowControl w:val="0"/>
        <w:rPr>
          <w:b/>
        </w:rPr>
      </w:pPr>
      <w:r w:rsidRPr="00A616C3">
        <w:rPr>
          <w:b/>
        </w:rPr>
        <w:lastRenderedPageBreak/>
        <w:t xml:space="preserve">Table </w:t>
      </w:r>
      <w:r w:rsidR="004B6771">
        <w:rPr>
          <w:b/>
        </w:rPr>
        <w:t>4</w:t>
      </w:r>
      <w:r w:rsidRPr="00A616C3">
        <w:rPr>
          <w:b/>
        </w:rPr>
        <w:t xml:space="preserve">: </w:t>
      </w:r>
      <w:r w:rsidR="00483348" w:rsidRPr="00A616C3">
        <w:rPr>
          <w:b/>
        </w:rPr>
        <w:t>Overview of Efficacy Analyses BCIRG 006 AC→D versus AC→DH</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895"/>
        <w:gridCol w:w="1636"/>
        <w:gridCol w:w="1933"/>
        <w:gridCol w:w="1259"/>
        <w:gridCol w:w="1559"/>
      </w:tblGrid>
      <w:tr w:rsidR="00483348" w:rsidRPr="00A616C3" w:rsidTr="00614F34">
        <w:tc>
          <w:tcPr>
            <w:tcW w:w="2895" w:type="dxa"/>
            <w:tcBorders>
              <w:bottom w:val="single" w:sz="4" w:space="0" w:color="auto"/>
            </w:tcBorders>
            <w:shd w:val="clear" w:color="auto" w:fill="auto"/>
          </w:tcPr>
          <w:p w:rsidR="00483348" w:rsidRPr="00A616C3" w:rsidRDefault="00483348" w:rsidP="00CD2BA1">
            <w:pPr>
              <w:pStyle w:val="TableText10"/>
              <w:keepNext/>
              <w:rPr>
                <w:b/>
                <w:lang w:val="pt-PT"/>
              </w:rPr>
            </w:pPr>
            <w:r w:rsidRPr="00A616C3">
              <w:rPr>
                <w:b/>
                <w:lang w:val="pt-PT"/>
              </w:rPr>
              <w:t>Parameter</w:t>
            </w:r>
          </w:p>
          <w:p w:rsidR="00483348" w:rsidRPr="00A616C3" w:rsidRDefault="00483348" w:rsidP="00CD2BA1">
            <w:pPr>
              <w:pStyle w:val="TableText10"/>
              <w:keepNext/>
              <w:rPr>
                <w:b/>
              </w:rPr>
            </w:pPr>
          </w:p>
        </w:tc>
        <w:tc>
          <w:tcPr>
            <w:tcW w:w="1636" w:type="dxa"/>
            <w:tcBorders>
              <w:bottom w:val="single" w:sz="4" w:space="0" w:color="auto"/>
            </w:tcBorders>
            <w:shd w:val="clear" w:color="auto" w:fill="auto"/>
          </w:tcPr>
          <w:p w:rsidR="00483348" w:rsidRPr="00A616C3" w:rsidRDefault="00483348" w:rsidP="00586B97">
            <w:pPr>
              <w:pStyle w:val="TableText10"/>
              <w:keepNext/>
              <w:jc w:val="center"/>
              <w:rPr>
                <w:b/>
              </w:rPr>
            </w:pPr>
            <w:r w:rsidRPr="00A616C3">
              <w:rPr>
                <w:b/>
              </w:rPr>
              <w:t>AC→D</w:t>
            </w:r>
          </w:p>
          <w:p w:rsidR="00483348" w:rsidRPr="00A616C3" w:rsidRDefault="00643D18" w:rsidP="006B3CCE">
            <w:pPr>
              <w:pStyle w:val="TableText10"/>
              <w:keepNext/>
              <w:jc w:val="center"/>
              <w:rPr>
                <w:b/>
              </w:rPr>
            </w:pPr>
            <w:r w:rsidRPr="00A616C3">
              <w:rPr>
                <w:b/>
                <w:i/>
                <w:lang w:val="en-GB"/>
              </w:rPr>
              <w:t xml:space="preserve">n </w:t>
            </w:r>
            <w:r w:rsidRPr="00A616C3">
              <w:rPr>
                <w:b/>
                <w:lang w:val="en-GB"/>
              </w:rPr>
              <w:t>= 1</w:t>
            </w:r>
            <w:r w:rsidR="006B3CCE" w:rsidRPr="00A616C3">
              <w:rPr>
                <w:b/>
                <w:lang w:val="en-GB"/>
              </w:rPr>
              <w:t>073</w:t>
            </w:r>
          </w:p>
        </w:tc>
        <w:tc>
          <w:tcPr>
            <w:tcW w:w="1933" w:type="dxa"/>
            <w:tcBorders>
              <w:bottom w:val="single" w:sz="4" w:space="0" w:color="auto"/>
            </w:tcBorders>
            <w:shd w:val="clear" w:color="auto" w:fill="auto"/>
          </w:tcPr>
          <w:p w:rsidR="00483348" w:rsidRPr="00A616C3" w:rsidRDefault="00483348" w:rsidP="00586B97">
            <w:pPr>
              <w:pStyle w:val="TableText10"/>
              <w:keepNext/>
              <w:jc w:val="center"/>
              <w:rPr>
                <w:b/>
              </w:rPr>
            </w:pPr>
            <w:r w:rsidRPr="00A616C3">
              <w:rPr>
                <w:b/>
              </w:rPr>
              <w:t>AC→DH</w:t>
            </w:r>
          </w:p>
          <w:p w:rsidR="00483348" w:rsidRPr="00A616C3" w:rsidRDefault="00643D18" w:rsidP="006B3CCE">
            <w:pPr>
              <w:pStyle w:val="TableText10"/>
              <w:keepNext/>
              <w:jc w:val="center"/>
              <w:rPr>
                <w:b/>
              </w:rPr>
            </w:pPr>
            <w:r w:rsidRPr="00A616C3">
              <w:rPr>
                <w:b/>
                <w:i/>
                <w:lang w:val="en-GB"/>
              </w:rPr>
              <w:t xml:space="preserve">n </w:t>
            </w:r>
            <w:r w:rsidRPr="00A616C3">
              <w:rPr>
                <w:b/>
                <w:lang w:val="en-GB"/>
              </w:rPr>
              <w:t>= 1</w:t>
            </w:r>
            <w:r w:rsidR="006B3CCE" w:rsidRPr="00A616C3">
              <w:rPr>
                <w:b/>
                <w:lang w:val="en-GB"/>
              </w:rPr>
              <w:t>0</w:t>
            </w:r>
            <w:r w:rsidRPr="00A616C3">
              <w:rPr>
                <w:b/>
                <w:lang w:val="en-GB"/>
              </w:rPr>
              <w:t>7</w:t>
            </w:r>
            <w:r w:rsidR="006B3CCE" w:rsidRPr="00A616C3">
              <w:rPr>
                <w:b/>
                <w:lang w:val="en-GB"/>
              </w:rPr>
              <w:t>4</w:t>
            </w:r>
          </w:p>
        </w:tc>
        <w:tc>
          <w:tcPr>
            <w:tcW w:w="1259" w:type="dxa"/>
            <w:tcBorders>
              <w:bottom w:val="single" w:sz="4" w:space="0" w:color="auto"/>
            </w:tcBorders>
            <w:shd w:val="clear" w:color="auto" w:fill="auto"/>
          </w:tcPr>
          <w:p w:rsidR="00483348" w:rsidRPr="00A616C3" w:rsidRDefault="00483348" w:rsidP="00614F34">
            <w:pPr>
              <w:pStyle w:val="TableText10"/>
              <w:keepNext/>
              <w:jc w:val="center"/>
              <w:rPr>
                <w:b/>
              </w:rPr>
            </w:pPr>
            <w:r w:rsidRPr="00A616C3">
              <w:rPr>
                <w:b/>
              </w:rPr>
              <w:t>p-value</w:t>
            </w:r>
            <w:r w:rsidRPr="00A616C3">
              <w:rPr>
                <w:rFonts w:eastAsia="SimSun"/>
                <w:b/>
                <w:lang w:eastAsia="zh-CN"/>
              </w:rPr>
              <w:t xml:space="preserve"> </w:t>
            </w:r>
          </w:p>
        </w:tc>
        <w:tc>
          <w:tcPr>
            <w:tcW w:w="1559" w:type="dxa"/>
            <w:tcBorders>
              <w:bottom w:val="single" w:sz="4" w:space="0" w:color="auto"/>
            </w:tcBorders>
            <w:shd w:val="clear" w:color="auto" w:fill="auto"/>
          </w:tcPr>
          <w:p w:rsidR="00614F34" w:rsidRPr="00A616C3" w:rsidRDefault="00614F34" w:rsidP="00614F34">
            <w:pPr>
              <w:pStyle w:val="TableText10"/>
              <w:keepNext/>
              <w:jc w:val="center"/>
              <w:rPr>
                <w:b/>
                <w:lang w:val="fr-FR"/>
              </w:rPr>
            </w:pPr>
            <w:r w:rsidRPr="00A616C3">
              <w:rPr>
                <w:b/>
                <w:lang w:val="fr-FR"/>
              </w:rPr>
              <w:t>HR</w:t>
            </w:r>
          </w:p>
          <w:p w:rsidR="00483348" w:rsidRPr="00A616C3" w:rsidRDefault="00614F34" w:rsidP="00614F34">
            <w:pPr>
              <w:pStyle w:val="TableText10"/>
              <w:keepNext/>
              <w:jc w:val="center"/>
              <w:rPr>
                <w:b/>
                <w:lang w:val="fr-FR"/>
              </w:rPr>
            </w:pPr>
            <w:r w:rsidRPr="00A616C3">
              <w:rPr>
                <w:b/>
                <w:lang w:val="fr-FR"/>
              </w:rPr>
              <w:t>(95% CI)</w:t>
            </w:r>
          </w:p>
        </w:tc>
      </w:tr>
      <w:tr w:rsidR="00483348" w:rsidRPr="00A616C3" w:rsidTr="00614F34">
        <w:tc>
          <w:tcPr>
            <w:tcW w:w="2895" w:type="dxa"/>
            <w:tcBorders>
              <w:bottom w:val="nil"/>
            </w:tcBorders>
            <w:shd w:val="clear" w:color="auto" w:fill="auto"/>
          </w:tcPr>
          <w:p w:rsidR="00483348" w:rsidRPr="00A616C3" w:rsidRDefault="00483348" w:rsidP="00586B97">
            <w:pPr>
              <w:pStyle w:val="TableText10"/>
              <w:keepNext/>
              <w:rPr>
                <w:b/>
                <w:u w:val="single"/>
              </w:rPr>
            </w:pPr>
            <w:r w:rsidRPr="00A616C3">
              <w:rPr>
                <w:b/>
                <w:u w:val="single"/>
              </w:rPr>
              <w:t>Disease-free survival</w:t>
            </w:r>
            <w:r w:rsidR="00614F34" w:rsidRPr="00A616C3">
              <w:rPr>
                <w:b/>
                <w:u w:val="single"/>
              </w:rPr>
              <w:t xml:space="preserve"> (DFS)</w:t>
            </w:r>
          </w:p>
        </w:tc>
        <w:tc>
          <w:tcPr>
            <w:tcW w:w="1636" w:type="dxa"/>
            <w:tcBorders>
              <w:bottom w:val="nil"/>
            </w:tcBorders>
            <w:shd w:val="clear" w:color="auto" w:fill="auto"/>
          </w:tcPr>
          <w:p w:rsidR="00483348" w:rsidRPr="00A616C3" w:rsidRDefault="00483348" w:rsidP="00586B97">
            <w:pPr>
              <w:pStyle w:val="TableText10"/>
              <w:keepNext/>
              <w:jc w:val="center"/>
            </w:pPr>
          </w:p>
        </w:tc>
        <w:tc>
          <w:tcPr>
            <w:tcW w:w="1933" w:type="dxa"/>
            <w:tcBorders>
              <w:bottom w:val="nil"/>
            </w:tcBorders>
            <w:shd w:val="clear" w:color="auto" w:fill="auto"/>
          </w:tcPr>
          <w:p w:rsidR="00483348" w:rsidRPr="00A616C3" w:rsidRDefault="00483348" w:rsidP="00586B97">
            <w:pPr>
              <w:pStyle w:val="TableText10"/>
              <w:keepNext/>
              <w:jc w:val="center"/>
            </w:pPr>
          </w:p>
        </w:tc>
        <w:tc>
          <w:tcPr>
            <w:tcW w:w="1259" w:type="dxa"/>
            <w:tcBorders>
              <w:bottom w:val="nil"/>
            </w:tcBorders>
            <w:shd w:val="clear" w:color="auto" w:fill="auto"/>
          </w:tcPr>
          <w:p w:rsidR="00483348" w:rsidRPr="00A616C3" w:rsidRDefault="00483348" w:rsidP="00586B97">
            <w:pPr>
              <w:pStyle w:val="TableText10"/>
              <w:keepNext/>
              <w:jc w:val="center"/>
            </w:pPr>
          </w:p>
        </w:tc>
        <w:tc>
          <w:tcPr>
            <w:tcW w:w="1559" w:type="dxa"/>
            <w:tcBorders>
              <w:bottom w:val="nil"/>
            </w:tcBorders>
            <w:shd w:val="clear" w:color="auto" w:fill="auto"/>
          </w:tcPr>
          <w:p w:rsidR="00483348" w:rsidRPr="00A616C3" w:rsidRDefault="00483348" w:rsidP="00586B97">
            <w:pPr>
              <w:pStyle w:val="TableText10"/>
              <w:keepNext/>
              <w:jc w:val="center"/>
            </w:pPr>
          </w:p>
        </w:tc>
      </w:tr>
      <w:tr w:rsidR="00483348" w:rsidRPr="00A616C3" w:rsidTr="00614F34">
        <w:tc>
          <w:tcPr>
            <w:tcW w:w="2895" w:type="dxa"/>
            <w:tcBorders>
              <w:top w:val="nil"/>
              <w:bottom w:val="single" w:sz="4" w:space="0" w:color="auto"/>
            </w:tcBorders>
            <w:shd w:val="clear" w:color="auto" w:fill="auto"/>
          </w:tcPr>
          <w:p w:rsidR="00483348" w:rsidRPr="00A616C3" w:rsidRDefault="00483348" w:rsidP="00586B97">
            <w:pPr>
              <w:pStyle w:val="TableText10"/>
              <w:keepNext/>
            </w:pPr>
            <w:r w:rsidRPr="00A616C3">
              <w:t>No. patients with event</w:t>
            </w:r>
          </w:p>
        </w:tc>
        <w:tc>
          <w:tcPr>
            <w:tcW w:w="1636" w:type="dxa"/>
            <w:tcBorders>
              <w:top w:val="nil"/>
              <w:bottom w:val="single" w:sz="4" w:space="0" w:color="auto"/>
            </w:tcBorders>
            <w:shd w:val="clear" w:color="auto" w:fill="auto"/>
          </w:tcPr>
          <w:p w:rsidR="00483348" w:rsidRPr="00A616C3" w:rsidRDefault="00483348" w:rsidP="00586B97">
            <w:pPr>
              <w:pStyle w:val="TableText10"/>
              <w:keepNext/>
              <w:jc w:val="center"/>
            </w:pPr>
            <w:r w:rsidRPr="00A616C3">
              <w:t>195</w:t>
            </w:r>
          </w:p>
        </w:tc>
        <w:tc>
          <w:tcPr>
            <w:tcW w:w="1933" w:type="dxa"/>
            <w:tcBorders>
              <w:top w:val="nil"/>
              <w:bottom w:val="single" w:sz="4" w:space="0" w:color="auto"/>
            </w:tcBorders>
            <w:shd w:val="clear" w:color="auto" w:fill="auto"/>
          </w:tcPr>
          <w:p w:rsidR="00483348" w:rsidRPr="00A616C3" w:rsidRDefault="00483348" w:rsidP="00586B97">
            <w:pPr>
              <w:pStyle w:val="TableText10"/>
              <w:keepNext/>
              <w:jc w:val="center"/>
            </w:pPr>
            <w:r w:rsidRPr="00A616C3">
              <w:t>134</w:t>
            </w:r>
          </w:p>
        </w:tc>
        <w:tc>
          <w:tcPr>
            <w:tcW w:w="1259" w:type="dxa"/>
            <w:tcBorders>
              <w:top w:val="nil"/>
              <w:bottom w:val="single" w:sz="4" w:space="0" w:color="auto"/>
            </w:tcBorders>
            <w:shd w:val="clear" w:color="auto" w:fill="auto"/>
          </w:tcPr>
          <w:p w:rsidR="00483348" w:rsidRPr="00A616C3" w:rsidRDefault="00483348" w:rsidP="00586B97">
            <w:pPr>
              <w:pStyle w:val="TableText10"/>
              <w:keepNext/>
              <w:jc w:val="center"/>
            </w:pPr>
            <w:r w:rsidRPr="00A616C3">
              <w:t>&lt;0.0001</w:t>
            </w:r>
          </w:p>
        </w:tc>
        <w:tc>
          <w:tcPr>
            <w:tcW w:w="1559" w:type="dxa"/>
            <w:tcBorders>
              <w:top w:val="nil"/>
              <w:bottom w:val="single" w:sz="4" w:space="0" w:color="auto"/>
            </w:tcBorders>
            <w:shd w:val="clear" w:color="auto" w:fill="auto"/>
          </w:tcPr>
          <w:p w:rsidR="00483348" w:rsidRPr="00A616C3" w:rsidRDefault="00483348" w:rsidP="00586B97">
            <w:pPr>
              <w:pStyle w:val="TableText10"/>
              <w:keepNext/>
              <w:jc w:val="center"/>
            </w:pPr>
            <w:r w:rsidRPr="00A616C3">
              <w:t>0.61 (0.49, 0.77)</w:t>
            </w:r>
          </w:p>
        </w:tc>
      </w:tr>
      <w:tr w:rsidR="00483348" w:rsidRPr="00A616C3" w:rsidTr="00614F34">
        <w:tc>
          <w:tcPr>
            <w:tcW w:w="2895" w:type="dxa"/>
            <w:tcBorders>
              <w:bottom w:val="nil"/>
            </w:tcBorders>
            <w:shd w:val="clear" w:color="auto" w:fill="auto"/>
          </w:tcPr>
          <w:p w:rsidR="00483348" w:rsidRPr="00A616C3" w:rsidRDefault="00650D0D" w:rsidP="00586B97">
            <w:pPr>
              <w:pStyle w:val="TableText10"/>
              <w:keepNext/>
            </w:pPr>
            <w:r w:rsidRPr="00A616C3">
              <w:rPr>
                <w:b/>
                <w:u w:val="single"/>
              </w:rPr>
              <w:t>Death (OS event)</w:t>
            </w:r>
          </w:p>
        </w:tc>
        <w:tc>
          <w:tcPr>
            <w:tcW w:w="1636" w:type="dxa"/>
            <w:tcBorders>
              <w:bottom w:val="nil"/>
            </w:tcBorders>
            <w:shd w:val="clear" w:color="auto" w:fill="auto"/>
          </w:tcPr>
          <w:p w:rsidR="00483348" w:rsidRPr="00A616C3" w:rsidRDefault="00483348" w:rsidP="00586B97">
            <w:pPr>
              <w:pStyle w:val="TableText10"/>
              <w:keepNext/>
              <w:jc w:val="center"/>
            </w:pPr>
          </w:p>
        </w:tc>
        <w:tc>
          <w:tcPr>
            <w:tcW w:w="1933" w:type="dxa"/>
            <w:tcBorders>
              <w:bottom w:val="nil"/>
            </w:tcBorders>
            <w:shd w:val="clear" w:color="auto" w:fill="auto"/>
          </w:tcPr>
          <w:p w:rsidR="00483348" w:rsidRPr="00A616C3" w:rsidRDefault="00483348" w:rsidP="00586B97">
            <w:pPr>
              <w:pStyle w:val="TableText10"/>
              <w:keepNext/>
              <w:jc w:val="center"/>
            </w:pPr>
          </w:p>
        </w:tc>
        <w:tc>
          <w:tcPr>
            <w:tcW w:w="1259" w:type="dxa"/>
            <w:tcBorders>
              <w:bottom w:val="nil"/>
            </w:tcBorders>
            <w:shd w:val="clear" w:color="auto" w:fill="auto"/>
          </w:tcPr>
          <w:p w:rsidR="00483348" w:rsidRPr="00A616C3" w:rsidRDefault="00483348" w:rsidP="00586B97">
            <w:pPr>
              <w:pStyle w:val="TableText10"/>
              <w:keepNext/>
              <w:jc w:val="center"/>
            </w:pPr>
          </w:p>
        </w:tc>
        <w:tc>
          <w:tcPr>
            <w:tcW w:w="1559" w:type="dxa"/>
            <w:tcBorders>
              <w:bottom w:val="nil"/>
            </w:tcBorders>
            <w:shd w:val="clear" w:color="auto" w:fill="auto"/>
          </w:tcPr>
          <w:p w:rsidR="00483348" w:rsidRPr="00A616C3" w:rsidRDefault="00483348" w:rsidP="00586B97">
            <w:pPr>
              <w:pStyle w:val="TableText10"/>
              <w:keepNext/>
              <w:jc w:val="center"/>
            </w:pPr>
          </w:p>
        </w:tc>
      </w:tr>
      <w:tr w:rsidR="00483348" w:rsidRPr="00A616C3" w:rsidTr="00614F34">
        <w:tc>
          <w:tcPr>
            <w:tcW w:w="2895" w:type="dxa"/>
            <w:tcBorders>
              <w:top w:val="nil"/>
            </w:tcBorders>
            <w:shd w:val="clear" w:color="auto" w:fill="auto"/>
          </w:tcPr>
          <w:p w:rsidR="00483348" w:rsidRPr="00A616C3" w:rsidRDefault="00650D0D" w:rsidP="00CA659E">
            <w:pPr>
              <w:pStyle w:val="TableText10"/>
              <w:keepNext/>
              <w:rPr>
                <w:b/>
              </w:rPr>
            </w:pPr>
            <w:r w:rsidRPr="00A616C3">
              <w:t>No. patients with event</w:t>
            </w:r>
          </w:p>
        </w:tc>
        <w:tc>
          <w:tcPr>
            <w:tcW w:w="1636" w:type="dxa"/>
            <w:tcBorders>
              <w:top w:val="nil"/>
            </w:tcBorders>
            <w:shd w:val="clear" w:color="auto" w:fill="auto"/>
          </w:tcPr>
          <w:p w:rsidR="00483348" w:rsidRPr="00A616C3" w:rsidRDefault="00483348" w:rsidP="00650D0D">
            <w:pPr>
              <w:pStyle w:val="TableText10"/>
              <w:keepNext/>
              <w:jc w:val="center"/>
            </w:pPr>
            <w:r w:rsidRPr="00A616C3">
              <w:t>80</w:t>
            </w:r>
          </w:p>
        </w:tc>
        <w:tc>
          <w:tcPr>
            <w:tcW w:w="1933" w:type="dxa"/>
            <w:tcBorders>
              <w:top w:val="nil"/>
            </w:tcBorders>
            <w:shd w:val="clear" w:color="auto" w:fill="auto"/>
          </w:tcPr>
          <w:p w:rsidR="00483348" w:rsidRPr="00A616C3" w:rsidRDefault="00483348" w:rsidP="00650D0D">
            <w:pPr>
              <w:pStyle w:val="TableText10"/>
              <w:keepNext/>
              <w:jc w:val="center"/>
            </w:pPr>
            <w:r w:rsidRPr="00A616C3">
              <w:t>49</w:t>
            </w:r>
          </w:p>
        </w:tc>
        <w:tc>
          <w:tcPr>
            <w:tcW w:w="1259" w:type="dxa"/>
            <w:tcBorders>
              <w:top w:val="nil"/>
            </w:tcBorders>
            <w:shd w:val="clear" w:color="auto" w:fill="auto"/>
          </w:tcPr>
          <w:p w:rsidR="00483348" w:rsidRPr="00A616C3" w:rsidRDefault="00483348" w:rsidP="00650D0D">
            <w:pPr>
              <w:pStyle w:val="TableText10"/>
              <w:keepNext/>
              <w:jc w:val="center"/>
            </w:pPr>
            <w:r w:rsidRPr="00A616C3">
              <w:t>0.0</w:t>
            </w:r>
            <w:r w:rsidR="00904374" w:rsidRPr="00A616C3">
              <w:t>024</w:t>
            </w:r>
          </w:p>
        </w:tc>
        <w:tc>
          <w:tcPr>
            <w:tcW w:w="1559" w:type="dxa"/>
            <w:tcBorders>
              <w:top w:val="nil"/>
            </w:tcBorders>
            <w:shd w:val="clear" w:color="auto" w:fill="auto"/>
          </w:tcPr>
          <w:p w:rsidR="00483348" w:rsidRPr="00A616C3" w:rsidRDefault="00483348" w:rsidP="00650D0D">
            <w:pPr>
              <w:pStyle w:val="TableText10"/>
              <w:keepNext/>
              <w:jc w:val="center"/>
            </w:pPr>
            <w:r w:rsidRPr="00A616C3">
              <w:t>0.58</w:t>
            </w:r>
            <w:r w:rsidR="00904374" w:rsidRPr="00A616C3">
              <w:t xml:space="preserve"> (0.40,0.83)</w:t>
            </w:r>
          </w:p>
        </w:tc>
      </w:tr>
    </w:tbl>
    <w:p w:rsidR="00483348" w:rsidRDefault="00483348" w:rsidP="00483348">
      <w:pPr>
        <w:pStyle w:val="TableText10"/>
        <w:keepNext/>
      </w:pPr>
      <w:r w:rsidRPr="00A616C3">
        <w:t xml:space="preserve">AC→D = doxorubicin plus cyclophosphamide, followed by </w:t>
      </w:r>
      <w:proofErr w:type="spellStart"/>
      <w:r w:rsidRPr="00A616C3">
        <w:t>docetaxel</w:t>
      </w:r>
      <w:proofErr w:type="spellEnd"/>
      <w:r w:rsidRPr="00A616C3">
        <w:t xml:space="preserve">; AC→DH = doxorubicin plus cyclophosphamide, followed by </w:t>
      </w:r>
      <w:proofErr w:type="spellStart"/>
      <w:r w:rsidRPr="00A616C3">
        <w:t>docetaxel</w:t>
      </w:r>
      <w:proofErr w:type="spellEnd"/>
      <w:r w:rsidRPr="00A616C3">
        <w:t xml:space="preserve"> plus </w:t>
      </w:r>
      <w:proofErr w:type="spellStart"/>
      <w:r w:rsidRPr="00A616C3">
        <w:t>trastuzumab</w:t>
      </w:r>
      <w:proofErr w:type="spellEnd"/>
      <w:r w:rsidR="008C43BC" w:rsidRPr="008C43BC">
        <w:t xml:space="preserve"> </w:t>
      </w:r>
      <w:r w:rsidR="008C43BC">
        <w:t>IV</w:t>
      </w:r>
      <w:r w:rsidRPr="00A616C3">
        <w:t>; CI = confidence interval</w:t>
      </w:r>
    </w:p>
    <w:p w:rsidR="00460D76" w:rsidRPr="00A616C3" w:rsidRDefault="00460D76" w:rsidP="00483348">
      <w:pPr>
        <w:pStyle w:val="TableText10"/>
        <w:keepNext/>
      </w:pPr>
    </w:p>
    <w:p w:rsidR="00483348" w:rsidRPr="00460D76" w:rsidRDefault="001A393A" w:rsidP="00460D76">
      <w:pPr>
        <w:keepNext/>
        <w:widowControl w:val="0"/>
        <w:rPr>
          <w:b/>
        </w:rPr>
      </w:pPr>
      <w:r w:rsidRPr="00460D76">
        <w:rPr>
          <w:b/>
        </w:rPr>
        <w:t xml:space="preserve">Table </w:t>
      </w:r>
      <w:r w:rsidR="004B6771">
        <w:rPr>
          <w:b/>
        </w:rPr>
        <w:t>5</w:t>
      </w:r>
      <w:r w:rsidRPr="00460D76">
        <w:rPr>
          <w:b/>
        </w:rPr>
        <w:t xml:space="preserve">: </w:t>
      </w:r>
      <w:r w:rsidR="00483348" w:rsidRPr="00460D76">
        <w:rPr>
          <w:b/>
        </w:rPr>
        <w:t>Overview of Efficacy Analyses BCIRG </w:t>
      </w:r>
      <w:proofErr w:type="gramStart"/>
      <w:r w:rsidR="00483348" w:rsidRPr="00460D76">
        <w:rPr>
          <w:b/>
        </w:rPr>
        <w:t>006  AC</w:t>
      </w:r>
      <w:proofErr w:type="gramEnd"/>
      <w:r w:rsidR="00483348" w:rsidRPr="00460D76">
        <w:rPr>
          <w:b/>
        </w:rPr>
        <w:t xml:space="preserve">→D versus </w:t>
      </w:r>
      <w:proofErr w:type="spellStart"/>
      <w:r w:rsidR="00483348" w:rsidRPr="00460D76">
        <w:rPr>
          <w:b/>
        </w:rPr>
        <w:t>DCarbH</w:t>
      </w:r>
      <w:proofErr w:type="spellEnd"/>
      <w:r w:rsidR="00483348" w:rsidRPr="00460D76">
        <w:rPr>
          <w:b/>
        </w:rPr>
        <w:t xml:space="preserve"> </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895"/>
        <w:gridCol w:w="1637"/>
        <w:gridCol w:w="1933"/>
        <w:gridCol w:w="1258"/>
        <w:gridCol w:w="1559"/>
      </w:tblGrid>
      <w:tr w:rsidR="00614F34" w:rsidRPr="00A616C3" w:rsidTr="00614F34">
        <w:tc>
          <w:tcPr>
            <w:tcW w:w="2895" w:type="dxa"/>
            <w:tcBorders>
              <w:bottom w:val="single" w:sz="4" w:space="0" w:color="auto"/>
            </w:tcBorders>
            <w:shd w:val="clear" w:color="auto" w:fill="auto"/>
          </w:tcPr>
          <w:p w:rsidR="00614F34" w:rsidRPr="00A616C3" w:rsidRDefault="00614F34" w:rsidP="00CD2BA1">
            <w:pPr>
              <w:pStyle w:val="TableText10"/>
              <w:keepNext/>
              <w:rPr>
                <w:b/>
                <w:lang w:val="pt-PT"/>
              </w:rPr>
            </w:pPr>
            <w:r w:rsidRPr="00A616C3">
              <w:rPr>
                <w:b/>
                <w:lang w:val="pt-PT"/>
              </w:rPr>
              <w:t>Parameter</w:t>
            </w:r>
          </w:p>
          <w:p w:rsidR="00614F34" w:rsidRPr="00A616C3" w:rsidRDefault="00614F34" w:rsidP="00CD2BA1">
            <w:pPr>
              <w:pStyle w:val="TableText10"/>
              <w:keepNext/>
              <w:rPr>
                <w:b/>
              </w:rPr>
            </w:pPr>
          </w:p>
        </w:tc>
        <w:tc>
          <w:tcPr>
            <w:tcW w:w="1637" w:type="dxa"/>
            <w:tcBorders>
              <w:bottom w:val="single" w:sz="4" w:space="0" w:color="auto"/>
            </w:tcBorders>
            <w:shd w:val="clear" w:color="auto" w:fill="auto"/>
          </w:tcPr>
          <w:p w:rsidR="00614F34" w:rsidRPr="00A616C3" w:rsidRDefault="00614F34" w:rsidP="00586B97">
            <w:pPr>
              <w:pStyle w:val="TableText10"/>
              <w:keepNext/>
              <w:jc w:val="center"/>
              <w:rPr>
                <w:b/>
              </w:rPr>
            </w:pPr>
            <w:r w:rsidRPr="00A616C3">
              <w:rPr>
                <w:b/>
              </w:rPr>
              <w:t>AC→D</w:t>
            </w:r>
          </w:p>
          <w:p w:rsidR="00614F34" w:rsidRPr="00A616C3" w:rsidRDefault="00643D18" w:rsidP="006B3CCE">
            <w:pPr>
              <w:pStyle w:val="TableText10"/>
              <w:keepNext/>
              <w:jc w:val="center"/>
              <w:rPr>
                <w:b/>
              </w:rPr>
            </w:pPr>
            <w:r w:rsidRPr="00A616C3">
              <w:rPr>
                <w:b/>
                <w:i/>
                <w:lang w:val="en-GB"/>
              </w:rPr>
              <w:t xml:space="preserve">n </w:t>
            </w:r>
            <w:r w:rsidRPr="00A616C3">
              <w:rPr>
                <w:b/>
                <w:lang w:val="en-GB"/>
              </w:rPr>
              <w:t>= 1</w:t>
            </w:r>
            <w:r w:rsidR="006B3CCE" w:rsidRPr="00A616C3">
              <w:rPr>
                <w:b/>
                <w:lang w:val="en-GB"/>
              </w:rPr>
              <w:t>0</w:t>
            </w:r>
            <w:r w:rsidRPr="00A616C3">
              <w:rPr>
                <w:b/>
                <w:lang w:val="en-GB"/>
              </w:rPr>
              <w:t>7</w:t>
            </w:r>
            <w:r w:rsidR="006B3CCE" w:rsidRPr="00A616C3">
              <w:rPr>
                <w:b/>
                <w:lang w:val="en-GB"/>
              </w:rPr>
              <w:t>3</w:t>
            </w:r>
          </w:p>
        </w:tc>
        <w:tc>
          <w:tcPr>
            <w:tcW w:w="1933" w:type="dxa"/>
            <w:tcBorders>
              <w:bottom w:val="single" w:sz="4" w:space="0" w:color="auto"/>
            </w:tcBorders>
            <w:shd w:val="clear" w:color="auto" w:fill="auto"/>
          </w:tcPr>
          <w:p w:rsidR="00614F34" w:rsidRPr="00A616C3" w:rsidRDefault="00614F34" w:rsidP="00586B97">
            <w:pPr>
              <w:pStyle w:val="TableText10"/>
              <w:keepNext/>
              <w:jc w:val="center"/>
              <w:rPr>
                <w:b/>
              </w:rPr>
            </w:pPr>
            <w:proofErr w:type="spellStart"/>
            <w:r w:rsidRPr="00A616C3">
              <w:rPr>
                <w:b/>
              </w:rPr>
              <w:t>DCarbH</w:t>
            </w:r>
            <w:proofErr w:type="spellEnd"/>
          </w:p>
          <w:p w:rsidR="00614F34" w:rsidRPr="00A616C3" w:rsidRDefault="00643D18" w:rsidP="00E80DD0">
            <w:pPr>
              <w:pStyle w:val="TableText10"/>
              <w:keepNext/>
              <w:jc w:val="center"/>
              <w:rPr>
                <w:b/>
              </w:rPr>
            </w:pPr>
            <w:r w:rsidRPr="00A616C3">
              <w:rPr>
                <w:b/>
                <w:i/>
                <w:lang w:val="en-GB"/>
              </w:rPr>
              <w:t xml:space="preserve">n </w:t>
            </w:r>
            <w:r w:rsidRPr="00A616C3">
              <w:rPr>
                <w:b/>
                <w:lang w:val="en-GB"/>
              </w:rPr>
              <w:t>= 1</w:t>
            </w:r>
            <w:r w:rsidR="006B3CCE" w:rsidRPr="00A616C3">
              <w:rPr>
                <w:b/>
                <w:lang w:val="en-GB"/>
              </w:rPr>
              <w:t>0</w:t>
            </w:r>
            <w:r w:rsidRPr="00A616C3">
              <w:rPr>
                <w:b/>
                <w:lang w:val="en-GB"/>
              </w:rPr>
              <w:t>7</w:t>
            </w:r>
            <w:r w:rsidR="00E80DD0" w:rsidRPr="00A616C3">
              <w:rPr>
                <w:b/>
                <w:lang w:val="en-GB"/>
              </w:rPr>
              <w:t>5</w:t>
            </w:r>
          </w:p>
        </w:tc>
        <w:tc>
          <w:tcPr>
            <w:tcW w:w="1258" w:type="dxa"/>
            <w:tcBorders>
              <w:bottom w:val="single" w:sz="4" w:space="0" w:color="auto"/>
            </w:tcBorders>
            <w:shd w:val="clear" w:color="auto" w:fill="auto"/>
          </w:tcPr>
          <w:p w:rsidR="00614F34" w:rsidRPr="00A616C3" w:rsidRDefault="00614F34" w:rsidP="00614F34">
            <w:pPr>
              <w:pStyle w:val="TableText10"/>
              <w:keepNext/>
              <w:jc w:val="center"/>
              <w:rPr>
                <w:b/>
              </w:rPr>
            </w:pPr>
            <w:r w:rsidRPr="00A616C3">
              <w:rPr>
                <w:b/>
              </w:rPr>
              <w:t>p-value</w:t>
            </w:r>
            <w:r w:rsidRPr="00A616C3">
              <w:rPr>
                <w:rFonts w:eastAsia="SimSun"/>
                <w:b/>
                <w:lang w:eastAsia="zh-CN"/>
              </w:rPr>
              <w:t xml:space="preserve"> </w:t>
            </w:r>
          </w:p>
          <w:p w:rsidR="00614F34" w:rsidRPr="00A616C3" w:rsidRDefault="00614F34" w:rsidP="00586B97">
            <w:pPr>
              <w:pStyle w:val="TableText10"/>
              <w:keepNext/>
              <w:jc w:val="center"/>
              <w:rPr>
                <w:b/>
              </w:rPr>
            </w:pPr>
          </w:p>
        </w:tc>
        <w:tc>
          <w:tcPr>
            <w:tcW w:w="1559" w:type="dxa"/>
            <w:tcBorders>
              <w:bottom w:val="single" w:sz="4" w:space="0" w:color="auto"/>
            </w:tcBorders>
            <w:shd w:val="clear" w:color="auto" w:fill="auto"/>
          </w:tcPr>
          <w:p w:rsidR="00614F34" w:rsidRPr="00A616C3" w:rsidRDefault="00614F34" w:rsidP="00614F34">
            <w:pPr>
              <w:pStyle w:val="TableText10"/>
              <w:keepNext/>
              <w:jc w:val="center"/>
              <w:rPr>
                <w:b/>
                <w:lang w:val="fr-FR"/>
              </w:rPr>
            </w:pPr>
            <w:r w:rsidRPr="00A616C3">
              <w:rPr>
                <w:b/>
                <w:lang w:val="fr-FR"/>
              </w:rPr>
              <w:t>HR</w:t>
            </w:r>
          </w:p>
          <w:p w:rsidR="00614F34" w:rsidRPr="00A616C3" w:rsidRDefault="00614F34" w:rsidP="00586B97">
            <w:pPr>
              <w:pStyle w:val="TableText10"/>
              <w:keepNext/>
              <w:jc w:val="center"/>
              <w:rPr>
                <w:b/>
                <w:lang w:val="fr-FR"/>
              </w:rPr>
            </w:pPr>
            <w:r w:rsidRPr="00A616C3">
              <w:rPr>
                <w:b/>
                <w:lang w:val="fr-FR"/>
              </w:rPr>
              <w:t>(95% CI)</w:t>
            </w:r>
          </w:p>
        </w:tc>
      </w:tr>
      <w:tr w:rsidR="00483348" w:rsidRPr="00A616C3" w:rsidTr="00614F34">
        <w:tc>
          <w:tcPr>
            <w:tcW w:w="2895" w:type="dxa"/>
            <w:tcBorders>
              <w:bottom w:val="nil"/>
            </w:tcBorders>
            <w:shd w:val="clear" w:color="auto" w:fill="auto"/>
          </w:tcPr>
          <w:p w:rsidR="00483348" w:rsidRPr="00A616C3" w:rsidRDefault="00483348" w:rsidP="00586B97">
            <w:pPr>
              <w:pStyle w:val="TableText10"/>
              <w:keepNext/>
            </w:pPr>
            <w:r w:rsidRPr="00A616C3">
              <w:rPr>
                <w:b/>
                <w:u w:val="single"/>
              </w:rPr>
              <w:t>Disease-free survival</w:t>
            </w:r>
            <w:r w:rsidR="00614F34" w:rsidRPr="00A616C3">
              <w:rPr>
                <w:b/>
                <w:u w:val="single"/>
              </w:rPr>
              <w:t xml:space="preserve"> (DFS)</w:t>
            </w:r>
          </w:p>
        </w:tc>
        <w:tc>
          <w:tcPr>
            <w:tcW w:w="1637" w:type="dxa"/>
            <w:tcBorders>
              <w:bottom w:val="nil"/>
            </w:tcBorders>
            <w:shd w:val="clear" w:color="auto" w:fill="auto"/>
          </w:tcPr>
          <w:p w:rsidR="00483348" w:rsidRPr="00A616C3" w:rsidRDefault="00483348" w:rsidP="00586B97">
            <w:pPr>
              <w:pStyle w:val="TableText10"/>
              <w:keepNext/>
              <w:jc w:val="center"/>
            </w:pPr>
          </w:p>
        </w:tc>
        <w:tc>
          <w:tcPr>
            <w:tcW w:w="1933" w:type="dxa"/>
            <w:tcBorders>
              <w:bottom w:val="nil"/>
            </w:tcBorders>
            <w:shd w:val="clear" w:color="auto" w:fill="auto"/>
          </w:tcPr>
          <w:p w:rsidR="00483348" w:rsidRPr="00A616C3" w:rsidRDefault="00483348" w:rsidP="00586B97">
            <w:pPr>
              <w:pStyle w:val="TableText10"/>
              <w:keepNext/>
              <w:jc w:val="center"/>
            </w:pPr>
          </w:p>
        </w:tc>
        <w:tc>
          <w:tcPr>
            <w:tcW w:w="1258" w:type="dxa"/>
            <w:tcBorders>
              <w:bottom w:val="nil"/>
            </w:tcBorders>
            <w:shd w:val="clear" w:color="auto" w:fill="auto"/>
          </w:tcPr>
          <w:p w:rsidR="00483348" w:rsidRPr="00A616C3" w:rsidRDefault="00483348" w:rsidP="00586B97">
            <w:pPr>
              <w:pStyle w:val="TableText10"/>
              <w:keepNext/>
              <w:jc w:val="center"/>
            </w:pPr>
          </w:p>
        </w:tc>
        <w:tc>
          <w:tcPr>
            <w:tcW w:w="1559" w:type="dxa"/>
            <w:tcBorders>
              <w:bottom w:val="nil"/>
            </w:tcBorders>
            <w:shd w:val="clear" w:color="auto" w:fill="auto"/>
          </w:tcPr>
          <w:p w:rsidR="00483348" w:rsidRPr="00A616C3" w:rsidRDefault="00483348" w:rsidP="00586B97">
            <w:pPr>
              <w:pStyle w:val="TableText10"/>
              <w:keepNext/>
              <w:jc w:val="center"/>
            </w:pPr>
          </w:p>
        </w:tc>
      </w:tr>
      <w:tr w:rsidR="00483348" w:rsidRPr="00A616C3" w:rsidTr="00614F34">
        <w:tc>
          <w:tcPr>
            <w:tcW w:w="2895" w:type="dxa"/>
            <w:tcBorders>
              <w:top w:val="nil"/>
              <w:bottom w:val="single" w:sz="4" w:space="0" w:color="auto"/>
            </w:tcBorders>
            <w:shd w:val="clear" w:color="auto" w:fill="auto"/>
          </w:tcPr>
          <w:p w:rsidR="00483348" w:rsidRPr="00A616C3" w:rsidRDefault="00483348" w:rsidP="00586B97">
            <w:pPr>
              <w:pStyle w:val="TableText10"/>
              <w:keepNext/>
            </w:pPr>
            <w:r w:rsidRPr="00A616C3">
              <w:t>No. patients with event</w:t>
            </w:r>
          </w:p>
        </w:tc>
        <w:tc>
          <w:tcPr>
            <w:tcW w:w="1637" w:type="dxa"/>
            <w:tcBorders>
              <w:top w:val="nil"/>
              <w:bottom w:val="single" w:sz="4" w:space="0" w:color="auto"/>
            </w:tcBorders>
            <w:shd w:val="clear" w:color="auto" w:fill="auto"/>
          </w:tcPr>
          <w:p w:rsidR="00483348" w:rsidRPr="00A616C3" w:rsidRDefault="00483348" w:rsidP="00586B97">
            <w:pPr>
              <w:pStyle w:val="TableText10"/>
              <w:keepNext/>
              <w:jc w:val="center"/>
            </w:pPr>
            <w:r w:rsidRPr="00A616C3">
              <w:t>195</w:t>
            </w:r>
          </w:p>
        </w:tc>
        <w:tc>
          <w:tcPr>
            <w:tcW w:w="1933" w:type="dxa"/>
            <w:tcBorders>
              <w:top w:val="nil"/>
              <w:bottom w:val="single" w:sz="4" w:space="0" w:color="auto"/>
            </w:tcBorders>
            <w:shd w:val="clear" w:color="auto" w:fill="auto"/>
          </w:tcPr>
          <w:p w:rsidR="00483348" w:rsidRPr="00A616C3" w:rsidRDefault="00483348" w:rsidP="00586B97">
            <w:pPr>
              <w:pStyle w:val="TableText10"/>
              <w:keepNext/>
              <w:jc w:val="center"/>
            </w:pPr>
            <w:r w:rsidRPr="00A616C3">
              <w:t>145</w:t>
            </w:r>
          </w:p>
        </w:tc>
        <w:tc>
          <w:tcPr>
            <w:tcW w:w="1258" w:type="dxa"/>
            <w:tcBorders>
              <w:top w:val="nil"/>
              <w:bottom w:val="single" w:sz="4" w:space="0" w:color="auto"/>
            </w:tcBorders>
            <w:shd w:val="clear" w:color="auto" w:fill="auto"/>
          </w:tcPr>
          <w:p w:rsidR="00483348" w:rsidRPr="00A616C3" w:rsidRDefault="00483348" w:rsidP="00586B97">
            <w:pPr>
              <w:pStyle w:val="TableText10"/>
              <w:keepNext/>
              <w:jc w:val="center"/>
            </w:pPr>
            <w:r w:rsidRPr="00A616C3">
              <w:t>0.0003</w:t>
            </w:r>
          </w:p>
        </w:tc>
        <w:tc>
          <w:tcPr>
            <w:tcW w:w="1559" w:type="dxa"/>
            <w:tcBorders>
              <w:top w:val="nil"/>
              <w:bottom w:val="single" w:sz="4" w:space="0" w:color="auto"/>
            </w:tcBorders>
            <w:shd w:val="clear" w:color="auto" w:fill="auto"/>
          </w:tcPr>
          <w:p w:rsidR="00483348" w:rsidRPr="00A616C3" w:rsidRDefault="00483348" w:rsidP="00586B97">
            <w:pPr>
              <w:pStyle w:val="TableText10"/>
              <w:keepNext/>
              <w:jc w:val="center"/>
            </w:pPr>
            <w:r w:rsidRPr="00A616C3">
              <w:t>0.67 (0.54, 0.83)</w:t>
            </w:r>
          </w:p>
        </w:tc>
      </w:tr>
      <w:tr w:rsidR="00483348" w:rsidRPr="00A616C3" w:rsidTr="00614F34">
        <w:tc>
          <w:tcPr>
            <w:tcW w:w="2895" w:type="dxa"/>
            <w:tcBorders>
              <w:bottom w:val="nil"/>
            </w:tcBorders>
            <w:shd w:val="clear" w:color="auto" w:fill="auto"/>
          </w:tcPr>
          <w:p w:rsidR="00483348" w:rsidRPr="00A616C3" w:rsidRDefault="00483348" w:rsidP="00586B97">
            <w:pPr>
              <w:pStyle w:val="TableText10"/>
              <w:keepNext/>
            </w:pPr>
            <w:r w:rsidRPr="00A616C3">
              <w:rPr>
                <w:b/>
                <w:u w:val="single"/>
              </w:rPr>
              <w:t>Death (OS event)</w:t>
            </w:r>
          </w:p>
        </w:tc>
        <w:tc>
          <w:tcPr>
            <w:tcW w:w="1637" w:type="dxa"/>
            <w:tcBorders>
              <w:bottom w:val="nil"/>
            </w:tcBorders>
            <w:shd w:val="clear" w:color="auto" w:fill="auto"/>
          </w:tcPr>
          <w:p w:rsidR="00483348" w:rsidRPr="00A616C3" w:rsidRDefault="00483348" w:rsidP="00586B97">
            <w:pPr>
              <w:pStyle w:val="TableText10"/>
              <w:keepNext/>
              <w:jc w:val="center"/>
            </w:pPr>
          </w:p>
        </w:tc>
        <w:tc>
          <w:tcPr>
            <w:tcW w:w="1933" w:type="dxa"/>
            <w:tcBorders>
              <w:bottom w:val="nil"/>
            </w:tcBorders>
            <w:shd w:val="clear" w:color="auto" w:fill="auto"/>
          </w:tcPr>
          <w:p w:rsidR="00483348" w:rsidRPr="00A616C3" w:rsidRDefault="00483348" w:rsidP="00586B97">
            <w:pPr>
              <w:pStyle w:val="TableText10"/>
              <w:keepNext/>
              <w:jc w:val="center"/>
            </w:pPr>
          </w:p>
        </w:tc>
        <w:tc>
          <w:tcPr>
            <w:tcW w:w="1258" w:type="dxa"/>
            <w:tcBorders>
              <w:bottom w:val="nil"/>
            </w:tcBorders>
            <w:shd w:val="clear" w:color="auto" w:fill="auto"/>
          </w:tcPr>
          <w:p w:rsidR="00483348" w:rsidRPr="00A616C3" w:rsidRDefault="00483348" w:rsidP="00586B97">
            <w:pPr>
              <w:pStyle w:val="TableText10"/>
              <w:keepNext/>
              <w:jc w:val="center"/>
            </w:pPr>
          </w:p>
        </w:tc>
        <w:tc>
          <w:tcPr>
            <w:tcW w:w="1559" w:type="dxa"/>
            <w:tcBorders>
              <w:bottom w:val="nil"/>
            </w:tcBorders>
            <w:shd w:val="clear" w:color="auto" w:fill="auto"/>
          </w:tcPr>
          <w:p w:rsidR="00483348" w:rsidRPr="00A616C3" w:rsidRDefault="00483348" w:rsidP="00586B97">
            <w:pPr>
              <w:pStyle w:val="TableText10"/>
              <w:keepNext/>
              <w:jc w:val="center"/>
            </w:pPr>
          </w:p>
        </w:tc>
      </w:tr>
      <w:tr w:rsidR="00483348" w:rsidRPr="00A616C3" w:rsidTr="00614F34">
        <w:tc>
          <w:tcPr>
            <w:tcW w:w="2895" w:type="dxa"/>
            <w:tcBorders>
              <w:top w:val="nil"/>
            </w:tcBorders>
            <w:shd w:val="clear" w:color="auto" w:fill="auto"/>
          </w:tcPr>
          <w:p w:rsidR="00483348" w:rsidRPr="00A616C3" w:rsidRDefault="00483348" w:rsidP="00586B97">
            <w:pPr>
              <w:pStyle w:val="TableText10"/>
              <w:keepNext/>
            </w:pPr>
            <w:r w:rsidRPr="00A616C3">
              <w:t>No. patients with event</w:t>
            </w:r>
          </w:p>
        </w:tc>
        <w:tc>
          <w:tcPr>
            <w:tcW w:w="1637" w:type="dxa"/>
            <w:tcBorders>
              <w:top w:val="nil"/>
            </w:tcBorders>
            <w:shd w:val="clear" w:color="auto" w:fill="auto"/>
          </w:tcPr>
          <w:p w:rsidR="00483348" w:rsidRPr="00A616C3" w:rsidRDefault="00483348" w:rsidP="00586B97">
            <w:pPr>
              <w:pStyle w:val="TableText10"/>
              <w:keepNext/>
              <w:jc w:val="center"/>
            </w:pPr>
            <w:r w:rsidRPr="00A616C3">
              <w:t>80</w:t>
            </w:r>
            <w:r w:rsidR="00904374" w:rsidRPr="00A616C3">
              <w:t xml:space="preserve"> </w:t>
            </w:r>
          </w:p>
        </w:tc>
        <w:tc>
          <w:tcPr>
            <w:tcW w:w="1933" w:type="dxa"/>
            <w:tcBorders>
              <w:top w:val="nil"/>
            </w:tcBorders>
            <w:shd w:val="clear" w:color="auto" w:fill="auto"/>
          </w:tcPr>
          <w:p w:rsidR="00483348" w:rsidRPr="00A616C3" w:rsidRDefault="00483348" w:rsidP="00586B97">
            <w:pPr>
              <w:pStyle w:val="TableText10"/>
              <w:keepNext/>
              <w:jc w:val="center"/>
            </w:pPr>
            <w:r w:rsidRPr="00A616C3">
              <w:t>56</w:t>
            </w:r>
          </w:p>
        </w:tc>
        <w:tc>
          <w:tcPr>
            <w:tcW w:w="1258" w:type="dxa"/>
            <w:tcBorders>
              <w:top w:val="nil"/>
            </w:tcBorders>
            <w:shd w:val="clear" w:color="auto" w:fill="auto"/>
          </w:tcPr>
          <w:p w:rsidR="00483348" w:rsidRPr="00A616C3" w:rsidRDefault="00483348" w:rsidP="00586B97">
            <w:pPr>
              <w:pStyle w:val="TableText10"/>
              <w:keepNext/>
              <w:jc w:val="center"/>
            </w:pPr>
            <w:r w:rsidRPr="00A616C3">
              <w:t>0.0</w:t>
            </w:r>
            <w:r w:rsidR="00904374" w:rsidRPr="00A616C3">
              <w:t>0182</w:t>
            </w:r>
          </w:p>
        </w:tc>
        <w:tc>
          <w:tcPr>
            <w:tcW w:w="1559" w:type="dxa"/>
            <w:tcBorders>
              <w:top w:val="nil"/>
            </w:tcBorders>
            <w:shd w:val="clear" w:color="auto" w:fill="auto"/>
          </w:tcPr>
          <w:p w:rsidR="00483348" w:rsidRPr="00A616C3" w:rsidRDefault="00483348" w:rsidP="00586B97">
            <w:pPr>
              <w:pStyle w:val="TableText10"/>
              <w:keepNext/>
              <w:jc w:val="center"/>
            </w:pPr>
            <w:r w:rsidRPr="00A616C3">
              <w:t>0.66</w:t>
            </w:r>
            <w:r w:rsidR="00904374" w:rsidRPr="00A616C3">
              <w:t xml:space="preserve"> (0.47,0.93)</w:t>
            </w:r>
          </w:p>
        </w:tc>
      </w:tr>
    </w:tbl>
    <w:p w:rsidR="00460D76" w:rsidRPr="00460D76" w:rsidRDefault="00483348" w:rsidP="00460D76">
      <w:pPr>
        <w:pStyle w:val="TableText10"/>
        <w:keepNext/>
        <w:rPr>
          <w:sz w:val="22"/>
        </w:rPr>
      </w:pPr>
      <w:r w:rsidRPr="00A616C3">
        <w:t xml:space="preserve">AC→D = doxorubicin plus cyclophosphamide, followed by </w:t>
      </w:r>
      <w:proofErr w:type="spellStart"/>
      <w:r w:rsidRPr="00A616C3">
        <w:t>docetaxel</w:t>
      </w:r>
      <w:proofErr w:type="spellEnd"/>
      <w:r w:rsidRPr="00A616C3">
        <w:t xml:space="preserve">; </w:t>
      </w:r>
      <w:proofErr w:type="spellStart"/>
      <w:r w:rsidRPr="00A616C3">
        <w:t>DCarbH</w:t>
      </w:r>
      <w:proofErr w:type="spellEnd"/>
      <w:r w:rsidRPr="00A616C3">
        <w:t xml:space="preserve"> = </w:t>
      </w:r>
      <w:proofErr w:type="spellStart"/>
      <w:r w:rsidRPr="00A616C3">
        <w:t>docetaxel</w:t>
      </w:r>
      <w:proofErr w:type="spellEnd"/>
      <w:r w:rsidRPr="00A616C3">
        <w:t xml:space="preserve">, carboplatin and </w:t>
      </w:r>
      <w:proofErr w:type="spellStart"/>
      <w:r w:rsidRPr="00A616C3">
        <w:t>trastuzumab</w:t>
      </w:r>
      <w:proofErr w:type="spellEnd"/>
      <w:r w:rsidR="008C43BC" w:rsidRPr="008C43BC">
        <w:t xml:space="preserve"> </w:t>
      </w:r>
      <w:r w:rsidR="008C43BC">
        <w:t>IV</w:t>
      </w:r>
      <w:r w:rsidRPr="00A616C3">
        <w:t>; CI = confidence interval</w:t>
      </w:r>
    </w:p>
    <w:p w:rsidR="004B120A" w:rsidRDefault="004B120A" w:rsidP="00460D76">
      <w:pPr>
        <w:pStyle w:val="TableText10"/>
        <w:keepNext/>
        <w:rPr>
          <w:sz w:val="22"/>
          <w:lang w:val="en-GB"/>
        </w:rPr>
      </w:pPr>
    </w:p>
    <w:p w:rsidR="00460D76" w:rsidRPr="00460D76" w:rsidRDefault="00F874AA" w:rsidP="00460D76">
      <w:pPr>
        <w:pStyle w:val="TableText10"/>
        <w:keepNext/>
        <w:rPr>
          <w:sz w:val="22"/>
          <w:lang w:val="en-GB"/>
        </w:rPr>
      </w:pPr>
      <w:r>
        <w:rPr>
          <w:sz w:val="22"/>
          <w:lang w:val="en-GB"/>
        </w:rPr>
        <w:t>Based on studies to date</w:t>
      </w:r>
      <w:r w:rsidR="00422285">
        <w:rPr>
          <w:sz w:val="22"/>
          <w:lang w:val="en-GB"/>
        </w:rPr>
        <w:t>,</w:t>
      </w:r>
      <w:r>
        <w:rPr>
          <w:sz w:val="22"/>
          <w:lang w:val="en-GB"/>
        </w:rPr>
        <w:t xml:space="preserve"> t</w:t>
      </w:r>
      <w:r w:rsidR="00460D76" w:rsidRPr="00460D76">
        <w:rPr>
          <w:sz w:val="22"/>
          <w:lang w:val="en-GB"/>
        </w:rPr>
        <w:t xml:space="preserve">he optimal duration of adjuvant </w:t>
      </w:r>
      <w:proofErr w:type="spellStart"/>
      <w:r w:rsidR="00460D76" w:rsidRPr="00460D76">
        <w:rPr>
          <w:sz w:val="22"/>
          <w:lang w:val="en-GB"/>
        </w:rPr>
        <w:t>trastuzumab</w:t>
      </w:r>
      <w:proofErr w:type="spellEnd"/>
      <w:r w:rsidR="00460D76" w:rsidRPr="00460D76">
        <w:rPr>
          <w:sz w:val="22"/>
          <w:lang w:val="en-GB"/>
        </w:rPr>
        <w:t xml:space="preserve"> therapy is </w:t>
      </w:r>
      <w:r w:rsidR="004B120A">
        <w:rPr>
          <w:sz w:val="22"/>
          <w:lang w:val="en-GB"/>
        </w:rPr>
        <w:t xml:space="preserve">1 </w:t>
      </w:r>
      <w:r w:rsidR="00140AA7">
        <w:rPr>
          <w:sz w:val="22"/>
          <w:lang w:val="en-GB"/>
        </w:rPr>
        <w:t>year,</w:t>
      </w:r>
      <w:r w:rsidR="004B120A">
        <w:rPr>
          <w:sz w:val="22"/>
          <w:lang w:val="en-GB"/>
        </w:rPr>
        <w:t xml:space="preserve"> </w:t>
      </w:r>
      <w:r w:rsidR="00460D76" w:rsidRPr="00460D76">
        <w:rPr>
          <w:sz w:val="22"/>
          <w:lang w:val="en-GB"/>
        </w:rPr>
        <w:t xml:space="preserve">and may be clarified </w:t>
      </w:r>
      <w:r w:rsidR="00140AA7">
        <w:rPr>
          <w:sz w:val="22"/>
          <w:lang w:val="en-GB"/>
        </w:rPr>
        <w:t>in further randomis</w:t>
      </w:r>
      <w:r w:rsidR="00460D76" w:rsidRPr="00460D76">
        <w:rPr>
          <w:sz w:val="22"/>
          <w:lang w:val="en-GB"/>
        </w:rPr>
        <w:t xml:space="preserve">ed trials. </w:t>
      </w:r>
      <w:r w:rsidR="00422285">
        <w:rPr>
          <w:sz w:val="22"/>
          <w:lang w:val="en-GB"/>
        </w:rPr>
        <w:t xml:space="preserve">However, extending adjuvant treatment beyond 1 year is not recommended (see </w:t>
      </w:r>
      <w:r w:rsidR="00422285" w:rsidRPr="00771C3A">
        <w:rPr>
          <w:b/>
          <w:sz w:val="22"/>
          <w:lang w:val="en-GB"/>
        </w:rPr>
        <w:t>DOSAGE AND ADMINISTRATION/Duration of Treatment</w:t>
      </w:r>
      <w:r w:rsidR="00422285">
        <w:rPr>
          <w:sz w:val="22"/>
          <w:lang w:val="en-GB"/>
        </w:rPr>
        <w:t>).</w:t>
      </w:r>
    </w:p>
    <w:p w:rsidR="004B6771" w:rsidRPr="00A616C3" w:rsidRDefault="004B6771" w:rsidP="004B6771">
      <w:pPr>
        <w:pStyle w:val="Heading3"/>
      </w:pPr>
      <w:r w:rsidRPr="00A616C3">
        <w:t>Locally Advanced Breast Cancer</w:t>
      </w:r>
    </w:p>
    <w:p w:rsidR="004B6771" w:rsidRPr="00A616C3" w:rsidRDefault="004B6771" w:rsidP="004B6771">
      <w:pPr>
        <w:rPr>
          <w:lang w:val="en-GB"/>
        </w:rPr>
      </w:pPr>
      <w:r w:rsidRPr="00A616C3">
        <w:rPr>
          <w:lang w:val="en-GB"/>
        </w:rPr>
        <w:t xml:space="preserve">Locally advanced breast cancer is defined as the absence of metastatic disease and meeting one or more of the following criteria: inflammatory breast cancer, a primary tumour that extends to the chest wall or skin, tumour &gt; 5 cm with any positive lymph node(s), any tumour with disease in supraclavicular nodes, </w:t>
      </w:r>
      <w:proofErr w:type="spellStart"/>
      <w:r w:rsidRPr="00A616C3">
        <w:rPr>
          <w:lang w:val="en-GB"/>
        </w:rPr>
        <w:t>infraclavicular</w:t>
      </w:r>
      <w:proofErr w:type="spellEnd"/>
      <w:r w:rsidRPr="00A616C3">
        <w:rPr>
          <w:lang w:val="en-GB"/>
        </w:rPr>
        <w:t xml:space="preserve"> nodes or internal mammary nodes, any tumour with axillary lymph nodes fixed to one another or other structures.  </w:t>
      </w:r>
    </w:p>
    <w:p w:rsidR="004B6771" w:rsidRPr="00C3116A" w:rsidRDefault="004B6771" w:rsidP="004B6771">
      <w:pPr>
        <w:rPr>
          <w:b/>
          <w:sz w:val="24"/>
          <w:szCs w:val="24"/>
        </w:rPr>
      </w:pPr>
      <w:r w:rsidRPr="00C3116A">
        <w:rPr>
          <w:i/>
          <w:sz w:val="24"/>
          <w:szCs w:val="24"/>
          <w:u w:val="single"/>
        </w:rPr>
        <w:t xml:space="preserve">HERCEPTIN in Combination with </w:t>
      </w:r>
      <w:proofErr w:type="spellStart"/>
      <w:r w:rsidRPr="00C3116A">
        <w:rPr>
          <w:i/>
          <w:sz w:val="24"/>
          <w:szCs w:val="24"/>
          <w:u w:val="single"/>
        </w:rPr>
        <w:t>Neoadjuvant</w:t>
      </w:r>
      <w:proofErr w:type="spellEnd"/>
      <w:r w:rsidRPr="00C3116A">
        <w:rPr>
          <w:i/>
          <w:sz w:val="24"/>
          <w:szCs w:val="24"/>
          <w:u w:val="single"/>
        </w:rPr>
        <w:t>-Adjuvant Chemotherapy</w:t>
      </w:r>
      <w:r w:rsidRPr="00C3116A">
        <w:rPr>
          <w:b/>
          <w:sz w:val="24"/>
          <w:szCs w:val="24"/>
        </w:rPr>
        <w:t xml:space="preserve"> </w:t>
      </w:r>
    </w:p>
    <w:p w:rsidR="004B6771" w:rsidRDefault="004B6771" w:rsidP="004B6771">
      <w:pPr>
        <w:autoSpaceDE w:val="0"/>
        <w:autoSpaceDN w:val="0"/>
        <w:adjustRightInd w:val="0"/>
        <w:spacing w:after="0"/>
        <w:rPr>
          <w:lang w:val="en-GB"/>
        </w:rPr>
      </w:pPr>
      <w:r w:rsidRPr="00A616C3">
        <w:rPr>
          <w:lang w:val="en-GB"/>
        </w:rPr>
        <w:t xml:space="preserve">In the </w:t>
      </w:r>
      <w:proofErr w:type="spellStart"/>
      <w:r w:rsidRPr="00A616C3">
        <w:rPr>
          <w:lang w:val="en-GB"/>
        </w:rPr>
        <w:t>neoadjuvant</w:t>
      </w:r>
      <w:proofErr w:type="spellEnd"/>
      <w:r w:rsidRPr="00A616C3">
        <w:rPr>
          <w:lang w:val="en-GB"/>
        </w:rPr>
        <w:t xml:space="preserve">-adjuvant setting HERCEPTIN has been evaluated in 2 phase III studies; </w:t>
      </w:r>
    </w:p>
    <w:p w:rsidR="004B6771" w:rsidRPr="00A616C3" w:rsidRDefault="004B6771" w:rsidP="004B6771">
      <w:pPr>
        <w:autoSpaceDE w:val="0"/>
        <w:autoSpaceDN w:val="0"/>
        <w:adjustRightInd w:val="0"/>
        <w:spacing w:after="0"/>
        <w:rPr>
          <w:lang w:val="en-GB"/>
        </w:rPr>
      </w:pPr>
    </w:p>
    <w:p w:rsidR="007D3DC1" w:rsidRDefault="004B6771" w:rsidP="00FA338E">
      <w:pPr>
        <w:pStyle w:val="TextTi12"/>
        <w:spacing w:after="120" w:line="240" w:lineRule="auto"/>
        <w:rPr>
          <w:lang w:val="en-GB"/>
        </w:rPr>
      </w:pPr>
      <w:r w:rsidRPr="00FA338E">
        <w:rPr>
          <w:i/>
          <w:u w:val="single"/>
          <w:lang w:val="en-GB"/>
        </w:rPr>
        <w:t>Study BO22227 (HANNAH)</w:t>
      </w:r>
      <w:r w:rsidRPr="00FA338E">
        <w:rPr>
          <w:u w:val="single"/>
          <w:lang w:val="en-GB"/>
        </w:rPr>
        <w:t>:</w:t>
      </w:r>
      <w:r w:rsidRPr="007D3DC1">
        <w:rPr>
          <w:lang w:val="en-GB"/>
        </w:rPr>
        <w:t xml:space="preserve"> </w:t>
      </w:r>
    </w:p>
    <w:p w:rsidR="007D3DC1" w:rsidRDefault="00D77362" w:rsidP="00FA338E">
      <w:pPr>
        <w:pStyle w:val="TextTi12"/>
        <w:spacing w:after="120" w:line="240" w:lineRule="auto"/>
        <w:jc w:val="left"/>
        <w:rPr>
          <w:lang w:val="en-GB"/>
        </w:rPr>
      </w:pPr>
      <w:r>
        <w:rPr>
          <w:lang w:val="en-GB"/>
        </w:rPr>
        <w:t>Study BO22227 (</w:t>
      </w:r>
      <w:r w:rsidR="007D3DC1">
        <w:rPr>
          <w:lang w:val="en-GB"/>
        </w:rPr>
        <w:t>HANNAH</w:t>
      </w:r>
      <w:r>
        <w:rPr>
          <w:lang w:val="en-GB"/>
        </w:rPr>
        <w:t>)</w:t>
      </w:r>
      <w:r w:rsidR="007D3DC1">
        <w:rPr>
          <w:lang w:val="en-GB"/>
        </w:rPr>
        <w:t xml:space="preserve"> was </w:t>
      </w:r>
      <w:r w:rsidR="004B6771" w:rsidRPr="007D3DC1">
        <w:rPr>
          <w:lang w:val="en-GB"/>
        </w:rPr>
        <w:t xml:space="preserve">conducted to demonstrate non-inferiority of HERCEPTIN SC vs. HERCEPTIN IV. Steady state (pre-dose Cycle 8) serum </w:t>
      </w:r>
      <w:proofErr w:type="spellStart"/>
      <w:r w:rsidR="004B6771" w:rsidRPr="007D3DC1">
        <w:rPr>
          <w:lang w:val="en-GB"/>
        </w:rPr>
        <w:t>trastuzumab</w:t>
      </w:r>
      <w:proofErr w:type="spellEnd"/>
      <w:r w:rsidR="004B6771" w:rsidRPr="007D3DC1">
        <w:rPr>
          <w:lang w:val="en-GB"/>
        </w:rPr>
        <w:t xml:space="preserve"> </w:t>
      </w:r>
      <w:proofErr w:type="spellStart"/>
      <w:r w:rsidR="004B6771" w:rsidRPr="007D3DC1">
        <w:rPr>
          <w:lang w:val="en-GB"/>
        </w:rPr>
        <w:t>C</w:t>
      </w:r>
      <w:r w:rsidR="004B6771" w:rsidRPr="007D3DC1">
        <w:rPr>
          <w:vertAlign w:val="subscript"/>
          <w:lang w:val="en-GB"/>
        </w:rPr>
        <w:t>trough</w:t>
      </w:r>
      <w:proofErr w:type="spellEnd"/>
      <w:r w:rsidR="004B6771" w:rsidRPr="007D3DC1">
        <w:rPr>
          <w:lang w:val="en-GB"/>
        </w:rPr>
        <w:t xml:space="preserve"> values and </w:t>
      </w:r>
      <w:proofErr w:type="spellStart"/>
      <w:r w:rsidR="004B6771" w:rsidRPr="007D3DC1">
        <w:rPr>
          <w:lang w:val="en-GB"/>
        </w:rPr>
        <w:t>pCR</w:t>
      </w:r>
      <w:proofErr w:type="spellEnd"/>
      <w:r w:rsidR="004B6771" w:rsidRPr="007D3DC1">
        <w:rPr>
          <w:lang w:val="en-GB"/>
        </w:rPr>
        <w:t xml:space="preserve"> were co-primary endpoints. Secondary endpoints included event free survival and overall survival for which the study was not powered to measure differences between treatment arms. Patients with HER2-positive operable or locally advanced breast cancer (LABC) including inflammatory breast cancer received 8 cycles of either HERCEPTIN SC or HERCEPTIN IV concurrently with chemotherapy (four cycles of </w:t>
      </w:r>
      <w:proofErr w:type="spellStart"/>
      <w:r w:rsidR="004B6771" w:rsidRPr="007D3DC1">
        <w:rPr>
          <w:lang w:val="en-GB"/>
        </w:rPr>
        <w:t>docetaxel</w:t>
      </w:r>
      <w:proofErr w:type="spellEnd"/>
      <w:r w:rsidR="004B6771" w:rsidRPr="007D3DC1">
        <w:rPr>
          <w:lang w:val="en-GB"/>
        </w:rPr>
        <w:t xml:space="preserve"> 75mg/m</w:t>
      </w:r>
      <w:r w:rsidR="004B6771" w:rsidRPr="007D3DC1">
        <w:rPr>
          <w:vertAlign w:val="superscript"/>
          <w:lang w:val="en-GB"/>
        </w:rPr>
        <w:t>2</w:t>
      </w:r>
      <w:r w:rsidR="004B6771" w:rsidRPr="007D3DC1">
        <w:rPr>
          <w:lang w:val="en-GB"/>
        </w:rPr>
        <w:t xml:space="preserve"> followed by four cycles of a FEC combination regimen comprising </w:t>
      </w:r>
      <w:r w:rsidR="004B6771" w:rsidRPr="007D3DC1">
        <w:rPr>
          <w:rFonts w:cs="Arial"/>
        </w:rPr>
        <w:t xml:space="preserve">fluorouracil 500 mg/m², </w:t>
      </w:r>
      <w:proofErr w:type="spellStart"/>
      <w:r w:rsidR="004B6771" w:rsidRPr="007D3DC1">
        <w:rPr>
          <w:rFonts w:cs="Arial"/>
        </w:rPr>
        <w:t>epirubicin</w:t>
      </w:r>
      <w:proofErr w:type="spellEnd"/>
      <w:r w:rsidR="004B6771" w:rsidRPr="007D3DC1">
        <w:rPr>
          <w:rFonts w:cs="Arial"/>
        </w:rPr>
        <w:t xml:space="preserve"> </w:t>
      </w:r>
      <w:r w:rsidR="004B6771" w:rsidRPr="007D3DC1">
        <w:rPr>
          <w:rFonts w:cs="Arial"/>
        </w:rPr>
        <w:lastRenderedPageBreak/>
        <w:t>75 mg/m², and cyclophosphamide 500 mg/m²</w:t>
      </w:r>
      <w:r w:rsidR="004B6771" w:rsidRPr="007D3DC1">
        <w:rPr>
          <w:lang w:val="en-GB"/>
        </w:rPr>
        <w:t xml:space="preserve">), followed by surgery, and continued therapy with HERCEPTIN SC or HERCEPTIN IV, as originally randomized, for an additional 10 cycles for a total of 1 year of treatment. In HANNAH, </w:t>
      </w:r>
      <w:r w:rsidR="007D3DC1" w:rsidRPr="007D3DC1">
        <w:rPr>
          <w:lang w:val="en-GB"/>
        </w:rPr>
        <w:t xml:space="preserve">in the majority of cases, it was retrospectively determined that the pathologist assessing the primary specimens and nodes was masked to treatment allocation and no supplemental independent review was performed. </w:t>
      </w:r>
    </w:p>
    <w:p w:rsidR="007D3DC1" w:rsidRDefault="007D3DC1" w:rsidP="001A4DDD">
      <w:pPr>
        <w:tabs>
          <w:tab w:val="left" w:pos="709"/>
        </w:tabs>
        <w:spacing w:after="0"/>
        <w:rPr>
          <w:lang w:val="en-GB"/>
        </w:rPr>
      </w:pPr>
      <w:r w:rsidRPr="00A616C3">
        <w:rPr>
          <w:lang w:val="en-GB"/>
        </w:rPr>
        <w:t xml:space="preserve">The co-primary endpoint, </w:t>
      </w:r>
      <w:proofErr w:type="spellStart"/>
      <w:r w:rsidRPr="00A616C3">
        <w:rPr>
          <w:lang w:val="en-GB"/>
        </w:rPr>
        <w:t>pCR</w:t>
      </w:r>
      <w:proofErr w:type="spellEnd"/>
      <w:r w:rsidRPr="00A616C3">
        <w:rPr>
          <w:lang w:val="en-GB"/>
        </w:rPr>
        <w:t xml:space="preserve"> as defined by the absence of invasive neoplastic cells in the breast, resulted in rates of 40.7% (95% CI: 34.7, 46.9) in the HERCEPTIN IV arm and 45.4% (95% CI: 39.2%, 51.7%) in the HERCEPTIN SC arm, a difference of 4.7% in favour of the HERCEPTIN SC arm. The lower boundary of the 1-sided 97.5% CI for the difference in </w:t>
      </w:r>
      <w:proofErr w:type="spellStart"/>
      <w:r w:rsidRPr="00A616C3">
        <w:rPr>
          <w:lang w:val="en-GB"/>
        </w:rPr>
        <w:t>pCR</w:t>
      </w:r>
      <w:proofErr w:type="spellEnd"/>
      <w:r w:rsidRPr="00A616C3">
        <w:rPr>
          <w:lang w:val="en-GB"/>
        </w:rPr>
        <w:t xml:space="preserve"> rates was -4.0, whereas the pre-defined non-inferiority margin was -12.5%, </w:t>
      </w:r>
      <w:r>
        <w:rPr>
          <w:lang w:val="en-GB"/>
        </w:rPr>
        <w:t>confirming</w:t>
      </w:r>
      <w:r w:rsidRPr="00A616C3">
        <w:rPr>
          <w:lang w:val="en-GB"/>
        </w:rPr>
        <w:t xml:space="preserve"> </w:t>
      </w:r>
      <w:r>
        <w:rPr>
          <w:lang w:val="en-GB"/>
        </w:rPr>
        <w:t>the</w:t>
      </w:r>
      <w:r w:rsidRPr="00A616C3">
        <w:rPr>
          <w:lang w:val="en-GB"/>
        </w:rPr>
        <w:t xml:space="preserve"> non-inferiority of </w:t>
      </w:r>
      <w:r>
        <w:rPr>
          <w:lang w:val="en-GB"/>
        </w:rPr>
        <w:t xml:space="preserve">HERCEPTIN </w:t>
      </w:r>
      <w:r w:rsidRPr="00A616C3">
        <w:rPr>
          <w:lang w:val="en-GB"/>
        </w:rPr>
        <w:t xml:space="preserve">SC compared to the </w:t>
      </w:r>
      <w:r>
        <w:rPr>
          <w:lang w:val="en-GB"/>
        </w:rPr>
        <w:t xml:space="preserve">HERCEPTIN </w:t>
      </w:r>
      <w:r w:rsidRPr="00A616C3">
        <w:rPr>
          <w:lang w:val="en-GB"/>
        </w:rPr>
        <w:t xml:space="preserve">IV  based on this endpoint. The PK co-primary endpoint was </w:t>
      </w:r>
      <w:proofErr w:type="spellStart"/>
      <w:r w:rsidRPr="00A616C3">
        <w:rPr>
          <w:lang w:val="en-GB"/>
        </w:rPr>
        <w:t>C</w:t>
      </w:r>
      <w:r w:rsidRPr="00A616C3">
        <w:rPr>
          <w:vertAlign w:val="subscript"/>
          <w:lang w:val="en-GB"/>
        </w:rPr>
        <w:t>trough</w:t>
      </w:r>
      <w:proofErr w:type="spellEnd"/>
      <w:r w:rsidRPr="00A616C3">
        <w:rPr>
          <w:lang w:val="en-GB"/>
        </w:rPr>
        <w:t xml:space="preserve">, </w:t>
      </w:r>
      <w:r>
        <w:rPr>
          <w:lang w:val="en-GB"/>
        </w:rPr>
        <w:t xml:space="preserve">at pre-dose cycle 8 </w:t>
      </w:r>
      <w:r w:rsidRPr="00A616C3">
        <w:rPr>
          <w:lang w:val="en-GB"/>
        </w:rPr>
        <w:t xml:space="preserve">selected to ensure </w:t>
      </w:r>
      <w:r>
        <w:rPr>
          <w:lang w:val="en-GB"/>
        </w:rPr>
        <w:t>that</w:t>
      </w:r>
      <w:r w:rsidRPr="00A616C3">
        <w:rPr>
          <w:lang w:val="en-GB"/>
        </w:rPr>
        <w:t xml:space="preserve"> the minimum serum concentration </w:t>
      </w:r>
      <w:r>
        <w:rPr>
          <w:lang w:val="en-GB"/>
        </w:rPr>
        <w:t xml:space="preserve">after </w:t>
      </w:r>
      <w:r w:rsidRPr="00A616C3">
        <w:rPr>
          <w:lang w:val="en-GB"/>
        </w:rPr>
        <w:t xml:space="preserve">the </w:t>
      </w:r>
      <w:r>
        <w:rPr>
          <w:lang w:val="en-GB"/>
        </w:rPr>
        <w:t xml:space="preserve">HERCEPTIN </w:t>
      </w:r>
      <w:r w:rsidRPr="00A616C3">
        <w:rPr>
          <w:lang w:val="en-GB"/>
        </w:rPr>
        <w:t xml:space="preserve">SC </w:t>
      </w:r>
      <w:r>
        <w:rPr>
          <w:lang w:val="en-GB"/>
        </w:rPr>
        <w:t>fixed dosing</w:t>
      </w:r>
      <w:r w:rsidRPr="00A616C3">
        <w:rPr>
          <w:lang w:val="en-GB"/>
        </w:rPr>
        <w:t xml:space="preserve"> should be at least as high as </w:t>
      </w:r>
      <w:r>
        <w:rPr>
          <w:lang w:val="en-GB"/>
        </w:rPr>
        <w:t>that after HERCEPTIN</w:t>
      </w:r>
      <w:r w:rsidRPr="00A616C3">
        <w:rPr>
          <w:lang w:val="en-GB"/>
        </w:rPr>
        <w:t xml:space="preserve"> IV </w:t>
      </w:r>
      <w:r>
        <w:rPr>
          <w:lang w:val="en-GB"/>
        </w:rPr>
        <w:t>weight-based dosing</w:t>
      </w:r>
      <w:r w:rsidRPr="00A616C3">
        <w:rPr>
          <w:lang w:val="en-GB"/>
        </w:rPr>
        <w:t xml:space="preserve"> (</w:t>
      </w:r>
      <w:r>
        <w:rPr>
          <w:lang w:val="en-GB"/>
        </w:rPr>
        <w:t xml:space="preserve">i.e. </w:t>
      </w:r>
      <w:r w:rsidRPr="00A616C3">
        <w:rPr>
          <w:lang w:val="en-GB"/>
        </w:rPr>
        <w:t xml:space="preserve">comparable receptor saturation).  For the results of the PK co-primary endpoint refer above to </w:t>
      </w:r>
      <w:r w:rsidRPr="00191DEB">
        <w:rPr>
          <w:b/>
          <w:i/>
          <w:lang w:val="en-GB"/>
        </w:rPr>
        <w:t>Pharmacokinetics, SC formulation</w:t>
      </w:r>
      <w:r w:rsidRPr="00A616C3">
        <w:rPr>
          <w:i/>
          <w:lang w:val="en-GB"/>
        </w:rPr>
        <w:t>).</w:t>
      </w:r>
      <w:r>
        <w:rPr>
          <w:lang w:val="en-GB"/>
        </w:rPr>
        <w:t xml:space="preserve"> </w:t>
      </w:r>
    </w:p>
    <w:p w:rsidR="00D77362" w:rsidRPr="00A616C3" w:rsidRDefault="00D77362" w:rsidP="001A4DDD">
      <w:pPr>
        <w:tabs>
          <w:tab w:val="left" w:pos="709"/>
        </w:tabs>
        <w:spacing w:after="0"/>
        <w:rPr>
          <w:lang w:val="en-GB"/>
        </w:rPr>
      </w:pPr>
    </w:p>
    <w:p w:rsidR="00D77362" w:rsidRDefault="007D3DC1" w:rsidP="007D3DC1">
      <w:pPr>
        <w:pStyle w:val="TextTi12"/>
        <w:tabs>
          <w:tab w:val="left" w:pos="709"/>
        </w:tabs>
        <w:spacing w:after="120" w:line="240" w:lineRule="auto"/>
        <w:jc w:val="left"/>
      </w:pPr>
      <w:r>
        <w:rPr>
          <w:rFonts w:cs="Arial"/>
        </w:rPr>
        <w:t xml:space="preserve">Long-term event free survival (EFS) and overall survival (OS) efficacy data from study </w:t>
      </w:r>
      <w:r w:rsidRPr="00CB3F8B">
        <w:t xml:space="preserve">BO22227 </w:t>
      </w:r>
      <w:r>
        <w:t>will be reported after 2 and 5 years of post-treatment follow-up</w:t>
      </w:r>
      <w:r w:rsidR="00D77362">
        <w:t>.</w:t>
      </w:r>
    </w:p>
    <w:p w:rsidR="007D3DC1" w:rsidRDefault="007D3DC1" w:rsidP="007D3DC1">
      <w:pPr>
        <w:pStyle w:val="TextTi12"/>
        <w:tabs>
          <w:tab w:val="left" w:pos="709"/>
        </w:tabs>
        <w:spacing w:after="120" w:line="240" w:lineRule="auto"/>
        <w:jc w:val="left"/>
        <w:rPr>
          <w:lang w:val="en-GB"/>
        </w:rPr>
      </w:pPr>
    </w:p>
    <w:p w:rsidR="007D3DC1" w:rsidRPr="007D3DC1" w:rsidRDefault="004B6771" w:rsidP="00FA338E">
      <w:pPr>
        <w:pStyle w:val="TextTi12"/>
        <w:spacing w:after="120" w:line="240" w:lineRule="auto"/>
        <w:jc w:val="left"/>
        <w:rPr>
          <w:i/>
          <w:sz w:val="22"/>
          <w:u w:val="single"/>
          <w:lang w:val="en-GB"/>
        </w:rPr>
      </w:pPr>
      <w:r w:rsidRPr="007D3DC1">
        <w:rPr>
          <w:i/>
          <w:sz w:val="22"/>
          <w:u w:val="single"/>
          <w:lang w:val="en-GB"/>
        </w:rPr>
        <w:t>Study MO16432 (NOAH):</w:t>
      </w:r>
    </w:p>
    <w:p w:rsidR="004B6771" w:rsidRPr="007D3DC1" w:rsidRDefault="00255A4A" w:rsidP="00FA338E">
      <w:pPr>
        <w:pStyle w:val="TextTi12"/>
        <w:spacing w:after="120" w:line="240" w:lineRule="auto"/>
        <w:jc w:val="left"/>
        <w:rPr>
          <w:rFonts w:cs="Arial"/>
        </w:rPr>
      </w:pPr>
      <w:r>
        <w:rPr>
          <w:rFonts w:cs="Arial"/>
        </w:rPr>
        <w:t>Study MO16432 (</w:t>
      </w:r>
      <w:r w:rsidR="007D3DC1" w:rsidRPr="00255A4A">
        <w:rPr>
          <w:rFonts w:cs="Arial"/>
        </w:rPr>
        <w:t>NOAH</w:t>
      </w:r>
      <w:r>
        <w:rPr>
          <w:rFonts w:cs="Arial"/>
        </w:rPr>
        <w:t>)</w:t>
      </w:r>
      <w:r w:rsidR="007D3DC1" w:rsidRPr="00255A4A">
        <w:rPr>
          <w:rFonts w:cs="Arial"/>
        </w:rPr>
        <w:t xml:space="preserve"> is </w:t>
      </w:r>
      <w:r w:rsidR="004B6771" w:rsidRPr="00255A4A">
        <w:rPr>
          <w:rFonts w:cs="Arial"/>
        </w:rPr>
        <w:t xml:space="preserve">a multicentre randomized trial, designed to investigate the concurrent administration of HERCEPTIN IV with </w:t>
      </w:r>
      <w:proofErr w:type="spellStart"/>
      <w:r w:rsidR="004B6771" w:rsidRPr="00255A4A">
        <w:rPr>
          <w:rFonts w:cs="Arial"/>
        </w:rPr>
        <w:t>neoadjuvant</w:t>
      </w:r>
      <w:proofErr w:type="spellEnd"/>
      <w:r w:rsidR="004B6771" w:rsidRPr="00255A4A">
        <w:rPr>
          <w:rFonts w:cs="Arial"/>
        </w:rPr>
        <w:t xml:space="preserve"> chemotherapy, including both an </w:t>
      </w:r>
      <w:proofErr w:type="spellStart"/>
      <w:r w:rsidR="004B6771" w:rsidRPr="00255A4A">
        <w:rPr>
          <w:rFonts w:cs="Arial"/>
        </w:rPr>
        <w:t>anthracycline</w:t>
      </w:r>
      <w:proofErr w:type="spellEnd"/>
      <w:r w:rsidR="004B6771" w:rsidRPr="00255A4A">
        <w:rPr>
          <w:rFonts w:cs="Arial"/>
        </w:rPr>
        <w:t xml:space="preserve"> and a </w:t>
      </w:r>
      <w:proofErr w:type="spellStart"/>
      <w:r w:rsidR="004B6771" w:rsidRPr="00255A4A">
        <w:rPr>
          <w:rFonts w:cs="Arial"/>
        </w:rPr>
        <w:t>taxane</w:t>
      </w:r>
      <w:proofErr w:type="spellEnd"/>
      <w:r w:rsidR="004B6771" w:rsidRPr="00255A4A">
        <w:rPr>
          <w:rFonts w:cs="Arial"/>
        </w:rPr>
        <w:t xml:space="preserve">, followed by adjuvant HERCEPTIN IV, up to </w:t>
      </w:r>
      <w:proofErr w:type="gramStart"/>
      <w:r w:rsidR="004B6771" w:rsidRPr="00255A4A">
        <w:rPr>
          <w:rFonts w:cs="Arial"/>
        </w:rPr>
        <w:t>a total</w:t>
      </w:r>
      <w:proofErr w:type="gramEnd"/>
      <w:r w:rsidR="004B6771" w:rsidRPr="00255A4A">
        <w:rPr>
          <w:rFonts w:cs="Arial"/>
        </w:rPr>
        <w:t xml:space="preserve"> treatment duration of 1 year. The trial recruited patients with newly diagnosed locally advanced (Stage III) or inflammatory breast cancer. Patients with HER2+ tumours were randomized to receive either </w:t>
      </w:r>
      <w:proofErr w:type="spellStart"/>
      <w:r w:rsidR="004B6771" w:rsidRPr="00255A4A">
        <w:rPr>
          <w:rFonts w:cs="Arial"/>
        </w:rPr>
        <w:t>neoadjuvant</w:t>
      </w:r>
      <w:proofErr w:type="spellEnd"/>
      <w:r w:rsidR="004B6771" w:rsidRPr="00255A4A">
        <w:rPr>
          <w:rFonts w:cs="Arial"/>
        </w:rPr>
        <w:t xml:space="preserve"> chemotherapy concurrently with </w:t>
      </w:r>
      <w:proofErr w:type="spellStart"/>
      <w:r w:rsidR="004B6771" w:rsidRPr="00255A4A">
        <w:rPr>
          <w:rFonts w:cs="Arial"/>
        </w:rPr>
        <w:t>neoadjuvant</w:t>
      </w:r>
      <w:proofErr w:type="spellEnd"/>
      <w:r w:rsidR="004B6771" w:rsidRPr="00255A4A">
        <w:rPr>
          <w:rFonts w:cs="Arial"/>
        </w:rPr>
        <w:t>-adjuvant HERCEPTIN IV (</w:t>
      </w:r>
      <w:r w:rsidR="004B6771" w:rsidRPr="007D3DC1">
        <w:rPr>
          <w:rFonts w:cs="Arial"/>
        </w:rPr>
        <w:t xml:space="preserve">n = 116), or </w:t>
      </w:r>
      <w:proofErr w:type="spellStart"/>
      <w:r w:rsidR="004B6771" w:rsidRPr="007D3DC1">
        <w:rPr>
          <w:rFonts w:cs="Arial"/>
        </w:rPr>
        <w:t>neoadjuvant</w:t>
      </w:r>
      <w:proofErr w:type="spellEnd"/>
      <w:r w:rsidR="004B6771" w:rsidRPr="007D3DC1">
        <w:rPr>
          <w:rFonts w:cs="Arial"/>
        </w:rPr>
        <w:t xml:space="preserve"> chemotherapy alone (n = 118). HERCEPTIN IV was administered concurrently with 10 cycles of </w:t>
      </w:r>
      <w:proofErr w:type="spellStart"/>
      <w:r w:rsidR="004B6771" w:rsidRPr="007D3DC1">
        <w:rPr>
          <w:rFonts w:cs="Arial"/>
        </w:rPr>
        <w:t>neoadjuvant</w:t>
      </w:r>
      <w:proofErr w:type="spellEnd"/>
      <w:r w:rsidR="004B6771" w:rsidRPr="007D3DC1">
        <w:rPr>
          <w:rFonts w:cs="Arial"/>
        </w:rPr>
        <w:t xml:space="preserve"> chemotherapy as follows;</w:t>
      </w:r>
    </w:p>
    <w:p w:rsidR="004B6771" w:rsidRPr="00255A4A" w:rsidRDefault="004B6771" w:rsidP="00255A4A">
      <w:pPr>
        <w:pStyle w:val="TextTi12"/>
        <w:numPr>
          <w:ilvl w:val="0"/>
          <w:numId w:val="17"/>
        </w:numPr>
        <w:spacing w:after="0" w:line="240" w:lineRule="auto"/>
        <w:rPr>
          <w:szCs w:val="24"/>
          <w:lang w:val="en-GB"/>
        </w:rPr>
      </w:pPr>
      <w:r w:rsidRPr="00255A4A">
        <w:rPr>
          <w:szCs w:val="24"/>
          <w:lang w:val="en-GB"/>
        </w:rPr>
        <w:t>Doxorubicin (60 mg/m</w:t>
      </w:r>
      <w:r w:rsidRPr="00255A4A">
        <w:rPr>
          <w:szCs w:val="24"/>
          <w:vertAlign w:val="superscript"/>
          <w:lang w:val="en-GB"/>
        </w:rPr>
        <w:t>2</w:t>
      </w:r>
      <w:r w:rsidRPr="00255A4A">
        <w:rPr>
          <w:szCs w:val="24"/>
          <w:lang w:val="en-GB"/>
        </w:rPr>
        <w:t>) and paclitaxel (150 mg/m</w:t>
      </w:r>
      <w:r w:rsidRPr="00255A4A">
        <w:rPr>
          <w:szCs w:val="24"/>
          <w:vertAlign w:val="superscript"/>
          <w:lang w:val="en-GB"/>
        </w:rPr>
        <w:t>2</w:t>
      </w:r>
      <w:r w:rsidRPr="00255A4A">
        <w:rPr>
          <w:szCs w:val="24"/>
          <w:lang w:val="en-GB"/>
        </w:rPr>
        <w:t xml:space="preserve">) </w:t>
      </w:r>
      <w:r w:rsidRPr="00255A4A">
        <w:rPr>
          <w:szCs w:val="24"/>
          <w:vertAlign w:val="superscript"/>
          <w:lang w:val="en-GB"/>
        </w:rPr>
        <w:t xml:space="preserve"> </w:t>
      </w:r>
      <w:r w:rsidRPr="00255A4A">
        <w:rPr>
          <w:szCs w:val="24"/>
          <w:lang w:val="en-GB"/>
        </w:rPr>
        <w:t>in combination with HERCEPTIN IV (8 mg/kg loading dose, followed by 6 mg/kg maintenance, administered 3-weekly) for 3 cycles, followed by</w:t>
      </w:r>
    </w:p>
    <w:p w:rsidR="004B6771" w:rsidRPr="00255A4A" w:rsidRDefault="004B6771" w:rsidP="00255A4A">
      <w:pPr>
        <w:pStyle w:val="TextTi12"/>
        <w:numPr>
          <w:ilvl w:val="0"/>
          <w:numId w:val="17"/>
        </w:numPr>
        <w:spacing w:after="0" w:line="240" w:lineRule="auto"/>
        <w:rPr>
          <w:szCs w:val="24"/>
          <w:lang w:val="en-GB"/>
        </w:rPr>
      </w:pPr>
      <w:r w:rsidRPr="00255A4A">
        <w:rPr>
          <w:szCs w:val="24"/>
          <w:lang w:val="en-GB"/>
        </w:rPr>
        <w:t>Paclitaxel (175 mg/m</w:t>
      </w:r>
      <w:r w:rsidRPr="00255A4A">
        <w:rPr>
          <w:szCs w:val="24"/>
          <w:vertAlign w:val="superscript"/>
          <w:lang w:val="en-GB"/>
        </w:rPr>
        <w:t>2</w:t>
      </w:r>
      <w:r w:rsidRPr="00255A4A">
        <w:rPr>
          <w:szCs w:val="24"/>
          <w:lang w:val="en-GB"/>
        </w:rPr>
        <w:t>) and HERCEPTIN IV (6mg/kg, administered 3-weekly) for 4 cycles, followed by</w:t>
      </w:r>
    </w:p>
    <w:p w:rsidR="004B6771" w:rsidRPr="00255A4A" w:rsidRDefault="004B6771" w:rsidP="00255A4A">
      <w:pPr>
        <w:pStyle w:val="TextTi12"/>
        <w:numPr>
          <w:ilvl w:val="0"/>
          <w:numId w:val="17"/>
        </w:numPr>
        <w:spacing w:after="0" w:line="240" w:lineRule="auto"/>
        <w:rPr>
          <w:szCs w:val="24"/>
          <w:lang w:val="en-GB"/>
        </w:rPr>
      </w:pPr>
      <w:r w:rsidRPr="00255A4A">
        <w:rPr>
          <w:szCs w:val="24"/>
          <w:lang w:val="en-GB"/>
        </w:rPr>
        <w:t>CMF on day 1 and 8 every 4 weeks for 3 cycles, in combination with 4 cycles of HERCEPTIN IV (6mg/kg administered 3-weekly), followed by</w:t>
      </w:r>
    </w:p>
    <w:p w:rsidR="004B6771" w:rsidRPr="00255A4A" w:rsidRDefault="004B6771" w:rsidP="00255A4A">
      <w:pPr>
        <w:pStyle w:val="TextTi12"/>
        <w:numPr>
          <w:ilvl w:val="0"/>
          <w:numId w:val="17"/>
        </w:numPr>
        <w:spacing w:after="0" w:line="240" w:lineRule="auto"/>
        <w:rPr>
          <w:szCs w:val="24"/>
          <w:lang w:val="en-GB"/>
        </w:rPr>
      </w:pPr>
      <w:r w:rsidRPr="00255A4A">
        <w:rPr>
          <w:szCs w:val="24"/>
          <w:lang w:val="en-GB"/>
        </w:rPr>
        <w:t>up to 7 additional cycles of HERCEPTIN IV (6mg/kg, administered 3-weekly) alone to complete 1 year after starting HERCEPTIN</w:t>
      </w:r>
    </w:p>
    <w:p w:rsidR="004B6771" w:rsidRPr="00A616C3" w:rsidRDefault="004B6771" w:rsidP="004B6771">
      <w:pPr>
        <w:pStyle w:val="TextTi12"/>
        <w:spacing w:after="0" w:line="240" w:lineRule="auto"/>
        <w:ind w:left="1440"/>
        <w:rPr>
          <w:sz w:val="22"/>
          <w:lang w:val="en-GB"/>
        </w:rPr>
      </w:pPr>
    </w:p>
    <w:p w:rsidR="004B6771" w:rsidRPr="00A616C3" w:rsidRDefault="004B6771" w:rsidP="007D3DC1">
      <w:pPr>
        <w:pStyle w:val="TextTi12"/>
        <w:spacing w:after="0" w:line="240" w:lineRule="auto"/>
        <w:jc w:val="left"/>
        <w:rPr>
          <w:sz w:val="22"/>
          <w:lang w:val="en-GB"/>
        </w:rPr>
      </w:pPr>
      <w:r w:rsidRPr="007D3DC1">
        <w:rPr>
          <w:rFonts w:cs="Arial"/>
        </w:rPr>
        <w:t>The primary endpoint for the trial, event-free survival (EFS), was defined as the time from randomization to disease recurrence or progression (local, regional, distant or contralateral), or death of any cause. The efficacy results from NOAH (full analysis population, defined as all patients who were randomized in the trial following the intent-to-treat</w:t>
      </w:r>
      <w:r w:rsidRPr="00A616C3">
        <w:rPr>
          <w:sz w:val="22"/>
        </w:rPr>
        <w:t xml:space="preserve"> principle, with the </w:t>
      </w:r>
      <w:r w:rsidRPr="00A616C3">
        <w:rPr>
          <w:sz w:val="22"/>
        </w:rPr>
        <w:lastRenderedPageBreak/>
        <w:t>exception of 3 patients whose data could not be evaluated</w:t>
      </w:r>
      <w:r w:rsidRPr="00A616C3">
        <w:rPr>
          <w:sz w:val="22"/>
          <w:lang w:val="en-GB"/>
        </w:rPr>
        <w:t xml:space="preserve">) are summarized in the table below. The median duration of follow-up in the HERCEPTIN </w:t>
      </w:r>
      <w:r>
        <w:rPr>
          <w:sz w:val="22"/>
          <w:lang w:val="en-GB"/>
        </w:rPr>
        <w:t>IV</w:t>
      </w:r>
      <w:r w:rsidRPr="00A616C3">
        <w:rPr>
          <w:sz w:val="22"/>
          <w:lang w:val="en-GB"/>
        </w:rPr>
        <w:t xml:space="preserve"> arm was 3.8 years.</w:t>
      </w:r>
    </w:p>
    <w:p w:rsidR="004B6771" w:rsidRPr="00A616C3" w:rsidRDefault="004B6771" w:rsidP="004B6771">
      <w:pPr>
        <w:spacing w:after="0"/>
        <w:rPr>
          <w:lang w:val="en-GB"/>
        </w:rPr>
      </w:pPr>
    </w:p>
    <w:p w:rsidR="004B6771" w:rsidRPr="00A616C3" w:rsidRDefault="004B6771" w:rsidP="004B6771">
      <w:pPr>
        <w:pStyle w:val="Caption"/>
        <w:rPr>
          <w:lang w:val="en-GB"/>
        </w:rPr>
      </w:pPr>
      <w:r w:rsidRPr="00A616C3">
        <w:rPr>
          <w:lang w:val="en-GB"/>
        </w:rPr>
        <w:t xml:space="preserve">Table </w:t>
      </w:r>
      <w:r>
        <w:rPr>
          <w:lang w:val="en-GB"/>
        </w:rPr>
        <w:t>6</w:t>
      </w:r>
      <w:r w:rsidRPr="00A616C3">
        <w:rPr>
          <w:lang w:val="en-GB"/>
        </w:rPr>
        <w:t>: Overview of Efficacy Analyses MO16432 (NOAH)</w:t>
      </w:r>
    </w:p>
    <w:tbl>
      <w:tblPr>
        <w:tblW w:w="5383"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470"/>
        <w:gridCol w:w="1843"/>
        <w:gridCol w:w="1275"/>
        <w:gridCol w:w="1662"/>
        <w:gridCol w:w="1662"/>
      </w:tblGrid>
      <w:tr w:rsidR="004B6771" w:rsidRPr="00A616C3" w:rsidTr="00771C3A">
        <w:tc>
          <w:tcPr>
            <w:tcW w:w="3470" w:type="dxa"/>
            <w:tcBorders>
              <w:top w:val="single" w:sz="4" w:space="0" w:color="auto"/>
              <w:left w:val="single" w:sz="4" w:space="0" w:color="auto"/>
              <w:bottom w:val="single" w:sz="6" w:space="0" w:color="000000"/>
            </w:tcBorders>
            <w:shd w:val="clear" w:color="auto" w:fill="auto"/>
          </w:tcPr>
          <w:p w:rsidR="004B6771" w:rsidRPr="00A616C3" w:rsidRDefault="004B6771" w:rsidP="00771C3A">
            <w:pPr>
              <w:pStyle w:val="TextTi12"/>
              <w:spacing w:after="0" w:line="240" w:lineRule="auto"/>
              <w:rPr>
                <w:b/>
                <w:sz w:val="20"/>
                <w:lang w:val="en-GB"/>
              </w:rPr>
            </w:pPr>
            <w:r w:rsidRPr="00A616C3">
              <w:rPr>
                <w:b/>
                <w:sz w:val="20"/>
                <w:lang w:val="en-GB"/>
              </w:rPr>
              <w:t>Parameter</w:t>
            </w:r>
          </w:p>
        </w:tc>
        <w:tc>
          <w:tcPr>
            <w:tcW w:w="1843" w:type="dxa"/>
            <w:tcBorders>
              <w:top w:val="single" w:sz="4" w:space="0" w:color="auto"/>
              <w:bottom w:val="single" w:sz="6" w:space="0" w:color="000000"/>
            </w:tcBorders>
            <w:shd w:val="clear" w:color="auto" w:fill="auto"/>
          </w:tcPr>
          <w:p w:rsidR="004B6771" w:rsidRPr="00A616C3" w:rsidRDefault="004B6771" w:rsidP="00771C3A">
            <w:pPr>
              <w:pStyle w:val="TextTi12"/>
              <w:spacing w:after="0" w:line="240" w:lineRule="auto"/>
              <w:jc w:val="center"/>
              <w:rPr>
                <w:b/>
                <w:sz w:val="20"/>
                <w:lang w:val="en-GB"/>
              </w:rPr>
            </w:pPr>
            <w:r w:rsidRPr="00A616C3">
              <w:rPr>
                <w:b/>
                <w:sz w:val="20"/>
                <w:lang w:val="en-GB"/>
              </w:rPr>
              <w:t>Chemo + Herceptin</w:t>
            </w:r>
            <w:r>
              <w:rPr>
                <w:b/>
                <w:sz w:val="20"/>
                <w:lang w:val="en-GB"/>
              </w:rPr>
              <w:t xml:space="preserve"> IV</w:t>
            </w:r>
          </w:p>
          <w:p w:rsidR="004B6771" w:rsidRPr="00A616C3" w:rsidRDefault="004B6771" w:rsidP="00771C3A">
            <w:pPr>
              <w:pStyle w:val="TextTi12"/>
              <w:spacing w:after="0" w:line="240" w:lineRule="auto"/>
              <w:jc w:val="center"/>
              <w:rPr>
                <w:b/>
                <w:sz w:val="20"/>
                <w:lang w:val="en-GB"/>
              </w:rPr>
            </w:pPr>
            <w:r w:rsidRPr="00A616C3">
              <w:rPr>
                <w:b/>
                <w:i/>
                <w:sz w:val="20"/>
                <w:lang w:val="en-GB"/>
              </w:rPr>
              <w:t>n</w:t>
            </w:r>
            <w:r w:rsidRPr="00A616C3">
              <w:rPr>
                <w:b/>
                <w:sz w:val="20"/>
                <w:lang w:val="en-GB"/>
              </w:rPr>
              <w:t xml:space="preserve"> = 115</w:t>
            </w:r>
          </w:p>
        </w:tc>
        <w:tc>
          <w:tcPr>
            <w:tcW w:w="1275" w:type="dxa"/>
            <w:tcBorders>
              <w:top w:val="single" w:sz="4" w:space="0" w:color="auto"/>
              <w:bottom w:val="single" w:sz="6" w:space="0" w:color="000000"/>
            </w:tcBorders>
            <w:shd w:val="clear" w:color="auto" w:fill="auto"/>
          </w:tcPr>
          <w:p w:rsidR="004B6771" w:rsidRPr="00A616C3" w:rsidRDefault="004B6771" w:rsidP="00771C3A">
            <w:pPr>
              <w:pStyle w:val="TextTi12"/>
              <w:spacing w:after="0" w:line="240" w:lineRule="auto"/>
              <w:jc w:val="center"/>
              <w:rPr>
                <w:b/>
                <w:sz w:val="20"/>
                <w:lang w:val="en-GB"/>
              </w:rPr>
            </w:pPr>
            <w:r w:rsidRPr="00A616C3">
              <w:rPr>
                <w:b/>
                <w:sz w:val="20"/>
                <w:lang w:val="en-GB"/>
              </w:rPr>
              <w:t>Chemo only</w:t>
            </w:r>
          </w:p>
          <w:p w:rsidR="004B6771" w:rsidRPr="00A616C3" w:rsidRDefault="004B6771" w:rsidP="00771C3A">
            <w:pPr>
              <w:pStyle w:val="TextTi12"/>
              <w:spacing w:after="0" w:line="240" w:lineRule="auto"/>
              <w:jc w:val="center"/>
              <w:rPr>
                <w:b/>
                <w:sz w:val="20"/>
                <w:lang w:val="en-GB"/>
              </w:rPr>
            </w:pPr>
            <w:r w:rsidRPr="00A616C3">
              <w:rPr>
                <w:b/>
                <w:i/>
                <w:sz w:val="20"/>
                <w:lang w:val="en-GB"/>
              </w:rPr>
              <w:t xml:space="preserve">n </w:t>
            </w:r>
            <w:r w:rsidRPr="00A616C3">
              <w:rPr>
                <w:b/>
                <w:sz w:val="20"/>
                <w:lang w:val="en-GB"/>
              </w:rPr>
              <w:t>= 116</w:t>
            </w:r>
          </w:p>
        </w:tc>
        <w:tc>
          <w:tcPr>
            <w:tcW w:w="1662" w:type="dxa"/>
            <w:tcBorders>
              <w:top w:val="single" w:sz="4" w:space="0" w:color="auto"/>
              <w:bottom w:val="single" w:sz="6" w:space="0" w:color="000000"/>
            </w:tcBorders>
          </w:tcPr>
          <w:p w:rsidR="004B6771" w:rsidRPr="00A616C3" w:rsidRDefault="004B6771" w:rsidP="00771C3A">
            <w:pPr>
              <w:pStyle w:val="TextTi12"/>
              <w:spacing w:after="0" w:line="240" w:lineRule="auto"/>
              <w:jc w:val="center"/>
              <w:rPr>
                <w:b/>
                <w:sz w:val="20"/>
                <w:lang w:val="en-GB"/>
              </w:rPr>
            </w:pPr>
            <w:r w:rsidRPr="00A616C3">
              <w:rPr>
                <w:b/>
                <w:sz w:val="20"/>
                <w:lang w:val="en-GB"/>
              </w:rPr>
              <w:t>p-value</w:t>
            </w:r>
          </w:p>
        </w:tc>
        <w:tc>
          <w:tcPr>
            <w:tcW w:w="1662" w:type="dxa"/>
            <w:tcBorders>
              <w:top w:val="single" w:sz="4" w:space="0" w:color="auto"/>
              <w:bottom w:val="single" w:sz="6" w:space="0" w:color="000000"/>
              <w:right w:val="single" w:sz="4" w:space="0" w:color="auto"/>
            </w:tcBorders>
            <w:shd w:val="clear" w:color="auto" w:fill="auto"/>
          </w:tcPr>
          <w:p w:rsidR="004B6771" w:rsidRPr="00A616C3" w:rsidRDefault="004B6771" w:rsidP="00771C3A">
            <w:pPr>
              <w:spacing w:after="0"/>
              <w:jc w:val="center"/>
              <w:rPr>
                <w:b/>
                <w:sz w:val="20"/>
                <w:lang w:val="en-GB"/>
              </w:rPr>
            </w:pPr>
            <w:r w:rsidRPr="00A616C3">
              <w:rPr>
                <w:b/>
                <w:sz w:val="20"/>
                <w:lang w:val="en-GB"/>
              </w:rPr>
              <w:t xml:space="preserve">HR </w:t>
            </w:r>
          </w:p>
          <w:p w:rsidR="004B6771" w:rsidRPr="00A616C3" w:rsidRDefault="004B6771" w:rsidP="00771C3A">
            <w:pPr>
              <w:pStyle w:val="TextTi12"/>
              <w:spacing w:after="0" w:line="240" w:lineRule="auto"/>
              <w:jc w:val="center"/>
              <w:rPr>
                <w:sz w:val="20"/>
                <w:lang w:val="en-GB"/>
              </w:rPr>
            </w:pPr>
            <w:r w:rsidRPr="00A616C3">
              <w:rPr>
                <w:rFonts w:eastAsia="SimSun"/>
                <w:b/>
                <w:sz w:val="20"/>
                <w:lang w:val="fr-FR" w:eastAsia="zh-CN"/>
              </w:rPr>
              <w:t>(95% CI)</w:t>
            </w:r>
          </w:p>
        </w:tc>
      </w:tr>
      <w:tr w:rsidR="004B6771" w:rsidRPr="00A616C3" w:rsidTr="00771C3A">
        <w:tc>
          <w:tcPr>
            <w:tcW w:w="3470" w:type="dxa"/>
            <w:tcBorders>
              <w:left w:val="single" w:sz="4" w:space="0" w:color="auto"/>
              <w:bottom w:val="nil"/>
            </w:tcBorders>
            <w:shd w:val="clear" w:color="auto" w:fill="auto"/>
          </w:tcPr>
          <w:p w:rsidR="004B6771" w:rsidRPr="00A616C3" w:rsidRDefault="004B6771" w:rsidP="00771C3A">
            <w:pPr>
              <w:pStyle w:val="TextTi12"/>
              <w:spacing w:after="0" w:line="240" w:lineRule="auto"/>
              <w:jc w:val="left"/>
              <w:rPr>
                <w:b/>
                <w:sz w:val="20"/>
                <w:u w:val="single"/>
                <w:lang w:val="en-GB"/>
              </w:rPr>
            </w:pPr>
            <w:r w:rsidRPr="00A616C3">
              <w:rPr>
                <w:b/>
                <w:sz w:val="20"/>
                <w:u w:val="single"/>
                <w:lang w:val="en-GB"/>
              </w:rPr>
              <w:t>Event-free survival (EFS)</w:t>
            </w:r>
          </w:p>
        </w:tc>
        <w:tc>
          <w:tcPr>
            <w:tcW w:w="1843" w:type="dxa"/>
            <w:tcBorders>
              <w:bottom w:val="nil"/>
            </w:tcBorders>
            <w:shd w:val="clear" w:color="auto" w:fill="auto"/>
          </w:tcPr>
          <w:p w:rsidR="004B6771" w:rsidRPr="00A616C3" w:rsidRDefault="004B6771" w:rsidP="00771C3A">
            <w:pPr>
              <w:pStyle w:val="TextTi12"/>
              <w:spacing w:after="0" w:line="240" w:lineRule="auto"/>
              <w:jc w:val="left"/>
              <w:rPr>
                <w:sz w:val="20"/>
                <w:lang w:val="en-GB"/>
              </w:rPr>
            </w:pPr>
          </w:p>
        </w:tc>
        <w:tc>
          <w:tcPr>
            <w:tcW w:w="1275" w:type="dxa"/>
            <w:tcBorders>
              <w:bottom w:val="nil"/>
            </w:tcBorders>
            <w:shd w:val="clear" w:color="auto" w:fill="auto"/>
          </w:tcPr>
          <w:p w:rsidR="004B6771" w:rsidRPr="00A616C3" w:rsidRDefault="004B6771" w:rsidP="00771C3A">
            <w:pPr>
              <w:pStyle w:val="TextTi12"/>
              <w:spacing w:after="0" w:line="240" w:lineRule="auto"/>
              <w:jc w:val="left"/>
              <w:rPr>
                <w:sz w:val="20"/>
                <w:lang w:val="en-GB"/>
              </w:rPr>
            </w:pPr>
          </w:p>
        </w:tc>
        <w:tc>
          <w:tcPr>
            <w:tcW w:w="1662" w:type="dxa"/>
            <w:tcBorders>
              <w:bottom w:val="nil"/>
            </w:tcBorders>
          </w:tcPr>
          <w:p w:rsidR="004B6771" w:rsidRPr="00A616C3" w:rsidRDefault="004B6771" w:rsidP="00771C3A">
            <w:pPr>
              <w:pStyle w:val="TextTi12"/>
              <w:spacing w:after="0" w:line="240" w:lineRule="auto"/>
              <w:jc w:val="left"/>
              <w:rPr>
                <w:sz w:val="20"/>
                <w:lang w:val="en-GB"/>
              </w:rPr>
            </w:pPr>
          </w:p>
        </w:tc>
        <w:tc>
          <w:tcPr>
            <w:tcW w:w="1662" w:type="dxa"/>
            <w:tcBorders>
              <w:bottom w:val="nil"/>
              <w:right w:val="single" w:sz="4" w:space="0" w:color="auto"/>
            </w:tcBorders>
            <w:shd w:val="clear" w:color="auto" w:fill="auto"/>
          </w:tcPr>
          <w:p w:rsidR="004B6771" w:rsidRPr="00A616C3" w:rsidRDefault="004B6771" w:rsidP="00771C3A">
            <w:pPr>
              <w:pStyle w:val="TextTi12"/>
              <w:spacing w:after="0" w:line="240" w:lineRule="auto"/>
              <w:jc w:val="left"/>
              <w:rPr>
                <w:sz w:val="20"/>
                <w:lang w:val="en-GB"/>
              </w:rPr>
            </w:pPr>
          </w:p>
        </w:tc>
      </w:tr>
      <w:tr w:rsidR="004B6771" w:rsidRPr="00A616C3" w:rsidTr="00771C3A">
        <w:tc>
          <w:tcPr>
            <w:tcW w:w="3470" w:type="dxa"/>
            <w:tcBorders>
              <w:top w:val="nil"/>
              <w:left w:val="single" w:sz="4" w:space="0" w:color="auto"/>
              <w:bottom w:val="single" w:sz="6" w:space="0" w:color="000000"/>
            </w:tcBorders>
            <w:shd w:val="clear" w:color="auto" w:fill="auto"/>
          </w:tcPr>
          <w:p w:rsidR="004B6771" w:rsidRPr="00A616C3" w:rsidRDefault="004B6771" w:rsidP="00771C3A">
            <w:pPr>
              <w:pStyle w:val="TextTi12"/>
              <w:spacing w:after="0" w:line="240" w:lineRule="auto"/>
              <w:jc w:val="left"/>
              <w:rPr>
                <w:sz w:val="20"/>
                <w:lang w:val="en-GB"/>
              </w:rPr>
            </w:pPr>
            <w:r w:rsidRPr="00A616C3">
              <w:rPr>
                <w:sz w:val="20"/>
                <w:lang w:val="en-GB"/>
              </w:rPr>
              <w:t>No. patients with event</w:t>
            </w:r>
          </w:p>
        </w:tc>
        <w:tc>
          <w:tcPr>
            <w:tcW w:w="1843" w:type="dxa"/>
            <w:tcBorders>
              <w:top w:val="nil"/>
              <w:bottom w:val="single" w:sz="6" w:space="0" w:color="000000"/>
            </w:tcBorders>
            <w:shd w:val="clear" w:color="auto" w:fill="auto"/>
          </w:tcPr>
          <w:p w:rsidR="004B6771" w:rsidRPr="00A616C3" w:rsidRDefault="004B6771" w:rsidP="00771C3A">
            <w:pPr>
              <w:pStyle w:val="TextTi12"/>
              <w:spacing w:after="0" w:line="240" w:lineRule="auto"/>
              <w:jc w:val="center"/>
              <w:rPr>
                <w:sz w:val="20"/>
                <w:lang w:val="en-GB"/>
              </w:rPr>
            </w:pPr>
            <w:r w:rsidRPr="00A616C3">
              <w:rPr>
                <w:sz w:val="20"/>
                <w:lang w:val="en-GB"/>
              </w:rPr>
              <w:t>46</w:t>
            </w:r>
          </w:p>
        </w:tc>
        <w:tc>
          <w:tcPr>
            <w:tcW w:w="1275" w:type="dxa"/>
            <w:tcBorders>
              <w:top w:val="nil"/>
              <w:bottom w:val="single" w:sz="6" w:space="0" w:color="000000"/>
            </w:tcBorders>
            <w:shd w:val="clear" w:color="auto" w:fill="auto"/>
          </w:tcPr>
          <w:p w:rsidR="004B6771" w:rsidRPr="00A616C3" w:rsidRDefault="004B6771" w:rsidP="00771C3A">
            <w:pPr>
              <w:pStyle w:val="TextTi12"/>
              <w:spacing w:after="0" w:line="240" w:lineRule="auto"/>
              <w:jc w:val="center"/>
              <w:rPr>
                <w:sz w:val="20"/>
                <w:lang w:val="en-GB"/>
              </w:rPr>
            </w:pPr>
            <w:r w:rsidRPr="00A616C3">
              <w:rPr>
                <w:sz w:val="20"/>
                <w:lang w:val="en-GB"/>
              </w:rPr>
              <w:t>59</w:t>
            </w:r>
          </w:p>
        </w:tc>
        <w:tc>
          <w:tcPr>
            <w:tcW w:w="1662" w:type="dxa"/>
            <w:tcBorders>
              <w:top w:val="nil"/>
              <w:bottom w:val="single" w:sz="6" w:space="0" w:color="000000"/>
            </w:tcBorders>
          </w:tcPr>
          <w:p w:rsidR="004B6771" w:rsidRPr="00A616C3" w:rsidRDefault="004B6771" w:rsidP="00771C3A">
            <w:pPr>
              <w:pStyle w:val="TextTi12"/>
              <w:spacing w:after="0" w:line="240" w:lineRule="auto"/>
              <w:jc w:val="center"/>
              <w:rPr>
                <w:sz w:val="20"/>
                <w:lang w:val="en-GB"/>
              </w:rPr>
            </w:pPr>
            <w:r w:rsidRPr="00A616C3">
              <w:rPr>
                <w:sz w:val="20"/>
                <w:lang w:val="en-GB"/>
              </w:rPr>
              <w:t>p = 0.0275</w:t>
            </w:r>
          </w:p>
        </w:tc>
        <w:tc>
          <w:tcPr>
            <w:tcW w:w="1662" w:type="dxa"/>
            <w:tcBorders>
              <w:top w:val="nil"/>
              <w:bottom w:val="single" w:sz="6" w:space="0" w:color="000000"/>
              <w:right w:val="single" w:sz="4" w:space="0" w:color="auto"/>
            </w:tcBorders>
            <w:shd w:val="clear" w:color="auto" w:fill="auto"/>
          </w:tcPr>
          <w:p w:rsidR="004B6771" w:rsidRPr="00A616C3" w:rsidRDefault="004B6771" w:rsidP="00771C3A">
            <w:pPr>
              <w:pStyle w:val="TextTi12"/>
              <w:spacing w:after="0" w:line="240" w:lineRule="auto"/>
              <w:jc w:val="center"/>
              <w:rPr>
                <w:sz w:val="20"/>
                <w:lang w:val="en-GB"/>
              </w:rPr>
            </w:pPr>
            <w:r w:rsidRPr="00A616C3">
              <w:rPr>
                <w:sz w:val="20"/>
                <w:lang w:val="en-GB"/>
              </w:rPr>
              <w:t xml:space="preserve">0.65 (0.44, 0.96) </w:t>
            </w:r>
          </w:p>
        </w:tc>
      </w:tr>
      <w:tr w:rsidR="004B6771" w:rsidRPr="00A616C3" w:rsidTr="00771C3A">
        <w:tc>
          <w:tcPr>
            <w:tcW w:w="3470" w:type="dxa"/>
            <w:tcBorders>
              <w:top w:val="single" w:sz="6" w:space="0" w:color="000000"/>
              <w:left w:val="single" w:sz="4" w:space="0" w:color="auto"/>
              <w:bottom w:val="single" w:sz="4" w:space="0" w:color="auto"/>
            </w:tcBorders>
            <w:shd w:val="clear" w:color="auto" w:fill="auto"/>
          </w:tcPr>
          <w:p w:rsidR="004B6771" w:rsidRPr="00A616C3" w:rsidRDefault="004B6771" w:rsidP="00771C3A">
            <w:pPr>
              <w:pStyle w:val="TextTi12"/>
              <w:spacing w:after="0" w:line="240" w:lineRule="auto"/>
              <w:jc w:val="left"/>
              <w:rPr>
                <w:sz w:val="20"/>
                <w:lang w:val="en-GB"/>
              </w:rPr>
            </w:pPr>
            <w:r w:rsidRPr="00A616C3">
              <w:rPr>
                <w:b/>
                <w:sz w:val="20"/>
                <w:u w:val="single"/>
                <w:lang w:val="en-GB"/>
              </w:rPr>
              <w:t>Total pathological complete response^</w:t>
            </w:r>
            <w:r w:rsidRPr="00A616C3">
              <w:rPr>
                <w:sz w:val="20"/>
                <w:lang w:val="en-GB"/>
              </w:rPr>
              <w:t xml:space="preserve"> (95% CI)</w:t>
            </w:r>
          </w:p>
        </w:tc>
        <w:tc>
          <w:tcPr>
            <w:tcW w:w="1843" w:type="dxa"/>
            <w:tcBorders>
              <w:top w:val="single" w:sz="6" w:space="0" w:color="000000"/>
              <w:bottom w:val="single" w:sz="4" w:space="0" w:color="auto"/>
            </w:tcBorders>
            <w:shd w:val="clear" w:color="auto" w:fill="auto"/>
          </w:tcPr>
          <w:p w:rsidR="004B6771" w:rsidRPr="00A616C3" w:rsidRDefault="004B6771" w:rsidP="00771C3A">
            <w:pPr>
              <w:pStyle w:val="TextTi12"/>
              <w:spacing w:after="0" w:line="240" w:lineRule="auto"/>
              <w:jc w:val="center"/>
              <w:rPr>
                <w:sz w:val="20"/>
                <w:lang w:val="en-GB"/>
              </w:rPr>
            </w:pPr>
            <w:r w:rsidRPr="00A616C3">
              <w:rPr>
                <w:sz w:val="20"/>
                <w:lang w:val="en-GB"/>
              </w:rPr>
              <w:t>40%</w:t>
            </w:r>
          </w:p>
          <w:p w:rsidR="004B6771" w:rsidRPr="00A616C3" w:rsidRDefault="004B6771" w:rsidP="00771C3A">
            <w:pPr>
              <w:pStyle w:val="TextTi12"/>
              <w:spacing w:after="0" w:line="240" w:lineRule="auto"/>
              <w:jc w:val="center"/>
              <w:rPr>
                <w:sz w:val="20"/>
                <w:lang w:val="en-GB"/>
              </w:rPr>
            </w:pPr>
            <w:r w:rsidRPr="00A616C3">
              <w:rPr>
                <w:sz w:val="20"/>
                <w:lang w:val="en-GB"/>
              </w:rPr>
              <w:t>(31.0, 49.6)</w:t>
            </w:r>
          </w:p>
        </w:tc>
        <w:tc>
          <w:tcPr>
            <w:tcW w:w="1275" w:type="dxa"/>
            <w:tcBorders>
              <w:top w:val="single" w:sz="6" w:space="0" w:color="000000"/>
              <w:bottom w:val="single" w:sz="4" w:space="0" w:color="auto"/>
            </w:tcBorders>
            <w:shd w:val="clear" w:color="auto" w:fill="auto"/>
          </w:tcPr>
          <w:p w:rsidR="004B6771" w:rsidRPr="00A616C3" w:rsidRDefault="004B6771" w:rsidP="00771C3A">
            <w:pPr>
              <w:pStyle w:val="TextTi12"/>
              <w:spacing w:after="0" w:line="240" w:lineRule="auto"/>
              <w:jc w:val="center"/>
              <w:rPr>
                <w:sz w:val="20"/>
                <w:lang w:val="en-GB"/>
              </w:rPr>
            </w:pPr>
            <w:r w:rsidRPr="00A616C3">
              <w:rPr>
                <w:sz w:val="20"/>
                <w:lang w:val="en-GB"/>
              </w:rPr>
              <w:t>20.7%</w:t>
            </w:r>
          </w:p>
          <w:p w:rsidR="004B6771" w:rsidRPr="00A616C3" w:rsidRDefault="004B6771" w:rsidP="00771C3A">
            <w:pPr>
              <w:pStyle w:val="TextTi12"/>
              <w:spacing w:after="0" w:line="240" w:lineRule="auto"/>
              <w:jc w:val="center"/>
              <w:rPr>
                <w:sz w:val="20"/>
                <w:lang w:val="en-GB"/>
              </w:rPr>
            </w:pPr>
            <w:r w:rsidRPr="00A616C3">
              <w:rPr>
                <w:sz w:val="20"/>
                <w:lang w:val="en-GB"/>
              </w:rPr>
              <w:t>(13.7, 29.2)</w:t>
            </w:r>
          </w:p>
        </w:tc>
        <w:tc>
          <w:tcPr>
            <w:tcW w:w="1662" w:type="dxa"/>
            <w:tcBorders>
              <w:top w:val="single" w:sz="6" w:space="0" w:color="000000"/>
              <w:bottom w:val="single" w:sz="4" w:space="0" w:color="auto"/>
            </w:tcBorders>
          </w:tcPr>
          <w:p w:rsidR="004B6771" w:rsidRPr="00A616C3" w:rsidRDefault="004B6771" w:rsidP="00771C3A">
            <w:pPr>
              <w:pStyle w:val="TextTi12"/>
              <w:spacing w:after="0" w:line="240" w:lineRule="auto"/>
              <w:jc w:val="center"/>
              <w:rPr>
                <w:sz w:val="20"/>
                <w:lang w:val="en-GB"/>
              </w:rPr>
            </w:pPr>
          </w:p>
          <w:p w:rsidR="004B6771" w:rsidRPr="00A616C3" w:rsidRDefault="004B6771" w:rsidP="00771C3A">
            <w:pPr>
              <w:pStyle w:val="TextTi12"/>
              <w:spacing w:after="0" w:line="240" w:lineRule="auto"/>
              <w:jc w:val="center"/>
              <w:rPr>
                <w:sz w:val="20"/>
                <w:lang w:val="en-GB"/>
              </w:rPr>
            </w:pPr>
            <w:r w:rsidRPr="00A616C3">
              <w:rPr>
                <w:sz w:val="20"/>
                <w:lang w:val="en-GB"/>
              </w:rPr>
              <w:t>p = 0.0014</w:t>
            </w:r>
          </w:p>
        </w:tc>
        <w:tc>
          <w:tcPr>
            <w:tcW w:w="1662" w:type="dxa"/>
            <w:tcBorders>
              <w:top w:val="single" w:sz="6" w:space="0" w:color="000000"/>
              <w:bottom w:val="single" w:sz="4" w:space="0" w:color="auto"/>
              <w:right w:val="single" w:sz="4" w:space="0" w:color="auto"/>
            </w:tcBorders>
            <w:shd w:val="clear" w:color="auto" w:fill="auto"/>
          </w:tcPr>
          <w:p w:rsidR="004B6771" w:rsidRPr="00A616C3" w:rsidRDefault="004B6771" w:rsidP="00771C3A">
            <w:pPr>
              <w:pStyle w:val="TextTi12"/>
              <w:spacing w:after="0" w:line="240" w:lineRule="auto"/>
              <w:jc w:val="center"/>
              <w:rPr>
                <w:sz w:val="20"/>
                <w:lang w:val="en-GB"/>
              </w:rPr>
            </w:pPr>
          </w:p>
        </w:tc>
      </w:tr>
    </w:tbl>
    <w:p w:rsidR="004B6771" w:rsidRPr="00A616C3" w:rsidRDefault="004B6771" w:rsidP="004B6771">
      <w:pPr>
        <w:pStyle w:val="TextTi12"/>
        <w:rPr>
          <w:sz w:val="20"/>
          <w:lang w:val="en-GB"/>
        </w:rPr>
      </w:pPr>
      <w:r w:rsidRPr="00A616C3">
        <w:rPr>
          <w:sz w:val="20"/>
          <w:lang w:val="en-GB"/>
        </w:rPr>
        <w:t>^ defined as absence of any invasive cancer both in the breast and axillary nodes; HR: hazard ratio</w:t>
      </w:r>
    </w:p>
    <w:p w:rsidR="004B6771" w:rsidRPr="00A616C3" w:rsidRDefault="004B6771" w:rsidP="004B6771">
      <w:pPr>
        <w:spacing w:after="0"/>
        <w:rPr>
          <w:lang w:val="en-GB"/>
        </w:rPr>
      </w:pPr>
    </w:p>
    <w:p w:rsidR="004B6771" w:rsidRPr="00A616C3" w:rsidRDefault="004B6771" w:rsidP="007D3DC1">
      <w:pPr>
        <w:spacing w:after="0"/>
        <w:rPr>
          <w:lang w:val="en-GB"/>
        </w:rPr>
      </w:pPr>
      <w:r w:rsidRPr="00A616C3">
        <w:rPr>
          <w:lang w:val="en-GB"/>
        </w:rPr>
        <w:t xml:space="preserve">The addition of HERCEPTIN </w:t>
      </w:r>
      <w:r>
        <w:rPr>
          <w:lang w:val="en-GB"/>
        </w:rPr>
        <w:t>IV</w:t>
      </w:r>
      <w:r w:rsidRPr="00A616C3">
        <w:rPr>
          <w:lang w:val="en-GB"/>
        </w:rPr>
        <w:t xml:space="preserve"> to </w:t>
      </w:r>
      <w:proofErr w:type="spellStart"/>
      <w:r w:rsidRPr="00A616C3">
        <w:rPr>
          <w:lang w:val="en-GB"/>
        </w:rPr>
        <w:t>neoadjuvant</w:t>
      </w:r>
      <w:proofErr w:type="spellEnd"/>
      <w:r w:rsidRPr="00A616C3">
        <w:rPr>
          <w:lang w:val="en-GB"/>
        </w:rPr>
        <w:t xml:space="preserve"> chemotherapy, followed by adjuvant HERCEPTIN </w:t>
      </w:r>
      <w:r>
        <w:rPr>
          <w:lang w:val="en-GB"/>
        </w:rPr>
        <w:t xml:space="preserve">IV </w:t>
      </w:r>
      <w:r w:rsidRPr="00A616C3">
        <w:rPr>
          <w:lang w:val="en-GB"/>
        </w:rPr>
        <w:t>for a total duration of 52 weeks, resulted in a 35% reduction in the risk of disease recurrence/progression. The hazard ratio translates into an absolute benefit, in terms of 3-year event-free survival rate estimates of 13 percentage points (65 % vs. 52 %) in favour of the HERCEPTIN arm.</w:t>
      </w:r>
    </w:p>
    <w:p w:rsidR="00153B8E" w:rsidRPr="00A616C3" w:rsidRDefault="00153B8E" w:rsidP="006E43C8">
      <w:pPr>
        <w:pStyle w:val="Heading3"/>
        <w:spacing w:before="120"/>
        <w:rPr>
          <w:lang w:val="en-GB"/>
        </w:rPr>
      </w:pPr>
      <w:r w:rsidRPr="00A616C3">
        <w:rPr>
          <w:lang w:val="en-GB"/>
        </w:rPr>
        <w:t>Metastatic Breast Cancer</w:t>
      </w:r>
    </w:p>
    <w:p w:rsidR="00F00A29" w:rsidRDefault="00F00A29" w:rsidP="00F00A29">
      <w:r w:rsidRPr="00A616C3">
        <w:t>There are no data available to establish the efficacy of HERCEPTIN for the treatment of metastatic disease in patients who have previously received the medicine for the treatment of localised disease.</w:t>
      </w:r>
    </w:p>
    <w:p w:rsidR="0018757A" w:rsidRPr="00A616C3" w:rsidRDefault="0018757A" w:rsidP="0059354E">
      <w:pPr>
        <w:spacing w:after="120"/>
      </w:pPr>
      <w:r w:rsidRPr="00A616C3">
        <w:rPr>
          <w:lang w:val="en-GB"/>
        </w:rPr>
        <w:t xml:space="preserve">The safety and efficacy of HERCEPTIN </w:t>
      </w:r>
      <w:r w:rsidR="008C43BC">
        <w:rPr>
          <w:lang w:val="en-GB"/>
        </w:rPr>
        <w:t xml:space="preserve">IV </w:t>
      </w:r>
      <w:r w:rsidRPr="00A616C3">
        <w:rPr>
          <w:lang w:val="en-GB"/>
        </w:rPr>
        <w:t>has been studied in randomi</w:t>
      </w:r>
      <w:r w:rsidR="006A7DE4" w:rsidRPr="00A616C3">
        <w:rPr>
          <w:lang w:val="en-GB"/>
        </w:rPr>
        <w:t>z</w:t>
      </w:r>
      <w:r w:rsidRPr="00A616C3">
        <w:rPr>
          <w:lang w:val="en-GB"/>
        </w:rPr>
        <w:t>ed, controlled clinical trials in combination with chemotherapy (Studies H0648g</w:t>
      </w:r>
      <w:r w:rsidR="001410F3" w:rsidRPr="00A616C3">
        <w:rPr>
          <w:lang w:val="en-GB"/>
        </w:rPr>
        <w:t>,</w:t>
      </w:r>
      <w:r w:rsidRPr="00A616C3">
        <w:rPr>
          <w:lang w:val="en-GB"/>
        </w:rPr>
        <w:t xml:space="preserve"> M770</w:t>
      </w:r>
      <w:r w:rsidR="00502CFB" w:rsidRPr="00A616C3">
        <w:rPr>
          <w:lang w:val="en-GB"/>
        </w:rPr>
        <w:t>0</w:t>
      </w:r>
      <w:r w:rsidRPr="00A616C3">
        <w:rPr>
          <w:lang w:val="en-GB"/>
        </w:rPr>
        <w:t>1</w:t>
      </w:r>
      <w:r w:rsidR="001410F3" w:rsidRPr="00A616C3">
        <w:rPr>
          <w:lang w:val="en-GB"/>
        </w:rPr>
        <w:t xml:space="preserve"> and </w:t>
      </w:r>
      <w:proofErr w:type="spellStart"/>
      <w:r w:rsidR="001410F3" w:rsidRPr="00A616C3">
        <w:rPr>
          <w:lang w:val="en-GB"/>
        </w:rPr>
        <w:t>TaNDEM</w:t>
      </w:r>
      <w:proofErr w:type="spellEnd"/>
      <w:r w:rsidRPr="00A616C3">
        <w:rPr>
          <w:lang w:val="en-GB"/>
        </w:rPr>
        <w:t xml:space="preserve">) and in </w:t>
      </w:r>
      <w:r w:rsidR="0053266F" w:rsidRPr="00A616C3">
        <w:rPr>
          <w:lang w:val="en-GB"/>
        </w:rPr>
        <w:t xml:space="preserve">an </w:t>
      </w:r>
      <w:r w:rsidRPr="00A616C3">
        <w:rPr>
          <w:lang w:val="en-GB"/>
        </w:rPr>
        <w:t xml:space="preserve">open-label monotherapy clinical trial (Study H0649g) for the treatment </w:t>
      </w:r>
      <w:r w:rsidR="000D1990" w:rsidRPr="00A616C3">
        <w:rPr>
          <w:lang w:val="en-GB"/>
        </w:rPr>
        <w:t xml:space="preserve">of </w:t>
      </w:r>
      <w:r w:rsidRPr="00A616C3">
        <w:rPr>
          <w:lang w:val="en-GB"/>
        </w:rPr>
        <w:t xml:space="preserve">metastatic breast cancer.  </w:t>
      </w:r>
      <w:r w:rsidR="00FF5867" w:rsidRPr="00A616C3">
        <w:rPr>
          <w:lang w:val="en-GB"/>
        </w:rPr>
        <w:t xml:space="preserve">All trials studied patients with metastatic breast cancer whose tumours </w:t>
      </w:r>
      <w:r w:rsidR="00EE69A2" w:rsidRPr="00A616C3">
        <w:rPr>
          <w:lang w:val="en-GB"/>
        </w:rPr>
        <w:t>overexpress</w:t>
      </w:r>
      <w:r w:rsidR="00FF5867" w:rsidRPr="00A616C3">
        <w:rPr>
          <w:lang w:val="en-GB"/>
        </w:rPr>
        <w:t xml:space="preserve"> HER2.  </w:t>
      </w:r>
      <w:r w:rsidRPr="00A616C3">
        <w:rPr>
          <w:lang w:val="en-GB"/>
        </w:rPr>
        <w:t>Patients were eligible if t</w:t>
      </w:r>
      <w:r w:rsidR="00EE69A2" w:rsidRPr="00A616C3">
        <w:rPr>
          <w:lang w:val="en-GB"/>
        </w:rPr>
        <w:t>hey had 2+ or 3+ levels of over</w:t>
      </w:r>
      <w:r w:rsidRPr="00A616C3">
        <w:rPr>
          <w:lang w:val="en-GB"/>
        </w:rPr>
        <w:t>expression based on a 0</w:t>
      </w:r>
      <w:r w:rsidR="00E13343" w:rsidRPr="00A616C3">
        <w:rPr>
          <w:lang w:val="en-GB"/>
        </w:rPr>
        <w:t xml:space="preserve"> </w:t>
      </w:r>
      <w:r w:rsidRPr="00A616C3">
        <w:rPr>
          <w:lang w:val="en-GB"/>
        </w:rPr>
        <w:t>-</w:t>
      </w:r>
      <w:r w:rsidR="00E13343" w:rsidRPr="00A616C3">
        <w:rPr>
          <w:lang w:val="en-GB"/>
        </w:rPr>
        <w:t xml:space="preserve"> </w:t>
      </w:r>
      <w:r w:rsidRPr="00A616C3">
        <w:rPr>
          <w:lang w:val="en-GB"/>
        </w:rPr>
        <w:t xml:space="preserve">3+ scale by </w:t>
      </w:r>
      <w:proofErr w:type="spellStart"/>
      <w:r w:rsidRPr="00A616C3">
        <w:rPr>
          <w:lang w:val="en-GB"/>
        </w:rPr>
        <w:t>immunohistochemical</w:t>
      </w:r>
      <w:proofErr w:type="spellEnd"/>
      <w:r w:rsidRPr="00A616C3">
        <w:rPr>
          <w:lang w:val="en-GB"/>
        </w:rPr>
        <w:t xml:space="preserve"> </w:t>
      </w:r>
      <w:r w:rsidR="001F0892" w:rsidRPr="00A616C3">
        <w:rPr>
          <w:lang w:val="en-GB"/>
        </w:rPr>
        <w:t xml:space="preserve">(IHC) </w:t>
      </w:r>
      <w:r w:rsidRPr="00A616C3">
        <w:rPr>
          <w:lang w:val="en-GB"/>
        </w:rPr>
        <w:t>assessment of tumour tissue</w:t>
      </w:r>
      <w:r w:rsidR="00502CFB" w:rsidRPr="00A616C3">
        <w:rPr>
          <w:lang w:val="en-GB"/>
        </w:rPr>
        <w:t xml:space="preserve"> or </w:t>
      </w:r>
      <w:r w:rsidR="00EE69A2" w:rsidRPr="00A616C3">
        <w:rPr>
          <w:lang w:val="en-GB"/>
        </w:rPr>
        <w:t xml:space="preserve">whose tumours have HER2 gene amplification as determined by </w:t>
      </w:r>
      <w:r w:rsidR="003365F3" w:rsidRPr="00A616C3">
        <w:rPr>
          <w:lang w:val="en-GB"/>
        </w:rPr>
        <w:t>Fluorescence In Situ Hybridi</w:t>
      </w:r>
      <w:r w:rsidR="006A7DE4" w:rsidRPr="00A616C3">
        <w:rPr>
          <w:lang w:val="en-GB"/>
        </w:rPr>
        <w:t>z</w:t>
      </w:r>
      <w:r w:rsidR="003365F3" w:rsidRPr="00A616C3">
        <w:rPr>
          <w:lang w:val="en-GB"/>
        </w:rPr>
        <w:t>ation (FISH) test</w:t>
      </w:r>
      <w:r w:rsidR="001B1E1A" w:rsidRPr="00A616C3">
        <w:rPr>
          <w:lang w:val="en-GB"/>
        </w:rPr>
        <w:t xml:space="preserve"> (see </w:t>
      </w:r>
      <w:r w:rsidR="00F55196" w:rsidRPr="00A616C3">
        <w:rPr>
          <w:b/>
          <w:lang w:val="en-GB"/>
        </w:rPr>
        <w:t>DOSAGE AND ADMINISTRATION</w:t>
      </w:r>
      <w:r w:rsidR="00491EAA" w:rsidRPr="00A616C3">
        <w:rPr>
          <w:b/>
          <w:lang w:val="en-GB"/>
        </w:rPr>
        <w:t>,</w:t>
      </w:r>
      <w:r w:rsidR="001B1E1A" w:rsidRPr="00A616C3">
        <w:rPr>
          <w:rStyle w:val="Heading3Char"/>
        </w:rPr>
        <w:t xml:space="preserve"> </w:t>
      </w:r>
      <w:r w:rsidR="001B1E1A" w:rsidRPr="00A616C3">
        <w:rPr>
          <w:b/>
        </w:rPr>
        <w:t xml:space="preserve">Detection of HER2 </w:t>
      </w:r>
      <w:r w:rsidR="00D310A3" w:rsidRPr="00A616C3">
        <w:rPr>
          <w:b/>
        </w:rPr>
        <w:t>O</w:t>
      </w:r>
      <w:r w:rsidR="001B1E1A" w:rsidRPr="00A616C3">
        <w:rPr>
          <w:b/>
        </w:rPr>
        <w:t xml:space="preserve">verexpression or HER2 </w:t>
      </w:r>
      <w:r w:rsidR="00D310A3" w:rsidRPr="00A616C3">
        <w:rPr>
          <w:b/>
        </w:rPr>
        <w:t>G</w:t>
      </w:r>
      <w:r w:rsidR="001B1E1A" w:rsidRPr="00A616C3">
        <w:rPr>
          <w:b/>
        </w:rPr>
        <w:t xml:space="preserve">ene </w:t>
      </w:r>
      <w:r w:rsidR="00D310A3" w:rsidRPr="00A616C3">
        <w:rPr>
          <w:b/>
        </w:rPr>
        <w:t>A</w:t>
      </w:r>
      <w:r w:rsidR="001B1E1A" w:rsidRPr="00A616C3">
        <w:rPr>
          <w:b/>
        </w:rPr>
        <w:t>mplification</w:t>
      </w:r>
      <w:r w:rsidR="001B1E1A" w:rsidRPr="00A616C3">
        <w:t>)</w:t>
      </w:r>
      <w:r w:rsidR="003365F3" w:rsidRPr="00A616C3">
        <w:t>.</w:t>
      </w:r>
    </w:p>
    <w:p w:rsidR="0018757A" w:rsidRPr="00A616C3" w:rsidRDefault="00B022EA" w:rsidP="00437379">
      <w:pPr>
        <w:pStyle w:val="Heading3"/>
        <w:rPr>
          <w:b w:val="0"/>
          <w:i/>
          <w:sz w:val="22"/>
          <w:u w:val="single"/>
        </w:rPr>
      </w:pPr>
      <w:r w:rsidRPr="00A616C3">
        <w:rPr>
          <w:b w:val="0"/>
          <w:i/>
          <w:sz w:val="22"/>
          <w:u w:val="single"/>
        </w:rPr>
        <w:t>HERCEPTIN</w:t>
      </w:r>
      <w:r w:rsidR="008C43BC">
        <w:rPr>
          <w:b w:val="0"/>
          <w:i/>
          <w:sz w:val="22"/>
          <w:u w:val="single"/>
        </w:rPr>
        <w:t xml:space="preserve"> IV</w:t>
      </w:r>
      <w:r w:rsidRPr="00A616C3">
        <w:rPr>
          <w:b w:val="0"/>
          <w:i/>
          <w:sz w:val="22"/>
          <w:u w:val="single"/>
        </w:rPr>
        <w:t xml:space="preserve"> in </w:t>
      </w:r>
      <w:r w:rsidR="003B2C9F" w:rsidRPr="00A616C3">
        <w:rPr>
          <w:b w:val="0"/>
          <w:i/>
          <w:sz w:val="22"/>
          <w:u w:val="single"/>
        </w:rPr>
        <w:t>C</w:t>
      </w:r>
      <w:r w:rsidR="0018757A" w:rsidRPr="00A616C3">
        <w:rPr>
          <w:b w:val="0"/>
          <w:i/>
          <w:sz w:val="22"/>
          <w:u w:val="single"/>
        </w:rPr>
        <w:t xml:space="preserve">ombination </w:t>
      </w:r>
      <w:r w:rsidRPr="00A616C3">
        <w:rPr>
          <w:b w:val="0"/>
          <w:i/>
          <w:sz w:val="22"/>
          <w:u w:val="single"/>
        </w:rPr>
        <w:t>with Chemotherapy</w:t>
      </w:r>
      <w:r w:rsidR="0018757A" w:rsidRPr="00A616C3">
        <w:rPr>
          <w:b w:val="0"/>
          <w:i/>
          <w:sz w:val="22"/>
          <w:u w:val="single"/>
        </w:rPr>
        <w:t xml:space="preserve"> </w:t>
      </w:r>
    </w:p>
    <w:p w:rsidR="0018757A" w:rsidRPr="00A616C3" w:rsidRDefault="0018757A" w:rsidP="00657070">
      <w:pPr>
        <w:rPr>
          <w:lang w:val="en-GB"/>
        </w:rPr>
      </w:pPr>
      <w:r w:rsidRPr="00A616C3">
        <w:rPr>
          <w:lang w:val="en-GB"/>
        </w:rPr>
        <w:t>Study H0648g was an open-label, randomi</w:t>
      </w:r>
      <w:r w:rsidR="006A7DE4" w:rsidRPr="00A616C3">
        <w:rPr>
          <w:lang w:val="en-GB"/>
        </w:rPr>
        <w:t>z</w:t>
      </w:r>
      <w:r w:rsidRPr="00A616C3">
        <w:rPr>
          <w:lang w:val="en-GB"/>
        </w:rPr>
        <w:t xml:space="preserve">ed controlled, multinational </w:t>
      </w:r>
      <w:r w:rsidR="006F4075" w:rsidRPr="00A616C3">
        <w:rPr>
          <w:lang w:val="en-GB"/>
        </w:rPr>
        <w:t>trial</w:t>
      </w:r>
      <w:r w:rsidRPr="00A616C3">
        <w:rPr>
          <w:lang w:val="en-GB"/>
        </w:rPr>
        <w:t xml:space="preserve"> of chemotherapy</w:t>
      </w:r>
      <w:r w:rsidR="00CE28A8" w:rsidRPr="00A616C3">
        <w:rPr>
          <w:lang w:val="en-GB"/>
        </w:rPr>
        <w:t>-</w:t>
      </w:r>
      <w:r w:rsidRPr="00A616C3">
        <w:rPr>
          <w:lang w:val="en-GB"/>
        </w:rPr>
        <w:t xml:space="preserve">alone and in combination with HERCEPTIN.  Patients with previously untreated metastatic breast cancer were treated with either an </w:t>
      </w:r>
      <w:proofErr w:type="spellStart"/>
      <w:r w:rsidRPr="00A616C3">
        <w:rPr>
          <w:lang w:val="en-GB"/>
        </w:rPr>
        <w:t>anthracycline</w:t>
      </w:r>
      <w:proofErr w:type="spellEnd"/>
      <w:r w:rsidRPr="00A616C3">
        <w:rPr>
          <w:lang w:val="en-GB"/>
        </w:rPr>
        <w:t xml:space="preserve"> (doxorubicin 60 mg/m</w:t>
      </w:r>
      <w:r w:rsidRPr="00A616C3">
        <w:rPr>
          <w:vertAlign w:val="superscript"/>
          <w:lang w:val="en-GB"/>
        </w:rPr>
        <w:t>2</w:t>
      </w:r>
      <w:r w:rsidRPr="00A616C3">
        <w:rPr>
          <w:lang w:val="en-GB"/>
        </w:rPr>
        <w:t xml:space="preserve"> or </w:t>
      </w:r>
      <w:proofErr w:type="spellStart"/>
      <w:r w:rsidRPr="00A616C3">
        <w:rPr>
          <w:lang w:val="en-GB"/>
        </w:rPr>
        <w:t>epirubicin</w:t>
      </w:r>
      <w:proofErr w:type="spellEnd"/>
      <w:r w:rsidRPr="00A616C3">
        <w:rPr>
          <w:lang w:val="en-GB"/>
        </w:rPr>
        <w:t xml:space="preserve"> 75 mg/m</w:t>
      </w:r>
      <w:r w:rsidRPr="00A616C3">
        <w:rPr>
          <w:vertAlign w:val="superscript"/>
          <w:lang w:val="en-GB"/>
        </w:rPr>
        <w:t>2</w:t>
      </w:r>
      <w:r w:rsidRPr="00A616C3">
        <w:rPr>
          <w:lang w:val="en-GB"/>
        </w:rPr>
        <w:t>) plus cyclophosphamide (600 mg/m</w:t>
      </w:r>
      <w:r w:rsidRPr="00A616C3">
        <w:rPr>
          <w:vertAlign w:val="superscript"/>
          <w:lang w:val="en-GB"/>
        </w:rPr>
        <w:t>2</w:t>
      </w:r>
      <w:r w:rsidRPr="00A616C3">
        <w:rPr>
          <w:lang w:val="en-GB"/>
        </w:rPr>
        <w:t>) with or without HERCEPTIN or paclitaxel (175 mg/m</w:t>
      </w:r>
      <w:r w:rsidRPr="00A616C3">
        <w:rPr>
          <w:vertAlign w:val="superscript"/>
          <w:lang w:val="en-GB"/>
        </w:rPr>
        <w:t>2</w:t>
      </w:r>
      <w:r w:rsidRPr="00A616C3">
        <w:rPr>
          <w:lang w:val="en-GB"/>
        </w:rPr>
        <w:t xml:space="preserve"> infused over 3 hours) with or without HERCEPTIN.  Patients on HERCEPTIN</w:t>
      </w:r>
      <w:r w:rsidR="008C43BC">
        <w:rPr>
          <w:lang w:val="en-GB"/>
        </w:rPr>
        <w:t xml:space="preserve"> IV</w:t>
      </w:r>
      <w:r w:rsidRPr="00A616C3">
        <w:rPr>
          <w:lang w:val="en-GB"/>
        </w:rPr>
        <w:t xml:space="preserve"> treatment received 4 mg/kg loading dose on Day 0</w:t>
      </w:r>
      <w:r w:rsidR="00B16130" w:rsidRPr="00A616C3">
        <w:rPr>
          <w:lang w:val="en-GB"/>
        </w:rPr>
        <w:t xml:space="preserve">, followed by </w:t>
      </w:r>
      <w:r w:rsidRPr="00A616C3">
        <w:rPr>
          <w:lang w:val="en-GB"/>
        </w:rPr>
        <w:t>weekly infusions of 2 mg/kg</w:t>
      </w:r>
      <w:r w:rsidR="00B16130" w:rsidRPr="00A616C3">
        <w:rPr>
          <w:lang w:val="en-GB"/>
        </w:rPr>
        <w:t xml:space="preserve"> from Day 7</w:t>
      </w:r>
      <w:r w:rsidRPr="00A616C3">
        <w:rPr>
          <w:lang w:val="en-GB"/>
        </w:rPr>
        <w:t xml:space="preserve">, which they could continue to receive until evidence of disease progression.  Patients who had previously received </w:t>
      </w:r>
      <w:proofErr w:type="spellStart"/>
      <w:r w:rsidRPr="00A616C3">
        <w:rPr>
          <w:lang w:val="en-GB"/>
        </w:rPr>
        <w:t>anthracycline</w:t>
      </w:r>
      <w:proofErr w:type="spellEnd"/>
      <w:r w:rsidRPr="00A616C3">
        <w:rPr>
          <w:lang w:val="en-GB"/>
        </w:rPr>
        <w:t xml:space="preserve"> based adjuvant therapy were treated with paclitaxel whereas those who were </w:t>
      </w:r>
      <w:proofErr w:type="spellStart"/>
      <w:r w:rsidRPr="00A616C3">
        <w:rPr>
          <w:lang w:val="en-GB"/>
        </w:rPr>
        <w:t>anthracycline</w:t>
      </w:r>
      <w:proofErr w:type="spellEnd"/>
      <w:r w:rsidRPr="00A616C3">
        <w:rPr>
          <w:lang w:val="en-GB"/>
        </w:rPr>
        <w:t xml:space="preserve"> naïve were treated with an </w:t>
      </w:r>
      <w:proofErr w:type="spellStart"/>
      <w:r w:rsidRPr="00A616C3">
        <w:rPr>
          <w:lang w:val="en-GB"/>
        </w:rPr>
        <w:t>anthracycline</w:t>
      </w:r>
      <w:proofErr w:type="spellEnd"/>
      <w:r w:rsidR="000A3578" w:rsidRPr="00A616C3">
        <w:rPr>
          <w:lang w:val="en-GB"/>
        </w:rPr>
        <w:t xml:space="preserve"> + </w:t>
      </w:r>
      <w:r w:rsidRPr="00A616C3">
        <w:rPr>
          <w:lang w:val="en-GB"/>
        </w:rPr>
        <w:t>cyclophosphamide.</w:t>
      </w:r>
    </w:p>
    <w:p w:rsidR="0018757A" w:rsidRPr="00A616C3" w:rsidRDefault="0018757A" w:rsidP="00657070">
      <w:pPr>
        <w:rPr>
          <w:lang w:val="en-GB"/>
        </w:rPr>
      </w:pPr>
      <w:r w:rsidRPr="00A616C3">
        <w:t>The prospectively defined, primary intent</w:t>
      </w:r>
      <w:r w:rsidRPr="00A616C3">
        <w:noBreakHyphen/>
        <w:t>to</w:t>
      </w:r>
      <w:r w:rsidRPr="00A616C3">
        <w:noBreakHyphen/>
        <w:t xml:space="preserve">treat analysis indicated that the combination of </w:t>
      </w:r>
      <w:r w:rsidR="008C43BC" w:rsidRPr="00A616C3">
        <w:t xml:space="preserve">HERCEPTIN </w:t>
      </w:r>
      <w:r w:rsidR="008C43BC">
        <w:t>and</w:t>
      </w:r>
      <w:r w:rsidRPr="00A616C3">
        <w:t xml:space="preserve"> chemotherapy significantly prolonged time to disease progression (progression</w:t>
      </w:r>
      <w:r w:rsidRPr="00A616C3">
        <w:noBreakHyphen/>
        <w:t xml:space="preserve">free </w:t>
      </w:r>
      <w:r w:rsidRPr="00A616C3">
        <w:lastRenderedPageBreak/>
        <w:t>survival) compared with chemotherapy</w:t>
      </w:r>
      <w:r w:rsidR="00CE28A8" w:rsidRPr="00A616C3">
        <w:t>-</w:t>
      </w:r>
      <w:r w:rsidRPr="00A616C3">
        <w:t>alone as first</w:t>
      </w:r>
      <w:r w:rsidRPr="00A616C3">
        <w:noBreakHyphen/>
        <w:t xml:space="preserve">line treatment of women with metastatic breast cancer </w:t>
      </w:r>
      <w:proofErr w:type="gramStart"/>
      <w:r w:rsidRPr="00A616C3">
        <w:t>who</w:t>
      </w:r>
      <w:proofErr w:type="gramEnd"/>
      <w:r w:rsidRPr="00A616C3">
        <w:t xml:space="preserve"> had tumours that </w:t>
      </w:r>
      <w:r w:rsidR="00EE69A2" w:rsidRPr="00A616C3">
        <w:t>overexpress</w:t>
      </w:r>
      <w:r w:rsidRPr="00A616C3">
        <w:t>ed HER2.  The addition of HERCEPTIN to chemotherapy extended the median time to disease progression by 2.8 months representing a 61% increase (</w:t>
      </w:r>
      <w:r w:rsidRPr="00A616C3">
        <w:rPr>
          <w:i/>
        </w:rPr>
        <w:t>p</w:t>
      </w:r>
      <w:r w:rsidRPr="00A616C3">
        <w:t>=0.0001).</w:t>
      </w:r>
    </w:p>
    <w:p w:rsidR="0018757A" w:rsidRPr="00A616C3" w:rsidRDefault="0018757A" w:rsidP="002318B4">
      <w:pPr>
        <w:pStyle w:val="Caption"/>
        <w:rPr>
          <w:b w:val="0"/>
        </w:rPr>
      </w:pPr>
      <w:r w:rsidRPr="00A616C3">
        <w:rPr>
          <w:b w:val="0"/>
        </w:rPr>
        <w:t xml:space="preserve">Both </w:t>
      </w:r>
      <w:proofErr w:type="spellStart"/>
      <w:r w:rsidRPr="00A616C3">
        <w:rPr>
          <w:b w:val="0"/>
        </w:rPr>
        <w:t>anthracycline</w:t>
      </w:r>
      <w:proofErr w:type="spellEnd"/>
      <w:r w:rsidRPr="00A616C3">
        <w:rPr>
          <w:b w:val="0"/>
        </w:rPr>
        <w:t xml:space="preserve">-treated and paclitaxel-treated patients benefited from HERCEPTIN treatment, although the effect appeared to be greater in the paclitaxel stratum.  The efficacy of HERCEPTIN treatment was further supported by the secondary endpoints of response rate, duration of response and one-year survival (see </w:t>
      </w:r>
      <w:r w:rsidR="00465440" w:rsidRPr="00A616C3">
        <w:rPr>
          <w:b w:val="0"/>
        </w:rPr>
        <w:t xml:space="preserve">Table </w:t>
      </w:r>
      <w:r w:rsidR="00966AC9" w:rsidRPr="00A616C3">
        <w:rPr>
          <w:b w:val="0"/>
        </w:rPr>
        <w:t>7</w:t>
      </w:r>
      <w:r w:rsidRPr="00A616C3">
        <w:rPr>
          <w:b w:val="0"/>
        </w:rPr>
        <w:t xml:space="preserve"> below).</w:t>
      </w:r>
    </w:p>
    <w:p w:rsidR="0018757A" w:rsidRPr="00A616C3" w:rsidRDefault="0018757A" w:rsidP="00657070">
      <w:r w:rsidRPr="00A616C3">
        <w:t>One-year survival rates (the prospectively defined survival endpoint) were significantly better for the HERCEPTIN</w:t>
      </w:r>
      <w:r w:rsidR="000A3578" w:rsidRPr="00A616C3">
        <w:t xml:space="preserve"> + </w:t>
      </w:r>
      <w:r w:rsidRPr="00A616C3">
        <w:t>chemotherapy versus chemotherapy</w:t>
      </w:r>
      <w:r w:rsidR="00CE28A8" w:rsidRPr="00A616C3">
        <w:t>-</w:t>
      </w:r>
      <w:r w:rsidRPr="00A616C3">
        <w:t xml:space="preserve">alone (79% vs. 68%; </w:t>
      </w:r>
      <w:r w:rsidRPr="00A616C3">
        <w:rPr>
          <w:i/>
        </w:rPr>
        <w:t>p</w:t>
      </w:r>
      <w:r w:rsidRPr="00A616C3">
        <w:t>=0.008).  With a median follow-up of approximately two years, overall survival is improved for patients initially treated with HERCEPTIN</w:t>
      </w:r>
      <w:r w:rsidR="000A3578" w:rsidRPr="00A616C3">
        <w:t xml:space="preserve"> + </w:t>
      </w:r>
      <w:r w:rsidRPr="00A616C3">
        <w:t>chemotherapy compared with those receiving chemotherapy</w:t>
      </w:r>
      <w:r w:rsidR="00CE28A8" w:rsidRPr="00A616C3">
        <w:t>-</w:t>
      </w:r>
      <w:r w:rsidRPr="00A616C3">
        <w:t xml:space="preserve">alone (25.4 vs. 20.3 months; </w:t>
      </w:r>
      <w:r w:rsidRPr="00A616C3">
        <w:rPr>
          <w:i/>
        </w:rPr>
        <w:t>p</w:t>
      </w:r>
      <w:r w:rsidRPr="00A616C3">
        <w:t>=0.025) with a relative risk of death of 0.769 (95% CI 0.607</w:t>
      </w:r>
      <w:r w:rsidR="001457FF" w:rsidRPr="00A616C3">
        <w:t xml:space="preserve"> </w:t>
      </w:r>
      <w:r w:rsidRPr="00A616C3">
        <w:t>-</w:t>
      </w:r>
      <w:r w:rsidR="001457FF" w:rsidRPr="00A616C3">
        <w:t xml:space="preserve"> </w:t>
      </w:r>
      <w:r w:rsidRPr="00A616C3">
        <w:t xml:space="preserve">0.973; </w:t>
      </w:r>
      <w:r w:rsidRPr="00A616C3">
        <w:rPr>
          <w:i/>
        </w:rPr>
        <w:t>p</w:t>
      </w:r>
      <w:r w:rsidRPr="00A616C3">
        <w:t>=0.028).</w:t>
      </w:r>
    </w:p>
    <w:p w:rsidR="0018757A" w:rsidRPr="00A616C3" w:rsidRDefault="0018757A" w:rsidP="0018757A">
      <w:pPr>
        <w:pStyle w:val="TableHeading"/>
        <w:tabs>
          <w:tab w:val="clear" w:pos="4680"/>
          <w:tab w:val="center" w:pos="4253"/>
        </w:tabs>
      </w:pPr>
      <w:bookmarkStart w:id="2" w:name="_Ref441653327"/>
      <w:bookmarkStart w:id="3" w:name="_Toc442513355"/>
      <w:r w:rsidRPr="00A616C3">
        <w:t>Figure </w:t>
      </w:r>
      <w:bookmarkEnd w:id="2"/>
      <w:proofErr w:type="gramStart"/>
      <w:r w:rsidRPr="00A616C3">
        <w:t>1  Survival</w:t>
      </w:r>
      <w:proofErr w:type="gramEnd"/>
      <w:r w:rsidRPr="00A616C3">
        <w:t xml:space="preserve"> Time: </w:t>
      </w:r>
      <w:proofErr w:type="spellStart"/>
      <w:r w:rsidR="00E23B63" w:rsidRPr="00A616C3">
        <w:t>Anthracycline</w:t>
      </w:r>
      <w:proofErr w:type="spellEnd"/>
      <w:r w:rsidR="00E23B63" w:rsidRPr="00A616C3">
        <w:t xml:space="preserve"> ± </w:t>
      </w:r>
      <w:r w:rsidRPr="00A616C3">
        <w:t>HERCEPTIN (Study H0648g)</w:t>
      </w:r>
      <w:bookmarkEnd w:id="3"/>
    </w:p>
    <w:p w:rsidR="00E46552" w:rsidRPr="00A616C3" w:rsidRDefault="00814183" w:rsidP="0018757A">
      <w:pPr>
        <w:jc w:val="center"/>
      </w:pPr>
      <w:r>
        <w:rPr>
          <w:noProof/>
          <w:lang w:eastAsia="en-AU"/>
        </w:rPr>
        <w:drawing>
          <wp:inline distT="0" distB="0" distL="0" distR="0" wp14:anchorId="61DE21CF" wp14:editId="21C3F897">
            <wp:extent cx="4619625" cy="2867025"/>
            <wp:effectExtent l="0" t="0" r="0" b="0"/>
            <wp:docPr id="2" name="Picture 2" descr="pltkm03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tkm03r"/>
                    <pic:cNvPicPr>
                      <a:picLocks noChangeAspect="1" noChangeArrowheads="1"/>
                    </pic:cNvPicPr>
                  </pic:nvPicPr>
                  <pic:blipFill>
                    <a:blip r:embed="rId19" cstate="print">
                      <a:extLst>
                        <a:ext uri="{28A0092B-C50C-407E-A947-70E740481C1C}">
                          <a14:useLocalDpi xmlns:a14="http://schemas.microsoft.com/office/drawing/2010/main" val="0"/>
                        </a:ext>
                      </a:extLst>
                    </a:blip>
                    <a:srcRect t="9677" b="3226"/>
                    <a:stretch>
                      <a:fillRect/>
                    </a:stretch>
                  </pic:blipFill>
                  <pic:spPr bwMode="auto">
                    <a:xfrm>
                      <a:off x="0" y="0"/>
                      <a:ext cx="4619625" cy="2867025"/>
                    </a:xfrm>
                    <a:prstGeom prst="rect">
                      <a:avLst/>
                    </a:prstGeom>
                    <a:noFill/>
                    <a:ln>
                      <a:noFill/>
                    </a:ln>
                  </pic:spPr>
                </pic:pic>
              </a:graphicData>
            </a:graphic>
          </wp:inline>
        </w:drawing>
      </w:r>
    </w:p>
    <w:p w:rsidR="0018757A" w:rsidRPr="00A616C3" w:rsidRDefault="0018757A" w:rsidP="0018757A">
      <w:pPr>
        <w:pStyle w:val="TableHeading"/>
        <w:keepNext w:val="0"/>
        <w:tabs>
          <w:tab w:val="clear" w:pos="4680"/>
        </w:tabs>
        <w:suppressAutoHyphens w:val="0"/>
        <w:spacing w:before="0"/>
        <w:rPr>
          <w:kern w:val="0"/>
        </w:rPr>
      </w:pPr>
      <w:r w:rsidRPr="00A616C3">
        <w:rPr>
          <w:kern w:val="0"/>
        </w:rPr>
        <w:t xml:space="preserve">Figure 2   Survival Time: </w:t>
      </w:r>
      <w:r w:rsidR="00E23B63" w:rsidRPr="00A616C3">
        <w:rPr>
          <w:kern w:val="0"/>
        </w:rPr>
        <w:t xml:space="preserve">Paclitaxel ± </w:t>
      </w:r>
      <w:r w:rsidRPr="00A616C3">
        <w:rPr>
          <w:kern w:val="0"/>
        </w:rPr>
        <w:t>HERCEPTIN (Study H0648g)</w:t>
      </w:r>
    </w:p>
    <w:p w:rsidR="0018757A" w:rsidRPr="00A616C3" w:rsidRDefault="00814183" w:rsidP="0018757A">
      <w:pPr>
        <w:jc w:val="center"/>
      </w:pPr>
      <w:r>
        <w:rPr>
          <w:noProof/>
          <w:lang w:eastAsia="en-AU"/>
        </w:rPr>
        <w:lastRenderedPageBreak/>
        <w:drawing>
          <wp:inline distT="0" distB="0" distL="0" distR="0" wp14:anchorId="76246C07" wp14:editId="6E514B11">
            <wp:extent cx="4543425" cy="2990850"/>
            <wp:effectExtent l="0" t="0" r="0" b="0"/>
            <wp:docPr id="3" name="Picture 3" descr="pltkm0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tkm04r"/>
                    <pic:cNvPicPr>
                      <a:picLocks noChangeAspect="1" noChangeArrowheads="1"/>
                    </pic:cNvPicPr>
                  </pic:nvPicPr>
                  <pic:blipFill>
                    <a:blip r:embed="rId20" cstate="print">
                      <a:extLst>
                        <a:ext uri="{28A0092B-C50C-407E-A947-70E740481C1C}">
                          <a14:useLocalDpi xmlns:a14="http://schemas.microsoft.com/office/drawing/2010/main" val="0"/>
                        </a:ext>
                      </a:extLst>
                    </a:blip>
                    <a:srcRect t="8215" b="2892"/>
                    <a:stretch>
                      <a:fillRect/>
                    </a:stretch>
                  </pic:blipFill>
                  <pic:spPr bwMode="auto">
                    <a:xfrm>
                      <a:off x="0" y="0"/>
                      <a:ext cx="4543425" cy="2990850"/>
                    </a:xfrm>
                    <a:prstGeom prst="rect">
                      <a:avLst/>
                    </a:prstGeom>
                    <a:noFill/>
                    <a:ln>
                      <a:noFill/>
                    </a:ln>
                  </pic:spPr>
                </pic:pic>
              </a:graphicData>
            </a:graphic>
          </wp:inline>
        </w:drawing>
      </w:r>
    </w:p>
    <w:p w:rsidR="0018757A" w:rsidRPr="00A616C3" w:rsidRDefault="0018757A" w:rsidP="00657070">
      <w:pPr>
        <w:rPr>
          <w:lang w:val="en-GB"/>
        </w:rPr>
      </w:pPr>
      <w:r w:rsidRPr="00A616C3">
        <w:t>The relative overall survival advantage with the addition of HERCEPTIN was observed in both subgroups: AC [26.8 months (H + AC) vs. 22.8 months (AC</w:t>
      </w:r>
      <w:r w:rsidR="00CE28A8" w:rsidRPr="00A616C3">
        <w:t>-</w:t>
      </w:r>
      <w:r w:rsidRPr="00A616C3">
        <w:t xml:space="preserve">alone); </w:t>
      </w:r>
      <w:r w:rsidRPr="00A616C3">
        <w:rPr>
          <w:i/>
        </w:rPr>
        <w:t>p</w:t>
      </w:r>
      <w:r w:rsidRPr="00A616C3">
        <w:t>=0.052] and paclitaxel [22.1 months (H + P) vs. 18.4 months (P</w:t>
      </w:r>
      <w:r w:rsidR="00CE28A8" w:rsidRPr="00A616C3">
        <w:t>-</w:t>
      </w:r>
      <w:r w:rsidRPr="00A616C3">
        <w:t xml:space="preserve">alone); </w:t>
      </w:r>
      <w:r w:rsidRPr="00A616C3">
        <w:rPr>
          <w:i/>
        </w:rPr>
        <w:t>p</w:t>
      </w:r>
      <w:r w:rsidRPr="00A616C3">
        <w:t xml:space="preserve">=0.273] (see also Figures 1 </w:t>
      </w:r>
      <w:r w:rsidR="00CE28A8" w:rsidRPr="00A616C3">
        <w:t>and</w:t>
      </w:r>
      <w:r w:rsidRPr="00A616C3">
        <w:t xml:space="preserve"> 2).  The analysis of overall survival was, however, greatly confounded by subsequent HERCEPTIN treatment of each of control arms’ patients, following disease progression, in the open</w:t>
      </w:r>
      <w:r w:rsidRPr="00A616C3">
        <w:noBreakHyphen/>
        <w:t>label extension study, H0659g (59% of patients in the AC</w:t>
      </w:r>
      <w:r w:rsidR="00CE28A8" w:rsidRPr="00A616C3">
        <w:t>-</w:t>
      </w:r>
      <w:r w:rsidRPr="00A616C3">
        <w:t>alone group, and 75% of patients in the paclitaxel</w:t>
      </w:r>
      <w:r w:rsidR="00CE28A8" w:rsidRPr="00A616C3">
        <w:t>-</w:t>
      </w:r>
      <w:r w:rsidRPr="00A616C3">
        <w:t>alone group subsequently received HERCEPTIN).  Hence, the survival advantage seen above, for HERCEPTIN</w:t>
      </w:r>
      <w:r w:rsidR="000A3578" w:rsidRPr="00A616C3">
        <w:t xml:space="preserve"> + </w:t>
      </w:r>
      <w:r w:rsidRPr="00A616C3">
        <w:t>chemotherapy treatment versus chemotherapy</w:t>
      </w:r>
      <w:r w:rsidR="00CE28A8" w:rsidRPr="00A616C3">
        <w:t>-</w:t>
      </w:r>
      <w:r w:rsidRPr="00A616C3">
        <w:t>alone (which includes patients who subsequently received HERCEPTIN) may underestimate the benefit to patients.</w:t>
      </w:r>
    </w:p>
    <w:p w:rsidR="0018757A" w:rsidRPr="00A616C3" w:rsidRDefault="0018757A" w:rsidP="00657070">
      <w:r w:rsidRPr="00A616C3">
        <w:t>Importantly, the efficacy described above was obtained without a significant negative impact on the quality of life.  Global quality of life decreased equally in both the chemotherapy</w:t>
      </w:r>
      <w:r w:rsidR="00CE28A8" w:rsidRPr="00A616C3">
        <w:t>-</w:t>
      </w:r>
      <w:r w:rsidRPr="00A616C3">
        <w:t>alone group and the HERCEPTIN</w:t>
      </w:r>
      <w:r w:rsidR="000A3578" w:rsidRPr="00A616C3">
        <w:t xml:space="preserve"> + </w:t>
      </w:r>
      <w:r w:rsidRPr="00A616C3">
        <w:t>chemotherapy group and was most likely related to the effects of cytotoxic chemotherapy.  However, at weeks 20 and 32, the global quality of life score had returned to baseline or better than baseline in the group receiving HERCEPTIN</w:t>
      </w:r>
      <w:r w:rsidR="000A3578" w:rsidRPr="00A616C3">
        <w:t xml:space="preserve"> + </w:t>
      </w:r>
      <w:r w:rsidRPr="00A616C3">
        <w:t>chemotherapy, while it remained low in the chemotherapy</w:t>
      </w:r>
      <w:r w:rsidR="00CE28A8" w:rsidRPr="00A616C3">
        <w:t>-</w:t>
      </w:r>
      <w:r w:rsidRPr="00A616C3">
        <w:t>alone arm (see Figure 3 below).</w:t>
      </w:r>
    </w:p>
    <w:p w:rsidR="00E46552" w:rsidRPr="00A616C3" w:rsidRDefault="00680788" w:rsidP="00E46552">
      <w:pPr>
        <w:pStyle w:val="TableHeading"/>
        <w:rPr>
          <w:lang w:val="en-GB"/>
        </w:rPr>
      </w:pPr>
      <w:bookmarkStart w:id="4" w:name="_Toc442513356"/>
      <w:r>
        <w:rPr>
          <w:b w:val="0"/>
          <w:noProof/>
          <w:sz w:val="20"/>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1.95pt;margin-top:37.15pt;width:269.5pt;height:129.6pt;z-index:251657728" fillcolor="#0c9">
            <v:imagedata r:id="rId21" o:title="" croptop="18239f"/>
            <w10:wrap type="topAndBottom"/>
          </v:shape>
          <o:OLEObject Type="Embed" ProgID="PowerPoint.Slide.8" ShapeID="_x0000_s1026" DrawAspect="Content" ObjectID="_1500885127" r:id="rId22"/>
        </w:pict>
      </w:r>
      <w:bookmarkEnd w:id="4"/>
      <w:r w:rsidR="00E46552" w:rsidRPr="00A616C3">
        <w:t xml:space="preserve">Figure 3 </w:t>
      </w:r>
      <w:r w:rsidR="00E46552" w:rsidRPr="00A616C3">
        <w:tab/>
        <w:t xml:space="preserve"> Changes from Baseline in Health</w:t>
      </w:r>
      <w:r w:rsidR="00E46552" w:rsidRPr="00A616C3">
        <w:noBreakHyphen/>
        <w:t>Related Quality</w:t>
      </w:r>
      <w:r w:rsidR="00E46552" w:rsidRPr="00A616C3">
        <w:noBreakHyphen/>
        <w:t>of</w:t>
      </w:r>
      <w:r w:rsidR="00E46552" w:rsidRPr="00A616C3">
        <w:noBreakHyphen/>
        <w:t>Life Scores in Study H0648g</w:t>
      </w:r>
    </w:p>
    <w:p w:rsidR="0018757A" w:rsidRPr="00A616C3" w:rsidRDefault="0018757A" w:rsidP="00E46552">
      <w:pPr>
        <w:pStyle w:val="TableHeading"/>
      </w:pPr>
      <w:bookmarkStart w:id="5" w:name="_Ref440701322"/>
      <w:r w:rsidRPr="00A616C3">
        <w:rPr>
          <w:b w:val="0"/>
          <w:sz w:val="20"/>
        </w:rPr>
        <w:lastRenderedPageBreak/>
        <w:t>H = HERCEPTIN; CT = chemotherapy</w:t>
      </w:r>
    </w:p>
    <w:bookmarkEnd w:id="5"/>
    <w:p w:rsidR="0018757A" w:rsidRPr="00A616C3" w:rsidRDefault="0018757A" w:rsidP="00657070">
      <w:pPr>
        <w:rPr>
          <w:lang w:val="en-GB"/>
        </w:rPr>
      </w:pPr>
      <w:r w:rsidRPr="00A616C3">
        <w:t>Study M77001 was a multinational, multi-centre, randomi</w:t>
      </w:r>
      <w:r w:rsidR="006A7DE4" w:rsidRPr="00A616C3">
        <w:t>z</w:t>
      </w:r>
      <w:r w:rsidRPr="00A616C3">
        <w:t xml:space="preserve">ed, controlled </w:t>
      </w:r>
      <w:r w:rsidR="006F4075" w:rsidRPr="00A616C3">
        <w:t>trial</w:t>
      </w:r>
      <w:r w:rsidRPr="00A616C3">
        <w:t xml:space="preserve"> investigating the safety and efficacy of HERCEPTIN in combination with </w:t>
      </w:r>
      <w:proofErr w:type="spellStart"/>
      <w:r w:rsidRPr="00A616C3">
        <w:t>docetaxel</w:t>
      </w:r>
      <w:proofErr w:type="spellEnd"/>
      <w:r w:rsidRPr="00A616C3">
        <w:t>, as first-line treatment in HER2</w:t>
      </w:r>
      <w:r w:rsidR="003F6F87" w:rsidRPr="00A616C3">
        <w:t xml:space="preserve"> </w:t>
      </w:r>
      <w:r w:rsidRPr="00A616C3">
        <w:t xml:space="preserve">positive metastatic breast cancer patients.  </w:t>
      </w:r>
      <w:r w:rsidR="00F83994" w:rsidRPr="00A616C3">
        <w:t xml:space="preserve">One hundred and eighty six </w:t>
      </w:r>
      <w:r w:rsidR="006F4075" w:rsidRPr="00A616C3">
        <w:t xml:space="preserve">patients </w:t>
      </w:r>
      <w:r w:rsidRPr="00A616C3">
        <w:rPr>
          <w:lang w:val="en-GB"/>
        </w:rPr>
        <w:t xml:space="preserve">received </w:t>
      </w:r>
      <w:proofErr w:type="spellStart"/>
      <w:r w:rsidRPr="00A616C3">
        <w:rPr>
          <w:lang w:val="en-GB"/>
        </w:rPr>
        <w:t>docetaxel</w:t>
      </w:r>
      <w:proofErr w:type="spellEnd"/>
      <w:r w:rsidRPr="00A616C3">
        <w:rPr>
          <w:lang w:val="en-GB"/>
        </w:rPr>
        <w:t xml:space="preserve"> (100 mg/m</w:t>
      </w:r>
      <w:r w:rsidRPr="00A616C3">
        <w:rPr>
          <w:vertAlign w:val="superscript"/>
          <w:lang w:val="en-GB"/>
        </w:rPr>
        <w:t>2</w:t>
      </w:r>
      <w:r w:rsidRPr="00A616C3">
        <w:rPr>
          <w:lang w:val="en-GB"/>
        </w:rPr>
        <w:t xml:space="preserve"> infused over 1 hour on Day 2) with or without HERCEPTIN </w:t>
      </w:r>
      <w:r w:rsidR="008C43BC">
        <w:rPr>
          <w:lang w:val="en-GB"/>
        </w:rPr>
        <w:t xml:space="preserve">IV </w:t>
      </w:r>
      <w:r w:rsidRPr="00A616C3">
        <w:rPr>
          <w:lang w:val="en-GB"/>
        </w:rPr>
        <w:t>(4 mg/kg loading dose</w:t>
      </w:r>
      <w:r w:rsidR="001A4ED9" w:rsidRPr="00A616C3">
        <w:rPr>
          <w:lang w:val="en-GB"/>
        </w:rPr>
        <w:t>, followed by 2 mg/kg weekly</w:t>
      </w:r>
      <w:r w:rsidRPr="00A616C3">
        <w:rPr>
          <w:lang w:val="en-GB"/>
        </w:rPr>
        <w:t xml:space="preserve">). Sixty percent of patients had received prior </w:t>
      </w:r>
      <w:proofErr w:type="spellStart"/>
      <w:r w:rsidRPr="00A616C3">
        <w:rPr>
          <w:lang w:val="en-GB"/>
        </w:rPr>
        <w:t>anthracycline</w:t>
      </w:r>
      <w:proofErr w:type="spellEnd"/>
      <w:r w:rsidRPr="00A616C3">
        <w:rPr>
          <w:lang w:val="en-GB"/>
        </w:rPr>
        <w:t xml:space="preserve"> based adjuvant chemotherapy.  HERCEPTIN </w:t>
      </w:r>
      <w:r w:rsidR="008C43BC">
        <w:rPr>
          <w:lang w:val="en-GB"/>
        </w:rPr>
        <w:t xml:space="preserve">IV </w:t>
      </w:r>
      <w:r w:rsidRPr="00A616C3">
        <w:rPr>
          <w:lang w:val="en-GB"/>
        </w:rPr>
        <w:t xml:space="preserve">with </w:t>
      </w:r>
      <w:proofErr w:type="spellStart"/>
      <w:r w:rsidRPr="00A616C3">
        <w:rPr>
          <w:lang w:val="en-GB"/>
        </w:rPr>
        <w:t>docetaxel</w:t>
      </w:r>
      <w:proofErr w:type="spellEnd"/>
      <w:r w:rsidRPr="00A616C3">
        <w:rPr>
          <w:lang w:val="en-GB"/>
        </w:rPr>
        <w:t xml:space="preserve"> was shown to be efficacious in patients whether or not they had received prior adjuvant </w:t>
      </w:r>
      <w:proofErr w:type="spellStart"/>
      <w:r w:rsidRPr="00A616C3">
        <w:rPr>
          <w:lang w:val="en-GB"/>
        </w:rPr>
        <w:t>anthracyclines</w:t>
      </w:r>
      <w:proofErr w:type="spellEnd"/>
      <w:r w:rsidR="005A23E9" w:rsidRPr="00A616C3">
        <w:rPr>
          <w:lang w:val="en-GB"/>
        </w:rPr>
        <w:t xml:space="preserve"> and regardless of their </w:t>
      </w:r>
      <w:r w:rsidR="001F3F98" w:rsidRPr="00A616C3">
        <w:rPr>
          <w:lang w:val="en-GB"/>
        </w:rPr>
        <w:t>o</w:t>
      </w:r>
      <w:r w:rsidR="005A23E9" w:rsidRPr="00A616C3">
        <w:rPr>
          <w:lang w:val="en-GB"/>
        </w:rPr>
        <w:t>estrogen and/or progesterone receptor status.</w:t>
      </w:r>
      <w:r w:rsidRPr="00A616C3">
        <w:rPr>
          <w:lang w:val="en-GB"/>
        </w:rPr>
        <w:t xml:space="preserve"> </w:t>
      </w:r>
    </w:p>
    <w:p w:rsidR="0018757A" w:rsidRPr="00A616C3" w:rsidRDefault="0018757A" w:rsidP="00981F4D">
      <w:r w:rsidRPr="00A616C3">
        <w:t>The combination of HERCEPTIN</w:t>
      </w:r>
      <w:r w:rsidR="000A3578" w:rsidRPr="00A616C3">
        <w:t xml:space="preserve"> </w:t>
      </w:r>
      <w:r w:rsidR="008C43BC">
        <w:t xml:space="preserve">IV </w:t>
      </w:r>
      <w:r w:rsidR="000A3578" w:rsidRPr="00A616C3">
        <w:t xml:space="preserve">+ </w:t>
      </w:r>
      <w:proofErr w:type="spellStart"/>
      <w:r w:rsidRPr="00A616C3">
        <w:t>docetaxel</w:t>
      </w:r>
      <w:proofErr w:type="spellEnd"/>
      <w:r w:rsidRPr="00A616C3">
        <w:t xml:space="preserve"> significantly increased response rate (61% </w:t>
      </w:r>
      <w:r w:rsidR="00EA1D12" w:rsidRPr="00A616C3">
        <w:t>vs.</w:t>
      </w:r>
      <w:r w:rsidRPr="00A616C3">
        <w:t xml:space="preserve"> 34%) and prolonged the median time to disease progression by </w:t>
      </w:r>
      <w:r w:rsidR="00502CFB" w:rsidRPr="00A616C3">
        <w:t>4.9</w:t>
      </w:r>
      <w:r w:rsidRPr="00A616C3">
        <w:t xml:space="preserve"> months compared with patients treated with </w:t>
      </w:r>
      <w:proofErr w:type="spellStart"/>
      <w:r w:rsidRPr="00A616C3">
        <w:t>docetaxel</w:t>
      </w:r>
      <w:proofErr w:type="spellEnd"/>
      <w:r w:rsidR="00CE28A8" w:rsidRPr="00A616C3">
        <w:t>-</w:t>
      </w:r>
      <w:r w:rsidRPr="00A616C3">
        <w:t xml:space="preserve">alone (see </w:t>
      </w:r>
      <w:r w:rsidR="00465440" w:rsidRPr="00A616C3">
        <w:t xml:space="preserve">Table </w:t>
      </w:r>
      <w:r w:rsidR="00966AC9" w:rsidRPr="00A616C3">
        <w:t>7</w:t>
      </w:r>
      <w:r w:rsidRPr="00A616C3">
        <w:t xml:space="preserve">). Median survival was also significantly increased in patients receiving the combination therapy compared with those receiving </w:t>
      </w:r>
      <w:proofErr w:type="spellStart"/>
      <w:r w:rsidRPr="00A616C3">
        <w:t>docetaxel</w:t>
      </w:r>
      <w:proofErr w:type="spellEnd"/>
      <w:r w:rsidR="00CE28A8" w:rsidRPr="00A616C3">
        <w:t>-</w:t>
      </w:r>
      <w:r w:rsidRPr="00A616C3">
        <w:t xml:space="preserve">alone (30.5 months </w:t>
      </w:r>
      <w:r w:rsidR="00EA1D12" w:rsidRPr="00A616C3">
        <w:t>vs.</w:t>
      </w:r>
      <w:r w:rsidRPr="00A616C3">
        <w:t xml:space="preserve"> 22.1 months) (see Figure 4).</w:t>
      </w:r>
      <w:r w:rsidR="009C4CBF">
        <w:t xml:space="preserve"> </w:t>
      </w:r>
    </w:p>
    <w:p w:rsidR="00426831" w:rsidRDefault="00426831">
      <w:pPr>
        <w:spacing w:after="0" w:line="240" w:lineRule="auto"/>
        <w:rPr>
          <w:b/>
        </w:rPr>
      </w:pPr>
      <w:r>
        <w:br w:type="page"/>
      </w:r>
    </w:p>
    <w:p w:rsidR="0018757A" w:rsidRPr="00A616C3" w:rsidRDefault="0018757A" w:rsidP="0018757A">
      <w:pPr>
        <w:pStyle w:val="TableHeading"/>
        <w:keepNext w:val="0"/>
        <w:tabs>
          <w:tab w:val="clear" w:pos="4680"/>
        </w:tabs>
        <w:suppressAutoHyphens w:val="0"/>
        <w:spacing w:before="0"/>
        <w:rPr>
          <w:kern w:val="0"/>
        </w:rPr>
      </w:pPr>
      <w:r w:rsidRPr="00A616C3">
        <w:rPr>
          <w:kern w:val="0"/>
        </w:rPr>
        <w:lastRenderedPageBreak/>
        <w:t xml:space="preserve">Figure 4   Survival Time: </w:t>
      </w:r>
      <w:proofErr w:type="spellStart"/>
      <w:r w:rsidR="00313B7A" w:rsidRPr="00A616C3">
        <w:rPr>
          <w:kern w:val="0"/>
        </w:rPr>
        <w:t>Docetaxel</w:t>
      </w:r>
      <w:proofErr w:type="spellEnd"/>
      <w:r w:rsidR="00313B7A" w:rsidRPr="00A616C3">
        <w:rPr>
          <w:kern w:val="0"/>
        </w:rPr>
        <w:t xml:space="preserve"> ± </w:t>
      </w:r>
      <w:r w:rsidRPr="00A616C3">
        <w:rPr>
          <w:kern w:val="0"/>
        </w:rPr>
        <w:t>HERCEPTIN (Study M77001)</w:t>
      </w:r>
    </w:p>
    <w:p w:rsidR="0018757A" w:rsidRPr="00A616C3" w:rsidRDefault="0018757A" w:rsidP="0018757A">
      <w:pPr>
        <w:rPr>
          <w:lang w:val="en-GB"/>
        </w:rPr>
      </w:pPr>
      <w:r w:rsidRPr="00A616C3">
        <w:rPr>
          <w:lang w:val="en-GB"/>
        </w:rPr>
        <w:t xml:space="preserve">                          </w:t>
      </w:r>
      <w:r w:rsidR="00814183">
        <w:rPr>
          <w:noProof/>
          <w:lang w:eastAsia="en-AU"/>
        </w:rPr>
        <w:drawing>
          <wp:inline distT="0" distB="0" distL="0" distR="0" wp14:anchorId="3FB9B50D" wp14:editId="52638086">
            <wp:extent cx="3638550" cy="2181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38550" cy="2181225"/>
                    </a:xfrm>
                    <a:prstGeom prst="rect">
                      <a:avLst/>
                    </a:prstGeom>
                    <a:noFill/>
                    <a:ln>
                      <a:noFill/>
                    </a:ln>
                  </pic:spPr>
                </pic:pic>
              </a:graphicData>
            </a:graphic>
          </wp:inline>
        </w:drawing>
      </w:r>
    </w:p>
    <w:p w:rsidR="00D04260" w:rsidRPr="00A616C3" w:rsidRDefault="00A7640D" w:rsidP="00A7640D">
      <w:pPr>
        <w:jc w:val="center"/>
        <w:rPr>
          <w:sz w:val="20"/>
        </w:rPr>
      </w:pPr>
      <w:r w:rsidRPr="00A616C3">
        <w:rPr>
          <w:sz w:val="20"/>
        </w:rPr>
        <w:t xml:space="preserve">Drug: </w:t>
      </w:r>
      <w:r w:rsidRPr="00A616C3">
        <w:rPr>
          <w:sz w:val="20"/>
          <w:vertAlign w:val="superscript"/>
        </w:rPr>
        <w:t>________</w:t>
      </w:r>
      <w:proofErr w:type="gramStart"/>
      <w:r w:rsidRPr="00A616C3">
        <w:rPr>
          <w:sz w:val="20"/>
          <w:vertAlign w:val="superscript"/>
        </w:rPr>
        <w:t>_</w:t>
      </w:r>
      <w:r w:rsidRPr="00A616C3">
        <w:rPr>
          <w:sz w:val="20"/>
        </w:rPr>
        <w:t xml:space="preserve">  Herceptin</w:t>
      </w:r>
      <w:proofErr w:type="gramEnd"/>
      <w:r w:rsidRPr="00A616C3">
        <w:rPr>
          <w:sz w:val="20"/>
        </w:rPr>
        <w:t xml:space="preserve"> + </w:t>
      </w:r>
      <w:proofErr w:type="spellStart"/>
      <w:r w:rsidRPr="00A616C3">
        <w:rPr>
          <w:sz w:val="20"/>
        </w:rPr>
        <w:t>docetaxel</w:t>
      </w:r>
      <w:proofErr w:type="spellEnd"/>
      <w:r w:rsidRPr="00A616C3">
        <w:rPr>
          <w:sz w:val="20"/>
        </w:rPr>
        <w:t xml:space="preserve">         ------------  </w:t>
      </w:r>
      <w:proofErr w:type="spellStart"/>
      <w:r w:rsidRPr="00A616C3">
        <w:rPr>
          <w:sz w:val="20"/>
        </w:rPr>
        <w:t>docetaxel</w:t>
      </w:r>
      <w:proofErr w:type="spellEnd"/>
      <w:r w:rsidR="00CE28A8" w:rsidRPr="00A616C3">
        <w:rPr>
          <w:sz w:val="20"/>
        </w:rPr>
        <w:t>-</w:t>
      </w:r>
      <w:r w:rsidRPr="00A616C3">
        <w:rPr>
          <w:sz w:val="20"/>
        </w:rPr>
        <w:t>alone</w:t>
      </w:r>
    </w:p>
    <w:p w:rsidR="00502CFB" w:rsidRPr="00A616C3" w:rsidRDefault="00755E60" w:rsidP="00755E60">
      <w:pPr>
        <w:pStyle w:val="Caption"/>
        <w:rPr>
          <w:rStyle w:val="TableHeadingChar"/>
        </w:rPr>
      </w:pPr>
      <w:bookmarkStart w:id="6" w:name="_Ref240689391"/>
      <w:r w:rsidRPr="00A616C3">
        <w:t>Table</w:t>
      </w:r>
      <w:r w:rsidR="00465440" w:rsidRPr="00A616C3">
        <w:t xml:space="preserve"> </w:t>
      </w:r>
      <w:bookmarkEnd w:id="6"/>
      <w:r w:rsidR="00966AC9" w:rsidRPr="00A616C3">
        <w:t>7</w:t>
      </w:r>
      <w:r w:rsidR="00502CFB" w:rsidRPr="00A616C3">
        <w:t xml:space="preserve">: </w:t>
      </w:r>
      <w:r w:rsidR="00502CFB" w:rsidRPr="00A616C3">
        <w:rPr>
          <w:rStyle w:val="TableHeadingChar"/>
        </w:rPr>
        <w:t xml:space="preserve">Efficacy Outcomes </w:t>
      </w:r>
      <w:r w:rsidR="00440247" w:rsidRPr="00A616C3">
        <w:rPr>
          <w:rStyle w:val="TableHeadingChar"/>
        </w:rPr>
        <w:t xml:space="preserve">with </w:t>
      </w:r>
      <w:r w:rsidR="00502CFB" w:rsidRPr="00A616C3">
        <w:rPr>
          <w:rStyle w:val="TableHeadingChar"/>
        </w:rPr>
        <w:t xml:space="preserve">Combination Therapy </w:t>
      </w:r>
      <w:r w:rsidR="009C5561" w:rsidRPr="00A616C3">
        <w:rPr>
          <w:rStyle w:val="TableHeadingChar"/>
        </w:rPr>
        <w:t>for Metastatic Breast Cancer</w:t>
      </w:r>
      <w:r w:rsidR="00502CFB" w:rsidRPr="00A616C3">
        <w:rPr>
          <w:rStyle w:val="TableHeadingChar"/>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027"/>
        <w:gridCol w:w="1028"/>
        <w:gridCol w:w="1027"/>
        <w:gridCol w:w="1028"/>
        <w:gridCol w:w="1135"/>
        <w:gridCol w:w="1135"/>
        <w:gridCol w:w="992"/>
        <w:gridCol w:w="1134"/>
      </w:tblGrid>
      <w:tr w:rsidR="00502CFB" w:rsidRPr="00A616C3" w:rsidTr="00586B97">
        <w:tc>
          <w:tcPr>
            <w:tcW w:w="1701" w:type="dxa"/>
            <w:vMerge w:val="restart"/>
            <w:tcBorders>
              <w:right w:val="double" w:sz="4" w:space="0" w:color="auto"/>
            </w:tcBorders>
            <w:shd w:val="clear" w:color="auto" w:fill="auto"/>
          </w:tcPr>
          <w:p w:rsidR="00502CFB" w:rsidRPr="00A616C3" w:rsidRDefault="00502CFB" w:rsidP="00586B97">
            <w:pPr>
              <w:pStyle w:val="TableHeading"/>
              <w:tabs>
                <w:tab w:val="clear" w:pos="4680"/>
                <w:tab w:val="center" w:pos="4111"/>
              </w:tabs>
              <w:spacing w:before="0" w:after="0"/>
              <w:rPr>
                <w:sz w:val="18"/>
                <w:szCs w:val="18"/>
              </w:rPr>
            </w:pPr>
          </w:p>
        </w:tc>
        <w:tc>
          <w:tcPr>
            <w:tcW w:w="6380" w:type="dxa"/>
            <w:gridSpan w:val="6"/>
            <w:tcBorders>
              <w:left w:val="double" w:sz="4" w:space="0" w:color="auto"/>
              <w:right w:val="single" w:sz="4" w:space="0" w:color="auto"/>
            </w:tcBorders>
            <w:shd w:val="clear" w:color="auto" w:fill="auto"/>
          </w:tcPr>
          <w:p w:rsidR="00502CFB" w:rsidRPr="00A616C3" w:rsidRDefault="00502CFB" w:rsidP="00586B97">
            <w:pPr>
              <w:pStyle w:val="TableHeading"/>
              <w:tabs>
                <w:tab w:val="clear" w:pos="4680"/>
                <w:tab w:val="center" w:pos="4111"/>
              </w:tabs>
              <w:spacing w:before="0" w:after="0"/>
              <w:rPr>
                <w:sz w:val="18"/>
                <w:szCs w:val="18"/>
              </w:rPr>
            </w:pPr>
            <w:r w:rsidRPr="00A616C3">
              <w:rPr>
                <w:sz w:val="18"/>
                <w:szCs w:val="18"/>
              </w:rPr>
              <w:t>H0648g</w:t>
            </w:r>
          </w:p>
        </w:tc>
        <w:tc>
          <w:tcPr>
            <w:tcW w:w="2126" w:type="dxa"/>
            <w:gridSpan w:val="2"/>
            <w:tcBorders>
              <w:left w:val="single" w:sz="4" w:space="0" w:color="auto"/>
            </w:tcBorders>
            <w:shd w:val="clear" w:color="auto" w:fill="auto"/>
          </w:tcPr>
          <w:p w:rsidR="00502CFB" w:rsidRPr="00A616C3" w:rsidRDefault="00502CFB" w:rsidP="00586B97">
            <w:pPr>
              <w:pStyle w:val="TableHeading"/>
              <w:tabs>
                <w:tab w:val="clear" w:pos="4680"/>
                <w:tab w:val="center" w:pos="4111"/>
              </w:tabs>
              <w:spacing w:before="0" w:after="0"/>
              <w:rPr>
                <w:sz w:val="18"/>
                <w:szCs w:val="18"/>
              </w:rPr>
            </w:pPr>
            <w:r w:rsidRPr="00A616C3">
              <w:rPr>
                <w:sz w:val="18"/>
                <w:szCs w:val="18"/>
              </w:rPr>
              <w:t>M77001</w:t>
            </w:r>
          </w:p>
        </w:tc>
      </w:tr>
      <w:tr w:rsidR="00502CFB" w:rsidRPr="00A616C3" w:rsidTr="00586B97">
        <w:tc>
          <w:tcPr>
            <w:tcW w:w="1701" w:type="dxa"/>
            <w:vMerge/>
            <w:tcBorders>
              <w:right w:val="double" w:sz="4" w:space="0" w:color="auto"/>
            </w:tcBorders>
            <w:shd w:val="clear" w:color="auto" w:fill="auto"/>
          </w:tcPr>
          <w:p w:rsidR="00502CFB" w:rsidRPr="00A616C3" w:rsidRDefault="00502CFB" w:rsidP="00586B97">
            <w:pPr>
              <w:pStyle w:val="TableHeading"/>
              <w:tabs>
                <w:tab w:val="clear" w:pos="4680"/>
                <w:tab w:val="center" w:pos="4111"/>
              </w:tabs>
              <w:spacing w:before="0" w:after="0"/>
              <w:jc w:val="left"/>
              <w:rPr>
                <w:sz w:val="18"/>
                <w:szCs w:val="18"/>
              </w:rPr>
            </w:pPr>
          </w:p>
        </w:tc>
        <w:tc>
          <w:tcPr>
            <w:tcW w:w="1027" w:type="dxa"/>
            <w:tcBorders>
              <w:left w:val="double" w:sz="4" w:space="0" w:color="auto"/>
              <w:bottom w:val="nil"/>
            </w:tcBorders>
            <w:shd w:val="clear" w:color="auto" w:fill="auto"/>
          </w:tcPr>
          <w:p w:rsidR="00502CFB" w:rsidRPr="00A616C3" w:rsidRDefault="00502CFB" w:rsidP="00586B97">
            <w:pPr>
              <w:spacing w:before="60" w:after="60"/>
              <w:jc w:val="center"/>
              <w:rPr>
                <w:b/>
                <w:sz w:val="18"/>
                <w:szCs w:val="18"/>
              </w:rPr>
            </w:pPr>
            <w:r w:rsidRPr="00A616C3">
              <w:rPr>
                <w:b/>
                <w:sz w:val="18"/>
                <w:szCs w:val="18"/>
              </w:rPr>
              <w:t xml:space="preserve">H + </w:t>
            </w:r>
            <w:r w:rsidR="008B5070" w:rsidRPr="00A616C3">
              <w:rPr>
                <w:b/>
                <w:sz w:val="18"/>
                <w:szCs w:val="18"/>
              </w:rPr>
              <w:t>c</w:t>
            </w:r>
            <w:r w:rsidRPr="00A616C3">
              <w:rPr>
                <w:b/>
                <w:sz w:val="18"/>
                <w:szCs w:val="18"/>
              </w:rPr>
              <w:t>hemo</w:t>
            </w:r>
          </w:p>
        </w:tc>
        <w:tc>
          <w:tcPr>
            <w:tcW w:w="1028" w:type="dxa"/>
            <w:tcBorders>
              <w:bottom w:val="nil"/>
            </w:tcBorders>
            <w:shd w:val="clear" w:color="auto" w:fill="auto"/>
          </w:tcPr>
          <w:p w:rsidR="00502CFB" w:rsidRPr="00A616C3" w:rsidRDefault="00502CFB" w:rsidP="00586B97">
            <w:pPr>
              <w:spacing w:before="60" w:after="60"/>
              <w:jc w:val="center"/>
              <w:rPr>
                <w:b/>
                <w:sz w:val="18"/>
                <w:szCs w:val="18"/>
              </w:rPr>
            </w:pPr>
            <w:r w:rsidRPr="00A616C3">
              <w:rPr>
                <w:b/>
                <w:sz w:val="18"/>
                <w:szCs w:val="18"/>
              </w:rPr>
              <w:t xml:space="preserve">Chemo </w:t>
            </w:r>
            <w:r w:rsidRPr="00A616C3">
              <w:rPr>
                <w:b/>
                <w:sz w:val="18"/>
                <w:szCs w:val="18"/>
              </w:rPr>
              <w:br/>
            </w:r>
            <w:r w:rsidR="008B5070" w:rsidRPr="00A616C3">
              <w:rPr>
                <w:b/>
                <w:sz w:val="18"/>
                <w:szCs w:val="18"/>
              </w:rPr>
              <w:t>a</w:t>
            </w:r>
            <w:r w:rsidRPr="00A616C3">
              <w:rPr>
                <w:b/>
                <w:sz w:val="18"/>
                <w:szCs w:val="18"/>
              </w:rPr>
              <w:t>lone</w:t>
            </w:r>
          </w:p>
        </w:tc>
        <w:tc>
          <w:tcPr>
            <w:tcW w:w="1027" w:type="dxa"/>
            <w:tcBorders>
              <w:bottom w:val="nil"/>
            </w:tcBorders>
            <w:shd w:val="clear" w:color="auto" w:fill="auto"/>
          </w:tcPr>
          <w:p w:rsidR="00502CFB" w:rsidRPr="00A616C3" w:rsidRDefault="00502CFB" w:rsidP="00586B97">
            <w:pPr>
              <w:spacing w:before="60" w:after="60"/>
              <w:jc w:val="center"/>
              <w:rPr>
                <w:b/>
                <w:sz w:val="18"/>
                <w:szCs w:val="18"/>
              </w:rPr>
            </w:pPr>
            <w:r w:rsidRPr="00A616C3">
              <w:rPr>
                <w:b/>
                <w:sz w:val="18"/>
                <w:szCs w:val="18"/>
              </w:rPr>
              <w:t>H + AC</w:t>
            </w:r>
          </w:p>
        </w:tc>
        <w:tc>
          <w:tcPr>
            <w:tcW w:w="1028" w:type="dxa"/>
            <w:tcBorders>
              <w:bottom w:val="nil"/>
            </w:tcBorders>
            <w:shd w:val="clear" w:color="auto" w:fill="auto"/>
          </w:tcPr>
          <w:p w:rsidR="00502CFB" w:rsidRPr="00A616C3" w:rsidRDefault="00502CFB" w:rsidP="00586B97">
            <w:pPr>
              <w:spacing w:before="60" w:after="60"/>
              <w:jc w:val="center"/>
              <w:rPr>
                <w:b/>
                <w:sz w:val="18"/>
                <w:szCs w:val="18"/>
              </w:rPr>
            </w:pPr>
            <w:r w:rsidRPr="00A616C3">
              <w:rPr>
                <w:b/>
                <w:sz w:val="18"/>
                <w:szCs w:val="18"/>
              </w:rPr>
              <w:t>AC alone</w:t>
            </w:r>
          </w:p>
        </w:tc>
        <w:tc>
          <w:tcPr>
            <w:tcW w:w="1135" w:type="dxa"/>
            <w:tcBorders>
              <w:bottom w:val="nil"/>
            </w:tcBorders>
            <w:shd w:val="clear" w:color="auto" w:fill="auto"/>
          </w:tcPr>
          <w:p w:rsidR="00502CFB" w:rsidRPr="00A616C3" w:rsidRDefault="00502CFB" w:rsidP="00586B97">
            <w:pPr>
              <w:spacing w:before="60" w:after="60"/>
              <w:jc w:val="center"/>
              <w:rPr>
                <w:b/>
                <w:sz w:val="18"/>
                <w:szCs w:val="18"/>
              </w:rPr>
            </w:pPr>
            <w:r w:rsidRPr="00A616C3">
              <w:rPr>
                <w:b/>
                <w:sz w:val="18"/>
                <w:szCs w:val="18"/>
              </w:rPr>
              <w:t xml:space="preserve">H + P </w:t>
            </w:r>
          </w:p>
        </w:tc>
        <w:tc>
          <w:tcPr>
            <w:tcW w:w="1135" w:type="dxa"/>
            <w:tcBorders>
              <w:bottom w:val="nil"/>
              <w:right w:val="single" w:sz="4" w:space="0" w:color="auto"/>
            </w:tcBorders>
            <w:shd w:val="clear" w:color="auto" w:fill="auto"/>
          </w:tcPr>
          <w:p w:rsidR="00502CFB" w:rsidRPr="00A616C3" w:rsidRDefault="00502CFB" w:rsidP="00586B97">
            <w:pPr>
              <w:spacing w:before="60" w:after="60"/>
              <w:jc w:val="center"/>
              <w:rPr>
                <w:b/>
                <w:sz w:val="18"/>
                <w:szCs w:val="18"/>
              </w:rPr>
            </w:pPr>
            <w:r w:rsidRPr="00A616C3">
              <w:rPr>
                <w:b/>
                <w:sz w:val="18"/>
                <w:szCs w:val="18"/>
              </w:rPr>
              <w:t xml:space="preserve">P </w:t>
            </w:r>
            <w:r w:rsidR="008B5070" w:rsidRPr="00A616C3">
              <w:rPr>
                <w:b/>
                <w:sz w:val="18"/>
                <w:szCs w:val="18"/>
              </w:rPr>
              <w:t>alone</w:t>
            </w:r>
          </w:p>
        </w:tc>
        <w:tc>
          <w:tcPr>
            <w:tcW w:w="992" w:type="dxa"/>
            <w:tcBorders>
              <w:left w:val="single" w:sz="4" w:space="0" w:color="auto"/>
              <w:bottom w:val="nil"/>
            </w:tcBorders>
            <w:shd w:val="clear" w:color="auto" w:fill="auto"/>
          </w:tcPr>
          <w:p w:rsidR="00502CFB" w:rsidRPr="00A616C3" w:rsidRDefault="00502CFB" w:rsidP="00586B97">
            <w:pPr>
              <w:spacing w:before="60" w:after="60"/>
              <w:jc w:val="center"/>
              <w:rPr>
                <w:b/>
                <w:sz w:val="18"/>
                <w:szCs w:val="18"/>
              </w:rPr>
            </w:pPr>
            <w:r w:rsidRPr="00A616C3">
              <w:rPr>
                <w:b/>
                <w:sz w:val="18"/>
                <w:szCs w:val="18"/>
              </w:rPr>
              <w:t>H + D</w:t>
            </w:r>
          </w:p>
        </w:tc>
        <w:tc>
          <w:tcPr>
            <w:tcW w:w="1134" w:type="dxa"/>
            <w:tcBorders>
              <w:bottom w:val="nil"/>
            </w:tcBorders>
            <w:shd w:val="clear" w:color="auto" w:fill="auto"/>
          </w:tcPr>
          <w:p w:rsidR="00502CFB" w:rsidRPr="00A616C3" w:rsidRDefault="00502CFB" w:rsidP="00586B97">
            <w:pPr>
              <w:spacing w:before="60" w:after="60"/>
              <w:jc w:val="center"/>
              <w:rPr>
                <w:b/>
                <w:sz w:val="18"/>
                <w:szCs w:val="18"/>
              </w:rPr>
            </w:pPr>
            <w:r w:rsidRPr="00A616C3">
              <w:rPr>
                <w:b/>
                <w:sz w:val="18"/>
                <w:szCs w:val="18"/>
              </w:rPr>
              <w:t>D alone</w:t>
            </w:r>
          </w:p>
        </w:tc>
      </w:tr>
      <w:tr w:rsidR="00502CFB" w:rsidRPr="00A616C3" w:rsidTr="00586B97">
        <w:tc>
          <w:tcPr>
            <w:tcW w:w="1701" w:type="dxa"/>
            <w:vMerge/>
            <w:tcBorders>
              <w:bottom w:val="double" w:sz="4" w:space="0" w:color="auto"/>
              <w:right w:val="double" w:sz="4" w:space="0" w:color="auto"/>
            </w:tcBorders>
            <w:shd w:val="clear" w:color="auto" w:fill="auto"/>
          </w:tcPr>
          <w:p w:rsidR="00502CFB" w:rsidRPr="00A616C3" w:rsidRDefault="00502CFB" w:rsidP="00586B97">
            <w:pPr>
              <w:pStyle w:val="TableHeading"/>
              <w:tabs>
                <w:tab w:val="clear" w:pos="4680"/>
                <w:tab w:val="center" w:pos="4111"/>
              </w:tabs>
              <w:spacing w:before="0" w:after="0"/>
              <w:rPr>
                <w:sz w:val="18"/>
                <w:szCs w:val="18"/>
              </w:rPr>
            </w:pPr>
          </w:p>
        </w:tc>
        <w:tc>
          <w:tcPr>
            <w:tcW w:w="1027" w:type="dxa"/>
            <w:tcBorders>
              <w:top w:val="nil"/>
              <w:left w:val="double" w:sz="4" w:space="0" w:color="auto"/>
              <w:bottom w:val="double" w:sz="4" w:space="0" w:color="auto"/>
            </w:tcBorders>
            <w:shd w:val="clear" w:color="auto" w:fill="auto"/>
          </w:tcPr>
          <w:p w:rsidR="00502CFB" w:rsidRPr="00A616C3" w:rsidRDefault="00F47F30" w:rsidP="00586B97">
            <w:pPr>
              <w:spacing w:before="60" w:after="60"/>
              <w:jc w:val="center"/>
              <w:rPr>
                <w:b/>
                <w:sz w:val="18"/>
                <w:szCs w:val="18"/>
              </w:rPr>
            </w:pPr>
            <w:r w:rsidRPr="00A616C3">
              <w:rPr>
                <w:b/>
                <w:i/>
                <w:sz w:val="18"/>
              </w:rPr>
              <w:t>n</w:t>
            </w:r>
            <w:r w:rsidRPr="00A616C3">
              <w:rPr>
                <w:b/>
                <w:i/>
                <w:sz w:val="18"/>
                <w:szCs w:val="18"/>
              </w:rPr>
              <w:t xml:space="preserve"> </w:t>
            </w:r>
            <w:r w:rsidR="00502CFB" w:rsidRPr="00A616C3">
              <w:rPr>
                <w:b/>
                <w:sz w:val="18"/>
                <w:szCs w:val="18"/>
              </w:rPr>
              <w:t>=</w:t>
            </w:r>
            <w:r w:rsidRPr="00A616C3">
              <w:rPr>
                <w:b/>
                <w:sz w:val="18"/>
                <w:szCs w:val="18"/>
              </w:rPr>
              <w:t xml:space="preserve"> </w:t>
            </w:r>
            <w:r w:rsidR="00502CFB" w:rsidRPr="00A616C3">
              <w:rPr>
                <w:b/>
                <w:sz w:val="18"/>
                <w:szCs w:val="18"/>
              </w:rPr>
              <w:t>235</w:t>
            </w:r>
          </w:p>
        </w:tc>
        <w:tc>
          <w:tcPr>
            <w:tcW w:w="1028" w:type="dxa"/>
            <w:tcBorders>
              <w:top w:val="nil"/>
              <w:bottom w:val="double" w:sz="4" w:space="0" w:color="auto"/>
            </w:tcBorders>
            <w:shd w:val="clear" w:color="auto" w:fill="auto"/>
          </w:tcPr>
          <w:p w:rsidR="00502CFB" w:rsidRPr="00A616C3" w:rsidRDefault="00F47F30" w:rsidP="00586B97">
            <w:pPr>
              <w:spacing w:before="60" w:after="60"/>
              <w:jc w:val="center"/>
              <w:rPr>
                <w:b/>
                <w:sz w:val="18"/>
                <w:szCs w:val="18"/>
              </w:rPr>
            </w:pPr>
            <w:r w:rsidRPr="00A616C3">
              <w:rPr>
                <w:b/>
                <w:i/>
                <w:sz w:val="18"/>
              </w:rPr>
              <w:t>n</w:t>
            </w:r>
            <w:r w:rsidRPr="00A616C3">
              <w:rPr>
                <w:b/>
                <w:i/>
                <w:sz w:val="18"/>
                <w:szCs w:val="18"/>
              </w:rPr>
              <w:t xml:space="preserve"> </w:t>
            </w:r>
            <w:r w:rsidR="00502CFB" w:rsidRPr="00A616C3">
              <w:rPr>
                <w:b/>
                <w:sz w:val="18"/>
                <w:szCs w:val="18"/>
              </w:rPr>
              <w:t>=</w:t>
            </w:r>
            <w:r w:rsidRPr="00A616C3">
              <w:rPr>
                <w:b/>
                <w:sz w:val="18"/>
                <w:szCs w:val="18"/>
              </w:rPr>
              <w:t xml:space="preserve"> </w:t>
            </w:r>
            <w:r w:rsidR="00502CFB" w:rsidRPr="00A616C3">
              <w:rPr>
                <w:b/>
                <w:sz w:val="18"/>
                <w:szCs w:val="18"/>
              </w:rPr>
              <w:t>234</w:t>
            </w:r>
          </w:p>
        </w:tc>
        <w:tc>
          <w:tcPr>
            <w:tcW w:w="1027" w:type="dxa"/>
            <w:tcBorders>
              <w:top w:val="nil"/>
              <w:bottom w:val="double" w:sz="4" w:space="0" w:color="auto"/>
            </w:tcBorders>
            <w:shd w:val="clear" w:color="auto" w:fill="auto"/>
          </w:tcPr>
          <w:p w:rsidR="00502CFB" w:rsidRPr="00A616C3" w:rsidRDefault="00F47F30" w:rsidP="00586B97">
            <w:pPr>
              <w:spacing w:before="60" w:after="60"/>
              <w:jc w:val="center"/>
              <w:rPr>
                <w:b/>
                <w:sz w:val="18"/>
                <w:szCs w:val="18"/>
              </w:rPr>
            </w:pPr>
            <w:r w:rsidRPr="00A616C3">
              <w:rPr>
                <w:b/>
                <w:i/>
                <w:sz w:val="18"/>
              </w:rPr>
              <w:t>n</w:t>
            </w:r>
            <w:r w:rsidRPr="00A616C3">
              <w:rPr>
                <w:b/>
                <w:i/>
                <w:sz w:val="18"/>
                <w:szCs w:val="18"/>
              </w:rPr>
              <w:t xml:space="preserve"> </w:t>
            </w:r>
            <w:r w:rsidR="00502CFB" w:rsidRPr="00A616C3">
              <w:rPr>
                <w:b/>
                <w:sz w:val="18"/>
                <w:szCs w:val="18"/>
              </w:rPr>
              <w:t>=</w:t>
            </w:r>
            <w:r w:rsidRPr="00A616C3">
              <w:rPr>
                <w:b/>
                <w:sz w:val="18"/>
                <w:szCs w:val="18"/>
              </w:rPr>
              <w:t xml:space="preserve"> </w:t>
            </w:r>
            <w:r w:rsidR="00502CFB" w:rsidRPr="00A616C3">
              <w:rPr>
                <w:b/>
                <w:sz w:val="18"/>
                <w:szCs w:val="18"/>
              </w:rPr>
              <w:t>143</w:t>
            </w:r>
          </w:p>
        </w:tc>
        <w:tc>
          <w:tcPr>
            <w:tcW w:w="1028" w:type="dxa"/>
            <w:tcBorders>
              <w:top w:val="nil"/>
              <w:bottom w:val="double" w:sz="4" w:space="0" w:color="auto"/>
            </w:tcBorders>
            <w:shd w:val="clear" w:color="auto" w:fill="auto"/>
          </w:tcPr>
          <w:p w:rsidR="00502CFB" w:rsidRPr="00A616C3" w:rsidRDefault="00F47F30" w:rsidP="00586B97">
            <w:pPr>
              <w:spacing w:before="60" w:after="60"/>
              <w:jc w:val="center"/>
              <w:rPr>
                <w:b/>
                <w:sz w:val="18"/>
                <w:szCs w:val="18"/>
              </w:rPr>
            </w:pPr>
            <w:r w:rsidRPr="00A616C3">
              <w:rPr>
                <w:b/>
                <w:i/>
                <w:sz w:val="18"/>
              </w:rPr>
              <w:t>n</w:t>
            </w:r>
            <w:r w:rsidRPr="00A616C3">
              <w:rPr>
                <w:b/>
                <w:i/>
                <w:sz w:val="18"/>
                <w:szCs w:val="18"/>
              </w:rPr>
              <w:t xml:space="preserve"> </w:t>
            </w:r>
            <w:r w:rsidR="00502CFB" w:rsidRPr="00A616C3">
              <w:rPr>
                <w:b/>
                <w:sz w:val="18"/>
                <w:szCs w:val="18"/>
              </w:rPr>
              <w:t>=</w:t>
            </w:r>
            <w:r w:rsidRPr="00A616C3">
              <w:rPr>
                <w:b/>
                <w:sz w:val="18"/>
                <w:szCs w:val="18"/>
              </w:rPr>
              <w:t xml:space="preserve"> </w:t>
            </w:r>
            <w:r w:rsidR="00502CFB" w:rsidRPr="00A616C3">
              <w:rPr>
                <w:b/>
                <w:sz w:val="18"/>
                <w:szCs w:val="18"/>
              </w:rPr>
              <w:t>138</w:t>
            </w:r>
          </w:p>
        </w:tc>
        <w:tc>
          <w:tcPr>
            <w:tcW w:w="1135" w:type="dxa"/>
            <w:tcBorders>
              <w:top w:val="nil"/>
              <w:bottom w:val="double" w:sz="4" w:space="0" w:color="auto"/>
            </w:tcBorders>
            <w:shd w:val="clear" w:color="auto" w:fill="auto"/>
          </w:tcPr>
          <w:p w:rsidR="00502CFB" w:rsidRPr="00A616C3" w:rsidRDefault="00F47F30" w:rsidP="00586B97">
            <w:pPr>
              <w:spacing w:before="60" w:after="60"/>
              <w:jc w:val="center"/>
              <w:rPr>
                <w:b/>
                <w:sz w:val="18"/>
                <w:szCs w:val="18"/>
              </w:rPr>
            </w:pPr>
            <w:r w:rsidRPr="00A616C3">
              <w:rPr>
                <w:b/>
                <w:i/>
                <w:sz w:val="18"/>
              </w:rPr>
              <w:t>n</w:t>
            </w:r>
            <w:r w:rsidRPr="00A616C3">
              <w:rPr>
                <w:b/>
                <w:i/>
                <w:sz w:val="18"/>
                <w:szCs w:val="18"/>
              </w:rPr>
              <w:t xml:space="preserve"> </w:t>
            </w:r>
            <w:r w:rsidR="00502CFB" w:rsidRPr="00A616C3">
              <w:rPr>
                <w:b/>
                <w:sz w:val="18"/>
                <w:szCs w:val="18"/>
              </w:rPr>
              <w:t>=</w:t>
            </w:r>
            <w:r w:rsidRPr="00A616C3">
              <w:rPr>
                <w:b/>
                <w:sz w:val="18"/>
                <w:szCs w:val="18"/>
              </w:rPr>
              <w:t xml:space="preserve"> </w:t>
            </w:r>
            <w:r w:rsidR="00502CFB" w:rsidRPr="00A616C3">
              <w:rPr>
                <w:b/>
                <w:sz w:val="18"/>
                <w:szCs w:val="18"/>
              </w:rPr>
              <w:t>92</w:t>
            </w:r>
          </w:p>
        </w:tc>
        <w:tc>
          <w:tcPr>
            <w:tcW w:w="1135" w:type="dxa"/>
            <w:tcBorders>
              <w:top w:val="nil"/>
              <w:bottom w:val="double" w:sz="4" w:space="0" w:color="auto"/>
              <w:right w:val="single" w:sz="4" w:space="0" w:color="auto"/>
            </w:tcBorders>
            <w:shd w:val="clear" w:color="auto" w:fill="auto"/>
          </w:tcPr>
          <w:p w:rsidR="00502CFB" w:rsidRPr="00A616C3" w:rsidRDefault="00F47F30" w:rsidP="00586B97">
            <w:pPr>
              <w:spacing w:before="60" w:after="60"/>
              <w:jc w:val="center"/>
              <w:rPr>
                <w:b/>
                <w:sz w:val="18"/>
                <w:szCs w:val="18"/>
              </w:rPr>
            </w:pPr>
            <w:r w:rsidRPr="00A616C3">
              <w:rPr>
                <w:b/>
                <w:i/>
                <w:sz w:val="18"/>
              </w:rPr>
              <w:t>n</w:t>
            </w:r>
            <w:r w:rsidRPr="00A616C3">
              <w:rPr>
                <w:b/>
                <w:i/>
                <w:sz w:val="18"/>
                <w:szCs w:val="18"/>
              </w:rPr>
              <w:t xml:space="preserve"> </w:t>
            </w:r>
            <w:r w:rsidR="00502CFB" w:rsidRPr="00A616C3">
              <w:rPr>
                <w:b/>
                <w:sz w:val="18"/>
                <w:szCs w:val="18"/>
              </w:rPr>
              <w:t>=</w:t>
            </w:r>
            <w:r w:rsidRPr="00A616C3">
              <w:rPr>
                <w:b/>
                <w:sz w:val="18"/>
                <w:szCs w:val="18"/>
              </w:rPr>
              <w:t xml:space="preserve"> </w:t>
            </w:r>
            <w:r w:rsidR="00502CFB" w:rsidRPr="00A616C3">
              <w:rPr>
                <w:b/>
                <w:sz w:val="18"/>
                <w:szCs w:val="18"/>
              </w:rPr>
              <w:t>9</w:t>
            </w:r>
            <w:r w:rsidR="008B5070" w:rsidRPr="00A616C3">
              <w:rPr>
                <w:b/>
                <w:sz w:val="18"/>
                <w:szCs w:val="18"/>
              </w:rPr>
              <w:t>6</w:t>
            </w:r>
          </w:p>
        </w:tc>
        <w:tc>
          <w:tcPr>
            <w:tcW w:w="992" w:type="dxa"/>
            <w:tcBorders>
              <w:top w:val="nil"/>
              <w:left w:val="single" w:sz="4" w:space="0" w:color="auto"/>
              <w:bottom w:val="double" w:sz="4" w:space="0" w:color="auto"/>
            </w:tcBorders>
            <w:shd w:val="clear" w:color="auto" w:fill="auto"/>
          </w:tcPr>
          <w:p w:rsidR="00502CFB" w:rsidRPr="00A616C3" w:rsidRDefault="00F47F30" w:rsidP="00586B97">
            <w:pPr>
              <w:spacing w:before="60" w:after="60"/>
              <w:jc w:val="center"/>
              <w:rPr>
                <w:b/>
                <w:sz w:val="18"/>
                <w:szCs w:val="18"/>
              </w:rPr>
            </w:pPr>
            <w:r w:rsidRPr="00A616C3">
              <w:rPr>
                <w:b/>
                <w:i/>
                <w:sz w:val="18"/>
              </w:rPr>
              <w:t>n</w:t>
            </w:r>
            <w:r w:rsidRPr="00A616C3">
              <w:rPr>
                <w:b/>
                <w:i/>
                <w:sz w:val="18"/>
                <w:szCs w:val="18"/>
              </w:rPr>
              <w:t xml:space="preserve"> </w:t>
            </w:r>
            <w:r w:rsidR="00502CFB" w:rsidRPr="00A616C3">
              <w:rPr>
                <w:b/>
                <w:sz w:val="18"/>
                <w:szCs w:val="18"/>
              </w:rPr>
              <w:t>=</w:t>
            </w:r>
            <w:r w:rsidRPr="00A616C3">
              <w:rPr>
                <w:b/>
                <w:sz w:val="18"/>
                <w:szCs w:val="18"/>
              </w:rPr>
              <w:t xml:space="preserve"> </w:t>
            </w:r>
            <w:r w:rsidR="00502CFB" w:rsidRPr="00A616C3">
              <w:rPr>
                <w:b/>
                <w:sz w:val="18"/>
                <w:szCs w:val="18"/>
              </w:rPr>
              <w:t>92</w:t>
            </w:r>
          </w:p>
        </w:tc>
        <w:tc>
          <w:tcPr>
            <w:tcW w:w="1134" w:type="dxa"/>
            <w:tcBorders>
              <w:top w:val="nil"/>
              <w:bottom w:val="double" w:sz="4" w:space="0" w:color="auto"/>
            </w:tcBorders>
            <w:shd w:val="clear" w:color="auto" w:fill="auto"/>
          </w:tcPr>
          <w:p w:rsidR="00502CFB" w:rsidRPr="00A616C3" w:rsidRDefault="00F47F30" w:rsidP="00586B97">
            <w:pPr>
              <w:spacing w:before="60" w:after="60"/>
              <w:jc w:val="center"/>
              <w:rPr>
                <w:b/>
                <w:sz w:val="18"/>
                <w:szCs w:val="18"/>
              </w:rPr>
            </w:pPr>
            <w:r w:rsidRPr="00A616C3">
              <w:rPr>
                <w:b/>
                <w:i/>
                <w:sz w:val="18"/>
              </w:rPr>
              <w:t>n</w:t>
            </w:r>
            <w:r w:rsidRPr="00A616C3">
              <w:rPr>
                <w:b/>
                <w:i/>
                <w:sz w:val="18"/>
                <w:szCs w:val="18"/>
              </w:rPr>
              <w:t xml:space="preserve"> </w:t>
            </w:r>
            <w:r w:rsidR="00502CFB" w:rsidRPr="00A616C3">
              <w:rPr>
                <w:b/>
                <w:sz w:val="18"/>
                <w:szCs w:val="18"/>
              </w:rPr>
              <w:t>=</w:t>
            </w:r>
            <w:r w:rsidRPr="00A616C3">
              <w:rPr>
                <w:b/>
                <w:sz w:val="18"/>
                <w:szCs w:val="18"/>
              </w:rPr>
              <w:t xml:space="preserve"> </w:t>
            </w:r>
            <w:r w:rsidR="00502CFB" w:rsidRPr="00A616C3">
              <w:rPr>
                <w:b/>
                <w:sz w:val="18"/>
                <w:szCs w:val="18"/>
              </w:rPr>
              <w:t>94</w:t>
            </w:r>
          </w:p>
        </w:tc>
      </w:tr>
      <w:tr w:rsidR="00502CFB" w:rsidRPr="00A616C3" w:rsidTr="00586B97">
        <w:tc>
          <w:tcPr>
            <w:tcW w:w="1701" w:type="dxa"/>
            <w:tcBorders>
              <w:top w:val="double" w:sz="4" w:space="0" w:color="auto"/>
              <w:bottom w:val="nil"/>
              <w:right w:val="double" w:sz="4" w:space="0" w:color="auto"/>
            </w:tcBorders>
            <w:shd w:val="clear" w:color="auto" w:fill="auto"/>
          </w:tcPr>
          <w:p w:rsidR="00502CFB" w:rsidRPr="00A616C3" w:rsidRDefault="00502CFB" w:rsidP="00586B97">
            <w:pPr>
              <w:pStyle w:val="TableHeading"/>
              <w:tabs>
                <w:tab w:val="clear" w:pos="4680"/>
                <w:tab w:val="center" w:pos="4111"/>
              </w:tabs>
              <w:spacing w:before="0" w:after="0"/>
              <w:jc w:val="left"/>
              <w:rPr>
                <w:sz w:val="18"/>
                <w:szCs w:val="18"/>
              </w:rPr>
            </w:pPr>
            <w:r w:rsidRPr="00A616C3">
              <w:rPr>
                <w:sz w:val="18"/>
                <w:szCs w:val="18"/>
              </w:rPr>
              <w:t>Median Time to Disease Progression (months, 95% CI)</w:t>
            </w:r>
          </w:p>
        </w:tc>
        <w:tc>
          <w:tcPr>
            <w:tcW w:w="1027" w:type="dxa"/>
            <w:tcBorders>
              <w:top w:val="double" w:sz="4" w:space="0" w:color="auto"/>
              <w:left w:val="double" w:sz="4" w:space="0" w:color="auto"/>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7.4</w:t>
            </w:r>
          </w:p>
          <w:p w:rsidR="00502CFB" w:rsidRPr="00A616C3" w:rsidRDefault="00502CFB" w:rsidP="00586B97">
            <w:pPr>
              <w:spacing w:before="60" w:after="60"/>
              <w:jc w:val="center"/>
              <w:rPr>
                <w:sz w:val="18"/>
                <w:szCs w:val="18"/>
              </w:rPr>
            </w:pPr>
            <w:r w:rsidRPr="00A616C3">
              <w:rPr>
                <w:sz w:val="18"/>
                <w:szCs w:val="18"/>
              </w:rPr>
              <w:t>(7.0, 9.0)</w:t>
            </w:r>
          </w:p>
        </w:tc>
        <w:tc>
          <w:tcPr>
            <w:tcW w:w="1028" w:type="dxa"/>
            <w:tcBorders>
              <w:top w:val="double" w:sz="4" w:space="0" w:color="auto"/>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 xml:space="preserve">4.6 </w:t>
            </w:r>
          </w:p>
          <w:p w:rsidR="00502CFB" w:rsidRPr="00A616C3" w:rsidRDefault="00502CFB" w:rsidP="00586B97">
            <w:pPr>
              <w:spacing w:before="60" w:after="60"/>
              <w:jc w:val="center"/>
              <w:rPr>
                <w:sz w:val="18"/>
                <w:szCs w:val="18"/>
              </w:rPr>
            </w:pPr>
            <w:r w:rsidRPr="00A616C3">
              <w:rPr>
                <w:sz w:val="18"/>
                <w:szCs w:val="18"/>
              </w:rPr>
              <w:t>(4.4, 5.4)</w:t>
            </w:r>
          </w:p>
        </w:tc>
        <w:tc>
          <w:tcPr>
            <w:tcW w:w="1027" w:type="dxa"/>
            <w:tcBorders>
              <w:top w:val="double" w:sz="4" w:space="0" w:color="auto"/>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7.8</w:t>
            </w:r>
          </w:p>
          <w:p w:rsidR="00502CFB" w:rsidRPr="00A616C3" w:rsidRDefault="00502CFB" w:rsidP="00586B97">
            <w:pPr>
              <w:spacing w:before="60" w:after="60"/>
              <w:jc w:val="center"/>
              <w:rPr>
                <w:sz w:val="18"/>
                <w:szCs w:val="18"/>
              </w:rPr>
            </w:pPr>
            <w:r w:rsidRPr="00A616C3">
              <w:rPr>
                <w:sz w:val="18"/>
                <w:szCs w:val="18"/>
              </w:rPr>
              <w:t>(7.3, 9.4)</w:t>
            </w:r>
          </w:p>
        </w:tc>
        <w:tc>
          <w:tcPr>
            <w:tcW w:w="1028" w:type="dxa"/>
            <w:tcBorders>
              <w:top w:val="double" w:sz="4" w:space="0" w:color="auto"/>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 xml:space="preserve">6.1 </w:t>
            </w:r>
          </w:p>
          <w:p w:rsidR="00502CFB" w:rsidRPr="00A616C3" w:rsidRDefault="00502CFB" w:rsidP="00586B97">
            <w:pPr>
              <w:spacing w:before="60" w:after="60"/>
              <w:jc w:val="center"/>
              <w:rPr>
                <w:sz w:val="18"/>
                <w:szCs w:val="18"/>
              </w:rPr>
            </w:pPr>
            <w:r w:rsidRPr="00A616C3">
              <w:rPr>
                <w:sz w:val="18"/>
                <w:szCs w:val="18"/>
              </w:rPr>
              <w:t>(4.9, 7.1)</w:t>
            </w:r>
          </w:p>
        </w:tc>
        <w:tc>
          <w:tcPr>
            <w:tcW w:w="1135" w:type="dxa"/>
            <w:tcBorders>
              <w:top w:val="double" w:sz="4" w:space="0" w:color="auto"/>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 xml:space="preserve">6.9 </w:t>
            </w:r>
          </w:p>
          <w:p w:rsidR="00502CFB" w:rsidRPr="00A616C3" w:rsidRDefault="00502CFB" w:rsidP="00586B97">
            <w:pPr>
              <w:spacing w:before="60" w:after="60"/>
              <w:jc w:val="center"/>
              <w:rPr>
                <w:sz w:val="18"/>
                <w:szCs w:val="18"/>
              </w:rPr>
            </w:pPr>
            <w:r w:rsidRPr="00A616C3">
              <w:rPr>
                <w:sz w:val="18"/>
                <w:szCs w:val="18"/>
              </w:rPr>
              <w:t>(5.3, 9.9)</w:t>
            </w:r>
          </w:p>
        </w:tc>
        <w:tc>
          <w:tcPr>
            <w:tcW w:w="1135" w:type="dxa"/>
            <w:tcBorders>
              <w:top w:val="double" w:sz="4" w:space="0" w:color="auto"/>
              <w:bottom w:val="nil"/>
              <w:right w:val="single" w:sz="4" w:space="0" w:color="auto"/>
            </w:tcBorders>
            <w:shd w:val="clear" w:color="auto" w:fill="auto"/>
          </w:tcPr>
          <w:p w:rsidR="00502CFB" w:rsidRPr="00A616C3" w:rsidRDefault="00502CFB" w:rsidP="00586B97">
            <w:pPr>
              <w:spacing w:before="60" w:after="60"/>
              <w:jc w:val="center"/>
              <w:rPr>
                <w:sz w:val="18"/>
                <w:szCs w:val="18"/>
              </w:rPr>
            </w:pPr>
            <w:r w:rsidRPr="00A616C3">
              <w:rPr>
                <w:sz w:val="18"/>
                <w:szCs w:val="18"/>
              </w:rPr>
              <w:t xml:space="preserve">3.0 </w:t>
            </w:r>
          </w:p>
          <w:p w:rsidR="00502CFB" w:rsidRPr="00A616C3" w:rsidRDefault="00502CFB" w:rsidP="00586B97">
            <w:pPr>
              <w:spacing w:before="60" w:after="60"/>
              <w:jc w:val="center"/>
              <w:rPr>
                <w:sz w:val="18"/>
                <w:szCs w:val="18"/>
              </w:rPr>
            </w:pPr>
            <w:r w:rsidRPr="00A616C3">
              <w:rPr>
                <w:sz w:val="18"/>
                <w:szCs w:val="18"/>
              </w:rPr>
              <w:t>(2.1, 4.3)</w:t>
            </w:r>
          </w:p>
        </w:tc>
        <w:tc>
          <w:tcPr>
            <w:tcW w:w="992" w:type="dxa"/>
            <w:tcBorders>
              <w:top w:val="double" w:sz="4" w:space="0" w:color="auto"/>
              <w:left w:val="single" w:sz="4" w:space="0" w:color="auto"/>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10.6</w:t>
            </w:r>
          </w:p>
          <w:p w:rsidR="00502CFB" w:rsidRPr="00A616C3" w:rsidRDefault="00502CFB" w:rsidP="00586B97">
            <w:pPr>
              <w:spacing w:before="60" w:after="60"/>
              <w:jc w:val="center"/>
              <w:rPr>
                <w:sz w:val="18"/>
                <w:szCs w:val="18"/>
              </w:rPr>
            </w:pPr>
            <w:r w:rsidRPr="00A616C3">
              <w:rPr>
                <w:sz w:val="18"/>
                <w:szCs w:val="18"/>
              </w:rPr>
              <w:t>(7.6, 12.9)</w:t>
            </w:r>
          </w:p>
        </w:tc>
        <w:tc>
          <w:tcPr>
            <w:tcW w:w="1134" w:type="dxa"/>
            <w:tcBorders>
              <w:top w:val="double" w:sz="4" w:space="0" w:color="auto"/>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5.7</w:t>
            </w:r>
          </w:p>
          <w:p w:rsidR="00502CFB" w:rsidRPr="00A616C3" w:rsidRDefault="00502CFB" w:rsidP="00586B97">
            <w:pPr>
              <w:spacing w:before="60" w:after="60"/>
              <w:jc w:val="center"/>
              <w:rPr>
                <w:sz w:val="18"/>
                <w:szCs w:val="18"/>
              </w:rPr>
            </w:pPr>
            <w:r w:rsidRPr="00A616C3">
              <w:rPr>
                <w:sz w:val="18"/>
                <w:szCs w:val="18"/>
              </w:rPr>
              <w:t>(5, 6.5)</w:t>
            </w:r>
          </w:p>
        </w:tc>
      </w:tr>
      <w:tr w:rsidR="00502CFB" w:rsidRPr="00A616C3" w:rsidTr="00586B97">
        <w:tc>
          <w:tcPr>
            <w:tcW w:w="1701" w:type="dxa"/>
            <w:tcBorders>
              <w:top w:val="nil"/>
              <w:right w:val="double" w:sz="4" w:space="0" w:color="auto"/>
            </w:tcBorders>
            <w:shd w:val="clear" w:color="auto" w:fill="auto"/>
          </w:tcPr>
          <w:p w:rsidR="00502CFB" w:rsidRPr="00A616C3" w:rsidRDefault="00502CFB" w:rsidP="00586B97">
            <w:pPr>
              <w:spacing w:before="60" w:after="60"/>
              <w:rPr>
                <w:b/>
                <w:i/>
                <w:sz w:val="18"/>
                <w:szCs w:val="18"/>
              </w:rPr>
            </w:pPr>
            <w:r w:rsidRPr="00A616C3">
              <w:rPr>
                <w:b/>
                <w:i/>
                <w:sz w:val="18"/>
                <w:szCs w:val="18"/>
              </w:rPr>
              <w:t>p</w:t>
            </w:r>
            <w:r w:rsidRPr="00A616C3">
              <w:rPr>
                <w:b/>
                <w:sz w:val="18"/>
                <w:szCs w:val="18"/>
              </w:rPr>
              <w:t>-value</w:t>
            </w:r>
            <w:r w:rsidR="004162F4" w:rsidRPr="00A616C3">
              <w:rPr>
                <w:b/>
                <w:i/>
                <w:sz w:val="18"/>
                <w:szCs w:val="18"/>
              </w:rPr>
              <w:t xml:space="preserve"> </w:t>
            </w:r>
            <w:r w:rsidR="004162F4" w:rsidRPr="00A616C3">
              <w:rPr>
                <w:sz w:val="20"/>
                <w:vertAlign w:val="superscript"/>
                <w:lang w:val="en-GB"/>
              </w:rPr>
              <w:t>a</w:t>
            </w:r>
          </w:p>
        </w:tc>
        <w:tc>
          <w:tcPr>
            <w:tcW w:w="2055" w:type="dxa"/>
            <w:gridSpan w:val="2"/>
            <w:tcBorders>
              <w:top w:val="nil"/>
              <w:left w:val="double" w:sz="4" w:space="0" w:color="auto"/>
            </w:tcBorders>
            <w:shd w:val="clear" w:color="auto" w:fill="auto"/>
          </w:tcPr>
          <w:p w:rsidR="00502CFB" w:rsidRPr="00A616C3" w:rsidRDefault="00EE54AC" w:rsidP="00586B97">
            <w:pPr>
              <w:spacing w:before="60" w:after="60"/>
              <w:jc w:val="center"/>
              <w:rPr>
                <w:sz w:val="18"/>
                <w:szCs w:val="18"/>
              </w:rPr>
            </w:pPr>
            <w:r w:rsidRPr="00A616C3">
              <w:rPr>
                <w:i/>
                <w:sz w:val="18"/>
                <w:szCs w:val="18"/>
              </w:rPr>
              <w:t>p</w:t>
            </w:r>
            <w:r w:rsidRPr="00A616C3">
              <w:rPr>
                <w:sz w:val="18"/>
                <w:szCs w:val="18"/>
              </w:rPr>
              <w:t>=</w:t>
            </w:r>
            <w:r w:rsidR="00502CFB" w:rsidRPr="00A616C3">
              <w:rPr>
                <w:sz w:val="18"/>
                <w:szCs w:val="18"/>
              </w:rPr>
              <w:t>0.0001</w:t>
            </w:r>
          </w:p>
        </w:tc>
        <w:tc>
          <w:tcPr>
            <w:tcW w:w="2055" w:type="dxa"/>
            <w:gridSpan w:val="2"/>
            <w:tcBorders>
              <w:top w:val="nil"/>
            </w:tcBorders>
            <w:shd w:val="clear" w:color="auto" w:fill="auto"/>
          </w:tcPr>
          <w:p w:rsidR="00502CFB" w:rsidRPr="00A616C3" w:rsidRDefault="00502CFB" w:rsidP="00586B97">
            <w:pPr>
              <w:spacing w:before="60" w:after="60"/>
              <w:jc w:val="center"/>
              <w:rPr>
                <w:i/>
                <w:sz w:val="18"/>
                <w:szCs w:val="18"/>
              </w:rPr>
            </w:pPr>
            <w:r w:rsidRPr="00A616C3">
              <w:rPr>
                <w:i/>
                <w:sz w:val="18"/>
                <w:szCs w:val="18"/>
              </w:rPr>
              <w:t>p</w:t>
            </w:r>
            <w:r w:rsidRPr="00A616C3">
              <w:rPr>
                <w:sz w:val="18"/>
                <w:szCs w:val="18"/>
              </w:rPr>
              <w:t>=0.0004</w:t>
            </w:r>
          </w:p>
        </w:tc>
        <w:tc>
          <w:tcPr>
            <w:tcW w:w="2270" w:type="dxa"/>
            <w:gridSpan w:val="2"/>
            <w:tcBorders>
              <w:top w:val="nil"/>
              <w:right w:val="single" w:sz="4" w:space="0" w:color="auto"/>
            </w:tcBorders>
            <w:shd w:val="clear" w:color="auto" w:fill="auto"/>
          </w:tcPr>
          <w:p w:rsidR="00502CFB" w:rsidRPr="00A616C3" w:rsidRDefault="00502CFB" w:rsidP="00586B97">
            <w:pPr>
              <w:spacing w:before="60" w:after="60"/>
              <w:jc w:val="center"/>
              <w:rPr>
                <w:sz w:val="18"/>
                <w:szCs w:val="18"/>
              </w:rPr>
            </w:pPr>
            <w:r w:rsidRPr="00A616C3">
              <w:rPr>
                <w:i/>
                <w:sz w:val="18"/>
                <w:szCs w:val="18"/>
              </w:rPr>
              <w:t>p</w:t>
            </w:r>
            <w:r w:rsidRPr="00A616C3">
              <w:rPr>
                <w:sz w:val="18"/>
                <w:szCs w:val="18"/>
              </w:rPr>
              <w:t>=0.0001</w:t>
            </w:r>
          </w:p>
        </w:tc>
        <w:tc>
          <w:tcPr>
            <w:tcW w:w="2126" w:type="dxa"/>
            <w:gridSpan w:val="2"/>
            <w:tcBorders>
              <w:top w:val="nil"/>
              <w:left w:val="single" w:sz="4" w:space="0" w:color="auto"/>
            </w:tcBorders>
            <w:shd w:val="clear" w:color="auto" w:fill="auto"/>
          </w:tcPr>
          <w:p w:rsidR="00502CFB" w:rsidRPr="00A616C3" w:rsidRDefault="00502CFB" w:rsidP="00586B97">
            <w:pPr>
              <w:spacing w:before="60" w:after="60"/>
              <w:jc w:val="center"/>
              <w:rPr>
                <w:sz w:val="18"/>
                <w:szCs w:val="18"/>
              </w:rPr>
            </w:pPr>
            <w:r w:rsidRPr="00A616C3">
              <w:rPr>
                <w:i/>
                <w:sz w:val="18"/>
                <w:szCs w:val="18"/>
              </w:rPr>
              <w:t>p=</w:t>
            </w:r>
            <w:r w:rsidRPr="00A616C3">
              <w:rPr>
                <w:sz w:val="18"/>
                <w:szCs w:val="18"/>
              </w:rPr>
              <w:t>0.0001</w:t>
            </w:r>
          </w:p>
        </w:tc>
      </w:tr>
      <w:tr w:rsidR="00502CFB" w:rsidRPr="00A616C3" w:rsidTr="00586B97">
        <w:tc>
          <w:tcPr>
            <w:tcW w:w="1701" w:type="dxa"/>
            <w:tcBorders>
              <w:bottom w:val="nil"/>
              <w:right w:val="double" w:sz="4" w:space="0" w:color="auto"/>
            </w:tcBorders>
            <w:shd w:val="clear" w:color="auto" w:fill="auto"/>
          </w:tcPr>
          <w:p w:rsidR="00502CFB" w:rsidRPr="00A616C3" w:rsidRDefault="00502CFB" w:rsidP="00586B97">
            <w:pPr>
              <w:spacing w:before="60" w:after="60"/>
              <w:rPr>
                <w:b/>
                <w:sz w:val="18"/>
                <w:szCs w:val="18"/>
              </w:rPr>
            </w:pPr>
            <w:r w:rsidRPr="00A616C3">
              <w:rPr>
                <w:b/>
                <w:sz w:val="18"/>
                <w:szCs w:val="18"/>
              </w:rPr>
              <w:t>Response Rate (%)</w:t>
            </w:r>
          </w:p>
        </w:tc>
        <w:tc>
          <w:tcPr>
            <w:tcW w:w="1027" w:type="dxa"/>
            <w:tcBorders>
              <w:left w:val="double" w:sz="4" w:space="0" w:color="auto"/>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50</w:t>
            </w:r>
          </w:p>
        </w:tc>
        <w:tc>
          <w:tcPr>
            <w:tcW w:w="1028"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32</w:t>
            </w:r>
          </w:p>
        </w:tc>
        <w:tc>
          <w:tcPr>
            <w:tcW w:w="1027"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56</w:t>
            </w:r>
          </w:p>
        </w:tc>
        <w:tc>
          <w:tcPr>
            <w:tcW w:w="1028"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42</w:t>
            </w:r>
          </w:p>
        </w:tc>
        <w:tc>
          <w:tcPr>
            <w:tcW w:w="1135"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41</w:t>
            </w:r>
          </w:p>
        </w:tc>
        <w:tc>
          <w:tcPr>
            <w:tcW w:w="1135" w:type="dxa"/>
            <w:tcBorders>
              <w:bottom w:val="nil"/>
              <w:right w:val="single" w:sz="4" w:space="0" w:color="auto"/>
            </w:tcBorders>
            <w:shd w:val="clear" w:color="auto" w:fill="auto"/>
          </w:tcPr>
          <w:p w:rsidR="00502CFB" w:rsidRPr="00A616C3" w:rsidRDefault="00502CFB" w:rsidP="00586B97">
            <w:pPr>
              <w:spacing w:before="60" w:after="60"/>
              <w:jc w:val="center"/>
              <w:rPr>
                <w:sz w:val="18"/>
                <w:szCs w:val="18"/>
              </w:rPr>
            </w:pPr>
            <w:r w:rsidRPr="00A616C3">
              <w:rPr>
                <w:sz w:val="18"/>
                <w:szCs w:val="18"/>
              </w:rPr>
              <w:t>17</w:t>
            </w:r>
          </w:p>
        </w:tc>
        <w:tc>
          <w:tcPr>
            <w:tcW w:w="992" w:type="dxa"/>
            <w:tcBorders>
              <w:left w:val="single" w:sz="4" w:space="0" w:color="auto"/>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61</w:t>
            </w:r>
          </w:p>
        </w:tc>
        <w:tc>
          <w:tcPr>
            <w:tcW w:w="1134"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34</w:t>
            </w:r>
          </w:p>
        </w:tc>
      </w:tr>
      <w:tr w:rsidR="00502CFB" w:rsidRPr="00A616C3" w:rsidTr="00586B97">
        <w:tc>
          <w:tcPr>
            <w:tcW w:w="1701" w:type="dxa"/>
            <w:tcBorders>
              <w:top w:val="nil"/>
              <w:right w:val="double" w:sz="4" w:space="0" w:color="auto"/>
            </w:tcBorders>
            <w:shd w:val="clear" w:color="auto" w:fill="auto"/>
          </w:tcPr>
          <w:p w:rsidR="00502CFB" w:rsidRPr="00A616C3" w:rsidRDefault="00502CFB" w:rsidP="00586B97">
            <w:pPr>
              <w:spacing w:before="60" w:after="60"/>
              <w:rPr>
                <w:b/>
                <w:sz w:val="18"/>
                <w:szCs w:val="18"/>
              </w:rPr>
            </w:pPr>
            <w:r w:rsidRPr="00A616C3">
              <w:rPr>
                <w:b/>
                <w:i/>
                <w:sz w:val="18"/>
                <w:szCs w:val="18"/>
              </w:rPr>
              <w:t>p</w:t>
            </w:r>
            <w:r w:rsidRPr="00A616C3">
              <w:rPr>
                <w:b/>
                <w:sz w:val="18"/>
                <w:szCs w:val="18"/>
              </w:rPr>
              <w:t>-value</w:t>
            </w:r>
            <w:r w:rsidR="004162F4" w:rsidRPr="00A616C3">
              <w:rPr>
                <w:b/>
                <w:i/>
                <w:sz w:val="18"/>
                <w:szCs w:val="18"/>
              </w:rPr>
              <w:t xml:space="preserve"> </w:t>
            </w:r>
            <w:r w:rsidR="004162F4" w:rsidRPr="00A616C3">
              <w:rPr>
                <w:sz w:val="20"/>
                <w:vertAlign w:val="superscript"/>
                <w:lang w:val="en-GB"/>
              </w:rPr>
              <w:t>b</w:t>
            </w:r>
          </w:p>
        </w:tc>
        <w:tc>
          <w:tcPr>
            <w:tcW w:w="2055" w:type="dxa"/>
            <w:gridSpan w:val="2"/>
            <w:tcBorders>
              <w:top w:val="nil"/>
              <w:left w:val="double" w:sz="4" w:space="0" w:color="auto"/>
            </w:tcBorders>
            <w:shd w:val="clear" w:color="auto" w:fill="auto"/>
          </w:tcPr>
          <w:p w:rsidR="00502CFB" w:rsidRPr="00A616C3" w:rsidRDefault="00EE54AC" w:rsidP="00586B97">
            <w:pPr>
              <w:spacing w:before="60" w:after="60"/>
              <w:jc w:val="center"/>
              <w:rPr>
                <w:sz w:val="18"/>
                <w:szCs w:val="18"/>
              </w:rPr>
            </w:pPr>
            <w:r w:rsidRPr="00A616C3">
              <w:rPr>
                <w:i/>
                <w:sz w:val="18"/>
                <w:szCs w:val="18"/>
              </w:rPr>
              <w:t>p</w:t>
            </w:r>
            <w:r w:rsidR="00502CFB" w:rsidRPr="00A616C3">
              <w:rPr>
                <w:sz w:val="18"/>
                <w:szCs w:val="18"/>
              </w:rPr>
              <w:t>&lt;0.0001</w:t>
            </w:r>
          </w:p>
        </w:tc>
        <w:tc>
          <w:tcPr>
            <w:tcW w:w="2055" w:type="dxa"/>
            <w:gridSpan w:val="2"/>
            <w:tcBorders>
              <w:top w:val="nil"/>
            </w:tcBorders>
            <w:shd w:val="clear" w:color="auto" w:fill="auto"/>
          </w:tcPr>
          <w:p w:rsidR="00502CFB" w:rsidRPr="00A616C3" w:rsidRDefault="00502CFB" w:rsidP="00586B97">
            <w:pPr>
              <w:spacing w:before="60" w:after="60"/>
              <w:jc w:val="center"/>
              <w:rPr>
                <w:i/>
                <w:sz w:val="18"/>
                <w:szCs w:val="18"/>
              </w:rPr>
            </w:pPr>
            <w:r w:rsidRPr="00A616C3">
              <w:rPr>
                <w:i/>
                <w:sz w:val="18"/>
                <w:szCs w:val="18"/>
              </w:rPr>
              <w:t>p</w:t>
            </w:r>
            <w:r w:rsidRPr="00A616C3">
              <w:rPr>
                <w:sz w:val="18"/>
                <w:szCs w:val="18"/>
              </w:rPr>
              <w:t>=0.0197</w:t>
            </w:r>
          </w:p>
        </w:tc>
        <w:tc>
          <w:tcPr>
            <w:tcW w:w="2270" w:type="dxa"/>
            <w:gridSpan w:val="2"/>
            <w:tcBorders>
              <w:top w:val="nil"/>
              <w:right w:val="single" w:sz="4" w:space="0" w:color="auto"/>
            </w:tcBorders>
            <w:shd w:val="clear" w:color="auto" w:fill="auto"/>
          </w:tcPr>
          <w:p w:rsidR="00502CFB" w:rsidRPr="00A616C3" w:rsidRDefault="00502CFB" w:rsidP="00586B97">
            <w:pPr>
              <w:spacing w:before="60" w:after="60"/>
              <w:jc w:val="center"/>
              <w:rPr>
                <w:sz w:val="18"/>
                <w:szCs w:val="18"/>
              </w:rPr>
            </w:pPr>
            <w:r w:rsidRPr="00A616C3">
              <w:rPr>
                <w:i/>
                <w:sz w:val="18"/>
                <w:szCs w:val="18"/>
              </w:rPr>
              <w:t>p</w:t>
            </w:r>
            <w:r w:rsidRPr="00A616C3">
              <w:rPr>
                <w:sz w:val="18"/>
                <w:szCs w:val="18"/>
              </w:rPr>
              <w:t>=0.0002</w:t>
            </w:r>
          </w:p>
        </w:tc>
        <w:tc>
          <w:tcPr>
            <w:tcW w:w="2126" w:type="dxa"/>
            <w:gridSpan w:val="2"/>
            <w:tcBorders>
              <w:top w:val="nil"/>
              <w:left w:val="single" w:sz="4" w:space="0" w:color="auto"/>
            </w:tcBorders>
            <w:shd w:val="clear" w:color="auto" w:fill="auto"/>
          </w:tcPr>
          <w:p w:rsidR="00502CFB" w:rsidRPr="00A616C3" w:rsidRDefault="00502CFB" w:rsidP="00586B97">
            <w:pPr>
              <w:spacing w:before="60" w:after="60"/>
              <w:jc w:val="center"/>
              <w:rPr>
                <w:sz w:val="18"/>
                <w:szCs w:val="18"/>
              </w:rPr>
            </w:pPr>
            <w:r w:rsidRPr="00A616C3">
              <w:rPr>
                <w:i/>
                <w:sz w:val="18"/>
                <w:szCs w:val="18"/>
              </w:rPr>
              <w:t>p</w:t>
            </w:r>
            <w:r w:rsidRPr="00A616C3">
              <w:rPr>
                <w:sz w:val="18"/>
                <w:szCs w:val="18"/>
              </w:rPr>
              <w:t>=0.0002</w:t>
            </w:r>
          </w:p>
        </w:tc>
      </w:tr>
      <w:tr w:rsidR="00502CFB" w:rsidRPr="00A616C3" w:rsidTr="00586B97">
        <w:trPr>
          <w:trHeight w:val="724"/>
        </w:trPr>
        <w:tc>
          <w:tcPr>
            <w:tcW w:w="1701" w:type="dxa"/>
            <w:tcBorders>
              <w:bottom w:val="nil"/>
              <w:right w:val="double" w:sz="4" w:space="0" w:color="auto"/>
            </w:tcBorders>
            <w:shd w:val="clear" w:color="auto" w:fill="auto"/>
          </w:tcPr>
          <w:p w:rsidR="00502CFB" w:rsidRPr="00A616C3" w:rsidRDefault="00502CFB" w:rsidP="00586B97">
            <w:pPr>
              <w:spacing w:before="60" w:after="60"/>
              <w:rPr>
                <w:b/>
                <w:sz w:val="18"/>
                <w:szCs w:val="18"/>
              </w:rPr>
            </w:pPr>
            <w:r w:rsidRPr="00A616C3">
              <w:rPr>
                <w:b/>
                <w:sz w:val="18"/>
                <w:szCs w:val="18"/>
              </w:rPr>
              <w:t>Median Duration of Response                 (months, 95% CI)</w:t>
            </w:r>
          </w:p>
        </w:tc>
        <w:tc>
          <w:tcPr>
            <w:tcW w:w="1027" w:type="dxa"/>
            <w:tcBorders>
              <w:left w:val="double" w:sz="4" w:space="0" w:color="auto"/>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 xml:space="preserve">9.1 </w:t>
            </w:r>
          </w:p>
          <w:p w:rsidR="00502CFB" w:rsidRPr="00A616C3" w:rsidRDefault="00502CFB" w:rsidP="00586B97">
            <w:pPr>
              <w:spacing w:before="60" w:after="60"/>
              <w:jc w:val="center"/>
              <w:rPr>
                <w:sz w:val="18"/>
                <w:szCs w:val="18"/>
              </w:rPr>
            </w:pPr>
            <w:r w:rsidRPr="00A616C3">
              <w:rPr>
                <w:sz w:val="18"/>
                <w:szCs w:val="18"/>
              </w:rPr>
              <w:t>(7.7,11)</w:t>
            </w:r>
          </w:p>
        </w:tc>
        <w:tc>
          <w:tcPr>
            <w:tcW w:w="1028"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 xml:space="preserve">6.1 </w:t>
            </w:r>
          </w:p>
          <w:p w:rsidR="00502CFB" w:rsidRPr="00A616C3" w:rsidRDefault="00502CFB" w:rsidP="00586B97">
            <w:pPr>
              <w:spacing w:before="60" w:after="60"/>
              <w:jc w:val="center"/>
              <w:rPr>
                <w:sz w:val="18"/>
                <w:szCs w:val="18"/>
              </w:rPr>
            </w:pPr>
            <w:r w:rsidRPr="00A616C3">
              <w:rPr>
                <w:sz w:val="18"/>
                <w:szCs w:val="18"/>
              </w:rPr>
              <w:t>(5.5,7.8)</w:t>
            </w:r>
          </w:p>
        </w:tc>
        <w:tc>
          <w:tcPr>
            <w:tcW w:w="1027"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9.1</w:t>
            </w:r>
          </w:p>
          <w:p w:rsidR="00502CFB" w:rsidRPr="00A616C3" w:rsidRDefault="00502CFB" w:rsidP="00586B97">
            <w:pPr>
              <w:spacing w:before="60" w:after="60"/>
              <w:jc w:val="center"/>
              <w:rPr>
                <w:sz w:val="18"/>
                <w:szCs w:val="18"/>
              </w:rPr>
            </w:pPr>
            <w:r w:rsidRPr="00A616C3">
              <w:rPr>
                <w:sz w:val="18"/>
                <w:szCs w:val="18"/>
              </w:rPr>
              <w:t xml:space="preserve"> </w:t>
            </w:r>
            <w:r w:rsidR="008B5070" w:rsidRPr="00A616C3">
              <w:rPr>
                <w:sz w:val="18"/>
                <w:szCs w:val="18"/>
              </w:rPr>
              <w:t>(</w:t>
            </w:r>
            <w:r w:rsidRPr="00A616C3">
              <w:rPr>
                <w:sz w:val="18"/>
                <w:szCs w:val="18"/>
              </w:rPr>
              <w:t>7.4,12.2)</w:t>
            </w:r>
          </w:p>
        </w:tc>
        <w:tc>
          <w:tcPr>
            <w:tcW w:w="1028"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6.7</w:t>
            </w:r>
          </w:p>
          <w:p w:rsidR="00502CFB" w:rsidRPr="00A616C3" w:rsidRDefault="00502CFB" w:rsidP="00586B97">
            <w:pPr>
              <w:spacing w:before="60" w:after="60"/>
              <w:jc w:val="center"/>
              <w:rPr>
                <w:sz w:val="18"/>
                <w:szCs w:val="18"/>
              </w:rPr>
            </w:pPr>
            <w:r w:rsidRPr="00A616C3">
              <w:rPr>
                <w:sz w:val="18"/>
                <w:szCs w:val="18"/>
              </w:rPr>
              <w:t>(5.8, 8.2)</w:t>
            </w:r>
          </w:p>
        </w:tc>
        <w:tc>
          <w:tcPr>
            <w:tcW w:w="1135"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 xml:space="preserve">10.5 </w:t>
            </w:r>
          </w:p>
          <w:p w:rsidR="00502CFB" w:rsidRPr="00A616C3" w:rsidRDefault="00502CFB" w:rsidP="00586B97">
            <w:pPr>
              <w:spacing w:before="60" w:after="60"/>
              <w:jc w:val="center"/>
              <w:rPr>
                <w:sz w:val="18"/>
                <w:szCs w:val="18"/>
              </w:rPr>
            </w:pPr>
            <w:r w:rsidRPr="00A616C3">
              <w:rPr>
                <w:sz w:val="18"/>
                <w:szCs w:val="18"/>
              </w:rPr>
              <w:t>(7.3, 12.5)</w:t>
            </w:r>
          </w:p>
        </w:tc>
        <w:tc>
          <w:tcPr>
            <w:tcW w:w="1135" w:type="dxa"/>
            <w:tcBorders>
              <w:bottom w:val="nil"/>
              <w:right w:val="single" w:sz="4" w:space="0" w:color="auto"/>
            </w:tcBorders>
            <w:shd w:val="clear" w:color="auto" w:fill="auto"/>
          </w:tcPr>
          <w:p w:rsidR="00502CFB" w:rsidRPr="00A616C3" w:rsidRDefault="00502CFB" w:rsidP="00586B97">
            <w:pPr>
              <w:spacing w:before="60" w:after="60"/>
              <w:jc w:val="center"/>
              <w:rPr>
                <w:sz w:val="18"/>
                <w:szCs w:val="18"/>
              </w:rPr>
            </w:pPr>
            <w:r w:rsidRPr="00A616C3">
              <w:rPr>
                <w:sz w:val="18"/>
                <w:szCs w:val="18"/>
              </w:rPr>
              <w:t xml:space="preserve">4.5 </w:t>
            </w:r>
          </w:p>
          <w:p w:rsidR="00502CFB" w:rsidRPr="00A616C3" w:rsidRDefault="00502CFB" w:rsidP="00586B97">
            <w:pPr>
              <w:spacing w:before="60" w:after="60"/>
              <w:jc w:val="center"/>
              <w:rPr>
                <w:sz w:val="18"/>
                <w:szCs w:val="18"/>
              </w:rPr>
            </w:pPr>
            <w:r w:rsidRPr="00A616C3">
              <w:rPr>
                <w:sz w:val="18"/>
                <w:szCs w:val="18"/>
              </w:rPr>
              <w:t>(3.9, 6.4)</w:t>
            </w:r>
          </w:p>
        </w:tc>
        <w:tc>
          <w:tcPr>
            <w:tcW w:w="992" w:type="dxa"/>
            <w:tcBorders>
              <w:left w:val="single" w:sz="4" w:space="0" w:color="auto"/>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11.4</w:t>
            </w:r>
          </w:p>
          <w:p w:rsidR="00502CFB" w:rsidRPr="00A616C3" w:rsidRDefault="00502CFB" w:rsidP="00586B97">
            <w:pPr>
              <w:spacing w:before="60" w:after="60"/>
              <w:jc w:val="center"/>
              <w:rPr>
                <w:sz w:val="18"/>
                <w:szCs w:val="18"/>
              </w:rPr>
            </w:pPr>
            <w:r w:rsidRPr="00A616C3">
              <w:rPr>
                <w:sz w:val="18"/>
                <w:szCs w:val="18"/>
              </w:rPr>
              <w:t>(8.3, 15.0)</w:t>
            </w:r>
          </w:p>
        </w:tc>
        <w:tc>
          <w:tcPr>
            <w:tcW w:w="1134"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5.5</w:t>
            </w:r>
          </w:p>
          <w:p w:rsidR="00502CFB" w:rsidRPr="00A616C3" w:rsidRDefault="00502CFB" w:rsidP="00586B97">
            <w:pPr>
              <w:spacing w:before="60" w:after="60"/>
              <w:jc w:val="center"/>
              <w:rPr>
                <w:sz w:val="18"/>
                <w:szCs w:val="18"/>
              </w:rPr>
            </w:pPr>
            <w:r w:rsidRPr="00A616C3">
              <w:rPr>
                <w:sz w:val="18"/>
                <w:szCs w:val="18"/>
              </w:rPr>
              <w:t>(4.4, 6.2)</w:t>
            </w:r>
          </w:p>
        </w:tc>
      </w:tr>
      <w:tr w:rsidR="00502CFB" w:rsidRPr="00A616C3" w:rsidTr="00586B97">
        <w:tc>
          <w:tcPr>
            <w:tcW w:w="1701" w:type="dxa"/>
            <w:tcBorders>
              <w:top w:val="nil"/>
              <w:right w:val="double" w:sz="4" w:space="0" w:color="auto"/>
            </w:tcBorders>
            <w:shd w:val="clear" w:color="auto" w:fill="auto"/>
          </w:tcPr>
          <w:p w:rsidR="00502CFB" w:rsidRPr="00A616C3" w:rsidRDefault="00502CFB" w:rsidP="00586B97">
            <w:pPr>
              <w:spacing w:before="60" w:after="60"/>
              <w:rPr>
                <w:b/>
                <w:sz w:val="18"/>
                <w:szCs w:val="18"/>
              </w:rPr>
            </w:pPr>
            <w:r w:rsidRPr="00A616C3">
              <w:rPr>
                <w:b/>
                <w:i/>
                <w:sz w:val="18"/>
                <w:szCs w:val="18"/>
              </w:rPr>
              <w:t>p</w:t>
            </w:r>
            <w:r w:rsidRPr="00A616C3">
              <w:rPr>
                <w:b/>
                <w:sz w:val="18"/>
                <w:szCs w:val="18"/>
              </w:rPr>
              <w:t>-value</w:t>
            </w:r>
            <w:r w:rsidR="004162F4" w:rsidRPr="00A616C3">
              <w:rPr>
                <w:b/>
                <w:i/>
                <w:sz w:val="18"/>
                <w:szCs w:val="18"/>
              </w:rPr>
              <w:t xml:space="preserve"> </w:t>
            </w:r>
            <w:r w:rsidR="004162F4" w:rsidRPr="00A616C3">
              <w:rPr>
                <w:sz w:val="20"/>
                <w:vertAlign w:val="superscript"/>
                <w:lang w:val="en-GB"/>
              </w:rPr>
              <w:t>a</w:t>
            </w:r>
          </w:p>
        </w:tc>
        <w:tc>
          <w:tcPr>
            <w:tcW w:w="2055" w:type="dxa"/>
            <w:gridSpan w:val="2"/>
            <w:tcBorders>
              <w:top w:val="nil"/>
              <w:left w:val="double" w:sz="4" w:space="0" w:color="auto"/>
            </w:tcBorders>
            <w:shd w:val="clear" w:color="auto" w:fill="auto"/>
          </w:tcPr>
          <w:p w:rsidR="00502CFB" w:rsidRPr="00A616C3" w:rsidRDefault="00EE54AC" w:rsidP="00586B97">
            <w:pPr>
              <w:spacing w:before="60" w:after="60"/>
              <w:jc w:val="center"/>
              <w:rPr>
                <w:sz w:val="18"/>
                <w:szCs w:val="18"/>
              </w:rPr>
            </w:pPr>
            <w:r w:rsidRPr="00A616C3">
              <w:rPr>
                <w:i/>
                <w:sz w:val="18"/>
                <w:szCs w:val="18"/>
              </w:rPr>
              <w:t>p</w:t>
            </w:r>
            <w:r w:rsidR="00502CFB" w:rsidRPr="00A616C3">
              <w:rPr>
                <w:sz w:val="18"/>
                <w:szCs w:val="18"/>
              </w:rPr>
              <w:t>=0.0002</w:t>
            </w:r>
          </w:p>
        </w:tc>
        <w:tc>
          <w:tcPr>
            <w:tcW w:w="2055" w:type="dxa"/>
            <w:gridSpan w:val="2"/>
            <w:tcBorders>
              <w:top w:val="nil"/>
            </w:tcBorders>
            <w:shd w:val="clear" w:color="auto" w:fill="auto"/>
          </w:tcPr>
          <w:p w:rsidR="00502CFB" w:rsidRPr="00A616C3" w:rsidRDefault="00502CFB" w:rsidP="00586B97">
            <w:pPr>
              <w:spacing w:before="60" w:after="60"/>
              <w:jc w:val="center"/>
              <w:rPr>
                <w:i/>
                <w:sz w:val="18"/>
                <w:szCs w:val="18"/>
              </w:rPr>
            </w:pPr>
            <w:r w:rsidRPr="00A616C3">
              <w:rPr>
                <w:i/>
                <w:sz w:val="18"/>
                <w:szCs w:val="18"/>
              </w:rPr>
              <w:t>p</w:t>
            </w:r>
            <w:r w:rsidRPr="00A616C3">
              <w:rPr>
                <w:sz w:val="18"/>
                <w:szCs w:val="18"/>
              </w:rPr>
              <w:t>=0.0047</w:t>
            </w:r>
          </w:p>
        </w:tc>
        <w:tc>
          <w:tcPr>
            <w:tcW w:w="2270" w:type="dxa"/>
            <w:gridSpan w:val="2"/>
            <w:tcBorders>
              <w:top w:val="nil"/>
              <w:right w:val="single" w:sz="4" w:space="0" w:color="auto"/>
            </w:tcBorders>
            <w:shd w:val="clear" w:color="auto" w:fill="auto"/>
          </w:tcPr>
          <w:p w:rsidR="00502CFB" w:rsidRPr="00A616C3" w:rsidRDefault="00502CFB" w:rsidP="00586B97">
            <w:pPr>
              <w:spacing w:before="60" w:after="60"/>
              <w:jc w:val="center"/>
              <w:rPr>
                <w:sz w:val="18"/>
                <w:szCs w:val="18"/>
              </w:rPr>
            </w:pPr>
            <w:r w:rsidRPr="00A616C3">
              <w:rPr>
                <w:i/>
                <w:sz w:val="18"/>
                <w:szCs w:val="18"/>
              </w:rPr>
              <w:t>p</w:t>
            </w:r>
            <w:r w:rsidRPr="00A616C3">
              <w:rPr>
                <w:sz w:val="18"/>
                <w:szCs w:val="18"/>
              </w:rPr>
              <w:t>=0.0124</w:t>
            </w:r>
          </w:p>
        </w:tc>
        <w:tc>
          <w:tcPr>
            <w:tcW w:w="2126" w:type="dxa"/>
            <w:gridSpan w:val="2"/>
            <w:tcBorders>
              <w:top w:val="nil"/>
              <w:left w:val="single" w:sz="4" w:space="0" w:color="auto"/>
            </w:tcBorders>
            <w:shd w:val="clear" w:color="auto" w:fill="auto"/>
          </w:tcPr>
          <w:p w:rsidR="00502CFB" w:rsidRPr="00A616C3" w:rsidRDefault="00502CFB" w:rsidP="00586B97">
            <w:pPr>
              <w:spacing w:before="60" w:after="60"/>
              <w:jc w:val="center"/>
              <w:rPr>
                <w:sz w:val="18"/>
                <w:szCs w:val="18"/>
              </w:rPr>
            </w:pPr>
            <w:r w:rsidRPr="00A616C3">
              <w:rPr>
                <w:i/>
                <w:sz w:val="18"/>
                <w:szCs w:val="18"/>
              </w:rPr>
              <w:t>p</w:t>
            </w:r>
            <w:r w:rsidRPr="00A616C3">
              <w:rPr>
                <w:sz w:val="18"/>
                <w:szCs w:val="18"/>
              </w:rPr>
              <w:t>=0.0002</w:t>
            </w:r>
          </w:p>
        </w:tc>
      </w:tr>
      <w:tr w:rsidR="00502CFB" w:rsidRPr="00A616C3" w:rsidTr="00586B97">
        <w:tc>
          <w:tcPr>
            <w:tcW w:w="1701" w:type="dxa"/>
            <w:tcBorders>
              <w:bottom w:val="nil"/>
              <w:right w:val="double" w:sz="4" w:space="0" w:color="auto"/>
            </w:tcBorders>
            <w:shd w:val="clear" w:color="auto" w:fill="auto"/>
          </w:tcPr>
          <w:p w:rsidR="00502CFB" w:rsidRPr="00A616C3" w:rsidRDefault="00502CFB" w:rsidP="00586B97">
            <w:pPr>
              <w:spacing w:before="60" w:after="60"/>
              <w:rPr>
                <w:b/>
                <w:sz w:val="18"/>
                <w:szCs w:val="18"/>
              </w:rPr>
            </w:pPr>
            <w:r w:rsidRPr="00A616C3">
              <w:rPr>
                <w:b/>
                <w:sz w:val="18"/>
                <w:szCs w:val="18"/>
              </w:rPr>
              <w:t>Overall Survival (months, 95% CI)</w:t>
            </w:r>
          </w:p>
        </w:tc>
        <w:tc>
          <w:tcPr>
            <w:tcW w:w="1027" w:type="dxa"/>
            <w:tcBorders>
              <w:left w:val="double" w:sz="4" w:space="0" w:color="auto"/>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24.8</w:t>
            </w:r>
          </w:p>
          <w:p w:rsidR="00502CFB" w:rsidRPr="00A616C3" w:rsidRDefault="00502CFB" w:rsidP="00586B97">
            <w:pPr>
              <w:spacing w:before="60" w:after="60"/>
              <w:jc w:val="center"/>
              <w:rPr>
                <w:sz w:val="18"/>
                <w:szCs w:val="18"/>
              </w:rPr>
            </w:pPr>
            <w:r w:rsidRPr="00A616C3">
              <w:rPr>
                <w:sz w:val="18"/>
                <w:szCs w:val="18"/>
              </w:rPr>
              <w:t>(22.3,33.7)</w:t>
            </w:r>
          </w:p>
        </w:tc>
        <w:tc>
          <w:tcPr>
            <w:tcW w:w="1028"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20.5</w:t>
            </w:r>
          </w:p>
          <w:p w:rsidR="00502CFB" w:rsidRPr="00A616C3" w:rsidRDefault="00502CFB" w:rsidP="00586B97">
            <w:pPr>
              <w:spacing w:before="60" w:after="60"/>
              <w:jc w:val="center"/>
              <w:rPr>
                <w:sz w:val="18"/>
                <w:szCs w:val="18"/>
              </w:rPr>
            </w:pPr>
            <w:r w:rsidRPr="00A616C3">
              <w:rPr>
                <w:sz w:val="18"/>
                <w:szCs w:val="18"/>
              </w:rPr>
              <w:t>(17.9,25.3)</w:t>
            </w:r>
          </w:p>
        </w:tc>
        <w:tc>
          <w:tcPr>
            <w:tcW w:w="1027"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33.4</w:t>
            </w:r>
          </w:p>
          <w:p w:rsidR="00502CFB" w:rsidRPr="00A616C3" w:rsidRDefault="00502CFB" w:rsidP="00586B97">
            <w:pPr>
              <w:spacing w:before="60" w:after="60"/>
              <w:jc w:val="center"/>
              <w:rPr>
                <w:sz w:val="18"/>
                <w:szCs w:val="18"/>
              </w:rPr>
            </w:pPr>
            <w:r w:rsidRPr="00A616C3">
              <w:rPr>
                <w:sz w:val="18"/>
                <w:szCs w:val="18"/>
              </w:rPr>
              <w:t>(22.8,38.1)</w:t>
            </w:r>
          </w:p>
        </w:tc>
        <w:tc>
          <w:tcPr>
            <w:tcW w:w="1028"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22.8</w:t>
            </w:r>
          </w:p>
          <w:p w:rsidR="00502CFB" w:rsidRPr="00A616C3" w:rsidRDefault="00502CFB" w:rsidP="00586B97">
            <w:pPr>
              <w:spacing w:before="60" w:after="60"/>
              <w:jc w:val="center"/>
              <w:rPr>
                <w:sz w:val="18"/>
                <w:szCs w:val="18"/>
              </w:rPr>
            </w:pPr>
            <w:r w:rsidRPr="00A616C3">
              <w:rPr>
                <w:sz w:val="18"/>
                <w:szCs w:val="18"/>
              </w:rPr>
              <w:t>(18.3,29.8)</w:t>
            </w:r>
          </w:p>
        </w:tc>
        <w:tc>
          <w:tcPr>
            <w:tcW w:w="1135"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22.1</w:t>
            </w:r>
          </w:p>
          <w:p w:rsidR="00502CFB" w:rsidRPr="00A616C3" w:rsidRDefault="00502CFB" w:rsidP="00586B97">
            <w:pPr>
              <w:spacing w:before="60" w:after="60"/>
              <w:jc w:val="center"/>
              <w:rPr>
                <w:sz w:val="18"/>
                <w:szCs w:val="18"/>
              </w:rPr>
            </w:pPr>
            <w:r w:rsidRPr="00A616C3">
              <w:rPr>
                <w:sz w:val="18"/>
                <w:szCs w:val="18"/>
              </w:rPr>
              <w:t>(16.9,33.7)</w:t>
            </w:r>
          </w:p>
        </w:tc>
        <w:tc>
          <w:tcPr>
            <w:tcW w:w="1135" w:type="dxa"/>
            <w:tcBorders>
              <w:bottom w:val="nil"/>
              <w:right w:val="single" w:sz="4" w:space="0" w:color="auto"/>
            </w:tcBorders>
            <w:shd w:val="clear" w:color="auto" w:fill="auto"/>
          </w:tcPr>
          <w:p w:rsidR="00502CFB" w:rsidRPr="00A616C3" w:rsidRDefault="00502CFB" w:rsidP="00586B97">
            <w:pPr>
              <w:spacing w:before="60" w:after="60"/>
              <w:jc w:val="center"/>
              <w:rPr>
                <w:sz w:val="18"/>
                <w:szCs w:val="18"/>
              </w:rPr>
            </w:pPr>
            <w:r w:rsidRPr="00A616C3">
              <w:rPr>
                <w:sz w:val="18"/>
                <w:szCs w:val="18"/>
              </w:rPr>
              <w:t>18.4</w:t>
            </w:r>
          </w:p>
          <w:p w:rsidR="00502CFB" w:rsidRPr="00A616C3" w:rsidRDefault="00502CFB" w:rsidP="00586B97">
            <w:pPr>
              <w:spacing w:before="60" w:after="60"/>
              <w:jc w:val="center"/>
              <w:rPr>
                <w:sz w:val="18"/>
                <w:szCs w:val="18"/>
              </w:rPr>
            </w:pPr>
            <w:r w:rsidRPr="00A616C3">
              <w:rPr>
                <w:sz w:val="18"/>
                <w:szCs w:val="18"/>
              </w:rPr>
              <w:t>(12.7,23.8)</w:t>
            </w:r>
          </w:p>
        </w:tc>
        <w:tc>
          <w:tcPr>
            <w:tcW w:w="992" w:type="dxa"/>
            <w:tcBorders>
              <w:left w:val="single" w:sz="4" w:space="0" w:color="auto"/>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30.5</w:t>
            </w:r>
          </w:p>
          <w:p w:rsidR="00502CFB" w:rsidRPr="00A616C3" w:rsidRDefault="00502CFB" w:rsidP="00586B97">
            <w:pPr>
              <w:spacing w:before="60" w:after="60"/>
              <w:jc w:val="center"/>
              <w:rPr>
                <w:sz w:val="18"/>
                <w:szCs w:val="18"/>
              </w:rPr>
            </w:pPr>
            <w:r w:rsidRPr="00A616C3">
              <w:rPr>
                <w:sz w:val="18"/>
                <w:szCs w:val="18"/>
              </w:rPr>
              <w:t>(26.8,</w:t>
            </w:r>
            <w:r w:rsidR="00B64AAB" w:rsidRPr="00A616C3">
              <w:rPr>
                <w:sz w:val="18"/>
                <w:szCs w:val="18"/>
              </w:rPr>
              <w:t xml:space="preserve"> ne</w:t>
            </w:r>
            <w:r w:rsidRPr="00A616C3">
              <w:rPr>
                <w:sz w:val="18"/>
                <w:szCs w:val="18"/>
              </w:rPr>
              <w:t>)</w:t>
            </w:r>
          </w:p>
        </w:tc>
        <w:tc>
          <w:tcPr>
            <w:tcW w:w="1134" w:type="dxa"/>
            <w:tcBorders>
              <w:bottom w:val="nil"/>
            </w:tcBorders>
            <w:shd w:val="clear" w:color="auto" w:fill="auto"/>
          </w:tcPr>
          <w:p w:rsidR="00502CFB" w:rsidRPr="00A616C3" w:rsidRDefault="00502CFB" w:rsidP="00586B97">
            <w:pPr>
              <w:spacing w:before="60" w:after="60"/>
              <w:jc w:val="center"/>
              <w:rPr>
                <w:sz w:val="18"/>
                <w:szCs w:val="18"/>
              </w:rPr>
            </w:pPr>
            <w:r w:rsidRPr="00A616C3">
              <w:rPr>
                <w:sz w:val="18"/>
                <w:szCs w:val="18"/>
              </w:rPr>
              <w:t>22.1</w:t>
            </w:r>
          </w:p>
          <w:p w:rsidR="00502CFB" w:rsidRPr="00A616C3" w:rsidRDefault="00502CFB" w:rsidP="00586B97">
            <w:pPr>
              <w:spacing w:before="60" w:after="60"/>
              <w:jc w:val="center"/>
              <w:rPr>
                <w:sz w:val="18"/>
                <w:szCs w:val="18"/>
              </w:rPr>
            </w:pPr>
            <w:r w:rsidRPr="00A616C3">
              <w:rPr>
                <w:sz w:val="18"/>
                <w:szCs w:val="18"/>
              </w:rPr>
              <w:t>(17.6, 28.9)</w:t>
            </w:r>
          </w:p>
        </w:tc>
      </w:tr>
      <w:tr w:rsidR="00502CFB" w:rsidRPr="00A616C3" w:rsidTr="00586B97">
        <w:tc>
          <w:tcPr>
            <w:tcW w:w="1701" w:type="dxa"/>
            <w:tcBorders>
              <w:top w:val="nil"/>
              <w:bottom w:val="single" w:sz="4" w:space="0" w:color="auto"/>
              <w:right w:val="double" w:sz="4" w:space="0" w:color="auto"/>
            </w:tcBorders>
            <w:shd w:val="clear" w:color="auto" w:fill="auto"/>
          </w:tcPr>
          <w:p w:rsidR="00502CFB" w:rsidRPr="00A616C3" w:rsidRDefault="00502CFB" w:rsidP="00586B97">
            <w:pPr>
              <w:spacing w:before="60" w:after="60"/>
              <w:rPr>
                <w:sz w:val="18"/>
                <w:szCs w:val="18"/>
              </w:rPr>
            </w:pPr>
            <w:r w:rsidRPr="00A616C3">
              <w:rPr>
                <w:b/>
                <w:i/>
                <w:sz w:val="18"/>
                <w:szCs w:val="18"/>
              </w:rPr>
              <w:t>p</w:t>
            </w:r>
            <w:r w:rsidRPr="00A616C3">
              <w:rPr>
                <w:b/>
                <w:sz w:val="18"/>
                <w:szCs w:val="18"/>
              </w:rPr>
              <w:t>-value</w:t>
            </w:r>
            <w:r w:rsidR="004162F4" w:rsidRPr="00A616C3">
              <w:rPr>
                <w:b/>
                <w:i/>
                <w:sz w:val="18"/>
                <w:szCs w:val="18"/>
              </w:rPr>
              <w:t xml:space="preserve"> </w:t>
            </w:r>
            <w:r w:rsidR="004162F4" w:rsidRPr="00A616C3">
              <w:rPr>
                <w:sz w:val="20"/>
                <w:vertAlign w:val="superscript"/>
                <w:lang w:val="en-GB"/>
              </w:rPr>
              <w:t>a</w:t>
            </w:r>
          </w:p>
        </w:tc>
        <w:tc>
          <w:tcPr>
            <w:tcW w:w="2055" w:type="dxa"/>
            <w:gridSpan w:val="2"/>
            <w:tcBorders>
              <w:top w:val="nil"/>
              <w:left w:val="double" w:sz="4" w:space="0" w:color="auto"/>
              <w:bottom w:val="single" w:sz="4" w:space="0" w:color="auto"/>
            </w:tcBorders>
            <w:shd w:val="clear" w:color="auto" w:fill="auto"/>
          </w:tcPr>
          <w:p w:rsidR="00502CFB" w:rsidRPr="00A616C3" w:rsidRDefault="00EE54AC" w:rsidP="00586B97">
            <w:pPr>
              <w:spacing w:before="60" w:after="60"/>
              <w:jc w:val="center"/>
              <w:rPr>
                <w:sz w:val="18"/>
                <w:szCs w:val="18"/>
              </w:rPr>
            </w:pPr>
            <w:r w:rsidRPr="00A616C3">
              <w:rPr>
                <w:i/>
                <w:sz w:val="18"/>
                <w:szCs w:val="18"/>
              </w:rPr>
              <w:t>p</w:t>
            </w:r>
            <w:r w:rsidR="00502CFB" w:rsidRPr="00A616C3">
              <w:rPr>
                <w:sz w:val="18"/>
                <w:szCs w:val="18"/>
              </w:rPr>
              <w:t>=0.0540</w:t>
            </w:r>
          </w:p>
        </w:tc>
        <w:tc>
          <w:tcPr>
            <w:tcW w:w="2055" w:type="dxa"/>
            <w:gridSpan w:val="2"/>
            <w:tcBorders>
              <w:top w:val="nil"/>
              <w:bottom w:val="single" w:sz="4" w:space="0" w:color="auto"/>
            </w:tcBorders>
            <w:shd w:val="clear" w:color="auto" w:fill="auto"/>
          </w:tcPr>
          <w:p w:rsidR="00502CFB" w:rsidRPr="00A616C3" w:rsidRDefault="00502CFB" w:rsidP="00586B97">
            <w:pPr>
              <w:spacing w:before="60" w:after="60"/>
              <w:jc w:val="center"/>
              <w:rPr>
                <w:i/>
                <w:sz w:val="18"/>
                <w:szCs w:val="18"/>
              </w:rPr>
            </w:pPr>
            <w:r w:rsidRPr="00A616C3">
              <w:rPr>
                <w:i/>
                <w:sz w:val="18"/>
                <w:szCs w:val="18"/>
              </w:rPr>
              <w:t>p</w:t>
            </w:r>
            <w:r w:rsidRPr="00A616C3">
              <w:rPr>
                <w:sz w:val="18"/>
                <w:szCs w:val="18"/>
              </w:rPr>
              <w:t>=0.1021</w:t>
            </w:r>
          </w:p>
        </w:tc>
        <w:tc>
          <w:tcPr>
            <w:tcW w:w="2270" w:type="dxa"/>
            <w:gridSpan w:val="2"/>
            <w:tcBorders>
              <w:top w:val="nil"/>
              <w:bottom w:val="single" w:sz="4" w:space="0" w:color="auto"/>
              <w:right w:val="single" w:sz="4" w:space="0" w:color="auto"/>
            </w:tcBorders>
            <w:shd w:val="clear" w:color="auto" w:fill="auto"/>
          </w:tcPr>
          <w:p w:rsidR="00502CFB" w:rsidRPr="00A616C3" w:rsidRDefault="00502CFB" w:rsidP="00586B97">
            <w:pPr>
              <w:spacing w:before="60" w:after="60"/>
              <w:jc w:val="center"/>
              <w:rPr>
                <w:sz w:val="18"/>
                <w:szCs w:val="18"/>
              </w:rPr>
            </w:pPr>
            <w:r w:rsidRPr="00A616C3">
              <w:rPr>
                <w:i/>
                <w:sz w:val="18"/>
                <w:szCs w:val="18"/>
              </w:rPr>
              <w:t>p</w:t>
            </w:r>
            <w:r w:rsidRPr="00A616C3">
              <w:rPr>
                <w:sz w:val="18"/>
                <w:szCs w:val="18"/>
              </w:rPr>
              <w:t>=0.2597</w:t>
            </w:r>
          </w:p>
        </w:tc>
        <w:tc>
          <w:tcPr>
            <w:tcW w:w="2126" w:type="dxa"/>
            <w:gridSpan w:val="2"/>
            <w:tcBorders>
              <w:top w:val="nil"/>
              <w:left w:val="single" w:sz="4" w:space="0" w:color="auto"/>
              <w:bottom w:val="single" w:sz="4" w:space="0" w:color="auto"/>
            </w:tcBorders>
            <w:shd w:val="clear" w:color="auto" w:fill="auto"/>
          </w:tcPr>
          <w:p w:rsidR="00502CFB" w:rsidRPr="00A616C3" w:rsidRDefault="00502CFB" w:rsidP="00586B97">
            <w:pPr>
              <w:spacing w:before="60" w:after="60"/>
              <w:jc w:val="center"/>
              <w:rPr>
                <w:sz w:val="18"/>
                <w:szCs w:val="18"/>
              </w:rPr>
            </w:pPr>
            <w:r w:rsidRPr="00A616C3">
              <w:rPr>
                <w:i/>
                <w:sz w:val="18"/>
                <w:szCs w:val="18"/>
              </w:rPr>
              <w:t>p</w:t>
            </w:r>
            <w:r w:rsidRPr="00A616C3">
              <w:rPr>
                <w:sz w:val="18"/>
                <w:szCs w:val="18"/>
              </w:rPr>
              <w:t>=0.0062</w:t>
            </w:r>
          </w:p>
        </w:tc>
      </w:tr>
    </w:tbl>
    <w:p w:rsidR="00502CFB" w:rsidRPr="00A616C3" w:rsidRDefault="00502CFB" w:rsidP="00502CFB">
      <w:pPr>
        <w:pStyle w:val="Footer"/>
        <w:tabs>
          <w:tab w:val="clear" w:pos="4320"/>
          <w:tab w:val="clear" w:pos="8640"/>
        </w:tabs>
        <w:rPr>
          <w:noProof w:val="0"/>
          <w:sz w:val="18"/>
          <w:szCs w:val="18"/>
        </w:rPr>
      </w:pPr>
      <w:r w:rsidRPr="00A616C3">
        <w:rPr>
          <w:noProof w:val="0"/>
          <w:sz w:val="18"/>
          <w:szCs w:val="18"/>
        </w:rPr>
        <w:t>H = HERCEPTIN</w:t>
      </w:r>
      <w:r w:rsidR="008C43BC">
        <w:rPr>
          <w:noProof w:val="0"/>
          <w:sz w:val="18"/>
          <w:szCs w:val="18"/>
        </w:rPr>
        <w:t xml:space="preserve"> IV</w:t>
      </w:r>
      <w:r w:rsidRPr="00A616C3">
        <w:rPr>
          <w:noProof w:val="0"/>
          <w:sz w:val="18"/>
          <w:szCs w:val="18"/>
        </w:rPr>
        <w:t xml:space="preserve">; Chemo = chemotherapy; AC = </w:t>
      </w:r>
      <w:proofErr w:type="spellStart"/>
      <w:r w:rsidRPr="00A616C3">
        <w:rPr>
          <w:noProof w:val="0"/>
          <w:sz w:val="18"/>
          <w:szCs w:val="18"/>
        </w:rPr>
        <w:t>anthracycline</w:t>
      </w:r>
      <w:proofErr w:type="spellEnd"/>
      <w:r w:rsidRPr="00A616C3">
        <w:rPr>
          <w:noProof w:val="0"/>
          <w:sz w:val="18"/>
          <w:szCs w:val="18"/>
        </w:rPr>
        <w:t xml:space="preserve"> + cyclophosphamide; P = paclitaxel; D = </w:t>
      </w:r>
      <w:proofErr w:type="spellStart"/>
      <w:r w:rsidRPr="00A616C3">
        <w:rPr>
          <w:noProof w:val="0"/>
          <w:sz w:val="18"/>
          <w:szCs w:val="18"/>
        </w:rPr>
        <w:t>docetaxel</w:t>
      </w:r>
      <w:proofErr w:type="spellEnd"/>
      <w:r w:rsidRPr="00A616C3">
        <w:rPr>
          <w:noProof w:val="0"/>
          <w:sz w:val="18"/>
          <w:szCs w:val="18"/>
        </w:rPr>
        <w:t xml:space="preserve"> </w:t>
      </w:r>
    </w:p>
    <w:p w:rsidR="00502CFB" w:rsidRPr="00A616C3" w:rsidRDefault="004162F4" w:rsidP="00502CFB">
      <w:pPr>
        <w:rPr>
          <w:sz w:val="18"/>
          <w:szCs w:val="18"/>
        </w:rPr>
      </w:pPr>
      <w:proofErr w:type="gramStart"/>
      <w:r w:rsidRPr="00A616C3">
        <w:rPr>
          <w:sz w:val="20"/>
          <w:vertAlign w:val="superscript"/>
          <w:lang w:val="en-GB"/>
        </w:rPr>
        <w:t>a</w:t>
      </w:r>
      <w:proofErr w:type="gramEnd"/>
      <w:r w:rsidR="00502CFB" w:rsidRPr="00A616C3">
        <w:rPr>
          <w:i/>
          <w:sz w:val="18"/>
          <w:szCs w:val="18"/>
        </w:rPr>
        <w:t xml:space="preserve"> p</w:t>
      </w:r>
      <w:r w:rsidR="00502CFB" w:rsidRPr="00A616C3">
        <w:rPr>
          <w:sz w:val="18"/>
          <w:szCs w:val="18"/>
        </w:rPr>
        <w:t xml:space="preserve"> = log-rank test; </w:t>
      </w:r>
      <w:r w:rsidRPr="00A616C3">
        <w:rPr>
          <w:sz w:val="20"/>
          <w:vertAlign w:val="superscript"/>
          <w:lang w:val="en-GB"/>
        </w:rPr>
        <w:t>b</w:t>
      </w:r>
      <w:r w:rsidR="00502CFB" w:rsidRPr="00A616C3">
        <w:rPr>
          <w:sz w:val="18"/>
          <w:szCs w:val="18"/>
        </w:rPr>
        <w:t xml:space="preserve"> </w:t>
      </w:r>
      <w:r w:rsidR="00AF4470" w:rsidRPr="00A616C3">
        <w:rPr>
          <w:i/>
          <w:sz w:val="18"/>
          <w:szCs w:val="18"/>
        </w:rPr>
        <w:t xml:space="preserve">p </w:t>
      </w:r>
      <w:r w:rsidR="00502CFB" w:rsidRPr="00A616C3">
        <w:rPr>
          <w:sz w:val="18"/>
          <w:szCs w:val="18"/>
        </w:rPr>
        <w:t>= Chi-square test</w:t>
      </w:r>
      <w:r w:rsidR="00B64AAB" w:rsidRPr="00A616C3">
        <w:rPr>
          <w:sz w:val="18"/>
          <w:szCs w:val="18"/>
        </w:rPr>
        <w:t>, ne</w:t>
      </w:r>
      <w:r w:rsidR="003365F3" w:rsidRPr="00A616C3">
        <w:rPr>
          <w:sz w:val="18"/>
          <w:szCs w:val="18"/>
        </w:rPr>
        <w:t xml:space="preserve"> </w:t>
      </w:r>
      <w:r w:rsidR="00B64AAB" w:rsidRPr="00A616C3">
        <w:rPr>
          <w:sz w:val="18"/>
          <w:szCs w:val="18"/>
        </w:rPr>
        <w:t xml:space="preserve">= </w:t>
      </w:r>
      <w:r w:rsidR="00AB0EF2" w:rsidRPr="00A616C3">
        <w:rPr>
          <w:sz w:val="18"/>
          <w:szCs w:val="18"/>
        </w:rPr>
        <w:t xml:space="preserve">could </w:t>
      </w:r>
      <w:r w:rsidR="00B64AAB" w:rsidRPr="00A616C3">
        <w:rPr>
          <w:sz w:val="18"/>
          <w:szCs w:val="18"/>
        </w:rPr>
        <w:t xml:space="preserve">not </w:t>
      </w:r>
      <w:r w:rsidR="00AB0EF2" w:rsidRPr="00A616C3">
        <w:rPr>
          <w:sz w:val="18"/>
          <w:szCs w:val="18"/>
        </w:rPr>
        <w:t xml:space="preserve">be </w:t>
      </w:r>
      <w:r w:rsidR="00B64AAB" w:rsidRPr="00A616C3">
        <w:rPr>
          <w:sz w:val="18"/>
          <w:szCs w:val="18"/>
        </w:rPr>
        <w:t>estimated or not yet reached</w:t>
      </w:r>
      <w:r w:rsidR="00AB0EF2" w:rsidRPr="00A616C3">
        <w:rPr>
          <w:sz w:val="18"/>
          <w:szCs w:val="18"/>
        </w:rPr>
        <w:t>.</w:t>
      </w:r>
    </w:p>
    <w:p w:rsidR="00C50CA4" w:rsidRPr="00A616C3" w:rsidRDefault="00C50CA4" w:rsidP="00C50CA4">
      <w:pPr>
        <w:pStyle w:val="Heading3"/>
        <w:rPr>
          <w:b w:val="0"/>
          <w:i/>
          <w:sz w:val="22"/>
          <w:u w:val="single"/>
        </w:rPr>
      </w:pPr>
      <w:r w:rsidRPr="00A616C3">
        <w:rPr>
          <w:b w:val="0"/>
          <w:i/>
          <w:sz w:val="22"/>
          <w:u w:val="single"/>
        </w:rPr>
        <w:t>HERCEPTIN</w:t>
      </w:r>
      <w:r w:rsidR="008C43BC">
        <w:rPr>
          <w:b w:val="0"/>
          <w:i/>
          <w:sz w:val="22"/>
          <w:u w:val="single"/>
        </w:rPr>
        <w:t xml:space="preserve"> IV</w:t>
      </w:r>
      <w:r w:rsidRPr="00A616C3">
        <w:rPr>
          <w:b w:val="0"/>
          <w:i/>
          <w:sz w:val="22"/>
          <w:u w:val="single"/>
        </w:rPr>
        <w:t xml:space="preserve"> in </w:t>
      </w:r>
      <w:r w:rsidR="003B2C9F" w:rsidRPr="00A616C3">
        <w:rPr>
          <w:b w:val="0"/>
          <w:i/>
          <w:sz w:val="22"/>
          <w:u w:val="single"/>
        </w:rPr>
        <w:t>C</w:t>
      </w:r>
      <w:r w:rsidRPr="00A616C3">
        <w:rPr>
          <w:b w:val="0"/>
          <w:i/>
          <w:sz w:val="22"/>
          <w:u w:val="single"/>
        </w:rPr>
        <w:t xml:space="preserve">ombination with </w:t>
      </w:r>
      <w:proofErr w:type="spellStart"/>
      <w:r w:rsidR="003B2C9F" w:rsidRPr="00A616C3">
        <w:rPr>
          <w:b w:val="0"/>
          <w:i/>
          <w:sz w:val="22"/>
          <w:u w:val="single"/>
        </w:rPr>
        <w:t>A</w:t>
      </w:r>
      <w:r w:rsidRPr="00A616C3">
        <w:rPr>
          <w:b w:val="0"/>
          <w:i/>
          <w:sz w:val="22"/>
          <w:u w:val="single"/>
        </w:rPr>
        <w:t>nastrozole</w:t>
      </w:r>
      <w:proofErr w:type="spellEnd"/>
      <w:r w:rsidRPr="00A616C3">
        <w:rPr>
          <w:b w:val="0"/>
          <w:i/>
          <w:sz w:val="22"/>
          <w:u w:val="single"/>
        </w:rPr>
        <w:t xml:space="preserve"> </w:t>
      </w:r>
    </w:p>
    <w:p w:rsidR="001E3479" w:rsidRPr="00A616C3" w:rsidRDefault="00EA1D12" w:rsidP="00C50CA4">
      <w:pPr>
        <w:rPr>
          <w:lang w:val="en-GB"/>
        </w:rPr>
      </w:pPr>
      <w:r w:rsidRPr="00A616C3">
        <w:t xml:space="preserve">The </w:t>
      </w:r>
      <w:proofErr w:type="spellStart"/>
      <w:r w:rsidRPr="00A616C3">
        <w:rPr>
          <w:iCs/>
          <w:lang w:val="en-GB"/>
        </w:rPr>
        <w:t>TAnDEM</w:t>
      </w:r>
      <w:proofErr w:type="spellEnd"/>
      <w:r w:rsidRPr="00A616C3">
        <w:rPr>
          <w:iCs/>
          <w:lang w:val="en-GB"/>
        </w:rPr>
        <w:t xml:space="preserve"> </w:t>
      </w:r>
      <w:r w:rsidRPr="00A616C3">
        <w:rPr>
          <w:lang w:val="en-GB"/>
        </w:rPr>
        <w:t xml:space="preserve">trial was a </w:t>
      </w:r>
      <w:r w:rsidR="00962F58" w:rsidRPr="00A616C3">
        <w:rPr>
          <w:lang w:val="en-GB"/>
        </w:rPr>
        <w:t xml:space="preserve">multi-centre, </w:t>
      </w:r>
      <w:r w:rsidRPr="00A616C3">
        <w:rPr>
          <w:lang w:val="en-GB"/>
        </w:rPr>
        <w:t>randomi</w:t>
      </w:r>
      <w:r w:rsidR="006A7DE4" w:rsidRPr="00A616C3">
        <w:rPr>
          <w:lang w:val="en-GB"/>
        </w:rPr>
        <w:t>z</w:t>
      </w:r>
      <w:r w:rsidRPr="00A616C3">
        <w:rPr>
          <w:lang w:val="en-GB"/>
        </w:rPr>
        <w:t>ed</w:t>
      </w:r>
      <w:r w:rsidR="00FB286C" w:rsidRPr="00A616C3">
        <w:rPr>
          <w:lang w:val="en-GB"/>
        </w:rPr>
        <w:t>,</w:t>
      </w:r>
      <w:r w:rsidRPr="00A616C3">
        <w:rPr>
          <w:lang w:val="en-GB"/>
        </w:rPr>
        <w:t xml:space="preserve"> open-label</w:t>
      </w:r>
      <w:r w:rsidR="00962F58" w:rsidRPr="00A616C3">
        <w:rPr>
          <w:lang w:val="en-GB"/>
        </w:rPr>
        <w:t xml:space="preserve">, phase </w:t>
      </w:r>
      <w:r w:rsidR="00491EAA" w:rsidRPr="00A616C3">
        <w:rPr>
          <w:lang w:val="en-GB"/>
        </w:rPr>
        <w:t xml:space="preserve">III </w:t>
      </w:r>
      <w:r w:rsidR="00483B0D" w:rsidRPr="00A616C3">
        <w:rPr>
          <w:lang w:val="en-GB"/>
        </w:rPr>
        <w:t xml:space="preserve">trial </w:t>
      </w:r>
      <w:r w:rsidRPr="00A616C3">
        <w:rPr>
          <w:lang w:val="en-GB"/>
        </w:rPr>
        <w:t>comparing</w:t>
      </w:r>
      <w:r w:rsidRPr="00A616C3">
        <w:t xml:space="preserve"> </w:t>
      </w:r>
      <w:r w:rsidR="00C50CA4" w:rsidRPr="00A616C3">
        <w:t>HERCEPTIN</w:t>
      </w:r>
      <w:r w:rsidR="000A3578" w:rsidRPr="00A616C3">
        <w:t xml:space="preserve"> + </w:t>
      </w:r>
      <w:proofErr w:type="spellStart"/>
      <w:r w:rsidR="00962F58" w:rsidRPr="00A616C3">
        <w:t>anastrozole</w:t>
      </w:r>
      <w:proofErr w:type="spellEnd"/>
      <w:r w:rsidR="00962F58" w:rsidRPr="00A616C3">
        <w:t xml:space="preserve"> with </w:t>
      </w:r>
      <w:proofErr w:type="spellStart"/>
      <w:r w:rsidR="00962F58" w:rsidRPr="00A616C3">
        <w:t>anastrozole</w:t>
      </w:r>
      <w:proofErr w:type="spellEnd"/>
      <w:r w:rsidR="00962F58" w:rsidRPr="00A616C3">
        <w:t>-alone</w:t>
      </w:r>
      <w:r w:rsidR="00C50CA4" w:rsidRPr="00A616C3">
        <w:t xml:space="preserve"> for the </w:t>
      </w:r>
      <w:r w:rsidR="00962F58" w:rsidRPr="00A616C3">
        <w:t xml:space="preserve">first-line </w:t>
      </w:r>
      <w:r w:rsidR="00C50CA4" w:rsidRPr="00A616C3">
        <w:t xml:space="preserve">treatment of metastatic breast cancer in HER2 overexpressing, hormone-receptor (i.e. </w:t>
      </w:r>
      <w:r w:rsidR="00FB286C" w:rsidRPr="00A616C3">
        <w:t>o</w:t>
      </w:r>
      <w:r w:rsidR="00C50CA4" w:rsidRPr="00A616C3">
        <w:t>estrogen-receptor (ER) and/or progesterone-receptor (PR)) positive</w:t>
      </w:r>
      <w:r w:rsidR="00962F58" w:rsidRPr="00A616C3">
        <w:t xml:space="preserve"> post-menopausal</w:t>
      </w:r>
      <w:r w:rsidR="00C50CA4" w:rsidRPr="00A616C3">
        <w:t xml:space="preserve"> patients.</w:t>
      </w:r>
      <w:r w:rsidRPr="00A616C3">
        <w:t xml:space="preserve"> </w:t>
      </w:r>
      <w:r w:rsidR="001E3479" w:rsidRPr="00A616C3">
        <w:t xml:space="preserve">Two hundred and seven patients </w:t>
      </w:r>
      <w:r w:rsidR="00962F58" w:rsidRPr="00A616C3">
        <w:t>were randomi</w:t>
      </w:r>
      <w:r w:rsidR="006A7DE4" w:rsidRPr="00A616C3">
        <w:t>z</w:t>
      </w:r>
      <w:r w:rsidR="00962F58" w:rsidRPr="00A616C3">
        <w:t xml:space="preserve">ed to </w:t>
      </w:r>
      <w:r w:rsidR="001E3479" w:rsidRPr="00A616C3">
        <w:rPr>
          <w:lang w:val="en-GB"/>
        </w:rPr>
        <w:t xml:space="preserve">receive </w:t>
      </w:r>
      <w:r w:rsidRPr="00A616C3">
        <w:rPr>
          <w:lang w:val="en-GB"/>
        </w:rPr>
        <w:lastRenderedPageBreak/>
        <w:t xml:space="preserve">oral </w:t>
      </w:r>
      <w:proofErr w:type="spellStart"/>
      <w:r w:rsidR="001E3479" w:rsidRPr="00A616C3">
        <w:rPr>
          <w:lang w:val="en-GB"/>
        </w:rPr>
        <w:t>anastrozole</w:t>
      </w:r>
      <w:proofErr w:type="spellEnd"/>
      <w:r w:rsidR="001E3479" w:rsidRPr="00A616C3">
        <w:rPr>
          <w:lang w:val="en-GB"/>
        </w:rPr>
        <w:t xml:space="preserve"> (1 mg/day) with or without HERCEPTIN </w:t>
      </w:r>
      <w:r w:rsidR="008C43BC">
        <w:rPr>
          <w:lang w:val="en-GB"/>
        </w:rPr>
        <w:t xml:space="preserve">IV </w:t>
      </w:r>
      <w:r w:rsidR="001E3479" w:rsidRPr="00A616C3">
        <w:rPr>
          <w:lang w:val="en-GB"/>
        </w:rPr>
        <w:t>(4 mg/kg loading dose, followed by 2 mg/kg weekly).</w:t>
      </w:r>
      <w:r w:rsidR="00A73547" w:rsidRPr="00A616C3">
        <w:rPr>
          <w:lang w:val="en-GB"/>
        </w:rPr>
        <w:t xml:space="preserve">  Patients who had received HERCEPTIN for localised disease were excluded from this trial.</w:t>
      </w:r>
    </w:p>
    <w:p w:rsidR="00C50CA4" w:rsidRPr="00A616C3" w:rsidRDefault="00962F58" w:rsidP="00C50CA4">
      <w:r w:rsidRPr="00A616C3">
        <w:t>Median p</w:t>
      </w:r>
      <w:r w:rsidR="00C50CA4" w:rsidRPr="00A616C3">
        <w:t>rogression free survival</w:t>
      </w:r>
      <w:r w:rsidR="00483B0D" w:rsidRPr="00A616C3">
        <w:t xml:space="preserve"> (PFS)</w:t>
      </w:r>
      <w:r w:rsidR="00C50CA4" w:rsidRPr="00A616C3">
        <w:t xml:space="preserve"> was doubled in the HERCEPTIN</w:t>
      </w:r>
      <w:r w:rsidR="000A3578" w:rsidRPr="00A616C3">
        <w:t xml:space="preserve"> + </w:t>
      </w:r>
      <w:proofErr w:type="spellStart"/>
      <w:r w:rsidR="00C50CA4" w:rsidRPr="00A616C3">
        <w:t>anastrozole</w:t>
      </w:r>
      <w:proofErr w:type="spellEnd"/>
      <w:r w:rsidR="00C50CA4" w:rsidRPr="00A616C3">
        <w:t xml:space="preserve"> arm compared to</w:t>
      </w:r>
      <w:r w:rsidRPr="00A616C3">
        <w:t xml:space="preserve"> the</w:t>
      </w:r>
      <w:r w:rsidR="00C50CA4" w:rsidRPr="00A616C3">
        <w:t xml:space="preserve"> </w:t>
      </w:r>
      <w:proofErr w:type="spellStart"/>
      <w:r w:rsidR="00C50CA4" w:rsidRPr="00A616C3">
        <w:t>anastrozole</w:t>
      </w:r>
      <w:proofErr w:type="spellEnd"/>
      <w:r w:rsidR="00FB286C" w:rsidRPr="00A616C3">
        <w:t>-</w:t>
      </w:r>
      <w:r w:rsidR="001E3479" w:rsidRPr="00A616C3">
        <w:t xml:space="preserve">alone </w:t>
      </w:r>
      <w:r w:rsidRPr="00A616C3">
        <w:t xml:space="preserve">arm </w:t>
      </w:r>
      <w:r w:rsidR="00C50CA4" w:rsidRPr="00A616C3">
        <w:t>(4.8 months vs</w:t>
      </w:r>
      <w:r w:rsidR="00EA1D12" w:rsidRPr="00A616C3">
        <w:t>.</w:t>
      </w:r>
      <w:r w:rsidR="00C50CA4" w:rsidRPr="00A616C3">
        <w:t xml:space="preserve"> 2.4 months</w:t>
      </w:r>
      <w:r w:rsidRPr="00A616C3">
        <w:t xml:space="preserve">; </w:t>
      </w:r>
      <w:r w:rsidR="00AF4470" w:rsidRPr="00A616C3">
        <w:rPr>
          <w:i/>
        </w:rPr>
        <w:t>p</w:t>
      </w:r>
      <w:r w:rsidRPr="00A616C3">
        <w:t xml:space="preserve"> = 0.0016</w:t>
      </w:r>
      <w:r w:rsidR="00C50CA4" w:rsidRPr="00A616C3">
        <w:t xml:space="preserve">). For </w:t>
      </w:r>
      <w:r w:rsidRPr="00A616C3">
        <w:t xml:space="preserve">the </w:t>
      </w:r>
      <w:r w:rsidR="00C50CA4" w:rsidRPr="00A616C3">
        <w:t xml:space="preserve">other parameters the improvements seen for </w:t>
      </w:r>
      <w:r w:rsidRPr="00A616C3">
        <w:t>HERCEPTIN</w:t>
      </w:r>
      <w:r w:rsidR="000A3578" w:rsidRPr="00A616C3">
        <w:t xml:space="preserve"> + </w:t>
      </w:r>
      <w:proofErr w:type="spellStart"/>
      <w:r w:rsidRPr="00A616C3">
        <w:t>anastrozole</w:t>
      </w:r>
      <w:proofErr w:type="spellEnd"/>
      <w:r w:rsidR="00C50CA4" w:rsidRPr="00A616C3">
        <w:t xml:space="preserve"> were; overall response (16.5% </w:t>
      </w:r>
      <w:r w:rsidR="00EA1D12" w:rsidRPr="00A616C3">
        <w:t>vs.</w:t>
      </w:r>
      <w:r w:rsidR="00C50CA4" w:rsidRPr="00A616C3">
        <w:t xml:space="preserve"> 6.7%); clinical benefit rate (42.7% </w:t>
      </w:r>
      <w:r w:rsidR="00EA1D12" w:rsidRPr="00A616C3">
        <w:t>vs.</w:t>
      </w:r>
      <w:r w:rsidR="00C50CA4" w:rsidRPr="00A616C3">
        <w:t xml:space="preserve"> 27.9%); time to progression (4.8 months </w:t>
      </w:r>
      <w:r w:rsidR="00EA1D12" w:rsidRPr="00A616C3">
        <w:t>vs.</w:t>
      </w:r>
      <w:r w:rsidR="00C50CA4" w:rsidRPr="00A616C3">
        <w:t xml:space="preserve"> 2.4 months). For time to response and duration of response no difference could be recorded between the arms.</w:t>
      </w:r>
      <w:r w:rsidR="002275A8" w:rsidRPr="00A616C3">
        <w:t xml:space="preserve">  </w:t>
      </w:r>
      <w:r w:rsidR="005E628D" w:rsidRPr="00A616C3">
        <w:t>There was no significant difference in overall survival</w:t>
      </w:r>
      <w:r w:rsidR="00C50CA4" w:rsidRPr="00A616C3">
        <w:t xml:space="preserve">, however more than half of the patients in the </w:t>
      </w:r>
      <w:proofErr w:type="spellStart"/>
      <w:r w:rsidR="00C50CA4" w:rsidRPr="00A616C3">
        <w:t>anastrozole</w:t>
      </w:r>
      <w:proofErr w:type="spellEnd"/>
      <w:r w:rsidR="005E628D" w:rsidRPr="00A616C3">
        <w:t>-</w:t>
      </w:r>
      <w:r w:rsidR="00C50CA4" w:rsidRPr="00A616C3">
        <w:t xml:space="preserve">alone arm crossed over to a </w:t>
      </w:r>
      <w:r w:rsidR="00E365DC" w:rsidRPr="00A616C3">
        <w:t>HERCEPTIN</w:t>
      </w:r>
      <w:r w:rsidR="005E628D" w:rsidRPr="00A616C3">
        <w:t>-</w:t>
      </w:r>
      <w:r w:rsidR="00C50CA4" w:rsidRPr="00A616C3">
        <w:t xml:space="preserve">containing regimen after progression of disease. </w:t>
      </w:r>
    </w:p>
    <w:p w:rsidR="0018757A" w:rsidRPr="00A616C3" w:rsidRDefault="00B022EA" w:rsidP="00437379">
      <w:pPr>
        <w:pStyle w:val="Heading3"/>
        <w:rPr>
          <w:b w:val="0"/>
          <w:i/>
          <w:sz w:val="22"/>
          <w:u w:val="single"/>
        </w:rPr>
      </w:pPr>
      <w:r w:rsidRPr="00A616C3">
        <w:rPr>
          <w:b w:val="0"/>
          <w:i/>
          <w:sz w:val="22"/>
          <w:u w:val="single"/>
        </w:rPr>
        <w:t xml:space="preserve">HERCEPTIN </w:t>
      </w:r>
      <w:r w:rsidR="009C4CBF">
        <w:rPr>
          <w:b w:val="0"/>
          <w:i/>
          <w:sz w:val="22"/>
          <w:u w:val="single"/>
        </w:rPr>
        <w:t xml:space="preserve">IV </w:t>
      </w:r>
      <w:r w:rsidR="0018757A" w:rsidRPr="00A616C3">
        <w:rPr>
          <w:b w:val="0"/>
          <w:i/>
          <w:sz w:val="22"/>
          <w:u w:val="single"/>
        </w:rPr>
        <w:t>Monotherapy</w:t>
      </w:r>
    </w:p>
    <w:p w:rsidR="0018757A" w:rsidRPr="00A616C3" w:rsidRDefault="0018757A" w:rsidP="00657070">
      <w:r w:rsidRPr="00A616C3">
        <w:t xml:space="preserve">Study H0649g was a multinational, multi-centre, single arm </w:t>
      </w:r>
      <w:r w:rsidR="006F4075" w:rsidRPr="00A616C3">
        <w:t>trial</w:t>
      </w:r>
      <w:r w:rsidRPr="00A616C3">
        <w:t xml:space="preserve"> of HERCEPTIN as monotherapy in 222 women with HER2 </w:t>
      </w:r>
      <w:r w:rsidR="00EE69A2" w:rsidRPr="00A616C3">
        <w:t>overexpress</w:t>
      </w:r>
      <w:r w:rsidRPr="00A616C3">
        <w:t>ing metastatic breast cancer.  All patients had relapsed following treatment with the best available agents (e</w:t>
      </w:r>
      <w:r w:rsidR="005933B3" w:rsidRPr="00A616C3">
        <w:t>.</w:t>
      </w:r>
      <w:r w:rsidRPr="00A616C3">
        <w:t>g</w:t>
      </w:r>
      <w:r w:rsidR="005933B3" w:rsidRPr="00A616C3">
        <w:t>.</w:t>
      </w:r>
      <w:r w:rsidRPr="00A616C3">
        <w:t xml:space="preserve"> </w:t>
      </w:r>
      <w:proofErr w:type="spellStart"/>
      <w:r w:rsidRPr="00A616C3">
        <w:t>anthracyclines</w:t>
      </w:r>
      <w:proofErr w:type="spellEnd"/>
      <w:r w:rsidRPr="00A616C3">
        <w:t xml:space="preserve"> and </w:t>
      </w:r>
      <w:proofErr w:type="spellStart"/>
      <w:r w:rsidRPr="00A616C3">
        <w:t>taxanes</w:t>
      </w:r>
      <w:proofErr w:type="spellEnd"/>
      <w:r w:rsidRPr="00A616C3">
        <w:t>) and were heavily pre-treated.  Two-thirds of the patients had prior adjuvant chemotherapy and all patients had tumour progression following at least one prior regimen of cytotoxic chemotherapy for metastatic disease. Ninety</w:t>
      </w:r>
      <w:r w:rsidRPr="00A616C3">
        <w:noBreakHyphen/>
        <w:t xml:space="preserve">four percent of the patients had prior </w:t>
      </w:r>
      <w:proofErr w:type="spellStart"/>
      <w:r w:rsidRPr="00A616C3">
        <w:t>anthracycline</w:t>
      </w:r>
      <w:proofErr w:type="spellEnd"/>
      <w:r w:rsidRPr="00A616C3">
        <w:t xml:space="preserve"> therapy, approximately 60% had prior paclitaxel therapy and 26% had prior bone marrow or stem cell transplants.  Together with HER2 </w:t>
      </w:r>
      <w:r w:rsidR="00EE69A2" w:rsidRPr="00A616C3">
        <w:t>overexpress</w:t>
      </w:r>
      <w:r w:rsidRPr="00A616C3">
        <w:t>ion, which is associated with poorer clinical outcomes, aggressive disease was also suggested by nodal status at diagnosis and by the disease</w:t>
      </w:r>
      <w:r w:rsidRPr="00A616C3">
        <w:noBreakHyphen/>
        <w:t>free interval.  Twenty</w:t>
      </w:r>
      <w:r w:rsidRPr="00A616C3">
        <w:noBreakHyphen/>
        <w:t>seven percent of patients had 10 or more positive nodes at the time of diagnosis.  Thirty</w:t>
      </w:r>
      <w:r w:rsidRPr="00A616C3">
        <w:noBreakHyphen/>
        <w:t>eight percent of patients had a disease</w:t>
      </w:r>
      <w:r w:rsidRPr="00A616C3">
        <w:noBreakHyphen/>
        <w:t>free interval of less than one year prior to enrolment.</w:t>
      </w:r>
    </w:p>
    <w:p w:rsidR="0018757A" w:rsidRPr="00A616C3" w:rsidRDefault="0018757A" w:rsidP="00657070">
      <w:pPr>
        <w:rPr>
          <w:lang w:val="en-GB"/>
        </w:rPr>
      </w:pPr>
      <w:r w:rsidRPr="00A616C3">
        <w:t xml:space="preserve">Patients received an intravenous loading dose of 4 mg/kg HERCEPTIN </w:t>
      </w:r>
      <w:r w:rsidR="009C4CBF">
        <w:t xml:space="preserve">IV </w:t>
      </w:r>
      <w:r w:rsidRPr="00A616C3">
        <w:t xml:space="preserve">on Day 0, followed by weekly </w:t>
      </w:r>
      <w:r w:rsidR="009C4CBF">
        <w:t>IV</w:t>
      </w:r>
      <w:r w:rsidRPr="00A616C3">
        <w:t xml:space="preserve"> infusions of 2 mg/kg until there was evidence of disease progression.  </w:t>
      </w:r>
      <w:r w:rsidR="00FF5867" w:rsidRPr="00A616C3">
        <w:t xml:space="preserve">Patients who developed progressive disease could stop treatment, continue on the </w:t>
      </w:r>
      <w:r w:rsidR="009C4CBF">
        <w:t xml:space="preserve">HERCEPTIN IV </w:t>
      </w:r>
      <w:r w:rsidR="00FF5867" w:rsidRPr="00A616C3">
        <w:t xml:space="preserve">2 mg/kg weekly dose or receive an increased </w:t>
      </w:r>
      <w:r w:rsidR="009C4CBF">
        <w:t>IV</w:t>
      </w:r>
      <w:r w:rsidR="00FF5867" w:rsidRPr="00A616C3">
        <w:t xml:space="preserve"> dose of 4 mg/kg, as the investigator deemed appropriate.  </w:t>
      </w:r>
      <w:r w:rsidRPr="00A616C3">
        <w:t>The primary efficacy parameter was tumour response rate.</w:t>
      </w:r>
    </w:p>
    <w:p w:rsidR="0018757A" w:rsidRPr="00A616C3" w:rsidRDefault="0018757A" w:rsidP="00657070">
      <w:r w:rsidRPr="00A616C3">
        <w:t xml:space="preserve">HERCEPTIN as second- or third-line therapy induced objective, durable tumour responses in women with metastatic breast cancer who had tumours that </w:t>
      </w:r>
      <w:r w:rsidR="00EE69A2" w:rsidRPr="00A616C3">
        <w:t>overexpress</w:t>
      </w:r>
      <w:r w:rsidRPr="00A616C3">
        <w:t xml:space="preserve">ed HER2.  There were 8 complete responses and 26 partial responses yielding an overall response rate of 15%.  The durability of the responses was particularly notable.  The median duration of the responses was 9.1 months at the cut-off date for analysis (see </w:t>
      </w:r>
      <w:r w:rsidR="00465440" w:rsidRPr="00A616C3">
        <w:t xml:space="preserve">Table </w:t>
      </w:r>
      <w:r w:rsidR="00966AC9" w:rsidRPr="00A616C3">
        <w:t>8</w:t>
      </w:r>
      <w:r w:rsidR="009C5561" w:rsidRPr="00A616C3">
        <w:t xml:space="preserve"> </w:t>
      </w:r>
      <w:r w:rsidRPr="00A616C3">
        <w:t>below).</w:t>
      </w:r>
    </w:p>
    <w:p w:rsidR="00426831" w:rsidRDefault="00426831">
      <w:pPr>
        <w:spacing w:after="0" w:line="240" w:lineRule="auto"/>
        <w:rPr>
          <w:b/>
        </w:rPr>
      </w:pPr>
      <w:bookmarkStart w:id="7" w:name="_Ref436128177"/>
      <w:bookmarkStart w:id="8" w:name="_Ref240689437"/>
      <w:bookmarkStart w:id="9" w:name="_Toc442513352"/>
      <w:r>
        <w:br w:type="page"/>
      </w:r>
    </w:p>
    <w:p w:rsidR="0018757A" w:rsidRPr="00A616C3" w:rsidRDefault="00755E60" w:rsidP="000C4763">
      <w:pPr>
        <w:pStyle w:val="Caption"/>
      </w:pPr>
      <w:r w:rsidRPr="00A616C3">
        <w:lastRenderedPageBreak/>
        <w:t xml:space="preserve">Table </w:t>
      </w:r>
      <w:bookmarkEnd w:id="7"/>
      <w:bookmarkEnd w:id="8"/>
      <w:r w:rsidR="00966AC9" w:rsidRPr="00A616C3">
        <w:t>8</w:t>
      </w:r>
      <w:r w:rsidR="0018757A" w:rsidRPr="00A616C3">
        <w:t xml:space="preserve">: Efficacy Outcomes with Monotherapy </w:t>
      </w:r>
      <w:bookmarkEnd w:id="9"/>
      <w:r w:rsidR="002957D9" w:rsidRPr="00A616C3">
        <w:t>Study H0649g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0"/>
        <w:gridCol w:w="567"/>
        <w:gridCol w:w="4034"/>
      </w:tblGrid>
      <w:tr w:rsidR="0018757A" w:rsidRPr="00A616C3" w:rsidTr="000C4763">
        <w:tc>
          <w:tcPr>
            <w:tcW w:w="2780" w:type="dxa"/>
            <w:tcBorders>
              <w:top w:val="single" w:sz="6" w:space="0" w:color="auto"/>
              <w:left w:val="single" w:sz="6" w:space="0" w:color="auto"/>
              <w:bottom w:val="double" w:sz="4" w:space="0" w:color="auto"/>
              <w:right w:val="nil"/>
            </w:tcBorders>
          </w:tcPr>
          <w:p w:rsidR="0018757A" w:rsidRPr="00A616C3" w:rsidRDefault="0018757A" w:rsidP="00440247">
            <w:pPr>
              <w:keepNext/>
              <w:spacing w:after="120"/>
              <w:rPr>
                <w:b/>
                <w:sz w:val="20"/>
              </w:rPr>
            </w:pPr>
            <w:r w:rsidRPr="00A616C3">
              <w:rPr>
                <w:b/>
                <w:sz w:val="20"/>
              </w:rPr>
              <w:t>Outcome Measure</w:t>
            </w:r>
          </w:p>
        </w:tc>
        <w:tc>
          <w:tcPr>
            <w:tcW w:w="567" w:type="dxa"/>
            <w:tcBorders>
              <w:top w:val="single" w:sz="6" w:space="0" w:color="auto"/>
              <w:left w:val="single" w:sz="2" w:space="0" w:color="auto"/>
              <w:bottom w:val="double" w:sz="4" w:space="0" w:color="auto"/>
              <w:right w:val="single" w:sz="2" w:space="0" w:color="auto"/>
            </w:tcBorders>
          </w:tcPr>
          <w:p w:rsidR="0018757A" w:rsidRPr="00A616C3" w:rsidRDefault="00904DED" w:rsidP="00440247">
            <w:pPr>
              <w:keepNext/>
              <w:spacing w:after="120"/>
              <w:jc w:val="center"/>
              <w:rPr>
                <w:b/>
                <w:sz w:val="20"/>
              </w:rPr>
            </w:pPr>
            <w:r w:rsidRPr="00A616C3">
              <w:rPr>
                <w:b/>
                <w:sz w:val="20"/>
              </w:rPr>
              <w:t>n</w:t>
            </w:r>
          </w:p>
        </w:tc>
        <w:tc>
          <w:tcPr>
            <w:tcW w:w="4034" w:type="dxa"/>
            <w:tcBorders>
              <w:top w:val="single" w:sz="6" w:space="0" w:color="auto"/>
              <w:left w:val="nil"/>
              <w:bottom w:val="double" w:sz="4" w:space="0" w:color="auto"/>
              <w:right w:val="single" w:sz="6" w:space="0" w:color="auto"/>
            </w:tcBorders>
          </w:tcPr>
          <w:p w:rsidR="0018757A" w:rsidRPr="00A616C3" w:rsidRDefault="0018757A" w:rsidP="00440247">
            <w:pPr>
              <w:keepNext/>
              <w:spacing w:after="120"/>
              <w:jc w:val="center"/>
              <w:rPr>
                <w:b/>
                <w:sz w:val="20"/>
              </w:rPr>
            </w:pPr>
            <w:r w:rsidRPr="00A616C3">
              <w:rPr>
                <w:b/>
                <w:sz w:val="20"/>
              </w:rPr>
              <w:t>Time (months)                                                Kaplan-Meier Estimate of Median (range)</w:t>
            </w:r>
          </w:p>
        </w:tc>
      </w:tr>
      <w:tr w:rsidR="0018757A" w:rsidRPr="00A616C3" w:rsidTr="000C4763">
        <w:trPr>
          <w:trHeight w:val="323"/>
        </w:trPr>
        <w:tc>
          <w:tcPr>
            <w:tcW w:w="2780" w:type="dxa"/>
            <w:tcBorders>
              <w:top w:val="nil"/>
              <w:left w:val="single" w:sz="6" w:space="0" w:color="auto"/>
              <w:bottom w:val="nil"/>
              <w:right w:val="nil"/>
            </w:tcBorders>
          </w:tcPr>
          <w:p w:rsidR="0018757A" w:rsidRPr="00A616C3" w:rsidRDefault="0018757A" w:rsidP="00914BD8">
            <w:pPr>
              <w:keepNext/>
              <w:spacing w:after="0"/>
              <w:rPr>
                <w:sz w:val="20"/>
              </w:rPr>
            </w:pPr>
            <w:r w:rsidRPr="00A616C3">
              <w:rPr>
                <w:sz w:val="20"/>
              </w:rPr>
              <w:t>Duration of response</w:t>
            </w:r>
          </w:p>
        </w:tc>
        <w:tc>
          <w:tcPr>
            <w:tcW w:w="567" w:type="dxa"/>
            <w:tcBorders>
              <w:top w:val="nil"/>
              <w:left w:val="single" w:sz="2" w:space="0" w:color="auto"/>
              <w:bottom w:val="nil"/>
              <w:right w:val="single" w:sz="2" w:space="0" w:color="auto"/>
            </w:tcBorders>
          </w:tcPr>
          <w:p w:rsidR="0018757A" w:rsidRPr="00A616C3" w:rsidRDefault="0018757A" w:rsidP="00914BD8">
            <w:pPr>
              <w:keepNext/>
              <w:spacing w:after="0"/>
              <w:jc w:val="center"/>
              <w:rPr>
                <w:sz w:val="20"/>
              </w:rPr>
            </w:pPr>
            <w:r w:rsidRPr="00A616C3">
              <w:rPr>
                <w:sz w:val="20"/>
              </w:rPr>
              <w:t>34</w:t>
            </w:r>
          </w:p>
        </w:tc>
        <w:tc>
          <w:tcPr>
            <w:tcW w:w="4034" w:type="dxa"/>
            <w:tcBorders>
              <w:top w:val="nil"/>
              <w:left w:val="nil"/>
              <w:bottom w:val="nil"/>
              <w:right w:val="single" w:sz="6" w:space="0" w:color="auto"/>
            </w:tcBorders>
          </w:tcPr>
          <w:p w:rsidR="0018757A" w:rsidRPr="00A616C3" w:rsidRDefault="0018757A" w:rsidP="00914BD8">
            <w:pPr>
              <w:keepNext/>
              <w:spacing w:after="0"/>
              <w:jc w:val="center"/>
              <w:rPr>
                <w:sz w:val="20"/>
              </w:rPr>
            </w:pPr>
            <w:r w:rsidRPr="00A616C3">
              <w:rPr>
                <w:sz w:val="20"/>
              </w:rPr>
              <w:t>9.1 (2–26+)</w:t>
            </w:r>
          </w:p>
        </w:tc>
      </w:tr>
      <w:tr w:rsidR="0018757A" w:rsidRPr="00A616C3" w:rsidTr="000C4763">
        <w:trPr>
          <w:trHeight w:val="389"/>
        </w:trPr>
        <w:tc>
          <w:tcPr>
            <w:tcW w:w="2780" w:type="dxa"/>
            <w:tcBorders>
              <w:top w:val="nil"/>
              <w:left w:val="single" w:sz="6" w:space="0" w:color="auto"/>
              <w:bottom w:val="nil"/>
              <w:right w:val="nil"/>
            </w:tcBorders>
          </w:tcPr>
          <w:p w:rsidR="0018757A" w:rsidRPr="00A616C3" w:rsidRDefault="0018757A" w:rsidP="00914BD8">
            <w:pPr>
              <w:keepNext/>
              <w:spacing w:after="0"/>
              <w:rPr>
                <w:sz w:val="20"/>
              </w:rPr>
            </w:pPr>
            <w:r w:rsidRPr="00A616C3">
              <w:rPr>
                <w:sz w:val="20"/>
              </w:rPr>
              <w:t>Time to disease progression</w:t>
            </w:r>
          </w:p>
        </w:tc>
        <w:tc>
          <w:tcPr>
            <w:tcW w:w="567" w:type="dxa"/>
            <w:tcBorders>
              <w:top w:val="nil"/>
              <w:left w:val="single" w:sz="2" w:space="0" w:color="auto"/>
              <w:bottom w:val="nil"/>
              <w:right w:val="single" w:sz="2" w:space="0" w:color="auto"/>
            </w:tcBorders>
          </w:tcPr>
          <w:p w:rsidR="0018757A" w:rsidRPr="00A616C3" w:rsidRDefault="0018757A" w:rsidP="00914BD8">
            <w:pPr>
              <w:keepNext/>
              <w:spacing w:after="0"/>
              <w:jc w:val="center"/>
              <w:rPr>
                <w:sz w:val="20"/>
              </w:rPr>
            </w:pPr>
            <w:r w:rsidRPr="00A616C3">
              <w:rPr>
                <w:sz w:val="20"/>
              </w:rPr>
              <w:t>213</w:t>
            </w:r>
          </w:p>
        </w:tc>
        <w:tc>
          <w:tcPr>
            <w:tcW w:w="4034" w:type="dxa"/>
            <w:tcBorders>
              <w:top w:val="nil"/>
              <w:left w:val="nil"/>
              <w:bottom w:val="nil"/>
              <w:right w:val="single" w:sz="6" w:space="0" w:color="auto"/>
            </w:tcBorders>
          </w:tcPr>
          <w:p w:rsidR="0018757A" w:rsidRPr="00A616C3" w:rsidRDefault="0018757A" w:rsidP="00914BD8">
            <w:pPr>
              <w:keepNext/>
              <w:spacing w:after="0"/>
              <w:jc w:val="center"/>
              <w:rPr>
                <w:sz w:val="20"/>
              </w:rPr>
            </w:pPr>
            <w:r w:rsidRPr="00A616C3">
              <w:rPr>
                <w:sz w:val="20"/>
              </w:rPr>
              <w:t>3.1 (0–28+)</w:t>
            </w:r>
          </w:p>
        </w:tc>
      </w:tr>
      <w:tr w:rsidR="0018757A" w:rsidRPr="00A616C3" w:rsidTr="000C4763">
        <w:trPr>
          <w:trHeight w:val="325"/>
        </w:trPr>
        <w:tc>
          <w:tcPr>
            <w:tcW w:w="2780" w:type="dxa"/>
            <w:tcBorders>
              <w:top w:val="nil"/>
              <w:left w:val="single" w:sz="6" w:space="0" w:color="auto"/>
              <w:bottom w:val="nil"/>
              <w:right w:val="nil"/>
            </w:tcBorders>
          </w:tcPr>
          <w:p w:rsidR="0018757A" w:rsidRPr="00A616C3" w:rsidRDefault="0018757A" w:rsidP="00914BD8">
            <w:pPr>
              <w:keepNext/>
              <w:spacing w:after="0"/>
              <w:rPr>
                <w:sz w:val="20"/>
              </w:rPr>
            </w:pPr>
            <w:r w:rsidRPr="00A616C3">
              <w:rPr>
                <w:sz w:val="20"/>
              </w:rPr>
              <w:t>Time to Treatment Failure</w:t>
            </w:r>
          </w:p>
        </w:tc>
        <w:tc>
          <w:tcPr>
            <w:tcW w:w="567" w:type="dxa"/>
            <w:tcBorders>
              <w:top w:val="nil"/>
              <w:left w:val="single" w:sz="2" w:space="0" w:color="auto"/>
              <w:bottom w:val="nil"/>
              <w:right w:val="single" w:sz="2" w:space="0" w:color="auto"/>
            </w:tcBorders>
          </w:tcPr>
          <w:p w:rsidR="0018757A" w:rsidRPr="00A616C3" w:rsidRDefault="0018757A" w:rsidP="00914BD8">
            <w:pPr>
              <w:keepNext/>
              <w:spacing w:after="0"/>
              <w:jc w:val="center"/>
              <w:rPr>
                <w:sz w:val="20"/>
              </w:rPr>
            </w:pPr>
            <w:r w:rsidRPr="00A616C3">
              <w:rPr>
                <w:sz w:val="20"/>
              </w:rPr>
              <w:t>213</w:t>
            </w:r>
          </w:p>
        </w:tc>
        <w:tc>
          <w:tcPr>
            <w:tcW w:w="4034" w:type="dxa"/>
            <w:tcBorders>
              <w:top w:val="nil"/>
              <w:left w:val="nil"/>
              <w:bottom w:val="nil"/>
              <w:right w:val="single" w:sz="6" w:space="0" w:color="auto"/>
            </w:tcBorders>
          </w:tcPr>
          <w:p w:rsidR="0018757A" w:rsidRPr="00A616C3" w:rsidRDefault="0018757A" w:rsidP="00914BD8">
            <w:pPr>
              <w:keepNext/>
              <w:spacing w:after="0"/>
              <w:jc w:val="center"/>
              <w:rPr>
                <w:sz w:val="20"/>
              </w:rPr>
            </w:pPr>
            <w:r w:rsidRPr="00A616C3">
              <w:rPr>
                <w:sz w:val="20"/>
              </w:rPr>
              <w:t>2.4 (0–28+)</w:t>
            </w:r>
          </w:p>
        </w:tc>
      </w:tr>
      <w:tr w:rsidR="0018757A" w:rsidRPr="00A616C3" w:rsidTr="000C4763">
        <w:trPr>
          <w:trHeight w:val="403"/>
        </w:trPr>
        <w:tc>
          <w:tcPr>
            <w:tcW w:w="2780" w:type="dxa"/>
            <w:tcBorders>
              <w:top w:val="nil"/>
              <w:left w:val="single" w:sz="6" w:space="0" w:color="auto"/>
              <w:bottom w:val="single" w:sz="6" w:space="0" w:color="auto"/>
              <w:right w:val="nil"/>
            </w:tcBorders>
          </w:tcPr>
          <w:p w:rsidR="0018757A" w:rsidRPr="00A616C3" w:rsidRDefault="0018757A" w:rsidP="00914BD8">
            <w:pPr>
              <w:spacing w:after="0"/>
              <w:rPr>
                <w:sz w:val="20"/>
              </w:rPr>
            </w:pPr>
            <w:r w:rsidRPr="00A616C3">
              <w:rPr>
                <w:sz w:val="20"/>
              </w:rPr>
              <w:t>Survival Time</w:t>
            </w:r>
          </w:p>
        </w:tc>
        <w:tc>
          <w:tcPr>
            <w:tcW w:w="567" w:type="dxa"/>
            <w:tcBorders>
              <w:top w:val="nil"/>
              <w:left w:val="single" w:sz="2" w:space="0" w:color="auto"/>
              <w:bottom w:val="single" w:sz="6" w:space="0" w:color="auto"/>
              <w:right w:val="single" w:sz="2" w:space="0" w:color="auto"/>
            </w:tcBorders>
          </w:tcPr>
          <w:p w:rsidR="0018757A" w:rsidRPr="00A616C3" w:rsidRDefault="0018757A" w:rsidP="00914BD8">
            <w:pPr>
              <w:spacing w:after="0"/>
              <w:jc w:val="center"/>
              <w:rPr>
                <w:sz w:val="20"/>
              </w:rPr>
            </w:pPr>
            <w:r w:rsidRPr="00A616C3">
              <w:rPr>
                <w:sz w:val="20"/>
              </w:rPr>
              <w:t>213</w:t>
            </w:r>
          </w:p>
        </w:tc>
        <w:tc>
          <w:tcPr>
            <w:tcW w:w="4034" w:type="dxa"/>
            <w:tcBorders>
              <w:top w:val="nil"/>
              <w:left w:val="nil"/>
              <w:bottom w:val="single" w:sz="6" w:space="0" w:color="auto"/>
              <w:right w:val="single" w:sz="6" w:space="0" w:color="auto"/>
            </w:tcBorders>
          </w:tcPr>
          <w:p w:rsidR="0018757A" w:rsidRPr="00A616C3" w:rsidRDefault="0018757A" w:rsidP="00914BD8">
            <w:pPr>
              <w:spacing w:after="0"/>
              <w:jc w:val="center"/>
              <w:rPr>
                <w:sz w:val="20"/>
              </w:rPr>
            </w:pPr>
            <w:r w:rsidRPr="00A616C3">
              <w:rPr>
                <w:sz w:val="20"/>
              </w:rPr>
              <w:t>12.8 (0.5–30+)</w:t>
            </w:r>
          </w:p>
        </w:tc>
      </w:tr>
    </w:tbl>
    <w:p w:rsidR="00702382" w:rsidRPr="00A616C3" w:rsidRDefault="00702382" w:rsidP="0018757A">
      <w:pPr>
        <w:spacing w:after="120" w:line="240" w:lineRule="atLeast"/>
      </w:pPr>
    </w:p>
    <w:p w:rsidR="0018757A" w:rsidRPr="00A616C3" w:rsidRDefault="0018757A" w:rsidP="00657070">
      <w:r w:rsidRPr="00A616C3">
        <w:t>The clinical significance of the objective tumour responses in this group of patients was supported by the quality</w:t>
      </w:r>
      <w:r w:rsidRPr="00A616C3">
        <w:noBreakHyphen/>
        <w:t>of</w:t>
      </w:r>
      <w:r w:rsidRPr="00A616C3">
        <w:noBreakHyphen/>
        <w:t>life and survival data.  Responders had clinically meaningful improvements in physical function, role function, social function, global quality of life and fatigue scale scores during HERCEPTIN treatment.  Most responders were still alive at data cut-off (28/34; 82%).  The Kaplan</w:t>
      </w:r>
      <w:r w:rsidRPr="00A616C3">
        <w:noBreakHyphen/>
        <w:t>Meier estimate of median survival for all treated patients at the data cut-off date was 12.8 months.</w:t>
      </w:r>
    </w:p>
    <w:p w:rsidR="009603BD" w:rsidRPr="00A616C3" w:rsidRDefault="009603BD" w:rsidP="009603BD">
      <w:r w:rsidRPr="00A616C3">
        <w:t xml:space="preserve">Evidence of efficacy for </w:t>
      </w:r>
      <w:r w:rsidR="005404A8" w:rsidRPr="00A616C3">
        <w:t>HERCEPTIN</w:t>
      </w:r>
      <w:r w:rsidRPr="00A616C3">
        <w:t xml:space="preserve"> monotherapy is based upon response rates.  No data are available to demonstrate improvement in survival or quality of life.</w:t>
      </w:r>
    </w:p>
    <w:p w:rsidR="00932086" w:rsidRPr="00A616C3" w:rsidRDefault="00932086">
      <w:pPr>
        <w:pStyle w:val="Heading2"/>
      </w:pPr>
      <w:r w:rsidRPr="00A616C3">
        <w:t>INDICATIONS</w:t>
      </w:r>
    </w:p>
    <w:p w:rsidR="009C612E" w:rsidRPr="00A616C3" w:rsidRDefault="00303DE7" w:rsidP="004D52B2">
      <w:pPr>
        <w:pStyle w:val="Heading3"/>
      </w:pPr>
      <w:r>
        <w:t>Early</w:t>
      </w:r>
      <w:r w:rsidR="009C612E" w:rsidRPr="00A616C3">
        <w:t xml:space="preserve"> Breast Cancer</w:t>
      </w:r>
    </w:p>
    <w:p w:rsidR="009C612E" w:rsidRPr="00A616C3" w:rsidRDefault="009C612E" w:rsidP="004A3320">
      <w:pPr>
        <w:rPr>
          <w:lang w:val="en-GB"/>
        </w:rPr>
      </w:pPr>
      <w:r w:rsidRPr="00A616C3">
        <w:rPr>
          <w:lang w:val="en-GB"/>
        </w:rPr>
        <w:t xml:space="preserve">HERCEPTIN </w:t>
      </w:r>
      <w:r w:rsidR="00AC3D65" w:rsidRPr="00A616C3">
        <w:rPr>
          <w:lang w:val="en-GB"/>
        </w:rPr>
        <w:t xml:space="preserve">SC </w:t>
      </w:r>
      <w:r w:rsidRPr="00A616C3">
        <w:rPr>
          <w:lang w:val="en-GB"/>
        </w:rPr>
        <w:t>is indicated for the treatment of HER2</w:t>
      </w:r>
      <w:r w:rsidR="00A114E2" w:rsidRPr="00A616C3">
        <w:rPr>
          <w:lang w:val="en-GB"/>
        </w:rPr>
        <w:t>-</w:t>
      </w:r>
      <w:r w:rsidRPr="00A616C3">
        <w:rPr>
          <w:lang w:val="en-GB"/>
        </w:rPr>
        <w:t>positive</w:t>
      </w:r>
      <w:r w:rsidR="00303DE7">
        <w:rPr>
          <w:lang w:val="en-GB"/>
        </w:rPr>
        <w:t xml:space="preserve"> early</w:t>
      </w:r>
      <w:r w:rsidRPr="00A616C3">
        <w:rPr>
          <w:lang w:val="en-GB"/>
        </w:rPr>
        <w:t xml:space="preserve"> breast cancer</w:t>
      </w:r>
      <w:r w:rsidR="004F1DFE" w:rsidRPr="00A616C3">
        <w:rPr>
          <w:lang w:val="en-GB"/>
        </w:rPr>
        <w:t xml:space="preserve"> </w:t>
      </w:r>
      <w:r w:rsidR="00AA3FCF" w:rsidRPr="00A616C3">
        <w:rPr>
          <w:lang w:val="en-GB"/>
        </w:rPr>
        <w:t>following surgery</w:t>
      </w:r>
      <w:r w:rsidR="000437FE" w:rsidRPr="00A616C3">
        <w:rPr>
          <w:lang w:val="en-GB"/>
        </w:rPr>
        <w:t>,</w:t>
      </w:r>
      <w:r w:rsidR="00AA3FCF" w:rsidRPr="00A616C3">
        <w:rPr>
          <w:lang w:val="en-GB"/>
        </w:rPr>
        <w:t xml:space="preserve"> and </w:t>
      </w:r>
      <w:r w:rsidRPr="00A616C3">
        <w:rPr>
          <w:lang w:val="en-GB"/>
        </w:rPr>
        <w:t>in association with chemotherapy</w:t>
      </w:r>
      <w:r w:rsidR="008B5070" w:rsidRPr="00A616C3">
        <w:rPr>
          <w:i/>
          <w:lang w:val="en-GB"/>
        </w:rPr>
        <w:t xml:space="preserve"> </w:t>
      </w:r>
      <w:r w:rsidR="008B5070" w:rsidRPr="00A616C3">
        <w:rPr>
          <w:lang w:val="en-GB"/>
        </w:rPr>
        <w:t>and, if applicable, radiotherapy</w:t>
      </w:r>
      <w:r w:rsidR="00AA3FCF" w:rsidRPr="00A616C3">
        <w:rPr>
          <w:lang w:val="en-GB"/>
        </w:rPr>
        <w:t>.</w:t>
      </w:r>
    </w:p>
    <w:p w:rsidR="00AA3FCF" w:rsidRPr="00E51CC4" w:rsidRDefault="00AA3FCF" w:rsidP="00E51CC4">
      <w:pPr>
        <w:pStyle w:val="Heading3"/>
      </w:pPr>
      <w:r w:rsidRPr="00E51CC4">
        <w:t>Locally Advanced Breast Cancer</w:t>
      </w:r>
    </w:p>
    <w:p w:rsidR="009E47C1" w:rsidRPr="00A616C3" w:rsidRDefault="00AA3FCF" w:rsidP="009E47C1">
      <w:pPr>
        <w:rPr>
          <w:lang w:val="en-GB"/>
        </w:rPr>
      </w:pPr>
      <w:r w:rsidRPr="00A616C3">
        <w:rPr>
          <w:lang w:val="en-GB"/>
        </w:rPr>
        <w:t xml:space="preserve">HERCEPTIN </w:t>
      </w:r>
      <w:r w:rsidR="00AC3D65" w:rsidRPr="00A616C3">
        <w:rPr>
          <w:lang w:val="en-GB"/>
        </w:rPr>
        <w:t xml:space="preserve">SC </w:t>
      </w:r>
      <w:r w:rsidRPr="00A616C3">
        <w:rPr>
          <w:lang w:val="en-GB"/>
        </w:rPr>
        <w:t xml:space="preserve">is indicated for the treatment of HER2-positive locally advanced breast cancer </w:t>
      </w:r>
      <w:r w:rsidR="009E47C1" w:rsidRPr="00A616C3">
        <w:rPr>
          <w:lang w:val="en-GB"/>
        </w:rPr>
        <w:t xml:space="preserve">in combination with </w:t>
      </w:r>
      <w:proofErr w:type="spellStart"/>
      <w:r w:rsidR="009E47C1" w:rsidRPr="00A616C3">
        <w:rPr>
          <w:lang w:val="en-GB"/>
        </w:rPr>
        <w:t>neoadjuvant</w:t>
      </w:r>
      <w:proofErr w:type="spellEnd"/>
      <w:r w:rsidR="009E47C1" w:rsidRPr="00A616C3">
        <w:rPr>
          <w:lang w:val="en-GB"/>
        </w:rPr>
        <w:t xml:space="preserve"> chemotherapy followed by adjuvant </w:t>
      </w:r>
      <w:r w:rsidR="0089258C" w:rsidRPr="00A616C3">
        <w:rPr>
          <w:lang w:val="en-GB"/>
        </w:rPr>
        <w:t>HERCEPTIN</w:t>
      </w:r>
      <w:r w:rsidR="009E47C1" w:rsidRPr="00A616C3">
        <w:rPr>
          <w:lang w:val="en-GB"/>
        </w:rPr>
        <w:t>.</w:t>
      </w:r>
    </w:p>
    <w:p w:rsidR="004B4D7E" w:rsidRPr="00A616C3" w:rsidRDefault="004B4D7E" w:rsidP="004B4D7E">
      <w:pPr>
        <w:pStyle w:val="Heading3"/>
      </w:pPr>
      <w:r w:rsidRPr="00A616C3">
        <w:t xml:space="preserve">Metastatic Breast Cancer </w:t>
      </w:r>
    </w:p>
    <w:p w:rsidR="00932086" w:rsidRPr="00A616C3" w:rsidRDefault="00932086" w:rsidP="00657070">
      <w:bookmarkStart w:id="10" w:name="OLE_LINK7"/>
      <w:bookmarkStart w:id="11" w:name="OLE_LINK8"/>
      <w:r w:rsidRPr="00A616C3">
        <w:t xml:space="preserve">HERCEPTIN </w:t>
      </w:r>
      <w:r w:rsidR="00AC3D65" w:rsidRPr="00A616C3">
        <w:t xml:space="preserve">SC </w:t>
      </w:r>
      <w:r w:rsidRPr="00A616C3">
        <w:t xml:space="preserve">is indicated for the treatment of patients with metastatic breast cancer who have tumours that </w:t>
      </w:r>
      <w:r w:rsidR="00EE69A2" w:rsidRPr="00A616C3">
        <w:t>overexpress</w:t>
      </w:r>
      <w:r w:rsidRPr="00A616C3">
        <w:t xml:space="preserve"> HER2:</w:t>
      </w:r>
    </w:p>
    <w:p w:rsidR="00911136" w:rsidRPr="00A616C3" w:rsidRDefault="00932086" w:rsidP="00657070">
      <w:pPr>
        <w:numPr>
          <w:ilvl w:val="0"/>
          <w:numId w:val="2"/>
        </w:numPr>
      </w:pPr>
      <w:r w:rsidRPr="00A616C3">
        <w:t>as monotherapy for the treatment of those patients who have received one or more chemotherapy regimens for their metastatic disease</w:t>
      </w:r>
      <w:r w:rsidR="00FB286C" w:rsidRPr="00A616C3">
        <w:t>;</w:t>
      </w:r>
    </w:p>
    <w:p w:rsidR="00911136" w:rsidRPr="00A616C3" w:rsidRDefault="00911136" w:rsidP="00911136">
      <w:pPr>
        <w:numPr>
          <w:ilvl w:val="0"/>
          <w:numId w:val="2"/>
        </w:numPr>
      </w:pPr>
      <w:r w:rsidRPr="00A616C3">
        <w:t xml:space="preserve">in combination with </w:t>
      </w:r>
      <w:proofErr w:type="spellStart"/>
      <w:r w:rsidRPr="00A616C3">
        <w:t>taxanes</w:t>
      </w:r>
      <w:proofErr w:type="spellEnd"/>
      <w:r w:rsidRPr="00A616C3">
        <w:t xml:space="preserve"> for the treatment of those patients who have not received chemotherapy for their metastatic disease; or  </w:t>
      </w:r>
    </w:p>
    <w:p w:rsidR="008171FF" w:rsidRPr="00A616C3" w:rsidRDefault="00911136" w:rsidP="003E410C">
      <w:pPr>
        <w:pStyle w:val="TextAlpha"/>
        <w:numPr>
          <w:ilvl w:val="0"/>
          <w:numId w:val="2"/>
        </w:numPr>
        <w:spacing w:after="170" w:line="0" w:lineRule="atLeast"/>
        <w:ind w:left="357" w:hanging="357"/>
        <w:rPr>
          <w:sz w:val="22"/>
        </w:rPr>
      </w:pPr>
      <w:proofErr w:type="gramStart"/>
      <w:r w:rsidRPr="00A616C3">
        <w:rPr>
          <w:sz w:val="22"/>
        </w:rPr>
        <w:t>in</w:t>
      </w:r>
      <w:proofErr w:type="gramEnd"/>
      <w:r w:rsidRPr="00A616C3">
        <w:rPr>
          <w:sz w:val="22"/>
        </w:rPr>
        <w:t xml:space="preserve"> combination with an aromatase inhibitor for the treatment of </w:t>
      </w:r>
      <w:r w:rsidR="00FB286C" w:rsidRPr="00A616C3">
        <w:rPr>
          <w:sz w:val="22"/>
        </w:rPr>
        <w:t xml:space="preserve">post-menopausal </w:t>
      </w:r>
      <w:r w:rsidRPr="00A616C3">
        <w:rPr>
          <w:sz w:val="22"/>
        </w:rPr>
        <w:t>patients with hormone-receptor positive metastatic breast cancer.</w:t>
      </w:r>
      <w:r w:rsidR="00E41F83" w:rsidRPr="00A616C3">
        <w:rPr>
          <w:sz w:val="22"/>
        </w:rPr>
        <w:t xml:space="preserve"> </w:t>
      </w:r>
    </w:p>
    <w:bookmarkEnd w:id="10"/>
    <w:bookmarkEnd w:id="11"/>
    <w:p w:rsidR="00932086" w:rsidRPr="00A616C3" w:rsidRDefault="00932086">
      <w:pPr>
        <w:pStyle w:val="Heading2"/>
      </w:pPr>
      <w:r w:rsidRPr="00A616C3">
        <w:lastRenderedPageBreak/>
        <w:t>CONTRAINDICATIONS</w:t>
      </w:r>
    </w:p>
    <w:p w:rsidR="00932086" w:rsidRPr="00A616C3" w:rsidRDefault="00932086" w:rsidP="00657070">
      <w:r w:rsidRPr="00A616C3">
        <w:t xml:space="preserve">HERCEPTIN is contraindicated in patients with known hypersensitivity to </w:t>
      </w:r>
      <w:proofErr w:type="spellStart"/>
      <w:r w:rsidRPr="00A616C3">
        <w:t>trastuzumab</w:t>
      </w:r>
      <w:proofErr w:type="spellEnd"/>
      <w:r w:rsidRPr="00A616C3">
        <w:t xml:space="preserve">, Chinese hamster ovary cell proteins or to any </w:t>
      </w:r>
      <w:r w:rsidR="00501A70" w:rsidRPr="00A616C3">
        <w:t>of its excipients</w:t>
      </w:r>
      <w:r w:rsidRPr="00A616C3">
        <w:t>.</w:t>
      </w:r>
    </w:p>
    <w:p w:rsidR="00F72D33" w:rsidRPr="00A616C3" w:rsidRDefault="006E43C8" w:rsidP="00657070">
      <w:r w:rsidRPr="00A616C3">
        <w:t xml:space="preserve">In the treatment of </w:t>
      </w:r>
      <w:r w:rsidR="00303DE7">
        <w:t>early</w:t>
      </w:r>
      <w:r w:rsidR="00303DE7" w:rsidRPr="00A616C3">
        <w:t xml:space="preserve"> </w:t>
      </w:r>
      <w:r w:rsidR="00C32196" w:rsidRPr="00A616C3">
        <w:t xml:space="preserve">or locally advanced </w:t>
      </w:r>
      <w:r w:rsidRPr="00A616C3">
        <w:t xml:space="preserve">breast cancer, HERCEPTIN is contraindicated in patients with a left ventricular ejection fraction of less than 45% and those with symptomatic heart failure. </w:t>
      </w:r>
    </w:p>
    <w:p w:rsidR="00932086" w:rsidRPr="00A616C3" w:rsidRDefault="00932086">
      <w:pPr>
        <w:pStyle w:val="Heading2"/>
      </w:pPr>
      <w:r w:rsidRPr="00A616C3">
        <w:t>PRECAUTIONS</w:t>
      </w:r>
    </w:p>
    <w:p w:rsidR="00BB0ED1" w:rsidRDefault="0000575D" w:rsidP="004656BD">
      <w:pPr>
        <w:rPr>
          <w:rFonts w:eastAsia="MS Mincho"/>
          <w:lang w:val="en-GB"/>
        </w:rPr>
      </w:pPr>
      <w:r>
        <w:rPr>
          <w:rFonts w:eastAsia="MS Mincho"/>
          <w:lang w:val="en-GB"/>
        </w:rPr>
        <w:t xml:space="preserve">In the Phase III trial </w:t>
      </w:r>
      <w:r w:rsidR="004656BD" w:rsidRPr="00A616C3">
        <w:rPr>
          <w:rFonts w:eastAsia="MS Mincho"/>
          <w:lang w:val="en-GB"/>
        </w:rPr>
        <w:t>BO22227 (HANNAH)</w:t>
      </w:r>
      <w:r>
        <w:rPr>
          <w:rFonts w:eastAsia="MS Mincho"/>
          <w:lang w:val="en-GB"/>
        </w:rPr>
        <w:t>, which compared the</w:t>
      </w:r>
      <w:r w:rsidR="004656BD" w:rsidRPr="00A616C3">
        <w:rPr>
          <w:rFonts w:eastAsia="MS Mincho"/>
          <w:lang w:val="en-GB"/>
        </w:rPr>
        <w:t xml:space="preserve"> administration of HERCEPTIN IV with HERCEPTIN SC, subjects in the SC arm experienced a higher incidence of serious adverse events</w:t>
      </w:r>
      <w:r>
        <w:rPr>
          <w:rFonts w:eastAsia="MS Mincho"/>
          <w:lang w:val="en-GB"/>
        </w:rPr>
        <w:t xml:space="preserve"> and </w:t>
      </w:r>
      <w:r w:rsidR="00BB0ED1">
        <w:rPr>
          <w:rFonts w:eastAsia="MS Mincho"/>
          <w:lang w:val="en-GB"/>
        </w:rPr>
        <w:t xml:space="preserve">discontinuation of </w:t>
      </w:r>
      <w:r>
        <w:rPr>
          <w:rFonts w:eastAsia="MS Mincho"/>
          <w:lang w:val="en-GB"/>
        </w:rPr>
        <w:t>treatment.</w:t>
      </w:r>
      <w:r w:rsidR="00BB0ED1">
        <w:rPr>
          <w:rFonts w:eastAsia="MS Mincho"/>
          <w:lang w:val="en-GB"/>
        </w:rPr>
        <w:t xml:space="preserve"> </w:t>
      </w:r>
    </w:p>
    <w:p w:rsidR="004656BD" w:rsidRDefault="004656BD" w:rsidP="004656BD">
      <w:pPr>
        <w:rPr>
          <w:rFonts w:eastAsia="MS Mincho"/>
          <w:lang w:val="en-GB"/>
        </w:rPr>
      </w:pPr>
      <w:r w:rsidRPr="00A616C3">
        <w:rPr>
          <w:rFonts w:eastAsia="MS Mincho"/>
          <w:lang w:val="en-GB"/>
        </w:rPr>
        <w:t>The potential impact of such effects should be considered for each patient when deciding to use HERCEPTIN SC</w:t>
      </w:r>
      <w:r w:rsidR="0000575D">
        <w:rPr>
          <w:rFonts w:eastAsia="MS Mincho"/>
          <w:lang w:val="en-GB"/>
        </w:rPr>
        <w:t xml:space="preserve"> (see </w:t>
      </w:r>
      <w:r w:rsidR="0000575D">
        <w:rPr>
          <w:rFonts w:eastAsia="MS Mincho"/>
          <w:b/>
          <w:lang w:val="en-GB"/>
        </w:rPr>
        <w:t>ADVERSE EFFECTS</w:t>
      </w:r>
      <w:r w:rsidR="00005411">
        <w:rPr>
          <w:rFonts w:eastAsia="MS Mincho"/>
          <w:b/>
          <w:lang w:val="en-GB"/>
        </w:rPr>
        <w:t>, Subcutaneous Administration</w:t>
      </w:r>
      <w:r w:rsidR="0000575D">
        <w:rPr>
          <w:rFonts w:eastAsia="MS Mincho"/>
          <w:b/>
          <w:lang w:val="en-GB"/>
        </w:rPr>
        <w:t>)</w:t>
      </w:r>
      <w:r w:rsidRPr="00A616C3">
        <w:rPr>
          <w:rFonts w:eastAsia="MS Mincho"/>
          <w:lang w:val="en-GB"/>
        </w:rPr>
        <w:t>.</w:t>
      </w:r>
    </w:p>
    <w:p w:rsidR="00932086" w:rsidRPr="00A616C3" w:rsidRDefault="00932086" w:rsidP="00392D7F">
      <w:pPr>
        <w:pStyle w:val="Heading3"/>
        <w:spacing w:before="120" w:after="120" w:line="240" w:lineRule="atLeast"/>
      </w:pPr>
      <w:r w:rsidRPr="00A616C3">
        <w:t>General</w:t>
      </w:r>
    </w:p>
    <w:p w:rsidR="00B346AE" w:rsidRPr="00A616C3" w:rsidRDefault="00932086" w:rsidP="00692B64">
      <w:pPr>
        <w:rPr>
          <w:lang w:val="en-GB"/>
        </w:rPr>
      </w:pPr>
      <w:r w:rsidRPr="00A616C3">
        <w:rPr>
          <w:lang w:val="en-GB"/>
        </w:rPr>
        <w:t xml:space="preserve">HERCEPTIN therapy should only be initiated under the supervision of a physician experienced in the treatment of cancer patients.  </w:t>
      </w:r>
      <w:r w:rsidR="00E371A4" w:rsidRPr="00A616C3">
        <w:rPr>
          <w:lang w:val="en-GB"/>
        </w:rPr>
        <w:t>HERCEPTIN should be administered by a healthcare professional prepared to manage anaphylaxis and a</w:t>
      </w:r>
      <w:r w:rsidR="00B255AD" w:rsidRPr="00A616C3">
        <w:rPr>
          <w:lang w:val="en-GB"/>
        </w:rPr>
        <w:t>dequate life support facilities</w:t>
      </w:r>
      <w:r w:rsidR="00E371A4" w:rsidRPr="00A616C3">
        <w:rPr>
          <w:lang w:val="en-GB"/>
        </w:rPr>
        <w:t xml:space="preserve"> should be available.</w:t>
      </w:r>
      <w:r w:rsidR="00693D71" w:rsidRPr="00A616C3">
        <w:rPr>
          <w:lang w:val="en-GB"/>
        </w:rPr>
        <w:t xml:space="preserve"> </w:t>
      </w:r>
      <w:r w:rsidR="00E371A4" w:rsidRPr="00A616C3">
        <w:rPr>
          <w:lang w:val="en-GB"/>
        </w:rPr>
        <w:t>Treatment may be administered in an outpatient setting.</w:t>
      </w:r>
    </w:p>
    <w:p w:rsidR="00692B64" w:rsidRPr="00A616C3" w:rsidRDefault="00932086" w:rsidP="00D101E4">
      <w:pPr>
        <w:widowControl w:val="0"/>
        <w:spacing w:before="120" w:after="120" w:line="240" w:lineRule="atLeast"/>
        <w:rPr>
          <w:i/>
        </w:rPr>
      </w:pPr>
      <w:r w:rsidRPr="00A616C3">
        <w:rPr>
          <w:lang w:val="en-GB"/>
        </w:rPr>
        <w:t xml:space="preserve">If HERCEPTIN is used concurrently with cytotoxic chemotherapy, the specific guidelines used to reduce or hold the dose of chemotherapy should be followed.  Patients may continue HERCEPTIN therapy during periods of reversible chemotherapy-induced </w:t>
      </w:r>
      <w:proofErr w:type="spellStart"/>
      <w:r w:rsidRPr="00A616C3">
        <w:rPr>
          <w:lang w:val="en-GB"/>
        </w:rPr>
        <w:t>myelosuppression</w:t>
      </w:r>
      <w:proofErr w:type="spellEnd"/>
      <w:r w:rsidRPr="00A616C3">
        <w:rPr>
          <w:lang w:val="en-GB"/>
        </w:rPr>
        <w:t>, renal toxicity or hepatic toxicity.</w:t>
      </w:r>
      <w:r w:rsidR="0079381F" w:rsidRPr="00A616C3">
        <w:rPr>
          <w:i/>
        </w:rPr>
        <w:t xml:space="preserve"> </w:t>
      </w:r>
    </w:p>
    <w:p w:rsidR="00932086" w:rsidRPr="00A616C3" w:rsidRDefault="00932086" w:rsidP="00392D7F">
      <w:pPr>
        <w:pStyle w:val="Heading3"/>
        <w:spacing w:before="120" w:after="120" w:line="240" w:lineRule="atLeast"/>
      </w:pPr>
      <w:r w:rsidRPr="00A616C3">
        <w:t>Cardi</w:t>
      </w:r>
      <w:r w:rsidR="00A17CC2" w:rsidRPr="00A616C3">
        <w:t>ac Dysfunction</w:t>
      </w:r>
    </w:p>
    <w:p w:rsidR="0050432D" w:rsidRPr="00A616C3" w:rsidRDefault="0050432D" w:rsidP="00E2308B">
      <w:pPr>
        <w:pStyle w:val="Heading4"/>
        <w:spacing w:after="120"/>
        <w:ind w:left="0"/>
        <w:rPr>
          <w:sz w:val="22"/>
          <w:u w:val="single"/>
        </w:rPr>
      </w:pPr>
      <w:r w:rsidRPr="00A616C3">
        <w:rPr>
          <w:sz w:val="22"/>
          <w:u w:val="single"/>
        </w:rPr>
        <w:t>General considerations</w:t>
      </w:r>
    </w:p>
    <w:p w:rsidR="00A37FAC" w:rsidRPr="00A616C3" w:rsidRDefault="00A17CC2" w:rsidP="00981F4D">
      <w:r w:rsidRPr="00A616C3">
        <w:t xml:space="preserve">Patients treated with HERCEPTIN </w:t>
      </w:r>
      <w:r w:rsidR="00A439DF" w:rsidRPr="00A616C3">
        <w:t>are</w:t>
      </w:r>
      <w:r w:rsidRPr="00A616C3">
        <w:t xml:space="preserve"> at </w:t>
      </w:r>
      <w:r w:rsidR="002F0E5B" w:rsidRPr="00A616C3">
        <w:t xml:space="preserve">increased </w:t>
      </w:r>
      <w:r w:rsidRPr="00A616C3">
        <w:t>risk of developing congestive h</w:t>
      </w:r>
      <w:r w:rsidR="00932086" w:rsidRPr="00A616C3">
        <w:t>eart failure</w:t>
      </w:r>
      <w:r w:rsidRPr="00A616C3">
        <w:t xml:space="preserve"> (CHF)</w:t>
      </w:r>
      <w:r w:rsidR="00932086" w:rsidRPr="00A616C3">
        <w:t xml:space="preserve"> (New York Heart Association [NYHA] class II-IV) </w:t>
      </w:r>
      <w:r w:rsidRPr="00A616C3">
        <w:t xml:space="preserve">or asymptomatic cardiac dysfunction. These events </w:t>
      </w:r>
      <w:r w:rsidR="00932086" w:rsidRPr="00A616C3">
        <w:t>ha</w:t>
      </w:r>
      <w:r w:rsidRPr="00A616C3">
        <w:t>ve</w:t>
      </w:r>
      <w:r w:rsidR="00932086" w:rsidRPr="00A616C3">
        <w:t xml:space="preserve"> been observed in patients receiving HERCEPTIN therapy alone or in combination with </w:t>
      </w:r>
      <w:r w:rsidR="00386ED1" w:rsidRPr="00A616C3">
        <w:t xml:space="preserve">a </w:t>
      </w:r>
      <w:proofErr w:type="spellStart"/>
      <w:r w:rsidR="00386ED1" w:rsidRPr="00A616C3">
        <w:t>taxane</w:t>
      </w:r>
      <w:proofErr w:type="spellEnd"/>
      <w:r w:rsidR="00386ED1" w:rsidRPr="00A616C3">
        <w:t xml:space="preserve"> following </w:t>
      </w:r>
      <w:proofErr w:type="spellStart"/>
      <w:r w:rsidR="00386ED1" w:rsidRPr="00A616C3">
        <w:t>anthracycline</w:t>
      </w:r>
      <w:proofErr w:type="spellEnd"/>
      <w:r w:rsidR="00386ED1" w:rsidRPr="00A616C3">
        <w:t xml:space="preserve"> (doxorubicin or </w:t>
      </w:r>
      <w:proofErr w:type="spellStart"/>
      <w:r w:rsidR="00386ED1" w:rsidRPr="00A616C3">
        <w:t>epirubicin</w:t>
      </w:r>
      <w:proofErr w:type="spellEnd"/>
      <w:r w:rsidR="00386ED1" w:rsidRPr="00A616C3">
        <w:t>)–containing chemotherapy</w:t>
      </w:r>
      <w:r w:rsidR="007A1B04" w:rsidRPr="00A616C3">
        <w:t xml:space="preserve">. </w:t>
      </w:r>
      <w:r w:rsidR="00932086" w:rsidRPr="00A616C3">
        <w:t>This may be moderate to severe and has been associated with death.</w:t>
      </w:r>
      <w:r w:rsidR="00A37FAC" w:rsidRPr="00A616C3">
        <w:t xml:space="preserve"> </w:t>
      </w:r>
      <w:r w:rsidR="006C24B7" w:rsidRPr="00A616C3">
        <w:t>In addition,</w:t>
      </w:r>
      <w:r w:rsidR="002F0E5B" w:rsidRPr="00A616C3">
        <w:t xml:space="preserve"> </w:t>
      </w:r>
      <w:r w:rsidR="007C2855" w:rsidRPr="00A616C3">
        <w:t>c</w:t>
      </w:r>
      <w:r w:rsidR="00932086" w:rsidRPr="00A616C3">
        <w:t>aution should be exercised in treating patients with</w:t>
      </w:r>
      <w:r w:rsidR="00A37FAC" w:rsidRPr="00A616C3">
        <w:t xml:space="preserve"> increased cardiac risk e.g. </w:t>
      </w:r>
      <w:r w:rsidR="00932086" w:rsidRPr="00A616C3">
        <w:t>hypertension, documented coronary artery disease</w:t>
      </w:r>
      <w:r w:rsidR="00A37FAC" w:rsidRPr="00A616C3">
        <w:t>, CHF, diastolic dysfunction, older age</w:t>
      </w:r>
      <w:r w:rsidR="00772E59" w:rsidRPr="00A616C3">
        <w:t>.</w:t>
      </w:r>
    </w:p>
    <w:p w:rsidR="003E625E" w:rsidRPr="00A616C3" w:rsidRDefault="00C93337" w:rsidP="003E625E">
      <w:pPr>
        <w:spacing w:after="0"/>
      </w:pPr>
      <w:r w:rsidRPr="00A616C3">
        <w:t>T</w:t>
      </w:r>
      <w:r w:rsidR="00A37FAC" w:rsidRPr="00A616C3">
        <w:t xml:space="preserve">he </w:t>
      </w:r>
      <w:r w:rsidRPr="00A616C3">
        <w:t xml:space="preserve">median </w:t>
      </w:r>
      <w:r w:rsidR="00A37FAC" w:rsidRPr="00A616C3">
        <w:t xml:space="preserve">half-life of </w:t>
      </w:r>
      <w:proofErr w:type="spellStart"/>
      <w:r w:rsidR="00A37FAC" w:rsidRPr="00A616C3">
        <w:t>trastuzumab</w:t>
      </w:r>
      <w:proofErr w:type="spellEnd"/>
      <w:r w:rsidR="00A37FAC" w:rsidRPr="00A616C3">
        <w:t xml:space="preserve"> </w:t>
      </w:r>
      <w:r w:rsidRPr="00A616C3">
        <w:t xml:space="preserve">following SC administration is 26.5 days, which is similar to the half-life following IV administration </w:t>
      </w:r>
      <w:r w:rsidR="00A37FAC" w:rsidRPr="00A616C3">
        <w:t xml:space="preserve">(see </w:t>
      </w:r>
      <w:r w:rsidR="00A37FAC" w:rsidRPr="00A616C3">
        <w:rPr>
          <w:b/>
        </w:rPr>
        <w:t>Pharmacokinetics</w:t>
      </w:r>
      <w:r w:rsidR="00A37FAC" w:rsidRPr="00A616C3">
        <w:t xml:space="preserve">). Patients who receive </w:t>
      </w:r>
      <w:proofErr w:type="spellStart"/>
      <w:r w:rsidR="00A37FAC" w:rsidRPr="00A616C3">
        <w:t>anthracycline</w:t>
      </w:r>
      <w:proofErr w:type="spellEnd"/>
      <w:r w:rsidR="00A37FAC" w:rsidRPr="00A616C3">
        <w:t xml:space="preserve"> after stopping HERCEPTIN may also be at increased risk of cardiac dysfunction. </w:t>
      </w:r>
      <w:r w:rsidR="003E625E" w:rsidRPr="00A616C3">
        <w:t xml:space="preserve">If possible, physicians should avoid </w:t>
      </w:r>
      <w:proofErr w:type="spellStart"/>
      <w:r w:rsidR="003E625E" w:rsidRPr="00A616C3">
        <w:t>anthracycline</w:t>
      </w:r>
      <w:proofErr w:type="spellEnd"/>
      <w:r w:rsidR="003E625E" w:rsidRPr="00A616C3">
        <w:t xml:space="preserve">-based therapy for up to 27 weeks after stopping HERCEPTIN. If </w:t>
      </w:r>
      <w:proofErr w:type="spellStart"/>
      <w:r w:rsidR="003E625E" w:rsidRPr="00A616C3">
        <w:t>anthracyclines</w:t>
      </w:r>
      <w:proofErr w:type="spellEnd"/>
      <w:r w:rsidR="003E625E" w:rsidRPr="00A616C3">
        <w:t xml:space="preserve"> are used, the patient’s cardiac function should be monitored carefully.</w:t>
      </w:r>
    </w:p>
    <w:p w:rsidR="00A37FAC" w:rsidRPr="00A616C3" w:rsidRDefault="00A37FAC" w:rsidP="00A37FAC">
      <w:pPr>
        <w:spacing w:after="0"/>
      </w:pPr>
    </w:p>
    <w:p w:rsidR="00E61C13" w:rsidRDefault="00932086" w:rsidP="009D4BF5">
      <w:pPr>
        <w:spacing w:after="0"/>
      </w:pPr>
      <w:r w:rsidRPr="00A616C3">
        <w:t xml:space="preserve">Candidates for treatment with HERCEPTIN, especially those with prior </w:t>
      </w:r>
      <w:proofErr w:type="spellStart"/>
      <w:r w:rsidRPr="00A616C3">
        <w:t>anthracycline</w:t>
      </w:r>
      <w:proofErr w:type="spellEnd"/>
      <w:r w:rsidRPr="00A616C3">
        <w:t xml:space="preserve"> and cyclophosphamide (AC) exposure, should undergo baseline cardiac assessment including history and </w:t>
      </w:r>
      <w:r w:rsidRPr="00A616C3">
        <w:lastRenderedPageBreak/>
        <w:t xml:space="preserve">physical examination, ECG echocardiogram, and/or MUGA scan.  </w:t>
      </w:r>
      <w:r w:rsidR="00A37FAC" w:rsidRPr="00A616C3">
        <w:t xml:space="preserve">Monitoring may help to identify patients who develop cardiac dysfunction, including signs and symptoms of CHF. </w:t>
      </w:r>
      <w:r w:rsidRPr="00A616C3">
        <w:t>Cardiac</w:t>
      </w:r>
      <w:r w:rsidR="00A37FAC" w:rsidRPr="00A616C3">
        <w:t xml:space="preserve"> assessments, as performed at baseline, </w:t>
      </w:r>
      <w:r w:rsidRPr="00A616C3">
        <w:t xml:space="preserve">should be </w:t>
      </w:r>
      <w:r w:rsidR="00A37FAC" w:rsidRPr="00A616C3">
        <w:t xml:space="preserve">repeated </w:t>
      </w:r>
      <w:r w:rsidRPr="00A616C3">
        <w:t xml:space="preserve">every </w:t>
      </w:r>
      <w:r w:rsidR="004D06E1" w:rsidRPr="00A616C3">
        <w:t xml:space="preserve">3 </w:t>
      </w:r>
      <w:r w:rsidRPr="00A616C3">
        <w:t>months</w:t>
      </w:r>
      <w:r w:rsidR="00A37FAC" w:rsidRPr="00A616C3">
        <w:t xml:space="preserve"> during treatment and every 6 months following discontinuation of treatment until 24 months from the last administration of HERCEPTIN.</w:t>
      </w:r>
      <w:r w:rsidRPr="00A616C3">
        <w:t xml:space="preserve">  </w:t>
      </w:r>
    </w:p>
    <w:p w:rsidR="00745D56" w:rsidRDefault="00745D56" w:rsidP="009D4BF5">
      <w:pPr>
        <w:spacing w:after="0"/>
      </w:pPr>
    </w:p>
    <w:p w:rsidR="00745D56" w:rsidRPr="00A616C3" w:rsidRDefault="00745D56" w:rsidP="009D4BF5">
      <w:pPr>
        <w:spacing w:after="0"/>
      </w:pPr>
      <w:r>
        <w:rPr>
          <w:rFonts w:ascii="Calibri" w:hAnsi="Calibri" w:cs="Calibri"/>
          <w:color w:val="1F497D"/>
          <w:shd w:val="clear" w:color="auto" w:fill="FFFFFF"/>
        </w:rPr>
        <w:t>The concomitant usage of Herceptin SC with other agents which can affect left ventricular function has not been formally studied.</w:t>
      </w:r>
    </w:p>
    <w:p w:rsidR="00C32196" w:rsidRPr="00A616C3" w:rsidRDefault="00C32196" w:rsidP="009D4BF5">
      <w:pPr>
        <w:spacing w:after="0"/>
      </w:pPr>
    </w:p>
    <w:p w:rsidR="00A439DF" w:rsidRPr="00A616C3" w:rsidRDefault="009D4BF5" w:rsidP="009D4BF5">
      <w:r w:rsidRPr="00A616C3">
        <w:rPr>
          <w:rFonts w:eastAsia="MS Mincho"/>
          <w:lang w:val="en-GB"/>
        </w:rPr>
        <w:t>I</w:t>
      </w:r>
      <w:r w:rsidR="00E7328F" w:rsidRPr="00A616C3">
        <w:rPr>
          <w:rFonts w:eastAsia="MS Mincho"/>
          <w:lang w:val="en-GB"/>
        </w:rPr>
        <w:t xml:space="preserve">f </w:t>
      </w:r>
      <w:r w:rsidR="006A060C" w:rsidRPr="00A616C3">
        <w:rPr>
          <w:rFonts w:eastAsia="MS Mincho"/>
          <w:lang w:val="en-GB"/>
        </w:rPr>
        <w:t>left ventricular ejection fraction (</w:t>
      </w:r>
      <w:r w:rsidR="00E7328F" w:rsidRPr="00A616C3">
        <w:rPr>
          <w:rFonts w:eastAsia="MS Mincho"/>
          <w:lang w:val="en-GB"/>
        </w:rPr>
        <w:t>LVEF</w:t>
      </w:r>
      <w:r w:rsidR="006A060C" w:rsidRPr="00A616C3">
        <w:rPr>
          <w:rFonts w:eastAsia="MS Mincho"/>
          <w:lang w:val="en-GB"/>
        </w:rPr>
        <w:t>)</w:t>
      </w:r>
      <w:r w:rsidR="00E7328F" w:rsidRPr="00A616C3">
        <w:rPr>
          <w:rFonts w:eastAsia="MS Mincho"/>
          <w:lang w:val="en-GB"/>
        </w:rPr>
        <w:t xml:space="preserve"> drops 10 </w:t>
      </w:r>
      <w:r w:rsidR="00C84F62" w:rsidRPr="00A616C3">
        <w:rPr>
          <w:rFonts w:eastAsia="MS Mincho"/>
          <w:lang w:val="en-GB"/>
        </w:rPr>
        <w:t xml:space="preserve">percentage </w:t>
      </w:r>
      <w:r w:rsidR="00E7328F" w:rsidRPr="00A616C3">
        <w:rPr>
          <w:rFonts w:eastAsia="MS Mincho"/>
          <w:lang w:val="en-GB"/>
        </w:rPr>
        <w:t>points from baseline</w:t>
      </w:r>
      <w:r w:rsidR="001D1006" w:rsidRPr="00A616C3">
        <w:rPr>
          <w:rFonts w:eastAsia="MS Mincho"/>
          <w:lang w:val="en-GB"/>
        </w:rPr>
        <w:t xml:space="preserve"> </w:t>
      </w:r>
      <w:r w:rsidR="000A7FAA" w:rsidRPr="00A616C3">
        <w:rPr>
          <w:rFonts w:eastAsia="MS Mincho"/>
          <w:lang w:val="en-GB"/>
        </w:rPr>
        <w:t>and</w:t>
      </w:r>
      <w:r w:rsidR="00E7328F" w:rsidRPr="00A616C3">
        <w:rPr>
          <w:rFonts w:eastAsia="MS Mincho"/>
          <w:lang w:val="en-GB"/>
        </w:rPr>
        <w:t xml:space="preserve"> to below 50%</w:t>
      </w:r>
      <w:r w:rsidR="00A37FAC" w:rsidRPr="00A616C3">
        <w:rPr>
          <w:rFonts w:eastAsia="MS Mincho"/>
          <w:lang w:val="en-GB"/>
        </w:rPr>
        <w:t xml:space="preserve">, </w:t>
      </w:r>
      <w:r w:rsidR="00E7328F" w:rsidRPr="00A616C3">
        <w:rPr>
          <w:rFonts w:eastAsia="MS Mincho"/>
          <w:lang w:val="en-GB"/>
        </w:rPr>
        <w:t xml:space="preserve">HERCEPTIN should be withheld and a repeat LVEF assessment performed within approximately 3 weeks. If LVEF has not improved, or declined further, </w:t>
      </w:r>
      <w:r w:rsidR="00A439DF" w:rsidRPr="00A616C3">
        <w:rPr>
          <w:rFonts w:eastAsia="MS Mincho"/>
          <w:lang w:val="en-GB"/>
        </w:rPr>
        <w:t xml:space="preserve">or clinically significant CHF has developed, </w:t>
      </w:r>
      <w:r w:rsidR="00E7328F" w:rsidRPr="00A616C3">
        <w:rPr>
          <w:rFonts w:eastAsia="MS Mincho"/>
          <w:lang w:val="en-GB"/>
        </w:rPr>
        <w:t>discontinuation of HERCEPTIN should be strongly considered, unless the benefits for the individual patient are deemed to outweigh the risks.</w:t>
      </w:r>
      <w:r w:rsidR="00E61C13" w:rsidRPr="00A616C3">
        <w:t xml:space="preserve"> </w:t>
      </w:r>
    </w:p>
    <w:p w:rsidR="00A439DF" w:rsidRPr="00A616C3" w:rsidRDefault="00E61C13" w:rsidP="009D4BF5">
      <w:r w:rsidRPr="00A616C3">
        <w:t>Patients who develop asymptomatic cardiac dysfunction may benefit from more frequent monitoring (e.g. every 6 - 8 weeks).  If patients have a continued decrease in left ventricular function, but remain asymptomatic, the physician should consider discontinuing therapy if no clinical benefit of HERCEPTIN therapy has been seen.</w:t>
      </w:r>
    </w:p>
    <w:p w:rsidR="00932086" w:rsidRPr="00A616C3" w:rsidRDefault="00932086" w:rsidP="00657070">
      <w:r w:rsidRPr="00A616C3">
        <w:t>The safety of continuation or resumption of HERCEPTIN in patients who experience cardi</w:t>
      </w:r>
      <w:r w:rsidR="00786BA4" w:rsidRPr="00A616C3">
        <w:t>ac dysfunction</w:t>
      </w:r>
      <w:r w:rsidRPr="00A616C3">
        <w:t xml:space="preserve"> has not been prospectively studied.  </w:t>
      </w:r>
      <w:r w:rsidR="00786BA4" w:rsidRPr="00A616C3">
        <w:t xml:space="preserve">If symptomatic cardiac failure develops during HERCEPTIN therapy, it should be treated with the standard medications for this purpose.  . In the pivotal trials, </w:t>
      </w:r>
      <w:r w:rsidRPr="00A616C3">
        <w:t xml:space="preserve">most patients who developed heart failure </w:t>
      </w:r>
      <w:r w:rsidR="00786BA4" w:rsidRPr="00A616C3">
        <w:t xml:space="preserve">or asymptomatic cardiac dysfunction </w:t>
      </w:r>
      <w:r w:rsidRPr="00A616C3">
        <w:t xml:space="preserve">improved with standard </w:t>
      </w:r>
      <w:r w:rsidR="00786BA4" w:rsidRPr="00A616C3">
        <w:t xml:space="preserve">heart failure </w:t>
      </w:r>
      <w:r w:rsidRPr="00A616C3">
        <w:t>treatment</w:t>
      </w:r>
      <w:r w:rsidR="00786BA4" w:rsidRPr="00A616C3">
        <w:t xml:space="preserve"> consisting of angiotensin</w:t>
      </w:r>
      <w:r w:rsidR="00786BA4" w:rsidRPr="00A616C3">
        <w:noBreakHyphen/>
        <w:t>converting enzyme (ACE</w:t>
      </w:r>
      <w:r w:rsidR="00130E36" w:rsidRPr="00A616C3">
        <w:t>) inhibitor</w:t>
      </w:r>
      <w:r w:rsidR="00786BA4" w:rsidRPr="00A616C3">
        <w:t xml:space="preserve"> or angiotensin receptor blocker (ARB) and a β-blocker</w:t>
      </w:r>
      <w:r w:rsidRPr="00A616C3">
        <w:t>.  The majority of patients with cardiac symptoms and evidence of a clinical benefit of HERCEPTIN treatment continued on weekly therapy with HERCEPTIN without additional clinical cardiac events.</w:t>
      </w:r>
    </w:p>
    <w:p w:rsidR="004D06E1" w:rsidRPr="00A616C3" w:rsidRDefault="00303DE7" w:rsidP="004D06E1">
      <w:pPr>
        <w:pStyle w:val="Heading4"/>
        <w:spacing w:after="120"/>
        <w:ind w:left="0"/>
        <w:rPr>
          <w:sz w:val="22"/>
          <w:u w:val="single"/>
        </w:rPr>
      </w:pPr>
      <w:r>
        <w:rPr>
          <w:sz w:val="22"/>
          <w:u w:val="single"/>
        </w:rPr>
        <w:t>Early</w:t>
      </w:r>
      <w:r w:rsidRPr="00A616C3">
        <w:rPr>
          <w:sz w:val="22"/>
          <w:u w:val="single"/>
        </w:rPr>
        <w:t xml:space="preserve"> </w:t>
      </w:r>
      <w:r w:rsidR="008716AB" w:rsidRPr="00A616C3">
        <w:rPr>
          <w:sz w:val="22"/>
          <w:u w:val="single"/>
        </w:rPr>
        <w:t xml:space="preserve">and Locally Advanced </w:t>
      </w:r>
      <w:r w:rsidR="004D06E1" w:rsidRPr="00A616C3">
        <w:rPr>
          <w:sz w:val="22"/>
          <w:u w:val="single"/>
        </w:rPr>
        <w:t xml:space="preserve">Breast </w:t>
      </w:r>
      <w:r w:rsidR="00B065C5" w:rsidRPr="00A616C3">
        <w:rPr>
          <w:sz w:val="22"/>
          <w:u w:val="single"/>
        </w:rPr>
        <w:t>C</w:t>
      </w:r>
      <w:r w:rsidR="004D06E1" w:rsidRPr="00A616C3">
        <w:rPr>
          <w:sz w:val="22"/>
          <w:u w:val="single"/>
        </w:rPr>
        <w:t xml:space="preserve">ancer </w:t>
      </w:r>
    </w:p>
    <w:p w:rsidR="00786BA4" w:rsidRPr="00A616C3" w:rsidRDefault="00786BA4" w:rsidP="00E2308B">
      <w:pPr>
        <w:spacing w:after="120"/>
      </w:pPr>
      <w:r w:rsidRPr="00A616C3">
        <w:t xml:space="preserve">For patients with </w:t>
      </w:r>
      <w:r w:rsidR="00303DE7">
        <w:t>early</w:t>
      </w:r>
      <w:r w:rsidR="00303DE7" w:rsidRPr="00A616C3">
        <w:t xml:space="preserve"> </w:t>
      </w:r>
      <w:r w:rsidRPr="00A616C3">
        <w:t xml:space="preserve">breast cancer, cardiac assessments, as performed at baseline, should be repeated every 3 months during treatment and every 6 months following discontinuation of treatment until 24 months from the last administration of HERCEPTIN. In patients who receive </w:t>
      </w:r>
      <w:proofErr w:type="spellStart"/>
      <w:r w:rsidRPr="00A616C3">
        <w:t>anthracycline</w:t>
      </w:r>
      <w:proofErr w:type="spellEnd"/>
      <w:r w:rsidRPr="00A616C3">
        <w:t xml:space="preserve"> containing chemotherapy further monitoring is recommended, and should occur yearly up to 5 years from the last administration of HERCEPTI</w:t>
      </w:r>
      <w:r w:rsidR="006C24B7" w:rsidRPr="00A616C3">
        <w:t>N</w:t>
      </w:r>
      <w:r w:rsidRPr="00A616C3">
        <w:t>, or longer if a continuous decrease of LVEF is observed.</w:t>
      </w:r>
    </w:p>
    <w:p w:rsidR="003D4219" w:rsidRPr="00A616C3" w:rsidRDefault="008716AB" w:rsidP="00981F4D">
      <w:pPr>
        <w:spacing w:after="120"/>
        <w:rPr>
          <w:rFonts w:eastAsia="MS Mincho"/>
          <w:lang w:val="en-GB"/>
        </w:rPr>
      </w:pPr>
      <w:r w:rsidRPr="00A616C3">
        <w:rPr>
          <w:rFonts w:eastAsia="MS Mincho"/>
          <w:lang w:val="en-GB"/>
        </w:rPr>
        <w:t>A</w:t>
      </w:r>
      <w:r w:rsidR="003D4219" w:rsidRPr="00A616C3">
        <w:rPr>
          <w:rFonts w:eastAsia="MS Mincho"/>
          <w:lang w:val="en-GB"/>
        </w:rPr>
        <w:t xml:space="preserve">ll patients should have a determination of LVEF prior to treatment. Use of HERCEPTIN is contraindicated in patients with </w:t>
      </w:r>
      <w:r w:rsidR="00303DE7">
        <w:rPr>
          <w:rFonts w:eastAsia="MS Mincho"/>
          <w:lang w:val="en-GB"/>
        </w:rPr>
        <w:t>early</w:t>
      </w:r>
      <w:r w:rsidR="00303DE7" w:rsidRPr="00A616C3">
        <w:rPr>
          <w:rFonts w:eastAsia="MS Mincho"/>
          <w:lang w:val="en-GB"/>
        </w:rPr>
        <w:t xml:space="preserve"> </w:t>
      </w:r>
      <w:r w:rsidR="003D4219" w:rsidRPr="00A616C3">
        <w:rPr>
          <w:rFonts w:eastAsia="MS Mincho"/>
          <w:lang w:val="en-GB"/>
        </w:rPr>
        <w:t>or locally advanced disease and a LVEF of less than 45% and those with symptomatic heart failure</w:t>
      </w:r>
      <w:r w:rsidR="007464B3" w:rsidRPr="00A616C3">
        <w:rPr>
          <w:rFonts w:eastAsia="MS Mincho"/>
          <w:lang w:val="en-GB"/>
        </w:rPr>
        <w:t xml:space="preserve"> (see </w:t>
      </w:r>
      <w:r w:rsidR="00150D59" w:rsidRPr="00A616C3">
        <w:rPr>
          <w:b/>
        </w:rPr>
        <w:t>CONTRAINDICATIONS</w:t>
      </w:r>
      <w:r w:rsidR="007464B3" w:rsidRPr="00A616C3">
        <w:rPr>
          <w:rFonts w:eastAsia="MS Mincho"/>
          <w:lang w:val="en-GB"/>
        </w:rPr>
        <w:t>)</w:t>
      </w:r>
      <w:r w:rsidR="003D4219" w:rsidRPr="00A616C3">
        <w:rPr>
          <w:rFonts w:eastAsia="MS Mincho"/>
          <w:lang w:val="en-GB"/>
        </w:rPr>
        <w:t xml:space="preserve">. Patients with a LVEF of 45 - 55% at baseline should be monitored regularly for symptoms of heart failure during HERCEPTIN treatment. </w:t>
      </w:r>
    </w:p>
    <w:p w:rsidR="007B59BB" w:rsidRPr="00A616C3" w:rsidRDefault="007B59BB" w:rsidP="00E2308B">
      <w:pPr>
        <w:spacing w:after="120"/>
      </w:pPr>
      <w:r w:rsidRPr="00A616C3">
        <w:t xml:space="preserve">Patients with history of myocardial infarction (MI), angina pectoris requiring medication, history of or present CHF (NYHA II –IV), other cardiomyopathy,  cardiac arrhythmia requiring medication, clinically significant cardiac valvular disease, poorly controlled hypertension (hypertension controlled by </w:t>
      </w:r>
      <w:r w:rsidRPr="00A616C3">
        <w:lastRenderedPageBreak/>
        <w:t>standard medication eligible), and haemodynamic effective pericardial effusion were excluded from adjuvant</w:t>
      </w:r>
      <w:r w:rsidR="000B7A46" w:rsidRPr="00A616C3">
        <w:t xml:space="preserve"> and </w:t>
      </w:r>
      <w:proofErr w:type="spellStart"/>
      <w:r w:rsidR="000B7A46" w:rsidRPr="00A616C3">
        <w:t>neoadjuvant</w:t>
      </w:r>
      <w:proofErr w:type="spellEnd"/>
      <w:r w:rsidR="000B7A46" w:rsidRPr="00A616C3">
        <w:t xml:space="preserve"> </w:t>
      </w:r>
      <w:r w:rsidRPr="00A616C3">
        <w:t xml:space="preserve"> breast cancer clinical trials with HERCEPTIN.</w:t>
      </w:r>
    </w:p>
    <w:p w:rsidR="007B59BB" w:rsidRPr="00A616C3" w:rsidRDefault="007B59BB" w:rsidP="00E2308B">
      <w:pPr>
        <w:spacing w:after="120"/>
        <w:rPr>
          <w:i/>
        </w:rPr>
      </w:pPr>
      <w:r w:rsidRPr="00A616C3">
        <w:rPr>
          <w:i/>
        </w:rPr>
        <w:t>Adjuvant treatment</w:t>
      </w:r>
    </w:p>
    <w:p w:rsidR="007B59BB" w:rsidRPr="00A616C3" w:rsidRDefault="007B59BB" w:rsidP="00E2308B">
      <w:pPr>
        <w:spacing w:after="120"/>
      </w:pPr>
      <w:r w:rsidRPr="00A616C3">
        <w:t xml:space="preserve">HERCEPTIN and </w:t>
      </w:r>
      <w:proofErr w:type="spellStart"/>
      <w:r w:rsidRPr="00A616C3">
        <w:t>anthracyclines</w:t>
      </w:r>
      <w:proofErr w:type="spellEnd"/>
      <w:r w:rsidRPr="00A616C3">
        <w:t xml:space="preserve"> should not be given concurrently in the adjuvant treatment setting.</w:t>
      </w:r>
    </w:p>
    <w:p w:rsidR="007B59BB" w:rsidRPr="00A616C3" w:rsidRDefault="00376C34" w:rsidP="00E2308B">
      <w:pPr>
        <w:spacing w:after="120"/>
      </w:pPr>
      <w:r w:rsidRPr="00A616C3">
        <w:t>A</w:t>
      </w:r>
      <w:r w:rsidR="007B59BB" w:rsidRPr="00A616C3">
        <w:t xml:space="preserve">n increase in the incidence of symptomatic and asymptomatic cardiac events was observed when HERCEPTIN </w:t>
      </w:r>
      <w:r w:rsidR="00C93337" w:rsidRPr="00A616C3">
        <w:t xml:space="preserve">IV </w:t>
      </w:r>
      <w:r w:rsidR="007B59BB" w:rsidRPr="00A616C3">
        <w:t xml:space="preserve">was administered after </w:t>
      </w:r>
      <w:proofErr w:type="spellStart"/>
      <w:r w:rsidR="007B59BB" w:rsidRPr="00A616C3">
        <w:t>anthracycline</w:t>
      </w:r>
      <w:proofErr w:type="spellEnd"/>
      <w:r w:rsidR="007B59BB" w:rsidRPr="00A616C3">
        <w:t>-containing chemotherapy compared to administration with a non-</w:t>
      </w:r>
      <w:proofErr w:type="spellStart"/>
      <w:r w:rsidR="007B59BB" w:rsidRPr="00A616C3">
        <w:t>anthracycline</w:t>
      </w:r>
      <w:proofErr w:type="spellEnd"/>
      <w:r w:rsidR="007B59BB" w:rsidRPr="00A616C3">
        <w:t xml:space="preserve"> regimen of </w:t>
      </w:r>
      <w:proofErr w:type="spellStart"/>
      <w:r w:rsidR="007B59BB" w:rsidRPr="00A616C3">
        <w:t>docetaxel</w:t>
      </w:r>
      <w:proofErr w:type="spellEnd"/>
      <w:r w:rsidR="007B59BB" w:rsidRPr="00A616C3">
        <w:t xml:space="preserve"> and carboplatin. The incidence was more marked when HERCEPTIN </w:t>
      </w:r>
      <w:r w:rsidR="00C93337" w:rsidRPr="00A616C3">
        <w:t xml:space="preserve">IV </w:t>
      </w:r>
      <w:r w:rsidR="007B59BB" w:rsidRPr="00A616C3">
        <w:t xml:space="preserve">was administered concurrently with </w:t>
      </w:r>
      <w:proofErr w:type="spellStart"/>
      <w:r w:rsidR="007B59BB" w:rsidRPr="00A616C3">
        <w:t>taxanes</w:t>
      </w:r>
      <w:proofErr w:type="spellEnd"/>
      <w:r w:rsidR="007B59BB" w:rsidRPr="00A616C3">
        <w:t xml:space="preserve"> than when administered sequentially to </w:t>
      </w:r>
      <w:proofErr w:type="spellStart"/>
      <w:r w:rsidR="007B59BB" w:rsidRPr="00A616C3">
        <w:t>taxanes</w:t>
      </w:r>
      <w:proofErr w:type="spellEnd"/>
      <w:r w:rsidR="007B59BB" w:rsidRPr="00A616C3">
        <w:t>. Regardless of the regimen used, most symptomatic cardiac events occurred within the first 18</w:t>
      </w:r>
      <w:r w:rsidR="007B59BB" w:rsidRPr="00A616C3">
        <w:rPr>
          <w:b/>
        </w:rPr>
        <w:t> </w:t>
      </w:r>
      <w:r w:rsidR="007B59BB" w:rsidRPr="00A616C3">
        <w:t xml:space="preserve">months. </w:t>
      </w:r>
    </w:p>
    <w:p w:rsidR="00081E93" w:rsidRPr="00A616C3" w:rsidRDefault="007B59BB" w:rsidP="00E2308B">
      <w:pPr>
        <w:spacing w:after="120"/>
        <w:rPr>
          <w:i/>
        </w:rPr>
      </w:pPr>
      <w:r w:rsidRPr="00A616C3">
        <w:rPr>
          <w:lang w:val="en-GB"/>
        </w:rPr>
        <w:t>R</w:t>
      </w:r>
      <w:proofErr w:type="spellStart"/>
      <w:r w:rsidRPr="00A616C3">
        <w:t>isk</w:t>
      </w:r>
      <w:proofErr w:type="spellEnd"/>
      <w:r w:rsidRPr="00A616C3">
        <w:t xml:space="preserve"> factors for a cardiac event</w:t>
      </w:r>
      <w:r w:rsidR="009C2372" w:rsidRPr="00A616C3">
        <w:t>,</w:t>
      </w:r>
      <w:r w:rsidRPr="00A616C3">
        <w:t xml:space="preserve"> identified in </w:t>
      </w:r>
      <w:r w:rsidR="00501A70" w:rsidRPr="00A616C3">
        <w:t xml:space="preserve">4 </w:t>
      </w:r>
      <w:r w:rsidRPr="00A616C3">
        <w:t>large adjuvant studies</w:t>
      </w:r>
      <w:r w:rsidR="009C2372" w:rsidRPr="00A616C3">
        <w:t>,</w:t>
      </w:r>
      <w:r w:rsidRPr="00A616C3">
        <w:t xml:space="preserve"> included advanced age (&gt; 50 years), l</w:t>
      </w:r>
      <w:proofErr w:type="spellStart"/>
      <w:r w:rsidRPr="00A616C3">
        <w:rPr>
          <w:lang w:val="en-GB"/>
        </w:rPr>
        <w:t>ow</w:t>
      </w:r>
      <w:proofErr w:type="spellEnd"/>
      <w:r w:rsidRPr="00A616C3">
        <w:rPr>
          <w:lang w:val="en-GB"/>
        </w:rPr>
        <w:t xml:space="preserve"> level of baseline and</w:t>
      </w:r>
      <w:r w:rsidRPr="00A616C3">
        <w:t xml:space="preserve"> declining LVEF (&lt; 55%), low LVEF prior to or following the initiation of paclitaxel treatment, H</w:t>
      </w:r>
      <w:r w:rsidR="00BB73C1" w:rsidRPr="00A616C3">
        <w:t>ERCEPTIN</w:t>
      </w:r>
      <w:r w:rsidRPr="00A616C3">
        <w:t xml:space="preserve"> treatment, and prior or concurrent use of anti-hypertensive medications. In patients receiving H</w:t>
      </w:r>
      <w:r w:rsidR="00BB73C1" w:rsidRPr="00A616C3">
        <w:t>ERCEPTIN</w:t>
      </w:r>
      <w:r w:rsidRPr="00A616C3">
        <w:t xml:space="preserve"> after completion of adjuvant chemotherapy the risk of cardiac dysfunction was associated with a higher cumulative dose of </w:t>
      </w:r>
      <w:proofErr w:type="spellStart"/>
      <w:r w:rsidRPr="00A616C3">
        <w:t>anthracycline</w:t>
      </w:r>
      <w:proofErr w:type="spellEnd"/>
      <w:r w:rsidRPr="00A616C3">
        <w:t xml:space="preserve"> given prior to initiation of H</w:t>
      </w:r>
      <w:r w:rsidR="00BB73C1" w:rsidRPr="00A616C3">
        <w:t>ERCEPTIN</w:t>
      </w:r>
      <w:r w:rsidRPr="00A616C3">
        <w:t xml:space="preserve"> and a high body mass index</w:t>
      </w:r>
      <w:r w:rsidR="00501A70" w:rsidRPr="00A616C3">
        <w:t xml:space="preserve"> (</w:t>
      </w:r>
      <w:r w:rsidR="00501A70" w:rsidRPr="00A616C3">
        <w:rPr>
          <w:lang w:val="en-GB"/>
        </w:rPr>
        <w:t xml:space="preserve">&gt; </w:t>
      </w:r>
      <w:r w:rsidR="00501A70" w:rsidRPr="00A616C3">
        <w:t>25 kg/m</w:t>
      </w:r>
      <w:r w:rsidR="00501A70" w:rsidRPr="00A616C3">
        <w:rPr>
          <w:vertAlign w:val="superscript"/>
        </w:rPr>
        <w:t>2</w:t>
      </w:r>
      <w:r w:rsidR="00501A70" w:rsidRPr="00A616C3">
        <w:t>)</w:t>
      </w:r>
      <w:r w:rsidRPr="00A616C3">
        <w:t>.</w:t>
      </w:r>
    </w:p>
    <w:p w:rsidR="007B59BB" w:rsidRPr="00A616C3" w:rsidRDefault="007B59BB" w:rsidP="00E2308B">
      <w:pPr>
        <w:spacing w:after="120"/>
        <w:rPr>
          <w:i/>
        </w:rPr>
      </w:pPr>
      <w:proofErr w:type="spellStart"/>
      <w:r w:rsidRPr="00A616C3">
        <w:rPr>
          <w:i/>
        </w:rPr>
        <w:t>Neoadjuvant</w:t>
      </w:r>
      <w:proofErr w:type="spellEnd"/>
      <w:r w:rsidRPr="00A616C3">
        <w:rPr>
          <w:i/>
        </w:rPr>
        <w:t>-adjuvant treatment</w:t>
      </w:r>
    </w:p>
    <w:p w:rsidR="007B59BB" w:rsidRPr="00A616C3" w:rsidRDefault="00A368B4" w:rsidP="00E2308B">
      <w:pPr>
        <w:spacing w:after="120"/>
      </w:pPr>
      <w:r w:rsidRPr="00A616C3">
        <w:t xml:space="preserve">HERCEPTIN </w:t>
      </w:r>
      <w:proofErr w:type="spellStart"/>
      <w:r w:rsidR="007B59BB" w:rsidRPr="00A616C3">
        <w:t>neoadjuvant</w:t>
      </w:r>
      <w:proofErr w:type="spellEnd"/>
      <w:r w:rsidR="007B59BB" w:rsidRPr="00A616C3">
        <w:t xml:space="preserve">-adjuvant treatment concurrent with </w:t>
      </w:r>
      <w:proofErr w:type="spellStart"/>
      <w:r w:rsidR="007B59BB" w:rsidRPr="00A616C3">
        <w:t>anthracyclines</w:t>
      </w:r>
      <w:proofErr w:type="spellEnd"/>
      <w:r w:rsidR="007B59BB" w:rsidRPr="00A616C3">
        <w:t xml:space="preserve"> should be used with caution and only in chemotherapy-naive patients. The maximum cumulative doses of the low-dose </w:t>
      </w:r>
      <w:proofErr w:type="spellStart"/>
      <w:r w:rsidR="007B59BB" w:rsidRPr="00A616C3">
        <w:t>anthracycline</w:t>
      </w:r>
      <w:proofErr w:type="spellEnd"/>
      <w:r w:rsidR="007B59BB" w:rsidRPr="00A616C3">
        <w:t xml:space="preserve"> regimens should not exceed </w:t>
      </w:r>
      <w:proofErr w:type="gramStart"/>
      <w:r w:rsidR="007B59BB" w:rsidRPr="00A616C3">
        <w:t>180 mg/m</w:t>
      </w:r>
      <w:r w:rsidR="007B59BB" w:rsidRPr="00A616C3">
        <w:rPr>
          <w:vertAlign w:val="superscript"/>
        </w:rPr>
        <w:t xml:space="preserve">2 </w:t>
      </w:r>
      <w:r w:rsidR="007B59BB" w:rsidRPr="00A616C3">
        <w:t>(doxorubicin)</w:t>
      </w:r>
      <w:proofErr w:type="gramEnd"/>
      <w:r w:rsidR="007B59BB" w:rsidRPr="00A616C3">
        <w:t xml:space="preserve"> or 360 mg/m</w:t>
      </w:r>
      <w:r w:rsidR="007B59BB" w:rsidRPr="00A616C3">
        <w:rPr>
          <w:vertAlign w:val="superscript"/>
        </w:rPr>
        <w:t>2</w:t>
      </w:r>
      <w:r w:rsidR="007B59BB" w:rsidRPr="00A616C3">
        <w:t xml:space="preserve"> (</w:t>
      </w:r>
      <w:proofErr w:type="spellStart"/>
      <w:r w:rsidR="007B59BB" w:rsidRPr="00A616C3">
        <w:t>epirubicin</w:t>
      </w:r>
      <w:proofErr w:type="spellEnd"/>
      <w:r w:rsidR="007B59BB" w:rsidRPr="00A616C3">
        <w:t>).</w:t>
      </w:r>
    </w:p>
    <w:p w:rsidR="007B59BB" w:rsidRPr="00A616C3" w:rsidRDefault="007B59BB" w:rsidP="00496481">
      <w:r w:rsidRPr="00A616C3">
        <w:t xml:space="preserve">If patients have been treated concurrently with low-dose </w:t>
      </w:r>
      <w:proofErr w:type="spellStart"/>
      <w:r w:rsidRPr="00A616C3">
        <w:t>anthracyclines</w:t>
      </w:r>
      <w:proofErr w:type="spellEnd"/>
      <w:r w:rsidRPr="00A616C3">
        <w:t xml:space="preserve"> and HERCEPTIN in the </w:t>
      </w:r>
      <w:proofErr w:type="spellStart"/>
      <w:r w:rsidRPr="00A616C3">
        <w:t>neoadjuvant</w:t>
      </w:r>
      <w:proofErr w:type="spellEnd"/>
      <w:r w:rsidRPr="00A616C3">
        <w:t xml:space="preserve"> setting, no additional cytotoxic chemotherapy should be given after surgery.</w:t>
      </w:r>
    </w:p>
    <w:p w:rsidR="00E974E2" w:rsidRDefault="00E974E2" w:rsidP="00E2308B">
      <w:pPr>
        <w:spacing w:after="120"/>
        <w:rPr>
          <w:b/>
          <w:i/>
          <w:u w:val="single"/>
        </w:rPr>
      </w:pPr>
    </w:p>
    <w:p w:rsidR="007B59BB" w:rsidRPr="00A616C3" w:rsidRDefault="007B59BB" w:rsidP="00E2308B">
      <w:pPr>
        <w:spacing w:after="120"/>
        <w:rPr>
          <w:b/>
          <w:i/>
          <w:u w:val="single"/>
        </w:rPr>
      </w:pPr>
      <w:r w:rsidRPr="00A616C3">
        <w:rPr>
          <w:b/>
          <w:i/>
          <w:u w:val="single"/>
        </w:rPr>
        <w:t>Metastatic breast cancer</w:t>
      </w:r>
    </w:p>
    <w:p w:rsidR="00BF1903" w:rsidRPr="00A616C3" w:rsidRDefault="007B59BB" w:rsidP="00E2308B">
      <w:pPr>
        <w:pStyle w:val="Heading4"/>
        <w:spacing w:before="0" w:after="120"/>
        <w:ind w:left="0"/>
        <w:rPr>
          <w:b w:val="0"/>
          <w:i w:val="0"/>
          <w:sz w:val="22"/>
        </w:rPr>
      </w:pPr>
      <w:r w:rsidRPr="00A616C3">
        <w:rPr>
          <w:b w:val="0"/>
          <w:i w:val="0"/>
          <w:sz w:val="22"/>
        </w:rPr>
        <w:t xml:space="preserve">HERCEPTIN and </w:t>
      </w:r>
      <w:proofErr w:type="spellStart"/>
      <w:r w:rsidRPr="00A616C3">
        <w:rPr>
          <w:b w:val="0"/>
          <w:i w:val="0"/>
          <w:sz w:val="22"/>
        </w:rPr>
        <w:t>anthracycline</w:t>
      </w:r>
      <w:r w:rsidR="00BC27B3" w:rsidRPr="00A616C3">
        <w:rPr>
          <w:b w:val="0"/>
          <w:i w:val="0"/>
          <w:sz w:val="22"/>
        </w:rPr>
        <w:t>s</w:t>
      </w:r>
      <w:proofErr w:type="spellEnd"/>
      <w:r w:rsidRPr="00A616C3">
        <w:rPr>
          <w:b w:val="0"/>
          <w:i w:val="0"/>
          <w:sz w:val="22"/>
        </w:rPr>
        <w:t xml:space="preserve"> should not be given concurrently in the metastatic breast cancer setting.</w:t>
      </w:r>
    </w:p>
    <w:p w:rsidR="00932086" w:rsidRPr="004656BD" w:rsidRDefault="00932086" w:rsidP="004656BD">
      <w:pPr>
        <w:pStyle w:val="Heading3"/>
        <w:rPr>
          <w:rFonts w:eastAsia="MS Mincho"/>
          <w:lang w:val="en-GB"/>
        </w:rPr>
      </w:pPr>
      <w:r w:rsidRPr="004656BD">
        <w:rPr>
          <w:rFonts w:eastAsia="MS Mincho"/>
          <w:lang w:val="en-GB"/>
        </w:rPr>
        <w:t xml:space="preserve">Hypersensitivity </w:t>
      </w:r>
      <w:r w:rsidR="003B6E2C" w:rsidRPr="004656BD">
        <w:rPr>
          <w:rFonts w:eastAsia="MS Mincho"/>
          <w:lang w:val="en-GB"/>
        </w:rPr>
        <w:t>R</w:t>
      </w:r>
      <w:r w:rsidRPr="004656BD">
        <w:rPr>
          <w:rFonts w:eastAsia="MS Mincho"/>
          <w:lang w:val="en-GB"/>
        </w:rPr>
        <w:t xml:space="preserve">eactions including </w:t>
      </w:r>
      <w:r w:rsidR="003B6E2C" w:rsidRPr="004656BD">
        <w:rPr>
          <w:rFonts w:eastAsia="MS Mincho"/>
          <w:lang w:val="en-GB"/>
        </w:rPr>
        <w:t>A</w:t>
      </w:r>
      <w:r w:rsidRPr="004656BD">
        <w:rPr>
          <w:rFonts w:eastAsia="MS Mincho"/>
          <w:lang w:val="en-GB"/>
        </w:rPr>
        <w:t>naphylaxis</w:t>
      </w:r>
    </w:p>
    <w:p w:rsidR="00932086" w:rsidRPr="00A616C3" w:rsidRDefault="00932086" w:rsidP="00657070">
      <w:pPr>
        <w:rPr>
          <w:lang w:val="en-GB"/>
        </w:rPr>
      </w:pPr>
      <w:r w:rsidRPr="00A616C3">
        <w:rPr>
          <w:lang w:val="en-GB"/>
        </w:rPr>
        <w:t xml:space="preserve">Severe hypersensitivity reactions have been infrequently reported in patients treated with </w:t>
      </w:r>
      <w:r w:rsidR="00C93337" w:rsidRPr="00A616C3">
        <w:rPr>
          <w:lang w:val="en-GB"/>
        </w:rPr>
        <w:t xml:space="preserve">the </w:t>
      </w:r>
      <w:r w:rsidRPr="00A616C3">
        <w:rPr>
          <w:lang w:val="en-GB"/>
        </w:rPr>
        <w:t>HERCEPTIN</w:t>
      </w:r>
      <w:r w:rsidR="00C93337" w:rsidRPr="00A616C3">
        <w:rPr>
          <w:lang w:val="en-GB"/>
        </w:rPr>
        <w:t xml:space="preserve"> IV formulation</w:t>
      </w:r>
      <w:r w:rsidRPr="00A616C3">
        <w:rPr>
          <w:lang w:val="en-GB"/>
        </w:rPr>
        <w:t>.  Signs and symptoms include</w:t>
      </w:r>
      <w:r w:rsidR="00C93337" w:rsidRPr="00A616C3">
        <w:rPr>
          <w:lang w:val="en-GB"/>
        </w:rPr>
        <w:t>d</w:t>
      </w:r>
      <w:r w:rsidRPr="00A616C3">
        <w:rPr>
          <w:lang w:val="en-GB"/>
        </w:rPr>
        <w:t xml:space="preserve"> anaphylaxis, </w:t>
      </w:r>
      <w:proofErr w:type="spellStart"/>
      <w:r w:rsidRPr="00A616C3">
        <w:rPr>
          <w:lang w:val="en-GB"/>
        </w:rPr>
        <w:t>urticaria</w:t>
      </w:r>
      <w:proofErr w:type="spellEnd"/>
      <w:r w:rsidRPr="00A616C3">
        <w:rPr>
          <w:lang w:val="en-GB"/>
        </w:rPr>
        <w:t xml:space="preserve">, bronchospasm, angioedema, and/or hypotension. In some cases, the reactions have been fatal.  The onset of symptoms generally occurred during an infusion, but there have also been reports of symptom onset after the completion of an infusion. Reactions were most commonly reported in association with the initial infusion. </w:t>
      </w:r>
    </w:p>
    <w:p w:rsidR="00932086" w:rsidRPr="00A616C3" w:rsidRDefault="00C50A71" w:rsidP="00657070">
      <w:r w:rsidRPr="00A616C3">
        <w:t>Patients should be observed closely for hypersensitivity reactions</w:t>
      </w:r>
      <w:r w:rsidR="00932086" w:rsidRPr="00A616C3">
        <w:t xml:space="preserve">. In the event of a hypersensitivity reaction, appropriate medical therapy should be administered, which may include adrenaline, </w:t>
      </w:r>
      <w:r w:rsidR="00C2356E" w:rsidRPr="00A616C3">
        <w:t>corticosteroids</w:t>
      </w:r>
      <w:r w:rsidR="00932086" w:rsidRPr="00A616C3">
        <w:t>,</w:t>
      </w:r>
      <w:r w:rsidRPr="00A616C3">
        <w:t xml:space="preserve"> antihist</w:t>
      </w:r>
      <w:r w:rsidR="00532A41" w:rsidRPr="00A616C3">
        <w:t>a</w:t>
      </w:r>
      <w:r w:rsidRPr="00A616C3">
        <w:t>mines</w:t>
      </w:r>
      <w:r w:rsidR="00932086" w:rsidRPr="00A616C3">
        <w:t>, bronchodilators and oxygen. Patients should be evaluated and carefully monitored until complete resolution of signs and symptoms.</w:t>
      </w:r>
    </w:p>
    <w:p w:rsidR="00633152" w:rsidRPr="00633152" w:rsidRDefault="00C93337" w:rsidP="00860785">
      <w:pPr>
        <w:rPr>
          <w:rFonts w:eastAsia="MS Mincho"/>
          <w:b/>
          <w:lang w:val="en-GB"/>
        </w:rPr>
      </w:pPr>
      <w:r w:rsidRPr="00633152">
        <w:rPr>
          <w:rFonts w:eastAsia="MS Mincho"/>
          <w:b/>
          <w:lang w:val="en-GB"/>
        </w:rPr>
        <w:lastRenderedPageBreak/>
        <w:t>Administration</w:t>
      </w:r>
      <w:r w:rsidR="0042360B" w:rsidRPr="00633152">
        <w:rPr>
          <w:rFonts w:eastAsia="MS Mincho"/>
          <w:b/>
          <w:lang w:val="en-GB"/>
        </w:rPr>
        <w:t>-</w:t>
      </w:r>
      <w:r w:rsidR="003B6E2C" w:rsidRPr="00633152">
        <w:rPr>
          <w:rFonts w:eastAsia="MS Mincho"/>
          <w:b/>
          <w:lang w:val="en-GB"/>
        </w:rPr>
        <w:t>R</w:t>
      </w:r>
      <w:r w:rsidR="0042360B" w:rsidRPr="00633152">
        <w:rPr>
          <w:rFonts w:eastAsia="MS Mincho"/>
          <w:b/>
          <w:lang w:val="en-GB"/>
        </w:rPr>
        <w:t>elated</w:t>
      </w:r>
      <w:r w:rsidR="00932086" w:rsidRPr="00633152">
        <w:rPr>
          <w:rFonts w:eastAsia="MS Mincho"/>
          <w:b/>
          <w:lang w:val="en-GB"/>
        </w:rPr>
        <w:t xml:space="preserve"> </w:t>
      </w:r>
      <w:r w:rsidR="003B6E2C" w:rsidRPr="00633152">
        <w:rPr>
          <w:rFonts w:eastAsia="MS Mincho"/>
          <w:b/>
          <w:lang w:val="en-GB"/>
        </w:rPr>
        <w:t>R</w:t>
      </w:r>
      <w:r w:rsidR="00932086" w:rsidRPr="00633152">
        <w:rPr>
          <w:rFonts w:eastAsia="MS Mincho"/>
          <w:b/>
          <w:lang w:val="en-GB"/>
        </w:rPr>
        <w:t>eactions</w:t>
      </w:r>
      <w:r w:rsidR="0042360B" w:rsidRPr="00633152">
        <w:rPr>
          <w:rFonts w:eastAsia="MS Mincho"/>
          <w:b/>
          <w:lang w:val="en-GB"/>
        </w:rPr>
        <w:t xml:space="preserve"> (</w:t>
      </w:r>
      <w:r w:rsidRPr="00633152">
        <w:rPr>
          <w:rFonts w:eastAsia="MS Mincho"/>
          <w:b/>
          <w:lang w:val="en-GB"/>
        </w:rPr>
        <w:t>A</w:t>
      </w:r>
      <w:r w:rsidR="0042360B" w:rsidRPr="00633152">
        <w:rPr>
          <w:rFonts w:eastAsia="MS Mincho"/>
          <w:b/>
          <w:lang w:val="en-GB"/>
        </w:rPr>
        <w:t>RRs)</w:t>
      </w:r>
    </w:p>
    <w:p w:rsidR="00A74E8B" w:rsidRPr="00866D48" w:rsidRDefault="003D4C8C" w:rsidP="00860785">
      <w:r w:rsidRPr="00866D48">
        <w:t xml:space="preserve">In BO22227 study, </w:t>
      </w:r>
      <w:r w:rsidR="00C93337" w:rsidRPr="00866D48">
        <w:t xml:space="preserve">ARRs </w:t>
      </w:r>
      <w:r w:rsidRPr="00866D48">
        <w:t>(</w:t>
      </w:r>
      <w:r w:rsidR="00C93337" w:rsidRPr="00866D48">
        <w:t xml:space="preserve">known to occur with the administration of HERCEPTIN SC (see </w:t>
      </w:r>
      <w:r w:rsidR="00C93337" w:rsidRPr="00866D48">
        <w:rPr>
          <w:b/>
        </w:rPr>
        <w:t>ADVERSE EFFECTS</w:t>
      </w:r>
      <w:r w:rsidR="00C93337" w:rsidRPr="00866D48">
        <w:t>)</w:t>
      </w:r>
      <w:r w:rsidRPr="00866D48">
        <w:t>)</w:t>
      </w:r>
      <w:r w:rsidR="00B30213" w:rsidRPr="00866D48">
        <w:t xml:space="preserve"> occur</w:t>
      </w:r>
      <w:r w:rsidRPr="00866D48">
        <w:t>red</w:t>
      </w:r>
      <w:r w:rsidR="00B30213" w:rsidRPr="00866D48">
        <w:t xml:space="preserve"> more</w:t>
      </w:r>
      <w:r w:rsidRPr="00866D48">
        <w:t xml:space="preserve"> </w:t>
      </w:r>
      <w:r w:rsidRPr="00866D48">
        <w:rPr>
          <w:rFonts w:cs="Arial"/>
        </w:rPr>
        <w:t>frequently in the HERCEPTIN SC arm when compared to the HERCEPTIN IV arm (47.8% vs 37.2%) and the majority of events (97% of events in each treatment arm) were grade 1 or 2.  The overall rate is in line with the results from other studies where IRR rates of up to 54% have been observed</w:t>
      </w:r>
      <w:r w:rsidR="00C93337" w:rsidRPr="00866D48">
        <w:t xml:space="preserve">. </w:t>
      </w:r>
      <w:r w:rsidRPr="00866D48">
        <w:t xml:space="preserve">Grade 3 </w:t>
      </w:r>
      <w:r w:rsidR="00C93337" w:rsidRPr="00065541">
        <w:t>A</w:t>
      </w:r>
      <w:r w:rsidR="00A74E8B" w:rsidRPr="00866D48">
        <w:t xml:space="preserve">RRs </w:t>
      </w:r>
      <w:r w:rsidRPr="00866D48">
        <w:t>were 1.7% and 2.0% in the HERCEPTIN SC and HERCEPTIN I</w:t>
      </w:r>
      <w:r w:rsidR="00866D48">
        <w:t>V</w:t>
      </w:r>
      <w:r w:rsidRPr="00866D48">
        <w:t xml:space="preserve"> arms, respectively</w:t>
      </w:r>
      <w:r w:rsidRPr="00065541">
        <w:t>. Serious ARR’s i</w:t>
      </w:r>
      <w:r w:rsidRPr="00866D48">
        <w:t xml:space="preserve">ncluding </w:t>
      </w:r>
      <w:proofErr w:type="spellStart"/>
      <w:r w:rsidR="000C2CB3" w:rsidRPr="00866D48">
        <w:t>includ</w:t>
      </w:r>
      <w:r w:rsidR="00A74E8B" w:rsidRPr="00866D48">
        <w:t>ing</w:t>
      </w:r>
      <w:proofErr w:type="spellEnd"/>
      <w:r w:rsidR="000C2CB3" w:rsidRPr="00866D48">
        <w:t xml:space="preserve"> dyspnoea</w:t>
      </w:r>
      <w:r w:rsidR="0042360B" w:rsidRPr="00866D48">
        <w:t>, hypotension, wheezing, bronchospasm, tachycardia, reduced oxygen saturation</w:t>
      </w:r>
      <w:r w:rsidR="00A74E8B" w:rsidRPr="00866D48">
        <w:t xml:space="preserve"> and </w:t>
      </w:r>
      <w:r w:rsidR="0042360B" w:rsidRPr="00866D48">
        <w:t>respiratory distress</w:t>
      </w:r>
      <w:r w:rsidR="00170688" w:rsidRPr="00866D48">
        <w:t xml:space="preserve"> and supraventricular tachyarrhythmia </w:t>
      </w:r>
      <w:r w:rsidR="00A74E8B" w:rsidRPr="00866D48">
        <w:t>have been reported</w:t>
      </w:r>
      <w:r w:rsidR="00C93337" w:rsidRPr="00866D48">
        <w:t xml:space="preserve"> in </w:t>
      </w:r>
      <w:proofErr w:type="spellStart"/>
      <w:r w:rsidR="00C93337" w:rsidRPr="00866D48">
        <w:t>trastuzumab</w:t>
      </w:r>
      <w:proofErr w:type="spellEnd"/>
      <w:r w:rsidR="00C93337" w:rsidRPr="00866D48">
        <w:t xml:space="preserve"> trials</w:t>
      </w:r>
      <w:r w:rsidR="00130E36" w:rsidRPr="00866D48">
        <w:t xml:space="preserve"> (</w:t>
      </w:r>
      <w:r w:rsidR="0042360B" w:rsidRPr="00866D48">
        <w:t xml:space="preserve">see </w:t>
      </w:r>
      <w:r w:rsidR="0042360B" w:rsidRPr="00866D48">
        <w:rPr>
          <w:b/>
        </w:rPr>
        <w:t>ADVERSE EFFECTS</w:t>
      </w:r>
      <w:r w:rsidR="0042360B" w:rsidRPr="00866D48">
        <w:t xml:space="preserve">).  </w:t>
      </w:r>
    </w:p>
    <w:p w:rsidR="00B30213" w:rsidRPr="00866D48" w:rsidRDefault="00B30213" w:rsidP="00B30213">
      <w:r w:rsidRPr="00866D48">
        <w:t>Pre-medication may be used to reduce risk of occurrence of ARRs.</w:t>
      </w:r>
    </w:p>
    <w:p w:rsidR="00A20A14" w:rsidRPr="00866D48" w:rsidRDefault="00A74E8B" w:rsidP="00981F4D">
      <w:r w:rsidRPr="00065541">
        <w:t xml:space="preserve">Patients should be observed for </w:t>
      </w:r>
      <w:r w:rsidR="00C93337" w:rsidRPr="00866D48">
        <w:t>A</w:t>
      </w:r>
      <w:r w:rsidRPr="00866D48">
        <w:t xml:space="preserve">RRs. </w:t>
      </w:r>
      <w:r w:rsidR="00C93337" w:rsidRPr="00866D48">
        <w:rPr>
          <w:lang w:val="en-GB"/>
        </w:rPr>
        <w:t>S</w:t>
      </w:r>
      <w:r w:rsidR="00860785" w:rsidRPr="00866D48">
        <w:rPr>
          <w:lang w:val="en-GB"/>
        </w:rPr>
        <w:t xml:space="preserve">ymptoms can be treated with an analgesic/antipyretic such as </w:t>
      </w:r>
      <w:proofErr w:type="spellStart"/>
      <w:r w:rsidR="00860785" w:rsidRPr="00866D48">
        <w:rPr>
          <w:lang w:val="en-GB"/>
        </w:rPr>
        <w:t>paracetamol</w:t>
      </w:r>
      <w:proofErr w:type="spellEnd"/>
      <w:r w:rsidR="00860785" w:rsidRPr="00866D48">
        <w:rPr>
          <w:lang w:val="en-GB"/>
        </w:rPr>
        <w:t xml:space="preserve"> and an antihistami</w:t>
      </w:r>
      <w:r w:rsidR="000F6DB9" w:rsidRPr="00866D48">
        <w:rPr>
          <w:lang w:val="en-GB"/>
        </w:rPr>
        <w:t>ne</w:t>
      </w:r>
      <w:r w:rsidRPr="00866D48">
        <w:rPr>
          <w:lang w:val="en-GB"/>
        </w:rPr>
        <w:t xml:space="preserve">. </w:t>
      </w:r>
      <w:r w:rsidR="00860785" w:rsidRPr="00866D48">
        <w:t xml:space="preserve">Serious reactions have been treated successfully with supportive therapy such as oxygen, intravenous fluids, beta-agonists and corticosteroids. In rare cases, these reactions are associated with a clinical course culminating in a fatal outcome.  </w:t>
      </w:r>
      <w:r w:rsidR="00534C72" w:rsidRPr="00866D48">
        <w:t xml:space="preserve">In other patients with acute onset of signs and symptoms, initial improvement was followed by clinical deterioration and delayed reactions with rapid clinical deterioration have also been reported.  Fatalities have occurred within hours or up to one week following </w:t>
      </w:r>
      <w:r w:rsidR="00C93337" w:rsidRPr="00866D48">
        <w:t>treatment</w:t>
      </w:r>
      <w:r w:rsidR="00534C72" w:rsidRPr="00866D48">
        <w:t>.</w:t>
      </w:r>
    </w:p>
    <w:p w:rsidR="00B346AE" w:rsidRPr="00866D48" w:rsidRDefault="00860785" w:rsidP="00860785">
      <w:r w:rsidRPr="00866D48">
        <w:t>Patients who are experiencing dyspnoea at rest due to complications of advanced malignancy or co-morbidities may be at increased risk of a fatal reaction</w:t>
      </w:r>
      <w:r w:rsidR="003A3D7B" w:rsidRPr="00866D48">
        <w:t>.</w:t>
      </w:r>
      <w:r w:rsidR="00CC5B00" w:rsidRPr="00866D48">
        <w:rPr>
          <w:rStyle w:val="CommentReference"/>
        </w:rPr>
        <w:t xml:space="preserve"> </w:t>
      </w:r>
      <w:r w:rsidR="00CC5B00" w:rsidRPr="00866D48">
        <w:t xml:space="preserve">Therefore, these patients should be treated with </w:t>
      </w:r>
      <w:r w:rsidR="00A74E8B" w:rsidRPr="00866D48">
        <w:t xml:space="preserve">extreme caution and the risk versus the benefit considered for each patient </w:t>
      </w:r>
      <w:r w:rsidR="00974251" w:rsidRPr="00866D48">
        <w:t xml:space="preserve">(see </w:t>
      </w:r>
      <w:r w:rsidR="00974251" w:rsidRPr="00866D48">
        <w:rPr>
          <w:b/>
        </w:rPr>
        <w:t>Pulmonary Reactions</w:t>
      </w:r>
      <w:r w:rsidR="00974251" w:rsidRPr="00866D48">
        <w:t>)</w:t>
      </w:r>
      <w:r w:rsidR="00A74E8B" w:rsidRPr="00866D48">
        <w:t>.</w:t>
      </w:r>
    </w:p>
    <w:p w:rsidR="00932086" w:rsidRPr="004656BD" w:rsidRDefault="00932086" w:rsidP="004656BD">
      <w:pPr>
        <w:pStyle w:val="Heading3"/>
        <w:rPr>
          <w:rFonts w:eastAsia="MS Mincho"/>
          <w:lang w:val="en-GB"/>
        </w:rPr>
      </w:pPr>
      <w:r w:rsidRPr="004656BD">
        <w:rPr>
          <w:rFonts w:eastAsia="MS Mincho"/>
          <w:lang w:val="en-GB"/>
        </w:rPr>
        <w:t xml:space="preserve">Pulmonary </w:t>
      </w:r>
      <w:r w:rsidR="003B6E2C" w:rsidRPr="004656BD">
        <w:rPr>
          <w:rFonts w:eastAsia="MS Mincho"/>
          <w:lang w:val="en-GB"/>
        </w:rPr>
        <w:t>R</w:t>
      </w:r>
      <w:r w:rsidR="0042360B" w:rsidRPr="004656BD">
        <w:rPr>
          <w:rFonts w:eastAsia="MS Mincho"/>
          <w:lang w:val="en-GB"/>
        </w:rPr>
        <w:t>eactions</w:t>
      </w:r>
    </w:p>
    <w:p w:rsidR="00F7049B" w:rsidRPr="00A616C3" w:rsidRDefault="00932086" w:rsidP="00E46DD6">
      <w:pPr>
        <w:spacing w:after="120"/>
      </w:pPr>
      <w:r w:rsidRPr="00A616C3">
        <w:t>Severe pulmonary events leading to death have been reported with the use of HERCEPTIN in the post-marketing setting</w:t>
      </w:r>
      <w:r w:rsidR="00130E36" w:rsidRPr="00A616C3">
        <w:t xml:space="preserve">. </w:t>
      </w:r>
      <w:r w:rsidR="00B13D64" w:rsidRPr="00A616C3">
        <w:t xml:space="preserve">These events may occur as part of an </w:t>
      </w:r>
      <w:r w:rsidR="004656BD" w:rsidRPr="00A616C3">
        <w:t>A</w:t>
      </w:r>
      <w:r w:rsidR="004656BD">
        <w:t>R</w:t>
      </w:r>
      <w:r w:rsidR="004656BD" w:rsidRPr="00A616C3">
        <w:t xml:space="preserve">R </w:t>
      </w:r>
      <w:r w:rsidR="00B13D64" w:rsidRPr="00A616C3">
        <w:t xml:space="preserve">(see </w:t>
      </w:r>
      <w:r w:rsidR="007F01A2" w:rsidRPr="00A616C3">
        <w:rPr>
          <w:b/>
        </w:rPr>
        <w:t>Administration</w:t>
      </w:r>
      <w:r w:rsidR="00981F4D" w:rsidRPr="00A616C3">
        <w:rPr>
          <w:b/>
        </w:rPr>
        <w:t>-R</w:t>
      </w:r>
      <w:r w:rsidR="006E3469" w:rsidRPr="00A616C3">
        <w:rPr>
          <w:b/>
        </w:rPr>
        <w:t xml:space="preserve">elated </w:t>
      </w:r>
      <w:r w:rsidR="00981F4D" w:rsidRPr="00A616C3">
        <w:rPr>
          <w:b/>
        </w:rPr>
        <w:t>R</w:t>
      </w:r>
      <w:r w:rsidR="006E3469" w:rsidRPr="00A616C3">
        <w:rPr>
          <w:b/>
        </w:rPr>
        <w:t>eactions</w:t>
      </w:r>
      <w:r w:rsidR="00B13D64" w:rsidRPr="00A616C3">
        <w:t xml:space="preserve">) or with a delayed onset. In addition, cases of </w:t>
      </w:r>
      <w:r w:rsidR="00B870E2" w:rsidRPr="00A616C3">
        <w:t xml:space="preserve">interstitial lung disease including </w:t>
      </w:r>
      <w:r w:rsidR="00F7049B" w:rsidRPr="00A616C3">
        <w:t xml:space="preserve">lung </w:t>
      </w:r>
      <w:r w:rsidRPr="00A616C3">
        <w:t xml:space="preserve">infiltrates, </w:t>
      </w:r>
      <w:r w:rsidR="00B13D64" w:rsidRPr="00A616C3">
        <w:t xml:space="preserve">acute respiratory distress syndrome, pneumonia,  pneumonitis, </w:t>
      </w:r>
      <w:r w:rsidRPr="00A616C3">
        <w:t xml:space="preserve">pleural effusion, respiratory distress, </w:t>
      </w:r>
      <w:r w:rsidR="00B13D64" w:rsidRPr="00A616C3">
        <w:t>acute</w:t>
      </w:r>
      <w:r w:rsidRPr="00A616C3">
        <w:t xml:space="preserve"> pulmonary oedema</w:t>
      </w:r>
      <w:r w:rsidR="0008484C" w:rsidRPr="00A616C3">
        <w:t>, pulmonary fibrosis</w:t>
      </w:r>
      <w:r w:rsidR="00B13D64" w:rsidRPr="00A616C3">
        <w:t xml:space="preserve"> and respiratory</w:t>
      </w:r>
      <w:r w:rsidRPr="00A616C3">
        <w:t xml:space="preserve"> insufficiency</w:t>
      </w:r>
      <w:r w:rsidR="00B13D64" w:rsidRPr="00A616C3">
        <w:t xml:space="preserve"> have been reported.</w:t>
      </w:r>
      <w:r w:rsidRPr="00A616C3">
        <w:t xml:space="preserve"> </w:t>
      </w:r>
    </w:p>
    <w:p w:rsidR="00B63D86" w:rsidRPr="00A616C3" w:rsidRDefault="00B63D86" w:rsidP="00914BD8">
      <w:pPr>
        <w:pStyle w:val="TextTi12"/>
        <w:spacing w:after="120" w:line="240" w:lineRule="auto"/>
        <w:rPr>
          <w:sz w:val="22"/>
        </w:rPr>
      </w:pPr>
      <w:r w:rsidRPr="00A616C3">
        <w:rPr>
          <w:sz w:val="22"/>
        </w:rPr>
        <w:t xml:space="preserve">Risk factors associated with interstitial lung disease include prior or concomitant therapy with other anti-neoplastic therapies known to be associated with it such as </w:t>
      </w:r>
      <w:proofErr w:type="spellStart"/>
      <w:r w:rsidRPr="00A616C3">
        <w:rPr>
          <w:sz w:val="22"/>
        </w:rPr>
        <w:t>taxanes</w:t>
      </w:r>
      <w:proofErr w:type="spellEnd"/>
      <w:r w:rsidRPr="00A616C3">
        <w:rPr>
          <w:sz w:val="22"/>
        </w:rPr>
        <w:t xml:space="preserve">, gemcitabine, </w:t>
      </w:r>
      <w:proofErr w:type="spellStart"/>
      <w:r w:rsidRPr="00A616C3">
        <w:rPr>
          <w:sz w:val="22"/>
        </w:rPr>
        <w:t>vinorelbine</w:t>
      </w:r>
      <w:proofErr w:type="spellEnd"/>
      <w:r w:rsidRPr="00A616C3">
        <w:rPr>
          <w:sz w:val="22"/>
        </w:rPr>
        <w:t xml:space="preserve"> and radiation therapy.</w:t>
      </w:r>
      <w:r w:rsidR="00B13D64" w:rsidRPr="00A616C3">
        <w:rPr>
          <w:sz w:val="22"/>
        </w:rPr>
        <w:t xml:space="preserve"> </w:t>
      </w:r>
      <w:r w:rsidR="00DB44B7" w:rsidRPr="00A616C3">
        <w:rPr>
          <w:sz w:val="22"/>
        </w:rPr>
        <w:t xml:space="preserve">Patients with dyspnoea at rest due to complications of advanced malignancy and co-morbidities may be at increased risk of pulmonary events. Therefore, these patients should be treated with </w:t>
      </w:r>
      <w:r w:rsidR="0008484C" w:rsidRPr="00A616C3">
        <w:rPr>
          <w:sz w:val="22"/>
        </w:rPr>
        <w:t>extreme caution and the risk versus the benefit considered for each patient</w:t>
      </w:r>
      <w:r w:rsidR="00B13D64" w:rsidRPr="00A616C3">
        <w:rPr>
          <w:sz w:val="22"/>
        </w:rPr>
        <w:t>.</w:t>
      </w:r>
    </w:p>
    <w:p w:rsidR="00846781" w:rsidRPr="004656BD" w:rsidRDefault="00846781" w:rsidP="004656BD">
      <w:pPr>
        <w:pStyle w:val="Heading3"/>
        <w:rPr>
          <w:rFonts w:eastAsia="MS Mincho"/>
          <w:lang w:val="en-GB"/>
        </w:rPr>
      </w:pPr>
      <w:r w:rsidRPr="004656BD">
        <w:rPr>
          <w:rFonts w:eastAsia="MS Mincho"/>
          <w:lang w:val="en-GB"/>
        </w:rPr>
        <w:t>Ability to Drive and Use Machines</w:t>
      </w:r>
    </w:p>
    <w:p w:rsidR="00846781" w:rsidRPr="00A616C3" w:rsidRDefault="00846781" w:rsidP="00846781">
      <w:r w:rsidRPr="00A616C3">
        <w:t xml:space="preserve">No studies on the effects on the ability to drive and to use machines have been performed. </w:t>
      </w:r>
      <w:r w:rsidRPr="00A616C3">
        <w:rPr>
          <w:lang w:val="en-GB"/>
        </w:rPr>
        <w:t xml:space="preserve">Patients experiencing </w:t>
      </w:r>
      <w:r w:rsidR="007F01A2" w:rsidRPr="00A616C3">
        <w:rPr>
          <w:lang w:val="en-GB"/>
        </w:rPr>
        <w:t>administration</w:t>
      </w:r>
      <w:r w:rsidRPr="00A616C3">
        <w:rPr>
          <w:lang w:val="en-GB"/>
        </w:rPr>
        <w:t>-related symptoms should be advised not to drive or use machines until symptoms resolve completely.</w:t>
      </w:r>
    </w:p>
    <w:p w:rsidR="002E6AAB" w:rsidRPr="004656BD" w:rsidRDefault="002E6AAB" w:rsidP="004656BD">
      <w:pPr>
        <w:pStyle w:val="Heading3"/>
        <w:rPr>
          <w:rFonts w:eastAsia="MS Mincho"/>
          <w:lang w:val="en-GB"/>
        </w:rPr>
      </w:pPr>
      <w:r w:rsidRPr="004656BD">
        <w:rPr>
          <w:rFonts w:eastAsia="MS Mincho"/>
          <w:lang w:val="en-GB"/>
        </w:rPr>
        <w:lastRenderedPageBreak/>
        <w:t xml:space="preserve">Effects on Fertility </w:t>
      </w:r>
    </w:p>
    <w:p w:rsidR="002E6AAB" w:rsidRPr="00A616C3" w:rsidRDefault="002E6AAB" w:rsidP="002E6AAB">
      <w:r w:rsidRPr="00A616C3">
        <w:t xml:space="preserve">A study in female </w:t>
      </w:r>
      <w:proofErr w:type="spellStart"/>
      <w:r w:rsidRPr="00A616C3">
        <w:t>cynomolgus</w:t>
      </w:r>
      <w:proofErr w:type="spellEnd"/>
      <w:r w:rsidRPr="00A616C3">
        <w:t xml:space="preserve"> monkeys revealed no evidence of impaired fertility at </w:t>
      </w:r>
      <w:r w:rsidR="00501A70" w:rsidRPr="00A616C3">
        <w:t xml:space="preserve">IV </w:t>
      </w:r>
      <w:proofErr w:type="spellStart"/>
      <w:r w:rsidRPr="00A616C3">
        <w:t>trastuzumab</w:t>
      </w:r>
      <w:proofErr w:type="spellEnd"/>
      <w:r w:rsidRPr="00A616C3">
        <w:t xml:space="preserve"> doses up to 25 mg/kg twice weekly, corresponding to serum trough levels</w:t>
      </w:r>
      <w:r w:rsidRPr="00A616C3">
        <w:rPr>
          <w:b/>
        </w:rPr>
        <w:t xml:space="preserve"> </w:t>
      </w:r>
      <w:r w:rsidRPr="00A616C3">
        <w:t xml:space="preserve">(serum </w:t>
      </w:r>
      <w:proofErr w:type="spellStart"/>
      <w:r w:rsidRPr="00A616C3">
        <w:t>C</w:t>
      </w:r>
      <w:r w:rsidRPr="00A616C3">
        <w:rPr>
          <w:vertAlign w:val="subscript"/>
        </w:rPr>
        <w:t>min</w:t>
      </w:r>
      <w:proofErr w:type="spellEnd"/>
      <w:r w:rsidRPr="00A616C3">
        <w:t xml:space="preserve">) about </w:t>
      </w:r>
      <w:r w:rsidR="005A7359" w:rsidRPr="00A616C3">
        <w:t xml:space="preserve">22 </w:t>
      </w:r>
      <w:r w:rsidRPr="00A616C3">
        <w:t xml:space="preserve">times higher than that in humans receiving the recommended </w:t>
      </w:r>
      <w:r w:rsidR="005B1E97" w:rsidRPr="00A616C3">
        <w:t>600 mg dose every 3 weeks</w:t>
      </w:r>
      <w:r w:rsidRPr="00A616C3">
        <w:t>.</w:t>
      </w:r>
      <w:r w:rsidRPr="00A616C3">
        <w:rPr>
          <w:color w:val="0000FF"/>
        </w:rPr>
        <w:t xml:space="preserve">  </w:t>
      </w:r>
      <w:r w:rsidRPr="00A616C3">
        <w:t xml:space="preserve">However, the binding affinity of </w:t>
      </w:r>
      <w:proofErr w:type="spellStart"/>
      <w:r w:rsidRPr="00A616C3">
        <w:t>trastuzumab</w:t>
      </w:r>
      <w:proofErr w:type="spellEnd"/>
      <w:r w:rsidRPr="00A616C3">
        <w:t xml:space="preserve"> to epidermal growth factor receptor 2 protein in </w:t>
      </w:r>
      <w:proofErr w:type="spellStart"/>
      <w:r w:rsidRPr="00A616C3">
        <w:t>cynomolgus</w:t>
      </w:r>
      <w:proofErr w:type="spellEnd"/>
      <w:r w:rsidRPr="00A616C3">
        <w:t xml:space="preserve"> monkeys is unclear (see </w:t>
      </w:r>
      <w:r w:rsidRPr="00A616C3">
        <w:rPr>
          <w:b/>
        </w:rPr>
        <w:t>Use in Pregnancy</w:t>
      </w:r>
      <w:r w:rsidRPr="00A616C3">
        <w:t>).</w:t>
      </w:r>
    </w:p>
    <w:p w:rsidR="002E6AAB" w:rsidRPr="004656BD" w:rsidRDefault="002E6AAB" w:rsidP="004656BD">
      <w:pPr>
        <w:pStyle w:val="Heading3"/>
        <w:rPr>
          <w:rFonts w:eastAsia="MS Mincho"/>
          <w:lang w:val="en-GB"/>
        </w:rPr>
      </w:pPr>
      <w:r w:rsidRPr="004656BD">
        <w:rPr>
          <w:rFonts w:eastAsia="MS Mincho"/>
          <w:lang w:val="en-GB"/>
        </w:rPr>
        <w:t xml:space="preserve">Use in Pregnancy – Category </w:t>
      </w:r>
      <w:r w:rsidR="00D14FDC" w:rsidRPr="004656BD">
        <w:rPr>
          <w:rFonts w:eastAsia="MS Mincho"/>
          <w:lang w:val="en-GB"/>
        </w:rPr>
        <w:t>D</w:t>
      </w:r>
    </w:p>
    <w:p w:rsidR="002E6AAB" w:rsidRPr="00A616C3" w:rsidRDefault="002E6AAB" w:rsidP="00B80B97">
      <w:r w:rsidRPr="00A616C3">
        <w:t xml:space="preserve">HERCEPTIN should be avoided during pregnancy and since </w:t>
      </w:r>
      <w:proofErr w:type="spellStart"/>
      <w:r w:rsidRPr="00A616C3">
        <w:t>trastuzumab</w:t>
      </w:r>
      <w:proofErr w:type="spellEnd"/>
      <w:r w:rsidRPr="00A616C3">
        <w:t xml:space="preserve"> may persist in the circulation for up to 2</w:t>
      </w:r>
      <w:r w:rsidR="00AA274A" w:rsidRPr="00A616C3">
        <w:t>7</w:t>
      </w:r>
      <w:r w:rsidRPr="00A616C3">
        <w:t xml:space="preserve"> weeks, pregnancy should be avoided for </w:t>
      </w:r>
      <w:r w:rsidR="007B5AE5" w:rsidRPr="00A616C3">
        <w:t xml:space="preserve">7 </w:t>
      </w:r>
      <w:r w:rsidRPr="00A616C3">
        <w:t>months after the last dose of HERCEPTIN, unless the anticipated benefit for the mother outweighs the unknown risk to the foetus.</w:t>
      </w:r>
    </w:p>
    <w:p w:rsidR="002E6AAB" w:rsidRPr="00A616C3" w:rsidRDefault="002E6AAB" w:rsidP="002550A4">
      <w:r w:rsidRPr="00A616C3">
        <w:t xml:space="preserve">In the post-marketing setting, cases of </w:t>
      </w:r>
      <w:r w:rsidR="00AA274A" w:rsidRPr="00A616C3">
        <w:rPr>
          <w:lang w:val="en-GB"/>
        </w:rPr>
        <w:t>foetal renal growth and/or function impairment</w:t>
      </w:r>
      <w:r w:rsidR="00AA274A" w:rsidRPr="00A616C3" w:rsidDel="006B5E2C">
        <w:rPr>
          <w:lang w:val="en-GB"/>
        </w:rPr>
        <w:t xml:space="preserve"> </w:t>
      </w:r>
      <w:r w:rsidR="00AA274A" w:rsidRPr="00A616C3">
        <w:rPr>
          <w:lang w:val="en-GB"/>
        </w:rPr>
        <w:t>in association with</w:t>
      </w:r>
      <w:r w:rsidR="00AA274A" w:rsidRPr="00A616C3">
        <w:t xml:space="preserve"> </w:t>
      </w:r>
      <w:proofErr w:type="spellStart"/>
      <w:r w:rsidRPr="00A616C3">
        <w:t>oligohydramnios</w:t>
      </w:r>
      <w:proofErr w:type="spellEnd"/>
      <w:r w:rsidRPr="00A616C3">
        <w:t xml:space="preserve">, some associated with fatal pulmonary hypoplasia of the foetus, have been reported in pregnant women receiving HERCEPTIN. </w:t>
      </w:r>
      <w:r w:rsidRPr="00A616C3">
        <w:rPr>
          <w:lang w:val="en-GB"/>
        </w:rPr>
        <w:t xml:space="preserve">Women of childbearing potential should be advised to use effective contraception during treatment with HERCEPTIN and for at least </w:t>
      </w:r>
      <w:r w:rsidR="007B5AE5" w:rsidRPr="00A616C3">
        <w:rPr>
          <w:lang w:val="en-GB"/>
        </w:rPr>
        <w:t xml:space="preserve">7 </w:t>
      </w:r>
      <w:r w:rsidRPr="00A616C3">
        <w:rPr>
          <w:lang w:val="en-GB"/>
        </w:rPr>
        <w:t xml:space="preserve">months after treatment has concluded. Women who become pregnant should be advised of the possibility of harm to the foetus.  If a pregnant woman is treated with HERCEPTIN, close monitoring by a </w:t>
      </w:r>
      <w:r w:rsidRPr="00A616C3">
        <w:t>multidisciplinary team is desirable.</w:t>
      </w:r>
    </w:p>
    <w:p w:rsidR="006D2933" w:rsidRPr="00A616C3" w:rsidRDefault="006D2933" w:rsidP="00091CB7">
      <w:pPr>
        <w:rPr>
          <w:bCs/>
        </w:rPr>
      </w:pPr>
      <w:r w:rsidRPr="00A616C3">
        <w:rPr>
          <w:bCs/>
        </w:rPr>
        <w:t xml:space="preserve">HERCEPTIN SC contains </w:t>
      </w:r>
      <w:proofErr w:type="spellStart"/>
      <w:r w:rsidRPr="00A616C3">
        <w:rPr>
          <w:bCs/>
        </w:rPr>
        <w:t>hyaluronidase</w:t>
      </w:r>
      <w:proofErr w:type="spellEnd"/>
      <w:r w:rsidRPr="00A616C3">
        <w:rPr>
          <w:bCs/>
        </w:rPr>
        <w:t xml:space="preserve"> (human recombinant) (see </w:t>
      </w:r>
      <w:r w:rsidRPr="00A616C3">
        <w:rPr>
          <w:b/>
          <w:bCs/>
        </w:rPr>
        <w:t>DESCRIPTION</w:t>
      </w:r>
      <w:r w:rsidRPr="00A616C3">
        <w:rPr>
          <w:bCs/>
        </w:rPr>
        <w:t xml:space="preserve">). Developmental toxicity studies in mice demonstrated reductions in foetal weight and increases in the number of resorptions following SC injections of </w:t>
      </w:r>
      <w:proofErr w:type="spellStart"/>
      <w:r w:rsidRPr="00A616C3">
        <w:rPr>
          <w:bCs/>
        </w:rPr>
        <w:t>hyaluronidase</w:t>
      </w:r>
      <w:proofErr w:type="spellEnd"/>
      <w:r w:rsidRPr="00A616C3">
        <w:rPr>
          <w:bCs/>
        </w:rPr>
        <w:t xml:space="preserve">. The no effect </w:t>
      </w:r>
      <w:proofErr w:type="gramStart"/>
      <w:r w:rsidRPr="00A616C3">
        <w:rPr>
          <w:bCs/>
        </w:rPr>
        <w:t>dose  is</w:t>
      </w:r>
      <w:proofErr w:type="gramEnd"/>
      <w:r w:rsidRPr="00A616C3">
        <w:rPr>
          <w:bCs/>
        </w:rPr>
        <w:t xml:space="preserve"> estimated to be 160 times the dose (</w:t>
      </w:r>
      <w:r w:rsidR="00460158">
        <w:rPr>
          <w:bCs/>
        </w:rPr>
        <w:t>normalised to body surface area</w:t>
      </w:r>
      <w:r w:rsidR="00447E8C">
        <w:rPr>
          <w:bCs/>
        </w:rPr>
        <w:t>)</w:t>
      </w:r>
      <w:r w:rsidR="001D2291">
        <w:rPr>
          <w:bCs/>
        </w:rPr>
        <w:t xml:space="preserve">, </w:t>
      </w:r>
      <w:r w:rsidR="001D2291" w:rsidRPr="00A616C3">
        <w:rPr>
          <w:bCs/>
        </w:rPr>
        <w:t>to</w:t>
      </w:r>
      <w:r w:rsidRPr="00A616C3">
        <w:rPr>
          <w:bCs/>
        </w:rPr>
        <w:t xml:space="preserve"> be administered to patients</w:t>
      </w:r>
      <w:r w:rsidR="001D2291">
        <w:rPr>
          <w:bCs/>
        </w:rPr>
        <w:t xml:space="preserve"> </w:t>
      </w:r>
      <w:r w:rsidR="001D2291" w:rsidRPr="001D2291">
        <w:rPr>
          <w:bCs/>
        </w:rPr>
        <w:t xml:space="preserve">receiving Herceptin subcutaneous </w:t>
      </w:r>
      <w:r w:rsidR="003A2FD0" w:rsidRPr="001D2291">
        <w:rPr>
          <w:bCs/>
        </w:rPr>
        <w:t>formulation</w:t>
      </w:r>
      <w:r w:rsidRPr="00A616C3">
        <w:rPr>
          <w:bCs/>
        </w:rPr>
        <w:t>.</w:t>
      </w:r>
    </w:p>
    <w:p w:rsidR="002E6AAB" w:rsidRPr="004656BD" w:rsidRDefault="002E6AAB" w:rsidP="004656BD">
      <w:pPr>
        <w:pStyle w:val="Heading3"/>
        <w:rPr>
          <w:rFonts w:eastAsia="MS Mincho"/>
          <w:lang w:val="en-GB"/>
        </w:rPr>
      </w:pPr>
      <w:r w:rsidRPr="004656BD">
        <w:rPr>
          <w:rFonts w:eastAsia="MS Mincho"/>
          <w:lang w:val="en-GB"/>
        </w:rPr>
        <w:t>Use in Lactation</w:t>
      </w:r>
    </w:p>
    <w:p w:rsidR="002E6AAB" w:rsidRPr="00A616C3" w:rsidRDefault="002E6AAB" w:rsidP="002E6AAB">
      <w:r w:rsidRPr="00A616C3">
        <w:t xml:space="preserve">A study conducted in lactating </w:t>
      </w:r>
      <w:proofErr w:type="spellStart"/>
      <w:r w:rsidRPr="00A616C3">
        <w:t>cynomolgus</w:t>
      </w:r>
      <w:proofErr w:type="spellEnd"/>
      <w:r w:rsidRPr="00A616C3">
        <w:t xml:space="preserve"> monkeys dosed with </w:t>
      </w:r>
      <w:r w:rsidR="007F01A2" w:rsidRPr="00A616C3">
        <w:t xml:space="preserve">IV </w:t>
      </w:r>
      <w:proofErr w:type="spellStart"/>
      <w:r w:rsidRPr="00A616C3">
        <w:t>trastuzumab</w:t>
      </w:r>
      <w:proofErr w:type="spellEnd"/>
      <w:r w:rsidRPr="00A616C3">
        <w:t xml:space="preserve"> at 25 mg/kg twice weekly (serum </w:t>
      </w:r>
      <w:proofErr w:type="spellStart"/>
      <w:r w:rsidRPr="00A616C3">
        <w:t>C</w:t>
      </w:r>
      <w:r w:rsidRPr="00A616C3">
        <w:rPr>
          <w:vertAlign w:val="subscript"/>
        </w:rPr>
        <w:t>min</w:t>
      </w:r>
      <w:proofErr w:type="spellEnd"/>
      <w:r w:rsidRPr="00A616C3">
        <w:t xml:space="preserve"> about 15 times higher than that in humans receiving the recommended weekly dose of 2 mg/kg) demonstrated that </w:t>
      </w:r>
      <w:proofErr w:type="spellStart"/>
      <w:r w:rsidRPr="00A616C3">
        <w:t>trastuzumab</w:t>
      </w:r>
      <w:proofErr w:type="spellEnd"/>
      <w:r w:rsidRPr="00A616C3">
        <w:t xml:space="preserve"> is excreted in the milk.  The presence of </w:t>
      </w:r>
      <w:proofErr w:type="spellStart"/>
      <w:r w:rsidRPr="00A616C3">
        <w:t>trastuzumab</w:t>
      </w:r>
      <w:proofErr w:type="spellEnd"/>
      <w:r w:rsidRPr="00A616C3">
        <w:t xml:space="preserve"> in the serum of infant monkeys was not associated with adverse effects on their growth or development from birth to 1 month of age.  However, the binding affinity of </w:t>
      </w:r>
      <w:proofErr w:type="spellStart"/>
      <w:r w:rsidRPr="00A616C3">
        <w:t>trastuzumab</w:t>
      </w:r>
      <w:proofErr w:type="spellEnd"/>
      <w:r w:rsidRPr="00A616C3">
        <w:t xml:space="preserve"> to epidermal growth factor receptor 2 </w:t>
      </w:r>
      <w:proofErr w:type="gramStart"/>
      <w:r w:rsidRPr="00A616C3">
        <w:t>protein</w:t>
      </w:r>
      <w:proofErr w:type="gramEnd"/>
      <w:r w:rsidRPr="00A616C3">
        <w:t xml:space="preserve"> in </w:t>
      </w:r>
      <w:proofErr w:type="spellStart"/>
      <w:r w:rsidRPr="00A616C3">
        <w:t>cynomolgus</w:t>
      </w:r>
      <w:proofErr w:type="spellEnd"/>
      <w:r w:rsidRPr="00A616C3">
        <w:t xml:space="preserve"> monkeys is unclear.</w:t>
      </w:r>
    </w:p>
    <w:p w:rsidR="002E6AAB" w:rsidRPr="00A616C3" w:rsidRDefault="002E6AAB" w:rsidP="002E6AAB">
      <w:pPr>
        <w:rPr>
          <w:i/>
        </w:rPr>
      </w:pPr>
      <w:r w:rsidRPr="00A616C3">
        <w:t xml:space="preserve">It is not known whether </w:t>
      </w:r>
      <w:proofErr w:type="spellStart"/>
      <w:r w:rsidRPr="00A616C3">
        <w:t>trastuzumab</w:t>
      </w:r>
      <w:proofErr w:type="spellEnd"/>
      <w:r w:rsidRPr="00A616C3">
        <w:t xml:space="preserve"> is excreted in human milk.  As human</w:t>
      </w:r>
      <w:r w:rsidR="002C707A" w:rsidRPr="00A616C3">
        <w:t xml:space="preserve"> immunoglobulin </w:t>
      </w:r>
      <w:r w:rsidR="000C2CB3" w:rsidRPr="00A616C3">
        <w:t>G (</w:t>
      </w:r>
      <w:r w:rsidRPr="00A616C3">
        <w:t>IgG</w:t>
      </w:r>
      <w:r w:rsidR="002C707A" w:rsidRPr="00A616C3">
        <w:t>)</w:t>
      </w:r>
      <w:r w:rsidRPr="00A616C3">
        <w:t xml:space="preserve"> is secreted into human milk and the potential for harm to the infant is unknown, breast-feeding should be avoided during HERCEPTIN therapy</w:t>
      </w:r>
      <w:r w:rsidRPr="00A616C3">
        <w:rPr>
          <w:i/>
        </w:rPr>
        <w:t xml:space="preserve"> </w:t>
      </w:r>
      <w:r w:rsidRPr="00A616C3">
        <w:t xml:space="preserve">and for </w:t>
      </w:r>
      <w:r w:rsidR="001B4268" w:rsidRPr="00A616C3">
        <w:t xml:space="preserve">7 </w:t>
      </w:r>
      <w:r w:rsidRPr="00A616C3">
        <w:t>months after the last dose of HERCEPTIN.</w:t>
      </w:r>
    </w:p>
    <w:p w:rsidR="00932086" w:rsidRPr="004656BD" w:rsidRDefault="00EE57D2" w:rsidP="004656BD">
      <w:pPr>
        <w:pStyle w:val="Heading3"/>
        <w:rPr>
          <w:rFonts w:eastAsia="MS Mincho"/>
          <w:lang w:val="en-GB"/>
        </w:rPr>
      </w:pPr>
      <w:r w:rsidRPr="004656BD">
        <w:rPr>
          <w:rFonts w:eastAsia="MS Mincho"/>
          <w:lang w:val="en-GB"/>
        </w:rPr>
        <w:t>Paediatric</w:t>
      </w:r>
      <w:r w:rsidR="00C2356E" w:rsidRPr="004656BD">
        <w:rPr>
          <w:rFonts w:eastAsia="MS Mincho"/>
          <w:lang w:val="en-GB"/>
        </w:rPr>
        <w:t xml:space="preserve"> </w:t>
      </w:r>
      <w:r w:rsidR="00932086" w:rsidRPr="004656BD">
        <w:rPr>
          <w:rFonts w:eastAsia="MS Mincho"/>
          <w:lang w:val="en-GB"/>
        </w:rPr>
        <w:t>Use</w:t>
      </w:r>
    </w:p>
    <w:p w:rsidR="00932086" w:rsidRPr="00A616C3" w:rsidRDefault="00932086" w:rsidP="00657070">
      <w:r w:rsidRPr="00A616C3">
        <w:t>The safety and efficacy of HERCEPTIN in patients under the age of 18 years have not been established.</w:t>
      </w:r>
    </w:p>
    <w:p w:rsidR="00932086" w:rsidRPr="004656BD" w:rsidRDefault="00932086" w:rsidP="004656BD">
      <w:pPr>
        <w:pStyle w:val="Heading3"/>
        <w:rPr>
          <w:rFonts w:eastAsia="MS Mincho"/>
          <w:lang w:val="en-GB"/>
        </w:rPr>
      </w:pPr>
      <w:r w:rsidRPr="004656BD">
        <w:rPr>
          <w:rFonts w:eastAsia="MS Mincho"/>
          <w:lang w:val="en-GB"/>
        </w:rPr>
        <w:lastRenderedPageBreak/>
        <w:t xml:space="preserve">Use in </w:t>
      </w:r>
      <w:r w:rsidR="002E6AAB" w:rsidRPr="004656BD">
        <w:rPr>
          <w:rFonts w:eastAsia="MS Mincho"/>
          <w:lang w:val="en-GB"/>
        </w:rPr>
        <w:t xml:space="preserve">the </w:t>
      </w:r>
      <w:r w:rsidRPr="004656BD">
        <w:rPr>
          <w:rFonts w:eastAsia="MS Mincho"/>
          <w:lang w:val="en-GB"/>
        </w:rPr>
        <w:t>Elderly</w:t>
      </w:r>
    </w:p>
    <w:p w:rsidR="00932086" w:rsidRPr="00A616C3" w:rsidRDefault="00501A70" w:rsidP="00657070">
      <w:r w:rsidRPr="00A616C3">
        <w:t xml:space="preserve">Clinical experience is limited in patients above 65 years of age. </w:t>
      </w:r>
      <w:r w:rsidR="00932086" w:rsidRPr="00A616C3">
        <w:t>The risk of cardiac dysfunction may be increased in elderly patients.  The reported clinical experience is not adequate to determine whether older patients respond differently from younger patients.  Elderly patients did not receive reduced doses of HERCEPTIN in clinical trials.  However, greater sensitivity to HERCEPTIN in some older patients cannot be ruled out.</w:t>
      </w:r>
    </w:p>
    <w:p w:rsidR="00A91B8A" w:rsidRPr="004656BD" w:rsidRDefault="00A91B8A" w:rsidP="004656BD">
      <w:pPr>
        <w:pStyle w:val="Heading3"/>
        <w:rPr>
          <w:rFonts w:eastAsia="MS Mincho"/>
          <w:lang w:val="en-GB"/>
        </w:rPr>
      </w:pPr>
      <w:proofErr w:type="spellStart"/>
      <w:r w:rsidRPr="004656BD">
        <w:rPr>
          <w:rFonts w:eastAsia="MS Mincho"/>
          <w:lang w:val="en-GB"/>
        </w:rPr>
        <w:t>Genotoxicity</w:t>
      </w:r>
      <w:proofErr w:type="spellEnd"/>
    </w:p>
    <w:p w:rsidR="00A91B8A" w:rsidRPr="00A616C3" w:rsidRDefault="00A91B8A" w:rsidP="00A91B8A">
      <w:proofErr w:type="spellStart"/>
      <w:r w:rsidRPr="00A616C3">
        <w:t>Trastuzumab</w:t>
      </w:r>
      <w:proofErr w:type="spellEnd"/>
      <w:r w:rsidRPr="00A616C3">
        <w:t xml:space="preserve"> did not induce gene mutations in bacteria, nor did it cause chromosomal damage </w:t>
      </w:r>
      <w:r w:rsidRPr="00A616C3">
        <w:rPr>
          <w:i/>
        </w:rPr>
        <w:t>in vitro</w:t>
      </w:r>
      <w:r w:rsidRPr="00A616C3">
        <w:t xml:space="preserve"> (chromosome aberration assay in human lymphocytes) or </w:t>
      </w:r>
      <w:r w:rsidRPr="00A616C3">
        <w:rPr>
          <w:i/>
        </w:rPr>
        <w:t>in vivo</w:t>
      </w:r>
      <w:r w:rsidRPr="00A616C3">
        <w:t xml:space="preserve"> (mouse micronucleus test).</w:t>
      </w:r>
    </w:p>
    <w:p w:rsidR="00932086" w:rsidRPr="004656BD" w:rsidRDefault="00932086" w:rsidP="004656BD">
      <w:pPr>
        <w:pStyle w:val="Heading3"/>
        <w:rPr>
          <w:rFonts w:eastAsia="MS Mincho"/>
          <w:lang w:val="en-GB"/>
        </w:rPr>
      </w:pPr>
      <w:r w:rsidRPr="004656BD">
        <w:rPr>
          <w:rFonts w:eastAsia="MS Mincho"/>
          <w:lang w:val="en-GB"/>
        </w:rPr>
        <w:t xml:space="preserve">Carcinogenicity </w:t>
      </w:r>
    </w:p>
    <w:p w:rsidR="00932086" w:rsidRPr="00A616C3" w:rsidRDefault="00932086" w:rsidP="00862F59">
      <w:r w:rsidRPr="00A616C3">
        <w:t>No studies on the carcinogenic potential of HERCEPTIN have been conducted to date.</w:t>
      </w:r>
    </w:p>
    <w:p w:rsidR="002E6AAB" w:rsidRPr="004656BD" w:rsidRDefault="002E6AAB" w:rsidP="004656BD">
      <w:pPr>
        <w:pStyle w:val="Heading3"/>
        <w:rPr>
          <w:rFonts w:eastAsia="MS Mincho"/>
          <w:lang w:val="en-GB"/>
        </w:rPr>
      </w:pPr>
      <w:r w:rsidRPr="004656BD">
        <w:rPr>
          <w:rFonts w:eastAsia="MS Mincho"/>
          <w:lang w:val="en-GB"/>
        </w:rPr>
        <w:t>Use in Renal Impairment</w:t>
      </w:r>
    </w:p>
    <w:p w:rsidR="002E6AAB" w:rsidRPr="00A616C3" w:rsidRDefault="00501A70" w:rsidP="002E6AAB">
      <w:r w:rsidRPr="00A616C3">
        <w:t xml:space="preserve">Formal PK studies have not been conducted in patients with renal impairment. Based on population PK analysis, renal impairment is not expected to influence </w:t>
      </w:r>
      <w:proofErr w:type="spellStart"/>
      <w:r w:rsidRPr="00A616C3">
        <w:t>trastuzumab</w:t>
      </w:r>
      <w:proofErr w:type="spellEnd"/>
      <w:r w:rsidRPr="00A616C3">
        <w:t xml:space="preserve"> exposure, however, limited data from patients with moderate to severe renal impairment were included in the population PK analysis </w:t>
      </w:r>
      <w:r w:rsidR="002E6AAB" w:rsidRPr="00A616C3">
        <w:t xml:space="preserve">(see </w:t>
      </w:r>
      <w:r w:rsidR="002E6AAB" w:rsidRPr="00A616C3">
        <w:rPr>
          <w:b/>
        </w:rPr>
        <w:t>Pharmacokinetics</w:t>
      </w:r>
      <w:r w:rsidR="002E6AAB" w:rsidRPr="00A616C3">
        <w:t>).</w:t>
      </w:r>
    </w:p>
    <w:p w:rsidR="002E6AAB" w:rsidRPr="004656BD" w:rsidRDefault="002E6AAB" w:rsidP="004656BD">
      <w:pPr>
        <w:pStyle w:val="Heading3"/>
        <w:rPr>
          <w:rFonts w:eastAsia="MS Mincho"/>
          <w:lang w:val="en-GB"/>
        </w:rPr>
      </w:pPr>
      <w:r w:rsidRPr="004656BD">
        <w:rPr>
          <w:rFonts w:eastAsia="MS Mincho"/>
          <w:lang w:val="en-GB"/>
        </w:rPr>
        <w:t>Use in Hepatic Impairment</w:t>
      </w:r>
    </w:p>
    <w:p w:rsidR="002E6AAB" w:rsidRPr="00A616C3" w:rsidRDefault="002E6AAB" w:rsidP="002E6AAB">
      <w:r w:rsidRPr="00A616C3">
        <w:t>The use of HERCEPTIN in patients with hepatic impairment has not been studied.</w:t>
      </w:r>
    </w:p>
    <w:p w:rsidR="00932086" w:rsidRPr="00A616C3" w:rsidRDefault="00622AF3" w:rsidP="00914BD8">
      <w:pPr>
        <w:pStyle w:val="Heading2"/>
      </w:pPr>
      <w:r w:rsidRPr="00A616C3">
        <w:rPr>
          <w:caps w:val="0"/>
        </w:rPr>
        <w:t>INTERACTIONS WITH OTHER MEDICINES</w:t>
      </w:r>
    </w:p>
    <w:p w:rsidR="00932086" w:rsidRPr="00A616C3" w:rsidRDefault="00DE6729" w:rsidP="00657070">
      <w:r w:rsidRPr="00A616C3">
        <w:t>N</w:t>
      </w:r>
      <w:r w:rsidR="00932086" w:rsidRPr="00A616C3">
        <w:t xml:space="preserve">o formal drug interaction studies </w:t>
      </w:r>
      <w:r w:rsidRPr="00A616C3">
        <w:t xml:space="preserve">have been </w:t>
      </w:r>
      <w:r w:rsidR="00932086" w:rsidRPr="00A616C3">
        <w:t xml:space="preserve">performed with HERCEPTIN in humans.  Clinically significant interactions with concomitant medication used in clinical trials have not been observed.  A comparison of serum levels of HERCEPTIN </w:t>
      </w:r>
      <w:r w:rsidR="005F64EE" w:rsidRPr="00A616C3">
        <w:t xml:space="preserve">IV </w:t>
      </w:r>
      <w:r w:rsidR="00932086" w:rsidRPr="00A616C3">
        <w:t xml:space="preserve">given in combination with cisplatin, doxorubicin or </w:t>
      </w:r>
      <w:proofErr w:type="spellStart"/>
      <w:r w:rsidR="00932086" w:rsidRPr="00A616C3">
        <w:t>epirub</w:t>
      </w:r>
      <w:r w:rsidR="000D1990" w:rsidRPr="00A616C3">
        <w:t>i</w:t>
      </w:r>
      <w:r w:rsidR="00932086" w:rsidRPr="00A616C3">
        <w:t>cin</w:t>
      </w:r>
      <w:proofErr w:type="spellEnd"/>
      <w:r w:rsidR="00CE28A8" w:rsidRPr="00A616C3">
        <w:t>-</w:t>
      </w:r>
      <w:r w:rsidR="00932086" w:rsidRPr="00A616C3">
        <w:t>plus</w:t>
      </w:r>
      <w:r w:rsidR="00CE28A8" w:rsidRPr="00A616C3">
        <w:t>-</w:t>
      </w:r>
      <w:r w:rsidR="00932086" w:rsidRPr="00A616C3">
        <w:t>cyclophosphamide has not suggested the possibility of any interaction.</w:t>
      </w:r>
    </w:p>
    <w:p w:rsidR="00F42CE1" w:rsidRPr="00A616C3" w:rsidRDefault="00932086" w:rsidP="00820010">
      <w:r w:rsidRPr="00A616C3">
        <w:t xml:space="preserve">Administration of paclitaxel in combination with </w:t>
      </w:r>
      <w:r w:rsidR="005F64EE" w:rsidRPr="00A616C3">
        <w:t xml:space="preserve">IV </w:t>
      </w:r>
      <w:proofErr w:type="spellStart"/>
      <w:r w:rsidR="005F64EE" w:rsidRPr="00A616C3">
        <w:t>trastuzumab</w:t>
      </w:r>
      <w:proofErr w:type="spellEnd"/>
      <w:r w:rsidR="005F64EE" w:rsidRPr="00A616C3">
        <w:t xml:space="preserve"> </w:t>
      </w:r>
      <w:r w:rsidRPr="00A616C3">
        <w:t xml:space="preserve">resulted in a slightly less than two-fold decrease in </w:t>
      </w:r>
      <w:proofErr w:type="spellStart"/>
      <w:r w:rsidRPr="00A616C3">
        <w:t>trastuzumab</w:t>
      </w:r>
      <w:proofErr w:type="spellEnd"/>
      <w:r w:rsidRPr="00A616C3">
        <w:t xml:space="preserve"> clearance in a non-human primate study and a 1.5-fold increase in </w:t>
      </w:r>
      <w:proofErr w:type="spellStart"/>
      <w:r w:rsidR="005F64EE" w:rsidRPr="00A616C3">
        <w:t>trastuzumab</w:t>
      </w:r>
      <w:proofErr w:type="spellEnd"/>
      <w:r w:rsidR="005F64EE" w:rsidRPr="00A616C3">
        <w:t xml:space="preserve"> </w:t>
      </w:r>
      <w:r w:rsidRPr="00A616C3">
        <w:t>serum levels in clinical studies.</w:t>
      </w:r>
      <w:r w:rsidR="00820010" w:rsidRPr="00A616C3">
        <w:t xml:space="preserve"> Paclitaxel pharmacokinetics determined during the fourth cycle of the alternative 3-weekly HERCEPTIN regimen (</w:t>
      </w:r>
      <w:r w:rsidR="00820010" w:rsidRPr="00A616C3">
        <w:rPr>
          <w:i/>
        </w:rPr>
        <w:t>n</w:t>
      </w:r>
      <w:r w:rsidR="00156023" w:rsidRPr="00A616C3">
        <w:t xml:space="preserve"> </w:t>
      </w:r>
      <w:r w:rsidR="00820010" w:rsidRPr="00A616C3">
        <w:t>=</w:t>
      </w:r>
      <w:r w:rsidR="00156023" w:rsidRPr="00A616C3">
        <w:t xml:space="preserve"> </w:t>
      </w:r>
      <w:r w:rsidR="00820010" w:rsidRPr="00A616C3">
        <w:t xml:space="preserve">25) were not altered appreciably, relative to parameters determined during the initiation of paclitaxel, prior to introduction of HERCEPTIN. Similarly, </w:t>
      </w:r>
      <w:proofErr w:type="spellStart"/>
      <w:r w:rsidR="00820010" w:rsidRPr="00A616C3">
        <w:t>docetaxel</w:t>
      </w:r>
      <w:proofErr w:type="spellEnd"/>
      <w:r w:rsidR="00820010" w:rsidRPr="00A616C3">
        <w:t xml:space="preserve"> pharmacokinetics determined during the first dose of HERCEPTIN in the standard weekly regimen (</w:t>
      </w:r>
      <w:r w:rsidR="00820010" w:rsidRPr="00A616C3">
        <w:rPr>
          <w:i/>
        </w:rPr>
        <w:t>n</w:t>
      </w:r>
      <w:r w:rsidR="00156023" w:rsidRPr="00A616C3">
        <w:t xml:space="preserve"> </w:t>
      </w:r>
      <w:r w:rsidR="00820010" w:rsidRPr="00A616C3">
        <w:t>=</w:t>
      </w:r>
      <w:r w:rsidR="00156023" w:rsidRPr="00A616C3">
        <w:t xml:space="preserve"> </w:t>
      </w:r>
      <w:r w:rsidR="00820010" w:rsidRPr="00A616C3">
        <w:t xml:space="preserve">10) were not altered appreciably relative to those determined 2 weeks earlier for </w:t>
      </w:r>
      <w:proofErr w:type="spellStart"/>
      <w:r w:rsidR="00820010" w:rsidRPr="00A616C3">
        <w:t>docetaxel</w:t>
      </w:r>
      <w:proofErr w:type="spellEnd"/>
      <w:r w:rsidR="00CE28A8" w:rsidRPr="00A616C3">
        <w:t>-</w:t>
      </w:r>
      <w:r w:rsidR="00820010" w:rsidRPr="00A616C3">
        <w:t>alone.</w:t>
      </w:r>
    </w:p>
    <w:p w:rsidR="002C707A" w:rsidRPr="00A616C3" w:rsidRDefault="000F43D6" w:rsidP="00B155BA">
      <w:pPr>
        <w:rPr>
          <w:lang w:val="en-GB"/>
        </w:rPr>
      </w:pPr>
      <w:r w:rsidRPr="00A616C3">
        <w:t xml:space="preserve">The administration of concomitant chemotherapy (either </w:t>
      </w:r>
      <w:proofErr w:type="spellStart"/>
      <w:r w:rsidRPr="00A616C3">
        <w:t>anthracycline</w:t>
      </w:r>
      <w:proofErr w:type="spellEnd"/>
      <w:r w:rsidRPr="00A616C3">
        <w:t xml:space="preserve"> or cyclophosphamide) did not appear to influence the pharmacokinetics of </w:t>
      </w:r>
      <w:proofErr w:type="spellStart"/>
      <w:r w:rsidRPr="00A616C3">
        <w:t>trastuzumab</w:t>
      </w:r>
      <w:proofErr w:type="spellEnd"/>
      <w:r w:rsidR="00FC571D" w:rsidRPr="00A616C3">
        <w:t>.</w:t>
      </w:r>
    </w:p>
    <w:p w:rsidR="00932086" w:rsidRPr="00A616C3" w:rsidRDefault="00932086" w:rsidP="00F43521">
      <w:pPr>
        <w:pStyle w:val="Heading2"/>
      </w:pPr>
      <w:r w:rsidRPr="00A616C3">
        <w:lastRenderedPageBreak/>
        <w:t xml:space="preserve">ADVERSE </w:t>
      </w:r>
      <w:r w:rsidR="00622AF3" w:rsidRPr="00A616C3">
        <w:rPr>
          <w:caps w:val="0"/>
        </w:rPr>
        <w:t>EFFECTS</w:t>
      </w:r>
    </w:p>
    <w:p w:rsidR="00C16ADB" w:rsidRPr="00A616C3" w:rsidRDefault="00C16ADB" w:rsidP="006A7247">
      <w:pPr>
        <w:rPr>
          <w:lang w:val="en-GB"/>
        </w:rPr>
      </w:pPr>
      <w:r w:rsidRPr="00A616C3">
        <w:t>The adverse drug reactions listed in this section fall into the following categories:</w:t>
      </w:r>
      <w:r w:rsidR="007E2DFE" w:rsidRPr="00A616C3">
        <w:rPr>
          <w:lang w:val="en-GB"/>
        </w:rPr>
        <w:t xml:space="preserve"> v</w:t>
      </w:r>
      <w:r w:rsidRPr="00A616C3">
        <w:rPr>
          <w:lang w:val="en-GB"/>
        </w:rPr>
        <w:t>ery common (</w:t>
      </w:r>
      <w:r w:rsidRPr="00A616C3">
        <w:rPr>
          <w:lang w:val="en-GB"/>
        </w:rPr>
        <w:sym w:font="Symbol" w:char="F0B3"/>
      </w:r>
      <w:r w:rsidRPr="00A616C3">
        <w:rPr>
          <w:lang w:val="en-GB"/>
        </w:rPr>
        <w:t>1/10);</w:t>
      </w:r>
      <w:r w:rsidR="007E2DFE" w:rsidRPr="00A616C3">
        <w:rPr>
          <w:lang w:val="en-GB"/>
        </w:rPr>
        <w:t xml:space="preserve"> c</w:t>
      </w:r>
      <w:r w:rsidRPr="00A616C3">
        <w:rPr>
          <w:lang w:val="en-GB"/>
        </w:rPr>
        <w:t>ommon (</w:t>
      </w:r>
      <w:r w:rsidRPr="00A616C3">
        <w:rPr>
          <w:lang w:val="en-GB"/>
        </w:rPr>
        <w:sym w:font="Symbol" w:char="F0B3"/>
      </w:r>
      <w:r w:rsidRPr="00A616C3">
        <w:rPr>
          <w:lang w:val="en-GB"/>
        </w:rPr>
        <w:t>1/100 to &lt;1/10);</w:t>
      </w:r>
      <w:r w:rsidR="007E2DFE" w:rsidRPr="00A616C3">
        <w:rPr>
          <w:lang w:val="en-GB"/>
        </w:rPr>
        <w:t xml:space="preserve"> u</w:t>
      </w:r>
      <w:r w:rsidRPr="00A616C3">
        <w:rPr>
          <w:lang w:val="en-GB"/>
        </w:rPr>
        <w:t>ncommon (≥1/1,000 to &lt;1/100);</w:t>
      </w:r>
      <w:r w:rsidR="007E2DFE" w:rsidRPr="00A616C3">
        <w:rPr>
          <w:lang w:val="en-GB"/>
        </w:rPr>
        <w:t xml:space="preserve"> r</w:t>
      </w:r>
      <w:r w:rsidRPr="00A616C3">
        <w:rPr>
          <w:lang w:val="en-GB"/>
        </w:rPr>
        <w:t>are (≥1/10,000 to &lt;1/1,000);</w:t>
      </w:r>
      <w:r w:rsidR="007E2DFE" w:rsidRPr="00A616C3">
        <w:rPr>
          <w:lang w:val="en-GB"/>
        </w:rPr>
        <w:t xml:space="preserve"> v</w:t>
      </w:r>
      <w:r w:rsidRPr="00A616C3">
        <w:rPr>
          <w:lang w:val="en-GB"/>
        </w:rPr>
        <w:t xml:space="preserve">ery rare (&lt;1/10,000); </w:t>
      </w:r>
      <w:r w:rsidR="007E2DFE" w:rsidRPr="00A616C3">
        <w:rPr>
          <w:lang w:val="en-GB"/>
        </w:rPr>
        <w:t>n</w:t>
      </w:r>
      <w:r w:rsidRPr="00A616C3">
        <w:rPr>
          <w:lang w:val="en-GB"/>
        </w:rPr>
        <w:t>ot known (cannot be estimated from the available data). Within each frequency grouping, adverse reactions are presented in order of decreasing seriousness.</w:t>
      </w:r>
    </w:p>
    <w:p w:rsidR="00143BAE" w:rsidRPr="00A616C3" w:rsidRDefault="00143BAE" w:rsidP="00F57892">
      <w:pPr>
        <w:rPr>
          <w:lang w:val="en-GB"/>
        </w:rPr>
      </w:pPr>
      <w:r w:rsidRPr="00A616C3">
        <w:rPr>
          <w:lang w:val="en-GB"/>
        </w:rPr>
        <w:t xml:space="preserve">Presented in </w:t>
      </w:r>
      <w:r w:rsidR="00D73CBA" w:rsidRPr="00A616C3">
        <w:rPr>
          <w:lang w:val="en-GB"/>
        </w:rPr>
        <w:t>T</w:t>
      </w:r>
      <w:r w:rsidRPr="00A616C3">
        <w:rPr>
          <w:lang w:val="en-GB"/>
        </w:rPr>
        <w:t xml:space="preserve">able </w:t>
      </w:r>
      <w:r w:rsidR="00B4720E">
        <w:rPr>
          <w:lang w:val="en-GB"/>
        </w:rPr>
        <w:t>9</w:t>
      </w:r>
      <w:r w:rsidR="00B4720E" w:rsidRPr="00A616C3">
        <w:rPr>
          <w:lang w:val="en-GB"/>
        </w:rPr>
        <w:t xml:space="preserve"> </w:t>
      </w:r>
      <w:r w:rsidR="00D73CBA" w:rsidRPr="00A616C3">
        <w:rPr>
          <w:lang w:val="en-GB"/>
        </w:rPr>
        <w:t xml:space="preserve">below </w:t>
      </w:r>
      <w:r w:rsidRPr="00A616C3">
        <w:rPr>
          <w:lang w:val="en-GB"/>
        </w:rPr>
        <w:t xml:space="preserve">are adverse reactions that have been reported in association with the use of </w:t>
      </w:r>
      <w:r w:rsidR="00D73CBA" w:rsidRPr="00A616C3">
        <w:rPr>
          <w:lang w:val="en-GB"/>
        </w:rPr>
        <w:t>HERCEPTIN</w:t>
      </w:r>
      <w:r w:rsidRPr="00A616C3">
        <w:rPr>
          <w:lang w:val="en-GB"/>
        </w:rPr>
        <w:t xml:space="preserve"> alone</w:t>
      </w:r>
      <w:r w:rsidR="00127377" w:rsidRPr="00A616C3">
        <w:rPr>
          <w:lang w:val="en-GB"/>
        </w:rPr>
        <w:t>,</w:t>
      </w:r>
      <w:r w:rsidRPr="00A616C3">
        <w:rPr>
          <w:lang w:val="en-GB"/>
        </w:rPr>
        <w:t xml:space="preserve"> or in combination with chemotherapy in </w:t>
      </w:r>
      <w:r w:rsidR="00FD02EF" w:rsidRPr="00A616C3">
        <w:rPr>
          <w:lang w:val="en-GB"/>
        </w:rPr>
        <w:t xml:space="preserve">the below </w:t>
      </w:r>
      <w:r w:rsidRPr="00A616C3">
        <w:rPr>
          <w:lang w:val="en-GB"/>
        </w:rPr>
        <w:t xml:space="preserve">pivotal clinical trials </w:t>
      </w:r>
      <w:r w:rsidR="003561AA" w:rsidRPr="00A616C3">
        <w:rPr>
          <w:lang w:val="en-GB"/>
        </w:rPr>
        <w:t>as well as</w:t>
      </w:r>
      <w:r w:rsidRPr="00A616C3">
        <w:rPr>
          <w:lang w:val="en-GB"/>
        </w:rPr>
        <w:t xml:space="preserve"> in the post-marketing setting.</w:t>
      </w:r>
      <w:r w:rsidR="000F6DB9" w:rsidRPr="00A616C3">
        <w:rPr>
          <w:lang w:val="en-GB"/>
        </w:rPr>
        <w:t xml:space="preserve"> </w:t>
      </w:r>
    </w:p>
    <w:p w:rsidR="00D27F88" w:rsidRPr="00A616C3" w:rsidRDefault="00303DE7" w:rsidP="00981F4D">
      <w:pPr>
        <w:rPr>
          <w:u w:val="single"/>
          <w:lang w:val="en-GB"/>
        </w:rPr>
      </w:pPr>
      <w:r>
        <w:rPr>
          <w:u w:val="single"/>
          <w:lang w:val="en-GB"/>
        </w:rPr>
        <w:t>Early</w:t>
      </w:r>
      <w:r w:rsidRPr="00A616C3">
        <w:rPr>
          <w:u w:val="single"/>
          <w:lang w:val="en-GB"/>
        </w:rPr>
        <w:t xml:space="preserve"> </w:t>
      </w:r>
      <w:r w:rsidR="007D62CF" w:rsidRPr="00A616C3">
        <w:rPr>
          <w:u w:val="single"/>
          <w:lang w:val="en-GB"/>
        </w:rPr>
        <w:t>Breast C</w:t>
      </w:r>
      <w:r w:rsidR="00D27F88" w:rsidRPr="00A616C3">
        <w:rPr>
          <w:u w:val="single"/>
          <w:lang w:val="en-GB"/>
        </w:rPr>
        <w:t>ancer</w:t>
      </w:r>
    </w:p>
    <w:p w:rsidR="00143BAE" w:rsidRPr="00A616C3" w:rsidRDefault="00143BAE" w:rsidP="00046211">
      <w:pPr>
        <w:numPr>
          <w:ilvl w:val="0"/>
          <w:numId w:val="10"/>
        </w:numPr>
        <w:spacing w:after="0"/>
        <w:ind w:left="426" w:hanging="284"/>
        <w:rPr>
          <w:lang w:val="en-GB"/>
        </w:rPr>
      </w:pPr>
      <w:r w:rsidRPr="00A616C3">
        <w:rPr>
          <w:b/>
          <w:lang w:val="en-GB"/>
        </w:rPr>
        <w:t>BO16348</w:t>
      </w:r>
      <w:r w:rsidR="00FD02EF" w:rsidRPr="00A616C3">
        <w:rPr>
          <w:b/>
          <w:lang w:val="en-GB"/>
        </w:rPr>
        <w:t xml:space="preserve"> (HERA)</w:t>
      </w:r>
      <w:r w:rsidR="00D27F88" w:rsidRPr="00A616C3">
        <w:rPr>
          <w:b/>
          <w:lang w:val="en-GB"/>
        </w:rPr>
        <w:t>:</w:t>
      </w:r>
      <w:r w:rsidR="00FD02EF" w:rsidRPr="00A616C3">
        <w:rPr>
          <w:b/>
          <w:lang w:val="en-GB"/>
        </w:rPr>
        <w:t xml:space="preserve"> </w:t>
      </w:r>
      <w:r w:rsidR="00FD02EF" w:rsidRPr="00A616C3">
        <w:rPr>
          <w:lang w:val="en-GB"/>
        </w:rPr>
        <w:t xml:space="preserve">HERCEPTIN </w:t>
      </w:r>
      <w:r w:rsidR="00F13FA8">
        <w:rPr>
          <w:lang w:val="en-GB"/>
        </w:rPr>
        <w:t xml:space="preserve">IV </w:t>
      </w:r>
      <w:r w:rsidR="00FD02EF" w:rsidRPr="00A616C3">
        <w:rPr>
          <w:lang w:val="en-GB"/>
        </w:rPr>
        <w:t>arm (n=1678). Control arm (n=1708)</w:t>
      </w:r>
      <w:r w:rsidR="007C4061" w:rsidRPr="00A616C3">
        <w:rPr>
          <w:b/>
          <w:lang w:val="en-GB"/>
        </w:rPr>
        <w:t xml:space="preserve"> </w:t>
      </w:r>
    </w:p>
    <w:p w:rsidR="00FD02EF" w:rsidRPr="00A616C3" w:rsidRDefault="00143BAE" w:rsidP="00046211">
      <w:pPr>
        <w:numPr>
          <w:ilvl w:val="0"/>
          <w:numId w:val="10"/>
        </w:numPr>
        <w:spacing w:after="0"/>
        <w:ind w:left="426" w:hanging="284"/>
        <w:rPr>
          <w:lang w:val="en-GB"/>
        </w:rPr>
      </w:pPr>
      <w:r w:rsidRPr="00A616C3">
        <w:rPr>
          <w:b/>
          <w:lang w:val="en-GB"/>
        </w:rPr>
        <w:t>B-31</w:t>
      </w:r>
      <w:r w:rsidR="007C4061" w:rsidRPr="00A616C3">
        <w:rPr>
          <w:b/>
          <w:lang w:val="en-GB"/>
        </w:rPr>
        <w:t>/</w:t>
      </w:r>
      <w:r w:rsidRPr="00A616C3">
        <w:rPr>
          <w:b/>
          <w:lang w:val="en-GB"/>
        </w:rPr>
        <w:t>N9831</w:t>
      </w:r>
      <w:r w:rsidR="007C4061" w:rsidRPr="00A616C3">
        <w:rPr>
          <w:b/>
          <w:lang w:val="en-GB"/>
        </w:rPr>
        <w:t xml:space="preserve"> Joint Analysis</w:t>
      </w:r>
      <w:r w:rsidR="00D27F88" w:rsidRPr="00A616C3">
        <w:rPr>
          <w:b/>
          <w:lang w:val="en-GB"/>
        </w:rPr>
        <w:t>:</w:t>
      </w:r>
      <w:r w:rsidR="007C4061" w:rsidRPr="00A616C3">
        <w:rPr>
          <w:b/>
          <w:lang w:val="en-GB"/>
        </w:rPr>
        <w:t xml:space="preserve"> </w:t>
      </w:r>
      <w:r w:rsidR="00FD02EF" w:rsidRPr="00A616C3">
        <w:rPr>
          <w:lang w:val="en-GB"/>
        </w:rPr>
        <w:t xml:space="preserve">HERCEPTIN </w:t>
      </w:r>
      <w:r w:rsidR="00F13FA8">
        <w:rPr>
          <w:lang w:val="en-GB"/>
        </w:rPr>
        <w:t xml:space="preserve">IV </w:t>
      </w:r>
      <w:r w:rsidR="00FD02EF" w:rsidRPr="00A616C3">
        <w:rPr>
          <w:lang w:val="en-GB"/>
        </w:rPr>
        <w:t xml:space="preserve">arms (n=2345). Control arm (n=1673) </w:t>
      </w:r>
    </w:p>
    <w:p w:rsidR="00143BAE" w:rsidRPr="00A616C3" w:rsidRDefault="00143BAE" w:rsidP="00046211">
      <w:pPr>
        <w:numPr>
          <w:ilvl w:val="0"/>
          <w:numId w:val="10"/>
        </w:numPr>
        <w:spacing w:after="0"/>
        <w:ind w:left="426" w:hanging="284"/>
        <w:rPr>
          <w:lang w:val="en-GB"/>
        </w:rPr>
      </w:pPr>
      <w:r w:rsidRPr="00A616C3">
        <w:rPr>
          <w:b/>
          <w:lang w:val="en-GB"/>
        </w:rPr>
        <w:t>BCIRG 006</w:t>
      </w:r>
      <w:r w:rsidR="00D27F88" w:rsidRPr="00A616C3">
        <w:rPr>
          <w:b/>
          <w:lang w:val="en-GB"/>
        </w:rPr>
        <w:t>:</w:t>
      </w:r>
      <w:r w:rsidR="007C4061" w:rsidRPr="00A616C3">
        <w:rPr>
          <w:b/>
          <w:lang w:val="en-GB"/>
        </w:rPr>
        <w:t xml:space="preserve"> </w:t>
      </w:r>
      <w:r w:rsidR="00FD02EF" w:rsidRPr="00A616C3">
        <w:rPr>
          <w:lang w:val="en-GB"/>
        </w:rPr>
        <w:t xml:space="preserve">HERCEPTIN </w:t>
      </w:r>
      <w:r w:rsidR="00F13FA8">
        <w:rPr>
          <w:lang w:val="en-GB"/>
        </w:rPr>
        <w:t xml:space="preserve">IV </w:t>
      </w:r>
      <w:r w:rsidR="00FD02EF" w:rsidRPr="00A616C3">
        <w:rPr>
          <w:lang w:val="en-GB"/>
        </w:rPr>
        <w:t>arm (n=2133). Control arm (n=1041)</w:t>
      </w:r>
      <w:r w:rsidR="00FD02EF" w:rsidRPr="00A616C3">
        <w:rPr>
          <w:b/>
          <w:lang w:val="en-GB"/>
        </w:rPr>
        <w:t xml:space="preserve"> </w:t>
      </w:r>
    </w:p>
    <w:p w:rsidR="00320B88" w:rsidRPr="00A616C3" w:rsidRDefault="00EA2D5F" w:rsidP="00046211">
      <w:pPr>
        <w:numPr>
          <w:ilvl w:val="0"/>
          <w:numId w:val="10"/>
        </w:numPr>
        <w:spacing w:after="0"/>
        <w:ind w:left="426" w:hanging="284"/>
        <w:rPr>
          <w:b/>
          <w:lang w:val="en-GB"/>
        </w:rPr>
      </w:pPr>
      <w:r w:rsidRPr="00A616C3">
        <w:rPr>
          <w:b/>
          <w:lang w:val="en-GB"/>
        </w:rPr>
        <w:t>BO16216 (</w:t>
      </w:r>
      <w:proofErr w:type="spellStart"/>
      <w:r w:rsidRPr="00A616C3">
        <w:rPr>
          <w:b/>
          <w:lang w:val="en-GB"/>
        </w:rPr>
        <w:t>TanDEM</w:t>
      </w:r>
      <w:proofErr w:type="spellEnd"/>
      <w:r w:rsidRPr="00A616C3">
        <w:rPr>
          <w:b/>
          <w:lang w:val="en-GB"/>
        </w:rPr>
        <w:t xml:space="preserve">): </w:t>
      </w:r>
      <w:r w:rsidRPr="00A616C3">
        <w:rPr>
          <w:lang w:val="en-GB"/>
        </w:rPr>
        <w:t xml:space="preserve">HERCEPTIN </w:t>
      </w:r>
      <w:r w:rsidR="00F13FA8">
        <w:rPr>
          <w:lang w:val="en-GB"/>
        </w:rPr>
        <w:t xml:space="preserve">IV </w:t>
      </w:r>
      <w:r w:rsidRPr="00A616C3">
        <w:rPr>
          <w:lang w:val="en-GB"/>
        </w:rPr>
        <w:t>arm (n=161). Control arm (n=161)</w:t>
      </w:r>
    </w:p>
    <w:p w:rsidR="00320B88" w:rsidRPr="00A616C3" w:rsidRDefault="00320B88" w:rsidP="00B0429E">
      <w:pPr>
        <w:spacing w:after="0"/>
        <w:rPr>
          <w:b/>
          <w:lang w:val="en-GB"/>
        </w:rPr>
      </w:pPr>
    </w:p>
    <w:p w:rsidR="00320B88" w:rsidRPr="00A616C3" w:rsidRDefault="00320B88" w:rsidP="00B0429E">
      <w:pPr>
        <w:spacing w:after="120"/>
        <w:rPr>
          <w:u w:val="single"/>
          <w:lang w:val="en-GB"/>
        </w:rPr>
      </w:pPr>
      <w:r w:rsidRPr="00A616C3">
        <w:rPr>
          <w:u w:val="single"/>
          <w:lang w:val="en-GB"/>
        </w:rPr>
        <w:t>Locally Advanced Breast Cancer</w:t>
      </w:r>
    </w:p>
    <w:p w:rsidR="00143BAE" w:rsidRPr="00A616C3" w:rsidRDefault="00143BAE" w:rsidP="00046211">
      <w:pPr>
        <w:numPr>
          <w:ilvl w:val="0"/>
          <w:numId w:val="10"/>
        </w:numPr>
        <w:spacing w:after="0"/>
        <w:ind w:left="426" w:hanging="284"/>
        <w:rPr>
          <w:lang w:val="en-GB"/>
        </w:rPr>
      </w:pPr>
      <w:r w:rsidRPr="00A616C3">
        <w:rPr>
          <w:b/>
          <w:lang w:val="en-GB"/>
        </w:rPr>
        <w:t>MO16432</w:t>
      </w:r>
      <w:r w:rsidR="00D27F88" w:rsidRPr="00A616C3">
        <w:rPr>
          <w:b/>
          <w:lang w:val="en-GB"/>
        </w:rPr>
        <w:t xml:space="preserve"> (NOAH):</w:t>
      </w:r>
      <w:r w:rsidR="007C4061" w:rsidRPr="00A616C3">
        <w:rPr>
          <w:b/>
          <w:lang w:val="en-GB"/>
        </w:rPr>
        <w:t xml:space="preserve"> </w:t>
      </w:r>
      <w:r w:rsidR="00FD02EF" w:rsidRPr="00A616C3">
        <w:rPr>
          <w:lang w:val="en-GB"/>
        </w:rPr>
        <w:t xml:space="preserve">HERCEPTIN </w:t>
      </w:r>
      <w:r w:rsidR="00F13FA8">
        <w:rPr>
          <w:lang w:val="en-GB"/>
        </w:rPr>
        <w:t xml:space="preserve">IV </w:t>
      </w:r>
      <w:r w:rsidR="00FD02EF" w:rsidRPr="00A616C3">
        <w:rPr>
          <w:lang w:val="en-GB"/>
        </w:rPr>
        <w:t>arm (n=115). Control arm (n=116)</w:t>
      </w:r>
      <w:r w:rsidR="00FD02EF" w:rsidRPr="00A616C3">
        <w:rPr>
          <w:b/>
          <w:lang w:val="en-GB"/>
        </w:rPr>
        <w:t xml:space="preserve"> </w:t>
      </w:r>
    </w:p>
    <w:p w:rsidR="002C7F50" w:rsidRPr="00A616C3" w:rsidRDefault="002C7F50" w:rsidP="00091CB7">
      <w:pPr>
        <w:numPr>
          <w:ilvl w:val="0"/>
          <w:numId w:val="10"/>
        </w:numPr>
        <w:spacing w:after="0"/>
        <w:ind w:left="426" w:hanging="284"/>
        <w:rPr>
          <w:lang w:val="en-GB"/>
        </w:rPr>
      </w:pPr>
      <w:r w:rsidRPr="00A616C3">
        <w:rPr>
          <w:b/>
          <w:lang w:val="en-GB"/>
        </w:rPr>
        <w:t>BO22227 (HANNAH):</w:t>
      </w:r>
      <w:r w:rsidRPr="00A616C3">
        <w:rPr>
          <w:lang w:val="en-GB"/>
        </w:rPr>
        <w:t xml:space="preserve"> HERCEPTIN IV arm (n = 298). HERCEPTIN SC arm (n = 297)</w:t>
      </w:r>
    </w:p>
    <w:p w:rsidR="00143BAE" w:rsidRPr="00A616C3" w:rsidRDefault="00143BAE" w:rsidP="007B14B1">
      <w:pPr>
        <w:spacing w:after="0"/>
        <w:ind w:left="567" w:hanging="567"/>
        <w:rPr>
          <w:lang w:val="en-GB"/>
        </w:rPr>
      </w:pPr>
    </w:p>
    <w:p w:rsidR="00D27F88" w:rsidRPr="00A616C3" w:rsidRDefault="00D27F88" w:rsidP="00E56EA5">
      <w:pPr>
        <w:spacing w:after="120"/>
        <w:ind w:left="567" w:hanging="567"/>
        <w:rPr>
          <w:u w:val="single"/>
          <w:lang w:val="en-GB"/>
        </w:rPr>
      </w:pPr>
      <w:r w:rsidRPr="00A616C3">
        <w:rPr>
          <w:u w:val="single"/>
          <w:lang w:val="en-GB"/>
        </w:rPr>
        <w:t>Metastat</w:t>
      </w:r>
      <w:r w:rsidR="007D62CF" w:rsidRPr="00A616C3">
        <w:rPr>
          <w:u w:val="single"/>
          <w:lang w:val="en-GB"/>
        </w:rPr>
        <w:t>ic Breast C</w:t>
      </w:r>
      <w:r w:rsidRPr="00A616C3">
        <w:rPr>
          <w:u w:val="single"/>
          <w:lang w:val="en-GB"/>
        </w:rPr>
        <w:t>ancer (MBC)</w:t>
      </w:r>
    </w:p>
    <w:p w:rsidR="00D27F88" w:rsidRPr="00A616C3" w:rsidRDefault="00D27F88" w:rsidP="00046211">
      <w:pPr>
        <w:numPr>
          <w:ilvl w:val="0"/>
          <w:numId w:val="10"/>
        </w:numPr>
        <w:spacing w:after="0"/>
        <w:ind w:left="426" w:hanging="284"/>
        <w:rPr>
          <w:lang w:val="en-GB"/>
        </w:rPr>
      </w:pPr>
      <w:r w:rsidRPr="00A616C3">
        <w:rPr>
          <w:b/>
          <w:bCs/>
          <w:lang w:val="en-GB"/>
        </w:rPr>
        <w:t>H0648g / H0649g:</w:t>
      </w:r>
      <w:r w:rsidRPr="00A616C3">
        <w:rPr>
          <w:lang w:val="en-GB"/>
        </w:rPr>
        <w:t xml:space="preserve"> HERCEPTIN</w:t>
      </w:r>
      <w:r w:rsidR="00F13FA8">
        <w:rPr>
          <w:lang w:val="en-GB"/>
        </w:rPr>
        <w:t xml:space="preserve"> IV</w:t>
      </w:r>
      <w:r w:rsidRPr="00A616C3">
        <w:rPr>
          <w:lang w:val="en-GB"/>
        </w:rPr>
        <w:t xml:space="preserve"> arms</w:t>
      </w:r>
      <w:r w:rsidRPr="00A616C3">
        <w:rPr>
          <w:b/>
          <w:lang w:val="en-GB"/>
        </w:rPr>
        <w:t xml:space="preserve"> </w:t>
      </w:r>
      <w:r w:rsidRPr="00A616C3">
        <w:rPr>
          <w:lang w:val="en-GB"/>
        </w:rPr>
        <w:t>( n=469 and n=222 respectively)</w:t>
      </w:r>
    </w:p>
    <w:p w:rsidR="00D27F88" w:rsidRPr="00A616C3" w:rsidRDefault="00D27F88" w:rsidP="00046211">
      <w:pPr>
        <w:numPr>
          <w:ilvl w:val="0"/>
          <w:numId w:val="10"/>
        </w:numPr>
        <w:spacing w:after="0"/>
        <w:ind w:left="426" w:hanging="284"/>
        <w:rPr>
          <w:lang w:val="en-GB"/>
        </w:rPr>
      </w:pPr>
      <w:r w:rsidRPr="00A616C3">
        <w:rPr>
          <w:b/>
          <w:lang w:val="en-GB"/>
        </w:rPr>
        <w:t xml:space="preserve">M77001: </w:t>
      </w:r>
      <w:r w:rsidRPr="00A616C3">
        <w:rPr>
          <w:lang w:val="en-GB"/>
        </w:rPr>
        <w:t>HERCEPTIN</w:t>
      </w:r>
      <w:r w:rsidR="00F13FA8">
        <w:rPr>
          <w:lang w:val="en-GB"/>
        </w:rPr>
        <w:t xml:space="preserve"> IV</w:t>
      </w:r>
      <w:r w:rsidRPr="00A616C3">
        <w:rPr>
          <w:lang w:val="en-GB"/>
        </w:rPr>
        <w:t xml:space="preserve"> arm (n=92). Control arm (n=94).</w:t>
      </w:r>
    </w:p>
    <w:p w:rsidR="00FD02EF" w:rsidRPr="00A616C3" w:rsidRDefault="00FD02EF" w:rsidP="00F57892">
      <w:pPr>
        <w:spacing w:after="0"/>
        <w:ind w:left="426"/>
        <w:rPr>
          <w:lang w:val="en-GB"/>
        </w:rPr>
      </w:pPr>
    </w:p>
    <w:p w:rsidR="00FD02EF" w:rsidRPr="00A616C3" w:rsidRDefault="00FD02EF" w:rsidP="00F57892">
      <w:pPr>
        <w:spacing w:after="0"/>
        <w:rPr>
          <w:lang w:val="en-GB"/>
        </w:rPr>
      </w:pPr>
      <w:r w:rsidRPr="00A616C3">
        <w:rPr>
          <w:u w:val="single"/>
          <w:lang w:val="en-GB"/>
        </w:rPr>
        <w:t>Advanced Gastric Cancer</w:t>
      </w:r>
      <w:r w:rsidR="00F13FA8">
        <w:rPr>
          <w:u w:val="single"/>
          <w:lang w:val="en-GB"/>
        </w:rPr>
        <w:t xml:space="preserve"> (HERCEPTIN SC is not approved for this indication)</w:t>
      </w:r>
    </w:p>
    <w:p w:rsidR="003561AA" w:rsidRPr="00A616C3" w:rsidRDefault="00FD02EF" w:rsidP="00046211">
      <w:pPr>
        <w:numPr>
          <w:ilvl w:val="0"/>
          <w:numId w:val="10"/>
        </w:numPr>
        <w:spacing w:after="0"/>
        <w:ind w:left="426" w:hanging="284"/>
        <w:rPr>
          <w:lang w:val="en-GB"/>
        </w:rPr>
      </w:pPr>
      <w:r w:rsidRPr="00A616C3">
        <w:rPr>
          <w:b/>
          <w:lang w:val="en-GB"/>
        </w:rPr>
        <w:t>BO18255 (</w:t>
      </w:r>
      <w:proofErr w:type="spellStart"/>
      <w:r w:rsidRPr="00A616C3">
        <w:rPr>
          <w:b/>
          <w:lang w:val="en-GB"/>
        </w:rPr>
        <w:t>ToGA</w:t>
      </w:r>
      <w:proofErr w:type="spellEnd"/>
      <w:r w:rsidRPr="00A616C3">
        <w:rPr>
          <w:b/>
          <w:lang w:val="en-GB"/>
        </w:rPr>
        <w:t xml:space="preserve">): </w:t>
      </w:r>
      <w:r w:rsidR="003561AA" w:rsidRPr="00A616C3">
        <w:rPr>
          <w:lang w:val="en-GB"/>
        </w:rPr>
        <w:t xml:space="preserve">HERCEPTIN </w:t>
      </w:r>
      <w:r w:rsidR="00F13FA8">
        <w:rPr>
          <w:lang w:val="en-GB"/>
        </w:rPr>
        <w:t xml:space="preserve">IV </w:t>
      </w:r>
      <w:r w:rsidR="003561AA" w:rsidRPr="00A616C3">
        <w:rPr>
          <w:lang w:val="en-GB"/>
        </w:rPr>
        <w:t>arm (n=294). Control arm (n=290)</w:t>
      </w:r>
      <w:r w:rsidR="003561AA" w:rsidRPr="00A616C3">
        <w:rPr>
          <w:b/>
          <w:lang w:val="en-GB"/>
        </w:rPr>
        <w:t xml:space="preserve"> </w:t>
      </w:r>
    </w:p>
    <w:p w:rsidR="006A7247" w:rsidRPr="00A616C3" w:rsidRDefault="006A7247" w:rsidP="00143BAE">
      <w:pPr>
        <w:spacing w:after="0"/>
        <w:rPr>
          <w:lang w:val="en-GB"/>
        </w:rPr>
      </w:pPr>
    </w:p>
    <w:p w:rsidR="00143BAE" w:rsidRDefault="00143BAE" w:rsidP="00143BAE">
      <w:pPr>
        <w:spacing w:after="0"/>
        <w:rPr>
          <w:lang w:val="en-GB"/>
        </w:rPr>
      </w:pPr>
      <w:r w:rsidRPr="00A616C3">
        <w:rPr>
          <w:lang w:val="en-GB"/>
        </w:rPr>
        <w:t>All terms included are based on the highest percentage seen in pivotal clinical trials.</w:t>
      </w:r>
    </w:p>
    <w:p w:rsidR="000F6DB9" w:rsidRPr="00A616C3" w:rsidRDefault="000F6DB9" w:rsidP="00981F4D">
      <w:pPr>
        <w:pStyle w:val="Caption"/>
        <w:keepNext/>
        <w:spacing w:after="120"/>
      </w:pPr>
    </w:p>
    <w:p w:rsidR="00426831" w:rsidRDefault="00426831">
      <w:pPr>
        <w:spacing w:after="0" w:line="240" w:lineRule="auto"/>
        <w:rPr>
          <w:b/>
        </w:rPr>
      </w:pPr>
      <w:r>
        <w:br w:type="page"/>
      </w:r>
    </w:p>
    <w:p w:rsidR="0032680E" w:rsidRPr="00A616C3" w:rsidRDefault="00143BAE" w:rsidP="0032680E">
      <w:pPr>
        <w:pStyle w:val="Caption"/>
        <w:keepNext/>
        <w:spacing w:after="120"/>
        <w:rPr>
          <w:rStyle w:val="TableHeadingChar"/>
          <w:sz w:val="24"/>
        </w:rPr>
      </w:pPr>
      <w:r w:rsidRPr="00A616C3">
        <w:lastRenderedPageBreak/>
        <w:t xml:space="preserve">Table </w:t>
      </w:r>
      <w:r w:rsidR="002C7F50" w:rsidRPr="00A616C3">
        <w:t>9</w:t>
      </w:r>
      <w:r w:rsidRPr="00A616C3">
        <w:t>: Adverse Reactions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9"/>
        <w:gridCol w:w="4295"/>
        <w:gridCol w:w="1999"/>
      </w:tblGrid>
      <w:tr w:rsidR="00E80DD0" w:rsidRPr="00A616C3" w:rsidTr="00AA67B5">
        <w:trPr>
          <w:cantSplit/>
          <w:trHeight w:val="128"/>
          <w:tblHeader/>
        </w:trPr>
        <w:tc>
          <w:tcPr>
            <w:tcW w:w="1524" w:type="pct"/>
            <w:tcBorders>
              <w:top w:val="single" w:sz="4" w:space="0" w:color="auto"/>
              <w:left w:val="single" w:sz="4" w:space="0" w:color="auto"/>
              <w:bottom w:val="single" w:sz="4" w:space="0" w:color="auto"/>
              <w:right w:val="single" w:sz="4" w:space="0" w:color="auto"/>
            </w:tcBorders>
          </w:tcPr>
          <w:p w:rsidR="00E80DD0" w:rsidRPr="00A616C3" w:rsidRDefault="00E80DD0" w:rsidP="007B14B1">
            <w:pPr>
              <w:spacing w:after="60"/>
              <w:rPr>
                <w:b/>
                <w:lang w:val="en-GB"/>
              </w:rPr>
            </w:pPr>
            <w:r w:rsidRPr="00A616C3">
              <w:rPr>
                <w:b/>
                <w:lang w:val="en-GB"/>
              </w:rPr>
              <w:t>System organ class</w:t>
            </w:r>
          </w:p>
        </w:tc>
        <w:tc>
          <w:tcPr>
            <w:tcW w:w="2372" w:type="pct"/>
            <w:tcBorders>
              <w:top w:val="single" w:sz="4" w:space="0" w:color="auto"/>
              <w:left w:val="single" w:sz="4" w:space="0" w:color="auto"/>
              <w:bottom w:val="single" w:sz="4" w:space="0" w:color="auto"/>
              <w:right w:val="single" w:sz="4" w:space="0" w:color="auto"/>
            </w:tcBorders>
            <w:vAlign w:val="center"/>
          </w:tcPr>
          <w:p w:rsidR="00E80DD0" w:rsidRPr="00A616C3" w:rsidRDefault="00E80DD0" w:rsidP="007B14B1">
            <w:pPr>
              <w:spacing w:after="60"/>
              <w:rPr>
                <w:b/>
                <w:lang w:val="en-GB"/>
              </w:rPr>
            </w:pPr>
            <w:r w:rsidRPr="00A616C3">
              <w:rPr>
                <w:b/>
                <w:lang w:val="en-GB"/>
              </w:rPr>
              <w:t>Adverse reaction</w:t>
            </w:r>
            <w:r w:rsidR="00A13B5F" w:rsidRPr="00A616C3">
              <w:rPr>
                <w:rFonts w:ascii="Times New Roman Bold" w:hAnsi="Times New Roman Bold"/>
                <w:b/>
                <w:vertAlign w:val="superscript"/>
                <w:lang w:val="en-GB"/>
              </w:rPr>
              <w:t>1</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rsidR="00E80DD0" w:rsidRPr="00A616C3" w:rsidRDefault="00E80DD0" w:rsidP="007B14B1">
            <w:pPr>
              <w:spacing w:after="60"/>
              <w:rPr>
                <w:b/>
                <w:lang w:val="en-GB"/>
              </w:rPr>
            </w:pPr>
            <w:r w:rsidRPr="00A616C3">
              <w:rPr>
                <w:b/>
                <w:lang w:val="en-GB"/>
              </w:rPr>
              <w:t xml:space="preserve">Frequency </w:t>
            </w:r>
          </w:p>
        </w:tc>
      </w:tr>
      <w:tr w:rsidR="00C17EFE" w:rsidRPr="00A616C3" w:rsidTr="00AA67B5">
        <w:trPr>
          <w:trHeight w:val="206"/>
        </w:trPr>
        <w:tc>
          <w:tcPr>
            <w:tcW w:w="1524" w:type="pct"/>
            <w:vMerge w:val="restart"/>
          </w:tcPr>
          <w:p w:rsidR="00C17EFE" w:rsidRPr="00A616C3" w:rsidRDefault="00C17EFE" w:rsidP="007B14B1">
            <w:pPr>
              <w:spacing w:after="60"/>
              <w:rPr>
                <w:lang w:val="en-GB"/>
              </w:rPr>
            </w:pPr>
            <w:r w:rsidRPr="00A616C3">
              <w:rPr>
                <w:lang w:val="en-GB"/>
              </w:rPr>
              <w:t>Infections and infestations</w:t>
            </w:r>
          </w:p>
          <w:p w:rsidR="00C17EFE" w:rsidRPr="00A616C3" w:rsidRDefault="00C17EFE" w:rsidP="007B14B1">
            <w:pPr>
              <w:spacing w:after="60"/>
              <w:rPr>
                <w:lang w:val="en-GB"/>
              </w:rPr>
            </w:pPr>
          </w:p>
          <w:p w:rsidR="00C17EFE" w:rsidRPr="00A616C3" w:rsidRDefault="00C17EFE" w:rsidP="007B14B1">
            <w:pPr>
              <w:spacing w:after="60"/>
              <w:rPr>
                <w:lang w:val="en-GB"/>
              </w:rPr>
            </w:pPr>
          </w:p>
          <w:p w:rsidR="00C17EFE" w:rsidRPr="00A616C3" w:rsidRDefault="00C17EFE" w:rsidP="007B14B1">
            <w:pPr>
              <w:spacing w:after="60"/>
              <w:rPr>
                <w:lang w:val="en-GB"/>
              </w:rPr>
            </w:pPr>
          </w:p>
          <w:p w:rsidR="00C17EFE" w:rsidRPr="00A616C3" w:rsidRDefault="00C17EFE" w:rsidP="007B14B1">
            <w:pPr>
              <w:spacing w:after="60"/>
              <w:rPr>
                <w:lang w:val="en-GB"/>
              </w:rPr>
            </w:pPr>
          </w:p>
          <w:p w:rsidR="00C17EFE" w:rsidRPr="00A616C3" w:rsidRDefault="00C17EFE" w:rsidP="007B14B1">
            <w:pPr>
              <w:spacing w:after="60"/>
              <w:rPr>
                <w:lang w:val="en-GB"/>
              </w:rPr>
            </w:pPr>
          </w:p>
          <w:p w:rsidR="00C17EFE" w:rsidRPr="00A616C3" w:rsidRDefault="00C17EFE" w:rsidP="007B14B1">
            <w:pPr>
              <w:spacing w:after="60"/>
              <w:rPr>
                <w:lang w:val="en-GB"/>
              </w:rPr>
            </w:pPr>
          </w:p>
          <w:p w:rsidR="00C17EFE" w:rsidRPr="00A616C3" w:rsidRDefault="00C17EFE" w:rsidP="007B14B1">
            <w:pPr>
              <w:spacing w:after="60"/>
              <w:rPr>
                <w:lang w:val="en-GB"/>
              </w:rPr>
            </w:pPr>
          </w:p>
          <w:p w:rsidR="00C17EFE" w:rsidRPr="00A616C3" w:rsidRDefault="00C17EFE" w:rsidP="007B14B1">
            <w:pPr>
              <w:spacing w:after="60"/>
              <w:rPr>
                <w:lang w:val="en-GB"/>
              </w:rPr>
            </w:pPr>
          </w:p>
          <w:p w:rsidR="00C17EFE" w:rsidRPr="00A616C3" w:rsidRDefault="00C17EFE" w:rsidP="007B14B1">
            <w:pPr>
              <w:spacing w:after="60"/>
              <w:rPr>
                <w:lang w:val="en-GB"/>
              </w:rPr>
            </w:pPr>
          </w:p>
          <w:p w:rsidR="00C17EFE" w:rsidRPr="00A616C3" w:rsidRDefault="00C17EFE" w:rsidP="007B14B1">
            <w:pPr>
              <w:spacing w:after="60"/>
              <w:rPr>
                <w:lang w:val="en-GB"/>
              </w:rPr>
            </w:pPr>
          </w:p>
          <w:p w:rsidR="00C17EFE" w:rsidRPr="00A616C3" w:rsidRDefault="00C17EFE" w:rsidP="007B14B1">
            <w:pPr>
              <w:spacing w:after="60"/>
              <w:rPr>
                <w:lang w:val="en-GB"/>
              </w:rPr>
            </w:pPr>
          </w:p>
          <w:p w:rsidR="00C17EFE" w:rsidRPr="00A616C3" w:rsidRDefault="00C17EFE" w:rsidP="007B14B1">
            <w:pPr>
              <w:spacing w:after="60"/>
              <w:rPr>
                <w:lang w:val="en-GB"/>
              </w:rPr>
            </w:pPr>
          </w:p>
          <w:p w:rsidR="00C17EFE" w:rsidRPr="00A616C3" w:rsidRDefault="00C17EFE" w:rsidP="007B14B1">
            <w:pPr>
              <w:spacing w:after="60"/>
              <w:rPr>
                <w:lang w:val="en-GB"/>
              </w:rPr>
            </w:pPr>
          </w:p>
          <w:p w:rsidR="00C17EFE" w:rsidRPr="00A616C3" w:rsidRDefault="00C17EFE" w:rsidP="007B14B1">
            <w:pPr>
              <w:spacing w:after="60"/>
              <w:rPr>
                <w:lang w:val="en-GB"/>
              </w:rPr>
            </w:pPr>
          </w:p>
        </w:tc>
        <w:tc>
          <w:tcPr>
            <w:tcW w:w="2372" w:type="pct"/>
            <w:vAlign w:val="center"/>
          </w:tcPr>
          <w:p w:rsidR="00C17EFE" w:rsidRPr="00A616C3" w:rsidRDefault="00C17EFE" w:rsidP="007B14B1">
            <w:pPr>
              <w:spacing w:after="60"/>
              <w:rPr>
                <w:vertAlign w:val="superscript"/>
                <w:lang w:val="en-GB"/>
              </w:rPr>
            </w:pPr>
            <w:proofErr w:type="spellStart"/>
            <w:r w:rsidRPr="00A616C3">
              <w:rPr>
                <w:lang w:val="en-GB"/>
              </w:rPr>
              <w:t>Nasopharyngitis</w:t>
            </w:r>
            <w:proofErr w:type="spellEnd"/>
          </w:p>
        </w:tc>
        <w:tc>
          <w:tcPr>
            <w:tcW w:w="1104" w:type="pct"/>
            <w:shd w:val="clear" w:color="auto" w:fill="auto"/>
            <w:vAlign w:val="center"/>
          </w:tcPr>
          <w:p w:rsidR="00C17EFE" w:rsidRPr="00A616C3" w:rsidRDefault="00C17EFE" w:rsidP="00C50A71">
            <w:pPr>
              <w:spacing w:after="60"/>
              <w:rPr>
                <w:lang w:val="en-GB"/>
              </w:rPr>
            </w:pPr>
            <w:r w:rsidRPr="00A616C3">
              <w:rPr>
                <w:lang w:val="en-GB"/>
              </w:rPr>
              <w:t xml:space="preserve">Very </w:t>
            </w:r>
            <w:r w:rsidR="00330515" w:rsidRPr="00A616C3">
              <w:rPr>
                <w:lang w:val="en-GB"/>
              </w:rPr>
              <w:t>c</w:t>
            </w:r>
            <w:r w:rsidRPr="00A616C3">
              <w:rPr>
                <w:lang w:val="en-GB"/>
              </w:rPr>
              <w:t>ommon</w:t>
            </w:r>
          </w:p>
        </w:tc>
      </w:tr>
      <w:tr w:rsidR="00C17EFE" w:rsidRPr="00A616C3" w:rsidTr="00AA67B5">
        <w:trPr>
          <w:trHeight w:val="206"/>
        </w:trPr>
        <w:tc>
          <w:tcPr>
            <w:tcW w:w="1524" w:type="pct"/>
            <w:vMerge/>
          </w:tcPr>
          <w:p w:rsidR="00C17EFE" w:rsidRPr="00A616C3" w:rsidRDefault="00C17EFE" w:rsidP="007B14B1">
            <w:pPr>
              <w:spacing w:after="60"/>
              <w:rPr>
                <w:lang w:val="en-GB"/>
              </w:rPr>
            </w:pPr>
          </w:p>
        </w:tc>
        <w:tc>
          <w:tcPr>
            <w:tcW w:w="2372" w:type="pct"/>
            <w:vAlign w:val="center"/>
          </w:tcPr>
          <w:p w:rsidR="00C17EFE" w:rsidRPr="00A616C3" w:rsidRDefault="00C17EFE" w:rsidP="007B14B1">
            <w:pPr>
              <w:spacing w:after="60"/>
              <w:rPr>
                <w:lang w:val="en-GB"/>
              </w:rPr>
            </w:pPr>
            <w:r w:rsidRPr="00A616C3">
              <w:rPr>
                <w:lang w:val="en-GB"/>
              </w:rPr>
              <w:t>Infection</w:t>
            </w:r>
          </w:p>
        </w:tc>
        <w:tc>
          <w:tcPr>
            <w:tcW w:w="1104" w:type="pct"/>
            <w:shd w:val="clear" w:color="auto" w:fill="auto"/>
            <w:vAlign w:val="center"/>
          </w:tcPr>
          <w:p w:rsidR="00C17EFE" w:rsidRPr="00A616C3" w:rsidRDefault="00C17EFE" w:rsidP="00C50A71">
            <w:pPr>
              <w:spacing w:after="60"/>
              <w:rPr>
                <w:lang w:val="en-GB"/>
              </w:rPr>
            </w:pPr>
            <w:r w:rsidRPr="00A616C3">
              <w:rPr>
                <w:lang w:val="en-GB"/>
              </w:rPr>
              <w:t xml:space="preserve">Very </w:t>
            </w:r>
            <w:r w:rsidR="00330515" w:rsidRPr="00A616C3">
              <w:rPr>
                <w:lang w:val="en-GB"/>
              </w:rPr>
              <w:t>c</w:t>
            </w:r>
            <w:r w:rsidRPr="00A616C3">
              <w:rPr>
                <w:lang w:val="en-GB"/>
              </w:rPr>
              <w:t>ommon</w:t>
            </w:r>
          </w:p>
        </w:tc>
      </w:tr>
      <w:tr w:rsidR="00C17EFE" w:rsidRPr="00A616C3" w:rsidTr="00AA67B5">
        <w:trPr>
          <w:trHeight w:val="206"/>
        </w:trPr>
        <w:tc>
          <w:tcPr>
            <w:tcW w:w="1524" w:type="pct"/>
            <w:vMerge/>
          </w:tcPr>
          <w:p w:rsidR="00C17EFE" w:rsidRPr="00A616C3" w:rsidRDefault="00C17EFE" w:rsidP="007B14B1">
            <w:pPr>
              <w:spacing w:after="60"/>
              <w:rPr>
                <w:lang w:val="en-GB"/>
              </w:rPr>
            </w:pPr>
          </w:p>
        </w:tc>
        <w:tc>
          <w:tcPr>
            <w:tcW w:w="2372" w:type="pct"/>
            <w:vAlign w:val="center"/>
          </w:tcPr>
          <w:p w:rsidR="00C17EFE" w:rsidRPr="00A616C3" w:rsidRDefault="00C17EFE" w:rsidP="007B14B1">
            <w:pPr>
              <w:spacing w:after="60"/>
              <w:rPr>
                <w:lang w:val="en-GB"/>
              </w:rPr>
            </w:pPr>
            <w:proofErr w:type="spellStart"/>
            <w:r w:rsidRPr="00A616C3">
              <w:rPr>
                <w:lang w:val="en-GB"/>
              </w:rPr>
              <w:t>Neutropenic</w:t>
            </w:r>
            <w:proofErr w:type="spellEnd"/>
            <w:r w:rsidRPr="00A616C3">
              <w:rPr>
                <w:lang w:val="en-GB"/>
              </w:rPr>
              <w:t xml:space="preserve"> sepsis</w:t>
            </w:r>
          </w:p>
        </w:tc>
        <w:tc>
          <w:tcPr>
            <w:tcW w:w="1104" w:type="pct"/>
            <w:shd w:val="clear" w:color="auto" w:fill="auto"/>
            <w:vAlign w:val="center"/>
          </w:tcPr>
          <w:p w:rsidR="00C17EFE" w:rsidRPr="00A616C3" w:rsidRDefault="00C17EFE" w:rsidP="007B14B1">
            <w:pPr>
              <w:spacing w:after="60"/>
              <w:rPr>
                <w:lang w:val="en-GB"/>
              </w:rPr>
            </w:pPr>
            <w:r w:rsidRPr="00A616C3">
              <w:rPr>
                <w:lang w:val="en-GB"/>
              </w:rPr>
              <w:t>Common</w:t>
            </w:r>
          </w:p>
        </w:tc>
      </w:tr>
      <w:tr w:rsidR="00C17EFE" w:rsidRPr="00A616C3" w:rsidTr="00AA67B5">
        <w:trPr>
          <w:trHeight w:val="206"/>
        </w:trPr>
        <w:tc>
          <w:tcPr>
            <w:tcW w:w="1524" w:type="pct"/>
            <w:vMerge/>
          </w:tcPr>
          <w:p w:rsidR="00C17EFE" w:rsidRPr="00A616C3" w:rsidRDefault="00C17EFE" w:rsidP="007B14B1">
            <w:pPr>
              <w:spacing w:after="60"/>
              <w:rPr>
                <w:lang w:val="en-GB"/>
              </w:rPr>
            </w:pPr>
          </w:p>
        </w:tc>
        <w:tc>
          <w:tcPr>
            <w:tcW w:w="2372" w:type="pct"/>
            <w:vAlign w:val="center"/>
          </w:tcPr>
          <w:p w:rsidR="00C17EFE" w:rsidRPr="00A616C3" w:rsidRDefault="00C17EFE" w:rsidP="007B14B1">
            <w:pPr>
              <w:spacing w:after="60"/>
              <w:rPr>
                <w:lang w:val="en-GB"/>
              </w:rPr>
            </w:pPr>
            <w:r w:rsidRPr="00A616C3">
              <w:rPr>
                <w:lang w:val="en-GB"/>
              </w:rPr>
              <w:t>Cystitis</w:t>
            </w:r>
          </w:p>
        </w:tc>
        <w:tc>
          <w:tcPr>
            <w:tcW w:w="1104" w:type="pct"/>
            <w:shd w:val="clear" w:color="auto" w:fill="auto"/>
            <w:vAlign w:val="center"/>
          </w:tcPr>
          <w:p w:rsidR="00C17EFE" w:rsidRPr="00A616C3" w:rsidRDefault="00C17EFE" w:rsidP="007B14B1">
            <w:pPr>
              <w:spacing w:after="60"/>
              <w:rPr>
                <w:lang w:val="en-GB"/>
              </w:rPr>
            </w:pPr>
            <w:r w:rsidRPr="00A616C3">
              <w:rPr>
                <w:lang w:val="en-GB"/>
              </w:rPr>
              <w:t>Common</w:t>
            </w:r>
          </w:p>
        </w:tc>
      </w:tr>
      <w:tr w:rsidR="00C17EFE" w:rsidRPr="00A616C3" w:rsidTr="00AA67B5">
        <w:trPr>
          <w:trHeight w:val="120"/>
        </w:trPr>
        <w:tc>
          <w:tcPr>
            <w:tcW w:w="1524" w:type="pct"/>
            <w:vMerge/>
          </w:tcPr>
          <w:p w:rsidR="00C17EFE" w:rsidRPr="00A616C3" w:rsidRDefault="00C17EFE" w:rsidP="007B14B1">
            <w:pPr>
              <w:spacing w:after="60"/>
              <w:rPr>
                <w:lang w:val="en-GB"/>
              </w:rPr>
            </w:pPr>
          </w:p>
        </w:tc>
        <w:tc>
          <w:tcPr>
            <w:tcW w:w="2372" w:type="pct"/>
            <w:vAlign w:val="center"/>
          </w:tcPr>
          <w:p w:rsidR="00C17EFE" w:rsidRPr="00A616C3" w:rsidRDefault="00C17EFE" w:rsidP="007B14B1">
            <w:pPr>
              <w:spacing w:after="60"/>
              <w:rPr>
                <w:lang w:val="en-GB"/>
              </w:rPr>
            </w:pPr>
            <w:r w:rsidRPr="00A616C3">
              <w:rPr>
                <w:lang w:val="en-GB"/>
              </w:rPr>
              <w:t>Herpes zoster</w:t>
            </w:r>
          </w:p>
        </w:tc>
        <w:tc>
          <w:tcPr>
            <w:tcW w:w="1104" w:type="pct"/>
            <w:shd w:val="clear" w:color="auto" w:fill="auto"/>
            <w:vAlign w:val="center"/>
          </w:tcPr>
          <w:p w:rsidR="00C17EFE" w:rsidRPr="00A616C3" w:rsidRDefault="00C17EFE" w:rsidP="007B14B1">
            <w:pPr>
              <w:spacing w:after="60"/>
              <w:rPr>
                <w:lang w:val="en-GB"/>
              </w:rPr>
            </w:pPr>
            <w:r w:rsidRPr="00A616C3">
              <w:rPr>
                <w:lang w:val="en-GB"/>
              </w:rPr>
              <w:t>Common</w:t>
            </w:r>
          </w:p>
        </w:tc>
      </w:tr>
      <w:tr w:rsidR="00C17EFE" w:rsidRPr="00A616C3" w:rsidTr="00AA67B5">
        <w:trPr>
          <w:trHeight w:val="173"/>
        </w:trPr>
        <w:tc>
          <w:tcPr>
            <w:tcW w:w="1524" w:type="pct"/>
            <w:vMerge/>
          </w:tcPr>
          <w:p w:rsidR="00C17EFE" w:rsidRPr="00A616C3" w:rsidRDefault="00C17EFE" w:rsidP="007B14B1">
            <w:pPr>
              <w:spacing w:after="60"/>
              <w:rPr>
                <w:lang w:val="en-GB"/>
              </w:rPr>
            </w:pPr>
          </w:p>
        </w:tc>
        <w:tc>
          <w:tcPr>
            <w:tcW w:w="2372" w:type="pct"/>
            <w:vAlign w:val="center"/>
          </w:tcPr>
          <w:p w:rsidR="00C17EFE" w:rsidRPr="00A616C3" w:rsidRDefault="00C17EFE" w:rsidP="007B14B1">
            <w:pPr>
              <w:spacing w:after="60"/>
              <w:rPr>
                <w:lang w:val="en-GB"/>
              </w:rPr>
            </w:pPr>
            <w:r w:rsidRPr="00A616C3">
              <w:rPr>
                <w:lang w:val="en-GB"/>
              </w:rPr>
              <w:t>Influenza</w:t>
            </w:r>
          </w:p>
        </w:tc>
        <w:tc>
          <w:tcPr>
            <w:tcW w:w="1104" w:type="pct"/>
            <w:shd w:val="clear" w:color="auto" w:fill="auto"/>
            <w:vAlign w:val="center"/>
          </w:tcPr>
          <w:p w:rsidR="00C17EFE" w:rsidRPr="00A616C3" w:rsidRDefault="00C17EFE" w:rsidP="007B14B1">
            <w:pPr>
              <w:spacing w:after="60"/>
              <w:rPr>
                <w:lang w:val="en-GB"/>
              </w:rPr>
            </w:pPr>
            <w:r w:rsidRPr="00A616C3">
              <w:rPr>
                <w:lang w:val="en-GB"/>
              </w:rPr>
              <w:t>Common</w:t>
            </w:r>
          </w:p>
        </w:tc>
      </w:tr>
      <w:tr w:rsidR="00225876" w:rsidRPr="00A616C3" w:rsidTr="00AA67B5">
        <w:trPr>
          <w:trHeight w:val="207"/>
        </w:trPr>
        <w:tc>
          <w:tcPr>
            <w:tcW w:w="1524" w:type="pct"/>
            <w:vMerge/>
          </w:tcPr>
          <w:p w:rsidR="00225876" w:rsidRPr="00A616C3" w:rsidRDefault="00225876" w:rsidP="007B14B1">
            <w:pPr>
              <w:spacing w:after="60"/>
              <w:rPr>
                <w:lang w:val="en-GB"/>
              </w:rPr>
            </w:pPr>
          </w:p>
        </w:tc>
        <w:tc>
          <w:tcPr>
            <w:tcW w:w="2372" w:type="pct"/>
            <w:vAlign w:val="center"/>
          </w:tcPr>
          <w:p w:rsidR="00225876" w:rsidRPr="00A616C3" w:rsidRDefault="00225876" w:rsidP="007B14B1">
            <w:pPr>
              <w:spacing w:after="60"/>
              <w:rPr>
                <w:lang w:val="en-GB"/>
              </w:rPr>
            </w:pPr>
            <w:r w:rsidRPr="00A616C3">
              <w:rPr>
                <w:lang w:val="en-GB"/>
              </w:rPr>
              <w:t>Pharyngitis</w:t>
            </w:r>
          </w:p>
        </w:tc>
        <w:tc>
          <w:tcPr>
            <w:tcW w:w="1104" w:type="pct"/>
            <w:shd w:val="clear" w:color="auto" w:fill="auto"/>
            <w:vAlign w:val="center"/>
          </w:tcPr>
          <w:p w:rsidR="00225876" w:rsidRPr="00A616C3" w:rsidRDefault="00225876" w:rsidP="007B14B1">
            <w:pPr>
              <w:spacing w:after="60"/>
              <w:rPr>
                <w:lang w:val="en-GB"/>
              </w:rPr>
            </w:pPr>
            <w:r w:rsidRPr="00A616C3">
              <w:rPr>
                <w:lang w:val="en-GB"/>
              </w:rPr>
              <w:t>Common</w:t>
            </w:r>
          </w:p>
        </w:tc>
      </w:tr>
      <w:tr w:rsidR="00C17EFE" w:rsidRPr="00A616C3" w:rsidTr="00AA67B5">
        <w:trPr>
          <w:trHeight w:val="120"/>
        </w:trPr>
        <w:tc>
          <w:tcPr>
            <w:tcW w:w="1524" w:type="pct"/>
            <w:vMerge/>
          </w:tcPr>
          <w:p w:rsidR="00C17EFE" w:rsidRPr="00A616C3" w:rsidRDefault="00C17EFE" w:rsidP="007B14B1">
            <w:pPr>
              <w:spacing w:after="60"/>
              <w:rPr>
                <w:lang w:val="en-GB"/>
              </w:rPr>
            </w:pPr>
          </w:p>
        </w:tc>
        <w:tc>
          <w:tcPr>
            <w:tcW w:w="2372" w:type="pct"/>
            <w:vAlign w:val="center"/>
          </w:tcPr>
          <w:p w:rsidR="00C17EFE" w:rsidRPr="00A616C3" w:rsidRDefault="00C17EFE" w:rsidP="007B14B1">
            <w:pPr>
              <w:spacing w:after="60"/>
              <w:rPr>
                <w:lang w:val="en-GB"/>
              </w:rPr>
            </w:pPr>
            <w:r w:rsidRPr="00A616C3">
              <w:rPr>
                <w:lang w:val="en-GB"/>
              </w:rPr>
              <w:t>Sinusitis</w:t>
            </w:r>
          </w:p>
        </w:tc>
        <w:tc>
          <w:tcPr>
            <w:tcW w:w="1104" w:type="pct"/>
            <w:shd w:val="clear" w:color="auto" w:fill="auto"/>
            <w:vAlign w:val="center"/>
          </w:tcPr>
          <w:p w:rsidR="00C17EFE" w:rsidRPr="00A616C3" w:rsidRDefault="00C17EFE" w:rsidP="007B14B1">
            <w:pPr>
              <w:spacing w:after="60"/>
              <w:rPr>
                <w:lang w:val="en-GB"/>
              </w:rPr>
            </w:pPr>
            <w:r w:rsidRPr="00A616C3">
              <w:rPr>
                <w:lang w:val="en-GB"/>
              </w:rPr>
              <w:t>Common</w:t>
            </w:r>
          </w:p>
        </w:tc>
      </w:tr>
      <w:tr w:rsidR="00C17EFE" w:rsidRPr="00A616C3" w:rsidTr="00AA67B5">
        <w:trPr>
          <w:trHeight w:val="120"/>
        </w:trPr>
        <w:tc>
          <w:tcPr>
            <w:tcW w:w="1524" w:type="pct"/>
            <w:vMerge/>
          </w:tcPr>
          <w:p w:rsidR="00C17EFE" w:rsidRPr="00A616C3" w:rsidRDefault="00C17EFE" w:rsidP="007B14B1">
            <w:pPr>
              <w:spacing w:after="60"/>
              <w:rPr>
                <w:lang w:val="en-GB"/>
              </w:rPr>
            </w:pPr>
          </w:p>
        </w:tc>
        <w:tc>
          <w:tcPr>
            <w:tcW w:w="2372" w:type="pct"/>
            <w:vAlign w:val="center"/>
          </w:tcPr>
          <w:p w:rsidR="00C17EFE" w:rsidRPr="00A616C3" w:rsidRDefault="00C17EFE" w:rsidP="007B14B1">
            <w:pPr>
              <w:spacing w:after="60"/>
              <w:rPr>
                <w:lang w:val="en-GB"/>
              </w:rPr>
            </w:pPr>
            <w:r w:rsidRPr="00A616C3">
              <w:rPr>
                <w:lang w:val="en-GB"/>
              </w:rPr>
              <w:t>Skin infection</w:t>
            </w:r>
          </w:p>
        </w:tc>
        <w:tc>
          <w:tcPr>
            <w:tcW w:w="1104" w:type="pct"/>
            <w:shd w:val="clear" w:color="auto" w:fill="auto"/>
            <w:vAlign w:val="center"/>
          </w:tcPr>
          <w:p w:rsidR="00C17EFE" w:rsidRPr="00A616C3" w:rsidRDefault="00C17EFE" w:rsidP="007B14B1">
            <w:pPr>
              <w:spacing w:after="60"/>
              <w:rPr>
                <w:lang w:val="en-GB"/>
              </w:rPr>
            </w:pPr>
            <w:r w:rsidRPr="00A616C3">
              <w:rPr>
                <w:lang w:val="en-GB"/>
              </w:rPr>
              <w:t>Common</w:t>
            </w:r>
          </w:p>
        </w:tc>
      </w:tr>
      <w:tr w:rsidR="00C17EFE" w:rsidRPr="00A616C3" w:rsidTr="00AA67B5">
        <w:trPr>
          <w:trHeight w:val="120"/>
        </w:trPr>
        <w:tc>
          <w:tcPr>
            <w:tcW w:w="1524" w:type="pct"/>
            <w:vMerge/>
          </w:tcPr>
          <w:p w:rsidR="00C17EFE" w:rsidRPr="00A616C3" w:rsidRDefault="00C17EFE" w:rsidP="007B14B1">
            <w:pPr>
              <w:spacing w:after="60"/>
              <w:rPr>
                <w:lang w:val="en-GB"/>
              </w:rPr>
            </w:pPr>
          </w:p>
        </w:tc>
        <w:tc>
          <w:tcPr>
            <w:tcW w:w="2372" w:type="pct"/>
            <w:vAlign w:val="center"/>
          </w:tcPr>
          <w:p w:rsidR="00C17EFE" w:rsidRPr="00A616C3" w:rsidRDefault="00C17EFE" w:rsidP="007B14B1">
            <w:pPr>
              <w:spacing w:after="60"/>
              <w:rPr>
                <w:lang w:val="en-GB"/>
              </w:rPr>
            </w:pPr>
            <w:r w:rsidRPr="00A616C3">
              <w:rPr>
                <w:lang w:val="en-GB"/>
              </w:rPr>
              <w:t>Rhinitis</w:t>
            </w:r>
          </w:p>
        </w:tc>
        <w:tc>
          <w:tcPr>
            <w:tcW w:w="1104" w:type="pct"/>
            <w:shd w:val="clear" w:color="auto" w:fill="auto"/>
            <w:vAlign w:val="center"/>
          </w:tcPr>
          <w:p w:rsidR="00C17EFE" w:rsidRPr="00A616C3" w:rsidRDefault="00C17EFE" w:rsidP="007B14B1">
            <w:pPr>
              <w:spacing w:after="60"/>
              <w:rPr>
                <w:lang w:val="en-GB"/>
              </w:rPr>
            </w:pPr>
            <w:r w:rsidRPr="00A616C3">
              <w:rPr>
                <w:lang w:val="en-GB"/>
              </w:rPr>
              <w:t>Common</w:t>
            </w:r>
          </w:p>
        </w:tc>
      </w:tr>
      <w:tr w:rsidR="00C17EFE" w:rsidRPr="00A616C3" w:rsidTr="00AA67B5">
        <w:trPr>
          <w:trHeight w:val="120"/>
        </w:trPr>
        <w:tc>
          <w:tcPr>
            <w:tcW w:w="1524" w:type="pct"/>
            <w:vMerge/>
          </w:tcPr>
          <w:p w:rsidR="00C17EFE" w:rsidRPr="00A616C3" w:rsidRDefault="00C17EFE" w:rsidP="007B14B1">
            <w:pPr>
              <w:spacing w:after="60"/>
              <w:rPr>
                <w:lang w:val="en-GB"/>
              </w:rPr>
            </w:pPr>
          </w:p>
        </w:tc>
        <w:tc>
          <w:tcPr>
            <w:tcW w:w="2372" w:type="pct"/>
            <w:vAlign w:val="center"/>
          </w:tcPr>
          <w:p w:rsidR="00C17EFE" w:rsidRPr="00A616C3" w:rsidRDefault="00C17EFE" w:rsidP="007B14B1">
            <w:pPr>
              <w:spacing w:after="60"/>
              <w:rPr>
                <w:lang w:val="en-GB"/>
              </w:rPr>
            </w:pPr>
            <w:r w:rsidRPr="00A616C3">
              <w:rPr>
                <w:lang w:val="en-GB"/>
              </w:rPr>
              <w:t>Upper respiratory tract infection</w:t>
            </w:r>
          </w:p>
        </w:tc>
        <w:tc>
          <w:tcPr>
            <w:tcW w:w="1104" w:type="pct"/>
            <w:shd w:val="clear" w:color="auto" w:fill="auto"/>
            <w:vAlign w:val="center"/>
          </w:tcPr>
          <w:p w:rsidR="00C17EFE" w:rsidRPr="00A616C3" w:rsidRDefault="00C17EFE" w:rsidP="007B14B1">
            <w:pPr>
              <w:spacing w:after="60"/>
              <w:rPr>
                <w:lang w:val="en-GB"/>
              </w:rPr>
            </w:pPr>
            <w:r w:rsidRPr="00A616C3">
              <w:rPr>
                <w:lang w:val="en-GB"/>
              </w:rPr>
              <w:t>Common</w:t>
            </w:r>
          </w:p>
        </w:tc>
      </w:tr>
      <w:tr w:rsidR="00C17EFE" w:rsidRPr="00A616C3" w:rsidTr="00AA67B5">
        <w:trPr>
          <w:trHeight w:val="120"/>
        </w:trPr>
        <w:tc>
          <w:tcPr>
            <w:tcW w:w="1524" w:type="pct"/>
            <w:vMerge/>
          </w:tcPr>
          <w:p w:rsidR="00C17EFE" w:rsidRPr="00A616C3" w:rsidRDefault="00C17EFE" w:rsidP="007B14B1">
            <w:pPr>
              <w:spacing w:after="60"/>
              <w:rPr>
                <w:lang w:val="en-GB"/>
              </w:rPr>
            </w:pPr>
          </w:p>
        </w:tc>
        <w:tc>
          <w:tcPr>
            <w:tcW w:w="2372" w:type="pct"/>
            <w:vAlign w:val="center"/>
          </w:tcPr>
          <w:p w:rsidR="00C17EFE" w:rsidRPr="00A616C3" w:rsidRDefault="00C17EFE" w:rsidP="007B14B1">
            <w:pPr>
              <w:spacing w:after="60"/>
              <w:rPr>
                <w:lang w:val="en-GB"/>
              </w:rPr>
            </w:pPr>
            <w:r w:rsidRPr="00A616C3">
              <w:rPr>
                <w:lang w:val="en-GB"/>
              </w:rPr>
              <w:t>Urinary tract infection</w:t>
            </w:r>
          </w:p>
        </w:tc>
        <w:tc>
          <w:tcPr>
            <w:tcW w:w="1104" w:type="pct"/>
            <w:shd w:val="clear" w:color="auto" w:fill="auto"/>
            <w:vAlign w:val="center"/>
          </w:tcPr>
          <w:p w:rsidR="00C17EFE" w:rsidRPr="00A616C3" w:rsidRDefault="00C17EFE" w:rsidP="007B14B1">
            <w:pPr>
              <w:spacing w:after="60"/>
              <w:rPr>
                <w:lang w:val="en-GB"/>
              </w:rPr>
            </w:pPr>
            <w:r w:rsidRPr="00A616C3">
              <w:rPr>
                <w:lang w:val="en-GB"/>
              </w:rPr>
              <w:t>Common</w:t>
            </w:r>
          </w:p>
        </w:tc>
      </w:tr>
      <w:tr w:rsidR="00C17EFE" w:rsidRPr="00A616C3" w:rsidTr="00AA67B5">
        <w:trPr>
          <w:trHeight w:val="193"/>
        </w:trPr>
        <w:tc>
          <w:tcPr>
            <w:tcW w:w="1524" w:type="pct"/>
            <w:vMerge/>
          </w:tcPr>
          <w:p w:rsidR="00C17EFE" w:rsidRPr="00A616C3" w:rsidRDefault="00C17EFE" w:rsidP="007B14B1">
            <w:pPr>
              <w:spacing w:after="60"/>
              <w:rPr>
                <w:lang w:val="en-GB"/>
              </w:rPr>
            </w:pPr>
          </w:p>
        </w:tc>
        <w:tc>
          <w:tcPr>
            <w:tcW w:w="2372" w:type="pct"/>
            <w:vAlign w:val="center"/>
          </w:tcPr>
          <w:p w:rsidR="00C17EFE" w:rsidRPr="00A616C3" w:rsidRDefault="00C17EFE" w:rsidP="007B14B1">
            <w:pPr>
              <w:spacing w:after="60"/>
              <w:rPr>
                <w:lang w:val="en-GB"/>
              </w:rPr>
            </w:pPr>
            <w:r w:rsidRPr="00A616C3">
              <w:rPr>
                <w:lang w:val="en-GB"/>
              </w:rPr>
              <w:t>Erysipelas</w:t>
            </w:r>
          </w:p>
        </w:tc>
        <w:tc>
          <w:tcPr>
            <w:tcW w:w="1104" w:type="pct"/>
            <w:shd w:val="clear" w:color="auto" w:fill="auto"/>
            <w:vAlign w:val="center"/>
          </w:tcPr>
          <w:p w:rsidR="00C17EFE" w:rsidRPr="00A616C3" w:rsidRDefault="00C17EFE" w:rsidP="007B14B1">
            <w:pPr>
              <w:spacing w:after="60"/>
              <w:rPr>
                <w:lang w:val="en-GB"/>
              </w:rPr>
            </w:pPr>
            <w:r w:rsidRPr="00A616C3">
              <w:rPr>
                <w:lang w:val="en-GB"/>
              </w:rPr>
              <w:t>Common</w:t>
            </w:r>
          </w:p>
        </w:tc>
      </w:tr>
      <w:tr w:rsidR="00C17EFE" w:rsidRPr="00A616C3" w:rsidTr="00AA67B5">
        <w:trPr>
          <w:trHeight w:val="193"/>
        </w:trPr>
        <w:tc>
          <w:tcPr>
            <w:tcW w:w="1524" w:type="pct"/>
            <w:vMerge/>
          </w:tcPr>
          <w:p w:rsidR="00C17EFE" w:rsidRPr="00A616C3" w:rsidRDefault="00C17EFE" w:rsidP="007B14B1">
            <w:pPr>
              <w:spacing w:after="60"/>
              <w:rPr>
                <w:lang w:val="en-GB"/>
              </w:rPr>
            </w:pPr>
          </w:p>
        </w:tc>
        <w:tc>
          <w:tcPr>
            <w:tcW w:w="2372" w:type="pct"/>
            <w:vAlign w:val="center"/>
          </w:tcPr>
          <w:p w:rsidR="00C17EFE" w:rsidRPr="00A616C3" w:rsidRDefault="00C17EFE" w:rsidP="007B14B1">
            <w:pPr>
              <w:spacing w:after="60"/>
              <w:rPr>
                <w:lang w:val="en-GB"/>
              </w:rPr>
            </w:pPr>
            <w:r w:rsidRPr="00A616C3">
              <w:rPr>
                <w:lang w:val="en-GB"/>
              </w:rPr>
              <w:t>Cellulitis</w:t>
            </w:r>
          </w:p>
        </w:tc>
        <w:tc>
          <w:tcPr>
            <w:tcW w:w="1104" w:type="pct"/>
            <w:shd w:val="clear" w:color="auto" w:fill="auto"/>
            <w:vAlign w:val="center"/>
          </w:tcPr>
          <w:p w:rsidR="00C17EFE" w:rsidRPr="00A616C3" w:rsidRDefault="00C17EFE" w:rsidP="007B14B1">
            <w:pPr>
              <w:spacing w:after="60"/>
              <w:rPr>
                <w:lang w:val="en-GB"/>
              </w:rPr>
            </w:pPr>
            <w:r w:rsidRPr="00A616C3">
              <w:rPr>
                <w:lang w:val="en-GB"/>
              </w:rPr>
              <w:t>Common</w:t>
            </w:r>
          </w:p>
        </w:tc>
      </w:tr>
      <w:tr w:rsidR="00C17EFE" w:rsidRPr="00A616C3" w:rsidTr="00AA67B5">
        <w:trPr>
          <w:trHeight w:val="193"/>
        </w:trPr>
        <w:tc>
          <w:tcPr>
            <w:tcW w:w="1524" w:type="pct"/>
            <w:vMerge/>
          </w:tcPr>
          <w:p w:rsidR="00C17EFE" w:rsidRPr="00A616C3" w:rsidRDefault="00C17EFE" w:rsidP="007B14B1">
            <w:pPr>
              <w:spacing w:after="60"/>
              <w:rPr>
                <w:lang w:val="en-GB"/>
              </w:rPr>
            </w:pPr>
          </w:p>
        </w:tc>
        <w:tc>
          <w:tcPr>
            <w:tcW w:w="2372" w:type="pct"/>
            <w:vAlign w:val="center"/>
          </w:tcPr>
          <w:p w:rsidR="00C17EFE" w:rsidRPr="00A616C3" w:rsidRDefault="00C17EFE" w:rsidP="007B14B1">
            <w:pPr>
              <w:spacing w:after="60"/>
              <w:rPr>
                <w:lang w:val="en-GB"/>
              </w:rPr>
            </w:pPr>
            <w:r w:rsidRPr="00A616C3">
              <w:rPr>
                <w:lang w:val="en-GB"/>
              </w:rPr>
              <w:t>Sepsis</w:t>
            </w:r>
          </w:p>
        </w:tc>
        <w:tc>
          <w:tcPr>
            <w:tcW w:w="1104" w:type="pct"/>
            <w:shd w:val="clear" w:color="auto" w:fill="auto"/>
            <w:vAlign w:val="center"/>
          </w:tcPr>
          <w:p w:rsidR="00C17EFE" w:rsidRPr="00A616C3" w:rsidRDefault="00C17EFE" w:rsidP="007B14B1">
            <w:pPr>
              <w:spacing w:after="60"/>
              <w:rPr>
                <w:lang w:val="en-GB"/>
              </w:rPr>
            </w:pPr>
            <w:r w:rsidRPr="00A616C3">
              <w:rPr>
                <w:lang w:val="en-GB"/>
              </w:rPr>
              <w:t>Uncommon</w:t>
            </w:r>
          </w:p>
        </w:tc>
      </w:tr>
      <w:tr w:rsidR="007A2323" w:rsidRPr="00A616C3" w:rsidTr="00AA67B5">
        <w:trPr>
          <w:trHeight w:val="377"/>
        </w:trPr>
        <w:tc>
          <w:tcPr>
            <w:tcW w:w="1524" w:type="pct"/>
            <w:vMerge w:val="restart"/>
          </w:tcPr>
          <w:p w:rsidR="007A2323" w:rsidRPr="00A616C3" w:rsidRDefault="007A2323" w:rsidP="00524712">
            <w:pPr>
              <w:spacing w:after="60"/>
              <w:rPr>
                <w:lang w:val="en-GB"/>
              </w:rPr>
            </w:pPr>
            <w:r w:rsidRPr="00A616C3">
              <w:rPr>
                <w:lang w:val="en-GB"/>
              </w:rPr>
              <w:t>Neoplasms benign, malignant and unspecified (incl. Cysts and polyps)</w:t>
            </w:r>
          </w:p>
        </w:tc>
        <w:tc>
          <w:tcPr>
            <w:tcW w:w="2372" w:type="pct"/>
            <w:vAlign w:val="center"/>
          </w:tcPr>
          <w:p w:rsidR="007A2323" w:rsidRPr="00A616C3" w:rsidRDefault="007A2323" w:rsidP="007B14B1">
            <w:pPr>
              <w:spacing w:after="60"/>
              <w:rPr>
                <w:lang w:val="en-GB"/>
              </w:rPr>
            </w:pPr>
            <w:r w:rsidRPr="00A616C3">
              <w:rPr>
                <w:lang w:val="en-GB"/>
              </w:rPr>
              <w:t>Malignant neoplasm progression</w:t>
            </w:r>
          </w:p>
        </w:tc>
        <w:tc>
          <w:tcPr>
            <w:tcW w:w="1104" w:type="pct"/>
            <w:shd w:val="clear" w:color="auto" w:fill="auto"/>
            <w:vAlign w:val="center"/>
          </w:tcPr>
          <w:p w:rsidR="007A2323" w:rsidRPr="00A616C3" w:rsidRDefault="007A2323" w:rsidP="007B14B1">
            <w:pPr>
              <w:spacing w:after="60"/>
              <w:rPr>
                <w:lang w:val="en-GB"/>
              </w:rPr>
            </w:pPr>
            <w:r w:rsidRPr="00A616C3">
              <w:rPr>
                <w:lang w:val="en-GB"/>
              </w:rPr>
              <w:t>Not known</w:t>
            </w:r>
          </w:p>
        </w:tc>
      </w:tr>
      <w:tr w:rsidR="007A2323" w:rsidRPr="00A616C3" w:rsidTr="00AA67B5">
        <w:trPr>
          <w:trHeight w:val="523"/>
        </w:trPr>
        <w:tc>
          <w:tcPr>
            <w:tcW w:w="1524" w:type="pct"/>
            <w:vMerge/>
          </w:tcPr>
          <w:p w:rsidR="007A2323" w:rsidRPr="00A616C3" w:rsidRDefault="007A2323" w:rsidP="007B14B1">
            <w:pPr>
              <w:spacing w:after="60"/>
              <w:rPr>
                <w:lang w:val="en-GB"/>
              </w:rPr>
            </w:pPr>
          </w:p>
        </w:tc>
        <w:tc>
          <w:tcPr>
            <w:tcW w:w="2372" w:type="pct"/>
            <w:vAlign w:val="center"/>
          </w:tcPr>
          <w:p w:rsidR="007A2323" w:rsidRPr="00A616C3" w:rsidRDefault="007A2323" w:rsidP="007B14B1">
            <w:pPr>
              <w:spacing w:after="60"/>
              <w:rPr>
                <w:lang w:val="en-GB"/>
              </w:rPr>
            </w:pPr>
            <w:r w:rsidRPr="00A616C3">
              <w:rPr>
                <w:lang w:val="en-GB"/>
              </w:rPr>
              <w:t>Neoplasm progression</w:t>
            </w:r>
          </w:p>
        </w:tc>
        <w:tc>
          <w:tcPr>
            <w:tcW w:w="1104" w:type="pct"/>
            <w:shd w:val="clear" w:color="auto" w:fill="auto"/>
            <w:vAlign w:val="center"/>
          </w:tcPr>
          <w:p w:rsidR="007A2323" w:rsidRPr="00A616C3" w:rsidRDefault="007A2323" w:rsidP="007B14B1">
            <w:pPr>
              <w:spacing w:after="60"/>
              <w:rPr>
                <w:lang w:val="en-GB"/>
              </w:rPr>
            </w:pPr>
            <w:r w:rsidRPr="00A616C3">
              <w:rPr>
                <w:lang w:val="en-GB"/>
              </w:rPr>
              <w:t>Not known</w:t>
            </w:r>
          </w:p>
        </w:tc>
      </w:tr>
      <w:tr w:rsidR="00255A4A" w:rsidRPr="00A616C3" w:rsidTr="00AA67B5">
        <w:trPr>
          <w:trHeight w:val="319"/>
        </w:trPr>
        <w:tc>
          <w:tcPr>
            <w:tcW w:w="1524" w:type="pct"/>
            <w:vMerge w:val="restart"/>
          </w:tcPr>
          <w:p w:rsidR="00255A4A" w:rsidRPr="00A616C3" w:rsidRDefault="00255A4A" w:rsidP="007B14B1">
            <w:pPr>
              <w:spacing w:after="60"/>
              <w:rPr>
                <w:lang w:val="en-GB"/>
              </w:rPr>
            </w:pPr>
            <w:r w:rsidRPr="00A616C3">
              <w:rPr>
                <w:lang w:val="en-GB"/>
              </w:rPr>
              <w:t>Blood and lymphatic system disorders</w:t>
            </w:r>
          </w:p>
          <w:p w:rsidR="00255A4A" w:rsidRPr="00A616C3" w:rsidRDefault="00255A4A" w:rsidP="007B14B1">
            <w:pPr>
              <w:spacing w:after="60"/>
              <w:rPr>
                <w:lang w:val="en-GB"/>
              </w:rPr>
            </w:pPr>
          </w:p>
          <w:p w:rsidR="00255A4A" w:rsidRPr="00A616C3" w:rsidRDefault="00255A4A" w:rsidP="007B14B1">
            <w:pPr>
              <w:spacing w:after="60"/>
              <w:rPr>
                <w:lang w:val="en-GB"/>
              </w:rPr>
            </w:pPr>
          </w:p>
          <w:p w:rsidR="00255A4A" w:rsidRPr="00A616C3" w:rsidRDefault="00255A4A" w:rsidP="007B14B1">
            <w:pPr>
              <w:spacing w:after="60"/>
              <w:rPr>
                <w:lang w:val="en-GB"/>
              </w:rPr>
            </w:pPr>
          </w:p>
          <w:p w:rsidR="00255A4A" w:rsidRPr="00A616C3" w:rsidRDefault="00255A4A" w:rsidP="007B14B1">
            <w:pPr>
              <w:spacing w:after="60"/>
              <w:rPr>
                <w:lang w:val="en-GB"/>
              </w:rPr>
            </w:pPr>
          </w:p>
        </w:tc>
        <w:tc>
          <w:tcPr>
            <w:tcW w:w="2372" w:type="pct"/>
            <w:vAlign w:val="center"/>
          </w:tcPr>
          <w:p w:rsidR="00255A4A" w:rsidRPr="00A616C3" w:rsidRDefault="00255A4A" w:rsidP="00476E3B">
            <w:pPr>
              <w:spacing w:after="60"/>
              <w:rPr>
                <w:lang w:val="en-GB"/>
              </w:rPr>
            </w:pPr>
            <w:r w:rsidRPr="00A616C3">
              <w:rPr>
                <w:lang w:val="en-GB"/>
              </w:rPr>
              <w:t>Febrile neutropenia</w:t>
            </w:r>
          </w:p>
        </w:tc>
        <w:tc>
          <w:tcPr>
            <w:tcW w:w="1104" w:type="pct"/>
            <w:shd w:val="clear" w:color="auto" w:fill="auto"/>
            <w:vAlign w:val="center"/>
          </w:tcPr>
          <w:p w:rsidR="00255A4A" w:rsidRPr="00A616C3" w:rsidRDefault="00255A4A" w:rsidP="00385DAD">
            <w:pPr>
              <w:spacing w:after="60"/>
              <w:rPr>
                <w:lang w:val="en-GB"/>
              </w:rPr>
            </w:pPr>
            <w:r w:rsidRPr="00A616C3">
              <w:rPr>
                <w:lang w:val="en-GB"/>
              </w:rPr>
              <w:t xml:space="preserve">Very common </w:t>
            </w:r>
          </w:p>
        </w:tc>
      </w:tr>
      <w:tr w:rsidR="00255A4A" w:rsidRPr="00A616C3" w:rsidTr="00AA67B5">
        <w:trPr>
          <w:trHeight w:val="319"/>
        </w:trPr>
        <w:tc>
          <w:tcPr>
            <w:tcW w:w="1524" w:type="pct"/>
            <w:vMerge/>
          </w:tcPr>
          <w:p w:rsidR="00255A4A" w:rsidRPr="00A616C3" w:rsidRDefault="00255A4A" w:rsidP="007B14B1">
            <w:pPr>
              <w:spacing w:after="60"/>
              <w:rPr>
                <w:lang w:val="en-GB"/>
              </w:rPr>
            </w:pPr>
          </w:p>
        </w:tc>
        <w:tc>
          <w:tcPr>
            <w:tcW w:w="2372" w:type="pct"/>
            <w:vAlign w:val="center"/>
          </w:tcPr>
          <w:p w:rsidR="00255A4A" w:rsidRPr="00A616C3" w:rsidRDefault="00255A4A" w:rsidP="007B14B1">
            <w:pPr>
              <w:spacing w:after="60"/>
              <w:rPr>
                <w:lang w:val="en-GB"/>
              </w:rPr>
            </w:pPr>
            <w:r w:rsidRPr="00A616C3">
              <w:rPr>
                <w:lang w:val="en-GB"/>
              </w:rPr>
              <w:t>Anaemia</w:t>
            </w:r>
          </w:p>
        </w:tc>
        <w:tc>
          <w:tcPr>
            <w:tcW w:w="1104" w:type="pct"/>
            <w:shd w:val="clear" w:color="auto" w:fill="auto"/>
            <w:vAlign w:val="center"/>
          </w:tcPr>
          <w:p w:rsidR="00255A4A" w:rsidRPr="00A616C3" w:rsidRDefault="00255A4A" w:rsidP="007B14B1">
            <w:pPr>
              <w:spacing w:after="60"/>
              <w:rPr>
                <w:lang w:val="en-GB"/>
              </w:rPr>
            </w:pPr>
            <w:r w:rsidRPr="00A616C3">
              <w:rPr>
                <w:lang w:val="en-GB"/>
              </w:rPr>
              <w:t>Very common</w:t>
            </w:r>
          </w:p>
        </w:tc>
      </w:tr>
      <w:tr w:rsidR="00255A4A" w:rsidRPr="00A616C3" w:rsidTr="00AA67B5">
        <w:trPr>
          <w:trHeight w:val="128"/>
        </w:trPr>
        <w:tc>
          <w:tcPr>
            <w:tcW w:w="1524" w:type="pct"/>
            <w:vMerge/>
          </w:tcPr>
          <w:p w:rsidR="00255A4A" w:rsidRPr="00A616C3" w:rsidRDefault="00255A4A" w:rsidP="007B14B1">
            <w:pPr>
              <w:spacing w:after="60"/>
              <w:rPr>
                <w:lang w:val="en-GB"/>
              </w:rPr>
            </w:pPr>
          </w:p>
        </w:tc>
        <w:tc>
          <w:tcPr>
            <w:tcW w:w="2372" w:type="pct"/>
            <w:vAlign w:val="center"/>
          </w:tcPr>
          <w:p w:rsidR="00255A4A" w:rsidRPr="00A616C3" w:rsidRDefault="00255A4A" w:rsidP="007B14B1">
            <w:pPr>
              <w:spacing w:after="60"/>
              <w:rPr>
                <w:lang w:val="en-GB"/>
              </w:rPr>
            </w:pPr>
            <w:r w:rsidRPr="00A616C3">
              <w:rPr>
                <w:lang w:val="en-GB"/>
              </w:rPr>
              <w:t>Thrombocytopenia</w:t>
            </w:r>
          </w:p>
        </w:tc>
        <w:tc>
          <w:tcPr>
            <w:tcW w:w="1104" w:type="pct"/>
            <w:shd w:val="clear" w:color="auto" w:fill="auto"/>
            <w:vAlign w:val="center"/>
          </w:tcPr>
          <w:p w:rsidR="00255A4A" w:rsidRPr="00A616C3" w:rsidRDefault="00255A4A" w:rsidP="007B14B1">
            <w:pPr>
              <w:spacing w:after="60"/>
              <w:rPr>
                <w:lang w:val="en-GB"/>
              </w:rPr>
            </w:pPr>
            <w:r w:rsidRPr="00A616C3">
              <w:rPr>
                <w:lang w:val="en-GB"/>
              </w:rPr>
              <w:t>Very common</w:t>
            </w:r>
          </w:p>
        </w:tc>
      </w:tr>
      <w:tr w:rsidR="00255A4A" w:rsidRPr="00A616C3" w:rsidTr="00421637">
        <w:trPr>
          <w:trHeight w:val="305"/>
        </w:trPr>
        <w:tc>
          <w:tcPr>
            <w:tcW w:w="1524" w:type="pct"/>
            <w:vMerge/>
          </w:tcPr>
          <w:p w:rsidR="00255A4A" w:rsidRPr="00A616C3" w:rsidRDefault="00255A4A" w:rsidP="007B14B1">
            <w:pPr>
              <w:spacing w:after="60"/>
              <w:rPr>
                <w:lang w:val="en-GB"/>
              </w:rPr>
            </w:pPr>
          </w:p>
        </w:tc>
        <w:tc>
          <w:tcPr>
            <w:tcW w:w="2372" w:type="pct"/>
            <w:vAlign w:val="center"/>
          </w:tcPr>
          <w:p w:rsidR="00255A4A" w:rsidRPr="00A616C3" w:rsidRDefault="00255A4A" w:rsidP="007B14B1">
            <w:pPr>
              <w:spacing w:after="60"/>
              <w:rPr>
                <w:lang w:val="en-GB"/>
              </w:rPr>
            </w:pPr>
            <w:r w:rsidRPr="00A616C3">
              <w:rPr>
                <w:lang w:val="en-GB"/>
              </w:rPr>
              <w:t>White blood cell count decreased / leukopenia</w:t>
            </w:r>
          </w:p>
        </w:tc>
        <w:tc>
          <w:tcPr>
            <w:tcW w:w="1104" w:type="pct"/>
            <w:shd w:val="clear" w:color="auto" w:fill="auto"/>
            <w:vAlign w:val="center"/>
          </w:tcPr>
          <w:p w:rsidR="00255A4A" w:rsidRPr="00A616C3" w:rsidRDefault="00255A4A" w:rsidP="007B14B1">
            <w:pPr>
              <w:spacing w:after="60"/>
              <w:rPr>
                <w:lang w:val="en-GB"/>
              </w:rPr>
            </w:pPr>
            <w:r w:rsidRPr="00A616C3">
              <w:rPr>
                <w:lang w:val="en-GB"/>
              </w:rPr>
              <w:t>Very common</w:t>
            </w:r>
          </w:p>
        </w:tc>
      </w:tr>
      <w:tr w:rsidR="00255A4A" w:rsidRPr="00A616C3" w:rsidTr="00421637">
        <w:trPr>
          <w:trHeight w:val="255"/>
        </w:trPr>
        <w:tc>
          <w:tcPr>
            <w:tcW w:w="1524" w:type="pct"/>
            <w:vMerge/>
          </w:tcPr>
          <w:p w:rsidR="00255A4A" w:rsidRPr="00A616C3" w:rsidRDefault="00255A4A" w:rsidP="007B14B1">
            <w:pPr>
              <w:spacing w:after="60"/>
              <w:rPr>
                <w:lang w:val="en-GB"/>
              </w:rPr>
            </w:pPr>
          </w:p>
        </w:tc>
        <w:tc>
          <w:tcPr>
            <w:tcW w:w="2372" w:type="pct"/>
            <w:vAlign w:val="center"/>
          </w:tcPr>
          <w:p w:rsidR="00255A4A" w:rsidRPr="00A616C3" w:rsidRDefault="00255A4A" w:rsidP="007B14B1">
            <w:pPr>
              <w:spacing w:after="60"/>
              <w:rPr>
                <w:lang w:val="en-GB"/>
              </w:rPr>
            </w:pPr>
            <w:r w:rsidRPr="00A616C3">
              <w:rPr>
                <w:lang w:val="en-GB"/>
              </w:rPr>
              <w:t>Neutropenia</w:t>
            </w:r>
          </w:p>
        </w:tc>
        <w:tc>
          <w:tcPr>
            <w:tcW w:w="1104" w:type="pct"/>
            <w:shd w:val="clear" w:color="auto" w:fill="auto"/>
            <w:vAlign w:val="center"/>
          </w:tcPr>
          <w:p w:rsidR="00255A4A" w:rsidRPr="00A616C3" w:rsidRDefault="00255A4A" w:rsidP="007B14B1">
            <w:pPr>
              <w:spacing w:after="60"/>
              <w:rPr>
                <w:lang w:val="en-GB"/>
              </w:rPr>
            </w:pPr>
            <w:r w:rsidRPr="00A616C3">
              <w:rPr>
                <w:lang w:val="en-GB"/>
              </w:rPr>
              <w:t>Common</w:t>
            </w:r>
          </w:p>
        </w:tc>
      </w:tr>
      <w:tr w:rsidR="00255A4A" w:rsidRPr="00A616C3" w:rsidTr="00421637">
        <w:trPr>
          <w:trHeight w:val="357"/>
        </w:trPr>
        <w:tc>
          <w:tcPr>
            <w:tcW w:w="1524" w:type="pct"/>
            <w:vMerge/>
          </w:tcPr>
          <w:p w:rsidR="00255A4A" w:rsidRPr="00A616C3" w:rsidRDefault="00255A4A" w:rsidP="007B14B1">
            <w:pPr>
              <w:spacing w:after="60"/>
              <w:rPr>
                <w:lang w:val="en-GB"/>
              </w:rPr>
            </w:pPr>
          </w:p>
        </w:tc>
        <w:tc>
          <w:tcPr>
            <w:tcW w:w="2372" w:type="pct"/>
            <w:vAlign w:val="center"/>
          </w:tcPr>
          <w:p w:rsidR="00255A4A" w:rsidRPr="00A616C3" w:rsidRDefault="00255A4A" w:rsidP="007B14B1">
            <w:pPr>
              <w:spacing w:after="60"/>
              <w:rPr>
                <w:lang w:val="en-GB"/>
              </w:rPr>
            </w:pPr>
            <w:proofErr w:type="spellStart"/>
            <w:r w:rsidRPr="00A616C3">
              <w:rPr>
                <w:lang w:val="en-GB"/>
              </w:rPr>
              <w:t>Hypoprothrombinaemia</w:t>
            </w:r>
            <w:proofErr w:type="spellEnd"/>
          </w:p>
        </w:tc>
        <w:tc>
          <w:tcPr>
            <w:tcW w:w="1104" w:type="pct"/>
            <w:shd w:val="clear" w:color="auto" w:fill="auto"/>
            <w:vAlign w:val="center"/>
          </w:tcPr>
          <w:p w:rsidR="00255A4A" w:rsidRPr="00A616C3" w:rsidRDefault="00255A4A" w:rsidP="007B14B1">
            <w:pPr>
              <w:spacing w:after="60"/>
              <w:rPr>
                <w:lang w:val="en-GB"/>
              </w:rPr>
            </w:pPr>
            <w:r w:rsidRPr="00A616C3">
              <w:rPr>
                <w:lang w:val="en-GB"/>
              </w:rPr>
              <w:t>Not known</w:t>
            </w:r>
          </w:p>
        </w:tc>
      </w:tr>
      <w:tr w:rsidR="00255A4A" w:rsidRPr="00A616C3" w:rsidTr="00421637">
        <w:trPr>
          <w:trHeight w:val="357"/>
        </w:trPr>
        <w:tc>
          <w:tcPr>
            <w:tcW w:w="1524" w:type="pct"/>
            <w:vMerge/>
          </w:tcPr>
          <w:p w:rsidR="00255A4A" w:rsidRPr="00A616C3" w:rsidRDefault="00255A4A" w:rsidP="007B14B1">
            <w:pPr>
              <w:spacing w:after="60"/>
              <w:rPr>
                <w:lang w:val="en-GB"/>
              </w:rPr>
            </w:pPr>
          </w:p>
        </w:tc>
        <w:tc>
          <w:tcPr>
            <w:tcW w:w="2372" w:type="pct"/>
            <w:vAlign w:val="center"/>
          </w:tcPr>
          <w:p w:rsidR="00255A4A" w:rsidRPr="00A616C3" w:rsidRDefault="00255A4A" w:rsidP="007B14B1">
            <w:pPr>
              <w:spacing w:after="60"/>
              <w:rPr>
                <w:lang w:val="en-GB"/>
              </w:rPr>
            </w:pPr>
            <w:r>
              <w:rPr>
                <w:lang w:val="en-GB"/>
              </w:rPr>
              <w:t>Immune Thrombocytopenia</w:t>
            </w:r>
          </w:p>
        </w:tc>
        <w:tc>
          <w:tcPr>
            <w:tcW w:w="1104" w:type="pct"/>
            <w:shd w:val="clear" w:color="auto" w:fill="auto"/>
            <w:vAlign w:val="center"/>
          </w:tcPr>
          <w:p w:rsidR="00255A4A" w:rsidRPr="00A616C3" w:rsidRDefault="00255A4A" w:rsidP="007B14B1">
            <w:pPr>
              <w:spacing w:after="60"/>
              <w:rPr>
                <w:lang w:val="en-GB"/>
              </w:rPr>
            </w:pPr>
            <w:r>
              <w:rPr>
                <w:lang w:val="en-GB"/>
              </w:rPr>
              <w:t>Not known</w:t>
            </w:r>
          </w:p>
        </w:tc>
      </w:tr>
      <w:tr w:rsidR="007A2323" w:rsidRPr="00A616C3" w:rsidTr="00AA67B5">
        <w:trPr>
          <w:trHeight w:val="107"/>
        </w:trPr>
        <w:tc>
          <w:tcPr>
            <w:tcW w:w="1524" w:type="pct"/>
            <w:vMerge w:val="restart"/>
          </w:tcPr>
          <w:p w:rsidR="007A2323" w:rsidRPr="00A616C3" w:rsidRDefault="007A2323" w:rsidP="007B14B1">
            <w:pPr>
              <w:spacing w:after="60"/>
              <w:rPr>
                <w:lang w:val="en-GB"/>
              </w:rPr>
            </w:pPr>
            <w:r w:rsidRPr="00A616C3">
              <w:rPr>
                <w:lang w:val="en-GB"/>
              </w:rPr>
              <w:t>Immune system disorders</w:t>
            </w:r>
          </w:p>
          <w:p w:rsidR="007A2323" w:rsidRPr="00A616C3" w:rsidRDefault="007A2323" w:rsidP="007B14B1">
            <w:pPr>
              <w:spacing w:after="60"/>
              <w:rPr>
                <w:lang w:val="en-GB"/>
              </w:rPr>
            </w:pPr>
          </w:p>
          <w:p w:rsidR="007A2323" w:rsidRPr="00A616C3" w:rsidRDefault="007A2323" w:rsidP="007B14B1">
            <w:pPr>
              <w:spacing w:after="60"/>
              <w:rPr>
                <w:lang w:val="en-GB"/>
              </w:rPr>
            </w:pPr>
          </w:p>
        </w:tc>
        <w:tc>
          <w:tcPr>
            <w:tcW w:w="2372" w:type="pct"/>
            <w:vAlign w:val="center"/>
          </w:tcPr>
          <w:p w:rsidR="007A2323" w:rsidRPr="00A616C3" w:rsidRDefault="007A2323" w:rsidP="007B14B1">
            <w:pPr>
              <w:spacing w:after="60"/>
              <w:rPr>
                <w:lang w:val="en-GB"/>
              </w:rPr>
            </w:pPr>
            <w:r w:rsidRPr="00A616C3">
              <w:rPr>
                <w:lang w:val="en-GB"/>
              </w:rPr>
              <w:t>Hypersensitivity</w:t>
            </w:r>
          </w:p>
        </w:tc>
        <w:tc>
          <w:tcPr>
            <w:tcW w:w="1104" w:type="pct"/>
            <w:shd w:val="clear" w:color="auto" w:fill="auto"/>
            <w:vAlign w:val="center"/>
          </w:tcPr>
          <w:p w:rsidR="007A2323" w:rsidRPr="00A616C3" w:rsidRDefault="007A2323" w:rsidP="007B14B1">
            <w:pPr>
              <w:spacing w:after="60"/>
              <w:rPr>
                <w:lang w:val="en-GB"/>
              </w:rPr>
            </w:pPr>
            <w:r w:rsidRPr="00A616C3">
              <w:rPr>
                <w:lang w:val="en-GB"/>
              </w:rPr>
              <w:t>Common</w:t>
            </w:r>
          </w:p>
        </w:tc>
      </w:tr>
      <w:tr w:rsidR="007A2323" w:rsidRPr="00A616C3" w:rsidTr="00AA67B5">
        <w:trPr>
          <w:trHeight w:val="233"/>
        </w:trPr>
        <w:tc>
          <w:tcPr>
            <w:tcW w:w="1524" w:type="pct"/>
            <w:vMerge/>
          </w:tcPr>
          <w:p w:rsidR="007A2323" w:rsidRPr="00A616C3" w:rsidRDefault="007A2323" w:rsidP="007B14B1">
            <w:pPr>
              <w:spacing w:after="60"/>
              <w:rPr>
                <w:lang w:val="en-GB"/>
              </w:rPr>
            </w:pPr>
          </w:p>
        </w:tc>
        <w:tc>
          <w:tcPr>
            <w:tcW w:w="2372" w:type="pct"/>
            <w:vAlign w:val="center"/>
          </w:tcPr>
          <w:p w:rsidR="007A2323" w:rsidRPr="00A616C3" w:rsidRDefault="00CB46A6" w:rsidP="007B14B1">
            <w:pPr>
              <w:spacing w:after="60"/>
              <w:rPr>
                <w:lang w:val="en-GB"/>
              </w:rPr>
            </w:pPr>
            <w:r w:rsidRPr="00A616C3">
              <w:rPr>
                <w:rFonts w:ascii="Times New Roman Bold" w:hAnsi="Times New Roman Bold"/>
                <w:b/>
                <w:vertAlign w:val="superscript"/>
                <w:lang w:val="en-GB"/>
              </w:rPr>
              <w:t>2</w:t>
            </w:r>
            <w:r w:rsidR="007A2323" w:rsidRPr="00A616C3">
              <w:rPr>
                <w:lang w:val="en-GB"/>
              </w:rPr>
              <w:t>Anaphylactic reaction</w:t>
            </w:r>
          </w:p>
        </w:tc>
        <w:tc>
          <w:tcPr>
            <w:tcW w:w="1104" w:type="pct"/>
            <w:shd w:val="clear" w:color="auto" w:fill="auto"/>
            <w:vAlign w:val="center"/>
          </w:tcPr>
          <w:p w:rsidR="007A2323" w:rsidRPr="00A616C3" w:rsidRDefault="007A2323" w:rsidP="007B14B1">
            <w:pPr>
              <w:spacing w:after="60"/>
              <w:rPr>
                <w:lang w:val="en-GB"/>
              </w:rPr>
            </w:pPr>
            <w:r w:rsidRPr="00A616C3">
              <w:rPr>
                <w:lang w:val="en-GB"/>
              </w:rPr>
              <w:t>Not known</w:t>
            </w:r>
          </w:p>
        </w:tc>
      </w:tr>
      <w:tr w:rsidR="007A2323" w:rsidRPr="00A616C3" w:rsidTr="00AA67B5">
        <w:trPr>
          <w:trHeight w:val="233"/>
        </w:trPr>
        <w:tc>
          <w:tcPr>
            <w:tcW w:w="1524" w:type="pct"/>
            <w:vMerge/>
          </w:tcPr>
          <w:p w:rsidR="007A2323" w:rsidRPr="00A616C3" w:rsidRDefault="007A2323" w:rsidP="007B14B1">
            <w:pPr>
              <w:spacing w:after="60"/>
              <w:rPr>
                <w:lang w:val="en-GB"/>
              </w:rPr>
            </w:pPr>
          </w:p>
        </w:tc>
        <w:tc>
          <w:tcPr>
            <w:tcW w:w="2372" w:type="pct"/>
            <w:vAlign w:val="center"/>
          </w:tcPr>
          <w:p w:rsidR="007A2323" w:rsidRPr="00A616C3" w:rsidRDefault="00CB46A6" w:rsidP="007B14B1">
            <w:pPr>
              <w:spacing w:after="60"/>
              <w:rPr>
                <w:lang w:val="en-GB"/>
              </w:rPr>
            </w:pPr>
            <w:r w:rsidRPr="00A616C3">
              <w:rPr>
                <w:rFonts w:ascii="Times New Roman Bold" w:hAnsi="Times New Roman Bold"/>
                <w:b/>
                <w:vertAlign w:val="superscript"/>
                <w:lang w:val="en-GB"/>
              </w:rPr>
              <w:t>2</w:t>
            </w:r>
            <w:r w:rsidR="007A2323" w:rsidRPr="00A616C3">
              <w:rPr>
                <w:lang w:val="en-GB"/>
              </w:rPr>
              <w:t>Anaphylactic shock</w:t>
            </w:r>
          </w:p>
        </w:tc>
        <w:tc>
          <w:tcPr>
            <w:tcW w:w="1104" w:type="pct"/>
            <w:shd w:val="clear" w:color="auto" w:fill="auto"/>
            <w:vAlign w:val="center"/>
          </w:tcPr>
          <w:p w:rsidR="007A2323" w:rsidRPr="00A616C3" w:rsidRDefault="007A2323" w:rsidP="007B14B1">
            <w:pPr>
              <w:spacing w:after="60"/>
              <w:rPr>
                <w:lang w:val="en-GB"/>
              </w:rPr>
            </w:pPr>
            <w:r w:rsidRPr="00A616C3">
              <w:rPr>
                <w:lang w:val="en-GB"/>
              </w:rPr>
              <w:t>Not known</w:t>
            </w:r>
          </w:p>
        </w:tc>
      </w:tr>
      <w:tr w:rsidR="00013D11" w:rsidRPr="00A616C3" w:rsidTr="00AA67B5">
        <w:trPr>
          <w:trHeight w:val="233"/>
        </w:trPr>
        <w:tc>
          <w:tcPr>
            <w:tcW w:w="1524" w:type="pct"/>
            <w:vMerge w:val="restart"/>
          </w:tcPr>
          <w:p w:rsidR="00013D11" w:rsidRPr="00A616C3" w:rsidRDefault="00013D11" w:rsidP="007B14B1">
            <w:pPr>
              <w:keepNext/>
              <w:spacing w:after="60"/>
              <w:rPr>
                <w:lang w:val="en-GB"/>
              </w:rPr>
            </w:pPr>
            <w:r w:rsidRPr="00A616C3">
              <w:rPr>
                <w:lang w:val="en-GB"/>
              </w:rPr>
              <w:t>Metabolism and nutrition disorders</w:t>
            </w:r>
          </w:p>
          <w:p w:rsidR="00013D11" w:rsidRPr="00A616C3" w:rsidRDefault="00013D11" w:rsidP="007B14B1">
            <w:pPr>
              <w:spacing w:after="60"/>
              <w:rPr>
                <w:lang w:val="en-GB"/>
              </w:rPr>
            </w:pPr>
          </w:p>
          <w:p w:rsidR="00013D11" w:rsidRPr="00A616C3" w:rsidRDefault="00013D11" w:rsidP="007B14B1">
            <w:pPr>
              <w:spacing w:after="60"/>
              <w:rPr>
                <w:lang w:val="en-GB"/>
              </w:rPr>
            </w:pPr>
          </w:p>
        </w:tc>
        <w:tc>
          <w:tcPr>
            <w:tcW w:w="2372" w:type="pct"/>
            <w:vAlign w:val="center"/>
          </w:tcPr>
          <w:p w:rsidR="00013D11" w:rsidRPr="00A616C3" w:rsidRDefault="00013D11" w:rsidP="007B14B1">
            <w:pPr>
              <w:keepNext/>
              <w:spacing w:after="60"/>
              <w:rPr>
                <w:lang w:val="en-GB"/>
              </w:rPr>
            </w:pPr>
            <w:r w:rsidRPr="00A616C3">
              <w:rPr>
                <w:lang w:val="en-GB"/>
              </w:rPr>
              <w:t>Weight Decreased/Weight Loss</w:t>
            </w:r>
          </w:p>
        </w:tc>
        <w:tc>
          <w:tcPr>
            <w:tcW w:w="1104" w:type="pct"/>
            <w:shd w:val="clear" w:color="auto" w:fill="auto"/>
            <w:vAlign w:val="center"/>
          </w:tcPr>
          <w:p w:rsidR="00013D11" w:rsidRPr="00A616C3" w:rsidRDefault="0023020F" w:rsidP="007B14B1">
            <w:pPr>
              <w:keepNext/>
              <w:spacing w:after="60"/>
              <w:rPr>
                <w:lang w:val="en-GB"/>
              </w:rPr>
            </w:pPr>
            <w:r w:rsidRPr="00A616C3">
              <w:rPr>
                <w:lang w:val="en-GB"/>
              </w:rPr>
              <w:t xml:space="preserve">Very </w:t>
            </w:r>
            <w:r w:rsidR="00330515" w:rsidRPr="00A616C3">
              <w:rPr>
                <w:lang w:val="en-GB"/>
              </w:rPr>
              <w:t>c</w:t>
            </w:r>
            <w:r w:rsidR="00013D11" w:rsidRPr="00A616C3">
              <w:rPr>
                <w:lang w:val="en-GB"/>
              </w:rPr>
              <w:t>ommon</w:t>
            </w:r>
          </w:p>
        </w:tc>
      </w:tr>
      <w:tr w:rsidR="0023020F" w:rsidRPr="00A616C3" w:rsidTr="00AA67B5">
        <w:trPr>
          <w:trHeight w:val="233"/>
        </w:trPr>
        <w:tc>
          <w:tcPr>
            <w:tcW w:w="1524" w:type="pct"/>
            <w:vMerge/>
          </w:tcPr>
          <w:p w:rsidR="0023020F" w:rsidRPr="00A616C3" w:rsidRDefault="0023020F" w:rsidP="007B14B1">
            <w:pPr>
              <w:keepNext/>
              <w:spacing w:after="60"/>
              <w:rPr>
                <w:lang w:val="en-GB"/>
              </w:rPr>
            </w:pPr>
          </w:p>
        </w:tc>
        <w:tc>
          <w:tcPr>
            <w:tcW w:w="2372" w:type="pct"/>
            <w:vAlign w:val="center"/>
          </w:tcPr>
          <w:p w:rsidR="0023020F" w:rsidRPr="00A616C3" w:rsidRDefault="0023020F" w:rsidP="007B14B1">
            <w:pPr>
              <w:keepNext/>
              <w:spacing w:after="60"/>
              <w:rPr>
                <w:lang w:val="en-GB"/>
              </w:rPr>
            </w:pPr>
            <w:r w:rsidRPr="00A616C3">
              <w:rPr>
                <w:lang w:val="en-GB"/>
              </w:rPr>
              <w:t>Weight Increased</w:t>
            </w:r>
          </w:p>
        </w:tc>
        <w:tc>
          <w:tcPr>
            <w:tcW w:w="1104" w:type="pct"/>
            <w:shd w:val="clear" w:color="auto" w:fill="auto"/>
            <w:vAlign w:val="center"/>
          </w:tcPr>
          <w:p w:rsidR="0023020F" w:rsidRPr="00A616C3" w:rsidRDefault="00330515" w:rsidP="007B14B1">
            <w:pPr>
              <w:keepNext/>
              <w:spacing w:after="60"/>
              <w:rPr>
                <w:lang w:val="en-GB"/>
              </w:rPr>
            </w:pPr>
            <w:r w:rsidRPr="00A616C3">
              <w:rPr>
                <w:lang w:val="en-GB"/>
              </w:rPr>
              <w:t>Very c</w:t>
            </w:r>
            <w:r w:rsidR="0023020F" w:rsidRPr="00A616C3">
              <w:rPr>
                <w:lang w:val="en-GB"/>
              </w:rPr>
              <w:t>ommon</w:t>
            </w:r>
          </w:p>
        </w:tc>
      </w:tr>
      <w:tr w:rsidR="005E20BC" w:rsidRPr="00A616C3" w:rsidTr="00AA67B5">
        <w:trPr>
          <w:trHeight w:val="233"/>
        </w:trPr>
        <w:tc>
          <w:tcPr>
            <w:tcW w:w="1524" w:type="pct"/>
            <w:vMerge/>
          </w:tcPr>
          <w:p w:rsidR="005E20BC" w:rsidRPr="00A616C3" w:rsidRDefault="005E20BC" w:rsidP="007B14B1">
            <w:pPr>
              <w:keepNext/>
              <w:spacing w:after="60"/>
              <w:rPr>
                <w:lang w:val="en-GB"/>
              </w:rPr>
            </w:pPr>
          </w:p>
        </w:tc>
        <w:tc>
          <w:tcPr>
            <w:tcW w:w="2372" w:type="pct"/>
            <w:vAlign w:val="center"/>
          </w:tcPr>
          <w:p w:rsidR="005E20BC" w:rsidRPr="00A616C3" w:rsidRDefault="005E20BC" w:rsidP="007B14B1">
            <w:pPr>
              <w:keepNext/>
              <w:spacing w:after="60"/>
              <w:rPr>
                <w:lang w:val="en-GB"/>
              </w:rPr>
            </w:pPr>
            <w:r w:rsidRPr="00A616C3">
              <w:rPr>
                <w:lang w:val="en-GB"/>
              </w:rPr>
              <w:t>Decreased appetite</w:t>
            </w:r>
          </w:p>
        </w:tc>
        <w:tc>
          <w:tcPr>
            <w:tcW w:w="1104" w:type="pct"/>
            <w:shd w:val="clear" w:color="auto" w:fill="auto"/>
            <w:vAlign w:val="center"/>
          </w:tcPr>
          <w:p w:rsidR="005E20BC" w:rsidRPr="00A616C3" w:rsidRDefault="00330515" w:rsidP="007B14B1">
            <w:pPr>
              <w:keepNext/>
              <w:spacing w:after="60"/>
              <w:rPr>
                <w:lang w:val="en-GB"/>
              </w:rPr>
            </w:pPr>
            <w:r w:rsidRPr="00A616C3">
              <w:rPr>
                <w:lang w:val="en-GB"/>
              </w:rPr>
              <w:t>Very c</w:t>
            </w:r>
            <w:r w:rsidR="005E20BC" w:rsidRPr="00A616C3">
              <w:rPr>
                <w:lang w:val="en-GB"/>
              </w:rPr>
              <w:t>ommon</w:t>
            </w:r>
          </w:p>
        </w:tc>
      </w:tr>
      <w:tr w:rsidR="00013D11" w:rsidRPr="00A616C3" w:rsidTr="00AA67B5">
        <w:trPr>
          <w:trHeight w:val="233"/>
        </w:trPr>
        <w:tc>
          <w:tcPr>
            <w:tcW w:w="1524" w:type="pct"/>
            <w:vMerge/>
          </w:tcPr>
          <w:p w:rsidR="00013D11" w:rsidRPr="00A616C3" w:rsidRDefault="00013D11" w:rsidP="007B14B1">
            <w:pPr>
              <w:spacing w:after="60"/>
              <w:rPr>
                <w:lang w:val="en-GB"/>
              </w:rPr>
            </w:pPr>
          </w:p>
        </w:tc>
        <w:tc>
          <w:tcPr>
            <w:tcW w:w="2372" w:type="pct"/>
            <w:vAlign w:val="center"/>
          </w:tcPr>
          <w:p w:rsidR="00013D11" w:rsidRPr="00A616C3" w:rsidRDefault="00013D11" w:rsidP="007B14B1">
            <w:pPr>
              <w:spacing w:after="60"/>
              <w:rPr>
                <w:lang w:val="en-GB"/>
              </w:rPr>
            </w:pPr>
            <w:r w:rsidRPr="00A616C3">
              <w:rPr>
                <w:lang w:val="en-GB"/>
              </w:rPr>
              <w:t>Anorexia</w:t>
            </w:r>
          </w:p>
        </w:tc>
        <w:tc>
          <w:tcPr>
            <w:tcW w:w="1104" w:type="pct"/>
            <w:shd w:val="clear" w:color="auto" w:fill="auto"/>
            <w:vAlign w:val="center"/>
          </w:tcPr>
          <w:p w:rsidR="00013D11" w:rsidRPr="00A616C3" w:rsidRDefault="00013D11" w:rsidP="007B14B1">
            <w:pPr>
              <w:spacing w:after="60"/>
              <w:rPr>
                <w:lang w:val="en-GB"/>
              </w:rPr>
            </w:pPr>
            <w:r w:rsidRPr="00A616C3">
              <w:rPr>
                <w:lang w:val="en-GB"/>
              </w:rPr>
              <w:t>Common</w:t>
            </w:r>
          </w:p>
        </w:tc>
      </w:tr>
      <w:tr w:rsidR="00013D11" w:rsidRPr="00A616C3" w:rsidTr="00AA67B5">
        <w:trPr>
          <w:trHeight w:val="232"/>
        </w:trPr>
        <w:tc>
          <w:tcPr>
            <w:tcW w:w="1524" w:type="pct"/>
            <w:vMerge/>
          </w:tcPr>
          <w:p w:rsidR="00013D11" w:rsidRPr="00A616C3" w:rsidRDefault="00013D11" w:rsidP="007B14B1">
            <w:pPr>
              <w:spacing w:after="60"/>
              <w:rPr>
                <w:lang w:val="en-GB"/>
              </w:rPr>
            </w:pPr>
          </w:p>
        </w:tc>
        <w:tc>
          <w:tcPr>
            <w:tcW w:w="2372" w:type="pct"/>
            <w:vAlign w:val="center"/>
          </w:tcPr>
          <w:p w:rsidR="00013D11" w:rsidRPr="00A616C3" w:rsidRDefault="00013D11" w:rsidP="007B14B1">
            <w:pPr>
              <w:spacing w:after="60"/>
              <w:rPr>
                <w:lang w:val="en-GB"/>
              </w:rPr>
            </w:pPr>
            <w:r w:rsidRPr="00A616C3">
              <w:rPr>
                <w:lang w:val="en-GB"/>
              </w:rPr>
              <w:t>Hyperkalaemia</w:t>
            </w:r>
          </w:p>
        </w:tc>
        <w:tc>
          <w:tcPr>
            <w:tcW w:w="1104" w:type="pct"/>
            <w:shd w:val="clear" w:color="auto" w:fill="auto"/>
            <w:vAlign w:val="center"/>
          </w:tcPr>
          <w:p w:rsidR="00013D11" w:rsidRPr="00A616C3" w:rsidRDefault="00013D11" w:rsidP="007B14B1">
            <w:pPr>
              <w:spacing w:after="60"/>
              <w:rPr>
                <w:lang w:val="en-GB"/>
              </w:rPr>
            </w:pPr>
            <w:r w:rsidRPr="00A616C3">
              <w:rPr>
                <w:lang w:val="en-GB"/>
              </w:rPr>
              <w:t>Not known</w:t>
            </w:r>
          </w:p>
        </w:tc>
      </w:tr>
      <w:tr w:rsidR="00013D11" w:rsidRPr="00A616C3" w:rsidTr="00AA67B5">
        <w:trPr>
          <w:trHeight w:val="120"/>
        </w:trPr>
        <w:tc>
          <w:tcPr>
            <w:tcW w:w="1524" w:type="pct"/>
            <w:vMerge w:val="restart"/>
          </w:tcPr>
          <w:p w:rsidR="00013D11" w:rsidRPr="00A616C3" w:rsidRDefault="00013D11" w:rsidP="007B14B1">
            <w:pPr>
              <w:spacing w:after="60"/>
              <w:rPr>
                <w:lang w:val="en-GB"/>
              </w:rPr>
            </w:pPr>
            <w:r w:rsidRPr="00A616C3">
              <w:rPr>
                <w:lang w:val="en-GB"/>
              </w:rPr>
              <w:t>Psychiatric disorders</w:t>
            </w:r>
          </w:p>
          <w:p w:rsidR="00013D11" w:rsidRPr="00A616C3" w:rsidRDefault="00013D11" w:rsidP="007B14B1">
            <w:pPr>
              <w:spacing w:after="60"/>
              <w:rPr>
                <w:lang w:val="en-GB"/>
              </w:rPr>
            </w:pPr>
          </w:p>
          <w:p w:rsidR="00013D11" w:rsidRPr="00A616C3" w:rsidRDefault="00013D11" w:rsidP="007B14B1">
            <w:pPr>
              <w:spacing w:after="60"/>
              <w:rPr>
                <w:lang w:val="en-GB"/>
              </w:rPr>
            </w:pPr>
          </w:p>
          <w:p w:rsidR="00013D11" w:rsidRPr="00A616C3" w:rsidRDefault="00013D11" w:rsidP="007B14B1">
            <w:pPr>
              <w:spacing w:after="60"/>
              <w:rPr>
                <w:lang w:val="en-GB"/>
              </w:rPr>
            </w:pPr>
          </w:p>
        </w:tc>
        <w:tc>
          <w:tcPr>
            <w:tcW w:w="2372" w:type="pct"/>
            <w:vAlign w:val="center"/>
          </w:tcPr>
          <w:p w:rsidR="00013D11" w:rsidRPr="00A616C3" w:rsidRDefault="00524712" w:rsidP="007B14B1">
            <w:pPr>
              <w:spacing w:after="60"/>
              <w:rPr>
                <w:lang w:val="en-GB"/>
              </w:rPr>
            </w:pPr>
            <w:r w:rsidRPr="00A616C3">
              <w:rPr>
                <w:lang w:val="en-GB"/>
              </w:rPr>
              <w:t>Insomnia</w:t>
            </w:r>
            <w:r w:rsidRPr="00A616C3" w:rsidDel="00524712">
              <w:rPr>
                <w:lang w:val="en-GB"/>
              </w:rPr>
              <w:t xml:space="preserve"> </w:t>
            </w:r>
          </w:p>
        </w:tc>
        <w:tc>
          <w:tcPr>
            <w:tcW w:w="1104" w:type="pct"/>
            <w:shd w:val="clear" w:color="auto" w:fill="auto"/>
            <w:vAlign w:val="center"/>
          </w:tcPr>
          <w:p w:rsidR="00013D11" w:rsidRPr="00A616C3" w:rsidRDefault="00524712" w:rsidP="007B14B1">
            <w:pPr>
              <w:spacing w:after="60"/>
              <w:rPr>
                <w:lang w:val="en-GB"/>
              </w:rPr>
            </w:pPr>
            <w:r w:rsidRPr="00A616C3">
              <w:rPr>
                <w:lang w:val="en-GB"/>
              </w:rPr>
              <w:t xml:space="preserve">Very </w:t>
            </w:r>
            <w:r w:rsidR="00330515" w:rsidRPr="00A616C3">
              <w:rPr>
                <w:lang w:val="en-GB"/>
              </w:rPr>
              <w:t>c</w:t>
            </w:r>
            <w:r w:rsidR="00013D11" w:rsidRPr="00A616C3">
              <w:rPr>
                <w:lang w:val="en-GB"/>
              </w:rPr>
              <w:t>ommon</w:t>
            </w:r>
          </w:p>
        </w:tc>
      </w:tr>
      <w:tr w:rsidR="00013D11" w:rsidRPr="00A616C3" w:rsidTr="00AA67B5">
        <w:trPr>
          <w:trHeight w:val="120"/>
        </w:trPr>
        <w:tc>
          <w:tcPr>
            <w:tcW w:w="1524" w:type="pct"/>
            <w:vMerge/>
          </w:tcPr>
          <w:p w:rsidR="00013D11" w:rsidRPr="00A616C3" w:rsidRDefault="00013D11" w:rsidP="007B14B1">
            <w:pPr>
              <w:spacing w:after="60"/>
              <w:rPr>
                <w:lang w:val="en-GB"/>
              </w:rPr>
            </w:pPr>
          </w:p>
        </w:tc>
        <w:tc>
          <w:tcPr>
            <w:tcW w:w="2372" w:type="pct"/>
            <w:vAlign w:val="center"/>
          </w:tcPr>
          <w:p w:rsidR="00013D11" w:rsidRPr="00A616C3" w:rsidRDefault="00013D11" w:rsidP="007B14B1">
            <w:pPr>
              <w:spacing w:after="60"/>
              <w:rPr>
                <w:lang w:val="en-GB"/>
              </w:rPr>
            </w:pPr>
            <w:r w:rsidRPr="00A616C3">
              <w:rPr>
                <w:lang w:val="en-GB"/>
              </w:rPr>
              <w:t>Depression</w:t>
            </w:r>
          </w:p>
        </w:tc>
        <w:tc>
          <w:tcPr>
            <w:tcW w:w="1104" w:type="pct"/>
            <w:shd w:val="clear" w:color="auto" w:fill="auto"/>
            <w:vAlign w:val="center"/>
          </w:tcPr>
          <w:p w:rsidR="00013D11" w:rsidRPr="00A616C3" w:rsidRDefault="00013D11" w:rsidP="007B14B1">
            <w:pPr>
              <w:spacing w:after="60"/>
              <w:rPr>
                <w:lang w:val="en-GB"/>
              </w:rPr>
            </w:pPr>
            <w:r w:rsidRPr="00A616C3">
              <w:rPr>
                <w:lang w:val="en-GB"/>
              </w:rPr>
              <w:t>Common</w:t>
            </w:r>
          </w:p>
        </w:tc>
      </w:tr>
      <w:tr w:rsidR="00013D11" w:rsidRPr="00A616C3" w:rsidTr="00AA67B5">
        <w:trPr>
          <w:trHeight w:val="120"/>
        </w:trPr>
        <w:tc>
          <w:tcPr>
            <w:tcW w:w="1524" w:type="pct"/>
            <w:vMerge/>
          </w:tcPr>
          <w:p w:rsidR="00013D11" w:rsidRPr="00A616C3" w:rsidRDefault="00013D11" w:rsidP="007B14B1">
            <w:pPr>
              <w:spacing w:after="60"/>
              <w:rPr>
                <w:lang w:val="en-GB"/>
              </w:rPr>
            </w:pPr>
          </w:p>
        </w:tc>
        <w:tc>
          <w:tcPr>
            <w:tcW w:w="2372" w:type="pct"/>
            <w:vAlign w:val="center"/>
          </w:tcPr>
          <w:p w:rsidR="00013D11" w:rsidRPr="00A616C3" w:rsidRDefault="00524712" w:rsidP="007B14B1">
            <w:pPr>
              <w:spacing w:after="60"/>
              <w:rPr>
                <w:lang w:val="en-GB"/>
              </w:rPr>
            </w:pPr>
            <w:r w:rsidRPr="00A616C3">
              <w:rPr>
                <w:lang w:val="en-GB"/>
              </w:rPr>
              <w:t>Anxiety</w:t>
            </w:r>
          </w:p>
        </w:tc>
        <w:tc>
          <w:tcPr>
            <w:tcW w:w="1104" w:type="pct"/>
            <w:shd w:val="clear" w:color="auto" w:fill="auto"/>
            <w:vAlign w:val="center"/>
          </w:tcPr>
          <w:p w:rsidR="00013D11" w:rsidRPr="00A616C3" w:rsidRDefault="00013D11" w:rsidP="007B14B1">
            <w:pPr>
              <w:spacing w:after="60"/>
              <w:rPr>
                <w:lang w:val="en-GB"/>
              </w:rPr>
            </w:pPr>
            <w:r w:rsidRPr="00A616C3">
              <w:rPr>
                <w:lang w:val="en-GB"/>
              </w:rPr>
              <w:t>Common</w:t>
            </w:r>
          </w:p>
        </w:tc>
      </w:tr>
      <w:tr w:rsidR="00013D11" w:rsidRPr="00A616C3" w:rsidTr="00AA67B5">
        <w:trPr>
          <w:trHeight w:val="120"/>
        </w:trPr>
        <w:tc>
          <w:tcPr>
            <w:tcW w:w="1524" w:type="pct"/>
            <w:vMerge/>
          </w:tcPr>
          <w:p w:rsidR="00013D11" w:rsidRPr="00A616C3" w:rsidRDefault="00013D11" w:rsidP="007B14B1">
            <w:pPr>
              <w:spacing w:after="60"/>
              <w:rPr>
                <w:lang w:val="en-GB"/>
              </w:rPr>
            </w:pPr>
          </w:p>
        </w:tc>
        <w:tc>
          <w:tcPr>
            <w:tcW w:w="2372" w:type="pct"/>
            <w:vAlign w:val="center"/>
          </w:tcPr>
          <w:p w:rsidR="00013D11" w:rsidRPr="00A616C3" w:rsidRDefault="00013D11" w:rsidP="007B14B1">
            <w:pPr>
              <w:spacing w:after="60"/>
              <w:rPr>
                <w:lang w:val="en-GB"/>
              </w:rPr>
            </w:pPr>
            <w:r w:rsidRPr="00A616C3">
              <w:rPr>
                <w:lang w:val="en-GB"/>
              </w:rPr>
              <w:t>Thinking abnormal</w:t>
            </w:r>
          </w:p>
        </w:tc>
        <w:tc>
          <w:tcPr>
            <w:tcW w:w="1104" w:type="pct"/>
            <w:shd w:val="clear" w:color="auto" w:fill="auto"/>
            <w:vAlign w:val="center"/>
          </w:tcPr>
          <w:p w:rsidR="00013D11" w:rsidRPr="00A616C3" w:rsidRDefault="00013D11" w:rsidP="007B14B1">
            <w:pPr>
              <w:spacing w:after="60"/>
              <w:rPr>
                <w:lang w:val="en-GB"/>
              </w:rPr>
            </w:pPr>
            <w:r w:rsidRPr="00A616C3">
              <w:rPr>
                <w:lang w:val="en-GB"/>
              </w:rPr>
              <w:t>Common</w:t>
            </w:r>
          </w:p>
        </w:tc>
      </w:tr>
      <w:tr w:rsidR="00280BD8" w:rsidRPr="00A616C3" w:rsidTr="00AA67B5">
        <w:trPr>
          <w:trHeight w:val="224"/>
        </w:trPr>
        <w:tc>
          <w:tcPr>
            <w:tcW w:w="1524" w:type="pct"/>
            <w:vMerge w:val="restart"/>
          </w:tcPr>
          <w:p w:rsidR="00280BD8" w:rsidRPr="00A616C3" w:rsidRDefault="00280BD8" w:rsidP="007B14B1">
            <w:pPr>
              <w:spacing w:after="60"/>
              <w:rPr>
                <w:lang w:val="en-GB"/>
              </w:rPr>
            </w:pPr>
            <w:r w:rsidRPr="00A616C3">
              <w:rPr>
                <w:lang w:val="en-GB"/>
              </w:rPr>
              <w:t>Nervous system disorders</w:t>
            </w:r>
          </w:p>
          <w:p w:rsidR="00280BD8" w:rsidRPr="00A616C3" w:rsidRDefault="00280BD8" w:rsidP="007B14B1">
            <w:pPr>
              <w:spacing w:after="60"/>
              <w:rPr>
                <w:lang w:val="en-GB"/>
              </w:rPr>
            </w:pPr>
          </w:p>
          <w:p w:rsidR="00280BD8" w:rsidRPr="00A616C3" w:rsidRDefault="00280BD8" w:rsidP="007B14B1">
            <w:pPr>
              <w:spacing w:after="60"/>
              <w:rPr>
                <w:lang w:val="en-GB"/>
              </w:rPr>
            </w:pPr>
          </w:p>
          <w:p w:rsidR="00280BD8" w:rsidRPr="00A616C3" w:rsidRDefault="00280BD8" w:rsidP="007B14B1">
            <w:pPr>
              <w:spacing w:after="60"/>
              <w:rPr>
                <w:lang w:val="en-GB"/>
              </w:rPr>
            </w:pPr>
          </w:p>
          <w:p w:rsidR="00280BD8" w:rsidRPr="00A616C3" w:rsidRDefault="00280BD8" w:rsidP="007B14B1">
            <w:pPr>
              <w:spacing w:after="60"/>
              <w:rPr>
                <w:lang w:val="en-GB"/>
              </w:rPr>
            </w:pPr>
          </w:p>
          <w:p w:rsidR="00280BD8" w:rsidRPr="00A616C3" w:rsidRDefault="00280BD8" w:rsidP="007B14B1">
            <w:pPr>
              <w:spacing w:after="60"/>
              <w:rPr>
                <w:lang w:val="en-GB"/>
              </w:rPr>
            </w:pPr>
          </w:p>
          <w:p w:rsidR="00280BD8" w:rsidRPr="00A616C3" w:rsidRDefault="00280BD8" w:rsidP="007B14B1">
            <w:pPr>
              <w:spacing w:after="60"/>
              <w:rPr>
                <w:lang w:val="en-GB"/>
              </w:rPr>
            </w:pPr>
          </w:p>
          <w:p w:rsidR="00280BD8" w:rsidRPr="00A616C3" w:rsidRDefault="00280BD8" w:rsidP="007B14B1">
            <w:pPr>
              <w:spacing w:after="60"/>
              <w:rPr>
                <w:lang w:val="en-GB"/>
              </w:rPr>
            </w:pPr>
          </w:p>
          <w:p w:rsidR="00280BD8" w:rsidRPr="00A616C3" w:rsidRDefault="00280BD8" w:rsidP="007B14B1">
            <w:pPr>
              <w:spacing w:after="60"/>
              <w:rPr>
                <w:lang w:val="en-GB"/>
              </w:rPr>
            </w:pPr>
          </w:p>
          <w:p w:rsidR="00280BD8" w:rsidRPr="00A616C3" w:rsidRDefault="00280BD8" w:rsidP="007B14B1">
            <w:pPr>
              <w:spacing w:after="60"/>
              <w:rPr>
                <w:lang w:val="en-GB"/>
              </w:rPr>
            </w:pPr>
          </w:p>
          <w:p w:rsidR="00280BD8" w:rsidRPr="00A616C3" w:rsidRDefault="00280BD8" w:rsidP="007B14B1">
            <w:pPr>
              <w:spacing w:after="60"/>
              <w:rPr>
                <w:lang w:val="en-GB"/>
              </w:rPr>
            </w:pPr>
          </w:p>
        </w:tc>
        <w:tc>
          <w:tcPr>
            <w:tcW w:w="2372" w:type="pct"/>
            <w:vAlign w:val="center"/>
          </w:tcPr>
          <w:p w:rsidR="00280BD8" w:rsidRPr="00A616C3" w:rsidRDefault="00280BD8" w:rsidP="007B14B1">
            <w:pPr>
              <w:spacing w:after="60"/>
              <w:rPr>
                <w:lang w:val="en-GB"/>
              </w:rPr>
            </w:pPr>
            <w:r w:rsidRPr="00A616C3">
              <w:rPr>
                <w:lang w:val="en-GB"/>
              </w:rPr>
              <w:t>Tremor</w:t>
            </w:r>
          </w:p>
        </w:tc>
        <w:tc>
          <w:tcPr>
            <w:tcW w:w="1104" w:type="pct"/>
            <w:shd w:val="clear" w:color="auto" w:fill="auto"/>
            <w:vAlign w:val="center"/>
          </w:tcPr>
          <w:p w:rsidR="00280BD8" w:rsidRPr="00A616C3" w:rsidRDefault="00280BD8" w:rsidP="007B14B1">
            <w:pPr>
              <w:spacing w:after="60"/>
              <w:rPr>
                <w:lang w:val="en-GB"/>
              </w:rPr>
            </w:pPr>
            <w:r w:rsidRPr="00A616C3">
              <w:rPr>
                <w:lang w:val="en-GB"/>
              </w:rPr>
              <w:t>Very common</w:t>
            </w:r>
          </w:p>
        </w:tc>
      </w:tr>
      <w:tr w:rsidR="00280BD8" w:rsidRPr="00A616C3" w:rsidTr="00AA67B5">
        <w:trPr>
          <w:cantSplit/>
          <w:trHeight w:val="281"/>
        </w:trPr>
        <w:tc>
          <w:tcPr>
            <w:tcW w:w="1524" w:type="pct"/>
            <w:vMerge/>
          </w:tcPr>
          <w:p w:rsidR="00280BD8" w:rsidRPr="00A616C3" w:rsidRDefault="00280BD8" w:rsidP="007B14B1">
            <w:pPr>
              <w:spacing w:after="60"/>
              <w:rPr>
                <w:lang w:val="en-GB"/>
              </w:rPr>
            </w:pPr>
          </w:p>
        </w:tc>
        <w:tc>
          <w:tcPr>
            <w:tcW w:w="2372" w:type="pct"/>
            <w:vAlign w:val="center"/>
          </w:tcPr>
          <w:p w:rsidR="00280BD8" w:rsidRPr="00A616C3" w:rsidRDefault="00280BD8" w:rsidP="007B14B1">
            <w:pPr>
              <w:spacing w:after="60"/>
              <w:rPr>
                <w:lang w:val="en-GB"/>
              </w:rPr>
            </w:pPr>
            <w:r w:rsidRPr="00A616C3">
              <w:rPr>
                <w:lang w:val="en-GB"/>
              </w:rPr>
              <w:t>Dizziness</w:t>
            </w:r>
          </w:p>
        </w:tc>
        <w:tc>
          <w:tcPr>
            <w:tcW w:w="1104" w:type="pct"/>
            <w:shd w:val="clear" w:color="auto" w:fill="auto"/>
            <w:vAlign w:val="center"/>
          </w:tcPr>
          <w:p w:rsidR="00280BD8" w:rsidRPr="00A616C3" w:rsidRDefault="00280BD8" w:rsidP="007B14B1">
            <w:pPr>
              <w:spacing w:after="60"/>
              <w:rPr>
                <w:lang w:val="en-GB"/>
              </w:rPr>
            </w:pPr>
            <w:r w:rsidRPr="00A616C3">
              <w:rPr>
                <w:lang w:val="en-GB"/>
              </w:rPr>
              <w:t xml:space="preserve">Very common </w:t>
            </w:r>
          </w:p>
        </w:tc>
      </w:tr>
      <w:tr w:rsidR="00280BD8" w:rsidRPr="00A616C3" w:rsidTr="00AA67B5">
        <w:trPr>
          <w:cantSplit/>
          <w:trHeight w:val="128"/>
        </w:trPr>
        <w:tc>
          <w:tcPr>
            <w:tcW w:w="1524" w:type="pct"/>
            <w:vMerge/>
          </w:tcPr>
          <w:p w:rsidR="00280BD8" w:rsidRPr="00A616C3" w:rsidRDefault="00280BD8" w:rsidP="007B14B1">
            <w:pPr>
              <w:spacing w:after="60"/>
              <w:rPr>
                <w:lang w:val="en-GB"/>
              </w:rPr>
            </w:pPr>
          </w:p>
        </w:tc>
        <w:tc>
          <w:tcPr>
            <w:tcW w:w="2372" w:type="pct"/>
            <w:vAlign w:val="center"/>
          </w:tcPr>
          <w:p w:rsidR="00280BD8" w:rsidRPr="00A616C3" w:rsidRDefault="00280BD8" w:rsidP="007B14B1">
            <w:pPr>
              <w:spacing w:after="60"/>
              <w:rPr>
                <w:lang w:val="en-GB"/>
              </w:rPr>
            </w:pPr>
            <w:r w:rsidRPr="00A616C3">
              <w:rPr>
                <w:lang w:val="en-GB"/>
              </w:rPr>
              <w:t>Headache</w:t>
            </w:r>
          </w:p>
        </w:tc>
        <w:tc>
          <w:tcPr>
            <w:tcW w:w="1104" w:type="pct"/>
            <w:shd w:val="clear" w:color="auto" w:fill="auto"/>
            <w:vAlign w:val="center"/>
          </w:tcPr>
          <w:p w:rsidR="00280BD8" w:rsidRPr="00A616C3" w:rsidRDefault="00280BD8" w:rsidP="007B14B1">
            <w:pPr>
              <w:spacing w:after="60"/>
              <w:rPr>
                <w:lang w:val="en-GB"/>
              </w:rPr>
            </w:pPr>
            <w:r w:rsidRPr="00A616C3">
              <w:rPr>
                <w:lang w:val="en-GB"/>
              </w:rPr>
              <w:t xml:space="preserve">Very common </w:t>
            </w:r>
          </w:p>
        </w:tc>
      </w:tr>
      <w:tr w:rsidR="007F68E8" w:rsidRPr="00A616C3" w:rsidTr="00AA67B5">
        <w:trPr>
          <w:cantSplit/>
          <w:trHeight w:val="191"/>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proofErr w:type="spellStart"/>
            <w:r w:rsidRPr="00A616C3">
              <w:rPr>
                <w:lang w:val="en-GB"/>
              </w:rPr>
              <w:t>Dysgeusia</w:t>
            </w:r>
            <w:proofErr w:type="spellEnd"/>
          </w:p>
        </w:tc>
        <w:tc>
          <w:tcPr>
            <w:tcW w:w="1104" w:type="pct"/>
            <w:shd w:val="clear" w:color="auto" w:fill="auto"/>
            <w:vAlign w:val="center"/>
          </w:tcPr>
          <w:p w:rsidR="007F68E8" w:rsidRPr="00A616C3" w:rsidRDefault="007F68E8" w:rsidP="007B14B1">
            <w:pPr>
              <w:spacing w:after="60"/>
              <w:rPr>
                <w:lang w:val="en-GB"/>
              </w:rPr>
            </w:pPr>
            <w:r w:rsidRPr="00A616C3">
              <w:rPr>
                <w:lang w:val="en-GB"/>
              </w:rPr>
              <w:t>Very common</w:t>
            </w:r>
          </w:p>
        </w:tc>
      </w:tr>
      <w:tr w:rsidR="007F68E8" w:rsidRPr="00A616C3" w:rsidTr="00AA67B5">
        <w:trPr>
          <w:cantSplit/>
          <w:trHeight w:val="120"/>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 xml:space="preserve">Paraesthesia </w:t>
            </w:r>
          </w:p>
        </w:tc>
        <w:tc>
          <w:tcPr>
            <w:tcW w:w="1104" w:type="pct"/>
            <w:shd w:val="clear" w:color="auto" w:fill="auto"/>
            <w:vAlign w:val="center"/>
          </w:tcPr>
          <w:p w:rsidR="007F68E8" w:rsidRPr="00A616C3" w:rsidRDefault="00813060" w:rsidP="007B14B1">
            <w:pPr>
              <w:spacing w:after="60"/>
              <w:rPr>
                <w:lang w:val="en-GB"/>
              </w:rPr>
            </w:pPr>
            <w:r w:rsidRPr="00A616C3">
              <w:rPr>
                <w:lang w:val="en-GB"/>
              </w:rPr>
              <w:t xml:space="preserve">Very </w:t>
            </w:r>
            <w:r w:rsidR="00330515" w:rsidRPr="00A616C3">
              <w:rPr>
                <w:lang w:val="en-GB"/>
              </w:rPr>
              <w:t>c</w:t>
            </w:r>
            <w:r w:rsidR="007F68E8" w:rsidRPr="00A616C3">
              <w:rPr>
                <w:lang w:val="en-GB"/>
              </w:rPr>
              <w:t>ommon</w:t>
            </w:r>
          </w:p>
        </w:tc>
      </w:tr>
      <w:tr w:rsidR="00813060" w:rsidRPr="00A616C3" w:rsidTr="00AA67B5">
        <w:trPr>
          <w:cantSplit/>
          <w:trHeight w:val="120"/>
        </w:trPr>
        <w:tc>
          <w:tcPr>
            <w:tcW w:w="1524" w:type="pct"/>
            <w:vMerge/>
          </w:tcPr>
          <w:p w:rsidR="00813060" w:rsidRPr="00A616C3" w:rsidRDefault="00813060" w:rsidP="007B14B1">
            <w:pPr>
              <w:spacing w:after="60"/>
              <w:rPr>
                <w:lang w:val="en-GB"/>
              </w:rPr>
            </w:pPr>
          </w:p>
        </w:tc>
        <w:tc>
          <w:tcPr>
            <w:tcW w:w="2372" w:type="pct"/>
            <w:vAlign w:val="center"/>
          </w:tcPr>
          <w:p w:rsidR="00813060" w:rsidRPr="00A616C3" w:rsidRDefault="00813060" w:rsidP="007B14B1">
            <w:pPr>
              <w:spacing w:after="60"/>
              <w:rPr>
                <w:lang w:val="en-GB"/>
              </w:rPr>
            </w:pPr>
            <w:proofErr w:type="spellStart"/>
            <w:r w:rsidRPr="00A616C3">
              <w:rPr>
                <w:lang w:val="en-GB"/>
              </w:rPr>
              <w:t>Hypoaesthesia</w:t>
            </w:r>
            <w:proofErr w:type="spellEnd"/>
          </w:p>
        </w:tc>
        <w:tc>
          <w:tcPr>
            <w:tcW w:w="1104" w:type="pct"/>
            <w:shd w:val="clear" w:color="auto" w:fill="auto"/>
            <w:vAlign w:val="center"/>
          </w:tcPr>
          <w:p w:rsidR="00813060" w:rsidRPr="00A616C3" w:rsidRDefault="00813060" w:rsidP="007B14B1">
            <w:pPr>
              <w:spacing w:after="60"/>
              <w:rPr>
                <w:lang w:val="en-GB"/>
              </w:rPr>
            </w:pPr>
            <w:r w:rsidRPr="00A616C3">
              <w:rPr>
                <w:lang w:val="en-GB"/>
              </w:rPr>
              <w:t>Ve</w:t>
            </w:r>
            <w:r w:rsidR="00330515" w:rsidRPr="00A616C3">
              <w:rPr>
                <w:lang w:val="en-GB"/>
              </w:rPr>
              <w:t>ry c</w:t>
            </w:r>
            <w:r w:rsidRPr="00A616C3">
              <w:rPr>
                <w:lang w:val="en-GB"/>
              </w:rPr>
              <w:t>ommon</w:t>
            </w:r>
          </w:p>
        </w:tc>
      </w:tr>
      <w:tr w:rsidR="00524712" w:rsidRPr="00A616C3" w:rsidTr="00AA67B5">
        <w:trPr>
          <w:cantSplit/>
          <w:trHeight w:val="120"/>
        </w:trPr>
        <w:tc>
          <w:tcPr>
            <w:tcW w:w="1524" w:type="pct"/>
            <w:vMerge/>
          </w:tcPr>
          <w:p w:rsidR="00524712" w:rsidRPr="00A616C3" w:rsidRDefault="00524712" w:rsidP="007B14B1">
            <w:pPr>
              <w:spacing w:after="60"/>
              <w:rPr>
                <w:lang w:val="en-GB"/>
              </w:rPr>
            </w:pPr>
          </w:p>
        </w:tc>
        <w:tc>
          <w:tcPr>
            <w:tcW w:w="2372" w:type="pct"/>
            <w:vAlign w:val="center"/>
          </w:tcPr>
          <w:p w:rsidR="00524712" w:rsidRPr="00A616C3" w:rsidRDefault="00524712" w:rsidP="007B14B1">
            <w:pPr>
              <w:spacing w:after="60"/>
              <w:rPr>
                <w:lang w:val="en-GB"/>
              </w:rPr>
            </w:pPr>
            <w:r w:rsidRPr="00A616C3">
              <w:rPr>
                <w:lang w:val="en-GB"/>
              </w:rPr>
              <w:t>Peripheral neuropathy</w:t>
            </w:r>
          </w:p>
        </w:tc>
        <w:tc>
          <w:tcPr>
            <w:tcW w:w="1104" w:type="pct"/>
            <w:shd w:val="clear" w:color="auto" w:fill="auto"/>
            <w:vAlign w:val="center"/>
          </w:tcPr>
          <w:p w:rsidR="00524712" w:rsidRPr="00A616C3" w:rsidRDefault="00524712" w:rsidP="007B14B1">
            <w:pPr>
              <w:spacing w:after="60"/>
              <w:rPr>
                <w:lang w:val="en-GB"/>
              </w:rPr>
            </w:pPr>
            <w:r w:rsidRPr="00A616C3">
              <w:rPr>
                <w:lang w:val="en-GB"/>
              </w:rPr>
              <w:t>Common</w:t>
            </w:r>
          </w:p>
        </w:tc>
      </w:tr>
      <w:tr w:rsidR="007F68E8" w:rsidRPr="00A616C3" w:rsidTr="00AA67B5">
        <w:trPr>
          <w:cantSplit/>
          <w:trHeight w:val="120"/>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Hypertonia</w:t>
            </w:r>
          </w:p>
        </w:tc>
        <w:tc>
          <w:tcPr>
            <w:tcW w:w="1104" w:type="pct"/>
            <w:shd w:val="clear" w:color="auto" w:fill="auto"/>
            <w:vAlign w:val="center"/>
          </w:tcPr>
          <w:p w:rsidR="007F68E8" w:rsidRPr="00A616C3" w:rsidRDefault="007F68E8" w:rsidP="007B14B1">
            <w:pPr>
              <w:spacing w:after="60"/>
              <w:rPr>
                <w:lang w:val="en-GB"/>
              </w:rPr>
            </w:pPr>
            <w:r w:rsidRPr="00A616C3">
              <w:rPr>
                <w:lang w:val="en-GB"/>
              </w:rPr>
              <w:t>Common</w:t>
            </w:r>
          </w:p>
        </w:tc>
      </w:tr>
      <w:tr w:rsidR="007F68E8" w:rsidRPr="00A616C3" w:rsidTr="00AA67B5">
        <w:trPr>
          <w:cantSplit/>
          <w:trHeight w:val="120"/>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Somnolence</w:t>
            </w:r>
          </w:p>
        </w:tc>
        <w:tc>
          <w:tcPr>
            <w:tcW w:w="1104" w:type="pct"/>
            <w:shd w:val="clear" w:color="auto" w:fill="auto"/>
            <w:vAlign w:val="center"/>
          </w:tcPr>
          <w:p w:rsidR="007F68E8" w:rsidRPr="00A616C3" w:rsidRDefault="007F68E8" w:rsidP="007B14B1">
            <w:pPr>
              <w:spacing w:after="60"/>
              <w:rPr>
                <w:lang w:val="en-GB"/>
              </w:rPr>
            </w:pPr>
            <w:r w:rsidRPr="00A616C3">
              <w:rPr>
                <w:lang w:val="en-GB"/>
              </w:rPr>
              <w:t>Common</w:t>
            </w:r>
          </w:p>
        </w:tc>
      </w:tr>
      <w:tr w:rsidR="007F68E8" w:rsidRPr="00A616C3" w:rsidTr="00AA67B5">
        <w:trPr>
          <w:trHeight w:val="128"/>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Ataxia</w:t>
            </w:r>
          </w:p>
        </w:tc>
        <w:tc>
          <w:tcPr>
            <w:tcW w:w="1104" w:type="pct"/>
            <w:shd w:val="clear" w:color="auto" w:fill="auto"/>
            <w:vAlign w:val="center"/>
          </w:tcPr>
          <w:p w:rsidR="007F68E8" w:rsidRPr="00A616C3" w:rsidRDefault="007F68E8" w:rsidP="007B14B1">
            <w:pPr>
              <w:spacing w:after="60"/>
              <w:rPr>
                <w:lang w:val="en-GB"/>
              </w:rPr>
            </w:pPr>
            <w:r w:rsidRPr="00A616C3">
              <w:rPr>
                <w:lang w:val="en-GB"/>
              </w:rPr>
              <w:t>Common</w:t>
            </w:r>
          </w:p>
        </w:tc>
      </w:tr>
      <w:tr w:rsidR="007F68E8" w:rsidRPr="00A616C3" w:rsidTr="00AA67B5">
        <w:trPr>
          <w:trHeight w:val="128"/>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Paresis</w:t>
            </w:r>
          </w:p>
        </w:tc>
        <w:tc>
          <w:tcPr>
            <w:tcW w:w="1104" w:type="pct"/>
            <w:shd w:val="clear" w:color="auto" w:fill="auto"/>
            <w:vAlign w:val="center"/>
          </w:tcPr>
          <w:p w:rsidR="007F68E8" w:rsidRPr="00A616C3" w:rsidRDefault="007F68E8" w:rsidP="007B14B1">
            <w:pPr>
              <w:spacing w:after="60"/>
              <w:rPr>
                <w:lang w:val="en-GB"/>
              </w:rPr>
            </w:pPr>
            <w:r w:rsidRPr="00A616C3">
              <w:rPr>
                <w:lang w:val="en-GB"/>
              </w:rPr>
              <w:t>Rare</w:t>
            </w:r>
          </w:p>
        </w:tc>
      </w:tr>
      <w:tr w:rsidR="007F68E8" w:rsidRPr="00A616C3" w:rsidTr="00AA67B5">
        <w:trPr>
          <w:trHeight w:val="128"/>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Brain oedema</w:t>
            </w:r>
          </w:p>
        </w:tc>
        <w:tc>
          <w:tcPr>
            <w:tcW w:w="1104" w:type="pct"/>
            <w:shd w:val="clear" w:color="auto" w:fill="auto"/>
            <w:vAlign w:val="center"/>
          </w:tcPr>
          <w:p w:rsidR="007F68E8" w:rsidRPr="00A616C3" w:rsidRDefault="007F68E8" w:rsidP="007B14B1">
            <w:pPr>
              <w:spacing w:after="60"/>
              <w:rPr>
                <w:lang w:val="en-GB"/>
              </w:rPr>
            </w:pPr>
            <w:r w:rsidRPr="00A616C3">
              <w:rPr>
                <w:lang w:val="en-GB"/>
              </w:rPr>
              <w:t>Not known</w:t>
            </w:r>
          </w:p>
        </w:tc>
      </w:tr>
      <w:tr w:rsidR="007F68E8" w:rsidRPr="00A616C3" w:rsidTr="00AA67B5">
        <w:trPr>
          <w:trHeight w:val="128"/>
        </w:trPr>
        <w:tc>
          <w:tcPr>
            <w:tcW w:w="1524" w:type="pct"/>
            <w:vMerge w:val="restart"/>
          </w:tcPr>
          <w:p w:rsidR="007F68E8" w:rsidRPr="00A616C3" w:rsidRDefault="007F68E8" w:rsidP="007B14B1">
            <w:pPr>
              <w:spacing w:after="60"/>
              <w:rPr>
                <w:lang w:val="en-GB"/>
              </w:rPr>
            </w:pPr>
            <w:r w:rsidRPr="00A616C3">
              <w:rPr>
                <w:lang w:val="en-GB"/>
              </w:rPr>
              <w:t>Eye disorders</w:t>
            </w:r>
          </w:p>
          <w:p w:rsidR="007F68E8" w:rsidRPr="00A616C3" w:rsidRDefault="007F68E8" w:rsidP="007B14B1">
            <w:pPr>
              <w:spacing w:after="60"/>
              <w:rPr>
                <w:lang w:val="en-GB"/>
              </w:rPr>
            </w:pPr>
          </w:p>
          <w:p w:rsidR="007F68E8" w:rsidRPr="00A616C3" w:rsidRDefault="007F68E8" w:rsidP="007B14B1">
            <w:pPr>
              <w:spacing w:after="60"/>
              <w:rPr>
                <w:lang w:val="en-GB"/>
              </w:rPr>
            </w:pPr>
          </w:p>
          <w:p w:rsidR="007F68E8" w:rsidRPr="00A616C3" w:rsidRDefault="007F68E8" w:rsidP="007B14B1">
            <w:pPr>
              <w:spacing w:after="60"/>
              <w:rPr>
                <w:lang w:val="en-GB"/>
              </w:rPr>
            </w:pPr>
          </w:p>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Conjunctivitis</w:t>
            </w:r>
          </w:p>
        </w:tc>
        <w:tc>
          <w:tcPr>
            <w:tcW w:w="1104" w:type="pct"/>
            <w:shd w:val="clear" w:color="auto" w:fill="auto"/>
            <w:vAlign w:val="center"/>
          </w:tcPr>
          <w:p w:rsidR="007F68E8" w:rsidRPr="00A616C3" w:rsidRDefault="007F68E8" w:rsidP="007B14B1">
            <w:pPr>
              <w:spacing w:after="60"/>
              <w:rPr>
                <w:lang w:val="en-GB"/>
              </w:rPr>
            </w:pPr>
            <w:r w:rsidRPr="00A616C3">
              <w:rPr>
                <w:lang w:val="en-GB"/>
              </w:rPr>
              <w:t>Very common</w:t>
            </w:r>
          </w:p>
        </w:tc>
      </w:tr>
      <w:tr w:rsidR="007F68E8" w:rsidRPr="00A616C3" w:rsidTr="00AA67B5">
        <w:trPr>
          <w:trHeight w:val="128"/>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Lacrimation increased</w:t>
            </w:r>
          </w:p>
        </w:tc>
        <w:tc>
          <w:tcPr>
            <w:tcW w:w="1104" w:type="pct"/>
            <w:shd w:val="clear" w:color="auto" w:fill="auto"/>
            <w:vAlign w:val="center"/>
          </w:tcPr>
          <w:p w:rsidR="007F68E8" w:rsidRPr="00A616C3" w:rsidRDefault="007F68E8" w:rsidP="00C50A71">
            <w:pPr>
              <w:spacing w:after="60"/>
              <w:rPr>
                <w:lang w:val="en-GB"/>
              </w:rPr>
            </w:pPr>
            <w:r w:rsidRPr="00A616C3">
              <w:rPr>
                <w:lang w:val="en-GB"/>
              </w:rPr>
              <w:t xml:space="preserve">Very </w:t>
            </w:r>
            <w:r w:rsidR="00C50A71" w:rsidRPr="00A616C3">
              <w:rPr>
                <w:lang w:val="en-GB"/>
              </w:rPr>
              <w:t>c</w:t>
            </w:r>
            <w:r w:rsidRPr="00A616C3">
              <w:rPr>
                <w:lang w:val="en-GB"/>
              </w:rPr>
              <w:t>ommon</w:t>
            </w:r>
          </w:p>
        </w:tc>
      </w:tr>
      <w:tr w:rsidR="007F68E8" w:rsidRPr="00A616C3" w:rsidTr="00AA67B5">
        <w:trPr>
          <w:trHeight w:val="127"/>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Dry eye</w:t>
            </w:r>
          </w:p>
        </w:tc>
        <w:tc>
          <w:tcPr>
            <w:tcW w:w="1104" w:type="pct"/>
            <w:shd w:val="clear" w:color="auto" w:fill="auto"/>
            <w:vAlign w:val="center"/>
          </w:tcPr>
          <w:p w:rsidR="007F68E8" w:rsidRPr="00A616C3" w:rsidRDefault="007F68E8" w:rsidP="007B14B1">
            <w:pPr>
              <w:spacing w:after="60"/>
              <w:rPr>
                <w:lang w:val="en-GB"/>
              </w:rPr>
            </w:pPr>
            <w:r w:rsidRPr="00A616C3">
              <w:rPr>
                <w:lang w:val="en-GB"/>
              </w:rPr>
              <w:t>Common</w:t>
            </w:r>
          </w:p>
        </w:tc>
      </w:tr>
      <w:tr w:rsidR="007F68E8" w:rsidRPr="00A616C3" w:rsidTr="00AA67B5">
        <w:trPr>
          <w:trHeight w:val="260"/>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proofErr w:type="spellStart"/>
            <w:r w:rsidRPr="00A616C3">
              <w:rPr>
                <w:lang w:val="en-GB"/>
              </w:rPr>
              <w:t>Papilloedema</w:t>
            </w:r>
            <w:proofErr w:type="spellEnd"/>
          </w:p>
        </w:tc>
        <w:tc>
          <w:tcPr>
            <w:tcW w:w="1104" w:type="pct"/>
            <w:shd w:val="clear" w:color="auto" w:fill="auto"/>
            <w:vAlign w:val="center"/>
          </w:tcPr>
          <w:p w:rsidR="007F68E8" w:rsidRPr="00A616C3" w:rsidRDefault="007F68E8" w:rsidP="007B14B1">
            <w:pPr>
              <w:spacing w:after="60"/>
              <w:rPr>
                <w:lang w:val="en-GB"/>
              </w:rPr>
            </w:pPr>
            <w:r w:rsidRPr="00A616C3">
              <w:rPr>
                <w:lang w:val="en-GB"/>
              </w:rPr>
              <w:t>Not known</w:t>
            </w:r>
          </w:p>
        </w:tc>
      </w:tr>
      <w:tr w:rsidR="007F68E8" w:rsidRPr="00A616C3" w:rsidTr="00AA67B5">
        <w:trPr>
          <w:trHeight w:val="260"/>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Retinal haemorrhage</w:t>
            </w:r>
          </w:p>
        </w:tc>
        <w:tc>
          <w:tcPr>
            <w:tcW w:w="1104" w:type="pct"/>
            <w:shd w:val="clear" w:color="auto" w:fill="auto"/>
            <w:vAlign w:val="center"/>
          </w:tcPr>
          <w:p w:rsidR="007F68E8" w:rsidRPr="00A616C3" w:rsidRDefault="007F68E8" w:rsidP="007B14B1">
            <w:pPr>
              <w:spacing w:after="60"/>
              <w:rPr>
                <w:lang w:val="en-GB"/>
              </w:rPr>
            </w:pPr>
            <w:r w:rsidRPr="00A616C3">
              <w:rPr>
                <w:lang w:val="en-GB"/>
              </w:rPr>
              <w:t>Not known</w:t>
            </w:r>
          </w:p>
        </w:tc>
      </w:tr>
      <w:tr w:rsidR="00C50A71" w:rsidRPr="00A616C3" w:rsidTr="00AA67B5">
        <w:trPr>
          <w:trHeight w:val="260"/>
        </w:trPr>
        <w:tc>
          <w:tcPr>
            <w:tcW w:w="1524" w:type="pct"/>
          </w:tcPr>
          <w:p w:rsidR="00C50A71" w:rsidRPr="00A616C3" w:rsidRDefault="00C50A71" w:rsidP="00C50A71">
            <w:pPr>
              <w:spacing w:after="60"/>
              <w:rPr>
                <w:lang w:val="en-GB"/>
              </w:rPr>
            </w:pPr>
            <w:r w:rsidRPr="00A616C3">
              <w:rPr>
                <w:lang w:val="en-GB"/>
              </w:rPr>
              <w:t xml:space="preserve">Ear and Labyrinth Disorders </w:t>
            </w:r>
          </w:p>
        </w:tc>
        <w:tc>
          <w:tcPr>
            <w:tcW w:w="2372" w:type="pct"/>
            <w:vAlign w:val="center"/>
          </w:tcPr>
          <w:p w:rsidR="00C50A71" w:rsidRPr="00A616C3" w:rsidRDefault="00C50A71" w:rsidP="007B14B1">
            <w:pPr>
              <w:spacing w:after="60"/>
              <w:rPr>
                <w:lang w:val="en-GB"/>
              </w:rPr>
            </w:pPr>
            <w:r w:rsidRPr="00A616C3">
              <w:rPr>
                <w:lang w:val="en-GB"/>
              </w:rPr>
              <w:t>Deafness</w:t>
            </w:r>
          </w:p>
        </w:tc>
        <w:tc>
          <w:tcPr>
            <w:tcW w:w="1104" w:type="pct"/>
            <w:shd w:val="clear" w:color="auto" w:fill="auto"/>
            <w:vAlign w:val="center"/>
          </w:tcPr>
          <w:p w:rsidR="00C50A71" w:rsidRPr="00A616C3" w:rsidRDefault="00C50A71" w:rsidP="007B14B1">
            <w:pPr>
              <w:spacing w:after="60"/>
              <w:rPr>
                <w:lang w:val="en-GB"/>
              </w:rPr>
            </w:pPr>
            <w:r w:rsidRPr="00A616C3">
              <w:rPr>
                <w:lang w:val="en-GB"/>
              </w:rPr>
              <w:t>Uncommon</w:t>
            </w:r>
          </w:p>
        </w:tc>
      </w:tr>
      <w:tr w:rsidR="00981F4D" w:rsidRPr="00A616C3" w:rsidTr="00AA67B5">
        <w:trPr>
          <w:trHeight w:val="261"/>
        </w:trPr>
        <w:tc>
          <w:tcPr>
            <w:tcW w:w="1524" w:type="pct"/>
            <w:vMerge w:val="restart"/>
          </w:tcPr>
          <w:p w:rsidR="00981F4D" w:rsidRPr="00A616C3" w:rsidRDefault="00981F4D" w:rsidP="007B14B1">
            <w:pPr>
              <w:spacing w:after="60"/>
              <w:rPr>
                <w:lang w:val="en-GB"/>
              </w:rPr>
            </w:pPr>
            <w:r w:rsidRPr="00A616C3">
              <w:rPr>
                <w:lang w:val="en-GB"/>
              </w:rPr>
              <w:t>Cardiac disorders</w:t>
            </w:r>
          </w:p>
        </w:tc>
        <w:tc>
          <w:tcPr>
            <w:tcW w:w="2372" w:type="pct"/>
            <w:vAlign w:val="center"/>
          </w:tcPr>
          <w:p w:rsidR="00981F4D" w:rsidRPr="00A616C3" w:rsidRDefault="00CB46A6" w:rsidP="007B14B1">
            <w:pPr>
              <w:spacing w:after="60"/>
              <w:rPr>
                <w:lang w:val="en-GB"/>
              </w:rPr>
            </w:pPr>
            <w:r w:rsidRPr="00A616C3">
              <w:rPr>
                <w:vertAlign w:val="superscript"/>
                <w:lang w:val="en-GB"/>
              </w:rPr>
              <w:t>3</w:t>
            </w:r>
            <w:r w:rsidR="00981F4D" w:rsidRPr="00A616C3">
              <w:rPr>
                <w:lang w:val="en-GB"/>
              </w:rPr>
              <w:t>Blood pressure decreased</w:t>
            </w:r>
          </w:p>
        </w:tc>
        <w:tc>
          <w:tcPr>
            <w:tcW w:w="1104" w:type="pct"/>
            <w:shd w:val="clear" w:color="auto" w:fill="auto"/>
            <w:vAlign w:val="center"/>
          </w:tcPr>
          <w:p w:rsidR="00981F4D" w:rsidRPr="00A616C3" w:rsidRDefault="00981F4D" w:rsidP="007B14B1">
            <w:pPr>
              <w:spacing w:after="60"/>
              <w:rPr>
                <w:vertAlign w:val="superscript"/>
                <w:lang w:val="en-GB"/>
              </w:rPr>
            </w:pPr>
            <w:r w:rsidRPr="00A616C3">
              <w:rPr>
                <w:lang w:val="en-GB"/>
              </w:rPr>
              <w:t>Very common</w:t>
            </w:r>
          </w:p>
        </w:tc>
      </w:tr>
      <w:tr w:rsidR="00981F4D" w:rsidRPr="00A616C3" w:rsidTr="00AA67B5">
        <w:trPr>
          <w:trHeight w:val="261"/>
        </w:trPr>
        <w:tc>
          <w:tcPr>
            <w:tcW w:w="1524" w:type="pct"/>
            <w:vMerge/>
          </w:tcPr>
          <w:p w:rsidR="00981F4D" w:rsidRPr="00A616C3" w:rsidRDefault="00981F4D" w:rsidP="007B14B1">
            <w:pPr>
              <w:spacing w:after="60"/>
              <w:rPr>
                <w:lang w:val="en-GB"/>
              </w:rPr>
            </w:pPr>
          </w:p>
        </w:tc>
        <w:tc>
          <w:tcPr>
            <w:tcW w:w="2372" w:type="pct"/>
            <w:vAlign w:val="center"/>
          </w:tcPr>
          <w:p w:rsidR="00981F4D" w:rsidRPr="00A616C3" w:rsidRDefault="00CB46A6" w:rsidP="007B14B1">
            <w:pPr>
              <w:spacing w:after="60"/>
              <w:rPr>
                <w:lang w:val="en-GB"/>
              </w:rPr>
            </w:pPr>
            <w:r w:rsidRPr="00A616C3">
              <w:rPr>
                <w:vertAlign w:val="superscript"/>
                <w:lang w:val="en-GB"/>
              </w:rPr>
              <w:t>3</w:t>
            </w:r>
            <w:r w:rsidR="00981F4D" w:rsidRPr="00A616C3">
              <w:rPr>
                <w:lang w:val="en-GB"/>
              </w:rPr>
              <w:t>Blood pressure increased</w:t>
            </w:r>
          </w:p>
        </w:tc>
        <w:tc>
          <w:tcPr>
            <w:tcW w:w="1104" w:type="pct"/>
            <w:shd w:val="clear" w:color="auto" w:fill="auto"/>
            <w:vAlign w:val="center"/>
          </w:tcPr>
          <w:p w:rsidR="00981F4D" w:rsidRPr="00A616C3" w:rsidRDefault="00981F4D" w:rsidP="007B14B1">
            <w:pPr>
              <w:spacing w:after="60"/>
              <w:rPr>
                <w:vertAlign w:val="superscript"/>
                <w:lang w:val="en-GB"/>
              </w:rPr>
            </w:pPr>
            <w:r w:rsidRPr="00A616C3">
              <w:rPr>
                <w:lang w:val="en-GB"/>
              </w:rPr>
              <w:t>Very common</w:t>
            </w:r>
          </w:p>
        </w:tc>
      </w:tr>
      <w:tr w:rsidR="00981F4D" w:rsidRPr="00A616C3" w:rsidTr="00AA67B5">
        <w:trPr>
          <w:trHeight w:val="261"/>
        </w:trPr>
        <w:tc>
          <w:tcPr>
            <w:tcW w:w="1524" w:type="pct"/>
            <w:vMerge/>
          </w:tcPr>
          <w:p w:rsidR="00981F4D" w:rsidRPr="00A616C3" w:rsidRDefault="00981F4D" w:rsidP="007B14B1">
            <w:pPr>
              <w:spacing w:after="60"/>
              <w:rPr>
                <w:lang w:val="en-GB"/>
              </w:rPr>
            </w:pPr>
          </w:p>
        </w:tc>
        <w:tc>
          <w:tcPr>
            <w:tcW w:w="2372" w:type="pct"/>
            <w:vAlign w:val="center"/>
          </w:tcPr>
          <w:p w:rsidR="00981F4D" w:rsidRPr="00A616C3" w:rsidRDefault="00CB46A6" w:rsidP="000F6DB9">
            <w:pPr>
              <w:spacing w:after="60"/>
              <w:rPr>
                <w:lang w:val="en-GB"/>
              </w:rPr>
            </w:pPr>
            <w:r w:rsidRPr="00A616C3">
              <w:rPr>
                <w:vertAlign w:val="superscript"/>
                <w:lang w:val="en-GB"/>
              </w:rPr>
              <w:t>3</w:t>
            </w:r>
            <w:r w:rsidR="00981F4D" w:rsidRPr="00A616C3">
              <w:rPr>
                <w:lang w:val="en-GB"/>
              </w:rPr>
              <w:t>Heart beat irregular</w:t>
            </w:r>
          </w:p>
        </w:tc>
        <w:tc>
          <w:tcPr>
            <w:tcW w:w="1104" w:type="pct"/>
            <w:shd w:val="clear" w:color="auto" w:fill="auto"/>
            <w:vAlign w:val="center"/>
          </w:tcPr>
          <w:p w:rsidR="00981F4D" w:rsidRPr="00A616C3" w:rsidRDefault="00981F4D" w:rsidP="007B14B1">
            <w:pPr>
              <w:spacing w:after="60"/>
              <w:rPr>
                <w:vertAlign w:val="superscript"/>
                <w:lang w:val="en-GB"/>
              </w:rPr>
            </w:pPr>
            <w:r w:rsidRPr="00A616C3">
              <w:rPr>
                <w:lang w:val="en-GB"/>
              </w:rPr>
              <w:t>Very common</w:t>
            </w:r>
          </w:p>
        </w:tc>
      </w:tr>
      <w:tr w:rsidR="00981F4D" w:rsidRPr="00A616C3" w:rsidTr="00AA67B5">
        <w:trPr>
          <w:trHeight w:val="261"/>
        </w:trPr>
        <w:tc>
          <w:tcPr>
            <w:tcW w:w="1524" w:type="pct"/>
            <w:vMerge/>
          </w:tcPr>
          <w:p w:rsidR="00981F4D" w:rsidRPr="00A616C3" w:rsidRDefault="00981F4D" w:rsidP="007B14B1">
            <w:pPr>
              <w:spacing w:after="60"/>
              <w:rPr>
                <w:lang w:val="en-GB"/>
              </w:rPr>
            </w:pPr>
          </w:p>
        </w:tc>
        <w:tc>
          <w:tcPr>
            <w:tcW w:w="2372" w:type="pct"/>
            <w:vAlign w:val="center"/>
          </w:tcPr>
          <w:p w:rsidR="00981F4D" w:rsidRPr="00A616C3" w:rsidRDefault="00181F28" w:rsidP="00524712">
            <w:pPr>
              <w:spacing w:after="60"/>
              <w:rPr>
                <w:lang w:val="en-GB"/>
              </w:rPr>
            </w:pPr>
            <w:r w:rsidRPr="00A616C3">
              <w:rPr>
                <w:vertAlign w:val="superscript"/>
                <w:lang w:val="en-GB"/>
              </w:rPr>
              <w:t>3</w:t>
            </w:r>
            <w:r w:rsidR="00981F4D" w:rsidRPr="00A616C3">
              <w:rPr>
                <w:lang w:val="en-GB"/>
              </w:rPr>
              <w:t>Palpitation</w:t>
            </w:r>
          </w:p>
        </w:tc>
        <w:tc>
          <w:tcPr>
            <w:tcW w:w="1104" w:type="pct"/>
            <w:shd w:val="clear" w:color="auto" w:fill="auto"/>
            <w:vAlign w:val="center"/>
          </w:tcPr>
          <w:p w:rsidR="00981F4D" w:rsidRPr="00A616C3" w:rsidRDefault="00981F4D" w:rsidP="007B14B1">
            <w:pPr>
              <w:spacing w:after="60"/>
              <w:rPr>
                <w:lang w:val="en-GB"/>
              </w:rPr>
            </w:pPr>
            <w:r w:rsidRPr="00A616C3">
              <w:rPr>
                <w:lang w:val="en-GB"/>
              </w:rPr>
              <w:t>Very common</w:t>
            </w:r>
          </w:p>
        </w:tc>
      </w:tr>
      <w:tr w:rsidR="00981F4D" w:rsidRPr="00A616C3" w:rsidTr="00AA67B5">
        <w:trPr>
          <w:trHeight w:val="259"/>
        </w:trPr>
        <w:tc>
          <w:tcPr>
            <w:tcW w:w="1524" w:type="pct"/>
            <w:vMerge/>
          </w:tcPr>
          <w:p w:rsidR="00981F4D" w:rsidRPr="00A616C3" w:rsidRDefault="00981F4D" w:rsidP="007B14B1">
            <w:pPr>
              <w:spacing w:after="60"/>
              <w:rPr>
                <w:lang w:val="en-GB"/>
              </w:rPr>
            </w:pPr>
          </w:p>
        </w:tc>
        <w:tc>
          <w:tcPr>
            <w:tcW w:w="2372" w:type="pct"/>
            <w:vAlign w:val="center"/>
          </w:tcPr>
          <w:p w:rsidR="00981F4D" w:rsidRPr="00A616C3" w:rsidRDefault="009F2C9C" w:rsidP="007B14B1">
            <w:pPr>
              <w:spacing w:after="60"/>
              <w:rPr>
                <w:lang w:val="en-GB"/>
              </w:rPr>
            </w:pPr>
            <w:r w:rsidRPr="00A616C3">
              <w:rPr>
                <w:vertAlign w:val="superscript"/>
                <w:lang w:val="en-GB"/>
              </w:rPr>
              <w:t>3</w:t>
            </w:r>
            <w:r w:rsidR="00981F4D" w:rsidRPr="00A616C3">
              <w:rPr>
                <w:lang w:val="en-GB"/>
              </w:rPr>
              <w:t>Cardiac flutter</w:t>
            </w:r>
          </w:p>
        </w:tc>
        <w:tc>
          <w:tcPr>
            <w:tcW w:w="1104" w:type="pct"/>
            <w:shd w:val="clear" w:color="auto" w:fill="auto"/>
            <w:vAlign w:val="center"/>
          </w:tcPr>
          <w:p w:rsidR="00981F4D" w:rsidRPr="00A616C3" w:rsidRDefault="00981F4D" w:rsidP="007B14B1">
            <w:pPr>
              <w:spacing w:after="60"/>
              <w:rPr>
                <w:lang w:val="en-GB"/>
              </w:rPr>
            </w:pPr>
            <w:r w:rsidRPr="00A616C3">
              <w:rPr>
                <w:lang w:val="en-GB"/>
              </w:rPr>
              <w:t>Very common</w:t>
            </w:r>
          </w:p>
        </w:tc>
      </w:tr>
      <w:tr w:rsidR="00181F28" w:rsidRPr="00A616C3" w:rsidTr="00AA67B5">
        <w:trPr>
          <w:trHeight w:val="259"/>
        </w:trPr>
        <w:tc>
          <w:tcPr>
            <w:tcW w:w="1524" w:type="pct"/>
            <w:vMerge/>
          </w:tcPr>
          <w:p w:rsidR="00181F28" w:rsidRPr="00A616C3" w:rsidRDefault="00181F28" w:rsidP="007B14B1">
            <w:pPr>
              <w:spacing w:after="60"/>
              <w:rPr>
                <w:lang w:val="en-GB"/>
              </w:rPr>
            </w:pPr>
          </w:p>
        </w:tc>
        <w:tc>
          <w:tcPr>
            <w:tcW w:w="2372" w:type="pct"/>
            <w:vAlign w:val="center"/>
          </w:tcPr>
          <w:p w:rsidR="00181F28" w:rsidRPr="00A616C3" w:rsidDel="009F2C9C" w:rsidRDefault="00181F28" w:rsidP="007B14B1">
            <w:pPr>
              <w:spacing w:after="60"/>
              <w:rPr>
                <w:vertAlign w:val="superscript"/>
                <w:lang w:val="en-GB"/>
              </w:rPr>
            </w:pPr>
            <w:r w:rsidRPr="00A616C3">
              <w:rPr>
                <w:rFonts w:ascii="Times New Roman Bold" w:hAnsi="Times New Roman Bold"/>
                <w:b/>
                <w:vertAlign w:val="superscript"/>
                <w:lang w:val="en-GB"/>
              </w:rPr>
              <w:t>4</w:t>
            </w:r>
            <w:r w:rsidRPr="00A616C3">
              <w:rPr>
                <w:lang w:val="en-GB"/>
              </w:rPr>
              <w:t>Ejection fraction decreased</w:t>
            </w:r>
          </w:p>
        </w:tc>
        <w:tc>
          <w:tcPr>
            <w:tcW w:w="1104" w:type="pct"/>
            <w:shd w:val="clear" w:color="auto" w:fill="auto"/>
            <w:vAlign w:val="center"/>
          </w:tcPr>
          <w:p w:rsidR="00181F28" w:rsidRPr="00A616C3" w:rsidRDefault="00181F28" w:rsidP="007B14B1">
            <w:pPr>
              <w:spacing w:after="60"/>
              <w:rPr>
                <w:lang w:val="en-GB"/>
              </w:rPr>
            </w:pPr>
            <w:r w:rsidRPr="00A616C3">
              <w:rPr>
                <w:lang w:val="en-GB"/>
              </w:rPr>
              <w:t>Very common</w:t>
            </w:r>
          </w:p>
        </w:tc>
      </w:tr>
      <w:tr w:rsidR="00981F4D" w:rsidRPr="00A616C3" w:rsidTr="00AA67B5">
        <w:trPr>
          <w:trHeight w:val="231"/>
        </w:trPr>
        <w:tc>
          <w:tcPr>
            <w:tcW w:w="1524" w:type="pct"/>
            <w:vMerge/>
          </w:tcPr>
          <w:p w:rsidR="00981F4D" w:rsidRPr="00A616C3" w:rsidRDefault="00981F4D" w:rsidP="007B14B1">
            <w:pPr>
              <w:spacing w:after="60"/>
              <w:rPr>
                <w:lang w:val="en-GB"/>
              </w:rPr>
            </w:pPr>
          </w:p>
        </w:tc>
        <w:tc>
          <w:tcPr>
            <w:tcW w:w="2372" w:type="pct"/>
            <w:vAlign w:val="center"/>
          </w:tcPr>
          <w:p w:rsidR="00981F4D" w:rsidRPr="00A616C3" w:rsidRDefault="00CB46A6" w:rsidP="001D57EA">
            <w:pPr>
              <w:spacing w:after="60"/>
              <w:rPr>
                <w:lang w:val="en-GB"/>
              </w:rPr>
            </w:pPr>
            <w:r w:rsidRPr="00A616C3">
              <w:rPr>
                <w:rFonts w:ascii="Times New Roman Bold" w:hAnsi="Times New Roman Bold"/>
                <w:b/>
                <w:vertAlign w:val="superscript"/>
                <w:lang w:val="en-GB"/>
              </w:rPr>
              <w:t>2</w:t>
            </w:r>
            <w:r w:rsidR="00981F4D" w:rsidRPr="00A616C3">
              <w:rPr>
                <w:lang w:val="en-GB"/>
              </w:rPr>
              <w:t>Cardiac failure</w:t>
            </w:r>
            <w:r w:rsidR="00981F4D" w:rsidRPr="00A616C3" w:rsidDel="003C0914">
              <w:rPr>
                <w:lang w:val="en-GB"/>
              </w:rPr>
              <w:t xml:space="preserve"> </w:t>
            </w:r>
            <w:r w:rsidR="00981F4D" w:rsidRPr="00A616C3">
              <w:rPr>
                <w:lang w:val="en-GB"/>
              </w:rPr>
              <w:t>(congestive)</w:t>
            </w:r>
          </w:p>
        </w:tc>
        <w:tc>
          <w:tcPr>
            <w:tcW w:w="1104" w:type="pct"/>
            <w:shd w:val="clear" w:color="auto" w:fill="auto"/>
            <w:vAlign w:val="center"/>
          </w:tcPr>
          <w:p w:rsidR="00981F4D" w:rsidRPr="00A616C3" w:rsidRDefault="00981F4D" w:rsidP="00C50A71">
            <w:pPr>
              <w:spacing w:after="60"/>
              <w:rPr>
                <w:lang w:val="en-GB"/>
              </w:rPr>
            </w:pPr>
            <w:r w:rsidRPr="00A616C3">
              <w:rPr>
                <w:lang w:val="en-GB"/>
              </w:rPr>
              <w:t>Common</w:t>
            </w:r>
            <w:r w:rsidRPr="00A616C3" w:rsidDel="00C63E68">
              <w:rPr>
                <w:lang w:val="en-GB"/>
              </w:rPr>
              <w:t xml:space="preserve"> </w:t>
            </w:r>
          </w:p>
        </w:tc>
      </w:tr>
      <w:tr w:rsidR="00981F4D" w:rsidRPr="00A616C3" w:rsidTr="00AA67B5">
        <w:trPr>
          <w:trHeight w:val="127"/>
        </w:trPr>
        <w:tc>
          <w:tcPr>
            <w:tcW w:w="1524" w:type="pct"/>
            <w:vMerge/>
          </w:tcPr>
          <w:p w:rsidR="00981F4D" w:rsidRPr="00A616C3" w:rsidRDefault="00981F4D" w:rsidP="007B14B1">
            <w:pPr>
              <w:spacing w:after="60"/>
              <w:rPr>
                <w:lang w:val="en-GB"/>
              </w:rPr>
            </w:pPr>
          </w:p>
        </w:tc>
        <w:tc>
          <w:tcPr>
            <w:tcW w:w="2372" w:type="pct"/>
            <w:vAlign w:val="center"/>
          </w:tcPr>
          <w:p w:rsidR="00981F4D" w:rsidRPr="00A616C3" w:rsidRDefault="00CB46A6" w:rsidP="00CB46A6">
            <w:pPr>
              <w:spacing w:after="60"/>
              <w:rPr>
                <w:lang w:val="en-GB"/>
              </w:rPr>
            </w:pPr>
            <w:r w:rsidRPr="00A616C3">
              <w:rPr>
                <w:rFonts w:ascii="Times New Roman Bold" w:hAnsi="Times New Roman Bold"/>
                <w:b/>
                <w:vertAlign w:val="superscript"/>
                <w:lang w:val="en-GB"/>
              </w:rPr>
              <w:t>2,3</w:t>
            </w:r>
            <w:r w:rsidR="00981F4D" w:rsidRPr="00A616C3">
              <w:rPr>
                <w:lang w:val="en-GB"/>
              </w:rPr>
              <w:t>Supraventricular tachyarrhythmia</w:t>
            </w:r>
          </w:p>
        </w:tc>
        <w:tc>
          <w:tcPr>
            <w:tcW w:w="1104" w:type="pct"/>
            <w:shd w:val="clear" w:color="auto" w:fill="auto"/>
            <w:vAlign w:val="center"/>
          </w:tcPr>
          <w:p w:rsidR="00981F4D" w:rsidRPr="00A616C3" w:rsidRDefault="00981F4D" w:rsidP="007B14B1">
            <w:pPr>
              <w:spacing w:after="60"/>
              <w:rPr>
                <w:lang w:val="en-GB"/>
              </w:rPr>
            </w:pPr>
            <w:r w:rsidRPr="00A616C3">
              <w:rPr>
                <w:lang w:val="en-GB"/>
              </w:rPr>
              <w:t>Common</w:t>
            </w:r>
          </w:p>
        </w:tc>
      </w:tr>
      <w:tr w:rsidR="00981F4D" w:rsidRPr="00A616C3" w:rsidTr="00AA67B5">
        <w:trPr>
          <w:trHeight w:val="201"/>
        </w:trPr>
        <w:tc>
          <w:tcPr>
            <w:tcW w:w="1524" w:type="pct"/>
            <w:vMerge/>
          </w:tcPr>
          <w:p w:rsidR="00981F4D" w:rsidRPr="00A616C3" w:rsidRDefault="00981F4D" w:rsidP="007B14B1">
            <w:pPr>
              <w:spacing w:after="60"/>
              <w:rPr>
                <w:lang w:val="en-GB"/>
              </w:rPr>
            </w:pPr>
          </w:p>
        </w:tc>
        <w:tc>
          <w:tcPr>
            <w:tcW w:w="2372" w:type="pct"/>
            <w:vAlign w:val="center"/>
          </w:tcPr>
          <w:p w:rsidR="00981F4D" w:rsidRPr="00A616C3" w:rsidRDefault="00981F4D" w:rsidP="007B14B1">
            <w:pPr>
              <w:spacing w:after="60"/>
              <w:rPr>
                <w:lang w:val="en-GB"/>
              </w:rPr>
            </w:pPr>
            <w:r w:rsidRPr="00A616C3">
              <w:rPr>
                <w:lang w:val="en-GB"/>
              </w:rPr>
              <w:t>Cardiomyopathy</w:t>
            </w:r>
          </w:p>
        </w:tc>
        <w:tc>
          <w:tcPr>
            <w:tcW w:w="1104" w:type="pct"/>
            <w:shd w:val="clear" w:color="auto" w:fill="auto"/>
            <w:vAlign w:val="center"/>
          </w:tcPr>
          <w:p w:rsidR="00981F4D" w:rsidRPr="00A616C3" w:rsidRDefault="00981F4D" w:rsidP="007B14B1">
            <w:pPr>
              <w:spacing w:after="60"/>
              <w:rPr>
                <w:lang w:val="en-GB"/>
              </w:rPr>
            </w:pPr>
            <w:r w:rsidRPr="00A616C3">
              <w:rPr>
                <w:lang w:val="en-GB"/>
              </w:rPr>
              <w:t>Common</w:t>
            </w:r>
          </w:p>
        </w:tc>
      </w:tr>
      <w:tr w:rsidR="00981F4D" w:rsidRPr="00A616C3" w:rsidTr="00AA67B5">
        <w:trPr>
          <w:trHeight w:val="120"/>
        </w:trPr>
        <w:tc>
          <w:tcPr>
            <w:tcW w:w="1524" w:type="pct"/>
            <w:vMerge/>
          </w:tcPr>
          <w:p w:rsidR="00981F4D" w:rsidRPr="00A616C3" w:rsidRDefault="00981F4D" w:rsidP="007B14B1">
            <w:pPr>
              <w:spacing w:after="60"/>
              <w:rPr>
                <w:lang w:val="en-GB"/>
              </w:rPr>
            </w:pPr>
          </w:p>
        </w:tc>
        <w:tc>
          <w:tcPr>
            <w:tcW w:w="2372" w:type="pct"/>
            <w:vAlign w:val="center"/>
          </w:tcPr>
          <w:p w:rsidR="00981F4D" w:rsidRPr="00A616C3" w:rsidRDefault="00981F4D" w:rsidP="007B14B1">
            <w:pPr>
              <w:spacing w:after="60"/>
              <w:rPr>
                <w:lang w:val="en-GB"/>
              </w:rPr>
            </w:pPr>
            <w:r w:rsidRPr="00A616C3">
              <w:rPr>
                <w:lang w:val="en-GB"/>
              </w:rPr>
              <w:t>Pericardial effusion</w:t>
            </w:r>
          </w:p>
        </w:tc>
        <w:tc>
          <w:tcPr>
            <w:tcW w:w="1104" w:type="pct"/>
            <w:shd w:val="clear" w:color="auto" w:fill="auto"/>
            <w:vAlign w:val="center"/>
          </w:tcPr>
          <w:p w:rsidR="00981F4D" w:rsidRPr="00A616C3" w:rsidRDefault="00981F4D" w:rsidP="007B14B1">
            <w:pPr>
              <w:spacing w:after="60"/>
              <w:rPr>
                <w:lang w:val="en-GB"/>
              </w:rPr>
            </w:pPr>
            <w:r w:rsidRPr="00A616C3">
              <w:rPr>
                <w:lang w:val="en-GB"/>
              </w:rPr>
              <w:t>Uncommon</w:t>
            </w:r>
          </w:p>
        </w:tc>
      </w:tr>
      <w:tr w:rsidR="00981F4D" w:rsidRPr="00A616C3" w:rsidTr="00AA67B5">
        <w:trPr>
          <w:trHeight w:val="120"/>
        </w:trPr>
        <w:tc>
          <w:tcPr>
            <w:tcW w:w="1524" w:type="pct"/>
            <w:vMerge/>
          </w:tcPr>
          <w:p w:rsidR="00981F4D" w:rsidRPr="00A616C3" w:rsidRDefault="00981F4D" w:rsidP="007B14B1">
            <w:pPr>
              <w:spacing w:after="60"/>
              <w:rPr>
                <w:lang w:val="en-GB"/>
              </w:rPr>
            </w:pPr>
          </w:p>
        </w:tc>
        <w:tc>
          <w:tcPr>
            <w:tcW w:w="2372" w:type="pct"/>
            <w:vAlign w:val="center"/>
          </w:tcPr>
          <w:p w:rsidR="00981F4D" w:rsidRPr="00A616C3" w:rsidRDefault="00981F4D" w:rsidP="007B14B1">
            <w:pPr>
              <w:spacing w:after="60"/>
              <w:rPr>
                <w:lang w:val="en-GB"/>
              </w:rPr>
            </w:pPr>
            <w:r w:rsidRPr="00A616C3">
              <w:rPr>
                <w:lang w:val="en-GB"/>
              </w:rPr>
              <w:t>Cardiogenic shock</w:t>
            </w:r>
          </w:p>
        </w:tc>
        <w:tc>
          <w:tcPr>
            <w:tcW w:w="1104" w:type="pct"/>
            <w:shd w:val="clear" w:color="auto" w:fill="auto"/>
            <w:vAlign w:val="center"/>
          </w:tcPr>
          <w:p w:rsidR="00981F4D" w:rsidRPr="00A616C3" w:rsidRDefault="00981F4D" w:rsidP="007B14B1">
            <w:pPr>
              <w:spacing w:after="60"/>
              <w:rPr>
                <w:lang w:val="en-GB"/>
              </w:rPr>
            </w:pPr>
            <w:r w:rsidRPr="00A616C3">
              <w:rPr>
                <w:lang w:val="en-GB"/>
              </w:rPr>
              <w:t>Not known</w:t>
            </w:r>
          </w:p>
        </w:tc>
      </w:tr>
      <w:tr w:rsidR="00981F4D" w:rsidRPr="00A616C3" w:rsidTr="00AA67B5">
        <w:trPr>
          <w:trHeight w:val="120"/>
        </w:trPr>
        <w:tc>
          <w:tcPr>
            <w:tcW w:w="1524" w:type="pct"/>
            <w:vMerge/>
          </w:tcPr>
          <w:p w:rsidR="00981F4D" w:rsidRPr="00A616C3" w:rsidRDefault="00981F4D" w:rsidP="007B14B1">
            <w:pPr>
              <w:spacing w:after="60"/>
              <w:rPr>
                <w:lang w:val="en-GB"/>
              </w:rPr>
            </w:pPr>
          </w:p>
        </w:tc>
        <w:tc>
          <w:tcPr>
            <w:tcW w:w="2372" w:type="pct"/>
            <w:vAlign w:val="center"/>
          </w:tcPr>
          <w:p w:rsidR="00981F4D" w:rsidRPr="00A616C3" w:rsidRDefault="00981F4D" w:rsidP="007B14B1">
            <w:pPr>
              <w:spacing w:after="60"/>
              <w:rPr>
                <w:lang w:val="en-GB"/>
              </w:rPr>
            </w:pPr>
            <w:r w:rsidRPr="00A616C3">
              <w:rPr>
                <w:lang w:val="en-GB"/>
              </w:rPr>
              <w:t>Pericarditis</w:t>
            </w:r>
          </w:p>
        </w:tc>
        <w:tc>
          <w:tcPr>
            <w:tcW w:w="1104" w:type="pct"/>
            <w:shd w:val="clear" w:color="auto" w:fill="auto"/>
            <w:vAlign w:val="center"/>
          </w:tcPr>
          <w:p w:rsidR="00981F4D" w:rsidRPr="00A616C3" w:rsidRDefault="00981F4D" w:rsidP="007B14B1">
            <w:pPr>
              <w:spacing w:after="60"/>
              <w:rPr>
                <w:lang w:val="en-GB"/>
              </w:rPr>
            </w:pPr>
            <w:r w:rsidRPr="00A616C3">
              <w:rPr>
                <w:lang w:val="en-GB"/>
              </w:rPr>
              <w:t>Not known</w:t>
            </w:r>
          </w:p>
        </w:tc>
      </w:tr>
      <w:tr w:rsidR="00981F4D" w:rsidRPr="00A616C3" w:rsidTr="00AA67B5">
        <w:trPr>
          <w:trHeight w:val="120"/>
        </w:trPr>
        <w:tc>
          <w:tcPr>
            <w:tcW w:w="1524" w:type="pct"/>
            <w:vMerge/>
          </w:tcPr>
          <w:p w:rsidR="00981F4D" w:rsidRPr="00A616C3" w:rsidRDefault="00981F4D" w:rsidP="007B14B1">
            <w:pPr>
              <w:spacing w:after="60"/>
              <w:rPr>
                <w:lang w:val="en-GB"/>
              </w:rPr>
            </w:pPr>
          </w:p>
        </w:tc>
        <w:tc>
          <w:tcPr>
            <w:tcW w:w="2372" w:type="pct"/>
            <w:vAlign w:val="center"/>
          </w:tcPr>
          <w:p w:rsidR="00981F4D" w:rsidRPr="00A616C3" w:rsidRDefault="00981F4D" w:rsidP="007B14B1">
            <w:pPr>
              <w:spacing w:after="60"/>
              <w:rPr>
                <w:vertAlign w:val="superscript"/>
                <w:lang w:val="en-GB"/>
              </w:rPr>
            </w:pPr>
            <w:r w:rsidRPr="00A616C3">
              <w:rPr>
                <w:lang w:val="en-GB"/>
              </w:rPr>
              <w:t>Bradycardia</w:t>
            </w:r>
          </w:p>
        </w:tc>
        <w:tc>
          <w:tcPr>
            <w:tcW w:w="1104" w:type="pct"/>
            <w:shd w:val="clear" w:color="auto" w:fill="auto"/>
            <w:vAlign w:val="center"/>
          </w:tcPr>
          <w:p w:rsidR="00981F4D" w:rsidRPr="00A616C3" w:rsidRDefault="00981F4D" w:rsidP="007B14B1">
            <w:pPr>
              <w:spacing w:after="60"/>
              <w:rPr>
                <w:lang w:val="en-GB"/>
              </w:rPr>
            </w:pPr>
            <w:r w:rsidRPr="00A616C3">
              <w:rPr>
                <w:lang w:val="en-GB"/>
              </w:rPr>
              <w:t>Not known</w:t>
            </w:r>
          </w:p>
        </w:tc>
      </w:tr>
      <w:tr w:rsidR="00981F4D" w:rsidRPr="00A616C3" w:rsidTr="00AA67B5">
        <w:trPr>
          <w:trHeight w:val="120"/>
        </w:trPr>
        <w:tc>
          <w:tcPr>
            <w:tcW w:w="1524" w:type="pct"/>
            <w:vMerge/>
          </w:tcPr>
          <w:p w:rsidR="00981F4D" w:rsidRPr="00A616C3" w:rsidRDefault="00981F4D" w:rsidP="007B14B1">
            <w:pPr>
              <w:spacing w:after="60"/>
              <w:rPr>
                <w:lang w:val="en-GB"/>
              </w:rPr>
            </w:pPr>
          </w:p>
        </w:tc>
        <w:tc>
          <w:tcPr>
            <w:tcW w:w="2372" w:type="pct"/>
            <w:vAlign w:val="center"/>
          </w:tcPr>
          <w:p w:rsidR="00981F4D" w:rsidRPr="00A616C3" w:rsidRDefault="00981F4D" w:rsidP="007B14B1">
            <w:pPr>
              <w:spacing w:after="60"/>
              <w:rPr>
                <w:lang w:val="en-GB"/>
              </w:rPr>
            </w:pPr>
            <w:r w:rsidRPr="00A616C3">
              <w:rPr>
                <w:lang w:val="en-GB"/>
              </w:rPr>
              <w:t>Gallop rhythm present</w:t>
            </w:r>
          </w:p>
        </w:tc>
        <w:tc>
          <w:tcPr>
            <w:tcW w:w="1104" w:type="pct"/>
            <w:shd w:val="clear" w:color="auto" w:fill="auto"/>
            <w:vAlign w:val="center"/>
          </w:tcPr>
          <w:p w:rsidR="00981F4D" w:rsidRPr="00A616C3" w:rsidRDefault="00981F4D" w:rsidP="007B14B1">
            <w:pPr>
              <w:spacing w:after="60"/>
              <w:rPr>
                <w:lang w:val="en-GB"/>
              </w:rPr>
            </w:pPr>
            <w:r w:rsidRPr="00A616C3">
              <w:rPr>
                <w:lang w:val="en-GB"/>
              </w:rPr>
              <w:t>Not known</w:t>
            </w:r>
          </w:p>
        </w:tc>
      </w:tr>
      <w:tr w:rsidR="008F060B" w:rsidRPr="00A616C3" w:rsidTr="00AA67B5">
        <w:trPr>
          <w:trHeight w:val="120"/>
        </w:trPr>
        <w:tc>
          <w:tcPr>
            <w:tcW w:w="1524" w:type="pct"/>
            <w:vMerge w:val="restart"/>
          </w:tcPr>
          <w:p w:rsidR="008F060B" w:rsidRPr="00A616C3" w:rsidRDefault="008F060B" w:rsidP="007B14B1">
            <w:pPr>
              <w:spacing w:after="60"/>
              <w:rPr>
                <w:lang w:val="en-GB"/>
              </w:rPr>
            </w:pPr>
            <w:r w:rsidRPr="00A616C3">
              <w:rPr>
                <w:lang w:val="en-GB"/>
              </w:rPr>
              <w:t>Vascular disorders</w:t>
            </w:r>
          </w:p>
          <w:p w:rsidR="008F060B" w:rsidRPr="00A616C3" w:rsidRDefault="008F060B" w:rsidP="007B14B1">
            <w:pPr>
              <w:spacing w:after="60"/>
              <w:rPr>
                <w:lang w:val="en-GB"/>
              </w:rPr>
            </w:pPr>
          </w:p>
          <w:p w:rsidR="008F060B" w:rsidRPr="00A616C3" w:rsidRDefault="008F060B" w:rsidP="007B14B1">
            <w:pPr>
              <w:spacing w:after="60"/>
              <w:rPr>
                <w:lang w:val="en-GB"/>
              </w:rPr>
            </w:pPr>
          </w:p>
        </w:tc>
        <w:tc>
          <w:tcPr>
            <w:tcW w:w="2372" w:type="pct"/>
            <w:vAlign w:val="center"/>
          </w:tcPr>
          <w:p w:rsidR="008F060B" w:rsidRPr="00A616C3" w:rsidRDefault="008F060B" w:rsidP="007B14B1">
            <w:pPr>
              <w:spacing w:after="60"/>
              <w:rPr>
                <w:lang w:val="en-GB"/>
              </w:rPr>
            </w:pPr>
            <w:proofErr w:type="spellStart"/>
            <w:r w:rsidRPr="00A616C3">
              <w:rPr>
                <w:lang w:val="en-GB"/>
              </w:rPr>
              <w:t>Lymphoedema</w:t>
            </w:r>
            <w:proofErr w:type="spellEnd"/>
          </w:p>
        </w:tc>
        <w:tc>
          <w:tcPr>
            <w:tcW w:w="1104" w:type="pct"/>
            <w:shd w:val="clear" w:color="auto" w:fill="auto"/>
            <w:vAlign w:val="center"/>
          </w:tcPr>
          <w:p w:rsidR="008F060B" w:rsidRPr="00A616C3" w:rsidRDefault="00520AA3" w:rsidP="00C50A71">
            <w:pPr>
              <w:spacing w:after="60"/>
              <w:rPr>
                <w:lang w:val="en-GB"/>
              </w:rPr>
            </w:pPr>
            <w:r w:rsidRPr="00A616C3">
              <w:rPr>
                <w:lang w:val="en-GB"/>
              </w:rPr>
              <w:t>Very c</w:t>
            </w:r>
            <w:r w:rsidR="008F060B" w:rsidRPr="00A616C3">
              <w:rPr>
                <w:lang w:val="en-GB"/>
              </w:rPr>
              <w:t>ommon</w:t>
            </w:r>
          </w:p>
        </w:tc>
      </w:tr>
      <w:tr w:rsidR="008F060B" w:rsidRPr="00A616C3" w:rsidTr="00AA67B5">
        <w:trPr>
          <w:trHeight w:val="120"/>
        </w:trPr>
        <w:tc>
          <w:tcPr>
            <w:tcW w:w="1524" w:type="pct"/>
            <w:vMerge/>
          </w:tcPr>
          <w:p w:rsidR="008F060B" w:rsidRPr="00A616C3" w:rsidRDefault="008F060B" w:rsidP="007B14B1">
            <w:pPr>
              <w:spacing w:after="60"/>
              <w:rPr>
                <w:lang w:val="en-GB"/>
              </w:rPr>
            </w:pPr>
          </w:p>
        </w:tc>
        <w:tc>
          <w:tcPr>
            <w:tcW w:w="2372" w:type="pct"/>
            <w:vAlign w:val="center"/>
          </w:tcPr>
          <w:p w:rsidR="008F060B" w:rsidRPr="00A616C3" w:rsidRDefault="008F060B" w:rsidP="007B14B1">
            <w:pPr>
              <w:spacing w:after="60"/>
              <w:rPr>
                <w:vertAlign w:val="superscript"/>
                <w:lang w:val="en-GB"/>
              </w:rPr>
            </w:pPr>
            <w:r w:rsidRPr="00A616C3">
              <w:rPr>
                <w:lang w:val="en-GB"/>
              </w:rPr>
              <w:t>Hot flush</w:t>
            </w:r>
          </w:p>
        </w:tc>
        <w:tc>
          <w:tcPr>
            <w:tcW w:w="1104" w:type="pct"/>
            <w:shd w:val="clear" w:color="auto" w:fill="auto"/>
            <w:vAlign w:val="center"/>
          </w:tcPr>
          <w:p w:rsidR="008F060B" w:rsidRPr="00A616C3" w:rsidRDefault="008F060B" w:rsidP="00C50A71">
            <w:pPr>
              <w:spacing w:after="60"/>
              <w:rPr>
                <w:lang w:val="en-GB"/>
              </w:rPr>
            </w:pPr>
            <w:r w:rsidRPr="00A616C3">
              <w:rPr>
                <w:lang w:val="en-GB"/>
              </w:rPr>
              <w:t>Very common</w:t>
            </w:r>
          </w:p>
        </w:tc>
      </w:tr>
      <w:tr w:rsidR="008F060B" w:rsidRPr="00A616C3" w:rsidTr="00AA67B5">
        <w:trPr>
          <w:trHeight w:val="120"/>
        </w:trPr>
        <w:tc>
          <w:tcPr>
            <w:tcW w:w="1524" w:type="pct"/>
            <w:vMerge/>
          </w:tcPr>
          <w:p w:rsidR="008F060B" w:rsidRPr="00A616C3" w:rsidRDefault="008F060B" w:rsidP="007B14B1">
            <w:pPr>
              <w:spacing w:after="60"/>
              <w:rPr>
                <w:lang w:val="en-GB"/>
              </w:rPr>
            </w:pPr>
          </w:p>
        </w:tc>
        <w:tc>
          <w:tcPr>
            <w:tcW w:w="2372" w:type="pct"/>
            <w:vAlign w:val="center"/>
          </w:tcPr>
          <w:p w:rsidR="008F060B" w:rsidRPr="00A616C3" w:rsidRDefault="008F060B" w:rsidP="00CB46A6">
            <w:pPr>
              <w:spacing w:after="60"/>
              <w:rPr>
                <w:lang w:val="en-GB"/>
              </w:rPr>
            </w:pPr>
            <w:r w:rsidRPr="00A616C3">
              <w:rPr>
                <w:vertAlign w:val="superscript"/>
                <w:lang w:val="en-GB"/>
              </w:rPr>
              <w:t>2,3</w:t>
            </w:r>
            <w:r w:rsidRPr="00A616C3">
              <w:rPr>
                <w:lang w:val="en-GB"/>
              </w:rPr>
              <w:t>Hypotension</w:t>
            </w:r>
          </w:p>
        </w:tc>
        <w:tc>
          <w:tcPr>
            <w:tcW w:w="1104" w:type="pct"/>
            <w:shd w:val="clear" w:color="auto" w:fill="auto"/>
            <w:vAlign w:val="center"/>
          </w:tcPr>
          <w:p w:rsidR="008F060B" w:rsidRPr="00A616C3" w:rsidRDefault="008F060B" w:rsidP="007B14B1">
            <w:pPr>
              <w:spacing w:after="60"/>
              <w:rPr>
                <w:lang w:val="en-GB"/>
              </w:rPr>
            </w:pPr>
            <w:r w:rsidRPr="00A616C3">
              <w:rPr>
                <w:lang w:val="en-GB"/>
              </w:rPr>
              <w:t>Common</w:t>
            </w:r>
          </w:p>
        </w:tc>
      </w:tr>
      <w:tr w:rsidR="00DB383C" w:rsidRPr="00A616C3" w:rsidTr="00AA67B5">
        <w:trPr>
          <w:trHeight w:val="120"/>
        </w:trPr>
        <w:tc>
          <w:tcPr>
            <w:tcW w:w="1524" w:type="pct"/>
            <w:vMerge/>
          </w:tcPr>
          <w:p w:rsidR="00DB383C" w:rsidRPr="00A616C3" w:rsidRDefault="00DB383C" w:rsidP="007B14B1">
            <w:pPr>
              <w:spacing w:after="60"/>
              <w:rPr>
                <w:lang w:val="en-GB"/>
              </w:rPr>
            </w:pPr>
          </w:p>
        </w:tc>
        <w:tc>
          <w:tcPr>
            <w:tcW w:w="2372" w:type="pct"/>
            <w:vAlign w:val="center"/>
          </w:tcPr>
          <w:p w:rsidR="00DB383C" w:rsidRPr="00A616C3" w:rsidRDefault="00DB383C" w:rsidP="00CB46A6">
            <w:pPr>
              <w:spacing w:after="60"/>
              <w:rPr>
                <w:lang w:val="en-GB"/>
              </w:rPr>
            </w:pPr>
            <w:r w:rsidRPr="00A616C3">
              <w:rPr>
                <w:lang w:val="en-GB"/>
              </w:rPr>
              <w:t>Hypertension</w:t>
            </w:r>
          </w:p>
        </w:tc>
        <w:tc>
          <w:tcPr>
            <w:tcW w:w="1104" w:type="pct"/>
            <w:shd w:val="clear" w:color="auto" w:fill="auto"/>
            <w:vAlign w:val="center"/>
          </w:tcPr>
          <w:p w:rsidR="00DB383C" w:rsidRPr="00A616C3" w:rsidRDefault="00DB383C" w:rsidP="007B14B1">
            <w:pPr>
              <w:spacing w:after="60"/>
              <w:rPr>
                <w:lang w:val="en-GB"/>
              </w:rPr>
            </w:pPr>
            <w:r w:rsidRPr="00A616C3">
              <w:rPr>
                <w:lang w:val="en-GB"/>
              </w:rPr>
              <w:t>Common</w:t>
            </w:r>
          </w:p>
        </w:tc>
      </w:tr>
      <w:tr w:rsidR="008F060B" w:rsidRPr="00A616C3" w:rsidTr="00AA67B5">
        <w:trPr>
          <w:trHeight w:val="120"/>
        </w:trPr>
        <w:tc>
          <w:tcPr>
            <w:tcW w:w="1524" w:type="pct"/>
            <w:vMerge/>
          </w:tcPr>
          <w:p w:rsidR="008F060B" w:rsidRPr="00A616C3" w:rsidRDefault="008F060B" w:rsidP="007B14B1">
            <w:pPr>
              <w:spacing w:after="60"/>
              <w:rPr>
                <w:lang w:val="en-GB"/>
              </w:rPr>
            </w:pPr>
          </w:p>
        </w:tc>
        <w:tc>
          <w:tcPr>
            <w:tcW w:w="2372" w:type="pct"/>
            <w:vAlign w:val="center"/>
          </w:tcPr>
          <w:p w:rsidR="008F060B" w:rsidRPr="00A616C3" w:rsidRDefault="008F060B" w:rsidP="007B14B1">
            <w:pPr>
              <w:spacing w:after="60"/>
              <w:rPr>
                <w:lang w:val="en-GB"/>
              </w:rPr>
            </w:pPr>
            <w:r w:rsidRPr="00A616C3">
              <w:rPr>
                <w:lang w:val="en-GB"/>
              </w:rPr>
              <w:t>Vasodilatation</w:t>
            </w:r>
          </w:p>
        </w:tc>
        <w:tc>
          <w:tcPr>
            <w:tcW w:w="1104" w:type="pct"/>
            <w:shd w:val="clear" w:color="auto" w:fill="auto"/>
            <w:vAlign w:val="center"/>
          </w:tcPr>
          <w:p w:rsidR="008F060B" w:rsidRPr="00A616C3" w:rsidRDefault="008F060B" w:rsidP="007B14B1">
            <w:pPr>
              <w:spacing w:after="60"/>
              <w:rPr>
                <w:lang w:val="en-GB"/>
              </w:rPr>
            </w:pPr>
            <w:r w:rsidRPr="00A616C3">
              <w:rPr>
                <w:lang w:val="en-GB"/>
              </w:rPr>
              <w:t>Common</w:t>
            </w:r>
          </w:p>
        </w:tc>
      </w:tr>
      <w:tr w:rsidR="007F68E8" w:rsidRPr="00A616C3" w:rsidTr="00AA67B5">
        <w:trPr>
          <w:trHeight w:val="267"/>
        </w:trPr>
        <w:tc>
          <w:tcPr>
            <w:tcW w:w="1524" w:type="pct"/>
            <w:vMerge w:val="restart"/>
          </w:tcPr>
          <w:p w:rsidR="007F68E8" w:rsidRPr="00A616C3" w:rsidRDefault="007F68E8" w:rsidP="007B14B1">
            <w:pPr>
              <w:spacing w:after="60"/>
              <w:rPr>
                <w:lang w:val="en-GB"/>
              </w:rPr>
            </w:pPr>
            <w:r w:rsidRPr="00A616C3">
              <w:rPr>
                <w:lang w:val="en-GB"/>
              </w:rPr>
              <w:t>Respiratory, thoracic and mediastinal disorders</w:t>
            </w:r>
          </w:p>
          <w:p w:rsidR="007F68E8" w:rsidRPr="00A616C3" w:rsidRDefault="007F68E8" w:rsidP="007B14B1">
            <w:pPr>
              <w:spacing w:after="60"/>
              <w:rPr>
                <w:lang w:val="en-GB"/>
              </w:rPr>
            </w:pPr>
          </w:p>
          <w:p w:rsidR="007F68E8" w:rsidRPr="00A616C3" w:rsidRDefault="007F68E8" w:rsidP="007B14B1">
            <w:pPr>
              <w:spacing w:after="60"/>
              <w:rPr>
                <w:lang w:val="en-GB"/>
              </w:rPr>
            </w:pPr>
          </w:p>
          <w:p w:rsidR="007F68E8" w:rsidRPr="00A616C3" w:rsidRDefault="007F68E8" w:rsidP="007B14B1">
            <w:pPr>
              <w:spacing w:after="60"/>
              <w:rPr>
                <w:lang w:val="en-GB"/>
              </w:rPr>
            </w:pPr>
          </w:p>
          <w:p w:rsidR="007F68E8" w:rsidRPr="00A616C3" w:rsidRDefault="007F68E8" w:rsidP="007B14B1">
            <w:pPr>
              <w:spacing w:after="60"/>
              <w:rPr>
                <w:lang w:val="en-GB"/>
              </w:rPr>
            </w:pPr>
          </w:p>
          <w:p w:rsidR="007F68E8" w:rsidRPr="00A616C3" w:rsidRDefault="007F68E8" w:rsidP="007B14B1">
            <w:pPr>
              <w:spacing w:after="60"/>
              <w:rPr>
                <w:lang w:val="en-GB"/>
              </w:rPr>
            </w:pPr>
          </w:p>
          <w:p w:rsidR="007F68E8" w:rsidRPr="00A616C3" w:rsidRDefault="007F68E8" w:rsidP="007B14B1">
            <w:pPr>
              <w:spacing w:after="60"/>
              <w:rPr>
                <w:lang w:val="en-GB"/>
              </w:rPr>
            </w:pPr>
          </w:p>
          <w:p w:rsidR="007F68E8" w:rsidRPr="00A616C3" w:rsidRDefault="007F68E8" w:rsidP="007B14B1">
            <w:pPr>
              <w:spacing w:after="60"/>
              <w:rPr>
                <w:lang w:val="en-GB"/>
              </w:rPr>
            </w:pPr>
          </w:p>
          <w:p w:rsidR="007F68E8" w:rsidRPr="00A616C3" w:rsidRDefault="007F68E8" w:rsidP="007B14B1">
            <w:pPr>
              <w:spacing w:after="60"/>
              <w:rPr>
                <w:lang w:val="en-GB"/>
              </w:rPr>
            </w:pPr>
          </w:p>
          <w:p w:rsidR="007F68E8" w:rsidRPr="00A616C3" w:rsidRDefault="007F68E8" w:rsidP="007B14B1">
            <w:pPr>
              <w:spacing w:after="60"/>
              <w:rPr>
                <w:lang w:val="en-GB"/>
              </w:rPr>
            </w:pPr>
          </w:p>
          <w:p w:rsidR="007F68E8" w:rsidRPr="00A616C3" w:rsidRDefault="007F68E8" w:rsidP="007B14B1">
            <w:pPr>
              <w:spacing w:after="60"/>
              <w:rPr>
                <w:lang w:val="en-GB"/>
              </w:rPr>
            </w:pPr>
          </w:p>
        </w:tc>
        <w:tc>
          <w:tcPr>
            <w:tcW w:w="2372" w:type="pct"/>
            <w:vAlign w:val="center"/>
          </w:tcPr>
          <w:p w:rsidR="007F68E8" w:rsidRPr="00A616C3" w:rsidRDefault="00F506C0" w:rsidP="00CB46A6">
            <w:pPr>
              <w:spacing w:after="60"/>
              <w:rPr>
                <w:lang w:val="en-GB"/>
              </w:rPr>
            </w:pPr>
            <w:r w:rsidRPr="00A616C3">
              <w:rPr>
                <w:vertAlign w:val="superscript"/>
                <w:lang w:val="en-GB"/>
              </w:rPr>
              <w:t>2,3</w:t>
            </w:r>
            <w:r w:rsidR="007F68E8" w:rsidRPr="00A616C3">
              <w:rPr>
                <w:lang w:val="en-GB"/>
              </w:rPr>
              <w:t>Wheezing</w:t>
            </w:r>
          </w:p>
        </w:tc>
        <w:tc>
          <w:tcPr>
            <w:tcW w:w="1104" w:type="pct"/>
            <w:shd w:val="clear" w:color="auto" w:fill="auto"/>
            <w:vAlign w:val="center"/>
          </w:tcPr>
          <w:p w:rsidR="007F68E8" w:rsidRPr="00A616C3" w:rsidRDefault="007F68E8" w:rsidP="007B14B1">
            <w:pPr>
              <w:spacing w:after="60"/>
              <w:rPr>
                <w:lang w:val="en-GB"/>
              </w:rPr>
            </w:pPr>
            <w:r w:rsidRPr="00A616C3">
              <w:rPr>
                <w:lang w:val="en-GB"/>
              </w:rPr>
              <w:t>Very common</w:t>
            </w:r>
          </w:p>
        </w:tc>
      </w:tr>
      <w:tr w:rsidR="007F68E8" w:rsidRPr="00A616C3" w:rsidTr="00AA67B5">
        <w:trPr>
          <w:trHeight w:val="128"/>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CB46A6" w:rsidP="00CB46A6">
            <w:pPr>
              <w:spacing w:after="60"/>
              <w:rPr>
                <w:lang w:val="en-GB"/>
              </w:rPr>
            </w:pPr>
            <w:r w:rsidRPr="00A616C3">
              <w:rPr>
                <w:rFonts w:ascii="Times New Roman Bold" w:hAnsi="Times New Roman Bold"/>
                <w:b/>
                <w:vertAlign w:val="superscript"/>
                <w:lang w:val="en-GB"/>
              </w:rPr>
              <w:t>2</w:t>
            </w:r>
            <w:r w:rsidR="007F68E8" w:rsidRPr="00A616C3">
              <w:rPr>
                <w:lang w:val="en-GB"/>
              </w:rPr>
              <w:t>Dyspnoea</w:t>
            </w:r>
          </w:p>
        </w:tc>
        <w:tc>
          <w:tcPr>
            <w:tcW w:w="1104" w:type="pct"/>
            <w:shd w:val="clear" w:color="auto" w:fill="auto"/>
            <w:vAlign w:val="center"/>
          </w:tcPr>
          <w:p w:rsidR="007F68E8" w:rsidRPr="00A616C3" w:rsidRDefault="007F68E8" w:rsidP="00C50A71">
            <w:pPr>
              <w:spacing w:after="60"/>
              <w:rPr>
                <w:lang w:val="en-GB"/>
              </w:rPr>
            </w:pPr>
            <w:r w:rsidRPr="00A616C3">
              <w:rPr>
                <w:lang w:val="en-GB"/>
              </w:rPr>
              <w:t>Very common</w:t>
            </w:r>
            <w:r w:rsidRPr="00A616C3" w:rsidDel="0044699C">
              <w:rPr>
                <w:lang w:val="en-GB"/>
              </w:rPr>
              <w:t xml:space="preserve"> </w:t>
            </w:r>
          </w:p>
        </w:tc>
      </w:tr>
      <w:tr w:rsidR="007F68E8" w:rsidRPr="00A616C3" w:rsidTr="00AA67B5">
        <w:trPr>
          <w:trHeight w:val="179"/>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Cough</w:t>
            </w:r>
          </w:p>
        </w:tc>
        <w:tc>
          <w:tcPr>
            <w:tcW w:w="1104" w:type="pct"/>
            <w:shd w:val="clear" w:color="auto" w:fill="auto"/>
            <w:vAlign w:val="center"/>
          </w:tcPr>
          <w:p w:rsidR="007F68E8" w:rsidRPr="00A616C3" w:rsidRDefault="007F68E8" w:rsidP="00C50A71">
            <w:pPr>
              <w:spacing w:after="60"/>
              <w:rPr>
                <w:lang w:val="en-GB"/>
              </w:rPr>
            </w:pPr>
            <w:r w:rsidRPr="00A616C3">
              <w:rPr>
                <w:lang w:val="en-GB"/>
              </w:rPr>
              <w:t xml:space="preserve">Very </w:t>
            </w:r>
            <w:r w:rsidR="00C50A71" w:rsidRPr="00A616C3">
              <w:rPr>
                <w:lang w:val="en-GB"/>
              </w:rPr>
              <w:t>c</w:t>
            </w:r>
            <w:r w:rsidRPr="00A616C3">
              <w:rPr>
                <w:lang w:val="en-GB"/>
              </w:rPr>
              <w:t>ommon</w:t>
            </w:r>
          </w:p>
        </w:tc>
      </w:tr>
      <w:tr w:rsidR="007F68E8" w:rsidRPr="00A616C3" w:rsidTr="00AA67B5">
        <w:trPr>
          <w:trHeight w:val="127"/>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Epistaxis</w:t>
            </w:r>
          </w:p>
        </w:tc>
        <w:tc>
          <w:tcPr>
            <w:tcW w:w="1104" w:type="pct"/>
            <w:shd w:val="clear" w:color="auto" w:fill="auto"/>
            <w:vAlign w:val="center"/>
          </w:tcPr>
          <w:p w:rsidR="007F68E8" w:rsidRPr="00A616C3" w:rsidRDefault="007F68E8" w:rsidP="00C50A71">
            <w:pPr>
              <w:spacing w:after="60"/>
              <w:rPr>
                <w:lang w:val="en-GB"/>
              </w:rPr>
            </w:pPr>
            <w:r w:rsidRPr="00A616C3">
              <w:rPr>
                <w:lang w:val="en-GB"/>
              </w:rPr>
              <w:t xml:space="preserve">Very </w:t>
            </w:r>
            <w:r w:rsidR="00C50A71" w:rsidRPr="00A616C3">
              <w:rPr>
                <w:lang w:val="en-GB"/>
              </w:rPr>
              <w:t>c</w:t>
            </w:r>
            <w:r w:rsidRPr="00A616C3">
              <w:rPr>
                <w:lang w:val="en-GB"/>
              </w:rPr>
              <w:t>ommon</w:t>
            </w:r>
          </w:p>
        </w:tc>
      </w:tr>
      <w:tr w:rsidR="007F68E8" w:rsidRPr="00A616C3" w:rsidTr="00AA67B5">
        <w:trPr>
          <w:trHeight w:val="127"/>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Rhinorrhoea</w:t>
            </w:r>
          </w:p>
        </w:tc>
        <w:tc>
          <w:tcPr>
            <w:tcW w:w="1104" w:type="pct"/>
            <w:shd w:val="clear" w:color="auto" w:fill="auto"/>
            <w:vAlign w:val="center"/>
          </w:tcPr>
          <w:p w:rsidR="007F68E8" w:rsidRPr="00A616C3" w:rsidRDefault="007F68E8" w:rsidP="007B14B1">
            <w:pPr>
              <w:spacing w:after="60"/>
              <w:rPr>
                <w:lang w:val="en-GB"/>
              </w:rPr>
            </w:pPr>
            <w:r w:rsidRPr="00A616C3">
              <w:rPr>
                <w:lang w:val="en-GB"/>
              </w:rPr>
              <w:t xml:space="preserve">Very </w:t>
            </w:r>
            <w:r w:rsidR="00C50A71" w:rsidRPr="00A616C3">
              <w:rPr>
                <w:lang w:val="en-GB"/>
              </w:rPr>
              <w:t>c</w:t>
            </w:r>
            <w:r w:rsidRPr="00A616C3">
              <w:rPr>
                <w:lang w:val="en-GB"/>
              </w:rPr>
              <w:t>ommon</w:t>
            </w:r>
          </w:p>
        </w:tc>
      </w:tr>
      <w:tr w:rsidR="00644B1D" w:rsidRPr="00A616C3" w:rsidTr="00AA67B5">
        <w:trPr>
          <w:trHeight w:val="127"/>
        </w:trPr>
        <w:tc>
          <w:tcPr>
            <w:tcW w:w="1524" w:type="pct"/>
            <w:vMerge/>
          </w:tcPr>
          <w:p w:rsidR="00644B1D" w:rsidRPr="00A616C3" w:rsidRDefault="00644B1D" w:rsidP="007B14B1">
            <w:pPr>
              <w:spacing w:after="60"/>
              <w:rPr>
                <w:lang w:val="en-GB"/>
              </w:rPr>
            </w:pPr>
          </w:p>
        </w:tc>
        <w:tc>
          <w:tcPr>
            <w:tcW w:w="2372" w:type="pct"/>
            <w:vAlign w:val="center"/>
          </w:tcPr>
          <w:p w:rsidR="00644B1D" w:rsidRPr="00A616C3" w:rsidRDefault="00644B1D" w:rsidP="007B14B1">
            <w:pPr>
              <w:spacing w:after="60"/>
              <w:rPr>
                <w:lang w:val="en-GB"/>
              </w:rPr>
            </w:pPr>
            <w:r w:rsidRPr="00A616C3">
              <w:rPr>
                <w:lang w:val="en-GB"/>
              </w:rPr>
              <w:t>Oropharyngeal pain</w:t>
            </w:r>
          </w:p>
        </w:tc>
        <w:tc>
          <w:tcPr>
            <w:tcW w:w="1104" w:type="pct"/>
            <w:shd w:val="clear" w:color="auto" w:fill="auto"/>
            <w:vAlign w:val="center"/>
          </w:tcPr>
          <w:p w:rsidR="00644B1D" w:rsidRPr="00A616C3" w:rsidRDefault="00330515" w:rsidP="007B14B1">
            <w:pPr>
              <w:spacing w:after="60"/>
              <w:rPr>
                <w:lang w:val="en-GB"/>
              </w:rPr>
            </w:pPr>
            <w:r w:rsidRPr="00A616C3">
              <w:rPr>
                <w:lang w:val="en-GB"/>
              </w:rPr>
              <w:t xml:space="preserve">Very </w:t>
            </w:r>
            <w:r w:rsidR="00520AA3" w:rsidRPr="00A616C3">
              <w:rPr>
                <w:lang w:val="en-GB"/>
              </w:rPr>
              <w:t>c</w:t>
            </w:r>
            <w:r w:rsidR="00644B1D" w:rsidRPr="00A616C3">
              <w:rPr>
                <w:lang w:val="en-GB"/>
              </w:rPr>
              <w:t>ommon</w:t>
            </w:r>
          </w:p>
        </w:tc>
      </w:tr>
      <w:tr w:rsidR="007F68E8" w:rsidRPr="00A616C3" w:rsidTr="00AA67B5">
        <w:trPr>
          <w:trHeight w:val="127"/>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Asthma</w:t>
            </w:r>
          </w:p>
        </w:tc>
        <w:tc>
          <w:tcPr>
            <w:tcW w:w="1104" w:type="pct"/>
            <w:shd w:val="clear" w:color="auto" w:fill="auto"/>
            <w:vAlign w:val="center"/>
          </w:tcPr>
          <w:p w:rsidR="007F68E8" w:rsidRPr="00A616C3" w:rsidRDefault="007F68E8" w:rsidP="007B14B1">
            <w:pPr>
              <w:spacing w:after="60"/>
              <w:rPr>
                <w:lang w:val="en-GB"/>
              </w:rPr>
            </w:pPr>
            <w:r w:rsidRPr="00A616C3">
              <w:rPr>
                <w:lang w:val="en-GB"/>
              </w:rPr>
              <w:t>Common</w:t>
            </w:r>
          </w:p>
        </w:tc>
      </w:tr>
      <w:tr w:rsidR="007F68E8" w:rsidRPr="00A616C3" w:rsidTr="00AA67B5">
        <w:trPr>
          <w:trHeight w:val="128"/>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Lung disorder</w:t>
            </w:r>
          </w:p>
        </w:tc>
        <w:tc>
          <w:tcPr>
            <w:tcW w:w="1104" w:type="pct"/>
            <w:shd w:val="clear" w:color="auto" w:fill="auto"/>
            <w:vAlign w:val="center"/>
          </w:tcPr>
          <w:p w:rsidR="007F68E8" w:rsidRPr="00A616C3" w:rsidRDefault="007F68E8" w:rsidP="007B14B1">
            <w:pPr>
              <w:spacing w:after="60"/>
              <w:rPr>
                <w:lang w:val="en-GB"/>
              </w:rPr>
            </w:pPr>
            <w:r w:rsidRPr="00A616C3">
              <w:rPr>
                <w:lang w:val="en-GB"/>
              </w:rPr>
              <w:t>Common</w:t>
            </w:r>
          </w:p>
        </w:tc>
      </w:tr>
      <w:tr w:rsidR="007F68E8" w:rsidRPr="00A616C3" w:rsidTr="00AA67B5">
        <w:trPr>
          <w:trHeight w:val="266"/>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CB46A6" w:rsidP="00CB46A6">
            <w:pPr>
              <w:spacing w:after="60"/>
              <w:rPr>
                <w:lang w:val="en-GB"/>
              </w:rPr>
            </w:pPr>
            <w:r w:rsidRPr="00A616C3">
              <w:rPr>
                <w:rFonts w:ascii="Times New Roman Bold" w:hAnsi="Times New Roman Bold"/>
                <w:b/>
                <w:vertAlign w:val="superscript"/>
                <w:lang w:val="en-GB"/>
              </w:rPr>
              <w:t>2</w:t>
            </w:r>
            <w:r w:rsidR="007F68E8" w:rsidRPr="00A616C3">
              <w:rPr>
                <w:lang w:val="en-GB"/>
              </w:rPr>
              <w:t>Pleural effusion</w:t>
            </w:r>
          </w:p>
        </w:tc>
        <w:tc>
          <w:tcPr>
            <w:tcW w:w="1104" w:type="pct"/>
            <w:shd w:val="clear" w:color="auto" w:fill="auto"/>
            <w:vAlign w:val="center"/>
          </w:tcPr>
          <w:p w:rsidR="007F68E8" w:rsidRPr="00A616C3" w:rsidRDefault="003D48EB" w:rsidP="007B14B1">
            <w:pPr>
              <w:spacing w:after="60"/>
              <w:rPr>
                <w:lang w:val="en-GB"/>
              </w:rPr>
            </w:pPr>
            <w:r w:rsidRPr="00A616C3">
              <w:rPr>
                <w:lang w:val="en-GB"/>
              </w:rPr>
              <w:t>C</w:t>
            </w:r>
            <w:r w:rsidR="007F68E8" w:rsidRPr="00A616C3">
              <w:rPr>
                <w:lang w:val="en-GB"/>
              </w:rPr>
              <w:t>ommon</w:t>
            </w:r>
          </w:p>
        </w:tc>
      </w:tr>
      <w:tr w:rsidR="0096278C" w:rsidRPr="00A616C3" w:rsidTr="00AA67B5">
        <w:trPr>
          <w:trHeight w:val="269"/>
        </w:trPr>
        <w:tc>
          <w:tcPr>
            <w:tcW w:w="1524" w:type="pct"/>
            <w:vMerge/>
          </w:tcPr>
          <w:p w:rsidR="0096278C" w:rsidRPr="00A616C3" w:rsidRDefault="0096278C" w:rsidP="007B14B1">
            <w:pPr>
              <w:spacing w:after="60"/>
              <w:rPr>
                <w:lang w:val="en-GB"/>
              </w:rPr>
            </w:pPr>
          </w:p>
        </w:tc>
        <w:tc>
          <w:tcPr>
            <w:tcW w:w="2372" w:type="pct"/>
            <w:vAlign w:val="center"/>
          </w:tcPr>
          <w:p w:rsidR="0096278C" w:rsidRPr="00A616C3" w:rsidRDefault="0096278C" w:rsidP="007B14B1">
            <w:pPr>
              <w:spacing w:after="60"/>
              <w:rPr>
                <w:lang w:val="en-GB"/>
              </w:rPr>
            </w:pPr>
            <w:r w:rsidRPr="00A616C3">
              <w:rPr>
                <w:vertAlign w:val="superscript"/>
                <w:lang w:val="en-GB"/>
              </w:rPr>
              <w:t>2</w:t>
            </w:r>
            <w:r w:rsidRPr="00A616C3">
              <w:rPr>
                <w:lang w:val="en-GB"/>
              </w:rPr>
              <w:t>Pneumonia</w:t>
            </w:r>
            <w:r w:rsidRPr="00A616C3">
              <w:rPr>
                <w:vertAlign w:val="superscript"/>
                <w:lang w:val="en-GB"/>
              </w:rPr>
              <w:t xml:space="preserve"> </w:t>
            </w:r>
          </w:p>
        </w:tc>
        <w:tc>
          <w:tcPr>
            <w:tcW w:w="1104" w:type="pct"/>
            <w:shd w:val="clear" w:color="auto" w:fill="auto"/>
            <w:vAlign w:val="center"/>
          </w:tcPr>
          <w:p w:rsidR="0096278C" w:rsidRPr="00A616C3" w:rsidDel="00EA2502" w:rsidRDefault="0096278C" w:rsidP="007B14B1">
            <w:pPr>
              <w:spacing w:after="60"/>
              <w:rPr>
                <w:lang w:val="en-GB"/>
              </w:rPr>
            </w:pPr>
            <w:r w:rsidRPr="00A616C3">
              <w:rPr>
                <w:lang w:val="en-GB"/>
              </w:rPr>
              <w:t>Common</w:t>
            </w:r>
          </w:p>
        </w:tc>
      </w:tr>
      <w:tr w:rsidR="007F68E8" w:rsidRPr="00A616C3" w:rsidTr="00AA67B5">
        <w:trPr>
          <w:trHeight w:val="269"/>
        </w:trPr>
        <w:tc>
          <w:tcPr>
            <w:tcW w:w="1524" w:type="pct"/>
            <w:vMerge/>
          </w:tcPr>
          <w:p w:rsidR="007F68E8" w:rsidRPr="00A616C3" w:rsidRDefault="007F68E8" w:rsidP="007B14B1">
            <w:pPr>
              <w:spacing w:after="60"/>
              <w:rPr>
                <w:lang w:val="en-GB"/>
              </w:rPr>
            </w:pPr>
          </w:p>
        </w:tc>
        <w:tc>
          <w:tcPr>
            <w:tcW w:w="2372" w:type="pct"/>
            <w:vAlign w:val="center"/>
          </w:tcPr>
          <w:p w:rsidR="007F68E8" w:rsidRPr="00A616C3" w:rsidRDefault="007F68E8" w:rsidP="007B14B1">
            <w:pPr>
              <w:spacing w:after="60"/>
              <w:rPr>
                <w:lang w:val="en-GB"/>
              </w:rPr>
            </w:pPr>
            <w:r w:rsidRPr="00A616C3">
              <w:rPr>
                <w:lang w:val="en-GB"/>
              </w:rPr>
              <w:t>Pneumonitis</w:t>
            </w:r>
          </w:p>
        </w:tc>
        <w:tc>
          <w:tcPr>
            <w:tcW w:w="1104" w:type="pct"/>
            <w:shd w:val="clear" w:color="auto" w:fill="auto"/>
            <w:vAlign w:val="center"/>
          </w:tcPr>
          <w:p w:rsidR="007F68E8" w:rsidRPr="00A616C3" w:rsidRDefault="00EA2502" w:rsidP="007B14B1">
            <w:pPr>
              <w:spacing w:after="60"/>
              <w:rPr>
                <w:lang w:val="en-GB"/>
              </w:rPr>
            </w:pPr>
            <w:r w:rsidRPr="00A616C3">
              <w:rPr>
                <w:lang w:val="en-GB"/>
              </w:rPr>
              <w:t>Uncommon</w:t>
            </w:r>
          </w:p>
        </w:tc>
      </w:tr>
      <w:tr w:rsidR="007F68E8" w:rsidRPr="00A616C3" w:rsidTr="00AA67B5">
        <w:trPr>
          <w:trHeight w:val="209"/>
        </w:trPr>
        <w:tc>
          <w:tcPr>
            <w:tcW w:w="1524" w:type="pct"/>
            <w:vMerge/>
          </w:tcPr>
          <w:p w:rsidR="007F68E8" w:rsidRPr="00A616C3" w:rsidRDefault="007F68E8" w:rsidP="007B14B1">
            <w:pPr>
              <w:spacing w:after="60"/>
              <w:rPr>
                <w:vertAlign w:val="superscript"/>
                <w:lang w:val="en-GB"/>
              </w:rPr>
            </w:pPr>
          </w:p>
        </w:tc>
        <w:tc>
          <w:tcPr>
            <w:tcW w:w="2372" w:type="pct"/>
            <w:vAlign w:val="center"/>
          </w:tcPr>
          <w:p w:rsidR="007F68E8" w:rsidRPr="00A616C3" w:rsidRDefault="00CB46A6" w:rsidP="00CB46A6">
            <w:pPr>
              <w:spacing w:after="60"/>
              <w:rPr>
                <w:lang w:val="en-GB"/>
              </w:rPr>
            </w:pPr>
            <w:r w:rsidRPr="00A616C3">
              <w:rPr>
                <w:rFonts w:ascii="Times New Roman Bold" w:hAnsi="Times New Roman Bold"/>
                <w:b/>
                <w:vertAlign w:val="superscript"/>
                <w:lang w:val="en-GB"/>
              </w:rPr>
              <w:t>2</w:t>
            </w:r>
            <w:r w:rsidR="007F68E8" w:rsidRPr="00A616C3">
              <w:rPr>
                <w:lang w:val="en-GB"/>
              </w:rPr>
              <w:t>Pulmonary fibrosis</w:t>
            </w:r>
          </w:p>
        </w:tc>
        <w:tc>
          <w:tcPr>
            <w:tcW w:w="1104" w:type="pct"/>
            <w:shd w:val="clear" w:color="auto" w:fill="auto"/>
            <w:vAlign w:val="center"/>
          </w:tcPr>
          <w:p w:rsidR="007F68E8" w:rsidRPr="00A616C3" w:rsidRDefault="007F68E8" w:rsidP="007B14B1">
            <w:pPr>
              <w:spacing w:after="60"/>
              <w:rPr>
                <w:lang w:val="en-GB"/>
              </w:rPr>
            </w:pPr>
            <w:r w:rsidRPr="00A616C3">
              <w:rPr>
                <w:lang w:val="en-GB"/>
              </w:rPr>
              <w:t>Not known</w:t>
            </w:r>
          </w:p>
        </w:tc>
      </w:tr>
      <w:tr w:rsidR="007F68E8" w:rsidRPr="00A616C3" w:rsidTr="00AA67B5">
        <w:trPr>
          <w:trHeight w:val="258"/>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CB46A6" w:rsidP="00CB46A6">
            <w:pPr>
              <w:spacing w:after="60"/>
              <w:rPr>
                <w:lang w:val="en-GB"/>
              </w:rPr>
            </w:pPr>
            <w:r w:rsidRPr="00A616C3">
              <w:rPr>
                <w:rFonts w:ascii="Times New Roman Bold" w:hAnsi="Times New Roman Bold"/>
                <w:b/>
                <w:vertAlign w:val="superscript"/>
                <w:lang w:val="en-GB"/>
              </w:rPr>
              <w:t>2</w:t>
            </w:r>
            <w:bookmarkStart w:id="12" w:name="OLE_LINK3"/>
            <w:bookmarkStart w:id="13" w:name="OLE_LINK4"/>
            <w:r w:rsidR="007F68E8" w:rsidRPr="00A616C3">
              <w:rPr>
                <w:lang w:val="en-GB"/>
              </w:rPr>
              <w:t xml:space="preserve">Respiratory </w:t>
            </w:r>
            <w:bookmarkEnd w:id="12"/>
            <w:bookmarkEnd w:id="13"/>
            <w:r w:rsidR="007F68E8" w:rsidRPr="00A616C3">
              <w:rPr>
                <w:lang w:val="en-GB"/>
              </w:rPr>
              <w:t>distress</w:t>
            </w:r>
          </w:p>
        </w:tc>
        <w:tc>
          <w:tcPr>
            <w:tcW w:w="1104" w:type="pct"/>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275"/>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CB46A6" w:rsidP="00CB46A6">
            <w:pPr>
              <w:spacing w:after="60"/>
              <w:rPr>
                <w:lang w:val="en-GB"/>
              </w:rPr>
            </w:pPr>
            <w:r w:rsidRPr="00A616C3">
              <w:rPr>
                <w:rFonts w:ascii="Times New Roman Bold" w:hAnsi="Times New Roman Bold"/>
                <w:b/>
                <w:vertAlign w:val="superscript"/>
                <w:lang w:val="en-GB"/>
              </w:rPr>
              <w:t>2</w:t>
            </w:r>
            <w:r w:rsidR="007F68E8" w:rsidRPr="00A616C3">
              <w:rPr>
                <w:lang w:val="en-GB"/>
              </w:rPr>
              <w:t>Respiratory failure</w:t>
            </w:r>
          </w:p>
        </w:tc>
        <w:tc>
          <w:tcPr>
            <w:tcW w:w="1104" w:type="pct"/>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CB46A6" w:rsidP="00CB46A6">
            <w:pPr>
              <w:spacing w:after="60"/>
              <w:rPr>
                <w:lang w:val="en-GB"/>
              </w:rPr>
            </w:pPr>
            <w:r w:rsidRPr="00A616C3">
              <w:rPr>
                <w:rFonts w:ascii="Times New Roman Bold" w:hAnsi="Times New Roman Bold"/>
                <w:b/>
                <w:vertAlign w:val="superscript"/>
                <w:lang w:val="en-GB"/>
              </w:rPr>
              <w:t>2</w:t>
            </w:r>
            <w:r w:rsidR="007F68E8" w:rsidRPr="00A616C3">
              <w:rPr>
                <w:lang w:val="en-GB"/>
              </w:rPr>
              <w:t>Lung infiltration</w:t>
            </w:r>
          </w:p>
        </w:tc>
        <w:tc>
          <w:tcPr>
            <w:tcW w:w="1104" w:type="pct"/>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CB46A6" w:rsidP="00CB46A6">
            <w:pPr>
              <w:spacing w:after="60"/>
              <w:rPr>
                <w:lang w:val="en-GB"/>
              </w:rPr>
            </w:pPr>
            <w:r w:rsidRPr="00A616C3">
              <w:rPr>
                <w:rFonts w:ascii="Times New Roman Bold" w:hAnsi="Times New Roman Bold"/>
                <w:b/>
                <w:vertAlign w:val="superscript"/>
                <w:lang w:val="en-GB"/>
              </w:rPr>
              <w:t>2</w:t>
            </w:r>
            <w:r w:rsidR="007F68E8" w:rsidRPr="00A616C3">
              <w:rPr>
                <w:lang w:val="en-GB"/>
              </w:rPr>
              <w:t>Acute pulmonary oedema</w:t>
            </w:r>
          </w:p>
        </w:tc>
        <w:tc>
          <w:tcPr>
            <w:tcW w:w="1104" w:type="pct"/>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CB46A6" w:rsidP="00CB46A6">
            <w:pPr>
              <w:spacing w:after="60"/>
              <w:rPr>
                <w:lang w:val="en-GB"/>
              </w:rPr>
            </w:pPr>
            <w:r w:rsidRPr="00A616C3">
              <w:rPr>
                <w:rFonts w:ascii="Times New Roman Bold" w:hAnsi="Times New Roman Bold"/>
                <w:b/>
                <w:vertAlign w:val="superscript"/>
                <w:lang w:val="en-GB"/>
              </w:rPr>
              <w:t>2</w:t>
            </w:r>
            <w:r w:rsidR="007F68E8" w:rsidRPr="00A616C3">
              <w:rPr>
                <w:lang w:val="en-GB"/>
              </w:rPr>
              <w:t>Acute respiratory distress syndrome</w:t>
            </w:r>
          </w:p>
        </w:tc>
        <w:tc>
          <w:tcPr>
            <w:tcW w:w="1104" w:type="pct"/>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CB46A6" w:rsidP="00CB46A6">
            <w:pPr>
              <w:spacing w:after="60"/>
              <w:rPr>
                <w:lang w:val="en-GB"/>
              </w:rPr>
            </w:pPr>
            <w:r w:rsidRPr="00A616C3">
              <w:rPr>
                <w:rFonts w:ascii="Times New Roman Bold" w:hAnsi="Times New Roman Bold"/>
                <w:b/>
                <w:vertAlign w:val="superscript"/>
                <w:lang w:val="en-GB"/>
              </w:rPr>
              <w:t>2</w:t>
            </w:r>
            <w:r w:rsidR="007F68E8" w:rsidRPr="00A616C3">
              <w:rPr>
                <w:lang w:val="en-GB"/>
              </w:rPr>
              <w:t>Bronchospasm</w:t>
            </w:r>
          </w:p>
        </w:tc>
        <w:tc>
          <w:tcPr>
            <w:tcW w:w="1104" w:type="pct"/>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CB46A6" w:rsidP="00CB46A6">
            <w:pPr>
              <w:spacing w:after="60"/>
              <w:rPr>
                <w:lang w:val="en-GB"/>
              </w:rPr>
            </w:pPr>
            <w:r w:rsidRPr="00A616C3">
              <w:rPr>
                <w:rFonts w:ascii="Times New Roman Bold" w:hAnsi="Times New Roman Bold"/>
                <w:b/>
                <w:vertAlign w:val="superscript"/>
                <w:lang w:val="en-GB"/>
              </w:rPr>
              <w:t>2</w:t>
            </w:r>
            <w:r w:rsidR="007F68E8" w:rsidRPr="00A616C3">
              <w:rPr>
                <w:lang w:val="en-GB"/>
              </w:rPr>
              <w:t>Hypoxia</w:t>
            </w:r>
          </w:p>
        </w:tc>
        <w:tc>
          <w:tcPr>
            <w:tcW w:w="1104" w:type="pct"/>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CB46A6" w:rsidP="00CB46A6">
            <w:pPr>
              <w:spacing w:after="60"/>
              <w:rPr>
                <w:lang w:val="en-GB"/>
              </w:rPr>
            </w:pPr>
            <w:r w:rsidRPr="00A616C3">
              <w:rPr>
                <w:rFonts w:ascii="Times New Roman Bold" w:hAnsi="Times New Roman Bold"/>
                <w:b/>
                <w:vertAlign w:val="superscript"/>
                <w:lang w:val="en-GB"/>
              </w:rPr>
              <w:t>2</w:t>
            </w:r>
            <w:r w:rsidR="007F68E8" w:rsidRPr="00A616C3">
              <w:rPr>
                <w:lang w:val="en-GB"/>
              </w:rPr>
              <w:t>Oxygen saturation decreased</w:t>
            </w:r>
          </w:p>
        </w:tc>
        <w:tc>
          <w:tcPr>
            <w:tcW w:w="1104" w:type="pct"/>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Laryngeal oedema</w:t>
            </w:r>
          </w:p>
        </w:tc>
        <w:tc>
          <w:tcPr>
            <w:tcW w:w="1104" w:type="pct"/>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8575B2" w:rsidP="001B3169">
            <w:pPr>
              <w:spacing w:after="60"/>
              <w:rPr>
                <w:lang w:val="en-GB"/>
              </w:rPr>
            </w:pPr>
            <w:r w:rsidRPr="00A616C3">
              <w:rPr>
                <w:rFonts w:ascii="Times New Roman Bold" w:hAnsi="Times New Roman Bold"/>
                <w:b/>
                <w:vertAlign w:val="superscript"/>
                <w:lang w:val="en-GB"/>
              </w:rPr>
              <w:t>2</w:t>
            </w:r>
            <w:r w:rsidR="007F68E8" w:rsidRPr="00A616C3">
              <w:rPr>
                <w:lang w:val="en-GB"/>
              </w:rPr>
              <w:t>Orthopnoea</w:t>
            </w:r>
          </w:p>
        </w:tc>
        <w:tc>
          <w:tcPr>
            <w:tcW w:w="1104" w:type="pct"/>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Pulmonary oedema</w:t>
            </w:r>
          </w:p>
        </w:tc>
        <w:tc>
          <w:tcPr>
            <w:tcW w:w="1104" w:type="pct"/>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120"/>
        </w:trPr>
        <w:tc>
          <w:tcPr>
            <w:tcW w:w="1524" w:type="pct"/>
            <w:vMerge w:val="restart"/>
          </w:tcPr>
          <w:p w:rsidR="007F68E8" w:rsidRPr="00A616C3" w:rsidRDefault="007F68E8" w:rsidP="003F18E1">
            <w:pPr>
              <w:spacing w:after="60"/>
              <w:rPr>
                <w:lang w:val="en-GB"/>
              </w:rPr>
            </w:pPr>
            <w:r w:rsidRPr="00A616C3">
              <w:rPr>
                <w:lang w:val="en-GB"/>
              </w:rPr>
              <w:t>Gastrointestinal disorders</w:t>
            </w:r>
          </w:p>
        </w:tc>
        <w:tc>
          <w:tcPr>
            <w:tcW w:w="2372" w:type="pct"/>
            <w:vAlign w:val="center"/>
          </w:tcPr>
          <w:p w:rsidR="007F68E8" w:rsidRPr="00A616C3" w:rsidRDefault="007F68E8" w:rsidP="003F18E1">
            <w:pPr>
              <w:spacing w:after="60"/>
              <w:rPr>
                <w:lang w:val="en-GB"/>
              </w:rPr>
            </w:pPr>
            <w:r w:rsidRPr="00A616C3">
              <w:rPr>
                <w:lang w:val="en-GB"/>
              </w:rPr>
              <w:t xml:space="preserve">Diarrhoea </w:t>
            </w:r>
          </w:p>
        </w:tc>
        <w:tc>
          <w:tcPr>
            <w:tcW w:w="1104" w:type="pct"/>
            <w:shd w:val="clear" w:color="auto" w:fill="auto"/>
            <w:vAlign w:val="center"/>
          </w:tcPr>
          <w:p w:rsidR="007F68E8" w:rsidRPr="00A616C3" w:rsidRDefault="007F68E8" w:rsidP="003F18E1">
            <w:pPr>
              <w:spacing w:after="60"/>
              <w:rPr>
                <w:lang w:val="en-GB"/>
              </w:rPr>
            </w:pPr>
            <w:r w:rsidRPr="00A616C3">
              <w:rPr>
                <w:lang w:val="en-GB"/>
              </w:rPr>
              <w:t xml:space="preserve">Very common </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 xml:space="preserve">Vomiting </w:t>
            </w:r>
          </w:p>
        </w:tc>
        <w:tc>
          <w:tcPr>
            <w:tcW w:w="1104" w:type="pct"/>
            <w:shd w:val="clear" w:color="auto" w:fill="auto"/>
            <w:vAlign w:val="center"/>
          </w:tcPr>
          <w:p w:rsidR="007F68E8" w:rsidRPr="00A616C3" w:rsidRDefault="007F68E8" w:rsidP="001B3169">
            <w:pPr>
              <w:spacing w:after="60"/>
              <w:rPr>
                <w:lang w:val="en-GB"/>
              </w:rPr>
            </w:pPr>
            <w:r w:rsidRPr="00A616C3">
              <w:rPr>
                <w:lang w:val="en-GB"/>
              </w:rPr>
              <w:t xml:space="preserve">Very common </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Nausea</w:t>
            </w:r>
          </w:p>
        </w:tc>
        <w:tc>
          <w:tcPr>
            <w:tcW w:w="1104" w:type="pct"/>
            <w:shd w:val="clear" w:color="auto" w:fill="auto"/>
            <w:vAlign w:val="center"/>
          </w:tcPr>
          <w:p w:rsidR="007F68E8" w:rsidRPr="00A616C3" w:rsidRDefault="007F68E8" w:rsidP="001B3169">
            <w:pPr>
              <w:spacing w:after="60"/>
              <w:rPr>
                <w:lang w:val="en-GB"/>
              </w:rPr>
            </w:pPr>
            <w:r w:rsidRPr="00A616C3">
              <w:rPr>
                <w:lang w:val="en-GB"/>
              </w:rPr>
              <w:t xml:space="preserve">Very common </w:t>
            </w:r>
          </w:p>
        </w:tc>
      </w:tr>
      <w:tr w:rsidR="007F68E8" w:rsidRPr="00A616C3" w:rsidTr="00AA67B5">
        <w:trPr>
          <w:trHeight w:val="259"/>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Lip swelling</w:t>
            </w:r>
          </w:p>
        </w:tc>
        <w:tc>
          <w:tcPr>
            <w:tcW w:w="1104" w:type="pct"/>
            <w:shd w:val="clear" w:color="auto" w:fill="auto"/>
            <w:vAlign w:val="center"/>
          </w:tcPr>
          <w:p w:rsidR="007F68E8" w:rsidRPr="00A616C3" w:rsidRDefault="007F68E8" w:rsidP="001B3169">
            <w:pPr>
              <w:spacing w:after="60"/>
              <w:rPr>
                <w:lang w:val="en-GB"/>
              </w:rPr>
            </w:pPr>
            <w:r w:rsidRPr="00A616C3">
              <w:rPr>
                <w:lang w:val="en-GB"/>
              </w:rPr>
              <w:t>Very common</w:t>
            </w:r>
          </w:p>
        </w:tc>
      </w:tr>
      <w:tr w:rsidR="007F68E8" w:rsidRPr="00A616C3" w:rsidTr="00AA67B5">
        <w:trPr>
          <w:trHeight w:val="263"/>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Abdominal pain</w:t>
            </w:r>
          </w:p>
        </w:tc>
        <w:tc>
          <w:tcPr>
            <w:tcW w:w="1104" w:type="pct"/>
            <w:shd w:val="clear" w:color="auto" w:fill="auto"/>
            <w:vAlign w:val="center"/>
          </w:tcPr>
          <w:p w:rsidR="007F68E8" w:rsidRPr="00A616C3" w:rsidRDefault="007F68E8" w:rsidP="001B3169">
            <w:pPr>
              <w:spacing w:after="60"/>
              <w:rPr>
                <w:lang w:val="en-GB"/>
              </w:rPr>
            </w:pPr>
            <w:r w:rsidRPr="00A616C3">
              <w:rPr>
                <w:lang w:val="en-GB"/>
              </w:rPr>
              <w:t xml:space="preserve">Very common </w:t>
            </w:r>
          </w:p>
        </w:tc>
      </w:tr>
      <w:tr w:rsidR="00624FF7" w:rsidRPr="00A616C3" w:rsidTr="00AA67B5">
        <w:trPr>
          <w:trHeight w:val="263"/>
        </w:trPr>
        <w:tc>
          <w:tcPr>
            <w:tcW w:w="1524" w:type="pct"/>
            <w:vMerge/>
          </w:tcPr>
          <w:p w:rsidR="00624FF7" w:rsidRPr="00A616C3" w:rsidRDefault="00624FF7" w:rsidP="001B3169">
            <w:pPr>
              <w:spacing w:after="60"/>
              <w:rPr>
                <w:lang w:val="en-GB"/>
              </w:rPr>
            </w:pPr>
          </w:p>
        </w:tc>
        <w:tc>
          <w:tcPr>
            <w:tcW w:w="2372" w:type="pct"/>
            <w:vAlign w:val="center"/>
          </w:tcPr>
          <w:p w:rsidR="00624FF7" w:rsidRPr="00A616C3" w:rsidRDefault="00624FF7" w:rsidP="001B3169">
            <w:pPr>
              <w:spacing w:after="60"/>
              <w:rPr>
                <w:lang w:val="en-GB"/>
              </w:rPr>
            </w:pPr>
            <w:r w:rsidRPr="00A616C3">
              <w:rPr>
                <w:lang w:val="en-GB"/>
              </w:rPr>
              <w:t>Stomatitis</w:t>
            </w:r>
          </w:p>
        </w:tc>
        <w:tc>
          <w:tcPr>
            <w:tcW w:w="1104" w:type="pct"/>
            <w:shd w:val="clear" w:color="auto" w:fill="auto"/>
            <w:vAlign w:val="center"/>
          </w:tcPr>
          <w:p w:rsidR="00624FF7" w:rsidRPr="00A616C3" w:rsidRDefault="00330515" w:rsidP="001B3169">
            <w:pPr>
              <w:spacing w:after="60"/>
              <w:rPr>
                <w:lang w:val="en-GB"/>
              </w:rPr>
            </w:pPr>
            <w:r w:rsidRPr="00A616C3">
              <w:rPr>
                <w:lang w:val="en-GB"/>
              </w:rPr>
              <w:t xml:space="preserve">Very </w:t>
            </w:r>
            <w:r w:rsidR="00520AA3" w:rsidRPr="00A616C3">
              <w:rPr>
                <w:lang w:val="en-GB"/>
              </w:rPr>
              <w:t>c</w:t>
            </w:r>
            <w:r w:rsidR="00624FF7" w:rsidRPr="00A616C3">
              <w:rPr>
                <w:lang w:val="en-GB"/>
              </w:rPr>
              <w:t>ommon</w:t>
            </w:r>
          </w:p>
        </w:tc>
      </w:tr>
      <w:tr w:rsidR="00636DC8" w:rsidRPr="00A616C3" w:rsidTr="00AA67B5">
        <w:trPr>
          <w:trHeight w:val="252"/>
        </w:trPr>
        <w:tc>
          <w:tcPr>
            <w:tcW w:w="1524" w:type="pct"/>
            <w:vMerge/>
          </w:tcPr>
          <w:p w:rsidR="00636DC8" w:rsidRPr="00A616C3" w:rsidRDefault="00636DC8" w:rsidP="001B3169">
            <w:pPr>
              <w:spacing w:after="60"/>
              <w:rPr>
                <w:lang w:val="en-GB"/>
              </w:rPr>
            </w:pPr>
          </w:p>
        </w:tc>
        <w:tc>
          <w:tcPr>
            <w:tcW w:w="2372" w:type="pct"/>
            <w:vAlign w:val="center"/>
          </w:tcPr>
          <w:p w:rsidR="00636DC8" w:rsidRPr="00A616C3" w:rsidRDefault="00636DC8" w:rsidP="001B3169">
            <w:pPr>
              <w:spacing w:after="60"/>
              <w:rPr>
                <w:lang w:val="en-GB"/>
              </w:rPr>
            </w:pPr>
            <w:r w:rsidRPr="00A616C3">
              <w:rPr>
                <w:lang w:val="en-GB"/>
              </w:rPr>
              <w:t>Pancreatitis</w:t>
            </w:r>
          </w:p>
        </w:tc>
        <w:tc>
          <w:tcPr>
            <w:tcW w:w="1104" w:type="pct"/>
            <w:shd w:val="clear" w:color="auto" w:fill="auto"/>
            <w:vAlign w:val="center"/>
          </w:tcPr>
          <w:p w:rsidR="00636DC8" w:rsidRPr="00A616C3" w:rsidRDefault="00636DC8" w:rsidP="001B3169">
            <w:pPr>
              <w:spacing w:after="60"/>
              <w:rPr>
                <w:lang w:val="en-GB"/>
              </w:rPr>
            </w:pPr>
            <w:r w:rsidRPr="00A616C3">
              <w:rPr>
                <w:lang w:val="en-GB"/>
              </w:rPr>
              <w:t xml:space="preserve">Very </w:t>
            </w:r>
            <w:r w:rsidR="00520AA3" w:rsidRPr="00A616C3">
              <w:rPr>
                <w:lang w:val="en-GB"/>
              </w:rPr>
              <w:t>c</w:t>
            </w:r>
            <w:r w:rsidRPr="00A616C3">
              <w:rPr>
                <w:lang w:val="en-GB"/>
              </w:rPr>
              <w:t>ommon</w:t>
            </w:r>
          </w:p>
        </w:tc>
      </w:tr>
      <w:tr w:rsidR="00866A20" w:rsidRPr="00A616C3" w:rsidTr="00AA67B5">
        <w:trPr>
          <w:trHeight w:val="128"/>
        </w:trPr>
        <w:tc>
          <w:tcPr>
            <w:tcW w:w="1524" w:type="pct"/>
            <w:vMerge/>
          </w:tcPr>
          <w:p w:rsidR="00866A20" w:rsidRPr="00A616C3" w:rsidRDefault="00866A20" w:rsidP="001B3169">
            <w:pPr>
              <w:spacing w:after="60"/>
              <w:rPr>
                <w:lang w:val="en-GB"/>
              </w:rPr>
            </w:pPr>
          </w:p>
        </w:tc>
        <w:tc>
          <w:tcPr>
            <w:tcW w:w="2372" w:type="pct"/>
            <w:vAlign w:val="center"/>
          </w:tcPr>
          <w:p w:rsidR="00866A20" w:rsidRPr="00A616C3" w:rsidRDefault="00866A20" w:rsidP="001B3169">
            <w:pPr>
              <w:spacing w:after="60"/>
              <w:rPr>
                <w:lang w:val="en-GB"/>
              </w:rPr>
            </w:pPr>
            <w:r w:rsidRPr="00A616C3">
              <w:rPr>
                <w:lang w:val="en-GB"/>
              </w:rPr>
              <w:t>Constipation</w:t>
            </w:r>
          </w:p>
        </w:tc>
        <w:tc>
          <w:tcPr>
            <w:tcW w:w="1104" w:type="pct"/>
            <w:shd w:val="clear" w:color="auto" w:fill="auto"/>
            <w:vAlign w:val="center"/>
          </w:tcPr>
          <w:p w:rsidR="00866A20" w:rsidRPr="00A616C3" w:rsidRDefault="00866A20" w:rsidP="00636DC8">
            <w:pPr>
              <w:spacing w:after="60"/>
              <w:rPr>
                <w:lang w:val="en-GB"/>
              </w:rPr>
            </w:pPr>
            <w:r w:rsidRPr="00A616C3">
              <w:rPr>
                <w:lang w:val="en-GB"/>
              </w:rPr>
              <w:t>Very common</w:t>
            </w:r>
          </w:p>
        </w:tc>
      </w:tr>
      <w:tr w:rsidR="007F68E8" w:rsidRPr="00A616C3" w:rsidTr="00AA67B5">
        <w:trPr>
          <w:trHeight w:val="128"/>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Dyspepsia</w:t>
            </w:r>
          </w:p>
        </w:tc>
        <w:tc>
          <w:tcPr>
            <w:tcW w:w="1104" w:type="pct"/>
            <w:shd w:val="clear" w:color="auto" w:fill="auto"/>
            <w:vAlign w:val="center"/>
          </w:tcPr>
          <w:p w:rsidR="007F68E8" w:rsidRPr="00A616C3" w:rsidRDefault="005B664C" w:rsidP="00636DC8">
            <w:pPr>
              <w:spacing w:after="60"/>
              <w:rPr>
                <w:lang w:val="en-GB"/>
              </w:rPr>
            </w:pPr>
            <w:r w:rsidRPr="00A616C3">
              <w:rPr>
                <w:lang w:val="en-GB"/>
              </w:rPr>
              <w:t xml:space="preserve">Very </w:t>
            </w:r>
            <w:r w:rsidR="00520AA3" w:rsidRPr="00A616C3">
              <w:rPr>
                <w:lang w:val="en-GB"/>
              </w:rPr>
              <w:t>c</w:t>
            </w:r>
            <w:r w:rsidR="007F68E8" w:rsidRPr="00A616C3">
              <w:rPr>
                <w:lang w:val="en-GB"/>
              </w:rPr>
              <w:t>ommon</w:t>
            </w:r>
          </w:p>
        </w:tc>
      </w:tr>
      <w:tr w:rsidR="007F68E8" w:rsidRPr="00A616C3" w:rsidTr="00AA67B5">
        <w:trPr>
          <w:trHeight w:val="128"/>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Haemorrhoids</w:t>
            </w:r>
          </w:p>
        </w:tc>
        <w:tc>
          <w:tcPr>
            <w:tcW w:w="1104" w:type="pct"/>
            <w:shd w:val="clear" w:color="auto" w:fill="auto"/>
            <w:vAlign w:val="center"/>
          </w:tcPr>
          <w:p w:rsidR="007F68E8" w:rsidRPr="00A616C3" w:rsidRDefault="007F68E8" w:rsidP="001B3169">
            <w:pPr>
              <w:spacing w:after="60"/>
              <w:rPr>
                <w:lang w:val="en-GB"/>
              </w:rPr>
            </w:pPr>
            <w:r w:rsidRPr="00A616C3">
              <w:rPr>
                <w:lang w:val="en-GB"/>
              </w:rPr>
              <w:t>Common</w:t>
            </w:r>
          </w:p>
        </w:tc>
      </w:tr>
      <w:tr w:rsidR="00636DC8" w:rsidRPr="00A616C3" w:rsidTr="00AA67B5">
        <w:trPr>
          <w:trHeight w:val="128"/>
        </w:trPr>
        <w:tc>
          <w:tcPr>
            <w:tcW w:w="1524" w:type="pct"/>
            <w:vMerge/>
          </w:tcPr>
          <w:p w:rsidR="00636DC8" w:rsidRPr="00A616C3" w:rsidRDefault="00636DC8" w:rsidP="001B3169">
            <w:pPr>
              <w:spacing w:after="60"/>
              <w:rPr>
                <w:lang w:val="en-GB"/>
              </w:rPr>
            </w:pPr>
          </w:p>
        </w:tc>
        <w:tc>
          <w:tcPr>
            <w:tcW w:w="2372" w:type="pct"/>
            <w:vAlign w:val="center"/>
          </w:tcPr>
          <w:p w:rsidR="00636DC8" w:rsidRPr="00A616C3" w:rsidRDefault="00636DC8" w:rsidP="001B3169">
            <w:pPr>
              <w:spacing w:after="60"/>
              <w:rPr>
                <w:lang w:val="en-GB"/>
              </w:rPr>
            </w:pPr>
            <w:r w:rsidRPr="00A616C3">
              <w:rPr>
                <w:lang w:val="en-GB"/>
              </w:rPr>
              <w:t>Dry mouth</w:t>
            </w:r>
          </w:p>
        </w:tc>
        <w:tc>
          <w:tcPr>
            <w:tcW w:w="1104" w:type="pct"/>
            <w:shd w:val="clear" w:color="auto" w:fill="auto"/>
            <w:vAlign w:val="center"/>
          </w:tcPr>
          <w:p w:rsidR="00636DC8" w:rsidRPr="00A616C3" w:rsidRDefault="00636DC8" w:rsidP="00F73104">
            <w:pPr>
              <w:spacing w:after="60"/>
              <w:rPr>
                <w:lang w:val="en-GB"/>
              </w:rPr>
            </w:pPr>
            <w:r w:rsidRPr="00A616C3">
              <w:rPr>
                <w:lang w:val="en-GB"/>
              </w:rPr>
              <w:t>Common</w:t>
            </w:r>
          </w:p>
        </w:tc>
      </w:tr>
      <w:tr w:rsidR="007F68E8" w:rsidRPr="00A616C3" w:rsidTr="00AA67B5">
        <w:trPr>
          <w:trHeight w:val="290"/>
        </w:trPr>
        <w:tc>
          <w:tcPr>
            <w:tcW w:w="1524" w:type="pct"/>
            <w:vMerge w:val="restart"/>
          </w:tcPr>
          <w:p w:rsidR="007F68E8" w:rsidRPr="00A616C3" w:rsidRDefault="007F68E8" w:rsidP="003F18E1">
            <w:pPr>
              <w:spacing w:after="60"/>
              <w:rPr>
                <w:lang w:val="en-GB"/>
              </w:rPr>
            </w:pPr>
            <w:r w:rsidRPr="00A616C3">
              <w:rPr>
                <w:lang w:val="en-GB"/>
              </w:rPr>
              <w:t>Hepatobiliary disorders</w:t>
            </w:r>
          </w:p>
        </w:tc>
        <w:tc>
          <w:tcPr>
            <w:tcW w:w="2372" w:type="pct"/>
            <w:vAlign w:val="center"/>
          </w:tcPr>
          <w:p w:rsidR="007F68E8" w:rsidRPr="00A616C3" w:rsidRDefault="007F68E8" w:rsidP="003F18E1">
            <w:pPr>
              <w:spacing w:after="60"/>
              <w:rPr>
                <w:lang w:val="en-GB"/>
              </w:rPr>
            </w:pPr>
            <w:r w:rsidRPr="00A616C3">
              <w:rPr>
                <w:lang w:val="en-GB"/>
              </w:rPr>
              <w:t>Hepatocellular Injury</w:t>
            </w:r>
          </w:p>
        </w:tc>
        <w:tc>
          <w:tcPr>
            <w:tcW w:w="1104" w:type="pct"/>
            <w:shd w:val="clear" w:color="auto" w:fill="auto"/>
            <w:vAlign w:val="center"/>
          </w:tcPr>
          <w:p w:rsidR="007F68E8" w:rsidRPr="00A616C3" w:rsidRDefault="007F68E8" w:rsidP="003F18E1">
            <w:pPr>
              <w:spacing w:after="60"/>
              <w:rPr>
                <w:lang w:val="en-GB"/>
              </w:rPr>
            </w:pPr>
            <w:r w:rsidRPr="00A616C3">
              <w:rPr>
                <w:lang w:val="en-GB"/>
              </w:rPr>
              <w:t>Common</w:t>
            </w:r>
          </w:p>
        </w:tc>
      </w:tr>
      <w:tr w:rsidR="007F68E8" w:rsidRPr="00A616C3" w:rsidTr="00AA67B5">
        <w:trPr>
          <w:trHeight w:val="29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Hepatitis</w:t>
            </w:r>
          </w:p>
        </w:tc>
        <w:tc>
          <w:tcPr>
            <w:tcW w:w="1104" w:type="pct"/>
            <w:shd w:val="clear" w:color="auto" w:fill="auto"/>
            <w:vAlign w:val="center"/>
          </w:tcPr>
          <w:p w:rsidR="007F68E8" w:rsidRPr="00A616C3" w:rsidRDefault="007F68E8" w:rsidP="001B3169">
            <w:pPr>
              <w:spacing w:after="60"/>
              <w:rPr>
                <w:lang w:val="en-GB"/>
              </w:rPr>
            </w:pPr>
            <w:r w:rsidRPr="00A616C3">
              <w:rPr>
                <w:lang w:val="en-GB"/>
              </w:rPr>
              <w:t>Common</w:t>
            </w:r>
          </w:p>
        </w:tc>
      </w:tr>
      <w:tr w:rsidR="007F68E8" w:rsidRPr="00A616C3" w:rsidTr="00AA67B5">
        <w:trPr>
          <w:trHeight w:val="258"/>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Liver Tenderness</w:t>
            </w:r>
          </w:p>
        </w:tc>
        <w:tc>
          <w:tcPr>
            <w:tcW w:w="1104" w:type="pct"/>
            <w:shd w:val="clear" w:color="auto" w:fill="auto"/>
            <w:vAlign w:val="center"/>
          </w:tcPr>
          <w:p w:rsidR="007F68E8" w:rsidRPr="00A616C3" w:rsidRDefault="007F68E8" w:rsidP="001B3169">
            <w:pPr>
              <w:spacing w:after="60"/>
              <w:rPr>
                <w:lang w:val="en-GB"/>
              </w:rPr>
            </w:pPr>
            <w:r w:rsidRPr="00A616C3">
              <w:rPr>
                <w:lang w:val="en-GB"/>
              </w:rPr>
              <w:t>Common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Jaundice</w:t>
            </w:r>
          </w:p>
        </w:tc>
        <w:tc>
          <w:tcPr>
            <w:tcW w:w="1104" w:type="pct"/>
            <w:shd w:val="clear" w:color="auto" w:fill="auto"/>
            <w:vAlign w:val="center"/>
          </w:tcPr>
          <w:p w:rsidR="007F68E8" w:rsidRPr="00A616C3" w:rsidRDefault="007F68E8" w:rsidP="001B3169">
            <w:pPr>
              <w:spacing w:after="60"/>
              <w:rPr>
                <w:lang w:val="en-GB"/>
              </w:rPr>
            </w:pPr>
            <w:r w:rsidRPr="00A616C3">
              <w:rPr>
                <w:lang w:val="en-GB"/>
              </w:rPr>
              <w:t>Rare</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Hepatic Failure</w:t>
            </w:r>
          </w:p>
        </w:tc>
        <w:tc>
          <w:tcPr>
            <w:tcW w:w="1104" w:type="pct"/>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120"/>
        </w:trPr>
        <w:tc>
          <w:tcPr>
            <w:tcW w:w="1524" w:type="pct"/>
            <w:vMerge w:val="restart"/>
          </w:tcPr>
          <w:p w:rsidR="007F68E8" w:rsidRPr="00A616C3" w:rsidRDefault="007F68E8" w:rsidP="003F18E1">
            <w:pPr>
              <w:spacing w:after="60"/>
              <w:rPr>
                <w:lang w:val="en-GB"/>
              </w:rPr>
            </w:pPr>
            <w:r w:rsidRPr="00A616C3">
              <w:rPr>
                <w:lang w:val="en-GB"/>
              </w:rPr>
              <w:t xml:space="preserve">Skin and subcutaneous disorders </w:t>
            </w:r>
          </w:p>
        </w:tc>
        <w:tc>
          <w:tcPr>
            <w:tcW w:w="2372" w:type="pct"/>
            <w:vAlign w:val="center"/>
          </w:tcPr>
          <w:p w:rsidR="007F68E8" w:rsidRPr="00A616C3" w:rsidRDefault="007F68E8" w:rsidP="003F18E1">
            <w:pPr>
              <w:spacing w:after="60"/>
              <w:rPr>
                <w:lang w:val="en-GB"/>
              </w:rPr>
            </w:pPr>
            <w:r w:rsidRPr="00A616C3">
              <w:rPr>
                <w:lang w:val="en-GB"/>
              </w:rPr>
              <w:t>Erythema</w:t>
            </w:r>
          </w:p>
        </w:tc>
        <w:tc>
          <w:tcPr>
            <w:tcW w:w="1104" w:type="pct"/>
            <w:shd w:val="clear" w:color="auto" w:fill="auto"/>
            <w:vAlign w:val="center"/>
          </w:tcPr>
          <w:p w:rsidR="007F68E8" w:rsidRPr="00A616C3" w:rsidRDefault="007F68E8" w:rsidP="003F18E1">
            <w:pPr>
              <w:spacing w:after="60"/>
              <w:rPr>
                <w:lang w:val="en-GB"/>
              </w:rPr>
            </w:pPr>
            <w:r w:rsidRPr="00A616C3">
              <w:rPr>
                <w:lang w:val="en-GB"/>
              </w:rPr>
              <w:t>Very common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Rash</w:t>
            </w:r>
          </w:p>
        </w:tc>
        <w:tc>
          <w:tcPr>
            <w:tcW w:w="1104" w:type="pct"/>
            <w:shd w:val="clear" w:color="auto" w:fill="auto"/>
            <w:vAlign w:val="center"/>
          </w:tcPr>
          <w:p w:rsidR="007F68E8" w:rsidRPr="00A616C3" w:rsidRDefault="007F68E8" w:rsidP="001B3169">
            <w:pPr>
              <w:spacing w:after="60"/>
              <w:rPr>
                <w:lang w:val="en-GB"/>
              </w:rPr>
            </w:pPr>
            <w:r w:rsidRPr="00A616C3">
              <w:rPr>
                <w:lang w:val="en-GB"/>
              </w:rPr>
              <w:t>Very common</w:t>
            </w:r>
          </w:p>
        </w:tc>
      </w:tr>
      <w:tr w:rsidR="007F68E8" w:rsidRPr="00A616C3" w:rsidTr="00AA67B5">
        <w:trPr>
          <w:trHeight w:val="127"/>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44A5B">
            <w:pPr>
              <w:spacing w:after="60"/>
              <w:rPr>
                <w:lang w:val="en-GB"/>
              </w:rPr>
            </w:pPr>
            <w:r w:rsidRPr="00A616C3">
              <w:rPr>
                <w:vertAlign w:val="superscript"/>
                <w:lang w:val="en-GB"/>
              </w:rPr>
              <w:t xml:space="preserve"> </w:t>
            </w:r>
            <w:r w:rsidRPr="00A616C3">
              <w:rPr>
                <w:lang w:val="en-GB"/>
              </w:rPr>
              <w:t>Swelling face</w:t>
            </w:r>
          </w:p>
        </w:tc>
        <w:tc>
          <w:tcPr>
            <w:tcW w:w="1104" w:type="pct"/>
            <w:shd w:val="clear" w:color="auto" w:fill="auto"/>
            <w:vAlign w:val="center"/>
          </w:tcPr>
          <w:p w:rsidR="007F68E8" w:rsidRPr="00A616C3" w:rsidRDefault="007F68E8" w:rsidP="001B3169">
            <w:pPr>
              <w:spacing w:after="60"/>
              <w:rPr>
                <w:lang w:val="en-GB"/>
              </w:rPr>
            </w:pPr>
            <w:r w:rsidRPr="00A616C3">
              <w:rPr>
                <w:lang w:val="en-GB"/>
              </w:rPr>
              <w:t>Very common</w:t>
            </w:r>
          </w:p>
        </w:tc>
      </w:tr>
      <w:tr w:rsidR="007F68E8" w:rsidRPr="00A616C3" w:rsidTr="00AA67B5">
        <w:trPr>
          <w:trHeight w:val="127"/>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 xml:space="preserve">Palmar-plantar </w:t>
            </w:r>
            <w:proofErr w:type="spellStart"/>
            <w:r w:rsidRPr="00A616C3">
              <w:rPr>
                <w:lang w:val="en-GB"/>
              </w:rPr>
              <w:t>erythrodysaesthesia</w:t>
            </w:r>
            <w:proofErr w:type="spellEnd"/>
            <w:r w:rsidRPr="00A616C3">
              <w:rPr>
                <w:lang w:val="en-GB"/>
              </w:rPr>
              <w:t xml:space="preserve"> syndrome</w:t>
            </w:r>
          </w:p>
        </w:tc>
        <w:tc>
          <w:tcPr>
            <w:tcW w:w="1104" w:type="pct"/>
            <w:shd w:val="clear" w:color="auto" w:fill="auto"/>
            <w:vAlign w:val="center"/>
          </w:tcPr>
          <w:p w:rsidR="007F68E8" w:rsidRPr="00A616C3" w:rsidRDefault="007F68E8" w:rsidP="001B3169">
            <w:pPr>
              <w:spacing w:after="60"/>
              <w:rPr>
                <w:lang w:val="en-GB"/>
              </w:rPr>
            </w:pPr>
            <w:r w:rsidRPr="00A616C3">
              <w:rPr>
                <w:lang w:val="en-GB"/>
              </w:rPr>
              <w:t>Very common</w:t>
            </w:r>
          </w:p>
        </w:tc>
      </w:tr>
      <w:tr w:rsidR="00583D38" w:rsidRPr="00A616C3" w:rsidTr="00AA67B5">
        <w:trPr>
          <w:trHeight w:val="120"/>
        </w:trPr>
        <w:tc>
          <w:tcPr>
            <w:tcW w:w="1524" w:type="pct"/>
            <w:vMerge/>
          </w:tcPr>
          <w:p w:rsidR="00583D38" w:rsidRPr="00A616C3" w:rsidRDefault="00583D38" w:rsidP="001B3169">
            <w:pPr>
              <w:spacing w:after="60"/>
              <w:rPr>
                <w:lang w:val="en-GB"/>
              </w:rPr>
            </w:pPr>
          </w:p>
        </w:tc>
        <w:tc>
          <w:tcPr>
            <w:tcW w:w="2372" w:type="pct"/>
            <w:vAlign w:val="center"/>
          </w:tcPr>
          <w:p w:rsidR="00583D38" w:rsidRPr="00A616C3" w:rsidRDefault="00583D38" w:rsidP="001B3169">
            <w:pPr>
              <w:spacing w:after="60"/>
              <w:rPr>
                <w:lang w:val="en-GB"/>
              </w:rPr>
            </w:pPr>
            <w:r w:rsidRPr="00A616C3">
              <w:rPr>
                <w:lang w:val="en-GB"/>
              </w:rPr>
              <w:t>Nail disorder</w:t>
            </w:r>
          </w:p>
        </w:tc>
        <w:tc>
          <w:tcPr>
            <w:tcW w:w="1104" w:type="pct"/>
            <w:shd w:val="clear" w:color="auto" w:fill="auto"/>
            <w:vAlign w:val="center"/>
          </w:tcPr>
          <w:p w:rsidR="00583D38" w:rsidRPr="00A616C3" w:rsidRDefault="00583D38" w:rsidP="001B3169">
            <w:pPr>
              <w:spacing w:after="60"/>
              <w:rPr>
                <w:lang w:val="en-GB"/>
              </w:rPr>
            </w:pPr>
            <w:r w:rsidRPr="00A616C3">
              <w:rPr>
                <w:lang w:val="en-GB"/>
              </w:rPr>
              <w:t>Very common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Alopecia</w:t>
            </w:r>
          </w:p>
        </w:tc>
        <w:tc>
          <w:tcPr>
            <w:tcW w:w="1104" w:type="pct"/>
            <w:shd w:val="clear" w:color="auto" w:fill="auto"/>
            <w:vAlign w:val="center"/>
          </w:tcPr>
          <w:p w:rsidR="007F68E8" w:rsidRPr="00A616C3" w:rsidRDefault="00FB57A0" w:rsidP="001B3169">
            <w:pPr>
              <w:spacing w:after="60"/>
              <w:rPr>
                <w:lang w:val="en-GB"/>
              </w:rPr>
            </w:pPr>
            <w:r w:rsidRPr="00A616C3">
              <w:rPr>
                <w:lang w:val="en-GB"/>
              </w:rPr>
              <w:t xml:space="preserve">Very </w:t>
            </w:r>
            <w:r w:rsidR="00321DAB" w:rsidRPr="00A616C3">
              <w:rPr>
                <w:lang w:val="en-GB"/>
              </w:rPr>
              <w:t>c</w:t>
            </w:r>
            <w:r w:rsidR="007F68E8" w:rsidRPr="00A616C3">
              <w:rPr>
                <w:lang w:val="en-GB"/>
              </w:rPr>
              <w:t>ommon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Dry skin</w:t>
            </w:r>
          </w:p>
        </w:tc>
        <w:tc>
          <w:tcPr>
            <w:tcW w:w="1104" w:type="pct"/>
            <w:shd w:val="clear" w:color="auto" w:fill="auto"/>
            <w:vAlign w:val="center"/>
          </w:tcPr>
          <w:p w:rsidR="007F68E8" w:rsidRPr="00A616C3" w:rsidRDefault="007F68E8" w:rsidP="001B3169">
            <w:pPr>
              <w:spacing w:after="60"/>
              <w:rPr>
                <w:lang w:val="en-GB"/>
              </w:rPr>
            </w:pPr>
            <w:r w:rsidRPr="00A616C3">
              <w:rPr>
                <w:lang w:val="en-GB"/>
              </w:rPr>
              <w:t>Common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Ecchymosis</w:t>
            </w:r>
          </w:p>
        </w:tc>
        <w:tc>
          <w:tcPr>
            <w:tcW w:w="1104" w:type="pct"/>
            <w:shd w:val="clear" w:color="auto" w:fill="auto"/>
            <w:vAlign w:val="center"/>
          </w:tcPr>
          <w:p w:rsidR="007F68E8" w:rsidRPr="00A616C3" w:rsidRDefault="007F68E8" w:rsidP="001B3169">
            <w:pPr>
              <w:spacing w:after="60"/>
              <w:rPr>
                <w:lang w:val="en-GB"/>
              </w:rPr>
            </w:pPr>
            <w:r w:rsidRPr="00A616C3">
              <w:rPr>
                <w:lang w:val="en-GB"/>
              </w:rPr>
              <w:t>Common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proofErr w:type="spellStart"/>
            <w:r w:rsidRPr="00A616C3">
              <w:rPr>
                <w:lang w:val="en-GB"/>
              </w:rPr>
              <w:t>Hyperhydrosis</w:t>
            </w:r>
            <w:proofErr w:type="spellEnd"/>
          </w:p>
        </w:tc>
        <w:tc>
          <w:tcPr>
            <w:tcW w:w="1104" w:type="pct"/>
            <w:shd w:val="clear" w:color="auto" w:fill="auto"/>
            <w:vAlign w:val="center"/>
          </w:tcPr>
          <w:p w:rsidR="007F68E8" w:rsidRPr="00A616C3" w:rsidRDefault="007F68E8" w:rsidP="001B3169">
            <w:pPr>
              <w:spacing w:after="60"/>
              <w:rPr>
                <w:lang w:val="en-GB"/>
              </w:rPr>
            </w:pPr>
            <w:r w:rsidRPr="00A616C3">
              <w:rPr>
                <w:lang w:val="en-GB"/>
              </w:rPr>
              <w:t>Common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proofErr w:type="spellStart"/>
            <w:r w:rsidRPr="00A616C3">
              <w:rPr>
                <w:lang w:val="en-GB"/>
              </w:rPr>
              <w:t>Maculopapular</w:t>
            </w:r>
            <w:proofErr w:type="spellEnd"/>
            <w:r w:rsidRPr="00A616C3">
              <w:rPr>
                <w:lang w:val="en-GB"/>
              </w:rPr>
              <w:t xml:space="preserve"> rash</w:t>
            </w:r>
          </w:p>
        </w:tc>
        <w:tc>
          <w:tcPr>
            <w:tcW w:w="1104" w:type="pct"/>
            <w:shd w:val="clear" w:color="auto" w:fill="auto"/>
            <w:vAlign w:val="center"/>
          </w:tcPr>
          <w:p w:rsidR="007F68E8" w:rsidRPr="00A616C3" w:rsidRDefault="007F68E8" w:rsidP="001B3169">
            <w:pPr>
              <w:spacing w:after="60"/>
              <w:rPr>
                <w:lang w:val="en-GB"/>
              </w:rPr>
            </w:pPr>
            <w:r w:rsidRPr="00A616C3">
              <w:rPr>
                <w:lang w:val="en-GB"/>
              </w:rPr>
              <w:t>Common</w:t>
            </w:r>
          </w:p>
        </w:tc>
      </w:tr>
      <w:tr w:rsidR="00583D38" w:rsidRPr="00A616C3" w:rsidTr="00AA67B5">
        <w:trPr>
          <w:trHeight w:val="120"/>
        </w:trPr>
        <w:tc>
          <w:tcPr>
            <w:tcW w:w="1524" w:type="pct"/>
            <w:vMerge/>
          </w:tcPr>
          <w:p w:rsidR="00583D38" w:rsidRPr="00A616C3" w:rsidRDefault="00583D38" w:rsidP="001B3169">
            <w:pPr>
              <w:spacing w:after="60"/>
              <w:rPr>
                <w:lang w:val="en-GB"/>
              </w:rPr>
            </w:pPr>
          </w:p>
        </w:tc>
        <w:tc>
          <w:tcPr>
            <w:tcW w:w="2372" w:type="pct"/>
            <w:vAlign w:val="center"/>
          </w:tcPr>
          <w:p w:rsidR="00583D38" w:rsidRPr="00A616C3" w:rsidRDefault="00583D38" w:rsidP="001B3169">
            <w:pPr>
              <w:spacing w:after="60"/>
              <w:rPr>
                <w:lang w:val="en-GB"/>
              </w:rPr>
            </w:pPr>
            <w:r w:rsidRPr="00A616C3">
              <w:rPr>
                <w:lang w:val="en-GB"/>
              </w:rPr>
              <w:t>Acne</w:t>
            </w:r>
          </w:p>
        </w:tc>
        <w:tc>
          <w:tcPr>
            <w:tcW w:w="1104" w:type="pct"/>
            <w:shd w:val="clear" w:color="auto" w:fill="auto"/>
            <w:vAlign w:val="center"/>
          </w:tcPr>
          <w:p w:rsidR="00583D38" w:rsidRPr="00A616C3" w:rsidRDefault="00583D38" w:rsidP="00FB57A0">
            <w:pPr>
              <w:spacing w:after="60"/>
              <w:rPr>
                <w:lang w:val="en-GB"/>
              </w:rPr>
            </w:pPr>
            <w:r w:rsidRPr="00A616C3">
              <w:rPr>
                <w:lang w:val="en-GB"/>
              </w:rPr>
              <w:t>Common</w:t>
            </w:r>
          </w:p>
        </w:tc>
      </w:tr>
      <w:tr w:rsidR="00C50A71" w:rsidRPr="00A616C3" w:rsidTr="00AA67B5">
        <w:trPr>
          <w:trHeight w:val="120"/>
        </w:trPr>
        <w:tc>
          <w:tcPr>
            <w:tcW w:w="1524" w:type="pct"/>
            <w:vMerge/>
          </w:tcPr>
          <w:p w:rsidR="00C50A71" w:rsidRPr="00A616C3" w:rsidRDefault="00C50A71" w:rsidP="001B3169">
            <w:pPr>
              <w:spacing w:after="60"/>
              <w:rPr>
                <w:lang w:val="en-GB"/>
              </w:rPr>
            </w:pPr>
          </w:p>
        </w:tc>
        <w:tc>
          <w:tcPr>
            <w:tcW w:w="2372" w:type="pct"/>
            <w:vAlign w:val="center"/>
          </w:tcPr>
          <w:p w:rsidR="00C50A71" w:rsidRPr="00A616C3" w:rsidRDefault="00C50A71" w:rsidP="001B3169">
            <w:pPr>
              <w:spacing w:after="60"/>
              <w:rPr>
                <w:lang w:val="en-GB"/>
              </w:rPr>
            </w:pPr>
            <w:proofErr w:type="spellStart"/>
            <w:r w:rsidRPr="00A616C3">
              <w:rPr>
                <w:lang w:val="en-GB"/>
              </w:rPr>
              <w:t>Onychoclasis</w:t>
            </w:r>
            <w:proofErr w:type="spellEnd"/>
          </w:p>
        </w:tc>
        <w:tc>
          <w:tcPr>
            <w:tcW w:w="1104" w:type="pct"/>
            <w:shd w:val="clear" w:color="auto" w:fill="auto"/>
            <w:vAlign w:val="center"/>
          </w:tcPr>
          <w:p w:rsidR="00C50A71" w:rsidRPr="00A616C3" w:rsidRDefault="00C50A71" w:rsidP="001B3169">
            <w:pPr>
              <w:spacing w:after="60"/>
              <w:rPr>
                <w:lang w:val="en-GB"/>
              </w:rPr>
            </w:pPr>
            <w:r w:rsidRPr="00A616C3">
              <w:rPr>
                <w:lang w:val="en-GB"/>
              </w:rPr>
              <w:t>Common</w:t>
            </w:r>
          </w:p>
        </w:tc>
      </w:tr>
      <w:tr w:rsidR="007F68E8" w:rsidRPr="00A616C3" w:rsidTr="00AA67B5">
        <w:trPr>
          <w:trHeight w:val="21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Pruritus</w:t>
            </w:r>
          </w:p>
        </w:tc>
        <w:tc>
          <w:tcPr>
            <w:tcW w:w="1104" w:type="pct"/>
            <w:shd w:val="clear" w:color="auto" w:fill="auto"/>
            <w:vAlign w:val="center"/>
          </w:tcPr>
          <w:p w:rsidR="007F68E8" w:rsidRPr="00A616C3" w:rsidRDefault="007F68E8" w:rsidP="001B3169">
            <w:pPr>
              <w:spacing w:after="60"/>
              <w:rPr>
                <w:lang w:val="en-GB"/>
              </w:rPr>
            </w:pPr>
            <w:r w:rsidRPr="00A616C3">
              <w:rPr>
                <w:lang w:val="en-GB"/>
              </w:rPr>
              <w:t>Common</w:t>
            </w:r>
          </w:p>
        </w:tc>
      </w:tr>
      <w:tr w:rsidR="00583D38" w:rsidRPr="00A616C3" w:rsidTr="00AA67B5">
        <w:trPr>
          <w:trHeight w:val="120"/>
        </w:trPr>
        <w:tc>
          <w:tcPr>
            <w:tcW w:w="1524" w:type="pct"/>
            <w:vMerge/>
          </w:tcPr>
          <w:p w:rsidR="00583D38" w:rsidRPr="00A616C3" w:rsidRDefault="00583D38" w:rsidP="001B3169">
            <w:pPr>
              <w:spacing w:after="60"/>
              <w:rPr>
                <w:lang w:val="en-GB"/>
              </w:rPr>
            </w:pPr>
          </w:p>
        </w:tc>
        <w:tc>
          <w:tcPr>
            <w:tcW w:w="2372" w:type="pct"/>
            <w:vAlign w:val="center"/>
          </w:tcPr>
          <w:p w:rsidR="00583D38" w:rsidRPr="00A616C3" w:rsidRDefault="00583D38" w:rsidP="001B3169">
            <w:pPr>
              <w:spacing w:after="60"/>
              <w:rPr>
                <w:lang w:val="en-GB"/>
              </w:rPr>
            </w:pPr>
            <w:r w:rsidRPr="00A616C3">
              <w:rPr>
                <w:lang w:val="en-GB"/>
              </w:rPr>
              <w:t>Dermatitis</w:t>
            </w:r>
          </w:p>
        </w:tc>
        <w:tc>
          <w:tcPr>
            <w:tcW w:w="1104" w:type="pct"/>
            <w:shd w:val="clear" w:color="auto" w:fill="auto"/>
            <w:vAlign w:val="center"/>
          </w:tcPr>
          <w:p w:rsidR="00583D38" w:rsidRPr="00A616C3" w:rsidRDefault="00583D38" w:rsidP="001B3169">
            <w:pPr>
              <w:spacing w:after="60"/>
              <w:rPr>
                <w:lang w:val="en-GB"/>
              </w:rPr>
            </w:pPr>
            <w:r w:rsidRPr="00A616C3">
              <w:rPr>
                <w:lang w:val="en-GB"/>
              </w:rPr>
              <w:t>Common</w:t>
            </w:r>
          </w:p>
        </w:tc>
      </w:tr>
      <w:tr w:rsidR="008A6354" w:rsidRPr="00A616C3" w:rsidTr="00AA67B5">
        <w:trPr>
          <w:trHeight w:val="120"/>
        </w:trPr>
        <w:tc>
          <w:tcPr>
            <w:tcW w:w="1524" w:type="pct"/>
            <w:vMerge/>
          </w:tcPr>
          <w:p w:rsidR="008A6354" w:rsidRPr="00A616C3" w:rsidRDefault="008A6354" w:rsidP="001B3169">
            <w:pPr>
              <w:spacing w:after="60"/>
              <w:rPr>
                <w:lang w:val="en-GB"/>
              </w:rPr>
            </w:pPr>
          </w:p>
        </w:tc>
        <w:tc>
          <w:tcPr>
            <w:tcW w:w="2372" w:type="pct"/>
            <w:vAlign w:val="center"/>
          </w:tcPr>
          <w:p w:rsidR="008A6354" w:rsidRPr="00A616C3" w:rsidRDefault="008A6354" w:rsidP="001B3169">
            <w:pPr>
              <w:spacing w:after="60"/>
              <w:rPr>
                <w:lang w:val="en-GB"/>
              </w:rPr>
            </w:pPr>
            <w:proofErr w:type="spellStart"/>
            <w:r w:rsidRPr="00A616C3">
              <w:rPr>
                <w:lang w:val="en-GB"/>
              </w:rPr>
              <w:t>Urticaria</w:t>
            </w:r>
            <w:proofErr w:type="spellEnd"/>
          </w:p>
        </w:tc>
        <w:tc>
          <w:tcPr>
            <w:tcW w:w="1104" w:type="pct"/>
            <w:shd w:val="clear" w:color="auto" w:fill="auto"/>
            <w:vAlign w:val="center"/>
          </w:tcPr>
          <w:p w:rsidR="008A6354" w:rsidRPr="00A616C3" w:rsidRDefault="008A6354" w:rsidP="001B3169">
            <w:pPr>
              <w:spacing w:after="60"/>
              <w:rPr>
                <w:lang w:val="en-GB"/>
              </w:rPr>
            </w:pPr>
            <w:r w:rsidRPr="00A616C3">
              <w:rPr>
                <w:lang w:val="en-GB"/>
              </w:rPr>
              <w:t>Uncommon</w:t>
            </w:r>
          </w:p>
        </w:tc>
      </w:tr>
      <w:tr w:rsidR="008A6354" w:rsidRPr="00A616C3" w:rsidTr="00AA67B5">
        <w:trPr>
          <w:trHeight w:val="120"/>
        </w:trPr>
        <w:tc>
          <w:tcPr>
            <w:tcW w:w="1524" w:type="pct"/>
            <w:vMerge/>
          </w:tcPr>
          <w:p w:rsidR="008A6354" w:rsidRPr="00A616C3" w:rsidRDefault="008A6354" w:rsidP="001B3169">
            <w:pPr>
              <w:spacing w:after="60"/>
              <w:rPr>
                <w:lang w:val="en-GB"/>
              </w:rPr>
            </w:pPr>
          </w:p>
        </w:tc>
        <w:tc>
          <w:tcPr>
            <w:tcW w:w="2372" w:type="pct"/>
            <w:vAlign w:val="center"/>
          </w:tcPr>
          <w:p w:rsidR="008A6354" w:rsidRPr="00A616C3" w:rsidRDefault="008A6354" w:rsidP="001B3169">
            <w:pPr>
              <w:spacing w:after="60"/>
              <w:rPr>
                <w:lang w:val="en-GB"/>
              </w:rPr>
            </w:pPr>
            <w:r w:rsidRPr="00A616C3">
              <w:rPr>
                <w:lang w:val="en-GB"/>
              </w:rPr>
              <w:t>Angioedema</w:t>
            </w:r>
          </w:p>
        </w:tc>
        <w:tc>
          <w:tcPr>
            <w:tcW w:w="1104" w:type="pct"/>
            <w:shd w:val="clear" w:color="auto" w:fill="auto"/>
            <w:vAlign w:val="center"/>
          </w:tcPr>
          <w:p w:rsidR="008A6354" w:rsidRPr="00A616C3" w:rsidRDefault="008A6354" w:rsidP="001B3169">
            <w:pPr>
              <w:spacing w:after="60"/>
              <w:rPr>
                <w:lang w:val="en-GB"/>
              </w:rPr>
            </w:pPr>
            <w:r w:rsidRPr="00A616C3">
              <w:rPr>
                <w:lang w:val="en-GB"/>
              </w:rPr>
              <w:t>Not known</w:t>
            </w:r>
          </w:p>
        </w:tc>
      </w:tr>
      <w:tr w:rsidR="00C50A71" w:rsidRPr="00A616C3" w:rsidTr="00AA67B5">
        <w:trPr>
          <w:trHeight w:val="173"/>
        </w:trPr>
        <w:tc>
          <w:tcPr>
            <w:tcW w:w="1524" w:type="pct"/>
            <w:vMerge w:val="restart"/>
          </w:tcPr>
          <w:p w:rsidR="00C50A71" w:rsidRPr="00A616C3" w:rsidRDefault="00C50A71" w:rsidP="003F18E1">
            <w:pPr>
              <w:spacing w:after="60"/>
              <w:rPr>
                <w:lang w:val="en-GB"/>
              </w:rPr>
            </w:pPr>
            <w:r w:rsidRPr="00A616C3">
              <w:rPr>
                <w:lang w:val="en-GB"/>
              </w:rPr>
              <w:t>Musculoskeletal and connective tissue disorders</w:t>
            </w:r>
          </w:p>
        </w:tc>
        <w:tc>
          <w:tcPr>
            <w:tcW w:w="2372" w:type="pct"/>
            <w:vAlign w:val="center"/>
          </w:tcPr>
          <w:p w:rsidR="00C50A71" w:rsidRPr="00A616C3" w:rsidRDefault="00C50A71" w:rsidP="003F18E1">
            <w:pPr>
              <w:spacing w:after="60"/>
              <w:rPr>
                <w:lang w:val="en-GB"/>
              </w:rPr>
            </w:pPr>
            <w:r w:rsidRPr="00A616C3">
              <w:rPr>
                <w:lang w:val="en-GB"/>
              </w:rPr>
              <w:t>Arthralgia</w:t>
            </w:r>
          </w:p>
        </w:tc>
        <w:tc>
          <w:tcPr>
            <w:tcW w:w="1104" w:type="pct"/>
            <w:shd w:val="clear" w:color="auto" w:fill="auto"/>
            <w:vAlign w:val="center"/>
          </w:tcPr>
          <w:p w:rsidR="00C50A71" w:rsidRPr="00A616C3" w:rsidRDefault="00C50A71" w:rsidP="003F18E1">
            <w:pPr>
              <w:spacing w:after="60"/>
              <w:rPr>
                <w:lang w:val="en-GB"/>
              </w:rPr>
            </w:pPr>
            <w:r w:rsidRPr="00A616C3">
              <w:rPr>
                <w:lang w:val="en-GB"/>
              </w:rPr>
              <w:t>Very common</w:t>
            </w:r>
          </w:p>
        </w:tc>
      </w:tr>
      <w:tr w:rsidR="00C50A71" w:rsidRPr="00A616C3" w:rsidTr="00AA67B5">
        <w:trPr>
          <w:trHeight w:val="195"/>
        </w:trPr>
        <w:tc>
          <w:tcPr>
            <w:tcW w:w="1524" w:type="pct"/>
            <w:vMerge/>
          </w:tcPr>
          <w:p w:rsidR="00C50A71" w:rsidRPr="00A616C3" w:rsidRDefault="00C50A71" w:rsidP="001B3169">
            <w:pPr>
              <w:spacing w:after="60"/>
              <w:rPr>
                <w:lang w:val="en-GB"/>
              </w:rPr>
            </w:pPr>
          </w:p>
        </w:tc>
        <w:tc>
          <w:tcPr>
            <w:tcW w:w="2372" w:type="pct"/>
            <w:vAlign w:val="center"/>
          </w:tcPr>
          <w:p w:rsidR="00C50A71" w:rsidRPr="00A616C3" w:rsidRDefault="00C50A71" w:rsidP="00144A5B">
            <w:pPr>
              <w:spacing w:after="60"/>
              <w:rPr>
                <w:lang w:val="en-GB"/>
              </w:rPr>
            </w:pPr>
            <w:r w:rsidRPr="00A616C3">
              <w:rPr>
                <w:lang w:val="en-GB"/>
              </w:rPr>
              <w:t>Muscle tightness</w:t>
            </w:r>
          </w:p>
        </w:tc>
        <w:tc>
          <w:tcPr>
            <w:tcW w:w="1104" w:type="pct"/>
            <w:shd w:val="clear" w:color="auto" w:fill="auto"/>
            <w:vAlign w:val="center"/>
          </w:tcPr>
          <w:p w:rsidR="00C50A71" w:rsidRPr="00A616C3" w:rsidRDefault="00C50A71" w:rsidP="001B3169">
            <w:pPr>
              <w:spacing w:after="60"/>
              <w:rPr>
                <w:lang w:val="en-GB"/>
              </w:rPr>
            </w:pPr>
            <w:r w:rsidRPr="00A616C3">
              <w:rPr>
                <w:lang w:val="en-GB"/>
              </w:rPr>
              <w:t>Very common</w:t>
            </w:r>
          </w:p>
        </w:tc>
      </w:tr>
      <w:tr w:rsidR="00C50A71" w:rsidRPr="00A616C3" w:rsidTr="00AA67B5">
        <w:trPr>
          <w:trHeight w:val="120"/>
        </w:trPr>
        <w:tc>
          <w:tcPr>
            <w:tcW w:w="1524" w:type="pct"/>
            <w:vMerge/>
          </w:tcPr>
          <w:p w:rsidR="00C50A71" w:rsidRPr="00A616C3" w:rsidRDefault="00C50A71" w:rsidP="001B3169">
            <w:pPr>
              <w:spacing w:after="60"/>
              <w:rPr>
                <w:lang w:val="en-GB"/>
              </w:rPr>
            </w:pPr>
          </w:p>
        </w:tc>
        <w:tc>
          <w:tcPr>
            <w:tcW w:w="2372" w:type="pct"/>
            <w:vAlign w:val="center"/>
          </w:tcPr>
          <w:p w:rsidR="00C50A71" w:rsidRPr="00A616C3" w:rsidRDefault="00C50A71" w:rsidP="001B3169">
            <w:pPr>
              <w:spacing w:after="60"/>
              <w:rPr>
                <w:lang w:val="en-GB"/>
              </w:rPr>
            </w:pPr>
            <w:r w:rsidRPr="00A616C3">
              <w:rPr>
                <w:lang w:val="en-GB"/>
              </w:rPr>
              <w:t>Myalgia</w:t>
            </w:r>
          </w:p>
        </w:tc>
        <w:tc>
          <w:tcPr>
            <w:tcW w:w="1104" w:type="pct"/>
            <w:shd w:val="clear" w:color="auto" w:fill="auto"/>
            <w:vAlign w:val="center"/>
          </w:tcPr>
          <w:p w:rsidR="00C50A71" w:rsidRPr="00A616C3" w:rsidRDefault="00C50A71" w:rsidP="001B3169">
            <w:pPr>
              <w:spacing w:after="60"/>
              <w:rPr>
                <w:lang w:val="en-GB"/>
              </w:rPr>
            </w:pPr>
            <w:r w:rsidRPr="00A616C3">
              <w:rPr>
                <w:lang w:val="en-GB"/>
              </w:rPr>
              <w:t>Very common</w:t>
            </w:r>
          </w:p>
        </w:tc>
      </w:tr>
      <w:tr w:rsidR="00C50A71" w:rsidRPr="00A616C3" w:rsidTr="00AA67B5">
        <w:trPr>
          <w:trHeight w:val="120"/>
        </w:trPr>
        <w:tc>
          <w:tcPr>
            <w:tcW w:w="1524" w:type="pct"/>
            <w:vMerge/>
          </w:tcPr>
          <w:p w:rsidR="00C50A71" w:rsidRPr="00A616C3" w:rsidRDefault="00C50A71" w:rsidP="001B3169">
            <w:pPr>
              <w:spacing w:after="60"/>
              <w:rPr>
                <w:lang w:val="en-GB"/>
              </w:rPr>
            </w:pPr>
          </w:p>
        </w:tc>
        <w:tc>
          <w:tcPr>
            <w:tcW w:w="2372" w:type="pct"/>
            <w:vAlign w:val="center"/>
          </w:tcPr>
          <w:p w:rsidR="00C50A71" w:rsidRPr="00A616C3" w:rsidRDefault="00C50A71" w:rsidP="001B3169">
            <w:pPr>
              <w:spacing w:after="60"/>
              <w:rPr>
                <w:lang w:val="en-GB"/>
              </w:rPr>
            </w:pPr>
            <w:r w:rsidRPr="00A616C3">
              <w:rPr>
                <w:lang w:val="en-GB"/>
              </w:rPr>
              <w:t>Arthritis</w:t>
            </w:r>
          </w:p>
        </w:tc>
        <w:tc>
          <w:tcPr>
            <w:tcW w:w="1104" w:type="pct"/>
            <w:shd w:val="clear" w:color="auto" w:fill="auto"/>
            <w:vAlign w:val="center"/>
          </w:tcPr>
          <w:p w:rsidR="00C50A71" w:rsidRPr="00A616C3" w:rsidRDefault="00C50A71" w:rsidP="001B3169">
            <w:pPr>
              <w:spacing w:after="60"/>
              <w:rPr>
                <w:lang w:val="en-GB"/>
              </w:rPr>
            </w:pPr>
            <w:r w:rsidRPr="00A616C3">
              <w:rPr>
                <w:lang w:val="en-GB"/>
              </w:rPr>
              <w:t>Common</w:t>
            </w:r>
          </w:p>
        </w:tc>
      </w:tr>
      <w:tr w:rsidR="00C50A71" w:rsidRPr="00A616C3" w:rsidTr="00AA67B5">
        <w:trPr>
          <w:trHeight w:val="285"/>
        </w:trPr>
        <w:tc>
          <w:tcPr>
            <w:tcW w:w="1524" w:type="pct"/>
            <w:vMerge/>
            <w:shd w:val="clear" w:color="auto" w:fill="auto"/>
          </w:tcPr>
          <w:p w:rsidR="00C50A71" w:rsidRPr="00A616C3" w:rsidRDefault="00C50A71" w:rsidP="001B3169">
            <w:pPr>
              <w:spacing w:after="60"/>
              <w:rPr>
                <w:lang w:val="en-GB"/>
              </w:rPr>
            </w:pPr>
          </w:p>
        </w:tc>
        <w:tc>
          <w:tcPr>
            <w:tcW w:w="2372" w:type="pct"/>
            <w:vAlign w:val="center"/>
          </w:tcPr>
          <w:p w:rsidR="00C50A71" w:rsidRPr="00A616C3" w:rsidRDefault="00C50A71" w:rsidP="001B3169">
            <w:pPr>
              <w:spacing w:after="60"/>
              <w:rPr>
                <w:lang w:val="en-GB"/>
              </w:rPr>
            </w:pPr>
            <w:r w:rsidRPr="00A616C3">
              <w:rPr>
                <w:lang w:val="en-GB"/>
              </w:rPr>
              <w:t>Back pain</w:t>
            </w:r>
          </w:p>
        </w:tc>
        <w:tc>
          <w:tcPr>
            <w:tcW w:w="1104" w:type="pct"/>
            <w:shd w:val="clear" w:color="auto" w:fill="auto"/>
            <w:vAlign w:val="center"/>
          </w:tcPr>
          <w:p w:rsidR="00C50A71" w:rsidRPr="00A616C3" w:rsidRDefault="00C50A71" w:rsidP="001B3169">
            <w:pPr>
              <w:spacing w:after="60"/>
              <w:rPr>
                <w:lang w:val="en-GB"/>
              </w:rPr>
            </w:pPr>
            <w:r w:rsidRPr="00A616C3">
              <w:rPr>
                <w:lang w:val="en-GB"/>
              </w:rPr>
              <w:t>Common</w:t>
            </w:r>
          </w:p>
        </w:tc>
      </w:tr>
      <w:tr w:rsidR="00C50A71" w:rsidRPr="00A616C3" w:rsidTr="00AA67B5">
        <w:trPr>
          <w:trHeight w:val="285"/>
        </w:trPr>
        <w:tc>
          <w:tcPr>
            <w:tcW w:w="1524" w:type="pct"/>
            <w:vMerge/>
            <w:shd w:val="clear" w:color="auto" w:fill="auto"/>
          </w:tcPr>
          <w:p w:rsidR="00C50A71" w:rsidRPr="00A616C3" w:rsidRDefault="00C50A71" w:rsidP="001B3169">
            <w:pPr>
              <w:spacing w:after="60"/>
              <w:rPr>
                <w:lang w:val="en-GB"/>
              </w:rPr>
            </w:pPr>
          </w:p>
        </w:tc>
        <w:tc>
          <w:tcPr>
            <w:tcW w:w="2372" w:type="pct"/>
            <w:vAlign w:val="center"/>
          </w:tcPr>
          <w:p w:rsidR="00C50A71" w:rsidRPr="00A616C3" w:rsidRDefault="00C50A71" w:rsidP="001B3169">
            <w:pPr>
              <w:spacing w:after="60"/>
              <w:rPr>
                <w:lang w:val="en-GB"/>
              </w:rPr>
            </w:pPr>
            <w:r w:rsidRPr="00A616C3">
              <w:rPr>
                <w:lang w:val="en-GB"/>
              </w:rPr>
              <w:t>Bone pain</w:t>
            </w:r>
          </w:p>
        </w:tc>
        <w:tc>
          <w:tcPr>
            <w:tcW w:w="1104" w:type="pct"/>
            <w:shd w:val="clear" w:color="auto" w:fill="auto"/>
            <w:vAlign w:val="center"/>
          </w:tcPr>
          <w:p w:rsidR="00C50A71" w:rsidRPr="00A616C3" w:rsidRDefault="00C50A71" w:rsidP="001B3169">
            <w:pPr>
              <w:spacing w:after="60"/>
              <w:rPr>
                <w:lang w:val="en-GB"/>
              </w:rPr>
            </w:pPr>
            <w:r w:rsidRPr="00A616C3">
              <w:rPr>
                <w:lang w:val="en-GB"/>
              </w:rPr>
              <w:t>Common</w:t>
            </w:r>
          </w:p>
        </w:tc>
      </w:tr>
      <w:tr w:rsidR="00C50A71" w:rsidRPr="00A616C3" w:rsidTr="00AA67B5">
        <w:trPr>
          <w:trHeight w:val="285"/>
        </w:trPr>
        <w:tc>
          <w:tcPr>
            <w:tcW w:w="1524" w:type="pct"/>
            <w:vMerge/>
            <w:shd w:val="clear" w:color="auto" w:fill="auto"/>
          </w:tcPr>
          <w:p w:rsidR="00C50A71" w:rsidRPr="00A616C3" w:rsidRDefault="00C50A71" w:rsidP="001B3169">
            <w:pPr>
              <w:spacing w:after="60"/>
              <w:rPr>
                <w:lang w:val="en-GB"/>
              </w:rPr>
            </w:pPr>
          </w:p>
        </w:tc>
        <w:tc>
          <w:tcPr>
            <w:tcW w:w="2372" w:type="pct"/>
            <w:vAlign w:val="center"/>
          </w:tcPr>
          <w:p w:rsidR="00C50A71" w:rsidRPr="00A616C3" w:rsidRDefault="00C50A71" w:rsidP="001B3169">
            <w:pPr>
              <w:spacing w:after="60"/>
              <w:rPr>
                <w:lang w:val="en-GB"/>
              </w:rPr>
            </w:pPr>
            <w:r w:rsidRPr="00A616C3">
              <w:rPr>
                <w:lang w:val="en-GB"/>
              </w:rPr>
              <w:t>Muscle spasms</w:t>
            </w:r>
          </w:p>
        </w:tc>
        <w:tc>
          <w:tcPr>
            <w:tcW w:w="1104" w:type="pct"/>
            <w:shd w:val="clear" w:color="auto" w:fill="auto"/>
            <w:vAlign w:val="center"/>
          </w:tcPr>
          <w:p w:rsidR="00C50A71" w:rsidRPr="00A616C3" w:rsidRDefault="00C50A71" w:rsidP="001B3169">
            <w:pPr>
              <w:spacing w:after="60"/>
              <w:rPr>
                <w:lang w:val="en-GB"/>
              </w:rPr>
            </w:pPr>
            <w:r w:rsidRPr="00A616C3">
              <w:rPr>
                <w:lang w:val="en-GB"/>
              </w:rPr>
              <w:t>Common</w:t>
            </w:r>
          </w:p>
        </w:tc>
      </w:tr>
      <w:tr w:rsidR="00C50A71" w:rsidRPr="00A616C3" w:rsidTr="00AA67B5">
        <w:trPr>
          <w:trHeight w:val="285"/>
        </w:trPr>
        <w:tc>
          <w:tcPr>
            <w:tcW w:w="1524" w:type="pct"/>
            <w:vMerge/>
            <w:shd w:val="clear" w:color="auto" w:fill="auto"/>
          </w:tcPr>
          <w:p w:rsidR="00C50A71" w:rsidRPr="00A616C3" w:rsidRDefault="00C50A71" w:rsidP="001B3169">
            <w:pPr>
              <w:spacing w:after="60"/>
              <w:rPr>
                <w:lang w:val="en-GB"/>
              </w:rPr>
            </w:pPr>
          </w:p>
        </w:tc>
        <w:tc>
          <w:tcPr>
            <w:tcW w:w="2372" w:type="pct"/>
            <w:vAlign w:val="center"/>
          </w:tcPr>
          <w:p w:rsidR="00C50A71" w:rsidRPr="00A616C3" w:rsidRDefault="00C50A71" w:rsidP="001B3169">
            <w:pPr>
              <w:spacing w:after="60"/>
              <w:rPr>
                <w:lang w:val="en-GB"/>
              </w:rPr>
            </w:pPr>
            <w:r w:rsidRPr="00A616C3">
              <w:rPr>
                <w:lang w:val="en-GB"/>
              </w:rPr>
              <w:t>Neck pain</w:t>
            </w:r>
          </w:p>
        </w:tc>
        <w:tc>
          <w:tcPr>
            <w:tcW w:w="1104" w:type="pct"/>
            <w:shd w:val="clear" w:color="auto" w:fill="auto"/>
            <w:vAlign w:val="center"/>
          </w:tcPr>
          <w:p w:rsidR="00C50A71" w:rsidRPr="00A616C3" w:rsidRDefault="00C50A71" w:rsidP="001B3169">
            <w:pPr>
              <w:spacing w:after="60"/>
              <w:rPr>
                <w:lang w:val="en-GB"/>
              </w:rPr>
            </w:pPr>
            <w:r w:rsidRPr="00A616C3">
              <w:rPr>
                <w:lang w:val="en-GB"/>
              </w:rPr>
              <w:t>Common</w:t>
            </w:r>
          </w:p>
        </w:tc>
      </w:tr>
      <w:tr w:rsidR="00C50A71" w:rsidRPr="00A616C3" w:rsidTr="00AA67B5">
        <w:trPr>
          <w:trHeight w:val="285"/>
        </w:trPr>
        <w:tc>
          <w:tcPr>
            <w:tcW w:w="1524" w:type="pct"/>
            <w:vMerge/>
            <w:shd w:val="clear" w:color="auto" w:fill="auto"/>
          </w:tcPr>
          <w:p w:rsidR="00C50A71" w:rsidRPr="00A616C3" w:rsidRDefault="00C50A71" w:rsidP="001B3169">
            <w:pPr>
              <w:spacing w:after="60"/>
              <w:rPr>
                <w:lang w:val="en-GB"/>
              </w:rPr>
            </w:pPr>
          </w:p>
        </w:tc>
        <w:tc>
          <w:tcPr>
            <w:tcW w:w="2372" w:type="pct"/>
            <w:vAlign w:val="center"/>
          </w:tcPr>
          <w:p w:rsidR="00C50A71" w:rsidRPr="00A616C3" w:rsidRDefault="00C50A71" w:rsidP="001B3169">
            <w:pPr>
              <w:spacing w:after="60"/>
              <w:rPr>
                <w:lang w:val="en-GB"/>
              </w:rPr>
            </w:pPr>
            <w:r w:rsidRPr="00A616C3">
              <w:rPr>
                <w:lang w:val="en-GB"/>
              </w:rPr>
              <w:t>Pain in extremity</w:t>
            </w:r>
          </w:p>
        </w:tc>
        <w:tc>
          <w:tcPr>
            <w:tcW w:w="1104" w:type="pct"/>
            <w:shd w:val="clear" w:color="auto" w:fill="auto"/>
            <w:vAlign w:val="center"/>
          </w:tcPr>
          <w:p w:rsidR="00C50A71" w:rsidRPr="00A616C3" w:rsidRDefault="00C50A71" w:rsidP="001B3169">
            <w:pPr>
              <w:spacing w:after="60"/>
              <w:rPr>
                <w:lang w:val="en-GB"/>
              </w:rPr>
            </w:pPr>
            <w:r w:rsidRPr="00A616C3">
              <w:rPr>
                <w:lang w:val="en-GB"/>
              </w:rPr>
              <w:t>Common</w:t>
            </w:r>
          </w:p>
        </w:tc>
      </w:tr>
      <w:tr w:rsidR="007F68E8" w:rsidRPr="00A616C3" w:rsidTr="00AA67B5">
        <w:trPr>
          <w:trHeight w:val="303"/>
        </w:trPr>
        <w:tc>
          <w:tcPr>
            <w:tcW w:w="1524" w:type="pct"/>
            <w:vMerge w:val="restart"/>
            <w:shd w:val="clear" w:color="auto" w:fill="auto"/>
          </w:tcPr>
          <w:p w:rsidR="007F68E8" w:rsidRPr="00A616C3" w:rsidRDefault="007F68E8" w:rsidP="003F18E1">
            <w:pPr>
              <w:spacing w:after="60"/>
              <w:rPr>
                <w:lang w:val="en-GB"/>
              </w:rPr>
            </w:pPr>
            <w:r w:rsidRPr="00A616C3">
              <w:rPr>
                <w:lang w:val="en-GB"/>
              </w:rPr>
              <w:t>Renal and urinary conditions</w:t>
            </w:r>
          </w:p>
        </w:tc>
        <w:tc>
          <w:tcPr>
            <w:tcW w:w="2372" w:type="pct"/>
            <w:vAlign w:val="center"/>
          </w:tcPr>
          <w:p w:rsidR="007F68E8" w:rsidRPr="00A616C3" w:rsidRDefault="007F68E8" w:rsidP="003F18E1">
            <w:pPr>
              <w:spacing w:after="60"/>
              <w:rPr>
                <w:lang w:val="en-GB"/>
              </w:rPr>
            </w:pPr>
            <w:r w:rsidRPr="00A616C3">
              <w:rPr>
                <w:lang w:val="en-GB"/>
              </w:rPr>
              <w:t>Renal disorder</w:t>
            </w:r>
          </w:p>
        </w:tc>
        <w:tc>
          <w:tcPr>
            <w:tcW w:w="1104" w:type="pct"/>
            <w:shd w:val="clear" w:color="auto" w:fill="auto"/>
            <w:vAlign w:val="center"/>
          </w:tcPr>
          <w:p w:rsidR="007F68E8" w:rsidRPr="00A616C3" w:rsidRDefault="007F68E8" w:rsidP="003F18E1">
            <w:pPr>
              <w:spacing w:after="60"/>
              <w:rPr>
                <w:lang w:val="en-GB"/>
              </w:rPr>
            </w:pPr>
            <w:r w:rsidRPr="00A616C3">
              <w:rPr>
                <w:lang w:val="en-GB"/>
              </w:rPr>
              <w:t>Common</w:t>
            </w:r>
          </w:p>
        </w:tc>
      </w:tr>
      <w:tr w:rsidR="007F68E8" w:rsidRPr="00A616C3" w:rsidTr="00AA67B5">
        <w:trPr>
          <w:trHeight w:val="142"/>
        </w:trPr>
        <w:tc>
          <w:tcPr>
            <w:tcW w:w="1524" w:type="pct"/>
            <w:vMerge/>
            <w:shd w:val="clear" w:color="auto" w:fill="auto"/>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Glomerulonephritis membranous</w:t>
            </w:r>
          </w:p>
        </w:tc>
        <w:tc>
          <w:tcPr>
            <w:tcW w:w="1104" w:type="pct"/>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285"/>
        </w:trPr>
        <w:tc>
          <w:tcPr>
            <w:tcW w:w="1524" w:type="pct"/>
            <w:vMerge/>
            <w:shd w:val="clear" w:color="auto" w:fill="auto"/>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proofErr w:type="spellStart"/>
            <w:r w:rsidRPr="00A616C3">
              <w:rPr>
                <w:lang w:val="en-GB"/>
              </w:rPr>
              <w:t>Glomerulonephropathy</w:t>
            </w:r>
            <w:proofErr w:type="spellEnd"/>
          </w:p>
        </w:tc>
        <w:tc>
          <w:tcPr>
            <w:tcW w:w="1104" w:type="pct"/>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285"/>
        </w:trPr>
        <w:tc>
          <w:tcPr>
            <w:tcW w:w="1524" w:type="pct"/>
            <w:vMerge/>
            <w:shd w:val="clear" w:color="auto" w:fill="auto"/>
          </w:tcPr>
          <w:p w:rsidR="007F68E8" w:rsidRPr="00A616C3" w:rsidRDefault="007F68E8" w:rsidP="001B3169">
            <w:pPr>
              <w:spacing w:after="60"/>
              <w:rPr>
                <w:lang w:val="en-GB"/>
              </w:rPr>
            </w:pPr>
          </w:p>
        </w:tc>
        <w:tc>
          <w:tcPr>
            <w:tcW w:w="2372" w:type="pct"/>
            <w:tcBorders>
              <w:top w:val="single" w:sz="4" w:space="0" w:color="auto"/>
              <w:left w:val="single" w:sz="4" w:space="0" w:color="auto"/>
              <w:bottom w:val="single" w:sz="4" w:space="0" w:color="auto"/>
              <w:right w:val="single" w:sz="4" w:space="0" w:color="auto"/>
            </w:tcBorders>
            <w:vAlign w:val="center"/>
          </w:tcPr>
          <w:p w:rsidR="007F68E8" w:rsidRPr="00A616C3" w:rsidRDefault="007F68E8" w:rsidP="001B3169">
            <w:pPr>
              <w:spacing w:after="60"/>
              <w:rPr>
                <w:lang w:val="en-GB"/>
              </w:rPr>
            </w:pPr>
            <w:r w:rsidRPr="00A616C3">
              <w:rPr>
                <w:lang w:val="en-GB"/>
              </w:rPr>
              <w:t>Renal failure</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rsidR="007F68E8" w:rsidRPr="00A616C3" w:rsidRDefault="007F68E8" w:rsidP="001B3169">
            <w:pPr>
              <w:spacing w:after="60"/>
              <w:rPr>
                <w:lang w:val="en-GB"/>
              </w:rPr>
            </w:pPr>
            <w:r w:rsidRPr="00A616C3">
              <w:rPr>
                <w:lang w:val="en-GB"/>
              </w:rPr>
              <w:t>Not known</w:t>
            </w:r>
          </w:p>
        </w:tc>
      </w:tr>
      <w:tr w:rsidR="007F68E8" w:rsidRPr="00A616C3" w:rsidTr="00AA67B5">
        <w:trPr>
          <w:trHeight w:val="285"/>
        </w:trPr>
        <w:tc>
          <w:tcPr>
            <w:tcW w:w="1524" w:type="pct"/>
            <w:shd w:val="clear" w:color="auto" w:fill="auto"/>
          </w:tcPr>
          <w:p w:rsidR="007F68E8" w:rsidRPr="00A616C3" w:rsidRDefault="007F68E8" w:rsidP="003F18E1">
            <w:pPr>
              <w:spacing w:after="60"/>
              <w:rPr>
                <w:lang w:val="en-GB"/>
              </w:rPr>
            </w:pPr>
            <w:r w:rsidRPr="00A616C3">
              <w:rPr>
                <w:lang w:val="en-GB"/>
              </w:rPr>
              <w:t xml:space="preserve">Pregnancy, </w:t>
            </w:r>
            <w:proofErr w:type="spellStart"/>
            <w:r w:rsidRPr="00A616C3">
              <w:rPr>
                <w:lang w:val="en-GB"/>
              </w:rPr>
              <w:t>puerperium</w:t>
            </w:r>
            <w:proofErr w:type="spellEnd"/>
            <w:r w:rsidRPr="00A616C3">
              <w:rPr>
                <w:lang w:val="en-GB"/>
              </w:rPr>
              <w:t xml:space="preserve"> and perinatal disorders</w:t>
            </w:r>
          </w:p>
        </w:tc>
        <w:tc>
          <w:tcPr>
            <w:tcW w:w="2372" w:type="pct"/>
            <w:tcBorders>
              <w:top w:val="single" w:sz="4" w:space="0" w:color="auto"/>
              <w:left w:val="single" w:sz="4" w:space="0" w:color="auto"/>
              <w:bottom w:val="single" w:sz="4" w:space="0" w:color="auto"/>
              <w:right w:val="single" w:sz="4" w:space="0" w:color="auto"/>
            </w:tcBorders>
            <w:vAlign w:val="center"/>
          </w:tcPr>
          <w:p w:rsidR="007F68E8" w:rsidRPr="00A616C3" w:rsidRDefault="007F68E8" w:rsidP="003F18E1">
            <w:pPr>
              <w:spacing w:after="60"/>
              <w:rPr>
                <w:lang w:val="en-GB"/>
              </w:rPr>
            </w:pPr>
            <w:proofErr w:type="spellStart"/>
            <w:r w:rsidRPr="00A616C3">
              <w:rPr>
                <w:lang w:val="en-GB"/>
              </w:rPr>
              <w:t>Oligohydramnios</w:t>
            </w:r>
            <w:proofErr w:type="spellEnd"/>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rsidR="007F68E8" w:rsidRPr="00A616C3" w:rsidRDefault="007F68E8" w:rsidP="003F18E1">
            <w:pPr>
              <w:spacing w:after="60"/>
              <w:rPr>
                <w:lang w:val="en-GB"/>
              </w:rPr>
            </w:pPr>
            <w:r w:rsidRPr="00A616C3">
              <w:rPr>
                <w:lang w:val="en-GB"/>
              </w:rPr>
              <w:t>Not known</w:t>
            </w:r>
          </w:p>
        </w:tc>
      </w:tr>
      <w:tr w:rsidR="007F68E8" w:rsidRPr="00A616C3" w:rsidTr="00AA67B5">
        <w:trPr>
          <w:trHeight w:val="260"/>
        </w:trPr>
        <w:tc>
          <w:tcPr>
            <w:tcW w:w="1524" w:type="pct"/>
          </w:tcPr>
          <w:p w:rsidR="007F68E8" w:rsidRPr="00A616C3" w:rsidRDefault="007F68E8" w:rsidP="003F18E1">
            <w:pPr>
              <w:spacing w:after="60"/>
              <w:rPr>
                <w:lang w:val="en-GB"/>
              </w:rPr>
            </w:pPr>
            <w:r w:rsidRPr="00A616C3">
              <w:rPr>
                <w:lang w:val="en-GB"/>
              </w:rPr>
              <w:t>Reproductive system and breast disorders</w:t>
            </w:r>
          </w:p>
        </w:tc>
        <w:tc>
          <w:tcPr>
            <w:tcW w:w="2372" w:type="pct"/>
            <w:vAlign w:val="center"/>
          </w:tcPr>
          <w:p w:rsidR="007F68E8" w:rsidRPr="00A616C3" w:rsidRDefault="007F68E8" w:rsidP="003F18E1">
            <w:pPr>
              <w:spacing w:after="60"/>
              <w:rPr>
                <w:lang w:val="en-GB"/>
              </w:rPr>
            </w:pPr>
            <w:r w:rsidRPr="00A616C3">
              <w:rPr>
                <w:lang w:val="en-GB"/>
              </w:rPr>
              <w:t>Breast inflammation/mastitis</w:t>
            </w:r>
          </w:p>
        </w:tc>
        <w:tc>
          <w:tcPr>
            <w:tcW w:w="1104" w:type="pct"/>
            <w:vAlign w:val="center"/>
          </w:tcPr>
          <w:p w:rsidR="007F68E8" w:rsidRPr="00A616C3" w:rsidRDefault="007F68E8" w:rsidP="003F18E1">
            <w:pPr>
              <w:spacing w:after="60"/>
              <w:rPr>
                <w:lang w:val="en-GB"/>
              </w:rPr>
            </w:pPr>
            <w:r w:rsidRPr="00A616C3">
              <w:rPr>
                <w:lang w:val="en-GB"/>
              </w:rPr>
              <w:t>Common</w:t>
            </w:r>
          </w:p>
        </w:tc>
      </w:tr>
      <w:tr w:rsidR="007F68E8" w:rsidRPr="00A616C3" w:rsidTr="00AA67B5">
        <w:trPr>
          <w:trHeight w:val="261"/>
        </w:trPr>
        <w:tc>
          <w:tcPr>
            <w:tcW w:w="1524" w:type="pct"/>
            <w:vMerge w:val="restart"/>
          </w:tcPr>
          <w:p w:rsidR="007F68E8" w:rsidRPr="00A616C3" w:rsidRDefault="007F68E8" w:rsidP="003F18E1">
            <w:pPr>
              <w:spacing w:after="60"/>
              <w:rPr>
                <w:lang w:val="en-GB"/>
              </w:rPr>
            </w:pPr>
            <w:r w:rsidRPr="00A616C3">
              <w:rPr>
                <w:lang w:val="en-GB"/>
              </w:rPr>
              <w:t>General disorders and administration site conditions</w:t>
            </w:r>
          </w:p>
        </w:tc>
        <w:tc>
          <w:tcPr>
            <w:tcW w:w="2372" w:type="pct"/>
            <w:vAlign w:val="center"/>
          </w:tcPr>
          <w:p w:rsidR="007F68E8" w:rsidRPr="00A616C3" w:rsidRDefault="007F68E8" w:rsidP="003F18E1">
            <w:pPr>
              <w:spacing w:after="60"/>
              <w:rPr>
                <w:lang w:val="en-GB"/>
              </w:rPr>
            </w:pPr>
            <w:r w:rsidRPr="00A616C3">
              <w:rPr>
                <w:lang w:val="en-GB"/>
              </w:rPr>
              <w:t>Asthenia</w:t>
            </w:r>
          </w:p>
        </w:tc>
        <w:tc>
          <w:tcPr>
            <w:tcW w:w="1104" w:type="pct"/>
            <w:shd w:val="clear" w:color="auto" w:fill="auto"/>
            <w:vAlign w:val="center"/>
          </w:tcPr>
          <w:p w:rsidR="007F68E8" w:rsidRPr="00A616C3" w:rsidRDefault="007F68E8" w:rsidP="003F18E1">
            <w:pPr>
              <w:spacing w:after="60"/>
              <w:rPr>
                <w:lang w:val="en-GB"/>
              </w:rPr>
            </w:pPr>
            <w:r w:rsidRPr="00A616C3">
              <w:rPr>
                <w:lang w:val="en-GB"/>
              </w:rPr>
              <w:t>Very common</w:t>
            </w:r>
          </w:p>
        </w:tc>
      </w:tr>
      <w:tr w:rsidR="007F68E8" w:rsidRPr="00A616C3" w:rsidTr="00AA67B5">
        <w:trPr>
          <w:trHeight w:val="259"/>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Chest pain</w:t>
            </w:r>
          </w:p>
        </w:tc>
        <w:tc>
          <w:tcPr>
            <w:tcW w:w="1104" w:type="pct"/>
            <w:shd w:val="clear" w:color="auto" w:fill="auto"/>
            <w:vAlign w:val="center"/>
          </w:tcPr>
          <w:p w:rsidR="007F68E8" w:rsidRPr="00A616C3" w:rsidRDefault="007F68E8" w:rsidP="001B3169">
            <w:pPr>
              <w:spacing w:after="60"/>
              <w:rPr>
                <w:lang w:val="en-GB"/>
              </w:rPr>
            </w:pPr>
            <w:r w:rsidRPr="00A616C3">
              <w:rPr>
                <w:lang w:val="en-GB"/>
              </w:rPr>
              <w:t>Very common</w:t>
            </w:r>
          </w:p>
        </w:tc>
      </w:tr>
      <w:tr w:rsidR="007F68E8" w:rsidRPr="00A616C3" w:rsidTr="00AA67B5">
        <w:trPr>
          <w:trHeight w:val="259"/>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Chills</w:t>
            </w:r>
          </w:p>
        </w:tc>
        <w:tc>
          <w:tcPr>
            <w:tcW w:w="1104" w:type="pct"/>
            <w:shd w:val="clear" w:color="auto" w:fill="auto"/>
            <w:vAlign w:val="center"/>
          </w:tcPr>
          <w:p w:rsidR="007F68E8" w:rsidRPr="00A616C3" w:rsidRDefault="007F68E8" w:rsidP="001B3169">
            <w:pPr>
              <w:spacing w:after="60"/>
              <w:rPr>
                <w:lang w:val="en-GB"/>
              </w:rPr>
            </w:pPr>
            <w:r w:rsidRPr="00A616C3">
              <w:rPr>
                <w:lang w:val="en-GB"/>
              </w:rPr>
              <w:t>Very common</w:t>
            </w:r>
          </w:p>
        </w:tc>
      </w:tr>
      <w:tr w:rsidR="007F68E8" w:rsidRPr="00A616C3" w:rsidTr="00AA67B5">
        <w:trPr>
          <w:trHeight w:val="259"/>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Fatigue</w:t>
            </w:r>
          </w:p>
        </w:tc>
        <w:tc>
          <w:tcPr>
            <w:tcW w:w="1104" w:type="pct"/>
            <w:shd w:val="clear" w:color="auto" w:fill="auto"/>
            <w:vAlign w:val="center"/>
          </w:tcPr>
          <w:p w:rsidR="007F68E8" w:rsidRPr="00A616C3" w:rsidRDefault="007F68E8" w:rsidP="001B3169">
            <w:pPr>
              <w:spacing w:after="60"/>
              <w:rPr>
                <w:lang w:val="en-GB"/>
              </w:rPr>
            </w:pPr>
            <w:r w:rsidRPr="00A616C3">
              <w:rPr>
                <w:lang w:val="en-GB"/>
              </w:rPr>
              <w:t>Very common</w:t>
            </w:r>
          </w:p>
        </w:tc>
      </w:tr>
      <w:tr w:rsidR="007F68E8" w:rsidRPr="00A616C3" w:rsidTr="00AA67B5">
        <w:trPr>
          <w:trHeight w:val="128"/>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Influenza-like symptoms</w:t>
            </w:r>
          </w:p>
        </w:tc>
        <w:tc>
          <w:tcPr>
            <w:tcW w:w="1104" w:type="pct"/>
            <w:shd w:val="clear" w:color="auto" w:fill="auto"/>
            <w:vAlign w:val="center"/>
          </w:tcPr>
          <w:p w:rsidR="007F68E8" w:rsidRPr="00A616C3" w:rsidRDefault="007F68E8" w:rsidP="001B3169">
            <w:pPr>
              <w:spacing w:after="60"/>
              <w:rPr>
                <w:lang w:val="en-GB"/>
              </w:rPr>
            </w:pPr>
            <w:r w:rsidRPr="00A616C3">
              <w:rPr>
                <w:lang w:val="en-GB"/>
              </w:rPr>
              <w:t>Very common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Infusion related reaction</w:t>
            </w:r>
          </w:p>
        </w:tc>
        <w:tc>
          <w:tcPr>
            <w:tcW w:w="1104" w:type="pct"/>
            <w:shd w:val="clear" w:color="auto" w:fill="auto"/>
            <w:vAlign w:val="center"/>
          </w:tcPr>
          <w:p w:rsidR="007F68E8" w:rsidRPr="00A616C3" w:rsidRDefault="007F68E8" w:rsidP="001B3169">
            <w:pPr>
              <w:spacing w:after="60"/>
              <w:rPr>
                <w:lang w:val="en-GB"/>
              </w:rPr>
            </w:pPr>
            <w:r w:rsidRPr="00A616C3">
              <w:rPr>
                <w:lang w:val="en-GB"/>
              </w:rPr>
              <w:t>Very common</w:t>
            </w:r>
          </w:p>
        </w:tc>
      </w:tr>
      <w:tr w:rsidR="007F68E8" w:rsidRPr="00A616C3" w:rsidTr="00AA67B5">
        <w:trPr>
          <w:trHeight w:val="1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Pain</w:t>
            </w:r>
          </w:p>
        </w:tc>
        <w:tc>
          <w:tcPr>
            <w:tcW w:w="1104" w:type="pct"/>
            <w:shd w:val="clear" w:color="auto" w:fill="auto"/>
            <w:vAlign w:val="center"/>
          </w:tcPr>
          <w:p w:rsidR="007F68E8" w:rsidRPr="00A616C3" w:rsidRDefault="007F68E8" w:rsidP="001B3169">
            <w:pPr>
              <w:spacing w:after="60"/>
              <w:rPr>
                <w:lang w:val="en-GB"/>
              </w:rPr>
            </w:pPr>
            <w:r w:rsidRPr="00A616C3">
              <w:rPr>
                <w:lang w:val="en-GB"/>
              </w:rPr>
              <w:t>Very common</w:t>
            </w:r>
          </w:p>
        </w:tc>
      </w:tr>
      <w:tr w:rsidR="007F68E8" w:rsidRPr="00A616C3" w:rsidTr="00AA67B5">
        <w:trPr>
          <w:trHeight w:val="22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Pyrexia</w:t>
            </w:r>
          </w:p>
        </w:tc>
        <w:tc>
          <w:tcPr>
            <w:tcW w:w="1104" w:type="pct"/>
            <w:shd w:val="clear" w:color="auto" w:fill="auto"/>
            <w:vAlign w:val="center"/>
          </w:tcPr>
          <w:p w:rsidR="007F68E8" w:rsidRPr="00A616C3" w:rsidRDefault="007F68E8" w:rsidP="001B3169">
            <w:pPr>
              <w:spacing w:after="60"/>
              <w:rPr>
                <w:lang w:val="en-GB"/>
              </w:rPr>
            </w:pPr>
            <w:r w:rsidRPr="00A616C3">
              <w:rPr>
                <w:lang w:val="en-GB"/>
              </w:rPr>
              <w:t>Very common</w:t>
            </w:r>
          </w:p>
        </w:tc>
      </w:tr>
      <w:tr w:rsidR="002C7F50" w:rsidRPr="00A616C3" w:rsidTr="00AA67B5">
        <w:trPr>
          <w:trHeight w:val="176"/>
        </w:trPr>
        <w:tc>
          <w:tcPr>
            <w:tcW w:w="1524" w:type="pct"/>
            <w:vMerge/>
          </w:tcPr>
          <w:p w:rsidR="002C7F50" w:rsidRPr="00A616C3" w:rsidRDefault="002C7F50" w:rsidP="001B3169">
            <w:pPr>
              <w:spacing w:after="60"/>
              <w:rPr>
                <w:lang w:val="en-GB"/>
              </w:rPr>
            </w:pPr>
          </w:p>
        </w:tc>
        <w:tc>
          <w:tcPr>
            <w:tcW w:w="2372" w:type="pct"/>
            <w:vAlign w:val="center"/>
          </w:tcPr>
          <w:p w:rsidR="002C7F50" w:rsidRPr="00A616C3" w:rsidRDefault="002C7F50" w:rsidP="001B3169">
            <w:pPr>
              <w:spacing w:after="60"/>
              <w:rPr>
                <w:lang w:val="en-GB"/>
              </w:rPr>
            </w:pPr>
            <w:r w:rsidRPr="00A616C3">
              <w:rPr>
                <w:lang w:val="en-GB"/>
              </w:rPr>
              <w:t>Injection site pain</w:t>
            </w:r>
            <w:r w:rsidRPr="00A616C3">
              <w:rPr>
                <w:rFonts w:ascii="Times New Roman Bold" w:hAnsi="Times New Roman Bold"/>
                <w:b/>
                <w:sz w:val="20"/>
                <w:vertAlign w:val="superscript"/>
                <w:lang w:val="en-GB"/>
              </w:rPr>
              <w:t>5</w:t>
            </w:r>
          </w:p>
        </w:tc>
        <w:tc>
          <w:tcPr>
            <w:tcW w:w="1104" w:type="pct"/>
            <w:shd w:val="clear" w:color="auto" w:fill="auto"/>
            <w:vAlign w:val="center"/>
          </w:tcPr>
          <w:p w:rsidR="002C7F50" w:rsidRPr="00A616C3" w:rsidRDefault="002C7F50" w:rsidP="003D0740">
            <w:pPr>
              <w:spacing w:after="60"/>
              <w:rPr>
                <w:lang w:val="en-GB"/>
              </w:rPr>
            </w:pPr>
            <w:r w:rsidRPr="00A616C3">
              <w:rPr>
                <w:lang w:val="en-GB"/>
              </w:rPr>
              <w:t>Common</w:t>
            </w:r>
          </w:p>
        </w:tc>
      </w:tr>
      <w:tr w:rsidR="007F68E8" w:rsidRPr="00A616C3" w:rsidTr="00AA67B5">
        <w:trPr>
          <w:trHeight w:val="176"/>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Peripheral oedema</w:t>
            </w:r>
          </w:p>
        </w:tc>
        <w:tc>
          <w:tcPr>
            <w:tcW w:w="1104" w:type="pct"/>
            <w:shd w:val="clear" w:color="auto" w:fill="auto"/>
            <w:vAlign w:val="center"/>
          </w:tcPr>
          <w:p w:rsidR="007F68E8" w:rsidRPr="00A616C3" w:rsidRDefault="003D0740" w:rsidP="003D0740">
            <w:pPr>
              <w:spacing w:after="60"/>
              <w:rPr>
                <w:lang w:val="en-GB"/>
              </w:rPr>
            </w:pPr>
            <w:r w:rsidRPr="00A616C3">
              <w:rPr>
                <w:lang w:val="en-GB"/>
              </w:rPr>
              <w:t>Very c</w:t>
            </w:r>
            <w:r w:rsidR="007F68E8" w:rsidRPr="00A616C3">
              <w:rPr>
                <w:lang w:val="en-GB"/>
              </w:rPr>
              <w:t>ommon</w:t>
            </w:r>
          </w:p>
        </w:tc>
      </w:tr>
      <w:tr w:rsidR="00E36B89" w:rsidRPr="00A616C3" w:rsidTr="00AA67B5">
        <w:trPr>
          <w:trHeight w:val="80"/>
        </w:trPr>
        <w:tc>
          <w:tcPr>
            <w:tcW w:w="1524" w:type="pct"/>
            <w:vMerge/>
          </w:tcPr>
          <w:p w:rsidR="00E36B89" w:rsidRPr="00A616C3" w:rsidRDefault="00E36B89" w:rsidP="001B3169">
            <w:pPr>
              <w:spacing w:after="60"/>
              <w:rPr>
                <w:lang w:val="en-GB"/>
              </w:rPr>
            </w:pPr>
          </w:p>
        </w:tc>
        <w:tc>
          <w:tcPr>
            <w:tcW w:w="2372" w:type="pct"/>
            <w:vAlign w:val="center"/>
          </w:tcPr>
          <w:p w:rsidR="00E36B89" w:rsidRPr="00A616C3" w:rsidRDefault="00E36B89" w:rsidP="001B3169">
            <w:pPr>
              <w:spacing w:after="60"/>
              <w:rPr>
                <w:lang w:val="en-GB"/>
              </w:rPr>
            </w:pPr>
            <w:r w:rsidRPr="00A616C3">
              <w:rPr>
                <w:lang w:val="en-GB"/>
              </w:rPr>
              <w:t>Mucosal inflammation</w:t>
            </w:r>
          </w:p>
        </w:tc>
        <w:tc>
          <w:tcPr>
            <w:tcW w:w="1104" w:type="pct"/>
            <w:shd w:val="clear" w:color="auto" w:fill="auto"/>
            <w:vAlign w:val="center"/>
          </w:tcPr>
          <w:p w:rsidR="00E36B89" w:rsidRPr="00A616C3" w:rsidRDefault="00E36B89" w:rsidP="004C0651">
            <w:pPr>
              <w:spacing w:after="60"/>
              <w:rPr>
                <w:lang w:val="en-GB"/>
              </w:rPr>
            </w:pPr>
            <w:r w:rsidRPr="00A616C3">
              <w:rPr>
                <w:lang w:val="en-GB"/>
              </w:rPr>
              <w:t xml:space="preserve">Very </w:t>
            </w:r>
            <w:r w:rsidR="00321DAB" w:rsidRPr="00A616C3">
              <w:rPr>
                <w:lang w:val="en-GB"/>
              </w:rPr>
              <w:t>c</w:t>
            </w:r>
            <w:r w:rsidRPr="00A616C3">
              <w:rPr>
                <w:lang w:val="en-GB"/>
              </w:rPr>
              <w:t>ommon</w:t>
            </w:r>
          </w:p>
        </w:tc>
      </w:tr>
      <w:tr w:rsidR="007F68E8" w:rsidRPr="00A616C3" w:rsidTr="00AA67B5">
        <w:trPr>
          <w:trHeight w:val="80"/>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E36B89" w:rsidP="001B3169">
            <w:pPr>
              <w:spacing w:after="60"/>
              <w:rPr>
                <w:lang w:val="en-GB"/>
              </w:rPr>
            </w:pPr>
            <w:r w:rsidRPr="00A616C3">
              <w:rPr>
                <w:lang w:val="en-GB"/>
              </w:rPr>
              <w:t>Malaise</w:t>
            </w:r>
          </w:p>
        </w:tc>
        <w:tc>
          <w:tcPr>
            <w:tcW w:w="1104" w:type="pct"/>
            <w:shd w:val="clear" w:color="auto" w:fill="auto"/>
            <w:vAlign w:val="center"/>
          </w:tcPr>
          <w:p w:rsidR="007F68E8" w:rsidRPr="00A616C3" w:rsidRDefault="007F68E8" w:rsidP="004F3A12">
            <w:pPr>
              <w:spacing w:after="60"/>
              <w:rPr>
                <w:lang w:val="en-GB"/>
              </w:rPr>
            </w:pPr>
            <w:r w:rsidRPr="00A616C3">
              <w:rPr>
                <w:lang w:val="en-GB"/>
              </w:rPr>
              <w:t>Common</w:t>
            </w:r>
          </w:p>
        </w:tc>
      </w:tr>
      <w:tr w:rsidR="007F68E8" w:rsidRPr="00A616C3" w:rsidTr="00AA67B5">
        <w:trPr>
          <w:trHeight w:val="277"/>
        </w:trPr>
        <w:tc>
          <w:tcPr>
            <w:tcW w:w="1524" w:type="pct"/>
            <w:vMerge/>
          </w:tcPr>
          <w:p w:rsidR="007F68E8" w:rsidRPr="00A616C3" w:rsidRDefault="007F68E8" w:rsidP="001B3169">
            <w:pPr>
              <w:spacing w:after="60"/>
              <w:rPr>
                <w:lang w:val="en-GB"/>
              </w:rPr>
            </w:pPr>
          </w:p>
        </w:tc>
        <w:tc>
          <w:tcPr>
            <w:tcW w:w="2372" w:type="pct"/>
            <w:vAlign w:val="center"/>
          </w:tcPr>
          <w:p w:rsidR="007F68E8" w:rsidRPr="00A616C3" w:rsidRDefault="007F68E8" w:rsidP="001B3169">
            <w:pPr>
              <w:spacing w:after="60"/>
              <w:rPr>
                <w:lang w:val="en-GB"/>
              </w:rPr>
            </w:pPr>
            <w:r w:rsidRPr="00A616C3">
              <w:rPr>
                <w:lang w:val="en-GB"/>
              </w:rPr>
              <w:t>Oedema</w:t>
            </w:r>
          </w:p>
        </w:tc>
        <w:tc>
          <w:tcPr>
            <w:tcW w:w="1104" w:type="pct"/>
            <w:shd w:val="clear" w:color="auto" w:fill="auto"/>
            <w:vAlign w:val="center"/>
          </w:tcPr>
          <w:p w:rsidR="007F68E8" w:rsidRPr="00A616C3" w:rsidRDefault="007F68E8" w:rsidP="001B3169">
            <w:pPr>
              <w:spacing w:after="60"/>
              <w:rPr>
                <w:lang w:val="en-GB"/>
              </w:rPr>
            </w:pPr>
            <w:r w:rsidRPr="00A616C3">
              <w:rPr>
                <w:lang w:val="en-GB"/>
              </w:rPr>
              <w:t>Common</w:t>
            </w:r>
          </w:p>
        </w:tc>
      </w:tr>
      <w:tr w:rsidR="00F851D0" w:rsidRPr="00A616C3" w:rsidTr="00583D38">
        <w:tc>
          <w:tcPr>
            <w:tcW w:w="1524" w:type="pct"/>
            <w:vMerge w:val="restart"/>
          </w:tcPr>
          <w:p w:rsidR="00F851D0" w:rsidRPr="00A616C3" w:rsidRDefault="00F851D0" w:rsidP="003F18E1">
            <w:pPr>
              <w:spacing w:after="60"/>
              <w:rPr>
                <w:lang w:val="en-GB"/>
              </w:rPr>
            </w:pPr>
            <w:r w:rsidRPr="00A616C3">
              <w:rPr>
                <w:lang w:val="en-GB"/>
              </w:rPr>
              <w:t>Injury, poisoning and procedural complications</w:t>
            </w:r>
          </w:p>
        </w:tc>
        <w:tc>
          <w:tcPr>
            <w:tcW w:w="2372" w:type="pct"/>
            <w:vAlign w:val="center"/>
          </w:tcPr>
          <w:p w:rsidR="00F851D0" w:rsidRPr="00A616C3" w:rsidRDefault="00F851D0" w:rsidP="003F18E1">
            <w:pPr>
              <w:spacing w:after="60"/>
              <w:rPr>
                <w:lang w:val="en-GB"/>
              </w:rPr>
            </w:pPr>
            <w:r w:rsidRPr="00A616C3">
              <w:rPr>
                <w:lang w:val="en-GB"/>
              </w:rPr>
              <w:t>Nail toxicity</w:t>
            </w:r>
          </w:p>
        </w:tc>
        <w:tc>
          <w:tcPr>
            <w:tcW w:w="1104" w:type="pct"/>
            <w:vAlign w:val="center"/>
          </w:tcPr>
          <w:p w:rsidR="00F851D0" w:rsidRPr="00A616C3" w:rsidRDefault="00F851D0" w:rsidP="003F18E1">
            <w:pPr>
              <w:spacing w:after="60"/>
              <w:rPr>
                <w:lang w:val="en-GB"/>
              </w:rPr>
            </w:pPr>
            <w:r w:rsidRPr="00A616C3">
              <w:rPr>
                <w:lang w:val="en-GB"/>
              </w:rPr>
              <w:t>Very common</w:t>
            </w:r>
          </w:p>
        </w:tc>
      </w:tr>
      <w:tr w:rsidR="00F851D0" w:rsidRPr="00A616C3" w:rsidTr="00697F8F">
        <w:tc>
          <w:tcPr>
            <w:tcW w:w="1524" w:type="pct"/>
            <w:vMerge/>
          </w:tcPr>
          <w:p w:rsidR="00F851D0" w:rsidRPr="00A616C3" w:rsidRDefault="00F851D0" w:rsidP="003F18E1">
            <w:pPr>
              <w:spacing w:after="60"/>
              <w:rPr>
                <w:lang w:val="en-GB"/>
              </w:rPr>
            </w:pPr>
          </w:p>
        </w:tc>
        <w:tc>
          <w:tcPr>
            <w:tcW w:w="2372" w:type="pct"/>
            <w:vAlign w:val="center"/>
          </w:tcPr>
          <w:p w:rsidR="00F851D0" w:rsidRPr="00A616C3" w:rsidRDefault="00F851D0" w:rsidP="003F18E1">
            <w:pPr>
              <w:spacing w:after="60"/>
              <w:rPr>
                <w:lang w:val="en-GB"/>
              </w:rPr>
            </w:pPr>
            <w:r w:rsidRPr="00A616C3">
              <w:rPr>
                <w:lang w:val="en-GB"/>
              </w:rPr>
              <w:t>Contusion</w:t>
            </w:r>
          </w:p>
        </w:tc>
        <w:tc>
          <w:tcPr>
            <w:tcW w:w="1104" w:type="pct"/>
            <w:vAlign w:val="center"/>
          </w:tcPr>
          <w:p w:rsidR="00F851D0" w:rsidRPr="00A616C3" w:rsidRDefault="00F851D0" w:rsidP="003F18E1">
            <w:pPr>
              <w:spacing w:after="60"/>
              <w:rPr>
                <w:lang w:val="en-GB"/>
              </w:rPr>
            </w:pPr>
            <w:r w:rsidRPr="00A616C3">
              <w:rPr>
                <w:lang w:val="en-GB"/>
              </w:rPr>
              <w:t>Common</w:t>
            </w:r>
          </w:p>
        </w:tc>
      </w:tr>
    </w:tbl>
    <w:p w:rsidR="001D57EA" w:rsidRPr="00A616C3" w:rsidRDefault="001D57EA" w:rsidP="000A71AB">
      <w:pPr>
        <w:spacing w:after="0"/>
        <w:rPr>
          <w:sz w:val="20"/>
          <w:lang w:val="en-GB"/>
        </w:rPr>
      </w:pPr>
      <w:r w:rsidRPr="00A616C3">
        <w:rPr>
          <w:sz w:val="20"/>
          <w:vertAlign w:val="superscript"/>
          <w:lang w:val="en-GB"/>
        </w:rPr>
        <w:t>1</w:t>
      </w:r>
      <w:r w:rsidRPr="00A616C3">
        <w:rPr>
          <w:sz w:val="20"/>
          <w:lang w:val="en-GB"/>
        </w:rPr>
        <w:t xml:space="preserve"> Adverse drug reactions (ADRs) were identified as events that occurred with at least a 2% difference compared to the control arm in at least one of the major randomised clinical trials</w:t>
      </w:r>
    </w:p>
    <w:p w:rsidR="000A71AB" w:rsidRPr="00A616C3" w:rsidRDefault="00F77C5C" w:rsidP="000A71AB">
      <w:pPr>
        <w:spacing w:after="0"/>
        <w:rPr>
          <w:sz w:val="20"/>
          <w:lang w:val="en-GB"/>
        </w:rPr>
      </w:pPr>
      <w:r w:rsidRPr="00A616C3">
        <w:rPr>
          <w:sz w:val="20"/>
          <w:vertAlign w:val="superscript"/>
          <w:lang w:val="en-GB"/>
        </w:rPr>
        <w:t>2</w:t>
      </w:r>
      <w:r w:rsidRPr="00A616C3">
        <w:rPr>
          <w:sz w:val="20"/>
          <w:lang w:val="en-GB"/>
        </w:rPr>
        <w:t xml:space="preserve"> </w:t>
      </w:r>
      <w:r w:rsidR="000A71AB" w:rsidRPr="00A616C3">
        <w:rPr>
          <w:sz w:val="20"/>
          <w:lang w:val="en-GB"/>
        </w:rPr>
        <w:t>Denotes adverse reactions</w:t>
      </w:r>
      <w:r w:rsidR="00D833B6" w:rsidRPr="00A616C3">
        <w:rPr>
          <w:sz w:val="20"/>
          <w:lang w:val="en-GB"/>
        </w:rPr>
        <w:t xml:space="preserve"> </w:t>
      </w:r>
      <w:r w:rsidR="000A71AB" w:rsidRPr="00A616C3">
        <w:rPr>
          <w:sz w:val="20"/>
          <w:lang w:val="en-GB"/>
        </w:rPr>
        <w:t>that have been reported in association with a fatal outcome.</w:t>
      </w:r>
    </w:p>
    <w:p w:rsidR="000A71AB" w:rsidRPr="00A616C3" w:rsidRDefault="00F77C5C" w:rsidP="000A71AB">
      <w:pPr>
        <w:spacing w:after="0"/>
        <w:rPr>
          <w:sz w:val="20"/>
          <w:lang w:val="en-GB"/>
        </w:rPr>
      </w:pPr>
      <w:r w:rsidRPr="00A616C3">
        <w:rPr>
          <w:sz w:val="20"/>
          <w:vertAlign w:val="superscript"/>
          <w:lang w:val="en-GB"/>
        </w:rPr>
        <w:t>3</w:t>
      </w:r>
      <w:r w:rsidRPr="00A616C3">
        <w:rPr>
          <w:sz w:val="20"/>
          <w:lang w:val="en-GB"/>
        </w:rPr>
        <w:t xml:space="preserve"> </w:t>
      </w:r>
      <w:r w:rsidR="000A71AB" w:rsidRPr="00A616C3">
        <w:rPr>
          <w:sz w:val="20"/>
          <w:lang w:val="en-GB"/>
        </w:rPr>
        <w:t>Denotes adverse reactions</w:t>
      </w:r>
      <w:r w:rsidR="00D833B6" w:rsidRPr="00A616C3">
        <w:rPr>
          <w:sz w:val="20"/>
          <w:lang w:val="en-GB"/>
        </w:rPr>
        <w:t xml:space="preserve"> </w:t>
      </w:r>
      <w:r w:rsidR="000A71AB" w:rsidRPr="00A616C3">
        <w:rPr>
          <w:sz w:val="20"/>
          <w:lang w:val="en-GB"/>
        </w:rPr>
        <w:t>that are reported largely in association with Infusion-related reactions. Specific percentages for these are not available.</w:t>
      </w:r>
    </w:p>
    <w:p w:rsidR="00E80DD0" w:rsidRPr="00A616C3" w:rsidRDefault="00F77C5C" w:rsidP="0032680E">
      <w:pPr>
        <w:spacing w:after="0"/>
        <w:rPr>
          <w:sz w:val="20"/>
          <w:lang w:val="en-GB"/>
        </w:rPr>
      </w:pPr>
      <w:r w:rsidRPr="00A616C3">
        <w:rPr>
          <w:sz w:val="20"/>
          <w:vertAlign w:val="superscript"/>
          <w:lang w:val="en-GB"/>
        </w:rPr>
        <w:t>4</w:t>
      </w:r>
      <w:r w:rsidRPr="00A616C3">
        <w:rPr>
          <w:sz w:val="20"/>
          <w:lang w:val="en-GB"/>
        </w:rPr>
        <w:t xml:space="preserve"> </w:t>
      </w:r>
      <w:r w:rsidR="000A71AB" w:rsidRPr="00A616C3">
        <w:rPr>
          <w:sz w:val="20"/>
          <w:lang w:val="en-GB"/>
        </w:rPr>
        <w:t xml:space="preserve">Observed with combination therapy following </w:t>
      </w:r>
      <w:proofErr w:type="spellStart"/>
      <w:r w:rsidR="000A71AB" w:rsidRPr="00A616C3">
        <w:rPr>
          <w:sz w:val="20"/>
          <w:lang w:val="en-GB"/>
        </w:rPr>
        <w:t>anthracyclines</w:t>
      </w:r>
      <w:proofErr w:type="spellEnd"/>
      <w:r w:rsidR="000A71AB" w:rsidRPr="00A616C3">
        <w:rPr>
          <w:sz w:val="20"/>
          <w:lang w:val="en-GB"/>
        </w:rPr>
        <w:t xml:space="preserve"> and combined with </w:t>
      </w:r>
      <w:proofErr w:type="spellStart"/>
      <w:r w:rsidR="000A71AB" w:rsidRPr="00A616C3">
        <w:rPr>
          <w:sz w:val="20"/>
          <w:lang w:val="en-GB"/>
        </w:rPr>
        <w:t>taxanes</w:t>
      </w:r>
      <w:proofErr w:type="spellEnd"/>
    </w:p>
    <w:p w:rsidR="002C7F50" w:rsidRPr="00A616C3" w:rsidRDefault="002C7F50" w:rsidP="002C7F50">
      <w:pPr>
        <w:spacing w:after="0"/>
        <w:rPr>
          <w:sz w:val="20"/>
          <w:lang w:val="en-GB"/>
        </w:rPr>
      </w:pPr>
      <w:r w:rsidRPr="00A616C3">
        <w:rPr>
          <w:rFonts w:ascii="Times New Roman Bold" w:hAnsi="Times New Roman Bold"/>
          <w:b/>
          <w:sz w:val="20"/>
          <w:vertAlign w:val="superscript"/>
          <w:lang w:val="en-GB"/>
        </w:rPr>
        <w:t xml:space="preserve">5 </w:t>
      </w:r>
      <w:r w:rsidRPr="00A616C3">
        <w:rPr>
          <w:sz w:val="20"/>
          <w:lang w:val="en-GB"/>
        </w:rPr>
        <w:t>Injection site pain identified as an ADR in SC arm in Study BO22227.</w:t>
      </w:r>
    </w:p>
    <w:p w:rsidR="00B80B97" w:rsidRPr="00A616C3" w:rsidRDefault="00B80B97" w:rsidP="0032680E">
      <w:pPr>
        <w:spacing w:after="0"/>
        <w:rPr>
          <w:sz w:val="20"/>
          <w:lang w:val="en-GB"/>
        </w:rPr>
      </w:pPr>
    </w:p>
    <w:p w:rsidR="00426831" w:rsidRDefault="00426831">
      <w:pPr>
        <w:spacing w:after="0" w:line="240" w:lineRule="auto"/>
      </w:pPr>
      <w:r>
        <w:br w:type="page"/>
      </w:r>
    </w:p>
    <w:p w:rsidR="009877BF" w:rsidRPr="00A616C3" w:rsidRDefault="009877BF" w:rsidP="00C847BF">
      <w:pPr>
        <w:spacing w:after="0"/>
      </w:pPr>
      <w:r w:rsidRPr="00A616C3">
        <w:lastRenderedPageBreak/>
        <w:t>The following information is relevant to all indications.</w:t>
      </w:r>
    </w:p>
    <w:p w:rsidR="00191DEB" w:rsidRDefault="00191DEB" w:rsidP="009877BF">
      <w:pPr>
        <w:pStyle w:val="Heading3"/>
        <w:spacing w:before="120" w:after="120" w:line="240" w:lineRule="atLeast"/>
      </w:pPr>
      <w:r>
        <w:t>Subcutaneous Administration</w:t>
      </w:r>
    </w:p>
    <w:p w:rsidR="0000575D" w:rsidRDefault="00191DEB" w:rsidP="00191DEB">
      <w:pPr>
        <w:rPr>
          <w:rFonts w:eastAsia="MS Mincho"/>
          <w:lang w:val="en-GB"/>
        </w:rPr>
      </w:pPr>
      <w:r w:rsidRPr="00A616C3">
        <w:rPr>
          <w:rFonts w:eastAsia="MS Mincho"/>
          <w:lang w:val="en-GB"/>
        </w:rPr>
        <w:t xml:space="preserve">In the </w:t>
      </w:r>
      <w:proofErr w:type="spellStart"/>
      <w:r>
        <w:rPr>
          <w:rFonts w:eastAsia="MS Mincho"/>
          <w:lang w:val="en-GB"/>
        </w:rPr>
        <w:t>neoadjuvant</w:t>
      </w:r>
      <w:proofErr w:type="spellEnd"/>
      <w:r>
        <w:rPr>
          <w:rFonts w:eastAsia="MS Mincho"/>
          <w:lang w:val="en-GB"/>
        </w:rPr>
        <w:t xml:space="preserve">-adjuvant </w:t>
      </w:r>
      <w:r w:rsidRPr="00A616C3">
        <w:rPr>
          <w:rFonts w:eastAsia="MS Mincho"/>
          <w:lang w:val="en-GB"/>
        </w:rPr>
        <w:t xml:space="preserve">Study BO22227, subjects in the SC arm experienced a higher incidence of serious adverse events (21.5% vs.14.1%). The higher incidence was predominantly due to a higher incidence of serious infections in the SC arm. </w:t>
      </w:r>
    </w:p>
    <w:p w:rsidR="00F13FA8" w:rsidRDefault="00F13FA8" w:rsidP="00191DEB">
      <w:pPr>
        <w:rPr>
          <w:rFonts w:eastAsia="MS Mincho"/>
          <w:lang w:val="en-GB"/>
        </w:rPr>
      </w:pPr>
      <w:r>
        <w:rPr>
          <w:rFonts w:eastAsia="MS Mincho"/>
          <w:lang w:val="en-GB"/>
        </w:rPr>
        <w:t>The incidence of discontinuation of HERCEPTIN due to adverse effects was higher in the HERCEPTIN SC arm (2.7 % (IV) vs. 5.7 % (SC)). The overall incidence of discontinuation due to left ventricular dysfunction (LVD) was 2.0% (SC) vs. 1.0 % (IV).</w:t>
      </w:r>
    </w:p>
    <w:p w:rsidR="00191DEB" w:rsidRDefault="00191DEB" w:rsidP="00191DEB">
      <w:pPr>
        <w:rPr>
          <w:rFonts w:eastAsia="MS Mincho"/>
          <w:lang w:val="en-GB"/>
        </w:rPr>
      </w:pPr>
      <w:r w:rsidRPr="00A616C3">
        <w:rPr>
          <w:rFonts w:eastAsia="MS Mincho"/>
          <w:lang w:val="en-GB"/>
        </w:rPr>
        <w:t>HERCEPTIN SC administration was also associated with a higher incidence of administration-related reactions</w:t>
      </w:r>
      <w:r>
        <w:rPr>
          <w:rFonts w:eastAsia="MS Mincho"/>
          <w:lang w:val="en-GB"/>
        </w:rPr>
        <w:t xml:space="preserve"> (ARRs)</w:t>
      </w:r>
      <w:r w:rsidRPr="00A616C3">
        <w:rPr>
          <w:rFonts w:eastAsia="MS Mincho"/>
          <w:lang w:val="en-GB"/>
        </w:rPr>
        <w:t xml:space="preserve"> (48% vs. 37%) such as rash, erythema and cough. </w:t>
      </w:r>
      <w:r>
        <w:rPr>
          <w:rFonts w:eastAsia="MS Mincho"/>
          <w:lang w:val="en-GB"/>
        </w:rPr>
        <w:t xml:space="preserve"> </w:t>
      </w:r>
      <w:r w:rsidRPr="00A616C3">
        <w:rPr>
          <w:rFonts w:eastAsia="MS Mincho"/>
          <w:lang w:val="en-GB"/>
        </w:rPr>
        <w:t xml:space="preserve">Antibodies to </w:t>
      </w:r>
      <w:proofErr w:type="spellStart"/>
      <w:r w:rsidRPr="00A616C3">
        <w:rPr>
          <w:rFonts w:eastAsia="MS Mincho"/>
          <w:lang w:val="en-GB"/>
        </w:rPr>
        <w:t>trastuzumab</w:t>
      </w:r>
      <w:proofErr w:type="spellEnd"/>
      <w:r w:rsidRPr="00A616C3">
        <w:rPr>
          <w:rFonts w:eastAsia="MS Mincho"/>
          <w:lang w:val="en-GB"/>
        </w:rPr>
        <w:t xml:space="preserve"> also developed more commonly in the </w:t>
      </w:r>
      <w:r w:rsidR="00B4720E">
        <w:rPr>
          <w:rFonts w:eastAsia="MS Mincho"/>
          <w:lang w:val="en-GB"/>
        </w:rPr>
        <w:t>HERCEPTIN</w:t>
      </w:r>
      <w:r w:rsidR="00B4720E" w:rsidRPr="00A616C3">
        <w:rPr>
          <w:rFonts w:eastAsia="MS Mincho"/>
          <w:lang w:val="en-GB"/>
        </w:rPr>
        <w:t xml:space="preserve"> </w:t>
      </w:r>
      <w:r w:rsidRPr="00A616C3">
        <w:rPr>
          <w:rFonts w:eastAsia="MS Mincho"/>
          <w:lang w:val="en-GB"/>
        </w:rPr>
        <w:t>SC arm (14.6% vs. 7.1%). The clinical relevance of these antibodies is unknown.  However, the pharmacokinetics, efficacy, or safety of HERCEPTIN SC did not appear to be adversely affected by these antibodies and no relationship could be identified.</w:t>
      </w:r>
      <w:r>
        <w:rPr>
          <w:rFonts w:eastAsia="MS Mincho"/>
          <w:lang w:val="en-GB"/>
        </w:rPr>
        <w:t xml:space="preserve"> </w:t>
      </w:r>
    </w:p>
    <w:p w:rsidR="00191DEB" w:rsidRDefault="00191DEB" w:rsidP="00191DEB">
      <w:pPr>
        <w:rPr>
          <w:rFonts w:eastAsia="MS Mincho"/>
          <w:lang w:val="en-GB"/>
        </w:rPr>
      </w:pPr>
      <w:r>
        <w:rPr>
          <w:rFonts w:eastAsia="MS Mincho"/>
          <w:lang w:val="en-GB"/>
        </w:rPr>
        <w:t xml:space="preserve"> </w:t>
      </w:r>
      <w:r w:rsidRPr="00A616C3">
        <w:rPr>
          <w:rFonts w:eastAsia="MS Mincho"/>
          <w:lang w:val="en-GB"/>
        </w:rPr>
        <w:t>The potential impact of such effects should be considered for each patient when deciding to use HERCEPTIN SC</w:t>
      </w:r>
      <w:r w:rsidR="0000575D">
        <w:rPr>
          <w:rFonts w:eastAsia="MS Mincho"/>
          <w:lang w:val="en-GB"/>
        </w:rPr>
        <w:t xml:space="preserve"> </w:t>
      </w:r>
      <w:r w:rsidR="0000575D" w:rsidRPr="0000575D">
        <w:rPr>
          <w:rFonts w:eastAsia="MS Mincho"/>
          <w:lang w:val="en-GB"/>
        </w:rPr>
        <w:t xml:space="preserve">(see </w:t>
      </w:r>
      <w:r w:rsidR="0000575D" w:rsidRPr="0000575D">
        <w:rPr>
          <w:rFonts w:eastAsia="MS Mincho"/>
          <w:b/>
          <w:lang w:val="en-GB"/>
        </w:rPr>
        <w:t>PRECAUTIONS</w:t>
      </w:r>
      <w:r w:rsidR="00005411">
        <w:rPr>
          <w:rFonts w:eastAsia="MS Mincho"/>
          <w:b/>
          <w:lang w:val="en-GB"/>
        </w:rPr>
        <w:t>, Subcutaneous Administration</w:t>
      </w:r>
      <w:r w:rsidR="0000575D" w:rsidRPr="0000575D">
        <w:rPr>
          <w:rFonts w:eastAsia="MS Mincho"/>
          <w:lang w:val="en-GB"/>
        </w:rPr>
        <w:t>)</w:t>
      </w:r>
      <w:r w:rsidRPr="00A616C3">
        <w:rPr>
          <w:rFonts w:eastAsia="MS Mincho"/>
          <w:lang w:val="en-GB"/>
        </w:rPr>
        <w:t>.</w:t>
      </w:r>
    </w:p>
    <w:p w:rsidR="009877BF" w:rsidRPr="00A616C3" w:rsidRDefault="009877BF" w:rsidP="009877BF">
      <w:pPr>
        <w:pStyle w:val="Heading3"/>
        <w:spacing w:before="120" w:after="120" w:line="240" w:lineRule="atLeast"/>
      </w:pPr>
      <w:r w:rsidRPr="00A616C3">
        <w:t>Infusion</w:t>
      </w:r>
      <w:r w:rsidR="0076537C" w:rsidRPr="00A616C3">
        <w:t>/Administration</w:t>
      </w:r>
      <w:r w:rsidR="009A2F82" w:rsidRPr="00A616C3">
        <w:t>-</w:t>
      </w:r>
      <w:r w:rsidR="003B6E2C" w:rsidRPr="00A616C3">
        <w:t>R</w:t>
      </w:r>
      <w:r w:rsidR="000C2CB3" w:rsidRPr="00A616C3">
        <w:t>elated</w:t>
      </w:r>
      <w:r w:rsidRPr="00A616C3">
        <w:t xml:space="preserve"> </w:t>
      </w:r>
      <w:r w:rsidR="003B6E2C" w:rsidRPr="00A616C3">
        <w:t>R</w:t>
      </w:r>
      <w:r w:rsidRPr="00A616C3">
        <w:t>eactions</w:t>
      </w:r>
      <w:r w:rsidR="009A2F82" w:rsidRPr="00A616C3">
        <w:t xml:space="preserve"> (IRRs</w:t>
      </w:r>
      <w:r w:rsidR="0076537C" w:rsidRPr="00A616C3">
        <w:t>/ARRs</w:t>
      </w:r>
      <w:r w:rsidR="009A2F82" w:rsidRPr="00A616C3">
        <w:t xml:space="preserve">) and </w:t>
      </w:r>
      <w:r w:rsidR="00FC571D" w:rsidRPr="00A616C3">
        <w:t>H</w:t>
      </w:r>
      <w:r w:rsidR="000C2CB3" w:rsidRPr="00A616C3">
        <w:t>ypersensitivity</w:t>
      </w:r>
    </w:p>
    <w:p w:rsidR="00444F21" w:rsidRPr="00A616C3" w:rsidRDefault="00130E36" w:rsidP="008B0A99">
      <w:r w:rsidRPr="00A616C3">
        <w:t>IRRs</w:t>
      </w:r>
      <w:r w:rsidR="0076537C" w:rsidRPr="00A616C3">
        <w:t>/A</w:t>
      </w:r>
      <w:r w:rsidR="00F13FA8">
        <w:t>R</w:t>
      </w:r>
      <w:r w:rsidR="0076537C" w:rsidRPr="00A616C3">
        <w:t>Rs</w:t>
      </w:r>
      <w:r w:rsidRPr="00A616C3">
        <w:t xml:space="preserve"> such as chills and/or fever, dyspnoea, hypotension, wheezing, bronchospasm, tachycardia, reduced oxygen saturation and respiratory distress were seen in </w:t>
      </w:r>
      <w:proofErr w:type="spellStart"/>
      <w:r w:rsidR="0076537C" w:rsidRPr="00A616C3">
        <w:t>trastuzumab</w:t>
      </w:r>
      <w:proofErr w:type="spellEnd"/>
      <w:r w:rsidR="0026534B" w:rsidRPr="00A616C3">
        <w:t xml:space="preserve"> </w:t>
      </w:r>
      <w:r w:rsidRPr="00A616C3">
        <w:t xml:space="preserve">clinical trials (see </w:t>
      </w:r>
      <w:r w:rsidRPr="00A616C3">
        <w:rPr>
          <w:b/>
        </w:rPr>
        <w:t>PRECAUTIONS</w:t>
      </w:r>
      <w:r w:rsidRPr="00A616C3">
        <w:t>).</w:t>
      </w:r>
    </w:p>
    <w:p w:rsidR="0076537C" w:rsidRPr="00A616C3" w:rsidRDefault="0076537C" w:rsidP="008B0A99">
      <w:r w:rsidRPr="00A616C3">
        <w:rPr>
          <w:lang w:val="en-GB"/>
        </w:rPr>
        <w:t xml:space="preserve">In the </w:t>
      </w:r>
      <w:proofErr w:type="spellStart"/>
      <w:r w:rsidRPr="00A616C3">
        <w:rPr>
          <w:lang w:val="en-GB"/>
        </w:rPr>
        <w:t>neoadjuvant</w:t>
      </w:r>
      <w:proofErr w:type="spellEnd"/>
      <w:r w:rsidRPr="00A616C3">
        <w:rPr>
          <w:lang w:val="en-GB"/>
        </w:rPr>
        <w:t xml:space="preserve">-adjuvant Study BO22227, the rate of </w:t>
      </w:r>
      <w:r w:rsidR="00D77362">
        <w:rPr>
          <w:lang w:val="en-GB"/>
        </w:rPr>
        <w:t>A</w:t>
      </w:r>
      <w:r w:rsidRPr="00A616C3">
        <w:rPr>
          <w:lang w:val="en-GB"/>
        </w:rPr>
        <w:t xml:space="preserve">RRs </w:t>
      </w:r>
      <w:r w:rsidR="00D77362">
        <w:rPr>
          <w:lang w:val="en-GB"/>
        </w:rPr>
        <w:t xml:space="preserve">was 47.8% in the HERECPTIN SC arm, compared to </w:t>
      </w:r>
      <w:r w:rsidRPr="00A616C3">
        <w:rPr>
          <w:lang w:val="en-GB"/>
        </w:rPr>
        <w:t xml:space="preserve">37.2% in the </w:t>
      </w:r>
      <w:r w:rsidR="00B4720E">
        <w:rPr>
          <w:lang w:val="en-GB"/>
        </w:rPr>
        <w:t xml:space="preserve">HERCEPTIN </w:t>
      </w:r>
      <w:r w:rsidRPr="00A616C3">
        <w:rPr>
          <w:lang w:val="en-GB"/>
        </w:rPr>
        <w:t xml:space="preserve">IV arm. Severe grade 3 events IRR/ARR events were 2.0% and 1.7% in the </w:t>
      </w:r>
      <w:r w:rsidR="00B4720E">
        <w:rPr>
          <w:lang w:val="en-GB"/>
        </w:rPr>
        <w:t xml:space="preserve">HERCEPTIN </w:t>
      </w:r>
      <w:r w:rsidRPr="00A616C3">
        <w:rPr>
          <w:lang w:val="en-GB"/>
        </w:rPr>
        <w:t xml:space="preserve">IV and </w:t>
      </w:r>
      <w:r w:rsidR="00B4720E">
        <w:rPr>
          <w:lang w:val="en-GB"/>
        </w:rPr>
        <w:t xml:space="preserve">HERCEPTIN </w:t>
      </w:r>
      <w:r w:rsidRPr="00A616C3">
        <w:rPr>
          <w:lang w:val="en-GB"/>
        </w:rPr>
        <w:t>SC arms, respectively. There were no grade 4 or 5 IRRs/ARRs.</w:t>
      </w:r>
    </w:p>
    <w:p w:rsidR="00E2568F" w:rsidRPr="00A616C3" w:rsidRDefault="00E2568F" w:rsidP="008B0A99">
      <w:r w:rsidRPr="00A616C3">
        <w:t>IRR</w:t>
      </w:r>
      <w:r w:rsidR="0076537C" w:rsidRPr="00A616C3">
        <w:t>s</w:t>
      </w:r>
      <w:r w:rsidRPr="00A616C3">
        <w:t xml:space="preserve"> may be clinically difficult to distinguish from hypersensitivity reactions.</w:t>
      </w:r>
    </w:p>
    <w:p w:rsidR="009877BF" w:rsidRPr="00A616C3" w:rsidRDefault="009877BF" w:rsidP="008B0A99">
      <w:pPr>
        <w:rPr>
          <w:strike/>
          <w:lang w:val="en-GB"/>
        </w:rPr>
      </w:pPr>
      <w:proofErr w:type="spellStart"/>
      <w:r w:rsidRPr="00A616C3">
        <w:rPr>
          <w:lang w:val="en-GB"/>
        </w:rPr>
        <w:t>Anaphylactoid</w:t>
      </w:r>
      <w:proofErr w:type="spellEnd"/>
      <w:r w:rsidRPr="00A616C3">
        <w:rPr>
          <w:lang w:val="en-GB"/>
        </w:rPr>
        <w:t xml:space="preserve"> reactions were observed in isolated cases (see </w:t>
      </w:r>
      <w:r w:rsidRPr="00A616C3">
        <w:rPr>
          <w:b/>
          <w:lang w:val="en-GB"/>
        </w:rPr>
        <w:t>PRECAUTIONS</w:t>
      </w:r>
      <w:r w:rsidRPr="00A616C3">
        <w:rPr>
          <w:lang w:val="en-GB"/>
        </w:rPr>
        <w:t>).</w:t>
      </w:r>
    </w:p>
    <w:p w:rsidR="009877BF" w:rsidRPr="00A616C3" w:rsidRDefault="009877BF" w:rsidP="009877BF">
      <w:pPr>
        <w:pStyle w:val="Heading3"/>
        <w:spacing w:before="120" w:after="120" w:line="240" w:lineRule="atLeast"/>
      </w:pPr>
      <w:r w:rsidRPr="00A616C3">
        <w:t xml:space="preserve">Cardiac </w:t>
      </w:r>
      <w:r w:rsidR="00444F21" w:rsidRPr="00A616C3">
        <w:t>Dysfunction</w:t>
      </w:r>
    </w:p>
    <w:p w:rsidR="00147754" w:rsidRPr="00A616C3" w:rsidRDefault="00475BEE" w:rsidP="004D06E1">
      <w:pPr>
        <w:pStyle w:val="Heading4"/>
        <w:spacing w:after="120"/>
        <w:ind w:left="0"/>
        <w:rPr>
          <w:b w:val="0"/>
          <w:i w:val="0"/>
          <w:sz w:val="22"/>
        </w:rPr>
      </w:pPr>
      <w:r w:rsidRPr="00A616C3">
        <w:rPr>
          <w:b w:val="0"/>
          <w:i w:val="0"/>
          <w:sz w:val="22"/>
        </w:rPr>
        <w:t xml:space="preserve">Congestive heart failure (NYHA II-IV) is a common adverse reaction to HERCEPTIN. It has been associated with fatal outcome. </w:t>
      </w:r>
      <w:r w:rsidR="00130E36" w:rsidRPr="00A616C3">
        <w:rPr>
          <w:b w:val="0"/>
          <w:i w:val="0"/>
          <w:sz w:val="22"/>
        </w:rPr>
        <w:t>Signs and</w:t>
      </w:r>
      <w:r w:rsidR="00147754" w:rsidRPr="00A616C3">
        <w:rPr>
          <w:b w:val="0"/>
          <w:i w:val="0"/>
          <w:sz w:val="22"/>
        </w:rPr>
        <w:t xml:space="preserve"> symptoms of heart failure, such as dyspnoea, orthopnoea, increased cough, pulmonary oedema, and S3 gallop</w:t>
      </w:r>
      <w:r w:rsidR="008C3F34" w:rsidRPr="00A616C3">
        <w:rPr>
          <w:b w:val="0"/>
          <w:i w:val="0"/>
          <w:sz w:val="22"/>
        </w:rPr>
        <w:t xml:space="preserve"> or reduced ventricular ejection fraction</w:t>
      </w:r>
      <w:r w:rsidR="00147754" w:rsidRPr="00A616C3">
        <w:rPr>
          <w:b w:val="0"/>
          <w:i w:val="0"/>
          <w:sz w:val="22"/>
        </w:rPr>
        <w:t xml:space="preserve">, have been observed in patients treated with HERCEPTIN (see </w:t>
      </w:r>
      <w:r w:rsidR="00147754" w:rsidRPr="00A616C3">
        <w:rPr>
          <w:i w:val="0"/>
          <w:sz w:val="22"/>
        </w:rPr>
        <w:t>PRECAUTIONS</w:t>
      </w:r>
      <w:r w:rsidR="00147754" w:rsidRPr="00A616C3">
        <w:rPr>
          <w:b w:val="0"/>
          <w:i w:val="0"/>
          <w:sz w:val="22"/>
        </w:rPr>
        <w:t xml:space="preserve">). </w:t>
      </w:r>
    </w:p>
    <w:p w:rsidR="008228BD" w:rsidRPr="00A616C3" w:rsidRDefault="008228BD" w:rsidP="008228BD">
      <w:pPr>
        <w:pStyle w:val="Heading4"/>
        <w:spacing w:after="120"/>
        <w:ind w:left="0"/>
        <w:rPr>
          <w:sz w:val="22"/>
          <w:u w:val="single"/>
        </w:rPr>
      </w:pPr>
      <w:r w:rsidRPr="00A616C3">
        <w:rPr>
          <w:sz w:val="22"/>
          <w:u w:val="single"/>
        </w:rPr>
        <w:t>Locally Advanced Breast Cancer (</w:t>
      </w:r>
      <w:proofErr w:type="spellStart"/>
      <w:r w:rsidRPr="00A616C3">
        <w:rPr>
          <w:sz w:val="22"/>
          <w:u w:val="single"/>
        </w:rPr>
        <w:t>neoadjuvant</w:t>
      </w:r>
      <w:proofErr w:type="spellEnd"/>
      <w:r w:rsidRPr="00A616C3">
        <w:rPr>
          <w:sz w:val="22"/>
          <w:u w:val="single"/>
        </w:rPr>
        <w:t xml:space="preserve"> –adjuvant setting)</w:t>
      </w:r>
    </w:p>
    <w:p w:rsidR="003974A3" w:rsidRPr="00A616C3" w:rsidRDefault="003974A3" w:rsidP="003974A3">
      <w:r>
        <w:t>In</w:t>
      </w:r>
      <w:r w:rsidRPr="00A616C3">
        <w:t xml:space="preserve"> Study BO22227, </w:t>
      </w:r>
      <w:r w:rsidR="00CD3BAC">
        <w:t xml:space="preserve">when HERCEPTIN  was administered concurrently with </w:t>
      </w:r>
      <w:proofErr w:type="spellStart"/>
      <w:r w:rsidR="00CD3BAC">
        <w:t>neoadjuvant</w:t>
      </w:r>
      <w:proofErr w:type="spellEnd"/>
      <w:r w:rsidR="00CD3BAC">
        <w:t xml:space="preserve"> chemotherapy that contained four cycles of </w:t>
      </w:r>
      <w:proofErr w:type="spellStart"/>
      <w:r w:rsidR="00CD3BAC">
        <w:t>epirubicin</w:t>
      </w:r>
      <w:proofErr w:type="spellEnd"/>
      <w:r w:rsidR="00CD3BAC">
        <w:t xml:space="preserve"> (</w:t>
      </w:r>
      <w:proofErr w:type="spellStart"/>
      <w:r w:rsidR="00CD3BAC">
        <w:t>culmulative</w:t>
      </w:r>
      <w:proofErr w:type="spellEnd"/>
      <w:r w:rsidR="00CD3BAC">
        <w:t xml:space="preserve"> dose 300mg/m</w:t>
      </w:r>
      <w:r w:rsidR="00CD3BAC">
        <w:rPr>
          <w:vertAlign w:val="superscript"/>
        </w:rPr>
        <w:t>2</w:t>
      </w:r>
      <w:r w:rsidR="00CD3BAC">
        <w:t xml:space="preserve">), </w:t>
      </w:r>
      <w:r w:rsidRPr="00A616C3">
        <w:t>at a median follow-up of 20 months the incidence of symptomatic cardiac dysfunction was 1.0% in the HERCEPTIN SC arm</w:t>
      </w:r>
      <w:r w:rsidR="00B4720E">
        <w:t xml:space="preserve"> </w:t>
      </w:r>
      <w:r w:rsidR="001A4DDD">
        <w:t xml:space="preserve">and </w:t>
      </w:r>
      <w:r w:rsidR="001A4DDD" w:rsidRPr="00A616C3">
        <w:t>0.</w:t>
      </w:r>
      <w:r w:rsidR="001A4DDD">
        <w:t>0</w:t>
      </w:r>
      <w:r w:rsidR="001A4DDD" w:rsidRPr="00A616C3">
        <w:t xml:space="preserve">% in the HERCEPTIN IV arm </w:t>
      </w:r>
      <w:r w:rsidR="00B4720E">
        <w:t>(all reported as NYHA cla</w:t>
      </w:r>
      <w:r w:rsidR="00E47C76">
        <w:t>s</w:t>
      </w:r>
      <w:r w:rsidR="00B4720E">
        <w:t>s I or II)</w:t>
      </w:r>
      <w:r w:rsidRPr="00A616C3">
        <w:t>.</w:t>
      </w:r>
    </w:p>
    <w:p w:rsidR="00C91C6E" w:rsidRDefault="008228BD" w:rsidP="0076537C">
      <w:r w:rsidRPr="00A616C3">
        <w:lastRenderedPageBreak/>
        <w:t>In</w:t>
      </w:r>
      <w:r w:rsidR="00B4720E">
        <w:t xml:space="preserve"> Study MO16432 (NOAH)</w:t>
      </w:r>
      <w:proofErr w:type="gramStart"/>
      <w:r w:rsidR="00B4720E">
        <w:t>,</w:t>
      </w:r>
      <w:r w:rsidRPr="00A616C3">
        <w:t xml:space="preserve">  HERCEPTIN</w:t>
      </w:r>
      <w:proofErr w:type="gramEnd"/>
      <w:r w:rsidR="003974A3">
        <w:t xml:space="preserve"> IV</w:t>
      </w:r>
      <w:r w:rsidRPr="00A616C3">
        <w:t xml:space="preserve"> was administered concurrently with </w:t>
      </w:r>
      <w:proofErr w:type="spellStart"/>
      <w:r w:rsidRPr="00A616C3">
        <w:t>neoadjuvant</w:t>
      </w:r>
      <w:proofErr w:type="spellEnd"/>
      <w:r w:rsidRPr="00A616C3">
        <w:t xml:space="preserve"> chemotherapy containing 3-4 cycles of a </w:t>
      </w:r>
      <w:proofErr w:type="spellStart"/>
      <w:r w:rsidRPr="00A616C3">
        <w:t>neoadjuvant</w:t>
      </w:r>
      <w:proofErr w:type="spellEnd"/>
      <w:r w:rsidRPr="00A616C3">
        <w:t xml:space="preserve"> </w:t>
      </w:r>
      <w:proofErr w:type="spellStart"/>
      <w:r w:rsidRPr="00A616C3">
        <w:t>anthracycline</w:t>
      </w:r>
      <w:proofErr w:type="spellEnd"/>
      <w:r w:rsidRPr="00A616C3">
        <w:t xml:space="preserve"> (cumulative doxorubicin dose 180 mg/m</w:t>
      </w:r>
      <w:r w:rsidRPr="00A616C3">
        <w:rPr>
          <w:vertAlign w:val="superscript"/>
        </w:rPr>
        <w:t>2</w:t>
      </w:r>
      <w:r w:rsidRPr="00A616C3">
        <w:t xml:space="preserve">) overall, the incidence of symptomatic cardiac dysfunction was 1.7 % in the HERCEPTIN </w:t>
      </w:r>
      <w:r w:rsidR="003974A3">
        <w:t xml:space="preserve">IV </w:t>
      </w:r>
      <w:r w:rsidRPr="00A616C3">
        <w:t>arm.</w:t>
      </w:r>
      <w:r w:rsidR="0076537C" w:rsidRPr="00A616C3">
        <w:t xml:space="preserve"> </w:t>
      </w:r>
    </w:p>
    <w:p w:rsidR="00332DDD" w:rsidRPr="00A616C3" w:rsidRDefault="00303DE7" w:rsidP="004D06E1">
      <w:pPr>
        <w:pStyle w:val="Heading4"/>
        <w:spacing w:after="120"/>
        <w:ind w:left="0"/>
        <w:rPr>
          <w:sz w:val="22"/>
          <w:u w:val="single"/>
        </w:rPr>
      </w:pPr>
      <w:r>
        <w:rPr>
          <w:sz w:val="22"/>
          <w:u w:val="single"/>
        </w:rPr>
        <w:t>Early</w:t>
      </w:r>
      <w:r w:rsidRPr="00A616C3">
        <w:rPr>
          <w:sz w:val="22"/>
          <w:u w:val="single"/>
        </w:rPr>
        <w:t xml:space="preserve"> </w:t>
      </w:r>
      <w:r w:rsidR="00332DDD" w:rsidRPr="00A616C3">
        <w:rPr>
          <w:sz w:val="22"/>
          <w:u w:val="single"/>
        </w:rPr>
        <w:t>Breast Cancer</w:t>
      </w:r>
      <w:r w:rsidR="00147754" w:rsidRPr="00A616C3">
        <w:rPr>
          <w:sz w:val="22"/>
          <w:u w:val="single"/>
        </w:rPr>
        <w:t xml:space="preserve"> (adjuvant setting)</w:t>
      </w:r>
    </w:p>
    <w:p w:rsidR="00F726FE" w:rsidRPr="00A616C3" w:rsidRDefault="00F726FE" w:rsidP="00091CB7">
      <w:r w:rsidRPr="00A616C3">
        <w:t xml:space="preserve">In </w:t>
      </w:r>
      <w:r w:rsidR="00A669C4" w:rsidRPr="00A616C3">
        <w:t>3</w:t>
      </w:r>
      <w:r w:rsidRPr="00A616C3">
        <w:t xml:space="preserve"> pivotal clinical trials of adjuvant </w:t>
      </w:r>
      <w:r w:rsidR="00A669C4" w:rsidRPr="00A616C3">
        <w:t>HERCEPTIN</w:t>
      </w:r>
      <w:r w:rsidRPr="00A616C3">
        <w:t xml:space="preserve"> </w:t>
      </w:r>
      <w:r w:rsidR="00F02E84">
        <w:t xml:space="preserve">IV </w:t>
      </w:r>
      <w:r w:rsidRPr="00A616C3">
        <w:t>given in combination with chemotherapy the incidence of grade 3/4 cardiac dysfunction (symptomatic CHF) was similar in patients who were administered chemotherapy alone and in patients who were administered H</w:t>
      </w:r>
      <w:r w:rsidR="00542D73" w:rsidRPr="00A616C3">
        <w:t>ERCEPTIN</w:t>
      </w:r>
      <w:r w:rsidR="00F02E84">
        <w:t xml:space="preserve"> IV</w:t>
      </w:r>
      <w:r w:rsidRPr="00A616C3">
        <w:t xml:space="preserve"> sequentially to a </w:t>
      </w:r>
      <w:proofErr w:type="spellStart"/>
      <w:r w:rsidRPr="00A616C3">
        <w:t>taxane</w:t>
      </w:r>
      <w:proofErr w:type="spellEnd"/>
      <w:r w:rsidRPr="00A616C3">
        <w:t xml:space="preserve"> (0.3 - 0.4%). The rate was highest in patients who were administered H</w:t>
      </w:r>
      <w:r w:rsidR="00542D73" w:rsidRPr="00A616C3">
        <w:t>ERCEPTIN</w:t>
      </w:r>
      <w:r w:rsidR="00F02E84">
        <w:t xml:space="preserve"> IV</w:t>
      </w:r>
      <w:r w:rsidR="00542D73" w:rsidRPr="00A616C3">
        <w:t xml:space="preserve"> </w:t>
      </w:r>
      <w:r w:rsidR="00F02E84">
        <w:t>co</w:t>
      </w:r>
      <w:r w:rsidR="00F02E84" w:rsidRPr="00A616C3">
        <w:t>ncurrently</w:t>
      </w:r>
      <w:r w:rsidRPr="00A616C3">
        <w:t xml:space="preserve"> with a </w:t>
      </w:r>
      <w:proofErr w:type="spellStart"/>
      <w:r w:rsidRPr="00A616C3">
        <w:t>taxane</w:t>
      </w:r>
      <w:proofErr w:type="spellEnd"/>
      <w:r w:rsidRPr="00A616C3">
        <w:t xml:space="preserve"> (2.0%). At 3 years, the cardiac event rate in patients receiving AC</w:t>
      </w:r>
      <w:proofErr w:type="gramStart"/>
      <w:r w:rsidRPr="00A616C3">
        <w:t>→</w:t>
      </w:r>
      <w:r w:rsidR="003974A3">
        <w:t xml:space="preserve">  </w:t>
      </w:r>
      <w:r w:rsidRPr="00A616C3">
        <w:t>P</w:t>
      </w:r>
      <w:proofErr w:type="gramEnd"/>
      <w:r w:rsidRPr="00A616C3">
        <w:t xml:space="preserve"> (doxorubicin plus cyclophosphamide followed by paclitaxel) + H (</w:t>
      </w:r>
      <w:r w:rsidR="00A669C4" w:rsidRPr="00A616C3">
        <w:t>HERCEPTIN</w:t>
      </w:r>
      <w:r w:rsidR="00F02E84">
        <w:t xml:space="preserve"> IV</w:t>
      </w:r>
      <w:r w:rsidRPr="00A616C3">
        <w:t>) was estimated at 3.2%, compared with 0.8% in AC→</w:t>
      </w:r>
      <w:r w:rsidR="003974A3">
        <w:t xml:space="preserve">  </w:t>
      </w:r>
      <w:r w:rsidRPr="00A616C3">
        <w:t>P treated patients. No increase in the cumulative incidence of cardiac events was seen with further follow-up at 5 years.</w:t>
      </w:r>
    </w:p>
    <w:p w:rsidR="00F726FE" w:rsidRPr="00A616C3" w:rsidRDefault="00F726FE" w:rsidP="00091CB7">
      <w:r w:rsidRPr="00A616C3">
        <w:t>At 5.5 years, the rates of symptomatic cardiac or LVEF events were 1.0%, 2.3%, and 1.1% in the AC→</w:t>
      </w:r>
      <w:r w:rsidR="003974A3">
        <w:t xml:space="preserve">  </w:t>
      </w:r>
      <w:r w:rsidRPr="00A616C3">
        <w:t xml:space="preserve">D (doxorubicin plus cyclophosphamide, followed by </w:t>
      </w:r>
      <w:proofErr w:type="spellStart"/>
      <w:r w:rsidRPr="00A616C3">
        <w:t>docetaxel</w:t>
      </w:r>
      <w:proofErr w:type="spellEnd"/>
      <w:r w:rsidRPr="00A616C3">
        <w:t>), AC→</w:t>
      </w:r>
      <w:r w:rsidR="003974A3">
        <w:t xml:space="preserve">  </w:t>
      </w:r>
      <w:r w:rsidRPr="00A616C3">
        <w:t xml:space="preserve">DH (doxorubicin plus cyclophosphamide, followed by </w:t>
      </w:r>
      <w:proofErr w:type="spellStart"/>
      <w:r w:rsidRPr="00A616C3">
        <w:t>docetaxel</w:t>
      </w:r>
      <w:proofErr w:type="spellEnd"/>
      <w:r w:rsidRPr="00A616C3">
        <w:t xml:space="preserve"> plus </w:t>
      </w:r>
      <w:proofErr w:type="spellStart"/>
      <w:r w:rsidRPr="00A616C3">
        <w:t>trastuzumab</w:t>
      </w:r>
      <w:proofErr w:type="spellEnd"/>
      <w:r w:rsidRPr="00A616C3">
        <w:t xml:space="preserve">), and </w:t>
      </w:r>
      <w:proofErr w:type="spellStart"/>
      <w:r w:rsidRPr="00A616C3">
        <w:t>DCarbH</w:t>
      </w:r>
      <w:proofErr w:type="spellEnd"/>
      <w:r w:rsidRPr="00A616C3">
        <w:t xml:space="preserve"> (</w:t>
      </w:r>
      <w:proofErr w:type="spellStart"/>
      <w:r w:rsidRPr="00A616C3">
        <w:t>docetaxel</w:t>
      </w:r>
      <w:proofErr w:type="spellEnd"/>
      <w:r w:rsidRPr="00A616C3">
        <w:t xml:space="preserve">, carboplatin and </w:t>
      </w:r>
      <w:r w:rsidR="00A669C4" w:rsidRPr="00A616C3">
        <w:t>HERCEPTIN</w:t>
      </w:r>
      <w:r w:rsidR="00F02E84">
        <w:t xml:space="preserve"> IV</w:t>
      </w:r>
      <w:r w:rsidRPr="00A616C3">
        <w:t>) treatment arms, respectively. For symptomatic CHF (Grade 3 - 4), the 5-year rates were 0.6%, 1.9%, and 0.4% in the AC→</w:t>
      </w:r>
      <w:r w:rsidR="003974A3">
        <w:t xml:space="preserve">  </w:t>
      </w:r>
      <w:r w:rsidRPr="00A616C3">
        <w:t>D, AC→</w:t>
      </w:r>
      <w:r w:rsidR="003974A3">
        <w:t xml:space="preserve">  </w:t>
      </w:r>
      <w:r w:rsidRPr="00A616C3">
        <w:t xml:space="preserve">DH, and </w:t>
      </w:r>
      <w:proofErr w:type="spellStart"/>
      <w:r w:rsidR="00F02E84" w:rsidRPr="00A616C3">
        <w:t>DCarbH</w:t>
      </w:r>
      <w:proofErr w:type="spellEnd"/>
      <w:r w:rsidR="00F02E84" w:rsidRPr="00A616C3">
        <w:t xml:space="preserve"> treatment</w:t>
      </w:r>
      <w:r w:rsidRPr="00A616C3">
        <w:t xml:space="preserve"> arms, respectively. The overall risk of developing symptomatic cardiac events was low and similar for patients in AC</w:t>
      </w:r>
      <w:proofErr w:type="gramStart"/>
      <w:r w:rsidRPr="00A616C3">
        <w:t>→</w:t>
      </w:r>
      <w:r w:rsidR="003974A3">
        <w:t xml:space="preserve">  </w:t>
      </w:r>
      <w:r w:rsidRPr="00A616C3">
        <w:t>D</w:t>
      </w:r>
      <w:proofErr w:type="gramEnd"/>
      <w:r w:rsidRPr="00A616C3">
        <w:t xml:space="preserve"> and </w:t>
      </w:r>
      <w:proofErr w:type="spellStart"/>
      <w:r w:rsidRPr="00A616C3">
        <w:t>DCarbH</w:t>
      </w:r>
      <w:proofErr w:type="spellEnd"/>
      <w:r w:rsidRPr="00A616C3">
        <w:t xml:space="preserve"> arms; relative to both the AC→</w:t>
      </w:r>
      <w:r w:rsidR="003974A3">
        <w:t xml:space="preserve">  </w:t>
      </w:r>
      <w:r w:rsidRPr="00A616C3">
        <w:t xml:space="preserve">D and </w:t>
      </w:r>
      <w:proofErr w:type="spellStart"/>
      <w:r w:rsidRPr="00A616C3">
        <w:t>DCarbH</w:t>
      </w:r>
      <w:proofErr w:type="spellEnd"/>
      <w:r w:rsidRPr="00A616C3">
        <w:t xml:space="preserve"> arms there was an increased risk of developing a symptomatic cardiac event for patients in the AC→</w:t>
      </w:r>
      <w:r w:rsidR="003974A3">
        <w:t xml:space="preserve">  </w:t>
      </w:r>
      <w:r w:rsidRPr="00A616C3">
        <w:t xml:space="preserve">DH arm, being </w:t>
      </w:r>
      <w:proofErr w:type="spellStart"/>
      <w:r w:rsidRPr="00A616C3">
        <w:t>discernable</w:t>
      </w:r>
      <w:proofErr w:type="spellEnd"/>
      <w:r w:rsidRPr="00A616C3">
        <w:t xml:space="preserve"> by a continuous increase in the cumulative rate of symptomatic cardiac or LVEF events up to 2.3% compared to approximately 1% in the two comparator arms (AC→</w:t>
      </w:r>
      <w:r w:rsidR="003974A3">
        <w:t xml:space="preserve">  </w:t>
      </w:r>
      <w:r w:rsidRPr="00A616C3">
        <w:t xml:space="preserve">D and </w:t>
      </w:r>
      <w:proofErr w:type="spellStart"/>
      <w:r w:rsidRPr="00A616C3">
        <w:t>DCarbH</w:t>
      </w:r>
      <w:proofErr w:type="spellEnd"/>
      <w:r w:rsidRPr="00A616C3">
        <w:t>).</w:t>
      </w:r>
    </w:p>
    <w:p w:rsidR="00E2308B" w:rsidRPr="00A616C3" w:rsidRDefault="00F726FE" w:rsidP="00091CB7">
      <w:r w:rsidRPr="00A616C3">
        <w:t>When H</w:t>
      </w:r>
      <w:r w:rsidR="00542D73" w:rsidRPr="00A616C3">
        <w:t>ERCEPTIN</w:t>
      </w:r>
      <w:r w:rsidR="00F02E84">
        <w:t xml:space="preserve"> IV</w:t>
      </w:r>
      <w:r w:rsidRPr="00A616C3">
        <w:t xml:space="preserve"> was administered after completion of adjuvant chemotherapy</w:t>
      </w:r>
      <w:r w:rsidR="00F12FD9" w:rsidRPr="00A616C3">
        <w:t>,</w:t>
      </w:r>
      <w:r w:rsidRPr="00A616C3">
        <w:t xml:space="preserve"> NYHA class III-IV heart failure was observed in 0.6% of patients in the </w:t>
      </w:r>
      <w:r w:rsidR="00F12FD9" w:rsidRPr="00A616C3">
        <w:t xml:space="preserve">1 </w:t>
      </w:r>
      <w:r w:rsidRPr="00A616C3">
        <w:t>year arm</w:t>
      </w:r>
      <w:r w:rsidR="0057143D" w:rsidRPr="00A616C3">
        <w:t xml:space="preserve"> after a median follow up of 12 months</w:t>
      </w:r>
      <w:r w:rsidRPr="00A616C3">
        <w:t>. After a median follow-up of 3.6 years the incidence of severe CHF and left ventricular dysfunction after 1 year H</w:t>
      </w:r>
      <w:r w:rsidR="00542D73" w:rsidRPr="00A616C3">
        <w:t>ERCEPTIN</w:t>
      </w:r>
      <w:r w:rsidR="00F02E84">
        <w:t xml:space="preserve"> IV</w:t>
      </w:r>
      <w:r w:rsidRPr="00A616C3">
        <w:t xml:space="preserve"> therapy remained low at 0.8% and 9.8%, respectively. </w:t>
      </w:r>
      <w:r w:rsidR="0057143D" w:rsidRPr="00A616C3">
        <w:t xml:space="preserve">After a median follow-up of 8 years the incidence of severe CHF (NYHA III &amp; IV) following 1 year of HERCEPTIN </w:t>
      </w:r>
      <w:r w:rsidR="00F02E84">
        <w:t xml:space="preserve">IV </w:t>
      </w:r>
      <w:r w:rsidR="0057143D" w:rsidRPr="00A616C3">
        <w:t xml:space="preserve">therapy (combined analysis of the two HERCEPTIN </w:t>
      </w:r>
      <w:r w:rsidR="00F02E84">
        <w:t xml:space="preserve">IV </w:t>
      </w:r>
      <w:r w:rsidR="0057143D" w:rsidRPr="00A616C3">
        <w:t>treatment arms) was 0.89%, and the rate of mild symptomatic and asymptomatic left ventricular dysfunction was 6.35%</w:t>
      </w:r>
      <w:r w:rsidRPr="00A616C3">
        <w:t>.</w:t>
      </w:r>
    </w:p>
    <w:p w:rsidR="0057143D" w:rsidRPr="00A616C3" w:rsidRDefault="0057143D" w:rsidP="00091CB7">
      <w:r w:rsidRPr="00A616C3">
        <w:rPr>
          <w:lang w:val="en-GB"/>
        </w:rPr>
        <w:t>Reversibility of severe CHF (defined as a sequence of at least two consecutive LVEF values </w:t>
      </w:r>
      <w:r w:rsidRPr="00A616C3">
        <w:rPr>
          <w:lang w:val="en-GB"/>
        </w:rPr>
        <w:sym w:font="Symbol" w:char="F0B3"/>
      </w:r>
      <w:r w:rsidRPr="00A616C3">
        <w:rPr>
          <w:lang w:val="en-GB"/>
        </w:rPr>
        <w:t> 50% after the event) was evident for 70.0% of HERCEPTIN</w:t>
      </w:r>
      <w:r w:rsidR="00F02E84">
        <w:rPr>
          <w:lang w:val="en-GB"/>
        </w:rPr>
        <w:t xml:space="preserve"> IV</w:t>
      </w:r>
      <w:r w:rsidRPr="00A616C3">
        <w:rPr>
          <w:lang w:val="en-GB"/>
        </w:rPr>
        <w:t>-treated patients. Reversibility of mild symptomatic and asymptomatic left ventricular dysfunction was demonstrated for 83.1% of HERCEPTIN</w:t>
      </w:r>
      <w:r w:rsidR="00F02E84">
        <w:rPr>
          <w:lang w:val="en-GB"/>
        </w:rPr>
        <w:t xml:space="preserve"> IV </w:t>
      </w:r>
      <w:r w:rsidRPr="00A616C3">
        <w:rPr>
          <w:lang w:val="en-GB"/>
        </w:rPr>
        <w:t>treated patients. Approximately 10% of cardiac endpoints occurred after completion of HERCEPTIN</w:t>
      </w:r>
      <w:r w:rsidR="00F02E84">
        <w:rPr>
          <w:lang w:val="en-GB"/>
        </w:rPr>
        <w:t xml:space="preserve"> IV</w:t>
      </w:r>
      <w:r w:rsidRPr="00A616C3">
        <w:rPr>
          <w:lang w:val="en-GB"/>
        </w:rPr>
        <w:t>.</w:t>
      </w:r>
    </w:p>
    <w:p w:rsidR="005C0075" w:rsidRPr="00A616C3" w:rsidRDefault="005C0075" w:rsidP="00E2308B">
      <w:pPr>
        <w:pStyle w:val="TextTi12"/>
        <w:spacing w:before="120" w:after="120"/>
        <w:jc w:val="left"/>
        <w:rPr>
          <w:rFonts w:eastAsia="SimSun"/>
          <w:b/>
          <w:i/>
          <w:sz w:val="22"/>
          <w:u w:val="single"/>
          <w:lang w:eastAsia="zh-CN"/>
        </w:rPr>
      </w:pPr>
      <w:r w:rsidRPr="00A616C3">
        <w:rPr>
          <w:rFonts w:eastAsia="SimSun"/>
          <w:b/>
          <w:i/>
          <w:sz w:val="22"/>
          <w:u w:val="single"/>
          <w:lang w:eastAsia="zh-CN"/>
        </w:rPr>
        <w:t>Metastatic Breast Cancer</w:t>
      </w:r>
    </w:p>
    <w:p w:rsidR="005C0075" w:rsidRPr="00A616C3" w:rsidRDefault="005C0075" w:rsidP="00981F4D">
      <w:pPr>
        <w:pStyle w:val="Heading4"/>
        <w:spacing w:before="0" w:after="120"/>
        <w:ind w:left="0"/>
        <w:rPr>
          <w:rFonts w:eastAsia="SimSun"/>
          <w:b w:val="0"/>
          <w:i w:val="0"/>
          <w:sz w:val="22"/>
        </w:rPr>
      </w:pPr>
      <w:r w:rsidRPr="00A616C3">
        <w:rPr>
          <w:rFonts w:eastAsia="SimSun"/>
          <w:b w:val="0"/>
          <w:i w:val="0"/>
          <w:sz w:val="22"/>
        </w:rPr>
        <w:t xml:space="preserve">Depending on the criteria used to define cardiac dysfunction, the incidence in the pivotal metastatic trials varied between 9% and 12% in the HERCEPTIN + paclitaxel subgroup, compared with 1% - 4% for the paclitaxel-alone subgroup. For HERCEPTIN monotherapy, the rate was 6 - 9%. The highest rate </w:t>
      </w:r>
      <w:r w:rsidRPr="00A616C3">
        <w:rPr>
          <w:rFonts w:eastAsia="SimSun"/>
          <w:b w:val="0"/>
          <w:i w:val="0"/>
          <w:sz w:val="22"/>
        </w:rPr>
        <w:lastRenderedPageBreak/>
        <w:t xml:space="preserve">of cardiac dysfunction was seen in patients receiving </w:t>
      </w:r>
      <w:r w:rsidRPr="00A616C3">
        <w:rPr>
          <w:rFonts w:eastAsia="SimSun"/>
          <w:b w:val="0"/>
          <w:i w:val="0"/>
          <w:sz w:val="22"/>
          <w:lang w:eastAsia="zh-CN"/>
        </w:rPr>
        <w:t xml:space="preserve">concurrent </w:t>
      </w:r>
      <w:r w:rsidRPr="00A616C3">
        <w:rPr>
          <w:rFonts w:eastAsia="SimSun"/>
          <w:b w:val="0"/>
          <w:i w:val="0"/>
          <w:sz w:val="22"/>
        </w:rPr>
        <w:t xml:space="preserve">HERCEPTIN + </w:t>
      </w:r>
      <w:proofErr w:type="spellStart"/>
      <w:r w:rsidRPr="00A616C3">
        <w:rPr>
          <w:rFonts w:eastAsia="SimSun"/>
          <w:b w:val="0"/>
          <w:i w:val="0"/>
          <w:sz w:val="22"/>
        </w:rPr>
        <w:t>anthracycline</w:t>
      </w:r>
      <w:proofErr w:type="spellEnd"/>
      <w:r w:rsidR="00EE5F23" w:rsidRPr="00A616C3">
        <w:rPr>
          <w:rFonts w:eastAsia="SimSun"/>
          <w:b w:val="0"/>
          <w:i w:val="0"/>
          <w:sz w:val="22"/>
        </w:rPr>
        <w:t xml:space="preserve"> </w:t>
      </w:r>
      <w:r w:rsidRPr="00A616C3">
        <w:rPr>
          <w:rFonts w:eastAsia="SimSun"/>
          <w:b w:val="0"/>
          <w:i w:val="0"/>
          <w:sz w:val="22"/>
        </w:rPr>
        <w:t>/</w:t>
      </w:r>
      <w:r w:rsidR="00EE5F23" w:rsidRPr="00A616C3">
        <w:rPr>
          <w:rFonts w:eastAsia="SimSun"/>
          <w:b w:val="0"/>
          <w:i w:val="0"/>
          <w:sz w:val="22"/>
        </w:rPr>
        <w:t xml:space="preserve"> </w:t>
      </w:r>
      <w:r w:rsidRPr="00A616C3">
        <w:rPr>
          <w:rFonts w:eastAsia="SimSun"/>
          <w:b w:val="0"/>
          <w:i w:val="0"/>
          <w:sz w:val="22"/>
        </w:rPr>
        <w:t>cyclophosphamide (27</w:t>
      </w:r>
      <w:r w:rsidRPr="00A616C3">
        <w:rPr>
          <w:rFonts w:eastAsia="SimSun"/>
          <w:b w:val="0"/>
          <w:i w:val="0"/>
          <w:sz w:val="22"/>
          <w:lang w:eastAsia="zh-CN"/>
        </w:rPr>
        <w:t>%),</w:t>
      </w:r>
      <w:r w:rsidRPr="00A616C3">
        <w:rPr>
          <w:rFonts w:eastAsia="SimSun"/>
          <w:b w:val="0"/>
          <w:i w:val="0"/>
          <w:sz w:val="22"/>
        </w:rPr>
        <w:t xml:space="preserve"> significantly higher than in the </w:t>
      </w:r>
      <w:proofErr w:type="spellStart"/>
      <w:r w:rsidRPr="00A616C3">
        <w:rPr>
          <w:rFonts w:eastAsia="SimSun"/>
          <w:b w:val="0"/>
          <w:i w:val="0"/>
          <w:sz w:val="22"/>
        </w:rPr>
        <w:t>anthracycline</w:t>
      </w:r>
      <w:proofErr w:type="spellEnd"/>
      <w:r w:rsidR="00EE5F23" w:rsidRPr="00A616C3">
        <w:rPr>
          <w:rFonts w:eastAsia="SimSun"/>
          <w:b w:val="0"/>
          <w:i w:val="0"/>
          <w:sz w:val="22"/>
        </w:rPr>
        <w:t xml:space="preserve"> </w:t>
      </w:r>
      <w:r w:rsidRPr="00A616C3">
        <w:rPr>
          <w:rFonts w:eastAsia="SimSun"/>
          <w:b w:val="0"/>
          <w:i w:val="0"/>
          <w:sz w:val="22"/>
        </w:rPr>
        <w:t>/</w:t>
      </w:r>
      <w:r w:rsidR="00EE5F23" w:rsidRPr="00A616C3">
        <w:rPr>
          <w:rFonts w:eastAsia="SimSun"/>
          <w:b w:val="0"/>
          <w:i w:val="0"/>
          <w:sz w:val="22"/>
        </w:rPr>
        <w:t xml:space="preserve"> </w:t>
      </w:r>
      <w:r w:rsidRPr="00A616C3">
        <w:rPr>
          <w:rFonts w:eastAsia="SimSun"/>
          <w:b w:val="0"/>
          <w:i w:val="0"/>
          <w:sz w:val="22"/>
        </w:rPr>
        <w:t xml:space="preserve">cyclophosphamide-alone subgroup (7 - 10%). In study M77001 with prospective monitoring of cardiac function, the incidence of symptomatic heart failure was 2.2% in patients receiving HERCEPTIN and </w:t>
      </w:r>
      <w:proofErr w:type="spellStart"/>
      <w:r w:rsidRPr="00A616C3">
        <w:rPr>
          <w:rFonts w:eastAsia="SimSun"/>
          <w:b w:val="0"/>
          <w:i w:val="0"/>
          <w:sz w:val="22"/>
        </w:rPr>
        <w:t>docetaxel</w:t>
      </w:r>
      <w:proofErr w:type="spellEnd"/>
      <w:r w:rsidRPr="00A616C3">
        <w:rPr>
          <w:rFonts w:eastAsia="SimSun"/>
          <w:b w:val="0"/>
          <w:i w:val="0"/>
          <w:sz w:val="22"/>
        </w:rPr>
        <w:t xml:space="preserve">, compared with 0% in patients receiving </w:t>
      </w:r>
      <w:proofErr w:type="spellStart"/>
      <w:r w:rsidRPr="00A616C3">
        <w:rPr>
          <w:rFonts w:eastAsia="SimSun"/>
          <w:b w:val="0"/>
          <w:i w:val="0"/>
          <w:sz w:val="22"/>
        </w:rPr>
        <w:t>docetaxel</w:t>
      </w:r>
      <w:proofErr w:type="spellEnd"/>
      <w:r w:rsidRPr="00A616C3">
        <w:rPr>
          <w:rFonts w:eastAsia="SimSun"/>
          <w:b w:val="0"/>
          <w:i w:val="0"/>
          <w:sz w:val="22"/>
        </w:rPr>
        <w:t xml:space="preserve">-alone. </w:t>
      </w:r>
      <w:r w:rsidRPr="00A616C3">
        <w:rPr>
          <w:rFonts w:eastAsia="SimSun"/>
          <w:b w:val="0"/>
          <w:i w:val="0"/>
          <w:sz w:val="22"/>
          <w:lang w:eastAsia="zh-CN"/>
        </w:rPr>
        <w:t xml:space="preserve">Most of the patients (79%) who developed </w:t>
      </w:r>
      <w:r w:rsidR="00AA3BD7" w:rsidRPr="00A616C3">
        <w:rPr>
          <w:rFonts w:eastAsia="SimSun"/>
          <w:b w:val="0"/>
          <w:i w:val="0"/>
          <w:sz w:val="22"/>
          <w:lang w:eastAsia="zh-CN"/>
        </w:rPr>
        <w:t>cardiac dysfunction in these tr</w:t>
      </w:r>
      <w:r w:rsidRPr="00A616C3">
        <w:rPr>
          <w:rFonts w:eastAsia="SimSun"/>
          <w:b w:val="0"/>
          <w:i w:val="0"/>
          <w:sz w:val="22"/>
          <w:lang w:eastAsia="zh-CN"/>
        </w:rPr>
        <w:t>i</w:t>
      </w:r>
      <w:r w:rsidR="00AA3BD7" w:rsidRPr="00A616C3">
        <w:rPr>
          <w:rFonts w:eastAsia="SimSun"/>
          <w:b w:val="0"/>
          <w:i w:val="0"/>
          <w:sz w:val="22"/>
          <w:lang w:eastAsia="zh-CN"/>
        </w:rPr>
        <w:t>a</w:t>
      </w:r>
      <w:r w:rsidRPr="00A616C3">
        <w:rPr>
          <w:rFonts w:eastAsia="SimSun"/>
          <w:b w:val="0"/>
          <w:i w:val="0"/>
          <w:sz w:val="22"/>
          <w:lang w:eastAsia="zh-CN"/>
        </w:rPr>
        <w:t>ls experienced an improvement after receiving standard treatment for heart failure.</w:t>
      </w:r>
    </w:p>
    <w:p w:rsidR="009877BF" w:rsidRPr="00A616C3" w:rsidRDefault="009877BF" w:rsidP="007B14B1">
      <w:pPr>
        <w:pStyle w:val="Heading3"/>
        <w:spacing w:before="120" w:after="120" w:line="240" w:lineRule="atLeast"/>
      </w:pPr>
      <w:r w:rsidRPr="00A616C3">
        <w:t>Haematological Toxicity</w:t>
      </w:r>
    </w:p>
    <w:p w:rsidR="009877BF" w:rsidRPr="00A616C3" w:rsidRDefault="009877BF" w:rsidP="008B5643">
      <w:pPr>
        <w:pStyle w:val="Heading5"/>
        <w:ind w:left="0"/>
        <w:rPr>
          <w:sz w:val="22"/>
        </w:rPr>
      </w:pPr>
      <w:r w:rsidRPr="00A616C3">
        <w:rPr>
          <w:sz w:val="22"/>
        </w:rPr>
        <w:t>Monotherapy– Study H0649g</w:t>
      </w:r>
    </w:p>
    <w:p w:rsidR="009877BF" w:rsidRPr="00A616C3" w:rsidRDefault="009877BF" w:rsidP="001C6A30">
      <w:pPr>
        <w:spacing w:after="120"/>
      </w:pPr>
      <w:r w:rsidRPr="00A616C3">
        <w:t>Haematological toxicity is infrequent following the administration of HERCEPTIN as monotherapy</w:t>
      </w:r>
      <w:r w:rsidR="00A6590B" w:rsidRPr="00A616C3">
        <w:t xml:space="preserve"> in the metastatic setting</w:t>
      </w:r>
      <w:r w:rsidRPr="00A616C3">
        <w:t xml:space="preserve">, WHO Grade </w:t>
      </w:r>
      <w:r w:rsidR="00C50CA4" w:rsidRPr="00A616C3">
        <w:t xml:space="preserve">3 </w:t>
      </w:r>
      <w:proofErr w:type="spellStart"/>
      <w:r w:rsidRPr="00A616C3">
        <w:t>leucopenia</w:t>
      </w:r>
      <w:proofErr w:type="spellEnd"/>
      <w:r w:rsidRPr="00A616C3">
        <w:t>, thrombocytopenia and anaemia occurring in &lt;1% of patients.  No WHO Grade </w:t>
      </w:r>
      <w:r w:rsidR="00C50CA4" w:rsidRPr="00A616C3">
        <w:t xml:space="preserve">4 </w:t>
      </w:r>
      <w:r w:rsidRPr="00A616C3">
        <w:t>toxicities were observed.</w:t>
      </w:r>
    </w:p>
    <w:p w:rsidR="009877BF" w:rsidRPr="00A616C3" w:rsidRDefault="009877BF" w:rsidP="008B5643">
      <w:pPr>
        <w:pStyle w:val="Heading5"/>
        <w:ind w:left="0"/>
        <w:rPr>
          <w:sz w:val="22"/>
        </w:rPr>
      </w:pPr>
      <w:r w:rsidRPr="00A616C3">
        <w:rPr>
          <w:sz w:val="22"/>
        </w:rPr>
        <w:t>Combination Therapy – Studies H0648g and M77001</w:t>
      </w:r>
    </w:p>
    <w:p w:rsidR="009877BF" w:rsidRPr="00A616C3" w:rsidRDefault="009877BF" w:rsidP="009877BF">
      <w:pPr>
        <w:rPr>
          <w:b/>
          <w:lang w:val="en-GB"/>
        </w:rPr>
      </w:pPr>
      <w:r w:rsidRPr="00A616C3">
        <w:rPr>
          <w:lang w:val="en-GB"/>
        </w:rPr>
        <w:t xml:space="preserve">WHO Grade </w:t>
      </w:r>
      <w:r w:rsidR="00C50CA4" w:rsidRPr="00A616C3">
        <w:rPr>
          <w:lang w:val="en-GB"/>
        </w:rPr>
        <w:t xml:space="preserve">3 </w:t>
      </w:r>
      <w:r w:rsidRPr="00A616C3">
        <w:rPr>
          <w:lang w:val="en-GB"/>
        </w:rPr>
        <w:t xml:space="preserve">or </w:t>
      </w:r>
      <w:r w:rsidR="00C50CA4" w:rsidRPr="00A616C3">
        <w:rPr>
          <w:lang w:val="en-GB"/>
        </w:rPr>
        <w:t xml:space="preserve">4 </w:t>
      </w:r>
      <w:r w:rsidRPr="00A616C3">
        <w:rPr>
          <w:lang w:val="en-GB"/>
        </w:rPr>
        <w:t xml:space="preserve">haematological toxicity was observed in 63% of patients treated with HERCEPTIN and an </w:t>
      </w:r>
      <w:proofErr w:type="spellStart"/>
      <w:r w:rsidRPr="00A616C3">
        <w:rPr>
          <w:lang w:val="en-GB"/>
        </w:rPr>
        <w:t>anthracycline</w:t>
      </w:r>
      <w:proofErr w:type="spellEnd"/>
      <w:r w:rsidR="00823A5B" w:rsidRPr="00A616C3">
        <w:rPr>
          <w:lang w:val="en-GB"/>
        </w:rPr>
        <w:t>/</w:t>
      </w:r>
      <w:r w:rsidRPr="00A616C3">
        <w:rPr>
          <w:lang w:val="en-GB"/>
        </w:rPr>
        <w:t xml:space="preserve">cyclophosphamide compared to an incidence of 62% in patients treated with the </w:t>
      </w:r>
      <w:proofErr w:type="spellStart"/>
      <w:r w:rsidRPr="00A616C3">
        <w:rPr>
          <w:lang w:val="en-GB"/>
        </w:rPr>
        <w:t>anthracycline</w:t>
      </w:r>
      <w:proofErr w:type="spellEnd"/>
      <w:r w:rsidRPr="00A616C3">
        <w:rPr>
          <w:lang w:val="en-GB"/>
        </w:rPr>
        <w:t>/cyclophosphamide combination without HERCEPTIN.</w:t>
      </w:r>
    </w:p>
    <w:p w:rsidR="00A749DF" w:rsidRPr="00A616C3" w:rsidRDefault="009877BF" w:rsidP="00E2308B">
      <w:pPr>
        <w:spacing w:after="120"/>
      </w:pPr>
      <w:r w:rsidRPr="00A616C3">
        <w:rPr>
          <w:lang w:val="en-GB"/>
        </w:rPr>
        <w:t xml:space="preserve">There was an increase in WHO Grade </w:t>
      </w:r>
      <w:r w:rsidR="00C50CA4" w:rsidRPr="00A616C3">
        <w:rPr>
          <w:lang w:val="en-GB"/>
        </w:rPr>
        <w:t xml:space="preserve">3 </w:t>
      </w:r>
      <w:r w:rsidRPr="00A616C3">
        <w:rPr>
          <w:lang w:val="en-GB"/>
        </w:rPr>
        <w:t xml:space="preserve">or </w:t>
      </w:r>
      <w:proofErr w:type="gramStart"/>
      <w:r w:rsidR="00C50CA4" w:rsidRPr="00A616C3">
        <w:rPr>
          <w:lang w:val="en-GB"/>
        </w:rPr>
        <w:t xml:space="preserve">4 </w:t>
      </w:r>
      <w:r w:rsidRPr="00A616C3">
        <w:rPr>
          <w:lang w:val="en-GB"/>
        </w:rPr>
        <w:t>haematological toxicity in patients treated with the combination of HERCEPTIN and paclitaxel compared with patients receiving paclitaxel</w:t>
      </w:r>
      <w:r w:rsidR="00CE28A8" w:rsidRPr="00A616C3">
        <w:rPr>
          <w:lang w:val="en-GB"/>
        </w:rPr>
        <w:t>-</w:t>
      </w:r>
      <w:r w:rsidRPr="00A616C3">
        <w:rPr>
          <w:lang w:val="en-GB"/>
        </w:rPr>
        <w:t>alone (34% vs. 21%)</w:t>
      </w:r>
      <w:proofErr w:type="gramEnd"/>
      <w:r w:rsidRPr="00A616C3">
        <w:rPr>
          <w:lang w:val="en-GB"/>
        </w:rPr>
        <w:t xml:space="preserve">.  </w:t>
      </w:r>
      <w:r w:rsidRPr="00A616C3">
        <w:t xml:space="preserve">Haematological toxicity was also increased in patients receiving HERCEPTIN and </w:t>
      </w:r>
      <w:proofErr w:type="spellStart"/>
      <w:r w:rsidRPr="00A616C3">
        <w:t>docetaxel</w:t>
      </w:r>
      <w:proofErr w:type="spellEnd"/>
      <w:r w:rsidRPr="00A616C3">
        <w:t xml:space="preserve">, compared with </w:t>
      </w:r>
      <w:proofErr w:type="spellStart"/>
      <w:r w:rsidRPr="00A616C3">
        <w:t>docetaxel</w:t>
      </w:r>
      <w:proofErr w:type="spellEnd"/>
      <w:r w:rsidR="00CE28A8" w:rsidRPr="00A616C3">
        <w:t>-</w:t>
      </w:r>
      <w:r w:rsidRPr="00A616C3">
        <w:t xml:space="preserve">alone (32% grade 3/4 neutropenia </w:t>
      </w:r>
      <w:r w:rsidR="00EA1D12" w:rsidRPr="00A616C3">
        <w:t>vs.</w:t>
      </w:r>
      <w:r w:rsidRPr="00A616C3">
        <w:t xml:space="preserve"> 22%, using NCI-CTC criteria). The incidence of febrile neutropenia/</w:t>
      </w:r>
      <w:proofErr w:type="spellStart"/>
      <w:r w:rsidRPr="00A616C3">
        <w:t>neutropenic</w:t>
      </w:r>
      <w:proofErr w:type="spellEnd"/>
      <w:r w:rsidRPr="00A616C3">
        <w:t xml:space="preserve"> sepsis was also increased in patients treated with H</w:t>
      </w:r>
      <w:r w:rsidR="00542D73" w:rsidRPr="00A616C3">
        <w:t>ERCEPTIN</w:t>
      </w:r>
      <w:r w:rsidR="000A3578" w:rsidRPr="00A616C3">
        <w:t xml:space="preserve"> + </w:t>
      </w:r>
      <w:proofErr w:type="spellStart"/>
      <w:r w:rsidRPr="00A616C3">
        <w:t>docetaxel</w:t>
      </w:r>
      <w:proofErr w:type="spellEnd"/>
      <w:r w:rsidRPr="00A616C3">
        <w:t xml:space="preserve"> (23% </w:t>
      </w:r>
      <w:r w:rsidR="00EA1D12" w:rsidRPr="00A616C3">
        <w:t>vs.</w:t>
      </w:r>
      <w:r w:rsidRPr="00A616C3">
        <w:t xml:space="preserve"> 17% for patients treated with </w:t>
      </w:r>
      <w:proofErr w:type="spellStart"/>
      <w:r w:rsidRPr="00A616C3">
        <w:t>docetaxel</w:t>
      </w:r>
      <w:proofErr w:type="spellEnd"/>
      <w:r w:rsidR="00CE28A8" w:rsidRPr="00A616C3">
        <w:t>-</w:t>
      </w:r>
      <w:r w:rsidRPr="00A616C3">
        <w:t>alone).</w:t>
      </w:r>
    </w:p>
    <w:p w:rsidR="00D9236E" w:rsidRPr="00A616C3" w:rsidRDefault="00303DE7" w:rsidP="008B5643">
      <w:pPr>
        <w:pStyle w:val="Heading5"/>
        <w:ind w:left="0"/>
        <w:rPr>
          <w:sz w:val="22"/>
        </w:rPr>
      </w:pPr>
      <w:r>
        <w:rPr>
          <w:sz w:val="22"/>
        </w:rPr>
        <w:t>Early</w:t>
      </w:r>
      <w:r w:rsidRPr="00A616C3">
        <w:rPr>
          <w:sz w:val="22"/>
        </w:rPr>
        <w:t xml:space="preserve"> </w:t>
      </w:r>
      <w:r w:rsidR="00D9236E" w:rsidRPr="00A616C3">
        <w:rPr>
          <w:sz w:val="22"/>
        </w:rPr>
        <w:t xml:space="preserve">Setting – HERA </w:t>
      </w:r>
      <w:r w:rsidR="0057143D" w:rsidRPr="00A616C3">
        <w:rPr>
          <w:sz w:val="22"/>
        </w:rPr>
        <w:t>Trial</w:t>
      </w:r>
    </w:p>
    <w:p w:rsidR="00A6590B" w:rsidRPr="00A616C3" w:rsidRDefault="00A6590B" w:rsidP="009877BF">
      <w:r w:rsidRPr="00A616C3">
        <w:rPr>
          <w:rFonts w:eastAsia="MS Mincho"/>
          <w:lang w:val="en-GB"/>
        </w:rPr>
        <w:t xml:space="preserve">Using NCI-CTC criteria, in the </w:t>
      </w:r>
      <w:r w:rsidR="00147754" w:rsidRPr="00A616C3">
        <w:rPr>
          <w:rFonts w:eastAsia="MS Mincho"/>
          <w:lang w:val="en-GB"/>
        </w:rPr>
        <w:t>B</w:t>
      </w:r>
      <w:r w:rsidR="00FC571D" w:rsidRPr="00A616C3">
        <w:rPr>
          <w:rFonts w:eastAsia="MS Mincho"/>
          <w:lang w:val="en-GB"/>
        </w:rPr>
        <w:t>O</w:t>
      </w:r>
      <w:r w:rsidR="00147754" w:rsidRPr="00A616C3">
        <w:rPr>
          <w:rFonts w:eastAsia="MS Mincho"/>
          <w:lang w:val="en-GB"/>
        </w:rPr>
        <w:t>16348 (</w:t>
      </w:r>
      <w:r w:rsidRPr="00A616C3">
        <w:rPr>
          <w:rFonts w:eastAsia="MS Mincho"/>
          <w:lang w:val="en-GB"/>
        </w:rPr>
        <w:t>HERA</w:t>
      </w:r>
      <w:r w:rsidR="00147754" w:rsidRPr="00A616C3">
        <w:rPr>
          <w:rFonts w:eastAsia="MS Mincho"/>
          <w:lang w:val="en-GB"/>
        </w:rPr>
        <w:t xml:space="preserve">) </w:t>
      </w:r>
      <w:r w:rsidR="0057143D" w:rsidRPr="00A616C3">
        <w:rPr>
          <w:rFonts w:eastAsia="MS Mincho"/>
          <w:lang w:val="en-GB"/>
        </w:rPr>
        <w:t>trial</w:t>
      </w:r>
      <w:r w:rsidRPr="00A616C3">
        <w:rPr>
          <w:rFonts w:eastAsia="MS Mincho"/>
          <w:lang w:val="en-GB"/>
        </w:rPr>
        <w:t xml:space="preserve">, 0.4% of HERCEPTIN treated patients experienced a shift of </w:t>
      </w:r>
      <w:r w:rsidR="00D9236E" w:rsidRPr="00A616C3">
        <w:rPr>
          <w:rFonts w:eastAsia="MS Mincho"/>
          <w:lang w:val="en-GB"/>
        </w:rPr>
        <w:t>3</w:t>
      </w:r>
      <w:r w:rsidRPr="00A616C3">
        <w:rPr>
          <w:rFonts w:eastAsia="MS Mincho"/>
          <w:lang w:val="en-GB"/>
        </w:rPr>
        <w:t xml:space="preserve"> or </w:t>
      </w:r>
      <w:r w:rsidR="00D9236E" w:rsidRPr="00A616C3">
        <w:rPr>
          <w:rFonts w:eastAsia="MS Mincho"/>
          <w:lang w:val="en-GB"/>
        </w:rPr>
        <w:t xml:space="preserve">4 </w:t>
      </w:r>
      <w:r w:rsidRPr="00A616C3">
        <w:rPr>
          <w:rFonts w:eastAsia="MS Mincho"/>
          <w:lang w:val="en-GB"/>
        </w:rPr>
        <w:t>grades from baseline, compared with 0.6% in the observation arm</w:t>
      </w:r>
      <w:r w:rsidRPr="00A616C3">
        <w:t>.</w:t>
      </w:r>
    </w:p>
    <w:p w:rsidR="009877BF" w:rsidRPr="00A616C3" w:rsidRDefault="009877BF" w:rsidP="007B14B1">
      <w:pPr>
        <w:pStyle w:val="Heading3"/>
        <w:spacing w:before="120" w:after="120"/>
      </w:pPr>
      <w:r w:rsidRPr="00A616C3">
        <w:t>Hepatic and Renal Toxicity</w:t>
      </w:r>
    </w:p>
    <w:p w:rsidR="009877BF" w:rsidRPr="00A616C3" w:rsidRDefault="009877BF" w:rsidP="00C01D54">
      <w:pPr>
        <w:pStyle w:val="Heading4"/>
        <w:spacing w:before="0" w:line="240" w:lineRule="atLeast"/>
        <w:ind w:left="0"/>
        <w:rPr>
          <w:b w:val="0"/>
          <w:sz w:val="22"/>
        </w:rPr>
      </w:pPr>
      <w:r w:rsidRPr="00A616C3">
        <w:rPr>
          <w:b w:val="0"/>
          <w:sz w:val="22"/>
        </w:rPr>
        <w:t>Monotherapy– Study H0649g</w:t>
      </w:r>
    </w:p>
    <w:p w:rsidR="009877BF" w:rsidRPr="00A616C3" w:rsidRDefault="009877BF" w:rsidP="009877BF">
      <w:pPr>
        <w:rPr>
          <w:lang w:val="en-GB"/>
        </w:rPr>
      </w:pPr>
      <w:r w:rsidRPr="00A616C3">
        <w:rPr>
          <w:lang w:val="en-GB"/>
        </w:rPr>
        <w:t xml:space="preserve">WHO Grade </w:t>
      </w:r>
      <w:r w:rsidR="00C50CA4" w:rsidRPr="00A616C3">
        <w:rPr>
          <w:lang w:val="en-GB"/>
        </w:rPr>
        <w:t xml:space="preserve">3 </w:t>
      </w:r>
      <w:r w:rsidRPr="00A616C3">
        <w:rPr>
          <w:lang w:val="en-GB"/>
        </w:rPr>
        <w:t xml:space="preserve">or </w:t>
      </w:r>
      <w:r w:rsidR="00C50CA4" w:rsidRPr="00A616C3">
        <w:rPr>
          <w:lang w:val="en-GB"/>
        </w:rPr>
        <w:t xml:space="preserve">4 </w:t>
      </w:r>
      <w:r w:rsidRPr="00A616C3">
        <w:rPr>
          <w:lang w:val="en-GB"/>
        </w:rPr>
        <w:t>hepatic toxicity was observed in 12% of patients following administration of HERCEPTIN as monotherapy</w:t>
      </w:r>
      <w:r w:rsidR="00A6590B" w:rsidRPr="00A616C3">
        <w:rPr>
          <w:lang w:val="en-GB"/>
        </w:rPr>
        <w:t xml:space="preserve"> in the metastatic setting</w:t>
      </w:r>
      <w:r w:rsidRPr="00A616C3">
        <w:rPr>
          <w:lang w:val="en-GB"/>
        </w:rPr>
        <w:t xml:space="preserve">.  This toxicity was associated with progression of disease in the liver in 60% of these patients.  No WHO Grade </w:t>
      </w:r>
      <w:r w:rsidR="00C50CA4" w:rsidRPr="00A616C3">
        <w:rPr>
          <w:lang w:val="en-GB"/>
        </w:rPr>
        <w:t xml:space="preserve">3 </w:t>
      </w:r>
      <w:r w:rsidRPr="00A616C3">
        <w:rPr>
          <w:lang w:val="en-GB"/>
        </w:rPr>
        <w:t xml:space="preserve">or </w:t>
      </w:r>
      <w:proofErr w:type="gramStart"/>
      <w:r w:rsidR="00C50CA4" w:rsidRPr="00A616C3">
        <w:rPr>
          <w:lang w:val="en-GB"/>
        </w:rPr>
        <w:t xml:space="preserve">4 </w:t>
      </w:r>
      <w:r w:rsidRPr="00A616C3">
        <w:rPr>
          <w:lang w:val="en-GB"/>
        </w:rPr>
        <w:t>renal toxicity</w:t>
      </w:r>
      <w:proofErr w:type="gramEnd"/>
      <w:r w:rsidRPr="00A616C3">
        <w:rPr>
          <w:lang w:val="en-GB"/>
        </w:rPr>
        <w:t xml:space="preserve"> was observed.</w:t>
      </w:r>
    </w:p>
    <w:p w:rsidR="009877BF" w:rsidRPr="00A616C3" w:rsidRDefault="009877BF" w:rsidP="00C01D54">
      <w:pPr>
        <w:pStyle w:val="Heading4"/>
        <w:spacing w:before="0" w:line="240" w:lineRule="atLeast"/>
        <w:ind w:left="0"/>
        <w:rPr>
          <w:b w:val="0"/>
          <w:sz w:val="22"/>
        </w:rPr>
      </w:pPr>
      <w:r w:rsidRPr="00A616C3">
        <w:rPr>
          <w:b w:val="0"/>
          <w:sz w:val="22"/>
        </w:rPr>
        <w:t>Combination Therapy – Study H0648g</w:t>
      </w:r>
    </w:p>
    <w:p w:rsidR="009877BF" w:rsidRPr="00A616C3" w:rsidRDefault="009877BF" w:rsidP="009877BF">
      <w:pPr>
        <w:rPr>
          <w:lang w:val="en-GB"/>
        </w:rPr>
      </w:pPr>
      <w:r w:rsidRPr="00A616C3">
        <w:rPr>
          <w:lang w:val="en-GB"/>
        </w:rPr>
        <w:t xml:space="preserve">WHO Grade </w:t>
      </w:r>
      <w:r w:rsidR="00C50CA4" w:rsidRPr="00A616C3">
        <w:rPr>
          <w:lang w:val="en-GB"/>
        </w:rPr>
        <w:t xml:space="preserve">3 </w:t>
      </w:r>
      <w:r w:rsidRPr="00A616C3">
        <w:rPr>
          <w:lang w:val="en-GB"/>
        </w:rPr>
        <w:t xml:space="preserve">or </w:t>
      </w:r>
      <w:r w:rsidR="00C50CA4" w:rsidRPr="00A616C3">
        <w:rPr>
          <w:lang w:val="en-GB"/>
        </w:rPr>
        <w:t xml:space="preserve">4 </w:t>
      </w:r>
      <w:r w:rsidRPr="00A616C3">
        <w:rPr>
          <w:lang w:val="en-GB"/>
        </w:rPr>
        <w:t xml:space="preserve">hepatic toxicity was observed in 6% of patients treated with HERCEPTIN and an </w:t>
      </w:r>
      <w:proofErr w:type="spellStart"/>
      <w:r w:rsidRPr="00A616C3">
        <w:rPr>
          <w:lang w:val="en-GB"/>
        </w:rPr>
        <w:t>anthracycline</w:t>
      </w:r>
      <w:proofErr w:type="spellEnd"/>
      <w:r w:rsidR="00823A5B" w:rsidRPr="00A616C3">
        <w:rPr>
          <w:lang w:val="en-GB"/>
        </w:rPr>
        <w:t>/</w:t>
      </w:r>
      <w:r w:rsidRPr="00A616C3">
        <w:rPr>
          <w:lang w:val="en-GB"/>
        </w:rPr>
        <w:t xml:space="preserve">cyclophosphamide compared with an incidence of 8% in patients treated with the </w:t>
      </w:r>
      <w:proofErr w:type="spellStart"/>
      <w:r w:rsidRPr="00A616C3">
        <w:rPr>
          <w:lang w:val="en-GB"/>
        </w:rPr>
        <w:t>anthracycline</w:t>
      </w:r>
      <w:proofErr w:type="spellEnd"/>
      <w:r w:rsidRPr="00A616C3">
        <w:rPr>
          <w:lang w:val="en-GB"/>
        </w:rPr>
        <w:t>/cyclophosphamide combination without HERCEPTIN.</w:t>
      </w:r>
      <w:r w:rsidRPr="00A616C3">
        <w:t xml:space="preserve">  </w:t>
      </w:r>
      <w:r w:rsidRPr="00A616C3">
        <w:rPr>
          <w:lang w:val="en-GB"/>
        </w:rPr>
        <w:t xml:space="preserve">No WHO Grade </w:t>
      </w:r>
      <w:r w:rsidR="00C50CA4" w:rsidRPr="00A616C3">
        <w:rPr>
          <w:lang w:val="en-GB"/>
        </w:rPr>
        <w:t xml:space="preserve">3 </w:t>
      </w:r>
      <w:r w:rsidRPr="00A616C3">
        <w:rPr>
          <w:lang w:val="en-GB"/>
        </w:rPr>
        <w:t xml:space="preserve">or </w:t>
      </w:r>
      <w:proofErr w:type="gramStart"/>
      <w:r w:rsidR="00C50CA4" w:rsidRPr="00A616C3">
        <w:rPr>
          <w:lang w:val="en-GB"/>
        </w:rPr>
        <w:t xml:space="preserve">4 </w:t>
      </w:r>
      <w:r w:rsidRPr="00A616C3">
        <w:rPr>
          <w:lang w:val="en-GB"/>
        </w:rPr>
        <w:t>renal toxicity</w:t>
      </w:r>
      <w:proofErr w:type="gramEnd"/>
      <w:r w:rsidRPr="00A616C3">
        <w:rPr>
          <w:lang w:val="en-GB"/>
        </w:rPr>
        <w:t xml:space="preserve"> was observed.</w:t>
      </w:r>
    </w:p>
    <w:p w:rsidR="00A22423" w:rsidRPr="00A616C3" w:rsidRDefault="009877BF" w:rsidP="00091CB7">
      <w:r w:rsidRPr="00A616C3">
        <w:rPr>
          <w:lang w:val="en-GB"/>
        </w:rPr>
        <w:t xml:space="preserve">WHO Grade </w:t>
      </w:r>
      <w:r w:rsidR="00C50CA4" w:rsidRPr="00A616C3">
        <w:rPr>
          <w:lang w:val="en-GB"/>
        </w:rPr>
        <w:t xml:space="preserve">3 </w:t>
      </w:r>
      <w:r w:rsidRPr="00A616C3">
        <w:rPr>
          <w:lang w:val="en-GB"/>
        </w:rPr>
        <w:t xml:space="preserve">or </w:t>
      </w:r>
      <w:r w:rsidR="00C50CA4" w:rsidRPr="00A616C3">
        <w:rPr>
          <w:lang w:val="en-GB"/>
        </w:rPr>
        <w:t xml:space="preserve">4 </w:t>
      </w:r>
      <w:r w:rsidRPr="00A616C3">
        <w:rPr>
          <w:lang w:val="en-GB"/>
        </w:rPr>
        <w:t xml:space="preserve">hepatic toxicity was </w:t>
      </w:r>
      <w:r w:rsidRPr="00A616C3">
        <w:t>less frequently observed among patients receiving HERCEPTIN and paclitaxel than among patients receiving paclitaxel</w:t>
      </w:r>
      <w:r w:rsidR="00CE28A8" w:rsidRPr="00A616C3">
        <w:t>-</w:t>
      </w:r>
      <w:r w:rsidR="00823A5B" w:rsidRPr="00A616C3">
        <w:t>alone</w:t>
      </w:r>
      <w:r w:rsidRPr="00A616C3">
        <w:t xml:space="preserve"> (7%</w:t>
      </w:r>
      <w:r w:rsidR="00F00A29" w:rsidRPr="00A616C3">
        <w:t xml:space="preserve"> </w:t>
      </w:r>
      <w:r w:rsidR="00823A5B" w:rsidRPr="00A616C3">
        <w:t>vs.</w:t>
      </w:r>
      <w:r w:rsidRPr="00A616C3">
        <w:t xml:space="preserve">15%).  </w:t>
      </w:r>
      <w:r w:rsidRPr="00A616C3">
        <w:rPr>
          <w:lang w:val="en-GB"/>
        </w:rPr>
        <w:t xml:space="preserve">No WHO Grade </w:t>
      </w:r>
      <w:r w:rsidR="00C50CA4" w:rsidRPr="00A616C3">
        <w:rPr>
          <w:lang w:val="en-GB"/>
        </w:rPr>
        <w:t xml:space="preserve">3 </w:t>
      </w:r>
      <w:r w:rsidRPr="00A616C3">
        <w:rPr>
          <w:lang w:val="en-GB"/>
        </w:rPr>
        <w:t xml:space="preserve">or </w:t>
      </w:r>
      <w:proofErr w:type="gramStart"/>
      <w:r w:rsidR="00C50CA4" w:rsidRPr="00A616C3">
        <w:rPr>
          <w:lang w:val="en-GB"/>
        </w:rPr>
        <w:t xml:space="preserve">4 </w:t>
      </w:r>
      <w:r w:rsidRPr="00A616C3">
        <w:rPr>
          <w:lang w:val="en-GB"/>
        </w:rPr>
        <w:t>renal toxicity</w:t>
      </w:r>
      <w:proofErr w:type="gramEnd"/>
      <w:r w:rsidRPr="00A616C3">
        <w:rPr>
          <w:lang w:val="en-GB"/>
        </w:rPr>
        <w:t xml:space="preserve"> was observed.</w:t>
      </w:r>
    </w:p>
    <w:p w:rsidR="009877BF" w:rsidRPr="00A616C3" w:rsidRDefault="009877BF" w:rsidP="009877BF">
      <w:pPr>
        <w:pStyle w:val="Heading3"/>
        <w:spacing w:before="120" w:after="120" w:line="240" w:lineRule="atLeast"/>
      </w:pPr>
      <w:r w:rsidRPr="00A616C3">
        <w:lastRenderedPageBreak/>
        <w:t>Diarrhoea</w:t>
      </w:r>
    </w:p>
    <w:p w:rsidR="009877BF" w:rsidRPr="00A616C3" w:rsidRDefault="009877BF" w:rsidP="00AF1B53">
      <w:pPr>
        <w:pStyle w:val="Heading4"/>
        <w:spacing w:before="0" w:line="240" w:lineRule="atLeast"/>
        <w:ind w:left="0"/>
        <w:rPr>
          <w:b w:val="0"/>
          <w:sz w:val="22"/>
        </w:rPr>
      </w:pPr>
      <w:r w:rsidRPr="00A616C3">
        <w:rPr>
          <w:b w:val="0"/>
          <w:sz w:val="22"/>
        </w:rPr>
        <w:t>Monotherapy– Study H0649g</w:t>
      </w:r>
    </w:p>
    <w:p w:rsidR="009877BF" w:rsidRPr="00A616C3" w:rsidRDefault="00A6590B" w:rsidP="009877BF">
      <w:pPr>
        <w:rPr>
          <w:lang w:val="en-GB"/>
        </w:rPr>
      </w:pPr>
      <w:r w:rsidRPr="00A616C3">
        <w:rPr>
          <w:lang w:val="en-GB"/>
        </w:rPr>
        <w:t xml:space="preserve">Of patients treated with HERCEPTIN </w:t>
      </w:r>
      <w:r w:rsidR="009877BF" w:rsidRPr="00A616C3">
        <w:rPr>
          <w:lang w:val="en-GB"/>
        </w:rPr>
        <w:t xml:space="preserve">monotherapy </w:t>
      </w:r>
      <w:r w:rsidRPr="00A616C3">
        <w:rPr>
          <w:lang w:val="en-GB"/>
        </w:rPr>
        <w:t xml:space="preserve">in the metastatic setting, 27% </w:t>
      </w:r>
      <w:r w:rsidR="009877BF" w:rsidRPr="00A616C3">
        <w:rPr>
          <w:lang w:val="en-GB"/>
        </w:rPr>
        <w:t>experienced diarrhoea.</w:t>
      </w:r>
    </w:p>
    <w:p w:rsidR="009877BF" w:rsidRPr="00A616C3" w:rsidRDefault="009877BF" w:rsidP="00C01D54">
      <w:pPr>
        <w:pStyle w:val="Heading4"/>
        <w:spacing w:before="0" w:line="240" w:lineRule="atLeast"/>
        <w:ind w:left="0"/>
        <w:rPr>
          <w:b w:val="0"/>
          <w:sz w:val="22"/>
        </w:rPr>
      </w:pPr>
      <w:r w:rsidRPr="00A616C3">
        <w:rPr>
          <w:b w:val="0"/>
          <w:sz w:val="22"/>
        </w:rPr>
        <w:t>Combination Therapy – Studies H0648g and M77001</w:t>
      </w:r>
    </w:p>
    <w:p w:rsidR="009877BF" w:rsidRPr="00A616C3" w:rsidRDefault="009877BF" w:rsidP="009877BF">
      <w:r w:rsidRPr="00A616C3">
        <w:t>An increase in the incidence of diarrhoea, primarily mild to moderate in severity, has been observed in patients receiving HERCEPTIN in combination with chemotherapy compared with patients receiving chemotherapy</w:t>
      </w:r>
      <w:r w:rsidR="00EF2CFD" w:rsidRPr="00A616C3">
        <w:t>-</w:t>
      </w:r>
      <w:r w:rsidRPr="00A616C3">
        <w:t>alone or HERCEPTIN</w:t>
      </w:r>
      <w:r w:rsidR="00EF2CFD" w:rsidRPr="00A616C3">
        <w:t>-</w:t>
      </w:r>
      <w:r w:rsidRPr="00A616C3">
        <w:t>alone.</w:t>
      </w:r>
    </w:p>
    <w:p w:rsidR="00BC1462" w:rsidRPr="00A616C3" w:rsidRDefault="00303DE7" w:rsidP="00C01D54">
      <w:pPr>
        <w:pStyle w:val="Heading4"/>
        <w:spacing w:before="0" w:line="240" w:lineRule="atLeast"/>
        <w:ind w:left="0"/>
        <w:rPr>
          <w:b w:val="0"/>
          <w:sz w:val="22"/>
        </w:rPr>
      </w:pPr>
      <w:r>
        <w:rPr>
          <w:b w:val="0"/>
          <w:sz w:val="22"/>
        </w:rPr>
        <w:t>Early</w:t>
      </w:r>
      <w:r w:rsidRPr="00A616C3">
        <w:rPr>
          <w:b w:val="0"/>
          <w:sz w:val="22"/>
        </w:rPr>
        <w:t xml:space="preserve"> </w:t>
      </w:r>
      <w:r w:rsidR="00BC1462" w:rsidRPr="00A616C3">
        <w:rPr>
          <w:b w:val="0"/>
          <w:sz w:val="22"/>
        </w:rPr>
        <w:t>Setting – HERA Study</w:t>
      </w:r>
    </w:p>
    <w:p w:rsidR="00A6590B" w:rsidRPr="00A616C3" w:rsidRDefault="00A6590B" w:rsidP="009877BF">
      <w:r w:rsidRPr="00A616C3">
        <w:t xml:space="preserve">In the HERA trial, </w:t>
      </w:r>
      <w:r w:rsidR="00830F41" w:rsidRPr="00A616C3">
        <w:t>8</w:t>
      </w:r>
      <w:r w:rsidRPr="00A616C3">
        <w:t>% of HERCEPTIN treated patients experienced diarrhoea</w:t>
      </w:r>
      <w:r w:rsidR="00830F41" w:rsidRPr="00A616C3">
        <w:t xml:space="preserve"> during the first year of treatment</w:t>
      </w:r>
      <w:r w:rsidR="002B4283" w:rsidRPr="00A616C3">
        <w:t xml:space="preserve">. </w:t>
      </w:r>
    </w:p>
    <w:p w:rsidR="009877BF" w:rsidRPr="00A616C3" w:rsidRDefault="009877BF" w:rsidP="009877BF">
      <w:pPr>
        <w:pStyle w:val="Heading3"/>
        <w:spacing w:before="120" w:after="120" w:line="240" w:lineRule="atLeast"/>
      </w:pPr>
      <w:r w:rsidRPr="00A616C3">
        <w:t>Infection</w:t>
      </w:r>
    </w:p>
    <w:p w:rsidR="009877BF" w:rsidRPr="00A616C3" w:rsidRDefault="009877BF" w:rsidP="007B14B1">
      <w:pPr>
        <w:rPr>
          <w:lang w:val="en-GB"/>
        </w:rPr>
      </w:pPr>
      <w:r w:rsidRPr="00A616C3">
        <w:rPr>
          <w:lang w:val="en-GB"/>
        </w:rPr>
        <w:t>An increased incidence of infections, primarily mild upper respiratory infections of minor clinical significance or catheter infections, has been observed primarily in patients treated with HERCEPTIN</w:t>
      </w:r>
      <w:r w:rsidR="000A3578" w:rsidRPr="00A616C3">
        <w:rPr>
          <w:lang w:val="en-GB"/>
        </w:rPr>
        <w:t xml:space="preserve"> </w:t>
      </w:r>
      <w:r w:rsidR="003974A3">
        <w:rPr>
          <w:lang w:val="en-GB"/>
        </w:rPr>
        <w:t xml:space="preserve">IV </w:t>
      </w:r>
      <w:r w:rsidR="000A3578" w:rsidRPr="00A616C3">
        <w:rPr>
          <w:lang w:val="en-GB"/>
        </w:rPr>
        <w:t xml:space="preserve">+ </w:t>
      </w:r>
      <w:r w:rsidRPr="00A616C3">
        <w:rPr>
          <w:lang w:val="en-GB"/>
        </w:rPr>
        <w:t>chemotherapy compared with patients receiving chemotherapy</w:t>
      </w:r>
      <w:r w:rsidR="00EF2CFD" w:rsidRPr="00A616C3">
        <w:rPr>
          <w:lang w:val="en-GB"/>
        </w:rPr>
        <w:t>-</w:t>
      </w:r>
      <w:r w:rsidRPr="00A616C3">
        <w:rPr>
          <w:lang w:val="en-GB"/>
        </w:rPr>
        <w:t>alone or HERCEPTIN</w:t>
      </w:r>
      <w:r w:rsidR="003974A3">
        <w:rPr>
          <w:lang w:val="en-GB"/>
        </w:rPr>
        <w:t xml:space="preserve"> IV </w:t>
      </w:r>
      <w:r w:rsidR="00EF2CFD" w:rsidRPr="00A616C3">
        <w:rPr>
          <w:lang w:val="en-GB"/>
        </w:rPr>
        <w:t>-</w:t>
      </w:r>
      <w:r w:rsidRPr="00A616C3">
        <w:rPr>
          <w:lang w:val="en-GB"/>
        </w:rPr>
        <w:t>alone.</w:t>
      </w:r>
      <w:r w:rsidR="00424101">
        <w:rPr>
          <w:lang w:val="en-GB"/>
        </w:rPr>
        <w:t xml:space="preserve"> </w:t>
      </w:r>
      <w:r w:rsidR="00B95601">
        <w:rPr>
          <w:lang w:val="en-GB"/>
        </w:rPr>
        <w:t>In study BO22227, s</w:t>
      </w:r>
      <w:proofErr w:type="spellStart"/>
      <w:r w:rsidR="00424101" w:rsidRPr="005766A9">
        <w:t>ubjects</w:t>
      </w:r>
      <w:proofErr w:type="spellEnd"/>
      <w:r w:rsidR="00424101" w:rsidRPr="005766A9">
        <w:t xml:space="preserve"> in the SC arm experienced a higher incidence of serious infections with or without neutropenia (4.4% versus 8.1%).</w:t>
      </w:r>
    </w:p>
    <w:p w:rsidR="008B0A99" w:rsidRPr="00A616C3" w:rsidRDefault="008B0A99" w:rsidP="00746CCF">
      <w:pPr>
        <w:pStyle w:val="Heading3"/>
        <w:spacing w:before="120" w:after="120"/>
        <w:rPr>
          <w:lang w:val="en-GB"/>
        </w:rPr>
      </w:pPr>
      <w:r w:rsidRPr="00A616C3">
        <w:rPr>
          <w:lang w:val="en-GB"/>
        </w:rPr>
        <w:t>Laboratory Abnormalities</w:t>
      </w:r>
    </w:p>
    <w:p w:rsidR="008B0A99" w:rsidRPr="00A616C3" w:rsidRDefault="008B0A99" w:rsidP="007B14B1">
      <w:pPr>
        <w:rPr>
          <w:lang w:val="en-GB"/>
        </w:rPr>
      </w:pPr>
      <w:r w:rsidRPr="00A616C3">
        <w:rPr>
          <w:lang w:val="en-GB"/>
        </w:rPr>
        <w:t xml:space="preserve">Febrile neutropenia occurs very commonly. Commonly occurring adverse reactions include anaemia, leukopenia, thrombocytopenia and neutropenia. The frequency of occurrence of </w:t>
      </w:r>
      <w:proofErr w:type="spellStart"/>
      <w:r w:rsidRPr="00A616C3">
        <w:rPr>
          <w:lang w:val="en-GB"/>
        </w:rPr>
        <w:t>hypoprothrombinemia</w:t>
      </w:r>
      <w:proofErr w:type="spellEnd"/>
      <w:r w:rsidRPr="00A616C3">
        <w:rPr>
          <w:lang w:val="en-GB"/>
        </w:rPr>
        <w:t xml:space="preserve"> is not known.</w:t>
      </w:r>
    </w:p>
    <w:p w:rsidR="00830F41" w:rsidRPr="00A616C3" w:rsidRDefault="00830F41" w:rsidP="00830F41">
      <w:pPr>
        <w:pStyle w:val="Heading3"/>
      </w:pPr>
      <w:r w:rsidRPr="00A616C3">
        <w:t>Immunogenicity</w:t>
      </w:r>
    </w:p>
    <w:p w:rsidR="00830F41" w:rsidRPr="00A616C3" w:rsidRDefault="00830F41" w:rsidP="00830F41">
      <w:pPr>
        <w:pStyle w:val="TextTi12"/>
        <w:jc w:val="left"/>
        <w:rPr>
          <w:sz w:val="22"/>
        </w:rPr>
      </w:pPr>
      <w:r w:rsidRPr="00A616C3">
        <w:rPr>
          <w:sz w:val="22"/>
        </w:rPr>
        <w:t xml:space="preserve">In a </w:t>
      </w:r>
      <w:proofErr w:type="spellStart"/>
      <w:r w:rsidRPr="00A616C3">
        <w:rPr>
          <w:sz w:val="22"/>
        </w:rPr>
        <w:t>neoadjuvant</w:t>
      </w:r>
      <w:proofErr w:type="spellEnd"/>
      <w:r w:rsidRPr="00A616C3">
        <w:rPr>
          <w:sz w:val="22"/>
        </w:rPr>
        <w:t xml:space="preserve">-adjuvant breast cancer trial, </w:t>
      </w:r>
      <w:r w:rsidR="0076537C" w:rsidRPr="00A616C3">
        <w:rPr>
          <w:sz w:val="22"/>
        </w:rPr>
        <w:t>14.6</w:t>
      </w:r>
      <w:r w:rsidRPr="00A616C3">
        <w:rPr>
          <w:sz w:val="22"/>
        </w:rPr>
        <w:t xml:space="preserve">% of patients treated with HERCEPTIN </w:t>
      </w:r>
      <w:r w:rsidR="0076537C" w:rsidRPr="00A616C3">
        <w:rPr>
          <w:sz w:val="22"/>
        </w:rPr>
        <w:t xml:space="preserve">SC </w:t>
      </w:r>
      <w:r w:rsidRPr="00A616C3">
        <w:rPr>
          <w:sz w:val="22"/>
        </w:rPr>
        <w:t xml:space="preserve">developed antibodies against </w:t>
      </w:r>
      <w:proofErr w:type="spellStart"/>
      <w:r w:rsidRPr="00A616C3">
        <w:rPr>
          <w:sz w:val="22"/>
        </w:rPr>
        <w:t>trastuzumab</w:t>
      </w:r>
      <w:proofErr w:type="spellEnd"/>
      <w:r w:rsidRPr="00A616C3">
        <w:rPr>
          <w:sz w:val="22"/>
        </w:rPr>
        <w:t xml:space="preserve"> (regardless of antibody presence at baseline).</w:t>
      </w:r>
    </w:p>
    <w:p w:rsidR="00830F41" w:rsidRPr="00A616C3" w:rsidRDefault="00830F41" w:rsidP="007B14B1">
      <w:pPr>
        <w:rPr>
          <w:lang w:val="en-GB"/>
        </w:rPr>
      </w:pPr>
      <w:r w:rsidRPr="00A616C3">
        <w:t>The clinical relevance of these antibodies is not known. However the pharmacokinetics, efficacy [determined by pathological complete response (</w:t>
      </w:r>
      <w:proofErr w:type="spellStart"/>
      <w:r w:rsidRPr="00A616C3">
        <w:t>pCR</w:t>
      </w:r>
      <w:proofErr w:type="spellEnd"/>
      <w:r w:rsidRPr="00A616C3">
        <w:t xml:space="preserve">)] or safety </w:t>
      </w:r>
      <w:r w:rsidR="003451A0" w:rsidRPr="00A616C3">
        <w:t xml:space="preserve">[determined by the occurrence of administration related reaction (ARRs)] </w:t>
      </w:r>
      <w:r w:rsidRPr="00A616C3">
        <w:t xml:space="preserve">of </w:t>
      </w:r>
      <w:proofErr w:type="spellStart"/>
      <w:r w:rsidRPr="00A616C3">
        <w:t>trastuzumab</w:t>
      </w:r>
      <w:proofErr w:type="spellEnd"/>
      <w:r w:rsidRPr="00A616C3">
        <w:t xml:space="preserve"> </w:t>
      </w:r>
      <w:r w:rsidR="0076537C" w:rsidRPr="00A616C3">
        <w:t xml:space="preserve">IV or SC </w:t>
      </w:r>
      <w:r w:rsidRPr="00A616C3">
        <w:t>did not appear to be adversely affected by these antibodies.</w:t>
      </w:r>
    </w:p>
    <w:p w:rsidR="00932086" w:rsidRPr="00A616C3" w:rsidRDefault="00932086">
      <w:pPr>
        <w:pStyle w:val="Heading2"/>
      </w:pPr>
      <w:r w:rsidRPr="00A616C3">
        <w:t>DOSAGE AND ADMINISTRATION</w:t>
      </w:r>
    </w:p>
    <w:p w:rsidR="00EA1857" w:rsidRPr="00A616C3" w:rsidRDefault="00932086" w:rsidP="00EA1857">
      <w:pPr>
        <w:spacing w:after="0"/>
        <w:rPr>
          <w:lang w:val="en-GB"/>
        </w:rPr>
      </w:pPr>
      <w:r w:rsidRPr="00A616C3">
        <w:rPr>
          <w:lang w:val="en-GB"/>
        </w:rPr>
        <w:t xml:space="preserve">HER2 testing is mandatory prior to initiation of HERCEPTIN </w:t>
      </w:r>
      <w:r w:rsidR="00B80B97" w:rsidRPr="00A616C3">
        <w:rPr>
          <w:lang w:val="en-GB"/>
        </w:rPr>
        <w:t xml:space="preserve">SC </w:t>
      </w:r>
      <w:r w:rsidRPr="00A616C3">
        <w:rPr>
          <w:lang w:val="en-GB"/>
        </w:rPr>
        <w:t>therapy</w:t>
      </w:r>
      <w:r w:rsidR="00F55196" w:rsidRPr="00A616C3">
        <w:rPr>
          <w:lang w:val="en-GB"/>
        </w:rPr>
        <w:t xml:space="preserve"> (refer to </w:t>
      </w:r>
      <w:r w:rsidR="00F55196" w:rsidRPr="00A616C3">
        <w:rPr>
          <w:b/>
          <w:lang w:val="en-GB"/>
        </w:rPr>
        <w:t>Detection of HER2 Protein Overexpression and Gene Amplification</w:t>
      </w:r>
      <w:r w:rsidR="00F55196" w:rsidRPr="00A616C3">
        <w:rPr>
          <w:lang w:val="en-GB"/>
        </w:rPr>
        <w:t xml:space="preserve"> below)</w:t>
      </w:r>
      <w:r w:rsidRPr="00A616C3">
        <w:rPr>
          <w:lang w:val="en-GB"/>
        </w:rPr>
        <w:t xml:space="preserve">.    </w:t>
      </w:r>
    </w:p>
    <w:p w:rsidR="00D4113D" w:rsidRPr="00A616C3" w:rsidRDefault="00D4113D" w:rsidP="00EA1857">
      <w:pPr>
        <w:spacing w:after="0"/>
        <w:rPr>
          <w:lang w:val="en-GB"/>
        </w:rPr>
      </w:pPr>
    </w:p>
    <w:p w:rsidR="00D4113D" w:rsidRPr="00A616C3" w:rsidRDefault="00D4113D" w:rsidP="00D4113D">
      <w:pPr>
        <w:pStyle w:val="TextTi12"/>
        <w:spacing w:after="120" w:line="240" w:lineRule="auto"/>
        <w:jc w:val="left"/>
        <w:rPr>
          <w:b/>
          <w:sz w:val="22"/>
        </w:rPr>
      </w:pPr>
      <w:r w:rsidRPr="00A616C3">
        <w:rPr>
          <w:b/>
          <w:bCs/>
          <w:sz w:val="22"/>
        </w:rPr>
        <w:t xml:space="preserve">In order to prevent medication errors it is important to check the vial labels to ensure the medicine being prepared and administered is HERCEPTIN </w:t>
      </w:r>
      <w:r w:rsidR="00B80B97" w:rsidRPr="00A616C3">
        <w:rPr>
          <w:b/>
          <w:bCs/>
          <w:sz w:val="22"/>
        </w:rPr>
        <w:t xml:space="preserve">SC </w:t>
      </w:r>
      <w:r w:rsidRPr="00A616C3">
        <w:rPr>
          <w:b/>
          <w:bCs/>
          <w:sz w:val="22"/>
        </w:rPr>
        <w:t>(</w:t>
      </w:r>
      <w:proofErr w:type="spellStart"/>
      <w:r w:rsidRPr="00A616C3">
        <w:rPr>
          <w:b/>
          <w:bCs/>
          <w:sz w:val="22"/>
        </w:rPr>
        <w:t>trastuzumab</w:t>
      </w:r>
      <w:proofErr w:type="spellEnd"/>
      <w:r w:rsidRPr="00A616C3">
        <w:rPr>
          <w:b/>
          <w:bCs/>
          <w:sz w:val="22"/>
        </w:rPr>
        <w:t>) and not KADCYLA</w:t>
      </w:r>
      <w:r w:rsidR="002F4A39" w:rsidRPr="00A616C3">
        <w:rPr>
          <w:rFonts w:ascii="Times New Roman Bold" w:hAnsi="Times New Roman Bold"/>
          <w:b/>
          <w:bCs/>
          <w:sz w:val="22"/>
          <w:vertAlign w:val="superscript"/>
        </w:rPr>
        <w:t>®</w:t>
      </w:r>
      <w:r w:rsidRPr="00A616C3">
        <w:rPr>
          <w:b/>
          <w:bCs/>
          <w:sz w:val="22"/>
        </w:rPr>
        <w:t xml:space="preserve"> (</w:t>
      </w:r>
      <w:proofErr w:type="spellStart"/>
      <w:r w:rsidRPr="00A616C3">
        <w:rPr>
          <w:b/>
          <w:bCs/>
          <w:sz w:val="22"/>
        </w:rPr>
        <w:t>trastuzumab</w:t>
      </w:r>
      <w:proofErr w:type="spellEnd"/>
      <w:r w:rsidRPr="00A616C3">
        <w:rPr>
          <w:b/>
          <w:bCs/>
          <w:sz w:val="22"/>
        </w:rPr>
        <w:t xml:space="preserve"> </w:t>
      </w:r>
      <w:proofErr w:type="spellStart"/>
      <w:r w:rsidRPr="00A616C3">
        <w:rPr>
          <w:b/>
          <w:bCs/>
          <w:sz w:val="22"/>
        </w:rPr>
        <w:t>emtansine</w:t>
      </w:r>
      <w:proofErr w:type="spellEnd"/>
      <w:r w:rsidRPr="00A616C3">
        <w:rPr>
          <w:b/>
          <w:bCs/>
          <w:sz w:val="22"/>
        </w:rPr>
        <w:t>).</w:t>
      </w:r>
      <w:r w:rsidRPr="00A616C3">
        <w:rPr>
          <w:b/>
          <w:sz w:val="22"/>
        </w:rPr>
        <w:t xml:space="preserve"> </w:t>
      </w:r>
    </w:p>
    <w:p w:rsidR="00830F41" w:rsidRPr="00A616C3" w:rsidRDefault="00830F41" w:rsidP="00830F41">
      <w:pPr>
        <w:pStyle w:val="TextTi12"/>
        <w:spacing w:after="120" w:line="240" w:lineRule="auto"/>
        <w:jc w:val="left"/>
        <w:rPr>
          <w:sz w:val="22"/>
        </w:rPr>
      </w:pPr>
      <w:r w:rsidRPr="00A616C3">
        <w:rPr>
          <w:b/>
          <w:sz w:val="22"/>
        </w:rPr>
        <w:t xml:space="preserve">It is important to check the labels to ensure the correct formulation (intravenous or subcutaneous) is being administered to the patient as was prescribed. </w:t>
      </w:r>
      <w:r w:rsidRPr="00A616C3">
        <w:rPr>
          <w:sz w:val="22"/>
        </w:rPr>
        <w:t xml:space="preserve">Limited information is currently available on </w:t>
      </w:r>
      <w:r w:rsidRPr="00A616C3">
        <w:rPr>
          <w:sz w:val="22"/>
        </w:rPr>
        <w:lastRenderedPageBreak/>
        <w:t xml:space="preserve">switches from one formulation to the other. Switching patients from SC to IV formulation has not been studied. </w:t>
      </w:r>
    </w:p>
    <w:p w:rsidR="00830F41" w:rsidRPr="00A616C3" w:rsidRDefault="00830F41" w:rsidP="00830F41">
      <w:pPr>
        <w:pStyle w:val="TextTi12"/>
        <w:spacing w:after="120" w:line="240" w:lineRule="auto"/>
        <w:jc w:val="left"/>
        <w:rPr>
          <w:sz w:val="22"/>
        </w:rPr>
      </w:pPr>
      <w:r w:rsidRPr="00A616C3">
        <w:rPr>
          <w:sz w:val="22"/>
        </w:rPr>
        <w:t>In order to improve traceability of biological medicinal products, the trade name of the administered product should be clearly recorded in the patient medical record. Substitution by any other biological medicinal product requires the consent of the prescribing physician.</w:t>
      </w:r>
    </w:p>
    <w:p w:rsidR="00E771E6" w:rsidRPr="00A616C3" w:rsidRDefault="00830F41" w:rsidP="00E771E6">
      <w:pPr>
        <w:pStyle w:val="Heading3"/>
        <w:rPr>
          <w:u w:val="single"/>
        </w:rPr>
      </w:pPr>
      <w:r w:rsidRPr="00A616C3">
        <w:rPr>
          <w:u w:val="single"/>
        </w:rPr>
        <w:t xml:space="preserve">Recommended </w:t>
      </w:r>
      <w:r w:rsidR="00E771E6" w:rsidRPr="00A616C3">
        <w:rPr>
          <w:u w:val="single"/>
        </w:rPr>
        <w:t>Dosage</w:t>
      </w:r>
    </w:p>
    <w:p w:rsidR="00214B68" w:rsidRPr="00A616C3" w:rsidRDefault="00214B68" w:rsidP="00214B68">
      <w:pPr>
        <w:autoSpaceDE w:val="0"/>
        <w:autoSpaceDN w:val="0"/>
        <w:adjustRightInd w:val="0"/>
        <w:spacing w:after="170"/>
        <w:jc w:val="both"/>
        <w:rPr>
          <w:rFonts w:eastAsia="MS Mincho"/>
          <w:b/>
          <w:lang w:eastAsia="zh-TW"/>
        </w:rPr>
      </w:pPr>
      <w:r w:rsidRPr="00A616C3">
        <w:rPr>
          <w:rFonts w:eastAsia="MS Mincho"/>
          <w:b/>
          <w:lang w:eastAsia="zh-TW"/>
        </w:rPr>
        <w:t>No loading dose is required.</w:t>
      </w:r>
    </w:p>
    <w:p w:rsidR="00214B68" w:rsidRPr="00A616C3" w:rsidRDefault="00214B68" w:rsidP="00214B68">
      <w:pPr>
        <w:autoSpaceDE w:val="0"/>
        <w:autoSpaceDN w:val="0"/>
        <w:adjustRightInd w:val="0"/>
        <w:spacing w:after="170"/>
        <w:jc w:val="both"/>
        <w:rPr>
          <w:rFonts w:eastAsia="MS Mincho"/>
          <w:lang w:eastAsia="zh-TW"/>
        </w:rPr>
      </w:pPr>
      <w:r w:rsidRPr="00A616C3">
        <w:rPr>
          <w:rFonts w:eastAsia="MS Mincho"/>
          <w:lang w:eastAsia="zh-TW"/>
        </w:rPr>
        <w:t xml:space="preserve">The recommended fixed dose of HERCEPTIN SC is 600 mg, irrespective of the patient’s body weight, administered every three weeks. </w:t>
      </w:r>
    </w:p>
    <w:p w:rsidR="00AE228C" w:rsidRPr="00A616C3" w:rsidRDefault="00AE228C" w:rsidP="00AE228C">
      <w:pPr>
        <w:pStyle w:val="Heading3"/>
        <w:spacing w:after="240"/>
        <w:rPr>
          <w:u w:val="single"/>
        </w:rPr>
      </w:pPr>
      <w:bookmarkStart w:id="14" w:name="OLE_LINK1"/>
      <w:bookmarkStart w:id="15" w:name="OLE_LINK2"/>
      <w:r w:rsidRPr="00A616C3">
        <w:rPr>
          <w:u w:val="single"/>
        </w:rPr>
        <w:t>Administration</w:t>
      </w:r>
    </w:p>
    <w:p w:rsidR="00AE228C" w:rsidRPr="00A616C3" w:rsidRDefault="00AE228C" w:rsidP="00AE228C">
      <w:pPr>
        <w:spacing w:after="120"/>
      </w:pPr>
      <w:r w:rsidRPr="00A616C3">
        <w:t xml:space="preserve">HERCEPTIN </w:t>
      </w:r>
      <w:r w:rsidR="00214B68" w:rsidRPr="00A616C3">
        <w:t xml:space="preserve">SC </w:t>
      </w:r>
      <w:r w:rsidRPr="00A616C3">
        <w:t xml:space="preserve">solution is not to be used for </w:t>
      </w:r>
      <w:r w:rsidR="00214B68" w:rsidRPr="00A616C3">
        <w:t xml:space="preserve">intravenous </w:t>
      </w:r>
      <w:r w:rsidRPr="00A616C3">
        <w:t xml:space="preserve">administration and must be administered </w:t>
      </w:r>
      <w:r w:rsidR="00214B68" w:rsidRPr="00A616C3">
        <w:t>via a subcutaneous injection only</w:t>
      </w:r>
      <w:r w:rsidRPr="00A616C3">
        <w:t xml:space="preserve">. </w:t>
      </w:r>
    </w:p>
    <w:p w:rsidR="00214B68" w:rsidRPr="00A616C3" w:rsidRDefault="00214B68" w:rsidP="00214B68">
      <w:pPr>
        <w:autoSpaceDE w:val="0"/>
        <w:autoSpaceDN w:val="0"/>
        <w:adjustRightInd w:val="0"/>
        <w:spacing w:after="170"/>
        <w:jc w:val="both"/>
        <w:rPr>
          <w:rFonts w:eastAsia="MS Mincho"/>
          <w:lang w:eastAsia="zh-TW"/>
        </w:rPr>
      </w:pPr>
      <w:r w:rsidRPr="00A616C3">
        <w:rPr>
          <w:rFonts w:eastAsia="MS Mincho"/>
          <w:lang w:eastAsia="zh-TW"/>
        </w:rPr>
        <w:t>The dose should be administered over 2</w:t>
      </w:r>
      <w:r w:rsidR="00C655B5" w:rsidRPr="00A616C3">
        <w:rPr>
          <w:rFonts w:eastAsia="MS Mincho"/>
          <w:lang w:eastAsia="zh-TW"/>
        </w:rPr>
        <w:t xml:space="preserve"> </w:t>
      </w:r>
      <w:r w:rsidRPr="00A616C3">
        <w:rPr>
          <w:rFonts w:eastAsia="MS Mincho"/>
          <w:lang w:eastAsia="zh-TW"/>
        </w:rPr>
        <w:t>-</w:t>
      </w:r>
      <w:r w:rsidR="00C655B5" w:rsidRPr="00A616C3">
        <w:rPr>
          <w:rFonts w:eastAsia="MS Mincho"/>
          <w:lang w:eastAsia="zh-TW"/>
        </w:rPr>
        <w:t xml:space="preserve"> </w:t>
      </w:r>
      <w:r w:rsidRPr="00A616C3">
        <w:rPr>
          <w:rFonts w:eastAsia="MS Mincho"/>
          <w:lang w:eastAsia="zh-TW"/>
        </w:rPr>
        <w:t xml:space="preserve">5 minutes. </w:t>
      </w:r>
    </w:p>
    <w:p w:rsidR="00214B68" w:rsidRPr="00A616C3" w:rsidRDefault="00214B68" w:rsidP="00214B68">
      <w:pPr>
        <w:autoSpaceDE w:val="0"/>
        <w:autoSpaceDN w:val="0"/>
        <w:adjustRightInd w:val="0"/>
        <w:spacing w:after="170"/>
        <w:jc w:val="both"/>
        <w:rPr>
          <w:rFonts w:eastAsia="MS Mincho"/>
        </w:rPr>
      </w:pPr>
      <w:r w:rsidRPr="00A616C3">
        <w:rPr>
          <w:rFonts w:eastAsia="MS Mincho"/>
        </w:rPr>
        <w:t xml:space="preserve">The injection site should be alternated between the left and right thigh. New injections should be given at least 2.5 cm from the </w:t>
      </w:r>
      <w:r w:rsidR="00F43521">
        <w:rPr>
          <w:rFonts w:eastAsia="MS Mincho"/>
        </w:rPr>
        <w:t>previous</w:t>
      </w:r>
      <w:r w:rsidRPr="00A616C3">
        <w:rPr>
          <w:rFonts w:eastAsia="MS Mincho"/>
        </w:rPr>
        <w:t xml:space="preserve"> site </w:t>
      </w:r>
      <w:r w:rsidR="00F43521">
        <w:rPr>
          <w:rFonts w:eastAsia="MS Mincho"/>
        </w:rPr>
        <w:t>in</w:t>
      </w:r>
      <w:r w:rsidRPr="00A616C3">
        <w:rPr>
          <w:rFonts w:eastAsia="MS Mincho"/>
        </w:rPr>
        <w:t xml:space="preserve"> healthy skin and never into areas where the skin is red, bruised, tender, or hard. During the treatment course with HERCEPTIN SC, other medications for SC administration should preferably be injected at different sites.</w:t>
      </w:r>
    </w:p>
    <w:p w:rsidR="00AE228C" w:rsidRPr="00A616C3" w:rsidRDefault="00AE228C" w:rsidP="00AE228C">
      <w:pPr>
        <w:spacing w:after="120"/>
      </w:pPr>
      <w:r w:rsidRPr="00A616C3">
        <w:t xml:space="preserve">Patients should be observed for fever and chills or other </w:t>
      </w:r>
      <w:r w:rsidR="00214B68" w:rsidRPr="00A616C3">
        <w:t>administration</w:t>
      </w:r>
      <w:r w:rsidRPr="00A616C3">
        <w:noBreakHyphen/>
        <w:t xml:space="preserve">associated symptoms (see </w:t>
      </w:r>
      <w:r w:rsidRPr="00A616C3">
        <w:rPr>
          <w:b/>
        </w:rPr>
        <w:t>ADVERSE EFFECTS</w:t>
      </w:r>
      <w:r w:rsidRPr="00A616C3">
        <w:t xml:space="preserve">).  Interruption of the </w:t>
      </w:r>
      <w:r w:rsidR="00214B68" w:rsidRPr="00A616C3">
        <w:t xml:space="preserve">injection </w:t>
      </w:r>
      <w:r w:rsidRPr="00A616C3">
        <w:t xml:space="preserve">and/or medication may help to control such symptoms.  </w:t>
      </w:r>
    </w:p>
    <w:p w:rsidR="00AE228C" w:rsidRPr="00A616C3" w:rsidRDefault="00AE228C" w:rsidP="00AE228C">
      <w:pPr>
        <w:pStyle w:val="Heading3"/>
        <w:rPr>
          <w:u w:val="single"/>
        </w:rPr>
      </w:pPr>
      <w:r w:rsidRPr="00A616C3">
        <w:rPr>
          <w:u w:val="single"/>
        </w:rPr>
        <w:t>Duration of Treatment</w:t>
      </w:r>
    </w:p>
    <w:p w:rsidR="00AE228C" w:rsidRPr="00A616C3" w:rsidRDefault="00AE228C" w:rsidP="00AE228C">
      <w:pPr>
        <w:pStyle w:val="TextTi12"/>
        <w:spacing w:before="120" w:after="120" w:line="240" w:lineRule="auto"/>
        <w:jc w:val="left"/>
        <w:rPr>
          <w:sz w:val="22"/>
          <w:lang w:val="en-GB"/>
        </w:rPr>
      </w:pPr>
      <w:r w:rsidRPr="00A616C3">
        <w:rPr>
          <w:sz w:val="22"/>
          <w:lang w:val="en-GB"/>
        </w:rPr>
        <w:t xml:space="preserve">Patients with </w:t>
      </w:r>
      <w:r w:rsidR="00303DE7">
        <w:rPr>
          <w:b/>
          <w:sz w:val="22"/>
          <w:lang w:val="en-GB"/>
        </w:rPr>
        <w:t>early</w:t>
      </w:r>
      <w:r w:rsidR="00303DE7" w:rsidRPr="00A616C3">
        <w:rPr>
          <w:b/>
          <w:sz w:val="22"/>
          <w:lang w:val="en-GB"/>
        </w:rPr>
        <w:t xml:space="preserve"> </w:t>
      </w:r>
      <w:r w:rsidRPr="00A616C3">
        <w:rPr>
          <w:b/>
          <w:sz w:val="22"/>
          <w:lang w:val="en-GB"/>
        </w:rPr>
        <w:t>or locally advanced breast cancer</w:t>
      </w:r>
      <w:r w:rsidRPr="00A616C3">
        <w:rPr>
          <w:sz w:val="22"/>
          <w:lang w:val="en-GB"/>
        </w:rPr>
        <w:t xml:space="preserve"> should be treated for 1 year or until disease recurrence, whichever occurs first. </w:t>
      </w:r>
      <w:r w:rsidR="000C037F">
        <w:rPr>
          <w:sz w:val="22"/>
          <w:lang w:val="en-GB"/>
        </w:rPr>
        <w:t>The optimal dosage regimen and</w:t>
      </w:r>
      <w:r w:rsidR="008A3867">
        <w:rPr>
          <w:sz w:val="22"/>
          <w:lang w:val="en-GB"/>
        </w:rPr>
        <w:t xml:space="preserve"> its </w:t>
      </w:r>
      <w:proofErr w:type="gramStart"/>
      <w:r w:rsidR="008A3867">
        <w:rPr>
          <w:sz w:val="22"/>
          <w:lang w:val="en-GB"/>
        </w:rPr>
        <w:t xml:space="preserve">associated </w:t>
      </w:r>
      <w:r w:rsidR="006D3A59">
        <w:rPr>
          <w:sz w:val="22"/>
          <w:lang w:val="en-GB"/>
        </w:rPr>
        <w:t xml:space="preserve"> </w:t>
      </w:r>
      <w:r w:rsidR="000C037F">
        <w:rPr>
          <w:sz w:val="22"/>
          <w:lang w:val="en-GB"/>
        </w:rPr>
        <w:t>treatment</w:t>
      </w:r>
      <w:proofErr w:type="gramEnd"/>
      <w:r w:rsidR="000C037F">
        <w:rPr>
          <w:sz w:val="22"/>
          <w:lang w:val="en-GB"/>
        </w:rPr>
        <w:t xml:space="preserve"> duration have not been defined. However, </w:t>
      </w:r>
      <w:r w:rsidR="000C037F" w:rsidRPr="00A616C3">
        <w:rPr>
          <w:sz w:val="22"/>
          <w:lang w:val="en-GB"/>
        </w:rPr>
        <w:t>extending</w:t>
      </w:r>
      <w:r w:rsidR="004656BD">
        <w:rPr>
          <w:sz w:val="22"/>
          <w:lang w:val="en-GB"/>
        </w:rPr>
        <w:t xml:space="preserve"> adjuvant</w:t>
      </w:r>
      <w:r w:rsidRPr="00A616C3">
        <w:rPr>
          <w:sz w:val="22"/>
          <w:lang w:val="en-GB"/>
        </w:rPr>
        <w:t xml:space="preserve"> treatment beyond one year is not recommended (see </w:t>
      </w:r>
      <w:r w:rsidRPr="00A616C3">
        <w:rPr>
          <w:b/>
          <w:sz w:val="22"/>
          <w:lang w:val="en-GB"/>
        </w:rPr>
        <w:t xml:space="preserve">CLINICAL TRIALS, </w:t>
      </w:r>
      <w:r w:rsidR="00303DE7">
        <w:rPr>
          <w:b/>
          <w:sz w:val="22"/>
          <w:lang w:val="en-GB"/>
        </w:rPr>
        <w:t>Early</w:t>
      </w:r>
      <w:r w:rsidR="00303DE7" w:rsidRPr="00A616C3">
        <w:rPr>
          <w:b/>
          <w:sz w:val="22"/>
          <w:lang w:val="en-GB"/>
        </w:rPr>
        <w:t xml:space="preserve"> </w:t>
      </w:r>
      <w:r w:rsidRPr="00A616C3">
        <w:rPr>
          <w:b/>
          <w:sz w:val="22"/>
          <w:lang w:val="en-GB"/>
        </w:rPr>
        <w:t>breast cancer)</w:t>
      </w:r>
      <w:r w:rsidRPr="00A616C3">
        <w:rPr>
          <w:sz w:val="22"/>
          <w:lang w:val="en-GB"/>
        </w:rPr>
        <w:t>.</w:t>
      </w:r>
    </w:p>
    <w:p w:rsidR="00AE228C" w:rsidRPr="00A616C3" w:rsidRDefault="00AE228C" w:rsidP="00AE228C">
      <w:pPr>
        <w:pStyle w:val="TextTi12"/>
        <w:spacing w:after="120" w:line="240" w:lineRule="auto"/>
        <w:jc w:val="left"/>
      </w:pPr>
      <w:r w:rsidRPr="00A616C3">
        <w:rPr>
          <w:sz w:val="22"/>
          <w:lang w:val="en-GB"/>
        </w:rPr>
        <w:t xml:space="preserve">Patients with </w:t>
      </w:r>
      <w:r w:rsidRPr="00A616C3">
        <w:rPr>
          <w:b/>
          <w:sz w:val="22"/>
          <w:lang w:val="en-GB"/>
        </w:rPr>
        <w:t>metastatic breast cancer</w:t>
      </w:r>
      <w:r w:rsidRPr="00A616C3">
        <w:rPr>
          <w:sz w:val="22"/>
          <w:lang w:val="en-GB"/>
        </w:rPr>
        <w:t xml:space="preserve"> should be treated until progression of disease.</w:t>
      </w:r>
    </w:p>
    <w:p w:rsidR="00EC398A" w:rsidRPr="00A616C3" w:rsidRDefault="00EC398A" w:rsidP="003624AB">
      <w:pPr>
        <w:pStyle w:val="Heading3"/>
        <w:rPr>
          <w:u w:val="single"/>
        </w:rPr>
      </w:pPr>
      <w:r w:rsidRPr="00A616C3">
        <w:rPr>
          <w:u w:val="single"/>
        </w:rPr>
        <w:t xml:space="preserve">Missed Doses  </w:t>
      </w:r>
    </w:p>
    <w:p w:rsidR="005C7CEF" w:rsidRPr="00A616C3" w:rsidRDefault="00214B68" w:rsidP="00091CB7">
      <w:pPr>
        <w:pStyle w:val="TextTi12"/>
        <w:rPr>
          <w:rFonts w:eastAsia="MS Mincho"/>
          <w:lang w:val="en-GB"/>
        </w:rPr>
      </w:pPr>
      <w:r w:rsidRPr="00A616C3">
        <w:rPr>
          <w:sz w:val="22"/>
          <w:lang w:val="en-GB"/>
        </w:rPr>
        <w:t>If the patient misses a dose, it is recommended the next 600 mg dose is administered as soon as possible. The interval between subsequent HERCEPTIN SC injections should not be less than 3 weeks.</w:t>
      </w:r>
    </w:p>
    <w:p w:rsidR="00AE228C" w:rsidRPr="00A616C3" w:rsidRDefault="00AE228C" w:rsidP="00AE228C">
      <w:pPr>
        <w:pStyle w:val="Heading3"/>
        <w:rPr>
          <w:u w:val="single"/>
        </w:rPr>
      </w:pPr>
      <w:r w:rsidRPr="00A616C3">
        <w:rPr>
          <w:u w:val="single"/>
        </w:rPr>
        <w:t>Dose Reduction</w:t>
      </w:r>
    </w:p>
    <w:p w:rsidR="00AE228C" w:rsidRPr="00A616C3" w:rsidRDefault="00AE228C" w:rsidP="00AE228C">
      <w:pPr>
        <w:spacing w:after="120"/>
      </w:pPr>
      <w:r w:rsidRPr="00A616C3">
        <w:t>No reductions in the dose of HERCEPTIN were made during clinical trials.  Patients may continue HERCEPTIN therapy during periods of reversible, chemotherapy</w:t>
      </w:r>
      <w:r w:rsidRPr="00A616C3">
        <w:noBreakHyphen/>
        <w:t xml:space="preserve">induced </w:t>
      </w:r>
      <w:proofErr w:type="spellStart"/>
      <w:r w:rsidRPr="00A616C3">
        <w:t>myelosuppression</w:t>
      </w:r>
      <w:proofErr w:type="spellEnd"/>
      <w:r w:rsidRPr="00A616C3">
        <w:t>, but they should be carefully monitored for complications of neutropenia during this time.  The specific instructions to reduce or hold the dose of chemotherapy should be followed.</w:t>
      </w:r>
    </w:p>
    <w:p w:rsidR="00AE228C" w:rsidRPr="00A616C3" w:rsidRDefault="00AE228C" w:rsidP="00AE228C">
      <w:pPr>
        <w:spacing w:after="120"/>
      </w:pPr>
      <w:r w:rsidRPr="00A616C3">
        <w:rPr>
          <w:i/>
        </w:rPr>
        <w:lastRenderedPageBreak/>
        <w:t xml:space="preserve">Use in Elderly: </w:t>
      </w:r>
      <w:r w:rsidRPr="00A616C3">
        <w:t xml:space="preserve">In clinical trials, elderly patients did not receive reduced doses of </w:t>
      </w:r>
      <w:proofErr w:type="spellStart"/>
      <w:r w:rsidRPr="00A616C3">
        <w:t>trastuzumab</w:t>
      </w:r>
      <w:proofErr w:type="spellEnd"/>
      <w:r w:rsidRPr="00A616C3">
        <w:t xml:space="preserve">. Age has been shown to have no effect on the disposition of </w:t>
      </w:r>
      <w:proofErr w:type="spellStart"/>
      <w:r w:rsidRPr="00A616C3">
        <w:t>trastuzumab</w:t>
      </w:r>
      <w:proofErr w:type="spellEnd"/>
      <w:r w:rsidRPr="00A616C3">
        <w:t xml:space="preserve"> (see </w:t>
      </w:r>
      <w:r w:rsidRPr="00A616C3">
        <w:rPr>
          <w:b/>
        </w:rPr>
        <w:t>PHARMACOKINETICS,</w:t>
      </w:r>
      <w:r w:rsidRPr="00A616C3">
        <w:rPr>
          <w:b/>
          <w:i/>
        </w:rPr>
        <w:t xml:space="preserve"> </w:t>
      </w:r>
      <w:r w:rsidRPr="00A616C3">
        <w:rPr>
          <w:b/>
        </w:rPr>
        <w:t>Pharmacokinetics in Special Populations</w:t>
      </w:r>
      <w:r w:rsidRPr="00A616C3">
        <w:t>).</w:t>
      </w:r>
    </w:p>
    <w:p w:rsidR="00E511CE" w:rsidRPr="00424101" w:rsidRDefault="00E511CE" w:rsidP="008D15F3">
      <w:pPr>
        <w:pStyle w:val="Heading3"/>
        <w:rPr>
          <w:b w:val="0"/>
          <w:i/>
          <w:u w:val="single"/>
        </w:rPr>
      </w:pPr>
      <w:r w:rsidRPr="00424101">
        <w:rPr>
          <w:rStyle w:val="Heading3Char"/>
          <w:b/>
          <w:u w:val="single"/>
        </w:rPr>
        <w:t xml:space="preserve">Detection of HER2 </w:t>
      </w:r>
      <w:r w:rsidR="00F55196" w:rsidRPr="00424101">
        <w:rPr>
          <w:rStyle w:val="Heading3Char"/>
          <w:b/>
          <w:u w:val="single"/>
        </w:rPr>
        <w:t xml:space="preserve">Protein </w:t>
      </w:r>
      <w:r w:rsidRPr="00424101">
        <w:rPr>
          <w:rStyle w:val="Heading3Char"/>
          <w:b/>
          <w:u w:val="single"/>
        </w:rPr>
        <w:t>Overexpression or HER2 Gene Amplification</w:t>
      </w:r>
    </w:p>
    <w:p w:rsidR="00025114" w:rsidRPr="00A616C3" w:rsidRDefault="00E511CE" w:rsidP="00333646">
      <w:pPr>
        <w:widowControl w:val="0"/>
        <w:spacing w:after="120"/>
        <w:rPr>
          <w:lang w:val="en-GB"/>
        </w:rPr>
      </w:pPr>
      <w:r w:rsidRPr="00A616C3">
        <w:t xml:space="preserve">HERCEPTIN should only be used in patients whose tumours have HER2 protein overexpression </w:t>
      </w:r>
      <w:r w:rsidRPr="00A616C3">
        <w:rPr>
          <w:lang w:val="en-GB"/>
        </w:rPr>
        <w:t xml:space="preserve">or HER2 gene amplification. </w:t>
      </w:r>
      <w:r w:rsidR="009A55DF" w:rsidRPr="00A616C3">
        <w:rPr>
          <w:snapToGrid w:val="0"/>
          <w:lang w:eastAsia="de-DE"/>
        </w:rPr>
        <w:t xml:space="preserve">HERCEPTIN treatment is only appropriate if there is strong HER2 overexpression, as described by a 3+ score by immunohistochemistry (IHC) </w:t>
      </w:r>
      <w:r w:rsidR="009A55DF" w:rsidRPr="00A616C3">
        <w:rPr>
          <w:rFonts w:eastAsia="MS Mincho"/>
          <w:lang w:val="en-GB"/>
        </w:rPr>
        <w:t>or a positive in situ hybridisation (ISH) result</w:t>
      </w:r>
      <w:r w:rsidR="009A55DF" w:rsidRPr="00A616C3">
        <w:rPr>
          <w:snapToGrid w:val="0"/>
          <w:lang w:eastAsia="de-DE"/>
        </w:rPr>
        <w:t>.</w:t>
      </w:r>
      <w:r w:rsidR="009A55DF" w:rsidRPr="00A616C3">
        <w:t xml:space="preserve"> For patients with an intensity score of 2+ on IHC, confirmation of HER2 positive status by ISH is mandatory.</w:t>
      </w:r>
    </w:p>
    <w:p w:rsidR="00025114" w:rsidRPr="00A616C3" w:rsidRDefault="00025114" w:rsidP="00333646">
      <w:pPr>
        <w:spacing w:after="120"/>
      </w:pPr>
      <w:r w:rsidRPr="00A616C3">
        <w:t>To ensure accurate and reproducible results, testing must be performed in a specialized laboratory, which can ensure validation of the testing procedures.</w:t>
      </w:r>
    </w:p>
    <w:p w:rsidR="00E511CE" w:rsidRPr="00A616C3" w:rsidRDefault="00E511CE" w:rsidP="00333646">
      <w:pPr>
        <w:widowControl w:val="0"/>
        <w:spacing w:after="120"/>
        <w:rPr>
          <w:snapToGrid w:val="0"/>
          <w:lang w:eastAsia="de-DE"/>
        </w:rPr>
      </w:pPr>
      <w:r w:rsidRPr="00A616C3">
        <w:t xml:space="preserve">HER2 </w:t>
      </w:r>
      <w:r w:rsidR="0093294E" w:rsidRPr="00A616C3">
        <w:t xml:space="preserve">protein </w:t>
      </w:r>
      <w:r w:rsidRPr="00A616C3">
        <w:t>overexpression should be detected using an IHC-based assessment of fixed tumour blocks.</w:t>
      </w:r>
      <w:r w:rsidRPr="00A616C3">
        <w:rPr>
          <w:snapToGrid w:val="0"/>
          <w:lang w:eastAsia="de-DE"/>
        </w:rPr>
        <w:t xml:space="preserve"> </w:t>
      </w:r>
      <w:r w:rsidRPr="00A616C3">
        <w:rPr>
          <w:snapToGrid w:val="0"/>
          <w:lang w:val="en-GB" w:eastAsia="de-DE"/>
        </w:rPr>
        <w:t xml:space="preserve">HER2 gene amplification should be detected using ISH of fixed tumour blocks. Examples of ISH include fluorescence in situ hybridization (FISH), chromogenic in situ hybridization (CISH) and </w:t>
      </w:r>
      <w:r w:rsidRPr="00A616C3">
        <w:t>silver in situ hybridization (SISH)</w:t>
      </w:r>
      <w:r w:rsidRPr="00A616C3">
        <w:rPr>
          <w:snapToGrid w:val="0"/>
          <w:lang w:eastAsia="de-DE"/>
        </w:rPr>
        <w:t xml:space="preserve">. </w:t>
      </w:r>
    </w:p>
    <w:p w:rsidR="00CE0BF6" w:rsidRPr="00A616C3" w:rsidRDefault="00CE0BF6" w:rsidP="00333646">
      <w:pPr>
        <w:spacing w:after="120"/>
      </w:pPr>
      <w:r w:rsidRPr="00A616C3">
        <w:t xml:space="preserve">For any other method to be used for the assessment of HER2 protein or gene expression, </w:t>
      </w:r>
      <w:r w:rsidR="00011EEE" w:rsidRPr="00A616C3">
        <w:t>the test method must be precise and accurate enough to demonstrate overexpression of HER2 (it must be able to distinguish between moderate (congruent with 2+) and strong (congruent with 3+) HER2 overexpression).</w:t>
      </w:r>
    </w:p>
    <w:p w:rsidR="00011EEE" w:rsidRPr="00A616C3" w:rsidRDefault="003C1407" w:rsidP="00333646">
      <w:pPr>
        <w:autoSpaceDE w:val="0"/>
        <w:autoSpaceDN w:val="0"/>
        <w:adjustRightInd w:val="0"/>
        <w:rPr>
          <w:rFonts w:eastAsia="MS Mincho"/>
          <w:lang w:val="en-GB"/>
        </w:rPr>
      </w:pPr>
      <w:r w:rsidRPr="00A616C3">
        <w:rPr>
          <w:lang w:val="en-GB"/>
        </w:rPr>
        <w:t xml:space="preserve">For full instructions on </w:t>
      </w:r>
      <w:r w:rsidR="00656AD7" w:rsidRPr="00A616C3">
        <w:t xml:space="preserve">the use of these </w:t>
      </w:r>
      <w:r w:rsidRPr="00A616C3">
        <w:rPr>
          <w:lang w:val="en-GB"/>
        </w:rPr>
        <w:t>assay</w:t>
      </w:r>
      <w:r w:rsidR="00656AD7" w:rsidRPr="00A616C3">
        <w:t>s</w:t>
      </w:r>
      <w:r w:rsidRPr="00A616C3">
        <w:rPr>
          <w:lang w:val="en-GB"/>
        </w:rPr>
        <w:t xml:space="preserve"> and interpretation </w:t>
      </w:r>
      <w:r w:rsidR="003A69C3" w:rsidRPr="00A616C3">
        <w:t xml:space="preserve">of </w:t>
      </w:r>
      <w:r w:rsidR="00656AD7" w:rsidRPr="00A616C3">
        <w:t xml:space="preserve">the </w:t>
      </w:r>
      <w:r w:rsidR="003A69C3" w:rsidRPr="00A616C3">
        <w:t>results</w:t>
      </w:r>
      <w:r w:rsidR="003A69C3" w:rsidRPr="00A616C3">
        <w:rPr>
          <w:lang w:val="en-GB"/>
        </w:rPr>
        <w:t xml:space="preserve"> </w:t>
      </w:r>
      <w:r w:rsidRPr="00A616C3">
        <w:rPr>
          <w:lang w:val="en-GB"/>
        </w:rPr>
        <w:t>please refer to the package inserts of validated FISH, CISH and SISH assays.</w:t>
      </w:r>
      <w:r w:rsidR="00025114" w:rsidRPr="00A616C3">
        <w:t xml:space="preserve"> Official recommendations on HER2 testing may also apply.</w:t>
      </w:r>
    </w:p>
    <w:bookmarkEnd w:id="14"/>
    <w:bookmarkEnd w:id="15"/>
    <w:p w:rsidR="00932086" w:rsidRPr="00A616C3" w:rsidRDefault="00ED3AD3" w:rsidP="007B14B1">
      <w:pPr>
        <w:rPr>
          <w:b/>
          <w:sz w:val="24"/>
          <w:szCs w:val="24"/>
          <w:u w:val="single"/>
          <w:lang w:val="en-GB"/>
        </w:rPr>
      </w:pPr>
      <w:r w:rsidRPr="00A616C3">
        <w:rPr>
          <w:b/>
          <w:sz w:val="24"/>
          <w:szCs w:val="24"/>
          <w:u w:val="single"/>
          <w:lang w:val="en-GB"/>
        </w:rPr>
        <w:t>P</w:t>
      </w:r>
      <w:r w:rsidR="00932086" w:rsidRPr="00A616C3">
        <w:rPr>
          <w:b/>
          <w:sz w:val="24"/>
          <w:szCs w:val="24"/>
          <w:u w:val="single"/>
          <w:lang w:val="en-GB"/>
        </w:rPr>
        <w:t xml:space="preserve">reparation for </w:t>
      </w:r>
      <w:r w:rsidR="00EF40BA" w:rsidRPr="00A616C3">
        <w:rPr>
          <w:b/>
          <w:sz w:val="24"/>
          <w:szCs w:val="24"/>
          <w:u w:val="single"/>
          <w:lang w:val="en-GB"/>
        </w:rPr>
        <w:t>SC injection</w:t>
      </w:r>
    </w:p>
    <w:p w:rsidR="00EF40BA" w:rsidRPr="00A616C3" w:rsidRDefault="00EF40BA" w:rsidP="00EF40BA">
      <w:pPr>
        <w:pStyle w:val="TextTi12"/>
        <w:rPr>
          <w:sz w:val="22"/>
          <w:lang w:val="en-GB"/>
        </w:rPr>
      </w:pPr>
      <w:r w:rsidRPr="00A616C3">
        <w:rPr>
          <w:sz w:val="22"/>
          <w:lang w:val="en-GB"/>
        </w:rPr>
        <w:t>HERCEPTIN SC solution for injection is for single-use, in one patient only.</w:t>
      </w:r>
    </w:p>
    <w:p w:rsidR="00EF40BA" w:rsidRPr="00A616C3" w:rsidRDefault="00B80B97" w:rsidP="00EF40BA">
      <w:pPr>
        <w:pStyle w:val="TextTi12"/>
        <w:rPr>
          <w:sz w:val="22"/>
          <w:lang w:val="en-GB"/>
        </w:rPr>
      </w:pPr>
      <w:r w:rsidRPr="00A616C3">
        <w:rPr>
          <w:sz w:val="22"/>
          <w:lang w:val="en-GB"/>
        </w:rPr>
        <w:t>The 600 mg/5 mL ready-to-</w:t>
      </w:r>
      <w:r w:rsidR="00EF40BA" w:rsidRPr="00A616C3">
        <w:rPr>
          <w:sz w:val="22"/>
          <w:lang w:val="en-GB"/>
        </w:rPr>
        <w:t xml:space="preserve">use solution </w:t>
      </w:r>
      <w:r w:rsidR="00EF40BA" w:rsidRPr="00A616C3">
        <w:rPr>
          <w:sz w:val="22"/>
          <w:u w:val="single"/>
          <w:lang w:val="en-GB"/>
        </w:rPr>
        <w:t>does not</w:t>
      </w:r>
      <w:r w:rsidR="00EF40BA" w:rsidRPr="00A616C3">
        <w:rPr>
          <w:sz w:val="22"/>
          <w:lang w:val="en-GB"/>
        </w:rPr>
        <w:t xml:space="preserve"> need to be diluted. The solution should be inspected visually to ensure there is no particulate matter or discolouration prior to administration.</w:t>
      </w:r>
    </w:p>
    <w:p w:rsidR="00EF40BA" w:rsidRPr="00A616C3" w:rsidRDefault="00EF40BA" w:rsidP="00EF40BA">
      <w:pPr>
        <w:spacing w:after="120"/>
        <w:rPr>
          <w:lang w:val="en-GB"/>
        </w:rPr>
      </w:pPr>
      <w:r w:rsidRPr="00A616C3">
        <w:rPr>
          <w:lang w:val="en-GB"/>
        </w:rPr>
        <w:t xml:space="preserve">HERCEPTIN </w:t>
      </w:r>
      <w:r w:rsidR="00B80B97" w:rsidRPr="00A616C3">
        <w:rPr>
          <w:lang w:val="en-GB"/>
        </w:rPr>
        <w:t xml:space="preserve">SC </w:t>
      </w:r>
      <w:r w:rsidRPr="00A616C3">
        <w:rPr>
          <w:lang w:val="en-GB"/>
        </w:rPr>
        <w:t>does not contain any antimicrobial-preservative; from a microbiological point of view, the medicine should be used immediately. If not being used immediately, preparation should take place in controlled and validated aseptic conditions</w:t>
      </w:r>
      <w:r w:rsidR="00D575D1" w:rsidRPr="00A616C3">
        <w:rPr>
          <w:lang w:val="en-GB"/>
        </w:rPr>
        <w:t>, and storage of the prepared product should not exceed 24 hours at 2 °C to 8 °C and 6 hours in total at ambient temperature (do not store above 30°C).</w:t>
      </w:r>
      <w:r w:rsidRPr="00A616C3">
        <w:rPr>
          <w:lang w:val="en-GB"/>
        </w:rPr>
        <w:t xml:space="preserve"> After transfer of the solution to the syringe, it is recommended to replace the transfer needle by a syringe closing cap to avoid drying of the solution in the needle and not compromise the quality of the medicinal product. The hypodermic injection needle must be attached to the syringe immediately prior to administration followed by volume adjustment to 5 </w:t>
      </w:r>
      <w:proofErr w:type="spellStart"/>
      <w:r w:rsidRPr="00A616C3">
        <w:rPr>
          <w:lang w:val="en-GB"/>
        </w:rPr>
        <w:t>mL.</w:t>
      </w:r>
      <w:proofErr w:type="spellEnd"/>
    </w:p>
    <w:p w:rsidR="00EF40BA" w:rsidRPr="00A616C3" w:rsidRDefault="00EF40BA" w:rsidP="00EF40BA">
      <w:pPr>
        <w:pStyle w:val="Heading4"/>
        <w:ind w:left="0"/>
      </w:pPr>
      <w:r w:rsidRPr="00A616C3">
        <w:t>Incompatibilities</w:t>
      </w:r>
    </w:p>
    <w:p w:rsidR="00932086" w:rsidRPr="00A616C3" w:rsidRDefault="00EF40BA" w:rsidP="00861CEC">
      <w:pPr>
        <w:spacing w:after="120"/>
      </w:pPr>
      <w:r w:rsidRPr="00A616C3">
        <w:rPr>
          <w:lang w:val="en-GB"/>
        </w:rPr>
        <w:t>No incompatibilities between HERCEPTIN and polypropylene syringes have been observed.</w:t>
      </w:r>
    </w:p>
    <w:p w:rsidR="00932086" w:rsidRPr="00A616C3" w:rsidRDefault="00932086">
      <w:pPr>
        <w:pStyle w:val="Heading2"/>
      </w:pPr>
      <w:r w:rsidRPr="00A616C3">
        <w:lastRenderedPageBreak/>
        <w:t>OVERDOSAGE</w:t>
      </w:r>
    </w:p>
    <w:p w:rsidR="00EF40BA" w:rsidRPr="00A616C3" w:rsidRDefault="00EF40BA" w:rsidP="00EF40BA">
      <w:pPr>
        <w:spacing w:after="120"/>
      </w:pPr>
      <w:r w:rsidRPr="00A616C3">
        <w:rPr>
          <w:lang w:val="en-GB"/>
        </w:rPr>
        <w:t>Single doses of up to 960 mg have been administered with no reported untoward effect.</w:t>
      </w:r>
      <w:r w:rsidRPr="00A616C3" w:rsidDel="00453D60">
        <w:t xml:space="preserve"> </w:t>
      </w:r>
    </w:p>
    <w:p w:rsidR="00D1268A" w:rsidRPr="00A616C3" w:rsidRDefault="00D1268A" w:rsidP="007B14B1">
      <w:pPr>
        <w:spacing w:after="120"/>
      </w:pPr>
      <w:r w:rsidRPr="00A616C3">
        <w:t>Treatment of overdose should consist of general supportive measures.</w:t>
      </w:r>
    </w:p>
    <w:p w:rsidR="004D52B2" w:rsidRPr="00A616C3" w:rsidRDefault="009E7DA0" w:rsidP="007B14B1">
      <w:r w:rsidRPr="00A616C3">
        <w:t>For information on the management of overdose, c</w:t>
      </w:r>
      <w:r w:rsidR="00D1268A" w:rsidRPr="00A616C3">
        <w:t xml:space="preserve">ontact the Poisons Information Centre </w:t>
      </w:r>
      <w:r w:rsidRPr="00A616C3">
        <w:t>(in Australia call 13 11 26; in New Zealand call 0800 767 766)</w:t>
      </w:r>
      <w:r w:rsidR="00D1268A" w:rsidRPr="00A616C3">
        <w:t>.</w:t>
      </w:r>
    </w:p>
    <w:p w:rsidR="00932086" w:rsidRPr="00A616C3" w:rsidRDefault="00932086">
      <w:pPr>
        <w:pStyle w:val="Heading2"/>
      </w:pPr>
      <w:r w:rsidRPr="00A616C3">
        <w:t>PRESENTATION</w:t>
      </w:r>
      <w:r w:rsidR="00DB73B7" w:rsidRPr="00A616C3">
        <w:t xml:space="preserve"> and storage</w:t>
      </w:r>
      <w:r w:rsidR="00EF2CFD" w:rsidRPr="00A616C3">
        <w:t xml:space="preserve"> CONDITIONS</w:t>
      </w:r>
    </w:p>
    <w:p w:rsidR="003B7D1C" w:rsidRPr="004656BD" w:rsidRDefault="00EF40BA" w:rsidP="00091CB7">
      <w:pPr>
        <w:pStyle w:val="PIexplanation"/>
        <w:rPr>
          <w:color w:val="auto"/>
        </w:rPr>
      </w:pPr>
      <w:r w:rsidRPr="00A616C3">
        <w:rPr>
          <w:i w:val="0"/>
          <w:color w:val="auto"/>
        </w:rPr>
        <w:t>HERCEPTIN SC solution for injection is a ready</w:t>
      </w:r>
      <w:r w:rsidR="00B80B97" w:rsidRPr="00A616C3">
        <w:rPr>
          <w:i w:val="0"/>
          <w:color w:val="auto"/>
        </w:rPr>
        <w:t>-</w:t>
      </w:r>
      <w:r w:rsidRPr="00A616C3">
        <w:rPr>
          <w:i w:val="0"/>
          <w:color w:val="auto"/>
        </w:rPr>
        <w:t>to</w:t>
      </w:r>
      <w:r w:rsidR="00B80B97" w:rsidRPr="00A616C3">
        <w:rPr>
          <w:i w:val="0"/>
          <w:color w:val="auto"/>
        </w:rPr>
        <w:t>-</w:t>
      </w:r>
      <w:r w:rsidRPr="00A616C3">
        <w:rPr>
          <w:i w:val="0"/>
          <w:color w:val="auto"/>
        </w:rPr>
        <w:t xml:space="preserve">use solution (600 mg/5 mL) supplied as one single use vial.  </w:t>
      </w:r>
    </w:p>
    <w:p w:rsidR="00932086" w:rsidRPr="00A616C3" w:rsidRDefault="00932086" w:rsidP="00C01D54">
      <w:pPr>
        <w:pStyle w:val="Heading3"/>
        <w:spacing w:before="120"/>
        <w:rPr>
          <w:lang w:val="en-GB"/>
        </w:rPr>
      </w:pPr>
      <w:r w:rsidRPr="00A616C3">
        <w:rPr>
          <w:lang w:val="en-GB"/>
        </w:rPr>
        <w:t>Storage</w:t>
      </w:r>
    </w:p>
    <w:p w:rsidR="00932086" w:rsidRPr="00A616C3" w:rsidRDefault="00932086" w:rsidP="00091CB7">
      <w:pPr>
        <w:rPr>
          <w:lang w:val="en-GB"/>
        </w:rPr>
      </w:pPr>
      <w:proofErr w:type="gramStart"/>
      <w:r w:rsidRPr="00A616C3">
        <w:rPr>
          <w:lang w:val="en-GB"/>
        </w:rPr>
        <w:t xml:space="preserve">Store HERCEPTIN </w:t>
      </w:r>
      <w:r w:rsidR="00EF40BA" w:rsidRPr="00A616C3">
        <w:rPr>
          <w:lang w:val="en-GB"/>
        </w:rPr>
        <w:t>SC</w:t>
      </w:r>
      <w:r w:rsidR="009E7DA0" w:rsidRPr="00A616C3">
        <w:rPr>
          <w:lang w:val="en-GB"/>
        </w:rPr>
        <w:t xml:space="preserve"> </w:t>
      </w:r>
      <w:r w:rsidRPr="00A616C3">
        <w:rPr>
          <w:lang w:val="en-GB"/>
        </w:rPr>
        <w:t xml:space="preserve">vials at </w:t>
      </w:r>
      <w:r w:rsidRPr="00A616C3">
        <w:t>2</w:t>
      </w:r>
      <w:r w:rsidR="00516872" w:rsidRPr="00A616C3">
        <w:t>°C</w:t>
      </w:r>
      <w:r w:rsidRPr="00A616C3">
        <w:t xml:space="preserve"> to 8°C</w:t>
      </w:r>
      <w:r w:rsidRPr="00A616C3">
        <w:rPr>
          <w:lang w:val="en-GB"/>
        </w:rPr>
        <w:t>.</w:t>
      </w:r>
      <w:proofErr w:type="gramEnd"/>
      <w:r w:rsidRPr="00A616C3">
        <w:rPr>
          <w:lang w:val="en-GB"/>
        </w:rPr>
        <w:t xml:space="preserve">  Refrigerate.  Do not freeze.  </w:t>
      </w:r>
      <w:proofErr w:type="gramStart"/>
      <w:r w:rsidR="005C4E3C" w:rsidRPr="00A616C3">
        <w:rPr>
          <w:lang w:val="en-GB"/>
        </w:rPr>
        <w:t>Store in the original package in order to protect from light.</w:t>
      </w:r>
      <w:proofErr w:type="gramEnd"/>
      <w:r w:rsidR="005C4E3C" w:rsidRPr="00A616C3">
        <w:rPr>
          <w:lang w:val="en-GB"/>
        </w:rPr>
        <w:t xml:space="preserve"> </w:t>
      </w:r>
      <w:r w:rsidRPr="00A616C3">
        <w:rPr>
          <w:lang w:val="en-GB"/>
        </w:rPr>
        <w:t>Do not use beyond the expiration date stamped on the vial.</w:t>
      </w:r>
    </w:p>
    <w:p w:rsidR="005C4E3C" w:rsidRPr="00A616C3" w:rsidRDefault="00FF5BDD" w:rsidP="00091CB7">
      <w:r w:rsidRPr="00A616C3">
        <w:t xml:space="preserve">From a microbiological point of view, HERCEPTIN </w:t>
      </w:r>
      <w:r w:rsidR="005C4E3C" w:rsidRPr="00A616C3">
        <w:t xml:space="preserve">SC </w:t>
      </w:r>
      <w:r w:rsidRPr="00A616C3">
        <w:t xml:space="preserve">solution should be used immediately. </w:t>
      </w:r>
      <w:r w:rsidR="005C4E3C" w:rsidRPr="00A616C3">
        <w:t xml:space="preserve">Once transferred from the vial to the syringe, the product is </w:t>
      </w:r>
      <w:r w:rsidR="00932086" w:rsidRPr="00A616C3">
        <w:t xml:space="preserve">physically and chemically stable at 2 to 8°C for 24 hours.  </w:t>
      </w:r>
    </w:p>
    <w:p w:rsidR="000468C6" w:rsidRPr="00A616C3" w:rsidRDefault="005C4E3C" w:rsidP="004F6B65">
      <w:pPr>
        <w:spacing w:after="120"/>
      </w:pPr>
      <w:r w:rsidRPr="00A616C3">
        <w:rPr>
          <w:lang w:val="en-GB"/>
        </w:rPr>
        <w:t xml:space="preserve">Once removed from the refrigerator, HERCEPTIN SC solution in the vial or transferred to syringe should </w:t>
      </w:r>
      <w:r w:rsidRPr="00A616C3">
        <w:rPr>
          <w:b/>
          <w:lang w:val="en-GB"/>
        </w:rPr>
        <w:t>not be kept for more than 6 hours in total at ambient temperature</w:t>
      </w:r>
      <w:r w:rsidRPr="00A616C3">
        <w:rPr>
          <w:lang w:val="en-GB"/>
        </w:rPr>
        <w:t xml:space="preserve"> </w:t>
      </w:r>
      <w:r w:rsidRPr="00A616C3">
        <w:rPr>
          <w:b/>
          <w:lang w:val="en-GB"/>
        </w:rPr>
        <w:t>(do not store above 30°C).</w:t>
      </w:r>
      <w:r w:rsidR="00932086" w:rsidRPr="00A616C3">
        <w:t xml:space="preserve"> </w:t>
      </w:r>
    </w:p>
    <w:p w:rsidR="004F6B65" w:rsidRPr="00A616C3" w:rsidRDefault="004F6B65" w:rsidP="004F6B65">
      <w:pPr>
        <w:pStyle w:val="Heading3"/>
        <w:spacing w:before="120"/>
        <w:rPr>
          <w:lang w:val="en-GB"/>
        </w:rPr>
      </w:pPr>
      <w:r w:rsidRPr="00A616C3">
        <w:rPr>
          <w:lang w:val="en-GB"/>
        </w:rPr>
        <w:t xml:space="preserve">Disposal of Medicines </w:t>
      </w:r>
    </w:p>
    <w:p w:rsidR="004F6B65" w:rsidRPr="00A616C3" w:rsidRDefault="004F6B65" w:rsidP="007B14B1">
      <w:pPr>
        <w:adjustRightInd w:val="0"/>
        <w:spacing w:after="0"/>
        <w:rPr>
          <w:rFonts w:eastAsia="SimSun"/>
          <w:bCs/>
          <w:iCs/>
          <w:szCs w:val="24"/>
          <w:lang w:eastAsia="zh-CN"/>
        </w:rPr>
      </w:pPr>
      <w:r w:rsidRPr="00A616C3">
        <w:rPr>
          <w:rFonts w:eastAsia="SimSun"/>
          <w:bCs/>
          <w:iCs/>
          <w:szCs w:val="24"/>
          <w:lang w:val="en-GB" w:eastAsia="zh-CN"/>
        </w:rPr>
        <w:t>The release of m</w:t>
      </w:r>
      <w:proofErr w:type="spellStart"/>
      <w:r w:rsidRPr="00A616C3">
        <w:rPr>
          <w:rFonts w:eastAsia="SimSun"/>
          <w:bCs/>
          <w:iCs/>
          <w:szCs w:val="24"/>
          <w:lang w:eastAsia="zh-CN"/>
        </w:rPr>
        <w:t>edicines</w:t>
      </w:r>
      <w:proofErr w:type="spellEnd"/>
      <w:r w:rsidRPr="00A616C3">
        <w:rPr>
          <w:rFonts w:eastAsia="SimSun"/>
          <w:bCs/>
          <w:iCs/>
          <w:szCs w:val="24"/>
          <w:lang w:eastAsia="zh-CN"/>
        </w:rPr>
        <w:t xml:space="preserve"> </w:t>
      </w:r>
      <w:r w:rsidRPr="00A616C3">
        <w:rPr>
          <w:rFonts w:eastAsia="SimSun"/>
          <w:bCs/>
          <w:iCs/>
          <w:szCs w:val="24"/>
          <w:lang w:val="en-GB" w:eastAsia="zh-CN"/>
        </w:rPr>
        <w:t>into t</w:t>
      </w:r>
      <w:r w:rsidR="00D102C6" w:rsidRPr="00A616C3">
        <w:rPr>
          <w:rFonts w:eastAsia="SimSun"/>
          <w:bCs/>
          <w:iCs/>
          <w:szCs w:val="24"/>
          <w:lang w:val="en-GB" w:eastAsia="zh-CN"/>
        </w:rPr>
        <w:t>he environment should be minimiz</w:t>
      </w:r>
      <w:r w:rsidRPr="00A616C3">
        <w:rPr>
          <w:rFonts w:eastAsia="SimSun"/>
          <w:bCs/>
          <w:iCs/>
          <w:szCs w:val="24"/>
          <w:lang w:val="en-GB" w:eastAsia="zh-CN"/>
        </w:rPr>
        <w:t>ed.  Medicines should not be disposed of via wastewater and disposal through h</w:t>
      </w:r>
      <w:proofErr w:type="spellStart"/>
      <w:r w:rsidRPr="00A616C3">
        <w:rPr>
          <w:rFonts w:eastAsia="SimSun"/>
          <w:bCs/>
          <w:iCs/>
          <w:szCs w:val="24"/>
          <w:lang w:eastAsia="zh-CN"/>
        </w:rPr>
        <w:t>ousehold</w:t>
      </w:r>
      <w:proofErr w:type="spellEnd"/>
      <w:r w:rsidRPr="00A616C3">
        <w:rPr>
          <w:rFonts w:eastAsia="SimSun"/>
          <w:bCs/>
          <w:iCs/>
          <w:szCs w:val="24"/>
          <w:lang w:eastAsia="zh-CN"/>
        </w:rPr>
        <w:t xml:space="preserve"> waste should be avoided. Unused or expired medicine should be returned to a pharmacy for disposal. </w:t>
      </w:r>
    </w:p>
    <w:p w:rsidR="005C4E3C" w:rsidRPr="00A616C3" w:rsidRDefault="005C4E3C" w:rsidP="007B14B1">
      <w:pPr>
        <w:adjustRightInd w:val="0"/>
        <w:spacing w:after="0"/>
        <w:rPr>
          <w:rFonts w:eastAsia="SimSun"/>
          <w:bCs/>
          <w:iCs/>
          <w:szCs w:val="24"/>
          <w:lang w:eastAsia="zh-CN"/>
        </w:rPr>
      </w:pPr>
    </w:p>
    <w:p w:rsidR="005C4E3C" w:rsidRPr="00A616C3" w:rsidRDefault="005C4E3C" w:rsidP="005C4E3C">
      <w:pPr>
        <w:adjustRightInd w:val="0"/>
        <w:spacing w:after="120"/>
        <w:rPr>
          <w:rFonts w:cs="Arial"/>
        </w:rPr>
      </w:pPr>
      <w:r w:rsidRPr="00A616C3">
        <w:rPr>
          <w:rFonts w:cs="Arial"/>
        </w:rPr>
        <w:t xml:space="preserve">The following points should be strictly adhered to regarding the use and disposal of syringes and other medicinal sharps: </w:t>
      </w:r>
    </w:p>
    <w:p w:rsidR="005C4E3C" w:rsidRPr="00A616C3" w:rsidRDefault="005C4E3C" w:rsidP="005C4E3C">
      <w:pPr>
        <w:numPr>
          <w:ilvl w:val="0"/>
          <w:numId w:val="15"/>
        </w:numPr>
        <w:adjustRightInd w:val="0"/>
        <w:spacing w:after="0" w:line="280" w:lineRule="exact"/>
        <w:rPr>
          <w:rFonts w:cs="Arial"/>
        </w:rPr>
      </w:pPr>
      <w:r w:rsidRPr="00A616C3">
        <w:rPr>
          <w:rFonts w:cs="Arial"/>
        </w:rPr>
        <w:t>Needles and syringes should never be reused.</w:t>
      </w:r>
    </w:p>
    <w:p w:rsidR="005C4E3C" w:rsidRPr="00A616C3" w:rsidRDefault="005C4E3C" w:rsidP="005C4E3C">
      <w:pPr>
        <w:numPr>
          <w:ilvl w:val="0"/>
          <w:numId w:val="15"/>
        </w:numPr>
        <w:adjustRightInd w:val="0"/>
        <w:spacing w:after="0" w:line="280" w:lineRule="exact"/>
        <w:rPr>
          <w:rFonts w:cs="Arial"/>
        </w:rPr>
      </w:pPr>
      <w:r w:rsidRPr="00A616C3">
        <w:rPr>
          <w:rFonts w:cs="Arial"/>
        </w:rPr>
        <w:t xml:space="preserve">Place all used needles and syringes into a sharps container (puncture-proof disposable container). </w:t>
      </w:r>
    </w:p>
    <w:p w:rsidR="005C4E3C" w:rsidRPr="00A616C3" w:rsidRDefault="005C4E3C" w:rsidP="005C4E3C">
      <w:pPr>
        <w:numPr>
          <w:ilvl w:val="0"/>
          <w:numId w:val="15"/>
        </w:numPr>
        <w:adjustRightInd w:val="0"/>
        <w:spacing w:after="0" w:line="280" w:lineRule="exact"/>
        <w:rPr>
          <w:rFonts w:eastAsia="SimSun"/>
          <w:szCs w:val="24"/>
          <w:lang w:eastAsia="zh-CN"/>
        </w:rPr>
      </w:pPr>
      <w:r w:rsidRPr="00A616C3">
        <w:rPr>
          <w:rFonts w:cs="Arial"/>
        </w:rPr>
        <w:t>Dispose of the full container according to local requirements.</w:t>
      </w:r>
    </w:p>
    <w:p w:rsidR="005C4E3C" w:rsidRPr="00A616C3" w:rsidRDefault="005C4E3C" w:rsidP="007B14B1">
      <w:pPr>
        <w:adjustRightInd w:val="0"/>
        <w:spacing w:after="0"/>
        <w:rPr>
          <w:rFonts w:eastAsia="SimSun"/>
          <w:szCs w:val="24"/>
          <w:lang w:eastAsia="zh-CN"/>
        </w:rPr>
      </w:pPr>
    </w:p>
    <w:p w:rsidR="00932086" w:rsidRPr="00A616C3" w:rsidRDefault="00622AF3">
      <w:pPr>
        <w:pStyle w:val="Heading2"/>
      </w:pPr>
      <w:r w:rsidRPr="00A616C3">
        <w:rPr>
          <w:caps w:val="0"/>
        </w:rPr>
        <w:t>NAME AND ADDRESS OF THE SPONSOR</w:t>
      </w:r>
    </w:p>
    <w:p w:rsidR="00932086" w:rsidRPr="00A616C3" w:rsidRDefault="00932919" w:rsidP="00657070">
      <w:pPr>
        <w:spacing w:after="0"/>
      </w:pPr>
      <w:r w:rsidRPr="00A616C3">
        <w:t>Roche Products Pty Limited</w:t>
      </w:r>
    </w:p>
    <w:p w:rsidR="00932086" w:rsidRPr="00A616C3" w:rsidRDefault="00932086" w:rsidP="00657070">
      <w:pPr>
        <w:spacing w:after="0"/>
      </w:pPr>
      <w:r w:rsidRPr="00A616C3">
        <w:t>ABN 70 000 132 865</w:t>
      </w:r>
    </w:p>
    <w:p w:rsidR="00932086" w:rsidRPr="00A616C3" w:rsidRDefault="00932086" w:rsidP="00657070">
      <w:pPr>
        <w:spacing w:after="0"/>
      </w:pPr>
      <w:r w:rsidRPr="00A616C3">
        <w:t>4</w:t>
      </w:r>
      <w:r w:rsidRPr="00A616C3">
        <w:sym w:font="Symbol" w:char="F02D"/>
      </w:r>
      <w:r w:rsidRPr="00A616C3">
        <w:t>10 Inman Road</w:t>
      </w:r>
    </w:p>
    <w:p w:rsidR="00AF59B7" w:rsidRPr="00A616C3" w:rsidRDefault="00932086" w:rsidP="00657070">
      <w:pPr>
        <w:spacing w:after="0"/>
      </w:pPr>
      <w:r w:rsidRPr="00A616C3">
        <w:t>Dee Why N</w:t>
      </w:r>
      <w:r w:rsidRPr="00A616C3">
        <w:rPr>
          <w:caps/>
        </w:rPr>
        <w:t>sw</w:t>
      </w:r>
      <w:r w:rsidRPr="00A616C3">
        <w:t xml:space="preserve"> 2099</w:t>
      </w:r>
    </w:p>
    <w:p w:rsidR="009E7DA0" w:rsidRPr="00A616C3" w:rsidRDefault="009E7DA0" w:rsidP="00657070">
      <w:pPr>
        <w:spacing w:after="0"/>
      </w:pPr>
    </w:p>
    <w:p w:rsidR="00932919" w:rsidRPr="00A616C3" w:rsidRDefault="009E7DA0" w:rsidP="00657070">
      <w:pPr>
        <w:spacing w:after="0"/>
        <w:rPr>
          <w:b/>
        </w:rPr>
      </w:pPr>
      <w:r w:rsidRPr="00A616C3">
        <w:t>Medical e</w:t>
      </w:r>
      <w:r w:rsidR="00932919" w:rsidRPr="00A616C3">
        <w:t>nquiries: 1800 233 950</w:t>
      </w:r>
    </w:p>
    <w:p w:rsidR="00EF2CFD" w:rsidRPr="00A616C3" w:rsidRDefault="00622AF3" w:rsidP="00EF2CFD">
      <w:pPr>
        <w:pStyle w:val="Heading2"/>
      </w:pPr>
      <w:r w:rsidRPr="00A616C3">
        <w:rPr>
          <w:caps w:val="0"/>
        </w:rPr>
        <w:lastRenderedPageBreak/>
        <w:t>POISON SCHEDULE OF THE MEDICINE</w:t>
      </w:r>
    </w:p>
    <w:p w:rsidR="001B2EC5" w:rsidRPr="00A616C3" w:rsidRDefault="00EF2CFD" w:rsidP="00EF2CFD">
      <w:pPr>
        <w:spacing w:after="0"/>
      </w:pPr>
      <w:r w:rsidRPr="00A616C3">
        <w:t>Schedule 4 – Prescription Only Medicine</w:t>
      </w:r>
    </w:p>
    <w:p w:rsidR="001B2EC5" w:rsidRPr="00A616C3" w:rsidRDefault="00622AF3" w:rsidP="001B3169">
      <w:pPr>
        <w:pStyle w:val="Heading2"/>
        <w:rPr>
          <w:lang w:val="en"/>
        </w:rPr>
      </w:pPr>
      <w:r w:rsidRPr="00A616C3">
        <w:rPr>
          <w:caps w:val="0"/>
          <w:lang w:val="en"/>
        </w:rPr>
        <w:t>DATE OF FIRST INCLUSION IN THE AUSTRALIAN REGISTER OF THERAPEUTIC GOODS (THE ARTG)</w:t>
      </w:r>
    </w:p>
    <w:p w:rsidR="00DE346E" w:rsidRPr="00A616C3" w:rsidRDefault="0047425F" w:rsidP="00333646">
      <w:pPr>
        <w:rPr>
          <w:lang w:val="en"/>
        </w:rPr>
      </w:pPr>
      <w:r w:rsidRPr="00A616C3">
        <w:rPr>
          <w:lang w:val="en"/>
        </w:rPr>
        <w:t>14 September 2000</w:t>
      </w:r>
    </w:p>
    <w:p w:rsidR="00DE346E" w:rsidRPr="00A616C3" w:rsidRDefault="00622AF3" w:rsidP="004656BD">
      <w:pPr>
        <w:pStyle w:val="Heading2"/>
        <w:rPr>
          <w:lang w:val="en"/>
        </w:rPr>
      </w:pPr>
      <w:r w:rsidRPr="00A616C3">
        <w:rPr>
          <w:caps w:val="0"/>
          <w:lang w:val="en"/>
        </w:rPr>
        <w:t>DATE OF MOST RECENT AMENDMENT</w:t>
      </w:r>
    </w:p>
    <w:p w:rsidR="003717A8" w:rsidRPr="00E810F7" w:rsidRDefault="00281541" w:rsidP="007B14B1">
      <w:pPr>
        <w:spacing w:before="120"/>
      </w:pPr>
      <w:r>
        <w:rPr>
          <w:lang w:val="en"/>
        </w:rPr>
        <w:t>13 March 2015</w:t>
      </w:r>
    </w:p>
    <w:sectPr w:rsidR="003717A8" w:rsidRPr="00E810F7" w:rsidSect="00DB43F0">
      <w:pgSz w:w="11907" w:h="16840" w:code="9"/>
      <w:pgMar w:top="1418" w:right="1418" w:bottom="1418" w:left="1418" w:header="567" w:footer="567"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CAF" w:rsidRDefault="00291CAF">
      <w:r>
        <w:separator/>
      </w:r>
    </w:p>
  </w:endnote>
  <w:endnote w:type="continuationSeparator" w:id="0">
    <w:p w:rsidR="00291CAF" w:rsidRDefault="00291CAF">
      <w:r>
        <w:continuationSeparator/>
      </w:r>
    </w:p>
  </w:endnote>
  <w:endnote w:type="continuationNotice" w:id="1">
    <w:p w:rsidR="00291CAF" w:rsidRDefault="00291C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Roche">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41" w:rsidRDefault="002815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37</w:t>
    </w:r>
    <w:r>
      <w:rPr>
        <w:rStyle w:val="PageNumber"/>
      </w:rPr>
      <w:fldChar w:fldCharType="end"/>
    </w:r>
  </w:p>
  <w:p w:rsidR="00281541" w:rsidRDefault="00281541">
    <w:pPr>
      <w:pStyle w:val="Footer"/>
      <w:ind w:right="360"/>
    </w:pPr>
  </w:p>
  <w:p w:rsidR="00281541" w:rsidRDefault="002815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41" w:rsidRPr="00E511CE" w:rsidRDefault="00281541" w:rsidP="00981F4D">
    <w:pPr>
      <w:pStyle w:val="Footer"/>
      <w:pBdr>
        <w:top w:val="single" w:sz="4" w:space="0" w:color="auto"/>
      </w:pBdr>
      <w:tabs>
        <w:tab w:val="clear" w:pos="8640"/>
        <w:tab w:val="left" w:pos="1701"/>
        <w:tab w:val="left" w:pos="6237"/>
        <w:tab w:val="right" w:pos="9072"/>
      </w:tabs>
      <w:rPr>
        <w:color w:val="000000"/>
        <w:szCs w:val="16"/>
      </w:rPr>
    </w:pPr>
    <w:r w:rsidRPr="00E511CE">
      <w:rPr>
        <w:color w:val="000000"/>
        <w:szCs w:val="16"/>
      </w:rPr>
      <w:t>Herceptin</w:t>
    </w:r>
    <w:r>
      <w:rPr>
        <w:color w:val="000000"/>
        <w:szCs w:val="16"/>
      </w:rPr>
      <w:t xml:space="preserve"> SC 150310</w:t>
    </w:r>
    <w:r>
      <w:rPr>
        <w:color w:val="000000"/>
        <w:szCs w:val="16"/>
      </w:rPr>
      <w:tab/>
    </w:r>
    <w:r w:rsidRPr="00E511CE">
      <w:rPr>
        <w:color w:val="000000"/>
        <w:szCs w:val="16"/>
      </w:rPr>
      <w:tab/>
    </w:r>
    <w:r w:rsidRPr="00E511CE">
      <w:rPr>
        <w:color w:val="000000"/>
        <w:szCs w:val="16"/>
      </w:rPr>
      <w:tab/>
    </w:r>
    <w:r>
      <w:rPr>
        <w:color w:val="000000"/>
        <w:szCs w:val="16"/>
      </w:rPr>
      <w:tab/>
    </w:r>
    <w:r w:rsidRPr="007A7E1F">
      <w:rPr>
        <w:rStyle w:val="PageNumber"/>
        <w:color w:val="000000"/>
        <w:szCs w:val="16"/>
      </w:rPr>
      <w:fldChar w:fldCharType="begin"/>
    </w:r>
    <w:r w:rsidRPr="00F55196">
      <w:rPr>
        <w:rStyle w:val="PageNumber"/>
        <w:color w:val="000000"/>
        <w:szCs w:val="16"/>
        <w:lang w:val="en-US"/>
      </w:rPr>
      <w:instrText xml:space="preserve"> PAGE </w:instrText>
    </w:r>
    <w:r w:rsidRPr="007A7E1F">
      <w:rPr>
        <w:rStyle w:val="PageNumber"/>
        <w:color w:val="000000"/>
        <w:szCs w:val="16"/>
      </w:rPr>
      <w:fldChar w:fldCharType="separate"/>
    </w:r>
    <w:r w:rsidR="00680788">
      <w:rPr>
        <w:rStyle w:val="PageNumber"/>
        <w:color w:val="000000"/>
        <w:szCs w:val="16"/>
        <w:lang w:val="en-US"/>
      </w:rPr>
      <w:t>2</w:t>
    </w:r>
    <w:r w:rsidRPr="007A7E1F">
      <w:rPr>
        <w:rStyle w:val="PageNumber"/>
        <w:color w:val="000000"/>
        <w:szCs w:val="16"/>
      </w:rPr>
      <w:fldChar w:fldCharType="end"/>
    </w:r>
    <w:r w:rsidRPr="00E511CE">
      <w:rPr>
        <w:rStyle w:val="PageNumber"/>
        <w:color w:val="000000"/>
        <w:szCs w:val="16"/>
      </w:rPr>
      <w:t xml:space="preserve"> </w:t>
    </w:r>
  </w:p>
  <w:p w:rsidR="00281541" w:rsidRPr="00E511CE" w:rsidRDefault="00281541" w:rsidP="001276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41" w:rsidRDefault="00281541" w:rsidP="00650BCA">
    <w:pPr>
      <w:pStyle w:val="Footer"/>
      <w:tabs>
        <w:tab w:val="clear" w:pos="8640"/>
        <w:tab w:val="right" w:pos="9356"/>
      </w:tabs>
      <w:ind w:right="360"/>
      <w:rPr>
        <w:szCs w:val="16"/>
      </w:rPr>
    </w:pPr>
    <w:r w:rsidRPr="00015E05">
      <w:rPr>
        <w:szCs w:val="16"/>
      </w:rPr>
      <w:t>HERCEPTIN</w:t>
    </w:r>
    <w:r w:rsidRPr="00015E05">
      <w:rPr>
        <w:szCs w:val="16"/>
        <w:vertAlign w:val="superscript"/>
      </w:rPr>
      <w:t xml:space="preserve">® </w:t>
    </w:r>
    <w:r w:rsidRPr="00015E05">
      <w:rPr>
        <w:caps/>
        <w:szCs w:val="16"/>
      </w:rPr>
      <w:t>Product Information</w:t>
    </w:r>
  </w:p>
  <w:p w:rsidR="00281541" w:rsidRDefault="00281541" w:rsidP="00650BCA">
    <w:pPr>
      <w:pStyle w:val="Footer"/>
      <w:tabs>
        <w:tab w:val="clear" w:pos="8640"/>
        <w:tab w:val="right" w:pos="9356"/>
      </w:tabs>
      <w:ind w:right="360"/>
      <w:rPr>
        <w:rStyle w:val="PageNumber"/>
      </w:rPr>
    </w:pPr>
    <w:r>
      <w:rPr>
        <w:sz w:val="20"/>
      </w:rPr>
      <w:tab/>
    </w: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37</w:t>
    </w:r>
    <w:r>
      <w:rPr>
        <w:rStyle w:val="PageNumber"/>
      </w:rPr>
      <w:fldChar w:fldCharType="end"/>
    </w:r>
    <w:r>
      <w:rPr>
        <w:rStyle w:val="PageNumber"/>
      </w:rPr>
      <w:t>)</w:t>
    </w:r>
  </w:p>
  <w:p w:rsidR="00281541" w:rsidRDefault="00281541" w:rsidP="00650BCA">
    <w:pPr>
      <w:pStyle w:val="Footer"/>
      <w:tabs>
        <w:tab w:val="clear" w:pos="8640"/>
        <w:tab w:val="right" w:pos="9356"/>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CAF" w:rsidRDefault="00291CAF">
      <w:r>
        <w:separator/>
      </w:r>
    </w:p>
  </w:footnote>
  <w:footnote w:type="continuationSeparator" w:id="0">
    <w:p w:rsidR="00291CAF" w:rsidRDefault="00291CAF">
      <w:r>
        <w:continuationSeparator/>
      </w:r>
    </w:p>
  </w:footnote>
  <w:footnote w:type="continuationNotice" w:id="1">
    <w:p w:rsidR="00291CAF" w:rsidRDefault="00291CA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firstRow="1" w:lastRow="0" w:firstColumn="1" w:lastColumn="0" w:noHBand="0" w:noVBand="1"/>
    </w:tblPr>
    <w:tblGrid>
      <w:gridCol w:w="8720"/>
    </w:tblGrid>
    <w:tr w:rsidR="006F40AF" w:rsidRPr="001F62AB" w:rsidTr="00C71BB8">
      <w:tc>
        <w:tcPr>
          <w:tcW w:w="8720" w:type="dxa"/>
          <w:shd w:val="clear" w:color="auto" w:fill="E4F2E0"/>
        </w:tcPr>
        <w:p w:rsidR="006F40AF" w:rsidRPr="00D1600A" w:rsidRDefault="00680788" w:rsidP="007E7C54">
          <w:pPr>
            <w:spacing w:before="40" w:after="40"/>
            <w:rPr>
              <w:rFonts w:ascii="Cambria" w:hAnsi="Cambria"/>
              <w:b/>
              <w:sz w:val="20"/>
              <w:szCs w:val="20"/>
            </w:rPr>
          </w:pPr>
          <w:r>
            <w:rPr>
              <w:noProof/>
              <w:sz w:val="52"/>
              <w:lang w:eastAsia="en-AU"/>
            </w:rPr>
            <w:drawing>
              <wp:anchor distT="0" distB="0" distL="114300" distR="114300" simplePos="0" relativeHeight="251658240" behindDoc="0" locked="0" layoutInCell="1" allowOverlap="1" wp14:anchorId="3433B053" wp14:editId="3E00283C">
                <wp:simplePos x="0" y="0"/>
                <wp:positionH relativeFrom="column">
                  <wp:posOffset>5638165</wp:posOffset>
                </wp:positionH>
                <wp:positionV relativeFrom="paragraph">
                  <wp:posOffset>186055</wp:posOffset>
                </wp:positionV>
                <wp:extent cx="552450" cy="285750"/>
                <wp:effectExtent l="0" t="0" r="0" b="0"/>
                <wp:wrapNone/>
                <wp:docPr id="5" name="Picture 5" descr="roch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h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40AF" w:rsidRPr="00D1600A">
            <w:rPr>
              <w:rFonts w:ascii="Cambria" w:hAnsi="Cambria"/>
              <w:b/>
              <w:sz w:val="20"/>
              <w:szCs w:val="20"/>
            </w:rPr>
            <w:t xml:space="preserve">Attachment 1: Product </w:t>
          </w:r>
          <w:r w:rsidR="007E7C54">
            <w:rPr>
              <w:rFonts w:ascii="Cambria" w:hAnsi="Cambria"/>
              <w:b/>
              <w:sz w:val="20"/>
              <w:szCs w:val="20"/>
            </w:rPr>
            <w:t xml:space="preserve">information for </w:t>
          </w:r>
          <w:proofErr w:type="spellStart"/>
          <w:r w:rsidR="007E7C54">
            <w:rPr>
              <w:rFonts w:ascii="Cambria" w:hAnsi="Cambria"/>
              <w:b/>
              <w:sz w:val="20"/>
              <w:szCs w:val="20"/>
            </w:rPr>
            <w:t>AusPAR</w:t>
          </w:r>
          <w:proofErr w:type="spellEnd"/>
          <w:r w:rsidR="007E7C54">
            <w:rPr>
              <w:rFonts w:ascii="Cambria" w:hAnsi="Cambria"/>
              <w:b/>
              <w:sz w:val="20"/>
              <w:szCs w:val="20"/>
            </w:rPr>
            <w:t xml:space="preserve"> Herceptin</w:t>
          </w:r>
          <w:r w:rsidR="006F40AF" w:rsidRPr="00D1600A">
            <w:rPr>
              <w:rFonts w:ascii="Cambria" w:hAnsi="Cambria"/>
              <w:b/>
              <w:sz w:val="20"/>
              <w:szCs w:val="20"/>
            </w:rPr>
            <w:t xml:space="preserve"> </w:t>
          </w:r>
          <w:r w:rsidR="007E7C54">
            <w:rPr>
              <w:rFonts w:ascii="Cambria" w:hAnsi="Cambria"/>
              <w:b/>
              <w:sz w:val="20"/>
              <w:szCs w:val="20"/>
            </w:rPr>
            <w:t>Roche Products</w:t>
          </w:r>
          <w:r w:rsidR="006F40AF" w:rsidRPr="00D1600A">
            <w:rPr>
              <w:rFonts w:ascii="Cambria" w:hAnsi="Cambria"/>
              <w:b/>
              <w:sz w:val="20"/>
              <w:szCs w:val="20"/>
            </w:rPr>
            <w:t xml:space="preserve"> Pty Ltd </w:t>
          </w:r>
          <w:r w:rsidR="007E7C54" w:rsidRPr="007E7C54">
            <w:rPr>
              <w:b/>
            </w:rPr>
            <w:t xml:space="preserve">PM-2013-04600-1-4 </w:t>
          </w:r>
          <w:r w:rsidR="006F40AF" w:rsidRPr="00D1600A">
            <w:rPr>
              <w:rFonts w:ascii="Cambria" w:hAnsi="Cambria"/>
              <w:b/>
              <w:sz w:val="20"/>
              <w:szCs w:val="20"/>
            </w:rPr>
            <w:t xml:space="preserve">Final </w:t>
          </w:r>
          <w:r w:rsidR="007E7C54">
            <w:rPr>
              <w:rFonts w:ascii="Cambria" w:hAnsi="Cambria"/>
              <w:b/>
              <w:sz w:val="20"/>
              <w:szCs w:val="20"/>
            </w:rPr>
            <w:t>03 August</w:t>
          </w:r>
          <w:r w:rsidR="006F40AF" w:rsidRPr="00D1600A">
            <w:rPr>
              <w:rFonts w:ascii="Cambria" w:hAnsi="Cambria"/>
              <w:b/>
              <w:sz w:val="20"/>
              <w:szCs w:val="20"/>
            </w:rPr>
            <w:t xml:space="preserve"> 2015. This Product Information was approved at the time this </w:t>
          </w:r>
          <w:proofErr w:type="spellStart"/>
          <w:r w:rsidR="006F40AF" w:rsidRPr="00D1600A">
            <w:rPr>
              <w:rFonts w:ascii="Cambria" w:hAnsi="Cambria"/>
              <w:b/>
              <w:sz w:val="20"/>
              <w:szCs w:val="20"/>
            </w:rPr>
            <w:t>AusPAR</w:t>
          </w:r>
          <w:proofErr w:type="spellEnd"/>
          <w:r w:rsidR="006F40AF" w:rsidRPr="00D1600A">
            <w:rPr>
              <w:rFonts w:ascii="Cambria" w:hAnsi="Cambria"/>
              <w:b/>
              <w:sz w:val="20"/>
              <w:szCs w:val="20"/>
            </w:rPr>
            <w:t xml:space="preserve"> was published.</w:t>
          </w:r>
        </w:p>
      </w:tc>
    </w:tr>
  </w:tbl>
  <w:p w:rsidR="00281541" w:rsidRDefault="00281541" w:rsidP="00F14D58">
    <w:pPr>
      <w:pStyle w:val="Header"/>
    </w:pPr>
  </w:p>
  <w:p w:rsidR="00680788" w:rsidRPr="00127692" w:rsidRDefault="00680788" w:rsidP="00F14D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41" w:rsidRPr="00A445E2" w:rsidRDefault="00281541" w:rsidP="00F05810">
    <w:pPr>
      <w:tabs>
        <w:tab w:val="right" w:pos="9413"/>
      </w:tabs>
      <w:rPr>
        <w:rFonts w:ascii="Roche" w:hAnsi="Roche"/>
        <w:sz w:val="48"/>
        <w:szCs w:val="48"/>
      </w:rPr>
    </w:pPr>
    <w:r>
      <w:rPr>
        <w:rFonts w:ascii="Roche" w:hAnsi="Roche"/>
        <w:sz w:val="48"/>
        <w:szCs w:val="48"/>
      </w:rPr>
      <w:tab/>
    </w:r>
    <w:r w:rsidRPr="005019EC">
      <w:rPr>
        <w:rFonts w:ascii="Roche" w:hAnsi="Roche"/>
        <w:sz w:val="48"/>
        <w:szCs w:val="4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3EC70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C27264"/>
    <w:multiLevelType w:val="hybridMultilevel"/>
    <w:tmpl w:val="78B8B5A0"/>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7002BA"/>
    <w:multiLevelType w:val="hybridMultilevel"/>
    <w:tmpl w:val="8B9EA126"/>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
    <w:nsid w:val="27CF7861"/>
    <w:multiLevelType w:val="hybridMultilevel"/>
    <w:tmpl w:val="EA4A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C754503"/>
    <w:multiLevelType w:val="hybridMultilevel"/>
    <w:tmpl w:val="AE6CE9AA"/>
    <w:lvl w:ilvl="0" w:tplc="04090001">
      <w:start w:val="1"/>
      <w:numFmt w:val="bullet"/>
      <w:lvlText w:val=""/>
      <w:lvlJc w:val="left"/>
      <w:pPr>
        <w:tabs>
          <w:tab w:val="num" w:pos="732"/>
        </w:tabs>
        <w:ind w:left="7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E192EC3"/>
    <w:multiLevelType w:val="hybridMultilevel"/>
    <w:tmpl w:val="662294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300F5A11"/>
    <w:multiLevelType w:val="hybridMultilevel"/>
    <w:tmpl w:val="B938236C"/>
    <w:lvl w:ilvl="0" w:tplc="94F8758E">
      <w:start w:val="1"/>
      <w:numFmt w:val="bullet"/>
      <w:lvlText w:val=""/>
      <w:lvlJc w:val="left"/>
      <w:pPr>
        <w:tabs>
          <w:tab w:val="num" w:pos="113"/>
        </w:tabs>
        <w:ind w:left="17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1D34162"/>
    <w:multiLevelType w:val="hybridMultilevel"/>
    <w:tmpl w:val="1276A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967AE3"/>
    <w:multiLevelType w:val="hybridMultilevel"/>
    <w:tmpl w:val="25C69C7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D6771AF"/>
    <w:multiLevelType w:val="hybridMultilevel"/>
    <w:tmpl w:val="E7123D40"/>
    <w:lvl w:ilvl="0" w:tplc="6FE28FB2">
      <w:start w:val="1"/>
      <w:numFmt w:val="lowerLetter"/>
      <w:lvlText w:val="%1)"/>
      <w:lvlJc w:val="left"/>
      <w:pPr>
        <w:tabs>
          <w:tab w:val="num" w:pos="360"/>
        </w:tabs>
        <w:ind w:left="360" w:hanging="360"/>
      </w:pPr>
    </w:lvl>
    <w:lvl w:ilvl="1" w:tplc="0CC8BDE2" w:tentative="1">
      <w:start w:val="1"/>
      <w:numFmt w:val="lowerLetter"/>
      <w:lvlText w:val="%2."/>
      <w:lvlJc w:val="left"/>
      <w:pPr>
        <w:tabs>
          <w:tab w:val="num" w:pos="1080"/>
        </w:tabs>
        <w:ind w:left="1080" w:hanging="360"/>
      </w:pPr>
    </w:lvl>
    <w:lvl w:ilvl="2" w:tplc="1D628E38" w:tentative="1">
      <w:start w:val="1"/>
      <w:numFmt w:val="lowerRoman"/>
      <w:lvlText w:val="%3."/>
      <w:lvlJc w:val="right"/>
      <w:pPr>
        <w:tabs>
          <w:tab w:val="num" w:pos="1800"/>
        </w:tabs>
        <w:ind w:left="1800" w:hanging="180"/>
      </w:pPr>
    </w:lvl>
    <w:lvl w:ilvl="3" w:tplc="8AA07BF6" w:tentative="1">
      <w:start w:val="1"/>
      <w:numFmt w:val="decimal"/>
      <w:lvlText w:val="%4."/>
      <w:lvlJc w:val="left"/>
      <w:pPr>
        <w:tabs>
          <w:tab w:val="num" w:pos="2520"/>
        </w:tabs>
        <w:ind w:left="2520" w:hanging="360"/>
      </w:pPr>
    </w:lvl>
    <w:lvl w:ilvl="4" w:tplc="23222F5E" w:tentative="1">
      <w:start w:val="1"/>
      <w:numFmt w:val="lowerLetter"/>
      <w:lvlText w:val="%5."/>
      <w:lvlJc w:val="left"/>
      <w:pPr>
        <w:tabs>
          <w:tab w:val="num" w:pos="3240"/>
        </w:tabs>
        <w:ind w:left="3240" w:hanging="360"/>
      </w:pPr>
    </w:lvl>
    <w:lvl w:ilvl="5" w:tplc="803AB644" w:tentative="1">
      <w:start w:val="1"/>
      <w:numFmt w:val="lowerRoman"/>
      <w:lvlText w:val="%6."/>
      <w:lvlJc w:val="right"/>
      <w:pPr>
        <w:tabs>
          <w:tab w:val="num" w:pos="3960"/>
        </w:tabs>
        <w:ind w:left="3960" w:hanging="180"/>
      </w:pPr>
    </w:lvl>
    <w:lvl w:ilvl="6" w:tplc="03F2C2F6" w:tentative="1">
      <w:start w:val="1"/>
      <w:numFmt w:val="decimal"/>
      <w:lvlText w:val="%7."/>
      <w:lvlJc w:val="left"/>
      <w:pPr>
        <w:tabs>
          <w:tab w:val="num" w:pos="4680"/>
        </w:tabs>
        <w:ind w:left="4680" w:hanging="360"/>
      </w:pPr>
    </w:lvl>
    <w:lvl w:ilvl="7" w:tplc="0B668720" w:tentative="1">
      <w:start w:val="1"/>
      <w:numFmt w:val="lowerLetter"/>
      <w:lvlText w:val="%8."/>
      <w:lvlJc w:val="left"/>
      <w:pPr>
        <w:tabs>
          <w:tab w:val="num" w:pos="5400"/>
        </w:tabs>
        <w:ind w:left="5400" w:hanging="360"/>
      </w:pPr>
    </w:lvl>
    <w:lvl w:ilvl="8" w:tplc="5442C91E" w:tentative="1">
      <w:start w:val="1"/>
      <w:numFmt w:val="lowerRoman"/>
      <w:lvlText w:val="%9."/>
      <w:lvlJc w:val="right"/>
      <w:pPr>
        <w:tabs>
          <w:tab w:val="num" w:pos="6120"/>
        </w:tabs>
        <w:ind w:left="6120" w:hanging="180"/>
      </w:pPr>
    </w:lvl>
  </w:abstractNum>
  <w:abstractNum w:abstractNumId="10">
    <w:nsid w:val="640844E4"/>
    <w:multiLevelType w:val="hybridMultilevel"/>
    <w:tmpl w:val="A120F028"/>
    <w:lvl w:ilvl="0" w:tplc="B254E1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CDE5E9E"/>
    <w:multiLevelType w:val="hybridMultilevel"/>
    <w:tmpl w:val="3C505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BA4DB7"/>
    <w:multiLevelType w:val="hybridMultilevel"/>
    <w:tmpl w:val="6B4E197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70083895"/>
    <w:multiLevelType w:val="hybridMultilevel"/>
    <w:tmpl w:val="C22CAE8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491641"/>
    <w:multiLevelType w:val="hybridMultilevel"/>
    <w:tmpl w:val="BDF03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E863DCD"/>
    <w:multiLevelType w:val="hybridMultilevel"/>
    <w:tmpl w:val="323EFE0E"/>
    <w:lvl w:ilvl="0" w:tplc="D1A645CE">
      <w:start w:val="1"/>
      <w:numFmt w:val="bullet"/>
      <w:lvlText w:val=""/>
      <w:lvlJc w:val="left"/>
      <w:pPr>
        <w:tabs>
          <w:tab w:val="num" w:pos="720"/>
        </w:tabs>
        <w:ind w:left="720" w:hanging="360"/>
      </w:pPr>
      <w:rPr>
        <w:rFonts w:ascii="Symbol" w:hAnsi="Symbol" w:hint="default"/>
      </w:rPr>
    </w:lvl>
    <w:lvl w:ilvl="1" w:tplc="3F96BDE8" w:tentative="1">
      <w:start w:val="1"/>
      <w:numFmt w:val="bullet"/>
      <w:lvlText w:val="o"/>
      <w:lvlJc w:val="left"/>
      <w:pPr>
        <w:tabs>
          <w:tab w:val="num" w:pos="1440"/>
        </w:tabs>
        <w:ind w:left="1440" w:hanging="360"/>
      </w:pPr>
      <w:rPr>
        <w:rFonts w:ascii="Courier New" w:hAnsi="Courier New" w:hint="default"/>
      </w:rPr>
    </w:lvl>
    <w:lvl w:ilvl="2" w:tplc="1D9E8912" w:tentative="1">
      <w:start w:val="1"/>
      <w:numFmt w:val="bullet"/>
      <w:lvlText w:val=""/>
      <w:lvlJc w:val="left"/>
      <w:pPr>
        <w:tabs>
          <w:tab w:val="num" w:pos="2160"/>
        </w:tabs>
        <w:ind w:left="2160" w:hanging="360"/>
      </w:pPr>
      <w:rPr>
        <w:rFonts w:ascii="Wingdings" w:hAnsi="Wingdings" w:hint="default"/>
      </w:rPr>
    </w:lvl>
    <w:lvl w:ilvl="3" w:tplc="079431FA" w:tentative="1">
      <w:start w:val="1"/>
      <w:numFmt w:val="bullet"/>
      <w:lvlText w:val=""/>
      <w:lvlJc w:val="left"/>
      <w:pPr>
        <w:tabs>
          <w:tab w:val="num" w:pos="2880"/>
        </w:tabs>
        <w:ind w:left="2880" w:hanging="360"/>
      </w:pPr>
      <w:rPr>
        <w:rFonts w:ascii="Symbol" w:hAnsi="Symbol" w:hint="default"/>
      </w:rPr>
    </w:lvl>
    <w:lvl w:ilvl="4" w:tplc="927AC2C6" w:tentative="1">
      <w:start w:val="1"/>
      <w:numFmt w:val="bullet"/>
      <w:lvlText w:val="o"/>
      <w:lvlJc w:val="left"/>
      <w:pPr>
        <w:tabs>
          <w:tab w:val="num" w:pos="3600"/>
        </w:tabs>
        <w:ind w:left="3600" w:hanging="360"/>
      </w:pPr>
      <w:rPr>
        <w:rFonts w:ascii="Courier New" w:hAnsi="Courier New" w:hint="default"/>
      </w:rPr>
    </w:lvl>
    <w:lvl w:ilvl="5" w:tplc="B218C30E" w:tentative="1">
      <w:start w:val="1"/>
      <w:numFmt w:val="bullet"/>
      <w:lvlText w:val=""/>
      <w:lvlJc w:val="left"/>
      <w:pPr>
        <w:tabs>
          <w:tab w:val="num" w:pos="4320"/>
        </w:tabs>
        <w:ind w:left="4320" w:hanging="360"/>
      </w:pPr>
      <w:rPr>
        <w:rFonts w:ascii="Wingdings" w:hAnsi="Wingdings" w:hint="default"/>
      </w:rPr>
    </w:lvl>
    <w:lvl w:ilvl="6" w:tplc="ACB4DF9A" w:tentative="1">
      <w:start w:val="1"/>
      <w:numFmt w:val="bullet"/>
      <w:lvlText w:val=""/>
      <w:lvlJc w:val="left"/>
      <w:pPr>
        <w:tabs>
          <w:tab w:val="num" w:pos="5040"/>
        </w:tabs>
        <w:ind w:left="5040" w:hanging="360"/>
      </w:pPr>
      <w:rPr>
        <w:rFonts w:ascii="Symbol" w:hAnsi="Symbol" w:hint="default"/>
      </w:rPr>
    </w:lvl>
    <w:lvl w:ilvl="7" w:tplc="B6C65416" w:tentative="1">
      <w:start w:val="1"/>
      <w:numFmt w:val="bullet"/>
      <w:lvlText w:val="o"/>
      <w:lvlJc w:val="left"/>
      <w:pPr>
        <w:tabs>
          <w:tab w:val="num" w:pos="5760"/>
        </w:tabs>
        <w:ind w:left="5760" w:hanging="360"/>
      </w:pPr>
      <w:rPr>
        <w:rFonts w:ascii="Courier New" w:hAnsi="Courier New" w:hint="default"/>
      </w:rPr>
    </w:lvl>
    <w:lvl w:ilvl="8" w:tplc="3BFA3BEC" w:tentative="1">
      <w:start w:val="1"/>
      <w:numFmt w:val="bullet"/>
      <w:lvlText w:val=""/>
      <w:lvlJc w:val="left"/>
      <w:pPr>
        <w:tabs>
          <w:tab w:val="num" w:pos="6480"/>
        </w:tabs>
        <w:ind w:left="6480" w:hanging="360"/>
      </w:pPr>
      <w:rPr>
        <w:rFonts w:ascii="Wingdings" w:hAnsi="Wingdings" w:hint="default"/>
      </w:rPr>
    </w:lvl>
  </w:abstractNum>
  <w:abstractNum w:abstractNumId="16">
    <w:nsid w:val="7FC62C2C"/>
    <w:multiLevelType w:val="singleLevel"/>
    <w:tmpl w:val="28186570"/>
    <w:lvl w:ilvl="0">
      <w:start w:val="1"/>
      <w:numFmt w:val="decimal"/>
      <w:pStyle w:val="Tablelegend"/>
      <w:lvlText w:val="(%1)"/>
      <w:lvlJc w:val="left"/>
      <w:pPr>
        <w:tabs>
          <w:tab w:val="num" w:pos="1230"/>
        </w:tabs>
        <w:ind w:left="1230" w:hanging="360"/>
      </w:pPr>
      <w:rPr>
        <w:rFonts w:hint="default"/>
      </w:rPr>
    </w:lvl>
  </w:abstractNum>
  <w:num w:numId="1">
    <w:abstractNumId w:val="16"/>
  </w:num>
  <w:num w:numId="2">
    <w:abstractNumId w:val="9"/>
  </w:num>
  <w:num w:numId="3">
    <w:abstractNumId w:val="6"/>
  </w:num>
  <w:num w:numId="4">
    <w:abstractNumId w:val="15"/>
  </w:num>
  <w:num w:numId="5">
    <w:abstractNumId w:val="2"/>
  </w:num>
  <w:num w:numId="6">
    <w:abstractNumId w:val="4"/>
  </w:num>
  <w:num w:numId="7">
    <w:abstractNumId w:val="12"/>
  </w:num>
  <w:num w:numId="8">
    <w:abstractNumId w:val="10"/>
  </w:num>
  <w:num w:numId="9">
    <w:abstractNumId w:val="7"/>
  </w:num>
  <w:num w:numId="10">
    <w:abstractNumId w:val="11"/>
  </w:num>
  <w:num w:numId="11">
    <w:abstractNumId w:val="14"/>
  </w:num>
  <w:num w:numId="12">
    <w:abstractNumId w:val="13"/>
  </w:num>
  <w:num w:numId="13">
    <w:abstractNumId w:val="8"/>
  </w:num>
  <w:num w:numId="14">
    <w:abstractNumId w:val="1"/>
  </w:num>
  <w:num w:numId="15">
    <w:abstractNumId w:val="3"/>
  </w:num>
  <w:num w:numId="16">
    <w:abstractNumId w:val="0"/>
  </w:num>
  <w:num w:numId="1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NZ" w:vendorID="64" w:dllVersion="131078" w:nlCheck="1" w:checkStyle="1"/>
  <w:activeWritingStyle w:appName="MSWord" w:lang="fr-FR" w:vendorID="64" w:dllVersion="131078" w:nlCheck="1" w:checkStyle="1"/>
  <w:activeWritingStyle w:appName="MSWord" w:lang="en-AU" w:vendorID="8" w:dllVersion="513" w:checkStyle="1"/>
  <w:activeWritingStyle w:appName="MSWord" w:lang="en-GB" w:vendorID="8" w:dllVersion="513" w:checkStyle="1"/>
  <w:activeWritingStyle w:appName="MSWord" w:lang="en-US" w:vendorID="8" w:dllVersion="513" w:checkStyle="1"/>
  <w:activeWritingStyle w:appName="MSWord" w:lang="pt-BR" w:vendorID="1" w:dllVersion="513" w:checkStyle="1"/>
  <w:activeWritingStyle w:appName="MSWord" w:lang="it-IT" w:vendorID="3" w:dllVersion="517"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1EC"/>
    <w:rsid w:val="00003312"/>
    <w:rsid w:val="000043D6"/>
    <w:rsid w:val="00004A49"/>
    <w:rsid w:val="00005314"/>
    <w:rsid w:val="00005411"/>
    <w:rsid w:val="0000575D"/>
    <w:rsid w:val="00005CED"/>
    <w:rsid w:val="00007395"/>
    <w:rsid w:val="00007E5E"/>
    <w:rsid w:val="00010A61"/>
    <w:rsid w:val="00010CC8"/>
    <w:rsid w:val="00010E44"/>
    <w:rsid w:val="00011739"/>
    <w:rsid w:val="00011EEE"/>
    <w:rsid w:val="0001237A"/>
    <w:rsid w:val="00012472"/>
    <w:rsid w:val="00013399"/>
    <w:rsid w:val="000137EC"/>
    <w:rsid w:val="00013D11"/>
    <w:rsid w:val="000140AC"/>
    <w:rsid w:val="000142AE"/>
    <w:rsid w:val="00014F4D"/>
    <w:rsid w:val="000157E8"/>
    <w:rsid w:val="00015E05"/>
    <w:rsid w:val="000169F3"/>
    <w:rsid w:val="000209D0"/>
    <w:rsid w:val="000228CC"/>
    <w:rsid w:val="00025114"/>
    <w:rsid w:val="00025319"/>
    <w:rsid w:val="00027FEC"/>
    <w:rsid w:val="000300F1"/>
    <w:rsid w:val="0003153D"/>
    <w:rsid w:val="0003185F"/>
    <w:rsid w:val="00032344"/>
    <w:rsid w:val="00032465"/>
    <w:rsid w:val="000327FF"/>
    <w:rsid w:val="00032A3F"/>
    <w:rsid w:val="00032D57"/>
    <w:rsid w:val="00033943"/>
    <w:rsid w:val="00033A55"/>
    <w:rsid w:val="000369CC"/>
    <w:rsid w:val="0003702F"/>
    <w:rsid w:val="00037FA0"/>
    <w:rsid w:val="000410F4"/>
    <w:rsid w:val="00042F97"/>
    <w:rsid w:val="000437FE"/>
    <w:rsid w:val="00043C28"/>
    <w:rsid w:val="00043FD2"/>
    <w:rsid w:val="000445A3"/>
    <w:rsid w:val="00046211"/>
    <w:rsid w:val="000468C6"/>
    <w:rsid w:val="000469FF"/>
    <w:rsid w:val="00046CAD"/>
    <w:rsid w:val="00046E43"/>
    <w:rsid w:val="000470AB"/>
    <w:rsid w:val="000516C1"/>
    <w:rsid w:val="00051DCD"/>
    <w:rsid w:val="0005264C"/>
    <w:rsid w:val="00053921"/>
    <w:rsid w:val="00053EF6"/>
    <w:rsid w:val="000540AC"/>
    <w:rsid w:val="000544BC"/>
    <w:rsid w:val="00054F82"/>
    <w:rsid w:val="0005534F"/>
    <w:rsid w:val="00057C0D"/>
    <w:rsid w:val="00060588"/>
    <w:rsid w:val="000627D4"/>
    <w:rsid w:val="00062CBB"/>
    <w:rsid w:val="000630B9"/>
    <w:rsid w:val="000630C1"/>
    <w:rsid w:val="00063710"/>
    <w:rsid w:val="00064A86"/>
    <w:rsid w:val="00065541"/>
    <w:rsid w:val="00066413"/>
    <w:rsid w:val="00066494"/>
    <w:rsid w:val="00071EA2"/>
    <w:rsid w:val="000733FE"/>
    <w:rsid w:val="00073708"/>
    <w:rsid w:val="000749C0"/>
    <w:rsid w:val="00076A1C"/>
    <w:rsid w:val="00077387"/>
    <w:rsid w:val="00080121"/>
    <w:rsid w:val="0008066A"/>
    <w:rsid w:val="00080859"/>
    <w:rsid w:val="00080949"/>
    <w:rsid w:val="00081012"/>
    <w:rsid w:val="000813B7"/>
    <w:rsid w:val="00081E93"/>
    <w:rsid w:val="00082813"/>
    <w:rsid w:val="00082A08"/>
    <w:rsid w:val="00082B7C"/>
    <w:rsid w:val="00082CDE"/>
    <w:rsid w:val="00083629"/>
    <w:rsid w:val="00083F31"/>
    <w:rsid w:val="000844B1"/>
    <w:rsid w:val="0008484C"/>
    <w:rsid w:val="00084A3D"/>
    <w:rsid w:val="00085A13"/>
    <w:rsid w:val="00086CFC"/>
    <w:rsid w:val="00087041"/>
    <w:rsid w:val="00091CB7"/>
    <w:rsid w:val="00092DBE"/>
    <w:rsid w:val="00093E4C"/>
    <w:rsid w:val="00093FB3"/>
    <w:rsid w:val="000947C0"/>
    <w:rsid w:val="00094FBC"/>
    <w:rsid w:val="0009599E"/>
    <w:rsid w:val="00095ADE"/>
    <w:rsid w:val="0009662D"/>
    <w:rsid w:val="00097150"/>
    <w:rsid w:val="000A10FA"/>
    <w:rsid w:val="000A3578"/>
    <w:rsid w:val="000A62C0"/>
    <w:rsid w:val="000A71AB"/>
    <w:rsid w:val="000A7FAA"/>
    <w:rsid w:val="000B1612"/>
    <w:rsid w:val="000B2D91"/>
    <w:rsid w:val="000B4045"/>
    <w:rsid w:val="000B4552"/>
    <w:rsid w:val="000B4B7A"/>
    <w:rsid w:val="000B65C3"/>
    <w:rsid w:val="000B6961"/>
    <w:rsid w:val="000B77C0"/>
    <w:rsid w:val="000B77C3"/>
    <w:rsid w:val="000B7A46"/>
    <w:rsid w:val="000B7A8E"/>
    <w:rsid w:val="000C037F"/>
    <w:rsid w:val="000C08FF"/>
    <w:rsid w:val="000C17B3"/>
    <w:rsid w:val="000C1815"/>
    <w:rsid w:val="000C21E7"/>
    <w:rsid w:val="000C2CB3"/>
    <w:rsid w:val="000C31C3"/>
    <w:rsid w:val="000C38AE"/>
    <w:rsid w:val="000C4763"/>
    <w:rsid w:val="000C5117"/>
    <w:rsid w:val="000D1990"/>
    <w:rsid w:val="000D2130"/>
    <w:rsid w:val="000D240D"/>
    <w:rsid w:val="000D25B8"/>
    <w:rsid w:val="000D2D2E"/>
    <w:rsid w:val="000D30EB"/>
    <w:rsid w:val="000D5D23"/>
    <w:rsid w:val="000D77D0"/>
    <w:rsid w:val="000E185B"/>
    <w:rsid w:val="000E1CE4"/>
    <w:rsid w:val="000E1E66"/>
    <w:rsid w:val="000E32A0"/>
    <w:rsid w:val="000E506F"/>
    <w:rsid w:val="000E6780"/>
    <w:rsid w:val="000E6A0E"/>
    <w:rsid w:val="000E6EFB"/>
    <w:rsid w:val="000E722D"/>
    <w:rsid w:val="000E74AA"/>
    <w:rsid w:val="000E7DA8"/>
    <w:rsid w:val="000F2A80"/>
    <w:rsid w:val="000F2C3D"/>
    <w:rsid w:val="000F43D6"/>
    <w:rsid w:val="000F559B"/>
    <w:rsid w:val="000F5AA1"/>
    <w:rsid w:val="000F5C3C"/>
    <w:rsid w:val="000F5F30"/>
    <w:rsid w:val="000F6437"/>
    <w:rsid w:val="000F67A5"/>
    <w:rsid w:val="000F6DB9"/>
    <w:rsid w:val="000F7BFC"/>
    <w:rsid w:val="00101E3B"/>
    <w:rsid w:val="00102539"/>
    <w:rsid w:val="001031E4"/>
    <w:rsid w:val="00103A3F"/>
    <w:rsid w:val="00106AC3"/>
    <w:rsid w:val="001105AA"/>
    <w:rsid w:val="00110A93"/>
    <w:rsid w:val="00110F4A"/>
    <w:rsid w:val="00111B4C"/>
    <w:rsid w:val="001127DA"/>
    <w:rsid w:val="00112AB6"/>
    <w:rsid w:val="00112F4D"/>
    <w:rsid w:val="0011373E"/>
    <w:rsid w:val="00113806"/>
    <w:rsid w:val="00113BA0"/>
    <w:rsid w:val="00117B0B"/>
    <w:rsid w:val="00117B24"/>
    <w:rsid w:val="0012104F"/>
    <w:rsid w:val="00121505"/>
    <w:rsid w:val="0012199D"/>
    <w:rsid w:val="001226A3"/>
    <w:rsid w:val="0012319B"/>
    <w:rsid w:val="001244FE"/>
    <w:rsid w:val="00124A9F"/>
    <w:rsid w:val="00124FC6"/>
    <w:rsid w:val="00126455"/>
    <w:rsid w:val="00126D4C"/>
    <w:rsid w:val="00126DFB"/>
    <w:rsid w:val="00127377"/>
    <w:rsid w:val="001273F6"/>
    <w:rsid w:val="00127692"/>
    <w:rsid w:val="00127EBB"/>
    <w:rsid w:val="00130104"/>
    <w:rsid w:val="00130189"/>
    <w:rsid w:val="00130E36"/>
    <w:rsid w:val="0013134E"/>
    <w:rsid w:val="00131C2C"/>
    <w:rsid w:val="00133387"/>
    <w:rsid w:val="001347AA"/>
    <w:rsid w:val="00136078"/>
    <w:rsid w:val="00140011"/>
    <w:rsid w:val="001404F7"/>
    <w:rsid w:val="00140A7F"/>
    <w:rsid w:val="00140AA7"/>
    <w:rsid w:val="00140B2B"/>
    <w:rsid w:val="001410F3"/>
    <w:rsid w:val="00143756"/>
    <w:rsid w:val="001438EE"/>
    <w:rsid w:val="00143BAE"/>
    <w:rsid w:val="00143E55"/>
    <w:rsid w:val="00144944"/>
    <w:rsid w:val="00144A5B"/>
    <w:rsid w:val="00144D13"/>
    <w:rsid w:val="001457FF"/>
    <w:rsid w:val="00145903"/>
    <w:rsid w:val="00146734"/>
    <w:rsid w:val="00147754"/>
    <w:rsid w:val="00150170"/>
    <w:rsid w:val="00150D59"/>
    <w:rsid w:val="0015154E"/>
    <w:rsid w:val="00151DF5"/>
    <w:rsid w:val="00152398"/>
    <w:rsid w:val="00153B8E"/>
    <w:rsid w:val="00154272"/>
    <w:rsid w:val="001548C5"/>
    <w:rsid w:val="00155239"/>
    <w:rsid w:val="0015543D"/>
    <w:rsid w:val="00155CF4"/>
    <w:rsid w:val="00156023"/>
    <w:rsid w:val="0015623D"/>
    <w:rsid w:val="001569B3"/>
    <w:rsid w:val="00156E04"/>
    <w:rsid w:val="0015798B"/>
    <w:rsid w:val="0016128A"/>
    <w:rsid w:val="00161366"/>
    <w:rsid w:val="001616E8"/>
    <w:rsid w:val="001616F0"/>
    <w:rsid w:val="00161D84"/>
    <w:rsid w:val="00161EB9"/>
    <w:rsid w:val="001643EE"/>
    <w:rsid w:val="00164650"/>
    <w:rsid w:val="00164776"/>
    <w:rsid w:val="001676F2"/>
    <w:rsid w:val="00170688"/>
    <w:rsid w:val="00170C74"/>
    <w:rsid w:val="001712AF"/>
    <w:rsid w:val="00171375"/>
    <w:rsid w:val="00172DE0"/>
    <w:rsid w:val="00172F2E"/>
    <w:rsid w:val="0017306F"/>
    <w:rsid w:val="001739EE"/>
    <w:rsid w:val="00176B61"/>
    <w:rsid w:val="001801F9"/>
    <w:rsid w:val="00180A21"/>
    <w:rsid w:val="00181253"/>
    <w:rsid w:val="00181F28"/>
    <w:rsid w:val="00182424"/>
    <w:rsid w:val="00183044"/>
    <w:rsid w:val="0018327C"/>
    <w:rsid w:val="00183FA7"/>
    <w:rsid w:val="00186176"/>
    <w:rsid w:val="00186D25"/>
    <w:rsid w:val="0018757A"/>
    <w:rsid w:val="00191DEB"/>
    <w:rsid w:val="00191F29"/>
    <w:rsid w:val="00193AF9"/>
    <w:rsid w:val="00194104"/>
    <w:rsid w:val="001A02E1"/>
    <w:rsid w:val="001A0331"/>
    <w:rsid w:val="001A1139"/>
    <w:rsid w:val="001A1A7B"/>
    <w:rsid w:val="001A2B4D"/>
    <w:rsid w:val="001A3175"/>
    <w:rsid w:val="001A38BC"/>
    <w:rsid w:val="001A393A"/>
    <w:rsid w:val="001A4973"/>
    <w:rsid w:val="001A4DDD"/>
    <w:rsid w:val="001A4ED9"/>
    <w:rsid w:val="001A5057"/>
    <w:rsid w:val="001A6FD2"/>
    <w:rsid w:val="001A76E6"/>
    <w:rsid w:val="001A7E9D"/>
    <w:rsid w:val="001B03BF"/>
    <w:rsid w:val="001B080F"/>
    <w:rsid w:val="001B0FA7"/>
    <w:rsid w:val="001B1705"/>
    <w:rsid w:val="001B1E1A"/>
    <w:rsid w:val="001B2EC5"/>
    <w:rsid w:val="001B3169"/>
    <w:rsid w:val="001B37FD"/>
    <w:rsid w:val="001B408C"/>
    <w:rsid w:val="001B4268"/>
    <w:rsid w:val="001B5B14"/>
    <w:rsid w:val="001C136D"/>
    <w:rsid w:val="001C1CC4"/>
    <w:rsid w:val="001C5B4F"/>
    <w:rsid w:val="001C64B2"/>
    <w:rsid w:val="001C6A30"/>
    <w:rsid w:val="001C741A"/>
    <w:rsid w:val="001C7885"/>
    <w:rsid w:val="001C7D1F"/>
    <w:rsid w:val="001D1006"/>
    <w:rsid w:val="001D129D"/>
    <w:rsid w:val="001D2291"/>
    <w:rsid w:val="001D3CEB"/>
    <w:rsid w:val="001D485D"/>
    <w:rsid w:val="001D5622"/>
    <w:rsid w:val="001D57EA"/>
    <w:rsid w:val="001D5AE7"/>
    <w:rsid w:val="001D629F"/>
    <w:rsid w:val="001D6698"/>
    <w:rsid w:val="001D7802"/>
    <w:rsid w:val="001D7938"/>
    <w:rsid w:val="001D7B9C"/>
    <w:rsid w:val="001E00D3"/>
    <w:rsid w:val="001E078B"/>
    <w:rsid w:val="001E0A7A"/>
    <w:rsid w:val="001E1717"/>
    <w:rsid w:val="001E1AE6"/>
    <w:rsid w:val="001E247A"/>
    <w:rsid w:val="001E3479"/>
    <w:rsid w:val="001E3DD2"/>
    <w:rsid w:val="001E4482"/>
    <w:rsid w:val="001E5815"/>
    <w:rsid w:val="001E7BD2"/>
    <w:rsid w:val="001F022D"/>
    <w:rsid w:val="001F0512"/>
    <w:rsid w:val="001F0568"/>
    <w:rsid w:val="001F0892"/>
    <w:rsid w:val="001F0974"/>
    <w:rsid w:val="001F0D2A"/>
    <w:rsid w:val="001F0E78"/>
    <w:rsid w:val="001F27E7"/>
    <w:rsid w:val="001F2BDA"/>
    <w:rsid w:val="001F2D9E"/>
    <w:rsid w:val="001F2E81"/>
    <w:rsid w:val="001F333E"/>
    <w:rsid w:val="001F3F98"/>
    <w:rsid w:val="001F4E69"/>
    <w:rsid w:val="002002BD"/>
    <w:rsid w:val="00200C39"/>
    <w:rsid w:val="00202449"/>
    <w:rsid w:val="002065AB"/>
    <w:rsid w:val="00206829"/>
    <w:rsid w:val="0020722C"/>
    <w:rsid w:val="0020763B"/>
    <w:rsid w:val="0021160D"/>
    <w:rsid w:val="00212839"/>
    <w:rsid w:val="00212FF3"/>
    <w:rsid w:val="002133A9"/>
    <w:rsid w:val="00214B68"/>
    <w:rsid w:val="00214C43"/>
    <w:rsid w:val="00215DEB"/>
    <w:rsid w:val="002222C4"/>
    <w:rsid w:val="00222F0A"/>
    <w:rsid w:val="0022435F"/>
    <w:rsid w:val="00225876"/>
    <w:rsid w:val="00225924"/>
    <w:rsid w:val="002259C7"/>
    <w:rsid w:val="0022663C"/>
    <w:rsid w:val="002275A8"/>
    <w:rsid w:val="002277D1"/>
    <w:rsid w:val="00227E2B"/>
    <w:rsid w:val="0023020F"/>
    <w:rsid w:val="002318B4"/>
    <w:rsid w:val="00232A3B"/>
    <w:rsid w:val="00233842"/>
    <w:rsid w:val="00235566"/>
    <w:rsid w:val="002363FA"/>
    <w:rsid w:val="00236BC7"/>
    <w:rsid w:val="00236DB3"/>
    <w:rsid w:val="00237442"/>
    <w:rsid w:val="00237B94"/>
    <w:rsid w:val="00237EC7"/>
    <w:rsid w:val="002426DF"/>
    <w:rsid w:val="00242AA0"/>
    <w:rsid w:val="00244294"/>
    <w:rsid w:val="00245726"/>
    <w:rsid w:val="00245EAA"/>
    <w:rsid w:val="0024637D"/>
    <w:rsid w:val="00247206"/>
    <w:rsid w:val="00247D85"/>
    <w:rsid w:val="00250942"/>
    <w:rsid w:val="002546F9"/>
    <w:rsid w:val="00254B04"/>
    <w:rsid w:val="002550A4"/>
    <w:rsid w:val="002551CD"/>
    <w:rsid w:val="0025539F"/>
    <w:rsid w:val="00255A4A"/>
    <w:rsid w:val="00255BED"/>
    <w:rsid w:val="0025671F"/>
    <w:rsid w:val="00256A23"/>
    <w:rsid w:val="00260799"/>
    <w:rsid w:val="00260BD1"/>
    <w:rsid w:val="00262751"/>
    <w:rsid w:val="002641C2"/>
    <w:rsid w:val="0026534B"/>
    <w:rsid w:val="0026602F"/>
    <w:rsid w:val="002667E2"/>
    <w:rsid w:val="00266AA5"/>
    <w:rsid w:val="00267775"/>
    <w:rsid w:val="002677CA"/>
    <w:rsid w:val="00267ED2"/>
    <w:rsid w:val="0027138B"/>
    <w:rsid w:val="002720CD"/>
    <w:rsid w:val="00274CA3"/>
    <w:rsid w:val="00274D06"/>
    <w:rsid w:val="002756DB"/>
    <w:rsid w:val="00276227"/>
    <w:rsid w:val="00280274"/>
    <w:rsid w:val="00280BD8"/>
    <w:rsid w:val="00281541"/>
    <w:rsid w:val="00281B4E"/>
    <w:rsid w:val="002824EC"/>
    <w:rsid w:val="00282591"/>
    <w:rsid w:val="002827BB"/>
    <w:rsid w:val="00283381"/>
    <w:rsid w:val="00283FA8"/>
    <w:rsid w:val="00286A0E"/>
    <w:rsid w:val="002901C6"/>
    <w:rsid w:val="00290B3D"/>
    <w:rsid w:val="00291CAF"/>
    <w:rsid w:val="00292118"/>
    <w:rsid w:val="00293C81"/>
    <w:rsid w:val="00294385"/>
    <w:rsid w:val="002957D9"/>
    <w:rsid w:val="00296EF2"/>
    <w:rsid w:val="00297F55"/>
    <w:rsid w:val="002A058B"/>
    <w:rsid w:val="002A0881"/>
    <w:rsid w:val="002A2CB6"/>
    <w:rsid w:val="002A2FB5"/>
    <w:rsid w:val="002A6B7E"/>
    <w:rsid w:val="002B001E"/>
    <w:rsid w:val="002B090C"/>
    <w:rsid w:val="002B09B9"/>
    <w:rsid w:val="002B0FA0"/>
    <w:rsid w:val="002B2216"/>
    <w:rsid w:val="002B29FD"/>
    <w:rsid w:val="002B33E0"/>
    <w:rsid w:val="002B38B3"/>
    <w:rsid w:val="002B3FB1"/>
    <w:rsid w:val="002B4283"/>
    <w:rsid w:val="002B4C09"/>
    <w:rsid w:val="002B580E"/>
    <w:rsid w:val="002B632F"/>
    <w:rsid w:val="002B7716"/>
    <w:rsid w:val="002B79CF"/>
    <w:rsid w:val="002C027B"/>
    <w:rsid w:val="002C0F59"/>
    <w:rsid w:val="002C0FA2"/>
    <w:rsid w:val="002C173E"/>
    <w:rsid w:val="002C1EB3"/>
    <w:rsid w:val="002C53DE"/>
    <w:rsid w:val="002C5479"/>
    <w:rsid w:val="002C707A"/>
    <w:rsid w:val="002C7B20"/>
    <w:rsid w:val="002C7F50"/>
    <w:rsid w:val="002D0151"/>
    <w:rsid w:val="002D04AE"/>
    <w:rsid w:val="002D137E"/>
    <w:rsid w:val="002D152B"/>
    <w:rsid w:val="002D1EE8"/>
    <w:rsid w:val="002D213A"/>
    <w:rsid w:val="002D2735"/>
    <w:rsid w:val="002D2E65"/>
    <w:rsid w:val="002D5707"/>
    <w:rsid w:val="002D581E"/>
    <w:rsid w:val="002D5853"/>
    <w:rsid w:val="002D704B"/>
    <w:rsid w:val="002D75B9"/>
    <w:rsid w:val="002E03FD"/>
    <w:rsid w:val="002E0B82"/>
    <w:rsid w:val="002E1252"/>
    <w:rsid w:val="002E1B6D"/>
    <w:rsid w:val="002E3397"/>
    <w:rsid w:val="002E3F97"/>
    <w:rsid w:val="002E448B"/>
    <w:rsid w:val="002E6324"/>
    <w:rsid w:val="002E6AAB"/>
    <w:rsid w:val="002E75C1"/>
    <w:rsid w:val="002F0175"/>
    <w:rsid w:val="002F07B4"/>
    <w:rsid w:val="002F0A07"/>
    <w:rsid w:val="002F0E5B"/>
    <w:rsid w:val="002F132B"/>
    <w:rsid w:val="002F1450"/>
    <w:rsid w:val="002F1E00"/>
    <w:rsid w:val="002F25F5"/>
    <w:rsid w:val="002F29F8"/>
    <w:rsid w:val="002F3525"/>
    <w:rsid w:val="002F3C0C"/>
    <w:rsid w:val="002F3C4F"/>
    <w:rsid w:val="002F4A39"/>
    <w:rsid w:val="002F4FB1"/>
    <w:rsid w:val="002F534A"/>
    <w:rsid w:val="002F5DD6"/>
    <w:rsid w:val="002F650B"/>
    <w:rsid w:val="002F6B87"/>
    <w:rsid w:val="002F6FA4"/>
    <w:rsid w:val="002F7F7A"/>
    <w:rsid w:val="0030088F"/>
    <w:rsid w:val="00300AC5"/>
    <w:rsid w:val="00300DD5"/>
    <w:rsid w:val="0030206D"/>
    <w:rsid w:val="00302CAE"/>
    <w:rsid w:val="00303572"/>
    <w:rsid w:val="0030395B"/>
    <w:rsid w:val="00303DE7"/>
    <w:rsid w:val="00303F48"/>
    <w:rsid w:val="0030471C"/>
    <w:rsid w:val="0030512F"/>
    <w:rsid w:val="003053FC"/>
    <w:rsid w:val="003056C3"/>
    <w:rsid w:val="00306041"/>
    <w:rsid w:val="003070A5"/>
    <w:rsid w:val="00307AFB"/>
    <w:rsid w:val="00310582"/>
    <w:rsid w:val="0031132D"/>
    <w:rsid w:val="00312544"/>
    <w:rsid w:val="00312957"/>
    <w:rsid w:val="00313B7A"/>
    <w:rsid w:val="003145ED"/>
    <w:rsid w:val="003154F5"/>
    <w:rsid w:val="0031744C"/>
    <w:rsid w:val="00317571"/>
    <w:rsid w:val="00317AA0"/>
    <w:rsid w:val="0032080B"/>
    <w:rsid w:val="003209D6"/>
    <w:rsid w:val="00320B88"/>
    <w:rsid w:val="003214EE"/>
    <w:rsid w:val="00321DAB"/>
    <w:rsid w:val="00321EF7"/>
    <w:rsid w:val="00323528"/>
    <w:rsid w:val="003254C2"/>
    <w:rsid w:val="0032619A"/>
    <w:rsid w:val="0032680E"/>
    <w:rsid w:val="00327E67"/>
    <w:rsid w:val="003302A4"/>
    <w:rsid w:val="00330515"/>
    <w:rsid w:val="0033090A"/>
    <w:rsid w:val="00330E18"/>
    <w:rsid w:val="00331F55"/>
    <w:rsid w:val="00332DDD"/>
    <w:rsid w:val="00333526"/>
    <w:rsid w:val="00333646"/>
    <w:rsid w:val="0033390C"/>
    <w:rsid w:val="00333B30"/>
    <w:rsid w:val="00333E0C"/>
    <w:rsid w:val="00333EA6"/>
    <w:rsid w:val="00334302"/>
    <w:rsid w:val="003353A6"/>
    <w:rsid w:val="003365F3"/>
    <w:rsid w:val="003421C8"/>
    <w:rsid w:val="00343025"/>
    <w:rsid w:val="003437F3"/>
    <w:rsid w:val="003448A1"/>
    <w:rsid w:val="0034507D"/>
    <w:rsid w:val="003451A0"/>
    <w:rsid w:val="0034531F"/>
    <w:rsid w:val="00346B4D"/>
    <w:rsid w:val="00346BF7"/>
    <w:rsid w:val="00347115"/>
    <w:rsid w:val="00350817"/>
    <w:rsid w:val="00350E77"/>
    <w:rsid w:val="003512BE"/>
    <w:rsid w:val="00351A91"/>
    <w:rsid w:val="00353427"/>
    <w:rsid w:val="00354509"/>
    <w:rsid w:val="00354E4D"/>
    <w:rsid w:val="00354FEC"/>
    <w:rsid w:val="00355E5A"/>
    <w:rsid w:val="003561AA"/>
    <w:rsid w:val="003562EF"/>
    <w:rsid w:val="00356CC1"/>
    <w:rsid w:val="003624AB"/>
    <w:rsid w:val="00362A35"/>
    <w:rsid w:val="00363CEF"/>
    <w:rsid w:val="003645EA"/>
    <w:rsid w:val="00364843"/>
    <w:rsid w:val="00364DA6"/>
    <w:rsid w:val="00365400"/>
    <w:rsid w:val="0036683A"/>
    <w:rsid w:val="00366C3B"/>
    <w:rsid w:val="00367F17"/>
    <w:rsid w:val="003707E1"/>
    <w:rsid w:val="00370DB2"/>
    <w:rsid w:val="003717A8"/>
    <w:rsid w:val="00373649"/>
    <w:rsid w:val="003742CF"/>
    <w:rsid w:val="00375563"/>
    <w:rsid w:val="003757C2"/>
    <w:rsid w:val="0037651D"/>
    <w:rsid w:val="00376C34"/>
    <w:rsid w:val="0037786C"/>
    <w:rsid w:val="00380EE3"/>
    <w:rsid w:val="00382922"/>
    <w:rsid w:val="003832B8"/>
    <w:rsid w:val="003832FB"/>
    <w:rsid w:val="00385A56"/>
    <w:rsid w:val="00385DAD"/>
    <w:rsid w:val="00385F76"/>
    <w:rsid w:val="00386ED1"/>
    <w:rsid w:val="0038764D"/>
    <w:rsid w:val="00390E03"/>
    <w:rsid w:val="00391641"/>
    <w:rsid w:val="00392D7F"/>
    <w:rsid w:val="0039302C"/>
    <w:rsid w:val="00393C94"/>
    <w:rsid w:val="003940D5"/>
    <w:rsid w:val="00394A35"/>
    <w:rsid w:val="00394C17"/>
    <w:rsid w:val="003963BC"/>
    <w:rsid w:val="003971B8"/>
    <w:rsid w:val="003974A3"/>
    <w:rsid w:val="003A1092"/>
    <w:rsid w:val="003A2FD0"/>
    <w:rsid w:val="003A3D7B"/>
    <w:rsid w:val="003A45F9"/>
    <w:rsid w:val="003A6039"/>
    <w:rsid w:val="003A69C3"/>
    <w:rsid w:val="003A6F34"/>
    <w:rsid w:val="003A78A1"/>
    <w:rsid w:val="003B05B8"/>
    <w:rsid w:val="003B0D7F"/>
    <w:rsid w:val="003B1D94"/>
    <w:rsid w:val="003B2C9F"/>
    <w:rsid w:val="003B4E77"/>
    <w:rsid w:val="003B55F6"/>
    <w:rsid w:val="003B5D4A"/>
    <w:rsid w:val="003B5F16"/>
    <w:rsid w:val="003B5FB9"/>
    <w:rsid w:val="003B6E2C"/>
    <w:rsid w:val="003B7D1C"/>
    <w:rsid w:val="003B7E67"/>
    <w:rsid w:val="003C0321"/>
    <w:rsid w:val="003C0487"/>
    <w:rsid w:val="003C04B6"/>
    <w:rsid w:val="003C0DFD"/>
    <w:rsid w:val="003C12C3"/>
    <w:rsid w:val="003C1407"/>
    <w:rsid w:val="003C17D3"/>
    <w:rsid w:val="003C2BB2"/>
    <w:rsid w:val="003C42B3"/>
    <w:rsid w:val="003C49D5"/>
    <w:rsid w:val="003C747B"/>
    <w:rsid w:val="003C7C06"/>
    <w:rsid w:val="003D00A6"/>
    <w:rsid w:val="003D0676"/>
    <w:rsid w:val="003D0740"/>
    <w:rsid w:val="003D1366"/>
    <w:rsid w:val="003D1E74"/>
    <w:rsid w:val="003D21E7"/>
    <w:rsid w:val="003D4219"/>
    <w:rsid w:val="003D48EB"/>
    <w:rsid w:val="003D496A"/>
    <w:rsid w:val="003D4C8C"/>
    <w:rsid w:val="003D62C1"/>
    <w:rsid w:val="003D7424"/>
    <w:rsid w:val="003E00ED"/>
    <w:rsid w:val="003E0758"/>
    <w:rsid w:val="003E1891"/>
    <w:rsid w:val="003E1BB5"/>
    <w:rsid w:val="003E20A4"/>
    <w:rsid w:val="003E21F4"/>
    <w:rsid w:val="003E3BCD"/>
    <w:rsid w:val="003E3C30"/>
    <w:rsid w:val="003E410C"/>
    <w:rsid w:val="003E4257"/>
    <w:rsid w:val="003E42E4"/>
    <w:rsid w:val="003E625E"/>
    <w:rsid w:val="003E67C5"/>
    <w:rsid w:val="003E6A50"/>
    <w:rsid w:val="003E6D1C"/>
    <w:rsid w:val="003E6E57"/>
    <w:rsid w:val="003F06CC"/>
    <w:rsid w:val="003F0F64"/>
    <w:rsid w:val="003F18E1"/>
    <w:rsid w:val="003F3CFD"/>
    <w:rsid w:val="003F417C"/>
    <w:rsid w:val="003F6247"/>
    <w:rsid w:val="003F6F87"/>
    <w:rsid w:val="004012AA"/>
    <w:rsid w:val="0040154C"/>
    <w:rsid w:val="00402444"/>
    <w:rsid w:val="00402CCD"/>
    <w:rsid w:val="00403E1B"/>
    <w:rsid w:val="00404D8A"/>
    <w:rsid w:val="00406A49"/>
    <w:rsid w:val="004077F6"/>
    <w:rsid w:val="00407B0E"/>
    <w:rsid w:val="00407E3B"/>
    <w:rsid w:val="004113D7"/>
    <w:rsid w:val="00412140"/>
    <w:rsid w:val="00412500"/>
    <w:rsid w:val="004144FB"/>
    <w:rsid w:val="00414A92"/>
    <w:rsid w:val="004150E8"/>
    <w:rsid w:val="00415383"/>
    <w:rsid w:val="00415F56"/>
    <w:rsid w:val="004162F4"/>
    <w:rsid w:val="00416D90"/>
    <w:rsid w:val="00420146"/>
    <w:rsid w:val="00421637"/>
    <w:rsid w:val="0042176C"/>
    <w:rsid w:val="00421C49"/>
    <w:rsid w:val="00422285"/>
    <w:rsid w:val="004224BC"/>
    <w:rsid w:val="00422CFA"/>
    <w:rsid w:val="00423017"/>
    <w:rsid w:val="0042360B"/>
    <w:rsid w:val="00423822"/>
    <w:rsid w:val="0042403D"/>
    <w:rsid w:val="00424101"/>
    <w:rsid w:val="004254AB"/>
    <w:rsid w:val="00426382"/>
    <w:rsid w:val="00426831"/>
    <w:rsid w:val="0043140B"/>
    <w:rsid w:val="00431B41"/>
    <w:rsid w:val="00431C00"/>
    <w:rsid w:val="00431CC5"/>
    <w:rsid w:val="00436B6E"/>
    <w:rsid w:val="00437379"/>
    <w:rsid w:val="004377B7"/>
    <w:rsid w:val="00437A55"/>
    <w:rsid w:val="00440247"/>
    <w:rsid w:val="00443E32"/>
    <w:rsid w:val="00444620"/>
    <w:rsid w:val="00444F21"/>
    <w:rsid w:val="004466E2"/>
    <w:rsid w:val="00446E06"/>
    <w:rsid w:val="00447A04"/>
    <w:rsid w:val="00447C3B"/>
    <w:rsid w:val="00447E8C"/>
    <w:rsid w:val="00450C0B"/>
    <w:rsid w:val="004510FE"/>
    <w:rsid w:val="00451F1D"/>
    <w:rsid w:val="0045208C"/>
    <w:rsid w:val="00452C94"/>
    <w:rsid w:val="00454AB9"/>
    <w:rsid w:val="00455ADD"/>
    <w:rsid w:val="00455F9D"/>
    <w:rsid w:val="00456720"/>
    <w:rsid w:val="00460158"/>
    <w:rsid w:val="00460D76"/>
    <w:rsid w:val="004615CE"/>
    <w:rsid w:val="00462398"/>
    <w:rsid w:val="00463CFA"/>
    <w:rsid w:val="00464404"/>
    <w:rsid w:val="0046449A"/>
    <w:rsid w:val="00464D91"/>
    <w:rsid w:val="00465055"/>
    <w:rsid w:val="00465440"/>
    <w:rsid w:val="004656BD"/>
    <w:rsid w:val="004670C0"/>
    <w:rsid w:val="00467143"/>
    <w:rsid w:val="00467530"/>
    <w:rsid w:val="004676EA"/>
    <w:rsid w:val="004678B4"/>
    <w:rsid w:val="00467BAC"/>
    <w:rsid w:val="00471A36"/>
    <w:rsid w:val="00471A6C"/>
    <w:rsid w:val="00471CA4"/>
    <w:rsid w:val="00472A48"/>
    <w:rsid w:val="004733D2"/>
    <w:rsid w:val="0047402B"/>
    <w:rsid w:val="0047425F"/>
    <w:rsid w:val="00474D3C"/>
    <w:rsid w:val="00474D59"/>
    <w:rsid w:val="004758B2"/>
    <w:rsid w:val="00475BEE"/>
    <w:rsid w:val="004764BB"/>
    <w:rsid w:val="00476B21"/>
    <w:rsid w:val="00476BEA"/>
    <w:rsid w:val="00476E3B"/>
    <w:rsid w:val="0047716C"/>
    <w:rsid w:val="00477456"/>
    <w:rsid w:val="00477839"/>
    <w:rsid w:val="00480216"/>
    <w:rsid w:val="004811F6"/>
    <w:rsid w:val="00481DF0"/>
    <w:rsid w:val="00483348"/>
    <w:rsid w:val="00483B0D"/>
    <w:rsid w:val="00484057"/>
    <w:rsid w:val="004852A9"/>
    <w:rsid w:val="00486795"/>
    <w:rsid w:val="0048698A"/>
    <w:rsid w:val="00486CD9"/>
    <w:rsid w:val="004908D3"/>
    <w:rsid w:val="00490B0D"/>
    <w:rsid w:val="00491336"/>
    <w:rsid w:val="00491EAA"/>
    <w:rsid w:val="004924AE"/>
    <w:rsid w:val="00493E83"/>
    <w:rsid w:val="00493FF2"/>
    <w:rsid w:val="004949BE"/>
    <w:rsid w:val="00495735"/>
    <w:rsid w:val="00495E09"/>
    <w:rsid w:val="00496481"/>
    <w:rsid w:val="004969F5"/>
    <w:rsid w:val="004974BD"/>
    <w:rsid w:val="004A020E"/>
    <w:rsid w:val="004A04EE"/>
    <w:rsid w:val="004A089B"/>
    <w:rsid w:val="004A0EF1"/>
    <w:rsid w:val="004A1E4B"/>
    <w:rsid w:val="004A3320"/>
    <w:rsid w:val="004A53C4"/>
    <w:rsid w:val="004A6353"/>
    <w:rsid w:val="004A6356"/>
    <w:rsid w:val="004A7472"/>
    <w:rsid w:val="004A7DC2"/>
    <w:rsid w:val="004B10D4"/>
    <w:rsid w:val="004B120A"/>
    <w:rsid w:val="004B1340"/>
    <w:rsid w:val="004B25CA"/>
    <w:rsid w:val="004B4B11"/>
    <w:rsid w:val="004B4D7E"/>
    <w:rsid w:val="004B6771"/>
    <w:rsid w:val="004B76A3"/>
    <w:rsid w:val="004C0651"/>
    <w:rsid w:val="004C234B"/>
    <w:rsid w:val="004C4300"/>
    <w:rsid w:val="004C6240"/>
    <w:rsid w:val="004C748E"/>
    <w:rsid w:val="004C7E53"/>
    <w:rsid w:val="004D06E1"/>
    <w:rsid w:val="004D0924"/>
    <w:rsid w:val="004D0947"/>
    <w:rsid w:val="004D275D"/>
    <w:rsid w:val="004D27F3"/>
    <w:rsid w:val="004D2811"/>
    <w:rsid w:val="004D2CB2"/>
    <w:rsid w:val="004D3594"/>
    <w:rsid w:val="004D4360"/>
    <w:rsid w:val="004D4459"/>
    <w:rsid w:val="004D477F"/>
    <w:rsid w:val="004D4B89"/>
    <w:rsid w:val="004D52B2"/>
    <w:rsid w:val="004D5E59"/>
    <w:rsid w:val="004D5E82"/>
    <w:rsid w:val="004D6636"/>
    <w:rsid w:val="004D6C3D"/>
    <w:rsid w:val="004E03CC"/>
    <w:rsid w:val="004E2E5B"/>
    <w:rsid w:val="004E46DE"/>
    <w:rsid w:val="004E55BD"/>
    <w:rsid w:val="004E6403"/>
    <w:rsid w:val="004E7419"/>
    <w:rsid w:val="004F18B0"/>
    <w:rsid w:val="004F1DFE"/>
    <w:rsid w:val="004F2535"/>
    <w:rsid w:val="004F2A1C"/>
    <w:rsid w:val="004F34F0"/>
    <w:rsid w:val="004F3577"/>
    <w:rsid w:val="004F3A12"/>
    <w:rsid w:val="004F4380"/>
    <w:rsid w:val="004F4B3A"/>
    <w:rsid w:val="004F5ED8"/>
    <w:rsid w:val="004F6B65"/>
    <w:rsid w:val="004F7AC7"/>
    <w:rsid w:val="004F7D8A"/>
    <w:rsid w:val="005008B2"/>
    <w:rsid w:val="005008D9"/>
    <w:rsid w:val="005019EC"/>
    <w:rsid w:val="00501A70"/>
    <w:rsid w:val="00502388"/>
    <w:rsid w:val="00502CFB"/>
    <w:rsid w:val="00503009"/>
    <w:rsid w:val="0050432D"/>
    <w:rsid w:val="00504864"/>
    <w:rsid w:val="00507F79"/>
    <w:rsid w:val="00511D7C"/>
    <w:rsid w:val="0051206B"/>
    <w:rsid w:val="005120AD"/>
    <w:rsid w:val="005124BC"/>
    <w:rsid w:val="00516872"/>
    <w:rsid w:val="00516E37"/>
    <w:rsid w:val="0052061D"/>
    <w:rsid w:val="00520AA3"/>
    <w:rsid w:val="00520D2B"/>
    <w:rsid w:val="00521201"/>
    <w:rsid w:val="00521B06"/>
    <w:rsid w:val="00521E56"/>
    <w:rsid w:val="005224BB"/>
    <w:rsid w:val="00522B1C"/>
    <w:rsid w:val="00523A44"/>
    <w:rsid w:val="00524712"/>
    <w:rsid w:val="00524A09"/>
    <w:rsid w:val="00526631"/>
    <w:rsid w:val="00526A7A"/>
    <w:rsid w:val="00527197"/>
    <w:rsid w:val="005278D1"/>
    <w:rsid w:val="00530B31"/>
    <w:rsid w:val="0053107C"/>
    <w:rsid w:val="00532082"/>
    <w:rsid w:val="0053245D"/>
    <w:rsid w:val="0053266F"/>
    <w:rsid w:val="0053287B"/>
    <w:rsid w:val="00532A41"/>
    <w:rsid w:val="005347F9"/>
    <w:rsid w:val="00534C72"/>
    <w:rsid w:val="005357C2"/>
    <w:rsid w:val="00535DAC"/>
    <w:rsid w:val="00537E60"/>
    <w:rsid w:val="005404A8"/>
    <w:rsid w:val="00540C53"/>
    <w:rsid w:val="00542281"/>
    <w:rsid w:val="00542784"/>
    <w:rsid w:val="00542D73"/>
    <w:rsid w:val="00543817"/>
    <w:rsid w:val="00543F8E"/>
    <w:rsid w:val="005450A0"/>
    <w:rsid w:val="005465C8"/>
    <w:rsid w:val="0054696F"/>
    <w:rsid w:val="005504E9"/>
    <w:rsid w:val="00550E54"/>
    <w:rsid w:val="00551948"/>
    <w:rsid w:val="00552256"/>
    <w:rsid w:val="00552877"/>
    <w:rsid w:val="00554645"/>
    <w:rsid w:val="00555B9B"/>
    <w:rsid w:val="0055609D"/>
    <w:rsid w:val="00556243"/>
    <w:rsid w:val="00556337"/>
    <w:rsid w:val="0056045C"/>
    <w:rsid w:val="005617CF"/>
    <w:rsid w:val="00561844"/>
    <w:rsid w:val="00563CE8"/>
    <w:rsid w:val="005645C0"/>
    <w:rsid w:val="005650B3"/>
    <w:rsid w:val="005660A9"/>
    <w:rsid w:val="00566C14"/>
    <w:rsid w:val="00566CBE"/>
    <w:rsid w:val="005676E6"/>
    <w:rsid w:val="00571269"/>
    <w:rsid w:val="0057143D"/>
    <w:rsid w:val="00571763"/>
    <w:rsid w:val="00572B6F"/>
    <w:rsid w:val="00573F14"/>
    <w:rsid w:val="005743AF"/>
    <w:rsid w:val="00574AA2"/>
    <w:rsid w:val="00575035"/>
    <w:rsid w:val="005779F7"/>
    <w:rsid w:val="00577AD9"/>
    <w:rsid w:val="00577D8D"/>
    <w:rsid w:val="00577E57"/>
    <w:rsid w:val="0058014B"/>
    <w:rsid w:val="0058032D"/>
    <w:rsid w:val="005806F9"/>
    <w:rsid w:val="005837B6"/>
    <w:rsid w:val="005837BB"/>
    <w:rsid w:val="005839AA"/>
    <w:rsid w:val="00583D38"/>
    <w:rsid w:val="00584102"/>
    <w:rsid w:val="0058437E"/>
    <w:rsid w:val="00585129"/>
    <w:rsid w:val="005852BD"/>
    <w:rsid w:val="00586B97"/>
    <w:rsid w:val="005902EE"/>
    <w:rsid w:val="00590EF2"/>
    <w:rsid w:val="005933B3"/>
    <w:rsid w:val="0059354E"/>
    <w:rsid w:val="0059362A"/>
    <w:rsid w:val="00594A20"/>
    <w:rsid w:val="0059512E"/>
    <w:rsid w:val="0059537E"/>
    <w:rsid w:val="00595A76"/>
    <w:rsid w:val="00595CE0"/>
    <w:rsid w:val="00597D21"/>
    <w:rsid w:val="005A013D"/>
    <w:rsid w:val="005A0B44"/>
    <w:rsid w:val="005A1313"/>
    <w:rsid w:val="005A1359"/>
    <w:rsid w:val="005A1F2C"/>
    <w:rsid w:val="005A23E9"/>
    <w:rsid w:val="005A373B"/>
    <w:rsid w:val="005A595B"/>
    <w:rsid w:val="005A6C9F"/>
    <w:rsid w:val="005A7359"/>
    <w:rsid w:val="005A7541"/>
    <w:rsid w:val="005A7682"/>
    <w:rsid w:val="005B085F"/>
    <w:rsid w:val="005B08F7"/>
    <w:rsid w:val="005B1E97"/>
    <w:rsid w:val="005B339C"/>
    <w:rsid w:val="005B664C"/>
    <w:rsid w:val="005B6EDC"/>
    <w:rsid w:val="005C0075"/>
    <w:rsid w:val="005C06DD"/>
    <w:rsid w:val="005C0A41"/>
    <w:rsid w:val="005C28DD"/>
    <w:rsid w:val="005C4E3C"/>
    <w:rsid w:val="005C5617"/>
    <w:rsid w:val="005C6221"/>
    <w:rsid w:val="005C6A27"/>
    <w:rsid w:val="005C6B05"/>
    <w:rsid w:val="005C6BDD"/>
    <w:rsid w:val="005C72BB"/>
    <w:rsid w:val="005C7A82"/>
    <w:rsid w:val="005C7CEF"/>
    <w:rsid w:val="005D1F07"/>
    <w:rsid w:val="005D2CB7"/>
    <w:rsid w:val="005D363C"/>
    <w:rsid w:val="005D681F"/>
    <w:rsid w:val="005D7696"/>
    <w:rsid w:val="005D7698"/>
    <w:rsid w:val="005E0078"/>
    <w:rsid w:val="005E026D"/>
    <w:rsid w:val="005E165F"/>
    <w:rsid w:val="005E1CF5"/>
    <w:rsid w:val="005E20BC"/>
    <w:rsid w:val="005E4CB7"/>
    <w:rsid w:val="005E5355"/>
    <w:rsid w:val="005E628D"/>
    <w:rsid w:val="005E6862"/>
    <w:rsid w:val="005E69B9"/>
    <w:rsid w:val="005E6F6B"/>
    <w:rsid w:val="005E7BF1"/>
    <w:rsid w:val="005F0DC7"/>
    <w:rsid w:val="005F22B9"/>
    <w:rsid w:val="005F2670"/>
    <w:rsid w:val="005F2C13"/>
    <w:rsid w:val="005F309F"/>
    <w:rsid w:val="005F36A2"/>
    <w:rsid w:val="005F3C29"/>
    <w:rsid w:val="005F4A69"/>
    <w:rsid w:val="005F64EE"/>
    <w:rsid w:val="005F7813"/>
    <w:rsid w:val="00603BF4"/>
    <w:rsid w:val="00605055"/>
    <w:rsid w:val="00605E19"/>
    <w:rsid w:val="00606109"/>
    <w:rsid w:val="0060642B"/>
    <w:rsid w:val="006071B8"/>
    <w:rsid w:val="00607391"/>
    <w:rsid w:val="0060781E"/>
    <w:rsid w:val="00607F3B"/>
    <w:rsid w:val="006106F3"/>
    <w:rsid w:val="00612268"/>
    <w:rsid w:val="006144DB"/>
    <w:rsid w:val="00614892"/>
    <w:rsid w:val="00614F34"/>
    <w:rsid w:val="00615393"/>
    <w:rsid w:val="0061770D"/>
    <w:rsid w:val="0062065E"/>
    <w:rsid w:val="00622497"/>
    <w:rsid w:val="0062255D"/>
    <w:rsid w:val="0062259F"/>
    <w:rsid w:val="006228F8"/>
    <w:rsid w:val="00622AF3"/>
    <w:rsid w:val="00622F53"/>
    <w:rsid w:val="00623261"/>
    <w:rsid w:val="00623EC3"/>
    <w:rsid w:val="00624FF7"/>
    <w:rsid w:val="00626FA5"/>
    <w:rsid w:val="0063164B"/>
    <w:rsid w:val="00631CB5"/>
    <w:rsid w:val="00631DAF"/>
    <w:rsid w:val="006324C2"/>
    <w:rsid w:val="00633152"/>
    <w:rsid w:val="00633331"/>
    <w:rsid w:val="00634518"/>
    <w:rsid w:val="006350B5"/>
    <w:rsid w:val="00635904"/>
    <w:rsid w:val="00636197"/>
    <w:rsid w:val="00636DC8"/>
    <w:rsid w:val="0063732E"/>
    <w:rsid w:val="00637AC6"/>
    <w:rsid w:val="00641ED8"/>
    <w:rsid w:val="00643D18"/>
    <w:rsid w:val="006448CB"/>
    <w:rsid w:val="00644B1D"/>
    <w:rsid w:val="00644DFB"/>
    <w:rsid w:val="0064577F"/>
    <w:rsid w:val="00650A92"/>
    <w:rsid w:val="00650BCA"/>
    <w:rsid w:val="00650D0D"/>
    <w:rsid w:val="00651666"/>
    <w:rsid w:val="00653F43"/>
    <w:rsid w:val="00654359"/>
    <w:rsid w:val="0065480C"/>
    <w:rsid w:val="00655BC0"/>
    <w:rsid w:val="006561F1"/>
    <w:rsid w:val="00656379"/>
    <w:rsid w:val="00656AD7"/>
    <w:rsid w:val="00656F47"/>
    <w:rsid w:val="00657070"/>
    <w:rsid w:val="006577E4"/>
    <w:rsid w:val="00657A11"/>
    <w:rsid w:val="00663405"/>
    <w:rsid w:val="00663B7D"/>
    <w:rsid w:val="00663E85"/>
    <w:rsid w:val="006644FF"/>
    <w:rsid w:val="00665670"/>
    <w:rsid w:val="00666DD6"/>
    <w:rsid w:val="00671AD5"/>
    <w:rsid w:val="00673297"/>
    <w:rsid w:val="006741BA"/>
    <w:rsid w:val="006754A4"/>
    <w:rsid w:val="00676488"/>
    <w:rsid w:val="00676F22"/>
    <w:rsid w:val="00680788"/>
    <w:rsid w:val="00680AE2"/>
    <w:rsid w:val="0068104F"/>
    <w:rsid w:val="00681400"/>
    <w:rsid w:val="00681588"/>
    <w:rsid w:val="0068198A"/>
    <w:rsid w:val="00681F5D"/>
    <w:rsid w:val="00682EE6"/>
    <w:rsid w:val="00685FB1"/>
    <w:rsid w:val="006869EF"/>
    <w:rsid w:val="00687264"/>
    <w:rsid w:val="0068773F"/>
    <w:rsid w:val="00687798"/>
    <w:rsid w:val="00690316"/>
    <w:rsid w:val="006907F0"/>
    <w:rsid w:val="006907FE"/>
    <w:rsid w:val="0069098A"/>
    <w:rsid w:val="00691252"/>
    <w:rsid w:val="006921A5"/>
    <w:rsid w:val="006924D4"/>
    <w:rsid w:val="00692B64"/>
    <w:rsid w:val="00692D1A"/>
    <w:rsid w:val="00692D46"/>
    <w:rsid w:val="0069369B"/>
    <w:rsid w:val="00693D71"/>
    <w:rsid w:val="0069507D"/>
    <w:rsid w:val="00696316"/>
    <w:rsid w:val="00696DFE"/>
    <w:rsid w:val="006978D1"/>
    <w:rsid w:val="00697C95"/>
    <w:rsid w:val="00697F8F"/>
    <w:rsid w:val="006A01C5"/>
    <w:rsid w:val="006A04EE"/>
    <w:rsid w:val="006A060C"/>
    <w:rsid w:val="006A3C11"/>
    <w:rsid w:val="006A4487"/>
    <w:rsid w:val="006A557F"/>
    <w:rsid w:val="006A7247"/>
    <w:rsid w:val="006A76AA"/>
    <w:rsid w:val="006A792F"/>
    <w:rsid w:val="006A7DE4"/>
    <w:rsid w:val="006B00EA"/>
    <w:rsid w:val="006B21E8"/>
    <w:rsid w:val="006B39F5"/>
    <w:rsid w:val="006B3B2D"/>
    <w:rsid w:val="006B3CCE"/>
    <w:rsid w:val="006B5E0B"/>
    <w:rsid w:val="006C026B"/>
    <w:rsid w:val="006C1C8D"/>
    <w:rsid w:val="006C1DDB"/>
    <w:rsid w:val="006C24B7"/>
    <w:rsid w:val="006C3197"/>
    <w:rsid w:val="006C32E7"/>
    <w:rsid w:val="006C476D"/>
    <w:rsid w:val="006C48DA"/>
    <w:rsid w:val="006C5C39"/>
    <w:rsid w:val="006C5F4C"/>
    <w:rsid w:val="006C6661"/>
    <w:rsid w:val="006C6A77"/>
    <w:rsid w:val="006D0269"/>
    <w:rsid w:val="006D04C0"/>
    <w:rsid w:val="006D05D4"/>
    <w:rsid w:val="006D10E1"/>
    <w:rsid w:val="006D24B2"/>
    <w:rsid w:val="006D2933"/>
    <w:rsid w:val="006D2969"/>
    <w:rsid w:val="006D2AC9"/>
    <w:rsid w:val="006D3A59"/>
    <w:rsid w:val="006D3C12"/>
    <w:rsid w:val="006D53E3"/>
    <w:rsid w:val="006D5EEB"/>
    <w:rsid w:val="006D607C"/>
    <w:rsid w:val="006D6672"/>
    <w:rsid w:val="006E1A49"/>
    <w:rsid w:val="006E1CAA"/>
    <w:rsid w:val="006E1FAB"/>
    <w:rsid w:val="006E21B8"/>
    <w:rsid w:val="006E2D05"/>
    <w:rsid w:val="006E3469"/>
    <w:rsid w:val="006E43C8"/>
    <w:rsid w:val="006E580B"/>
    <w:rsid w:val="006E65AB"/>
    <w:rsid w:val="006F0985"/>
    <w:rsid w:val="006F4075"/>
    <w:rsid w:val="006F40AF"/>
    <w:rsid w:val="006F466E"/>
    <w:rsid w:val="006F6DC0"/>
    <w:rsid w:val="00700DDD"/>
    <w:rsid w:val="00702323"/>
    <w:rsid w:val="00702382"/>
    <w:rsid w:val="00702BA5"/>
    <w:rsid w:val="00705166"/>
    <w:rsid w:val="00705235"/>
    <w:rsid w:val="00706A8B"/>
    <w:rsid w:val="00706D49"/>
    <w:rsid w:val="00706FD0"/>
    <w:rsid w:val="00707326"/>
    <w:rsid w:val="0070739D"/>
    <w:rsid w:val="007101E2"/>
    <w:rsid w:val="0071108D"/>
    <w:rsid w:val="007125EC"/>
    <w:rsid w:val="00714292"/>
    <w:rsid w:val="007153D1"/>
    <w:rsid w:val="00715EA2"/>
    <w:rsid w:val="0071627B"/>
    <w:rsid w:val="0071644F"/>
    <w:rsid w:val="00716D4F"/>
    <w:rsid w:val="007177D3"/>
    <w:rsid w:val="00717FFA"/>
    <w:rsid w:val="00720343"/>
    <w:rsid w:val="00722DEC"/>
    <w:rsid w:val="00722F45"/>
    <w:rsid w:val="00722F63"/>
    <w:rsid w:val="00723E9F"/>
    <w:rsid w:val="007241E8"/>
    <w:rsid w:val="00724330"/>
    <w:rsid w:val="007245E1"/>
    <w:rsid w:val="007273D4"/>
    <w:rsid w:val="007274BE"/>
    <w:rsid w:val="00727E46"/>
    <w:rsid w:val="00730F98"/>
    <w:rsid w:val="00731C10"/>
    <w:rsid w:val="007323A0"/>
    <w:rsid w:val="00733874"/>
    <w:rsid w:val="00733F6D"/>
    <w:rsid w:val="00734AAF"/>
    <w:rsid w:val="00734F1F"/>
    <w:rsid w:val="00735DE6"/>
    <w:rsid w:val="00736272"/>
    <w:rsid w:val="00741B0C"/>
    <w:rsid w:val="00741D3C"/>
    <w:rsid w:val="0074379E"/>
    <w:rsid w:val="007437B3"/>
    <w:rsid w:val="007438B0"/>
    <w:rsid w:val="00744329"/>
    <w:rsid w:val="007445B7"/>
    <w:rsid w:val="00744FEF"/>
    <w:rsid w:val="00745840"/>
    <w:rsid w:val="00745D56"/>
    <w:rsid w:val="007464B3"/>
    <w:rsid w:val="00746CCF"/>
    <w:rsid w:val="00747659"/>
    <w:rsid w:val="0075096E"/>
    <w:rsid w:val="007518D7"/>
    <w:rsid w:val="007531DC"/>
    <w:rsid w:val="007535BC"/>
    <w:rsid w:val="007538E2"/>
    <w:rsid w:val="00753C04"/>
    <w:rsid w:val="00754035"/>
    <w:rsid w:val="007552BD"/>
    <w:rsid w:val="0075549F"/>
    <w:rsid w:val="0075551A"/>
    <w:rsid w:val="00755782"/>
    <w:rsid w:val="00755A9E"/>
    <w:rsid w:val="00755E60"/>
    <w:rsid w:val="00760238"/>
    <w:rsid w:val="00762DD1"/>
    <w:rsid w:val="007634FC"/>
    <w:rsid w:val="00763941"/>
    <w:rsid w:val="00763B3D"/>
    <w:rsid w:val="0076537C"/>
    <w:rsid w:val="00765C9F"/>
    <w:rsid w:val="0076624B"/>
    <w:rsid w:val="00766E6F"/>
    <w:rsid w:val="00771025"/>
    <w:rsid w:val="00771C3A"/>
    <w:rsid w:val="00772C39"/>
    <w:rsid w:val="00772E59"/>
    <w:rsid w:val="00774731"/>
    <w:rsid w:val="00774D68"/>
    <w:rsid w:val="007764EF"/>
    <w:rsid w:val="00776BF8"/>
    <w:rsid w:val="0077743F"/>
    <w:rsid w:val="00777BCD"/>
    <w:rsid w:val="00780214"/>
    <w:rsid w:val="00780624"/>
    <w:rsid w:val="00781587"/>
    <w:rsid w:val="00781777"/>
    <w:rsid w:val="007831EB"/>
    <w:rsid w:val="007833BD"/>
    <w:rsid w:val="00783746"/>
    <w:rsid w:val="00783BEA"/>
    <w:rsid w:val="00784392"/>
    <w:rsid w:val="0078475A"/>
    <w:rsid w:val="0078573B"/>
    <w:rsid w:val="00786BA4"/>
    <w:rsid w:val="007905CA"/>
    <w:rsid w:val="0079093A"/>
    <w:rsid w:val="0079381F"/>
    <w:rsid w:val="00793FA4"/>
    <w:rsid w:val="007952CC"/>
    <w:rsid w:val="00795806"/>
    <w:rsid w:val="00796338"/>
    <w:rsid w:val="00797804"/>
    <w:rsid w:val="007A02EB"/>
    <w:rsid w:val="007A1241"/>
    <w:rsid w:val="007A1B04"/>
    <w:rsid w:val="007A20F3"/>
    <w:rsid w:val="007A2323"/>
    <w:rsid w:val="007A23BB"/>
    <w:rsid w:val="007A4204"/>
    <w:rsid w:val="007A43F3"/>
    <w:rsid w:val="007A4694"/>
    <w:rsid w:val="007A5782"/>
    <w:rsid w:val="007A64B5"/>
    <w:rsid w:val="007A794E"/>
    <w:rsid w:val="007A7D24"/>
    <w:rsid w:val="007B0C61"/>
    <w:rsid w:val="007B14B1"/>
    <w:rsid w:val="007B3375"/>
    <w:rsid w:val="007B33A4"/>
    <w:rsid w:val="007B399D"/>
    <w:rsid w:val="007B3BB3"/>
    <w:rsid w:val="007B460C"/>
    <w:rsid w:val="007B492B"/>
    <w:rsid w:val="007B4A18"/>
    <w:rsid w:val="007B55BB"/>
    <w:rsid w:val="007B59BB"/>
    <w:rsid w:val="007B5AE5"/>
    <w:rsid w:val="007B6679"/>
    <w:rsid w:val="007B77BB"/>
    <w:rsid w:val="007C115D"/>
    <w:rsid w:val="007C1CB5"/>
    <w:rsid w:val="007C2855"/>
    <w:rsid w:val="007C28CF"/>
    <w:rsid w:val="007C2C35"/>
    <w:rsid w:val="007C4061"/>
    <w:rsid w:val="007C4164"/>
    <w:rsid w:val="007C4460"/>
    <w:rsid w:val="007C58E0"/>
    <w:rsid w:val="007D17C2"/>
    <w:rsid w:val="007D1CC3"/>
    <w:rsid w:val="007D32EF"/>
    <w:rsid w:val="007D357B"/>
    <w:rsid w:val="007D3DC1"/>
    <w:rsid w:val="007D62CF"/>
    <w:rsid w:val="007E1F67"/>
    <w:rsid w:val="007E2AEB"/>
    <w:rsid w:val="007E2DFE"/>
    <w:rsid w:val="007E3CA6"/>
    <w:rsid w:val="007E48E2"/>
    <w:rsid w:val="007E4E67"/>
    <w:rsid w:val="007E68A6"/>
    <w:rsid w:val="007E7C54"/>
    <w:rsid w:val="007F01A2"/>
    <w:rsid w:val="007F0C5E"/>
    <w:rsid w:val="007F1B58"/>
    <w:rsid w:val="007F2BF4"/>
    <w:rsid w:val="007F441A"/>
    <w:rsid w:val="007F68E8"/>
    <w:rsid w:val="007F7128"/>
    <w:rsid w:val="0080265F"/>
    <w:rsid w:val="008031A9"/>
    <w:rsid w:val="008035E0"/>
    <w:rsid w:val="00803B9F"/>
    <w:rsid w:val="00803E98"/>
    <w:rsid w:val="00805BFE"/>
    <w:rsid w:val="00806CCD"/>
    <w:rsid w:val="00813060"/>
    <w:rsid w:val="00813766"/>
    <w:rsid w:val="00814183"/>
    <w:rsid w:val="00814635"/>
    <w:rsid w:val="00814D28"/>
    <w:rsid w:val="008152DB"/>
    <w:rsid w:val="00815C8A"/>
    <w:rsid w:val="008168E4"/>
    <w:rsid w:val="00816FE4"/>
    <w:rsid w:val="008171FF"/>
    <w:rsid w:val="00817D58"/>
    <w:rsid w:val="00817ED1"/>
    <w:rsid w:val="00820010"/>
    <w:rsid w:val="00822273"/>
    <w:rsid w:val="0082237D"/>
    <w:rsid w:val="008228BD"/>
    <w:rsid w:val="00823A5B"/>
    <w:rsid w:val="008246B0"/>
    <w:rsid w:val="00825F69"/>
    <w:rsid w:val="008262D2"/>
    <w:rsid w:val="008265F4"/>
    <w:rsid w:val="0082699E"/>
    <w:rsid w:val="00827174"/>
    <w:rsid w:val="00830319"/>
    <w:rsid w:val="00830F41"/>
    <w:rsid w:val="00831F83"/>
    <w:rsid w:val="00832013"/>
    <w:rsid w:val="008324AC"/>
    <w:rsid w:val="008338F7"/>
    <w:rsid w:val="00836D59"/>
    <w:rsid w:val="00837172"/>
    <w:rsid w:val="008373B7"/>
    <w:rsid w:val="00837571"/>
    <w:rsid w:val="008375F6"/>
    <w:rsid w:val="0083796C"/>
    <w:rsid w:val="00837B46"/>
    <w:rsid w:val="008403B9"/>
    <w:rsid w:val="00840A93"/>
    <w:rsid w:val="00846781"/>
    <w:rsid w:val="008471AC"/>
    <w:rsid w:val="00850119"/>
    <w:rsid w:val="00850D26"/>
    <w:rsid w:val="00850F4A"/>
    <w:rsid w:val="00851E6A"/>
    <w:rsid w:val="00852915"/>
    <w:rsid w:val="008530C0"/>
    <w:rsid w:val="00853349"/>
    <w:rsid w:val="008544D3"/>
    <w:rsid w:val="008548A2"/>
    <w:rsid w:val="00854F0A"/>
    <w:rsid w:val="00855B47"/>
    <w:rsid w:val="00856D91"/>
    <w:rsid w:val="00857253"/>
    <w:rsid w:val="008575B2"/>
    <w:rsid w:val="00857600"/>
    <w:rsid w:val="00860785"/>
    <w:rsid w:val="00861CEC"/>
    <w:rsid w:val="00862F59"/>
    <w:rsid w:val="008649FF"/>
    <w:rsid w:val="00865CCA"/>
    <w:rsid w:val="008662CA"/>
    <w:rsid w:val="00866A20"/>
    <w:rsid w:val="00866CE9"/>
    <w:rsid w:val="00866D48"/>
    <w:rsid w:val="008679C4"/>
    <w:rsid w:val="008716AB"/>
    <w:rsid w:val="00872029"/>
    <w:rsid w:val="008720B9"/>
    <w:rsid w:val="0087264C"/>
    <w:rsid w:val="008728FA"/>
    <w:rsid w:val="008765D3"/>
    <w:rsid w:val="00881488"/>
    <w:rsid w:val="00881997"/>
    <w:rsid w:val="0088250C"/>
    <w:rsid w:val="0088399C"/>
    <w:rsid w:val="0088525D"/>
    <w:rsid w:val="0088558A"/>
    <w:rsid w:val="00890562"/>
    <w:rsid w:val="008906B9"/>
    <w:rsid w:val="0089089E"/>
    <w:rsid w:val="0089258C"/>
    <w:rsid w:val="00892FEF"/>
    <w:rsid w:val="00893153"/>
    <w:rsid w:val="0089335A"/>
    <w:rsid w:val="0089353F"/>
    <w:rsid w:val="00894EAA"/>
    <w:rsid w:val="0089590C"/>
    <w:rsid w:val="00896515"/>
    <w:rsid w:val="00896AE0"/>
    <w:rsid w:val="008A0E4E"/>
    <w:rsid w:val="008A11CC"/>
    <w:rsid w:val="008A238A"/>
    <w:rsid w:val="008A2BA4"/>
    <w:rsid w:val="008A3867"/>
    <w:rsid w:val="008A39E1"/>
    <w:rsid w:val="008A443F"/>
    <w:rsid w:val="008A4444"/>
    <w:rsid w:val="008A49A1"/>
    <w:rsid w:val="008A4D40"/>
    <w:rsid w:val="008A566E"/>
    <w:rsid w:val="008A59AD"/>
    <w:rsid w:val="008A6354"/>
    <w:rsid w:val="008A6962"/>
    <w:rsid w:val="008B0A99"/>
    <w:rsid w:val="008B4200"/>
    <w:rsid w:val="008B4666"/>
    <w:rsid w:val="008B488D"/>
    <w:rsid w:val="008B5070"/>
    <w:rsid w:val="008B5643"/>
    <w:rsid w:val="008B598D"/>
    <w:rsid w:val="008B5F08"/>
    <w:rsid w:val="008B7DED"/>
    <w:rsid w:val="008B7EB0"/>
    <w:rsid w:val="008C2006"/>
    <w:rsid w:val="008C24CC"/>
    <w:rsid w:val="008C270F"/>
    <w:rsid w:val="008C3F34"/>
    <w:rsid w:val="008C43BC"/>
    <w:rsid w:val="008C4BEA"/>
    <w:rsid w:val="008C5025"/>
    <w:rsid w:val="008C775E"/>
    <w:rsid w:val="008D15F3"/>
    <w:rsid w:val="008D43A9"/>
    <w:rsid w:val="008D494D"/>
    <w:rsid w:val="008D5960"/>
    <w:rsid w:val="008D5B93"/>
    <w:rsid w:val="008D69ED"/>
    <w:rsid w:val="008D765C"/>
    <w:rsid w:val="008E1765"/>
    <w:rsid w:val="008E2D0E"/>
    <w:rsid w:val="008E37CD"/>
    <w:rsid w:val="008E3A67"/>
    <w:rsid w:val="008E3D59"/>
    <w:rsid w:val="008E5181"/>
    <w:rsid w:val="008E53CB"/>
    <w:rsid w:val="008E65BE"/>
    <w:rsid w:val="008E77E2"/>
    <w:rsid w:val="008F0500"/>
    <w:rsid w:val="008F060B"/>
    <w:rsid w:val="008F19BB"/>
    <w:rsid w:val="008F1CBB"/>
    <w:rsid w:val="008F2C8A"/>
    <w:rsid w:val="008F389D"/>
    <w:rsid w:val="008F56B7"/>
    <w:rsid w:val="008F5D16"/>
    <w:rsid w:val="008F629D"/>
    <w:rsid w:val="008F6B28"/>
    <w:rsid w:val="00900D8A"/>
    <w:rsid w:val="00901D7F"/>
    <w:rsid w:val="009024BE"/>
    <w:rsid w:val="00904374"/>
    <w:rsid w:val="00904DED"/>
    <w:rsid w:val="00905536"/>
    <w:rsid w:val="00905813"/>
    <w:rsid w:val="00906B33"/>
    <w:rsid w:val="0090703A"/>
    <w:rsid w:val="009070C5"/>
    <w:rsid w:val="00907B0A"/>
    <w:rsid w:val="00910047"/>
    <w:rsid w:val="00910DA2"/>
    <w:rsid w:val="00911136"/>
    <w:rsid w:val="00912352"/>
    <w:rsid w:val="009149C3"/>
    <w:rsid w:val="00914BD8"/>
    <w:rsid w:val="0091510F"/>
    <w:rsid w:val="00915EE6"/>
    <w:rsid w:val="00916671"/>
    <w:rsid w:val="00916B69"/>
    <w:rsid w:val="0091707E"/>
    <w:rsid w:val="0092000F"/>
    <w:rsid w:val="00920197"/>
    <w:rsid w:val="00921038"/>
    <w:rsid w:val="0092110F"/>
    <w:rsid w:val="00922024"/>
    <w:rsid w:val="009231B3"/>
    <w:rsid w:val="009242BE"/>
    <w:rsid w:val="009273BF"/>
    <w:rsid w:val="009304AB"/>
    <w:rsid w:val="0093051A"/>
    <w:rsid w:val="009318B6"/>
    <w:rsid w:val="00931CCA"/>
    <w:rsid w:val="00932086"/>
    <w:rsid w:val="009327A8"/>
    <w:rsid w:val="00932919"/>
    <w:rsid w:val="0093294E"/>
    <w:rsid w:val="009329E6"/>
    <w:rsid w:val="009329F7"/>
    <w:rsid w:val="00932F4F"/>
    <w:rsid w:val="00934348"/>
    <w:rsid w:val="009346C6"/>
    <w:rsid w:val="00934890"/>
    <w:rsid w:val="00934EF4"/>
    <w:rsid w:val="00934FF9"/>
    <w:rsid w:val="009378C6"/>
    <w:rsid w:val="00937A7B"/>
    <w:rsid w:val="00937EBD"/>
    <w:rsid w:val="00940A05"/>
    <w:rsid w:val="00943883"/>
    <w:rsid w:val="00947099"/>
    <w:rsid w:val="00951CBC"/>
    <w:rsid w:val="0095202C"/>
    <w:rsid w:val="009523E1"/>
    <w:rsid w:val="009540F2"/>
    <w:rsid w:val="0095412F"/>
    <w:rsid w:val="009554F5"/>
    <w:rsid w:val="00956FE8"/>
    <w:rsid w:val="00957E24"/>
    <w:rsid w:val="009603BD"/>
    <w:rsid w:val="00960A3B"/>
    <w:rsid w:val="00961653"/>
    <w:rsid w:val="009617B2"/>
    <w:rsid w:val="009617C2"/>
    <w:rsid w:val="00961FA1"/>
    <w:rsid w:val="0096278C"/>
    <w:rsid w:val="00962CE8"/>
    <w:rsid w:val="00962F58"/>
    <w:rsid w:val="00964394"/>
    <w:rsid w:val="009648BF"/>
    <w:rsid w:val="00965837"/>
    <w:rsid w:val="00966AC9"/>
    <w:rsid w:val="00966E99"/>
    <w:rsid w:val="00967E6E"/>
    <w:rsid w:val="00967E71"/>
    <w:rsid w:val="00972013"/>
    <w:rsid w:val="00972225"/>
    <w:rsid w:val="00974251"/>
    <w:rsid w:val="00974410"/>
    <w:rsid w:val="00974AF3"/>
    <w:rsid w:val="009752E8"/>
    <w:rsid w:val="009759D9"/>
    <w:rsid w:val="00975CD3"/>
    <w:rsid w:val="00976FC2"/>
    <w:rsid w:val="00977A20"/>
    <w:rsid w:val="00977DFA"/>
    <w:rsid w:val="00980191"/>
    <w:rsid w:val="00980282"/>
    <w:rsid w:val="009816FC"/>
    <w:rsid w:val="00981F30"/>
    <w:rsid w:val="00981F4D"/>
    <w:rsid w:val="00981FFA"/>
    <w:rsid w:val="0098217C"/>
    <w:rsid w:val="009821FA"/>
    <w:rsid w:val="0098392A"/>
    <w:rsid w:val="00983D19"/>
    <w:rsid w:val="009846B8"/>
    <w:rsid w:val="00985891"/>
    <w:rsid w:val="00985E80"/>
    <w:rsid w:val="009860FF"/>
    <w:rsid w:val="009866DE"/>
    <w:rsid w:val="009877BF"/>
    <w:rsid w:val="00991052"/>
    <w:rsid w:val="00992DB0"/>
    <w:rsid w:val="0099444C"/>
    <w:rsid w:val="0099471A"/>
    <w:rsid w:val="00994ADD"/>
    <w:rsid w:val="00997519"/>
    <w:rsid w:val="00997C1C"/>
    <w:rsid w:val="009A0848"/>
    <w:rsid w:val="009A1795"/>
    <w:rsid w:val="009A2245"/>
    <w:rsid w:val="009A2F82"/>
    <w:rsid w:val="009A55DF"/>
    <w:rsid w:val="009A5A75"/>
    <w:rsid w:val="009A6333"/>
    <w:rsid w:val="009A6CC4"/>
    <w:rsid w:val="009A6D54"/>
    <w:rsid w:val="009A6F9F"/>
    <w:rsid w:val="009A7E87"/>
    <w:rsid w:val="009B14EB"/>
    <w:rsid w:val="009B1F1F"/>
    <w:rsid w:val="009B5A02"/>
    <w:rsid w:val="009B74E6"/>
    <w:rsid w:val="009C03CA"/>
    <w:rsid w:val="009C0B4C"/>
    <w:rsid w:val="009C0F5C"/>
    <w:rsid w:val="009C134A"/>
    <w:rsid w:val="009C1657"/>
    <w:rsid w:val="009C2372"/>
    <w:rsid w:val="009C4CBF"/>
    <w:rsid w:val="009C4F3C"/>
    <w:rsid w:val="009C5561"/>
    <w:rsid w:val="009C5F3D"/>
    <w:rsid w:val="009C612E"/>
    <w:rsid w:val="009D1B2D"/>
    <w:rsid w:val="009D4301"/>
    <w:rsid w:val="009D4383"/>
    <w:rsid w:val="009D4BF5"/>
    <w:rsid w:val="009D5191"/>
    <w:rsid w:val="009D5F6F"/>
    <w:rsid w:val="009D67C3"/>
    <w:rsid w:val="009D7124"/>
    <w:rsid w:val="009D7BAC"/>
    <w:rsid w:val="009E3147"/>
    <w:rsid w:val="009E382B"/>
    <w:rsid w:val="009E47C1"/>
    <w:rsid w:val="009E4AB9"/>
    <w:rsid w:val="009E6018"/>
    <w:rsid w:val="009E7672"/>
    <w:rsid w:val="009E7DA0"/>
    <w:rsid w:val="009F0A6D"/>
    <w:rsid w:val="009F0A6F"/>
    <w:rsid w:val="009F0BD7"/>
    <w:rsid w:val="009F222B"/>
    <w:rsid w:val="009F2234"/>
    <w:rsid w:val="009F2C9C"/>
    <w:rsid w:val="009F3F8B"/>
    <w:rsid w:val="009F47BF"/>
    <w:rsid w:val="009F5395"/>
    <w:rsid w:val="009F5E4E"/>
    <w:rsid w:val="009F5E55"/>
    <w:rsid w:val="009F637A"/>
    <w:rsid w:val="009F7F40"/>
    <w:rsid w:val="00A00073"/>
    <w:rsid w:val="00A02191"/>
    <w:rsid w:val="00A02BA7"/>
    <w:rsid w:val="00A039A7"/>
    <w:rsid w:val="00A04E89"/>
    <w:rsid w:val="00A05560"/>
    <w:rsid w:val="00A10324"/>
    <w:rsid w:val="00A114E2"/>
    <w:rsid w:val="00A12C61"/>
    <w:rsid w:val="00A130A4"/>
    <w:rsid w:val="00A131FC"/>
    <w:rsid w:val="00A13270"/>
    <w:rsid w:val="00A13B5F"/>
    <w:rsid w:val="00A14D57"/>
    <w:rsid w:val="00A1540E"/>
    <w:rsid w:val="00A161F0"/>
    <w:rsid w:val="00A1677C"/>
    <w:rsid w:val="00A17CC2"/>
    <w:rsid w:val="00A20284"/>
    <w:rsid w:val="00A2067C"/>
    <w:rsid w:val="00A20817"/>
    <w:rsid w:val="00A20A14"/>
    <w:rsid w:val="00A20E95"/>
    <w:rsid w:val="00A2237B"/>
    <w:rsid w:val="00A22423"/>
    <w:rsid w:val="00A2262C"/>
    <w:rsid w:val="00A22AAA"/>
    <w:rsid w:val="00A273D6"/>
    <w:rsid w:val="00A276C7"/>
    <w:rsid w:val="00A30FC9"/>
    <w:rsid w:val="00A3134F"/>
    <w:rsid w:val="00A3273A"/>
    <w:rsid w:val="00A33134"/>
    <w:rsid w:val="00A333AE"/>
    <w:rsid w:val="00A34845"/>
    <w:rsid w:val="00A34E19"/>
    <w:rsid w:val="00A3557D"/>
    <w:rsid w:val="00A3615B"/>
    <w:rsid w:val="00A361A1"/>
    <w:rsid w:val="00A3679E"/>
    <w:rsid w:val="00A368B4"/>
    <w:rsid w:val="00A372DD"/>
    <w:rsid w:val="00A37FAC"/>
    <w:rsid w:val="00A413B1"/>
    <w:rsid w:val="00A42B2D"/>
    <w:rsid w:val="00A43456"/>
    <w:rsid w:val="00A43569"/>
    <w:rsid w:val="00A439DF"/>
    <w:rsid w:val="00A445E2"/>
    <w:rsid w:val="00A4491C"/>
    <w:rsid w:val="00A44FAC"/>
    <w:rsid w:val="00A452F5"/>
    <w:rsid w:val="00A45328"/>
    <w:rsid w:val="00A4631D"/>
    <w:rsid w:val="00A4669A"/>
    <w:rsid w:val="00A466A7"/>
    <w:rsid w:val="00A46AAA"/>
    <w:rsid w:val="00A46CB2"/>
    <w:rsid w:val="00A47432"/>
    <w:rsid w:val="00A50602"/>
    <w:rsid w:val="00A5290E"/>
    <w:rsid w:val="00A52E55"/>
    <w:rsid w:val="00A5322F"/>
    <w:rsid w:val="00A53522"/>
    <w:rsid w:val="00A54023"/>
    <w:rsid w:val="00A54094"/>
    <w:rsid w:val="00A54D45"/>
    <w:rsid w:val="00A55444"/>
    <w:rsid w:val="00A55F7B"/>
    <w:rsid w:val="00A56E7C"/>
    <w:rsid w:val="00A5757A"/>
    <w:rsid w:val="00A575F1"/>
    <w:rsid w:val="00A57DD3"/>
    <w:rsid w:val="00A60E5E"/>
    <w:rsid w:val="00A60F4D"/>
    <w:rsid w:val="00A6119F"/>
    <w:rsid w:val="00A616C3"/>
    <w:rsid w:val="00A64BA1"/>
    <w:rsid w:val="00A6590B"/>
    <w:rsid w:val="00A65CB2"/>
    <w:rsid w:val="00A65EFC"/>
    <w:rsid w:val="00A669C4"/>
    <w:rsid w:val="00A67F92"/>
    <w:rsid w:val="00A70E9F"/>
    <w:rsid w:val="00A70F01"/>
    <w:rsid w:val="00A73547"/>
    <w:rsid w:val="00A749DF"/>
    <w:rsid w:val="00A74E8B"/>
    <w:rsid w:val="00A75076"/>
    <w:rsid w:val="00A7640D"/>
    <w:rsid w:val="00A76803"/>
    <w:rsid w:val="00A76E47"/>
    <w:rsid w:val="00A814B4"/>
    <w:rsid w:val="00A81657"/>
    <w:rsid w:val="00A82AD6"/>
    <w:rsid w:val="00A83314"/>
    <w:rsid w:val="00A83A8C"/>
    <w:rsid w:val="00A83AF5"/>
    <w:rsid w:val="00A86394"/>
    <w:rsid w:val="00A900C5"/>
    <w:rsid w:val="00A906D9"/>
    <w:rsid w:val="00A90A2B"/>
    <w:rsid w:val="00A9144D"/>
    <w:rsid w:val="00A91520"/>
    <w:rsid w:val="00A91B8A"/>
    <w:rsid w:val="00A9228B"/>
    <w:rsid w:val="00A93A95"/>
    <w:rsid w:val="00A9443E"/>
    <w:rsid w:val="00A9463F"/>
    <w:rsid w:val="00A948B9"/>
    <w:rsid w:val="00A965D1"/>
    <w:rsid w:val="00A96E24"/>
    <w:rsid w:val="00A97E93"/>
    <w:rsid w:val="00AA0932"/>
    <w:rsid w:val="00AA274A"/>
    <w:rsid w:val="00AA3AE6"/>
    <w:rsid w:val="00AA3BD7"/>
    <w:rsid w:val="00AA3FCF"/>
    <w:rsid w:val="00AA5006"/>
    <w:rsid w:val="00AA51A7"/>
    <w:rsid w:val="00AA5F21"/>
    <w:rsid w:val="00AA6753"/>
    <w:rsid w:val="00AA67B5"/>
    <w:rsid w:val="00AA7C11"/>
    <w:rsid w:val="00AB0B24"/>
    <w:rsid w:val="00AB0EF2"/>
    <w:rsid w:val="00AB135C"/>
    <w:rsid w:val="00AB198B"/>
    <w:rsid w:val="00AB1CCB"/>
    <w:rsid w:val="00AB25D0"/>
    <w:rsid w:val="00AB2791"/>
    <w:rsid w:val="00AB27DB"/>
    <w:rsid w:val="00AB31A7"/>
    <w:rsid w:val="00AB36FA"/>
    <w:rsid w:val="00AB4C4F"/>
    <w:rsid w:val="00AB4D29"/>
    <w:rsid w:val="00AB4FC8"/>
    <w:rsid w:val="00AB7EED"/>
    <w:rsid w:val="00AC0227"/>
    <w:rsid w:val="00AC046A"/>
    <w:rsid w:val="00AC2A4B"/>
    <w:rsid w:val="00AC332A"/>
    <w:rsid w:val="00AC3BAA"/>
    <w:rsid w:val="00AC3D65"/>
    <w:rsid w:val="00AC5768"/>
    <w:rsid w:val="00AC6034"/>
    <w:rsid w:val="00AD253D"/>
    <w:rsid w:val="00AD2E0B"/>
    <w:rsid w:val="00AD468F"/>
    <w:rsid w:val="00AD4A26"/>
    <w:rsid w:val="00AD68A9"/>
    <w:rsid w:val="00AD7D7A"/>
    <w:rsid w:val="00AE06F7"/>
    <w:rsid w:val="00AE228C"/>
    <w:rsid w:val="00AE24D8"/>
    <w:rsid w:val="00AE315A"/>
    <w:rsid w:val="00AE36CA"/>
    <w:rsid w:val="00AE3895"/>
    <w:rsid w:val="00AE3A91"/>
    <w:rsid w:val="00AE4584"/>
    <w:rsid w:val="00AE69D8"/>
    <w:rsid w:val="00AE7BEC"/>
    <w:rsid w:val="00AF0AC4"/>
    <w:rsid w:val="00AF0C8C"/>
    <w:rsid w:val="00AF0D43"/>
    <w:rsid w:val="00AF1B53"/>
    <w:rsid w:val="00AF24A5"/>
    <w:rsid w:val="00AF27CF"/>
    <w:rsid w:val="00AF2ECA"/>
    <w:rsid w:val="00AF42D4"/>
    <w:rsid w:val="00AF4470"/>
    <w:rsid w:val="00AF59B7"/>
    <w:rsid w:val="00AF63E3"/>
    <w:rsid w:val="00AF6EFE"/>
    <w:rsid w:val="00B0124B"/>
    <w:rsid w:val="00B01B58"/>
    <w:rsid w:val="00B01C8F"/>
    <w:rsid w:val="00B01F9A"/>
    <w:rsid w:val="00B022EA"/>
    <w:rsid w:val="00B03CB0"/>
    <w:rsid w:val="00B0429E"/>
    <w:rsid w:val="00B04554"/>
    <w:rsid w:val="00B04C6C"/>
    <w:rsid w:val="00B05C92"/>
    <w:rsid w:val="00B065C5"/>
    <w:rsid w:val="00B0664E"/>
    <w:rsid w:val="00B06BAD"/>
    <w:rsid w:val="00B076CC"/>
    <w:rsid w:val="00B110FA"/>
    <w:rsid w:val="00B1164E"/>
    <w:rsid w:val="00B13D64"/>
    <w:rsid w:val="00B14879"/>
    <w:rsid w:val="00B14A08"/>
    <w:rsid w:val="00B155BA"/>
    <w:rsid w:val="00B16130"/>
    <w:rsid w:val="00B200EB"/>
    <w:rsid w:val="00B21065"/>
    <w:rsid w:val="00B22113"/>
    <w:rsid w:val="00B24C7F"/>
    <w:rsid w:val="00B255AD"/>
    <w:rsid w:val="00B26A69"/>
    <w:rsid w:val="00B30213"/>
    <w:rsid w:val="00B30876"/>
    <w:rsid w:val="00B3093A"/>
    <w:rsid w:val="00B31452"/>
    <w:rsid w:val="00B33BD9"/>
    <w:rsid w:val="00B344A8"/>
    <w:rsid w:val="00B346AE"/>
    <w:rsid w:val="00B3580E"/>
    <w:rsid w:val="00B35E69"/>
    <w:rsid w:val="00B36351"/>
    <w:rsid w:val="00B374AF"/>
    <w:rsid w:val="00B4101C"/>
    <w:rsid w:val="00B4208A"/>
    <w:rsid w:val="00B4253F"/>
    <w:rsid w:val="00B430DD"/>
    <w:rsid w:val="00B431EA"/>
    <w:rsid w:val="00B43B5F"/>
    <w:rsid w:val="00B450E1"/>
    <w:rsid w:val="00B4720E"/>
    <w:rsid w:val="00B477C2"/>
    <w:rsid w:val="00B47AE8"/>
    <w:rsid w:val="00B5096D"/>
    <w:rsid w:val="00B523D0"/>
    <w:rsid w:val="00B53B8C"/>
    <w:rsid w:val="00B540C8"/>
    <w:rsid w:val="00B543C8"/>
    <w:rsid w:val="00B56694"/>
    <w:rsid w:val="00B603CB"/>
    <w:rsid w:val="00B60F64"/>
    <w:rsid w:val="00B618D7"/>
    <w:rsid w:val="00B61BCA"/>
    <w:rsid w:val="00B61C56"/>
    <w:rsid w:val="00B6287E"/>
    <w:rsid w:val="00B63084"/>
    <w:rsid w:val="00B63D86"/>
    <w:rsid w:val="00B64403"/>
    <w:rsid w:val="00B64AAB"/>
    <w:rsid w:val="00B64B39"/>
    <w:rsid w:val="00B65B81"/>
    <w:rsid w:val="00B67E91"/>
    <w:rsid w:val="00B71696"/>
    <w:rsid w:val="00B72406"/>
    <w:rsid w:val="00B731F8"/>
    <w:rsid w:val="00B73320"/>
    <w:rsid w:val="00B73A25"/>
    <w:rsid w:val="00B73E43"/>
    <w:rsid w:val="00B7647A"/>
    <w:rsid w:val="00B8041A"/>
    <w:rsid w:val="00B80B97"/>
    <w:rsid w:val="00B80DF6"/>
    <w:rsid w:val="00B817B1"/>
    <w:rsid w:val="00B81D35"/>
    <w:rsid w:val="00B82B8E"/>
    <w:rsid w:val="00B83242"/>
    <w:rsid w:val="00B83ABE"/>
    <w:rsid w:val="00B83DA7"/>
    <w:rsid w:val="00B841C5"/>
    <w:rsid w:val="00B86B8F"/>
    <w:rsid w:val="00B870E2"/>
    <w:rsid w:val="00B90D1D"/>
    <w:rsid w:val="00B9267A"/>
    <w:rsid w:val="00B92EF7"/>
    <w:rsid w:val="00B9451A"/>
    <w:rsid w:val="00B9499C"/>
    <w:rsid w:val="00B94D8E"/>
    <w:rsid w:val="00B95601"/>
    <w:rsid w:val="00B9588C"/>
    <w:rsid w:val="00B959D7"/>
    <w:rsid w:val="00B9696A"/>
    <w:rsid w:val="00B97104"/>
    <w:rsid w:val="00BA021C"/>
    <w:rsid w:val="00BA0291"/>
    <w:rsid w:val="00BA177D"/>
    <w:rsid w:val="00BA3F70"/>
    <w:rsid w:val="00BA463C"/>
    <w:rsid w:val="00BA6928"/>
    <w:rsid w:val="00BA69B6"/>
    <w:rsid w:val="00BA78E9"/>
    <w:rsid w:val="00BB0ED1"/>
    <w:rsid w:val="00BB1FD9"/>
    <w:rsid w:val="00BB3256"/>
    <w:rsid w:val="00BB45E3"/>
    <w:rsid w:val="00BB45F4"/>
    <w:rsid w:val="00BB6D81"/>
    <w:rsid w:val="00BB73C1"/>
    <w:rsid w:val="00BB7C23"/>
    <w:rsid w:val="00BC00A5"/>
    <w:rsid w:val="00BC0C13"/>
    <w:rsid w:val="00BC1462"/>
    <w:rsid w:val="00BC1770"/>
    <w:rsid w:val="00BC27B3"/>
    <w:rsid w:val="00BC3DEB"/>
    <w:rsid w:val="00BC3E56"/>
    <w:rsid w:val="00BD0066"/>
    <w:rsid w:val="00BD0A83"/>
    <w:rsid w:val="00BD1157"/>
    <w:rsid w:val="00BD12FC"/>
    <w:rsid w:val="00BD1DC9"/>
    <w:rsid w:val="00BD23B7"/>
    <w:rsid w:val="00BD342D"/>
    <w:rsid w:val="00BD4F3F"/>
    <w:rsid w:val="00BD623D"/>
    <w:rsid w:val="00BD7302"/>
    <w:rsid w:val="00BD7CB1"/>
    <w:rsid w:val="00BD7D71"/>
    <w:rsid w:val="00BE1A82"/>
    <w:rsid w:val="00BE3784"/>
    <w:rsid w:val="00BE40A6"/>
    <w:rsid w:val="00BE53CA"/>
    <w:rsid w:val="00BE5AC2"/>
    <w:rsid w:val="00BE5FF0"/>
    <w:rsid w:val="00BE63E8"/>
    <w:rsid w:val="00BE6C64"/>
    <w:rsid w:val="00BE6FC0"/>
    <w:rsid w:val="00BF1214"/>
    <w:rsid w:val="00BF15FF"/>
    <w:rsid w:val="00BF1903"/>
    <w:rsid w:val="00BF23C3"/>
    <w:rsid w:val="00BF38FD"/>
    <w:rsid w:val="00BF39B2"/>
    <w:rsid w:val="00BF3DCC"/>
    <w:rsid w:val="00BF4BE1"/>
    <w:rsid w:val="00BF5670"/>
    <w:rsid w:val="00C01D54"/>
    <w:rsid w:val="00C02577"/>
    <w:rsid w:val="00C04433"/>
    <w:rsid w:val="00C051EC"/>
    <w:rsid w:val="00C05578"/>
    <w:rsid w:val="00C0689E"/>
    <w:rsid w:val="00C07FD4"/>
    <w:rsid w:val="00C107CF"/>
    <w:rsid w:val="00C11900"/>
    <w:rsid w:val="00C1318B"/>
    <w:rsid w:val="00C13B1F"/>
    <w:rsid w:val="00C154A1"/>
    <w:rsid w:val="00C1607C"/>
    <w:rsid w:val="00C16ADB"/>
    <w:rsid w:val="00C17341"/>
    <w:rsid w:val="00C17915"/>
    <w:rsid w:val="00C17EFE"/>
    <w:rsid w:val="00C20168"/>
    <w:rsid w:val="00C2051A"/>
    <w:rsid w:val="00C21838"/>
    <w:rsid w:val="00C22CAB"/>
    <w:rsid w:val="00C2356E"/>
    <w:rsid w:val="00C26084"/>
    <w:rsid w:val="00C2644B"/>
    <w:rsid w:val="00C3116A"/>
    <w:rsid w:val="00C32196"/>
    <w:rsid w:val="00C3365E"/>
    <w:rsid w:val="00C3482E"/>
    <w:rsid w:val="00C34F57"/>
    <w:rsid w:val="00C35BBA"/>
    <w:rsid w:val="00C4041F"/>
    <w:rsid w:val="00C407A7"/>
    <w:rsid w:val="00C414A3"/>
    <w:rsid w:val="00C43846"/>
    <w:rsid w:val="00C43DFA"/>
    <w:rsid w:val="00C44E5E"/>
    <w:rsid w:val="00C45A54"/>
    <w:rsid w:val="00C46A9B"/>
    <w:rsid w:val="00C474C0"/>
    <w:rsid w:val="00C47727"/>
    <w:rsid w:val="00C50A71"/>
    <w:rsid w:val="00C50CA4"/>
    <w:rsid w:val="00C51BC4"/>
    <w:rsid w:val="00C524E3"/>
    <w:rsid w:val="00C52A06"/>
    <w:rsid w:val="00C52C8A"/>
    <w:rsid w:val="00C544BD"/>
    <w:rsid w:val="00C5548B"/>
    <w:rsid w:val="00C56250"/>
    <w:rsid w:val="00C56B70"/>
    <w:rsid w:val="00C57CFE"/>
    <w:rsid w:val="00C6020F"/>
    <w:rsid w:val="00C6172D"/>
    <w:rsid w:val="00C617A5"/>
    <w:rsid w:val="00C6361A"/>
    <w:rsid w:val="00C63760"/>
    <w:rsid w:val="00C64672"/>
    <w:rsid w:val="00C65157"/>
    <w:rsid w:val="00C651FB"/>
    <w:rsid w:val="00C655B5"/>
    <w:rsid w:val="00C65B07"/>
    <w:rsid w:val="00C66537"/>
    <w:rsid w:val="00C67ACE"/>
    <w:rsid w:val="00C70402"/>
    <w:rsid w:val="00C708FD"/>
    <w:rsid w:val="00C71BEA"/>
    <w:rsid w:val="00C72501"/>
    <w:rsid w:val="00C73E86"/>
    <w:rsid w:val="00C753D1"/>
    <w:rsid w:val="00C77017"/>
    <w:rsid w:val="00C77B2C"/>
    <w:rsid w:val="00C809A7"/>
    <w:rsid w:val="00C810EE"/>
    <w:rsid w:val="00C8161A"/>
    <w:rsid w:val="00C82905"/>
    <w:rsid w:val="00C82EF9"/>
    <w:rsid w:val="00C82F5F"/>
    <w:rsid w:val="00C847BF"/>
    <w:rsid w:val="00C84E09"/>
    <w:rsid w:val="00C84F62"/>
    <w:rsid w:val="00C84FC5"/>
    <w:rsid w:val="00C876BA"/>
    <w:rsid w:val="00C901C1"/>
    <w:rsid w:val="00C91609"/>
    <w:rsid w:val="00C918FB"/>
    <w:rsid w:val="00C91C6E"/>
    <w:rsid w:val="00C93337"/>
    <w:rsid w:val="00C93BC9"/>
    <w:rsid w:val="00C94DA7"/>
    <w:rsid w:val="00C959A7"/>
    <w:rsid w:val="00C95F22"/>
    <w:rsid w:val="00C960E9"/>
    <w:rsid w:val="00C96B53"/>
    <w:rsid w:val="00C96D2E"/>
    <w:rsid w:val="00C97F15"/>
    <w:rsid w:val="00CA0F47"/>
    <w:rsid w:val="00CA232B"/>
    <w:rsid w:val="00CA23D2"/>
    <w:rsid w:val="00CA2BE4"/>
    <w:rsid w:val="00CA2D08"/>
    <w:rsid w:val="00CA45B7"/>
    <w:rsid w:val="00CA4E53"/>
    <w:rsid w:val="00CA5ADF"/>
    <w:rsid w:val="00CA5B80"/>
    <w:rsid w:val="00CA6366"/>
    <w:rsid w:val="00CA659E"/>
    <w:rsid w:val="00CA6C4C"/>
    <w:rsid w:val="00CA70DA"/>
    <w:rsid w:val="00CA7A42"/>
    <w:rsid w:val="00CB021E"/>
    <w:rsid w:val="00CB1815"/>
    <w:rsid w:val="00CB1A10"/>
    <w:rsid w:val="00CB1C50"/>
    <w:rsid w:val="00CB44B6"/>
    <w:rsid w:val="00CB46A6"/>
    <w:rsid w:val="00CB49C8"/>
    <w:rsid w:val="00CB6E2E"/>
    <w:rsid w:val="00CB6EE0"/>
    <w:rsid w:val="00CB7776"/>
    <w:rsid w:val="00CC0C5F"/>
    <w:rsid w:val="00CC0FD9"/>
    <w:rsid w:val="00CC183E"/>
    <w:rsid w:val="00CC2453"/>
    <w:rsid w:val="00CC30E8"/>
    <w:rsid w:val="00CC3B3D"/>
    <w:rsid w:val="00CC4950"/>
    <w:rsid w:val="00CC49A3"/>
    <w:rsid w:val="00CC5382"/>
    <w:rsid w:val="00CC5B00"/>
    <w:rsid w:val="00CD08F6"/>
    <w:rsid w:val="00CD0D48"/>
    <w:rsid w:val="00CD1F7C"/>
    <w:rsid w:val="00CD2354"/>
    <w:rsid w:val="00CD2BA1"/>
    <w:rsid w:val="00CD3A13"/>
    <w:rsid w:val="00CD3AB8"/>
    <w:rsid w:val="00CD3BAC"/>
    <w:rsid w:val="00CD42CD"/>
    <w:rsid w:val="00CD477B"/>
    <w:rsid w:val="00CD4FE8"/>
    <w:rsid w:val="00CD6815"/>
    <w:rsid w:val="00CD69D0"/>
    <w:rsid w:val="00CE0BF6"/>
    <w:rsid w:val="00CE0ECF"/>
    <w:rsid w:val="00CE16C5"/>
    <w:rsid w:val="00CE1FDB"/>
    <w:rsid w:val="00CE28A8"/>
    <w:rsid w:val="00CE2D85"/>
    <w:rsid w:val="00CE30A4"/>
    <w:rsid w:val="00CE4798"/>
    <w:rsid w:val="00CE51CB"/>
    <w:rsid w:val="00CE58EC"/>
    <w:rsid w:val="00CE5E4F"/>
    <w:rsid w:val="00CE5E8A"/>
    <w:rsid w:val="00CE7AC7"/>
    <w:rsid w:val="00CF0425"/>
    <w:rsid w:val="00CF1239"/>
    <w:rsid w:val="00CF2949"/>
    <w:rsid w:val="00CF2A5C"/>
    <w:rsid w:val="00CF4CA5"/>
    <w:rsid w:val="00CF5821"/>
    <w:rsid w:val="00CF67D3"/>
    <w:rsid w:val="00CF69C3"/>
    <w:rsid w:val="00D009EF"/>
    <w:rsid w:val="00D01121"/>
    <w:rsid w:val="00D013CD"/>
    <w:rsid w:val="00D03A54"/>
    <w:rsid w:val="00D03D46"/>
    <w:rsid w:val="00D04260"/>
    <w:rsid w:val="00D04701"/>
    <w:rsid w:val="00D06890"/>
    <w:rsid w:val="00D07299"/>
    <w:rsid w:val="00D07E6D"/>
    <w:rsid w:val="00D101E4"/>
    <w:rsid w:val="00D102C6"/>
    <w:rsid w:val="00D10A6A"/>
    <w:rsid w:val="00D10C92"/>
    <w:rsid w:val="00D112C7"/>
    <w:rsid w:val="00D117F6"/>
    <w:rsid w:val="00D11F5D"/>
    <w:rsid w:val="00D1268A"/>
    <w:rsid w:val="00D126C1"/>
    <w:rsid w:val="00D12FF4"/>
    <w:rsid w:val="00D138EF"/>
    <w:rsid w:val="00D14FDC"/>
    <w:rsid w:val="00D15B4E"/>
    <w:rsid w:val="00D15C23"/>
    <w:rsid w:val="00D16CB5"/>
    <w:rsid w:val="00D17416"/>
    <w:rsid w:val="00D203FB"/>
    <w:rsid w:val="00D204AD"/>
    <w:rsid w:val="00D211D6"/>
    <w:rsid w:val="00D2287A"/>
    <w:rsid w:val="00D23A3A"/>
    <w:rsid w:val="00D23FB0"/>
    <w:rsid w:val="00D254A3"/>
    <w:rsid w:val="00D259A0"/>
    <w:rsid w:val="00D25C90"/>
    <w:rsid w:val="00D25DB6"/>
    <w:rsid w:val="00D2760B"/>
    <w:rsid w:val="00D27F88"/>
    <w:rsid w:val="00D310A3"/>
    <w:rsid w:val="00D32CDE"/>
    <w:rsid w:val="00D3363F"/>
    <w:rsid w:val="00D345E9"/>
    <w:rsid w:val="00D347CC"/>
    <w:rsid w:val="00D34D7A"/>
    <w:rsid w:val="00D35EE6"/>
    <w:rsid w:val="00D37381"/>
    <w:rsid w:val="00D3787C"/>
    <w:rsid w:val="00D4113D"/>
    <w:rsid w:val="00D445CA"/>
    <w:rsid w:val="00D4541E"/>
    <w:rsid w:val="00D470B8"/>
    <w:rsid w:val="00D544BD"/>
    <w:rsid w:val="00D553E6"/>
    <w:rsid w:val="00D5643F"/>
    <w:rsid w:val="00D57074"/>
    <w:rsid w:val="00D575D1"/>
    <w:rsid w:val="00D57AE8"/>
    <w:rsid w:val="00D6094D"/>
    <w:rsid w:val="00D60AE6"/>
    <w:rsid w:val="00D613CB"/>
    <w:rsid w:val="00D63A99"/>
    <w:rsid w:val="00D65CF2"/>
    <w:rsid w:val="00D671AD"/>
    <w:rsid w:val="00D714DC"/>
    <w:rsid w:val="00D72B66"/>
    <w:rsid w:val="00D732F4"/>
    <w:rsid w:val="00D73CBA"/>
    <w:rsid w:val="00D756C7"/>
    <w:rsid w:val="00D769BB"/>
    <w:rsid w:val="00D76FDF"/>
    <w:rsid w:val="00D77362"/>
    <w:rsid w:val="00D833B6"/>
    <w:rsid w:val="00D83B98"/>
    <w:rsid w:val="00D8498A"/>
    <w:rsid w:val="00D84E8B"/>
    <w:rsid w:val="00D8516E"/>
    <w:rsid w:val="00D85FF0"/>
    <w:rsid w:val="00D87623"/>
    <w:rsid w:val="00D87F86"/>
    <w:rsid w:val="00D90196"/>
    <w:rsid w:val="00D9089E"/>
    <w:rsid w:val="00D90B4C"/>
    <w:rsid w:val="00D90DCD"/>
    <w:rsid w:val="00D916D1"/>
    <w:rsid w:val="00D9190D"/>
    <w:rsid w:val="00D91BD2"/>
    <w:rsid w:val="00D9236E"/>
    <w:rsid w:val="00D9322A"/>
    <w:rsid w:val="00D93EA6"/>
    <w:rsid w:val="00D940E1"/>
    <w:rsid w:val="00D95C95"/>
    <w:rsid w:val="00DA18D2"/>
    <w:rsid w:val="00DA1B85"/>
    <w:rsid w:val="00DB0026"/>
    <w:rsid w:val="00DB12CB"/>
    <w:rsid w:val="00DB1677"/>
    <w:rsid w:val="00DB1686"/>
    <w:rsid w:val="00DB2823"/>
    <w:rsid w:val="00DB383C"/>
    <w:rsid w:val="00DB40E7"/>
    <w:rsid w:val="00DB4111"/>
    <w:rsid w:val="00DB43F0"/>
    <w:rsid w:val="00DB44B7"/>
    <w:rsid w:val="00DB5996"/>
    <w:rsid w:val="00DB73B7"/>
    <w:rsid w:val="00DB7900"/>
    <w:rsid w:val="00DC0A27"/>
    <w:rsid w:val="00DC37D0"/>
    <w:rsid w:val="00DC3A01"/>
    <w:rsid w:val="00DC462F"/>
    <w:rsid w:val="00DC4EEF"/>
    <w:rsid w:val="00DC758F"/>
    <w:rsid w:val="00DC7A78"/>
    <w:rsid w:val="00DD04C5"/>
    <w:rsid w:val="00DD0632"/>
    <w:rsid w:val="00DD18F8"/>
    <w:rsid w:val="00DD2025"/>
    <w:rsid w:val="00DD2106"/>
    <w:rsid w:val="00DD341B"/>
    <w:rsid w:val="00DD4D3F"/>
    <w:rsid w:val="00DD4E4F"/>
    <w:rsid w:val="00DD58B0"/>
    <w:rsid w:val="00DD65AC"/>
    <w:rsid w:val="00DD78FB"/>
    <w:rsid w:val="00DD7B97"/>
    <w:rsid w:val="00DE1533"/>
    <w:rsid w:val="00DE15BE"/>
    <w:rsid w:val="00DE1C44"/>
    <w:rsid w:val="00DE346E"/>
    <w:rsid w:val="00DE43B4"/>
    <w:rsid w:val="00DE6729"/>
    <w:rsid w:val="00DE67A7"/>
    <w:rsid w:val="00DE6D88"/>
    <w:rsid w:val="00DE7656"/>
    <w:rsid w:val="00DF09EE"/>
    <w:rsid w:val="00DF156D"/>
    <w:rsid w:val="00DF2BE2"/>
    <w:rsid w:val="00DF463F"/>
    <w:rsid w:val="00DF6619"/>
    <w:rsid w:val="00DF753D"/>
    <w:rsid w:val="00DF7BDC"/>
    <w:rsid w:val="00DF7C06"/>
    <w:rsid w:val="00E022EC"/>
    <w:rsid w:val="00E042C5"/>
    <w:rsid w:val="00E047B8"/>
    <w:rsid w:val="00E0542F"/>
    <w:rsid w:val="00E05955"/>
    <w:rsid w:val="00E06B38"/>
    <w:rsid w:val="00E070EE"/>
    <w:rsid w:val="00E10CF8"/>
    <w:rsid w:val="00E11141"/>
    <w:rsid w:val="00E11502"/>
    <w:rsid w:val="00E12BA8"/>
    <w:rsid w:val="00E13343"/>
    <w:rsid w:val="00E133EB"/>
    <w:rsid w:val="00E134A1"/>
    <w:rsid w:val="00E14514"/>
    <w:rsid w:val="00E15D94"/>
    <w:rsid w:val="00E1626A"/>
    <w:rsid w:val="00E221FF"/>
    <w:rsid w:val="00E2308B"/>
    <w:rsid w:val="00E235F4"/>
    <w:rsid w:val="00E23B63"/>
    <w:rsid w:val="00E253BE"/>
    <w:rsid w:val="00E25674"/>
    <w:rsid w:val="00E2568F"/>
    <w:rsid w:val="00E27DCE"/>
    <w:rsid w:val="00E30E69"/>
    <w:rsid w:val="00E31AA6"/>
    <w:rsid w:val="00E322DF"/>
    <w:rsid w:val="00E362F2"/>
    <w:rsid w:val="00E365DC"/>
    <w:rsid w:val="00E36709"/>
    <w:rsid w:val="00E36B89"/>
    <w:rsid w:val="00E371A4"/>
    <w:rsid w:val="00E37A5C"/>
    <w:rsid w:val="00E41C86"/>
    <w:rsid w:val="00E41F83"/>
    <w:rsid w:val="00E4470D"/>
    <w:rsid w:val="00E464F6"/>
    <w:rsid w:val="00E46552"/>
    <w:rsid w:val="00E46D1C"/>
    <w:rsid w:val="00E46DD6"/>
    <w:rsid w:val="00E47C76"/>
    <w:rsid w:val="00E501E3"/>
    <w:rsid w:val="00E511CE"/>
    <w:rsid w:val="00E51647"/>
    <w:rsid w:val="00E51CC4"/>
    <w:rsid w:val="00E52872"/>
    <w:rsid w:val="00E529AD"/>
    <w:rsid w:val="00E56EA5"/>
    <w:rsid w:val="00E5746E"/>
    <w:rsid w:val="00E57C1D"/>
    <w:rsid w:val="00E6129F"/>
    <w:rsid w:val="00E61C13"/>
    <w:rsid w:val="00E628AC"/>
    <w:rsid w:val="00E62963"/>
    <w:rsid w:val="00E62C19"/>
    <w:rsid w:val="00E6327E"/>
    <w:rsid w:val="00E667F7"/>
    <w:rsid w:val="00E67295"/>
    <w:rsid w:val="00E70496"/>
    <w:rsid w:val="00E70DDE"/>
    <w:rsid w:val="00E72422"/>
    <w:rsid w:val="00E7328F"/>
    <w:rsid w:val="00E745BC"/>
    <w:rsid w:val="00E7533D"/>
    <w:rsid w:val="00E766B9"/>
    <w:rsid w:val="00E767A5"/>
    <w:rsid w:val="00E771E6"/>
    <w:rsid w:val="00E80855"/>
    <w:rsid w:val="00E80DD0"/>
    <w:rsid w:val="00E80EA8"/>
    <w:rsid w:val="00E810F7"/>
    <w:rsid w:val="00E82D0C"/>
    <w:rsid w:val="00E82EC8"/>
    <w:rsid w:val="00E83697"/>
    <w:rsid w:val="00E843BD"/>
    <w:rsid w:val="00E843EE"/>
    <w:rsid w:val="00E84F31"/>
    <w:rsid w:val="00E86C67"/>
    <w:rsid w:val="00E90349"/>
    <w:rsid w:val="00E91A02"/>
    <w:rsid w:val="00E9420F"/>
    <w:rsid w:val="00E94961"/>
    <w:rsid w:val="00E959D7"/>
    <w:rsid w:val="00E9719D"/>
    <w:rsid w:val="00E974E2"/>
    <w:rsid w:val="00EA02EA"/>
    <w:rsid w:val="00EA0DA8"/>
    <w:rsid w:val="00EA1097"/>
    <w:rsid w:val="00EA1857"/>
    <w:rsid w:val="00EA18F7"/>
    <w:rsid w:val="00EA1D12"/>
    <w:rsid w:val="00EA2502"/>
    <w:rsid w:val="00EA27F8"/>
    <w:rsid w:val="00EA2D5F"/>
    <w:rsid w:val="00EA4E8A"/>
    <w:rsid w:val="00EA578F"/>
    <w:rsid w:val="00EA7191"/>
    <w:rsid w:val="00EB339E"/>
    <w:rsid w:val="00EB41C4"/>
    <w:rsid w:val="00EB6706"/>
    <w:rsid w:val="00EB6C50"/>
    <w:rsid w:val="00EB6D26"/>
    <w:rsid w:val="00EC01C5"/>
    <w:rsid w:val="00EC37D7"/>
    <w:rsid w:val="00EC398A"/>
    <w:rsid w:val="00EC4A46"/>
    <w:rsid w:val="00EC4BAF"/>
    <w:rsid w:val="00EC5765"/>
    <w:rsid w:val="00EC5943"/>
    <w:rsid w:val="00EC765A"/>
    <w:rsid w:val="00EC77AF"/>
    <w:rsid w:val="00EC7F34"/>
    <w:rsid w:val="00ED3365"/>
    <w:rsid w:val="00ED35A6"/>
    <w:rsid w:val="00ED3AD3"/>
    <w:rsid w:val="00ED3CB7"/>
    <w:rsid w:val="00ED42D5"/>
    <w:rsid w:val="00ED432C"/>
    <w:rsid w:val="00ED580A"/>
    <w:rsid w:val="00ED5A40"/>
    <w:rsid w:val="00ED5F2E"/>
    <w:rsid w:val="00ED6072"/>
    <w:rsid w:val="00ED6D03"/>
    <w:rsid w:val="00ED7F39"/>
    <w:rsid w:val="00EE05AB"/>
    <w:rsid w:val="00EE28A8"/>
    <w:rsid w:val="00EE3571"/>
    <w:rsid w:val="00EE4054"/>
    <w:rsid w:val="00EE54AC"/>
    <w:rsid w:val="00EE57D2"/>
    <w:rsid w:val="00EE5E32"/>
    <w:rsid w:val="00EE5F23"/>
    <w:rsid w:val="00EE69A2"/>
    <w:rsid w:val="00EF2814"/>
    <w:rsid w:val="00EF2CFD"/>
    <w:rsid w:val="00EF3A59"/>
    <w:rsid w:val="00EF40BA"/>
    <w:rsid w:val="00EF5039"/>
    <w:rsid w:val="00F00709"/>
    <w:rsid w:val="00F00A29"/>
    <w:rsid w:val="00F00AC0"/>
    <w:rsid w:val="00F02E84"/>
    <w:rsid w:val="00F04487"/>
    <w:rsid w:val="00F044D4"/>
    <w:rsid w:val="00F04D54"/>
    <w:rsid w:val="00F054CF"/>
    <w:rsid w:val="00F05810"/>
    <w:rsid w:val="00F05A42"/>
    <w:rsid w:val="00F062AB"/>
    <w:rsid w:val="00F06D08"/>
    <w:rsid w:val="00F07261"/>
    <w:rsid w:val="00F10E99"/>
    <w:rsid w:val="00F11266"/>
    <w:rsid w:val="00F1131E"/>
    <w:rsid w:val="00F12445"/>
    <w:rsid w:val="00F12F6D"/>
    <w:rsid w:val="00F12FD9"/>
    <w:rsid w:val="00F13627"/>
    <w:rsid w:val="00F13FA8"/>
    <w:rsid w:val="00F14D58"/>
    <w:rsid w:val="00F1545C"/>
    <w:rsid w:val="00F15E4F"/>
    <w:rsid w:val="00F17B4F"/>
    <w:rsid w:val="00F17CC3"/>
    <w:rsid w:val="00F21537"/>
    <w:rsid w:val="00F22383"/>
    <w:rsid w:val="00F23F52"/>
    <w:rsid w:val="00F259A6"/>
    <w:rsid w:val="00F25F51"/>
    <w:rsid w:val="00F26B6F"/>
    <w:rsid w:val="00F26C71"/>
    <w:rsid w:val="00F31F88"/>
    <w:rsid w:val="00F32533"/>
    <w:rsid w:val="00F32736"/>
    <w:rsid w:val="00F32961"/>
    <w:rsid w:val="00F36D48"/>
    <w:rsid w:val="00F376B3"/>
    <w:rsid w:val="00F3779B"/>
    <w:rsid w:val="00F40F3E"/>
    <w:rsid w:val="00F40FD6"/>
    <w:rsid w:val="00F416DA"/>
    <w:rsid w:val="00F42CE1"/>
    <w:rsid w:val="00F43521"/>
    <w:rsid w:val="00F44525"/>
    <w:rsid w:val="00F44DBF"/>
    <w:rsid w:val="00F45A8D"/>
    <w:rsid w:val="00F47F30"/>
    <w:rsid w:val="00F506C0"/>
    <w:rsid w:val="00F50A74"/>
    <w:rsid w:val="00F51399"/>
    <w:rsid w:val="00F531AC"/>
    <w:rsid w:val="00F537E5"/>
    <w:rsid w:val="00F53E33"/>
    <w:rsid w:val="00F54807"/>
    <w:rsid w:val="00F55196"/>
    <w:rsid w:val="00F57892"/>
    <w:rsid w:val="00F60212"/>
    <w:rsid w:val="00F603AB"/>
    <w:rsid w:val="00F61899"/>
    <w:rsid w:val="00F623BD"/>
    <w:rsid w:val="00F62F95"/>
    <w:rsid w:val="00F64FEA"/>
    <w:rsid w:val="00F65048"/>
    <w:rsid w:val="00F659B8"/>
    <w:rsid w:val="00F666AB"/>
    <w:rsid w:val="00F67D56"/>
    <w:rsid w:val="00F70284"/>
    <w:rsid w:val="00F7049B"/>
    <w:rsid w:val="00F71B79"/>
    <w:rsid w:val="00F71F22"/>
    <w:rsid w:val="00F726FE"/>
    <w:rsid w:val="00F72D33"/>
    <w:rsid w:val="00F72DE8"/>
    <w:rsid w:val="00F73104"/>
    <w:rsid w:val="00F7363B"/>
    <w:rsid w:val="00F73787"/>
    <w:rsid w:val="00F745CF"/>
    <w:rsid w:val="00F7580E"/>
    <w:rsid w:val="00F76012"/>
    <w:rsid w:val="00F763BD"/>
    <w:rsid w:val="00F77980"/>
    <w:rsid w:val="00F77C5C"/>
    <w:rsid w:val="00F834BB"/>
    <w:rsid w:val="00F83994"/>
    <w:rsid w:val="00F83E38"/>
    <w:rsid w:val="00F851D0"/>
    <w:rsid w:val="00F8659E"/>
    <w:rsid w:val="00F874AA"/>
    <w:rsid w:val="00F900EE"/>
    <w:rsid w:val="00F92F49"/>
    <w:rsid w:val="00F9383B"/>
    <w:rsid w:val="00F93A14"/>
    <w:rsid w:val="00F94AD4"/>
    <w:rsid w:val="00F94D83"/>
    <w:rsid w:val="00F96F04"/>
    <w:rsid w:val="00F9720A"/>
    <w:rsid w:val="00F976C3"/>
    <w:rsid w:val="00F97973"/>
    <w:rsid w:val="00F97BBA"/>
    <w:rsid w:val="00FA1CAB"/>
    <w:rsid w:val="00FA315D"/>
    <w:rsid w:val="00FA338E"/>
    <w:rsid w:val="00FA3AAC"/>
    <w:rsid w:val="00FA44C8"/>
    <w:rsid w:val="00FA44F6"/>
    <w:rsid w:val="00FA7E51"/>
    <w:rsid w:val="00FB0540"/>
    <w:rsid w:val="00FB0AB8"/>
    <w:rsid w:val="00FB2497"/>
    <w:rsid w:val="00FB286C"/>
    <w:rsid w:val="00FB33A1"/>
    <w:rsid w:val="00FB4BAB"/>
    <w:rsid w:val="00FB57A0"/>
    <w:rsid w:val="00FB75D8"/>
    <w:rsid w:val="00FB7EAB"/>
    <w:rsid w:val="00FC03DB"/>
    <w:rsid w:val="00FC052B"/>
    <w:rsid w:val="00FC20E7"/>
    <w:rsid w:val="00FC4F33"/>
    <w:rsid w:val="00FC571D"/>
    <w:rsid w:val="00FC6B53"/>
    <w:rsid w:val="00FC6E83"/>
    <w:rsid w:val="00FD02EF"/>
    <w:rsid w:val="00FD119D"/>
    <w:rsid w:val="00FD1CA9"/>
    <w:rsid w:val="00FD1E26"/>
    <w:rsid w:val="00FD59C4"/>
    <w:rsid w:val="00FD64C8"/>
    <w:rsid w:val="00FD72D6"/>
    <w:rsid w:val="00FE04BB"/>
    <w:rsid w:val="00FE0EB1"/>
    <w:rsid w:val="00FE1A88"/>
    <w:rsid w:val="00FE384B"/>
    <w:rsid w:val="00FE4F82"/>
    <w:rsid w:val="00FE7204"/>
    <w:rsid w:val="00FE79A4"/>
    <w:rsid w:val="00FF057B"/>
    <w:rsid w:val="00FF08AE"/>
    <w:rsid w:val="00FF098B"/>
    <w:rsid w:val="00FF2B3D"/>
    <w:rsid w:val="00FF5867"/>
    <w:rsid w:val="00FF5BDD"/>
    <w:rsid w:val="00FF5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788"/>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pPr>
      <w:keepNext/>
      <w:spacing w:before="240" w:after="60"/>
      <w:outlineLvl w:val="0"/>
    </w:pPr>
    <w:rPr>
      <w:rFonts w:ascii="Arial" w:hAnsi="Arial"/>
      <w:b/>
      <w:caps/>
      <w:noProof/>
      <w:kern w:val="28"/>
      <w:sz w:val="40"/>
      <w:lang w:eastAsia="ja-JP"/>
    </w:rPr>
  </w:style>
  <w:style w:type="paragraph" w:styleId="Heading2">
    <w:name w:val="heading 2"/>
    <w:basedOn w:val="Normal"/>
    <w:next w:val="Normal"/>
    <w:qFormat/>
    <w:pPr>
      <w:keepNext/>
      <w:spacing w:before="360" w:after="60"/>
      <w:outlineLvl w:val="1"/>
    </w:pPr>
    <w:rPr>
      <w:b/>
      <w:caps/>
      <w:sz w:val="28"/>
    </w:rPr>
  </w:style>
  <w:style w:type="paragraph" w:styleId="Heading3">
    <w:name w:val="heading 3"/>
    <w:basedOn w:val="Normal"/>
    <w:next w:val="Normal"/>
    <w:link w:val="Heading3Char"/>
    <w:qFormat/>
    <w:pPr>
      <w:keepNext/>
      <w:spacing w:before="240" w:after="60"/>
      <w:outlineLvl w:val="2"/>
    </w:pPr>
    <w:rPr>
      <w:b/>
      <w:sz w:val="24"/>
    </w:rPr>
  </w:style>
  <w:style w:type="paragraph" w:styleId="Heading4">
    <w:name w:val="heading 4"/>
    <w:basedOn w:val="Normal"/>
    <w:next w:val="Normal"/>
    <w:link w:val="Heading4Char"/>
    <w:qFormat/>
    <w:pPr>
      <w:keepNext/>
      <w:spacing w:before="120" w:after="0"/>
      <w:ind w:left="567"/>
      <w:outlineLvl w:val="3"/>
    </w:pPr>
    <w:rPr>
      <w:b/>
      <w:i/>
      <w:sz w:val="24"/>
    </w:rPr>
  </w:style>
  <w:style w:type="paragraph" w:styleId="Heading5">
    <w:name w:val="heading 5"/>
    <w:basedOn w:val="Normal"/>
    <w:next w:val="Normal"/>
    <w:link w:val="Heading5Char"/>
    <w:qFormat/>
    <w:pPr>
      <w:spacing w:before="120" w:after="0"/>
      <w:ind w:left="907"/>
      <w:outlineLvl w:val="4"/>
    </w:pPr>
    <w:rPr>
      <w:i/>
      <w:sz w:val="24"/>
    </w:rPr>
  </w:style>
  <w:style w:type="paragraph" w:styleId="Heading6">
    <w:name w:val="heading 6"/>
    <w:basedOn w:val="Normal"/>
    <w:next w:val="Normal"/>
    <w:qFormat/>
    <w:pPr>
      <w:spacing w:before="240" w:after="60"/>
      <w:outlineLvl w:val="5"/>
    </w:pPr>
    <w:rPr>
      <w:rFonts w:ascii="Arial" w:hAnsi="Arial"/>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rsid w:val="006807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0788"/>
  </w:style>
  <w:style w:type="paragraph" w:styleId="Header">
    <w:name w:val="header"/>
    <w:pPr>
      <w:tabs>
        <w:tab w:val="center" w:pos="4320"/>
        <w:tab w:val="right" w:pos="8640"/>
      </w:tabs>
    </w:pPr>
    <w:rPr>
      <w:smallCaps/>
      <w:noProof/>
      <w:lang w:eastAsia="ja-JP"/>
    </w:rPr>
  </w:style>
  <w:style w:type="paragraph" w:styleId="Footer">
    <w:name w:val="footer"/>
    <w:pPr>
      <w:tabs>
        <w:tab w:val="center" w:pos="4320"/>
        <w:tab w:val="right" w:pos="8640"/>
      </w:tabs>
    </w:pPr>
    <w:rPr>
      <w:noProof/>
      <w:sz w:val="16"/>
      <w:lang w:eastAsia="ja-JP"/>
    </w:rPr>
  </w:style>
  <w:style w:type="character" w:styleId="PageNumber">
    <w:name w:val="page number"/>
    <w:basedOn w:val="DefaultParagraphFont"/>
  </w:style>
  <w:style w:type="paragraph" w:customStyle="1" w:styleId="PIParagraph">
    <w:name w:val="PI Paragraph"/>
    <w:basedOn w:val="Normal"/>
    <w:pPr>
      <w:widowControl w:val="0"/>
      <w:spacing w:after="300" w:line="400" w:lineRule="exact"/>
      <w:jc w:val="both"/>
    </w:pPr>
    <w:rPr>
      <w:rFonts w:ascii="Helvetica" w:hAnsi="Helvetica"/>
      <w:sz w:val="24"/>
    </w:rPr>
  </w:style>
  <w:style w:type="paragraph" w:customStyle="1" w:styleId="PIexplanation">
    <w:name w:val="PI explanation"/>
    <w:basedOn w:val="Normal"/>
    <w:rPr>
      <w:i/>
      <w:color w:val="FF0000"/>
    </w:rPr>
  </w:style>
  <w:style w:type="character" w:styleId="CommentReference">
    <w:name w:val="annotation reference"/>
    <w:uiPriority w:val="99"/>
    <w:semiHidden/>
    <w:rPr>
      <w:sz w:val="16"/>
    </w:rPr>
  </w:style>
  <w:style w:type="paragraph" w:styleId="CommentText">
    <w:name w:val="annotation text"/>
    <w:basedOn w:val="Normal"/>
    <w:link w:val="CommentTextChar"/>
    <w:semiHidden/>
    <w:rPr>
      <w:sz w:val="20"/>
      <w:lang w:val="x-none"/>
    </w:rPr>
  </w:style>
  <w:style w:type="paragraph" w:styleId="BodyTextIndent">
    <w:name w:val="Body Text Indent"/>
    <w:basedOn w:val="Normal"/>
    <w:pPr>
      <w:tabs>
        <w:tab w:val="left" w:pos="426"/>
      </w:tabs>
      <w:ind w:left="426" w:hanging="426"/>
    </w:pPr>
  </w:style>
  <w:style w:type="paragraph" w:customStyle="1" w:styleId="Paragraph">
    <w:name w:val="Paragraph"/>
    <w:basedOn w:val="Normal"/>
    <w:pPr>
      <w:spacing w:after="300" w:line="400" w:lineRule="exact"/>
    </w:pPr>
    <w:rPr>
      <w:rFonts w:ascii="Helvetica" w:hAnsi="Helvetica"/>
      <w:sz w:val="24"/>
    </w:rPr>
  </w:style>
  <w:style w:type="paragraph" w:styleId="Caption">
    <w:name w:val="caption"/>
    <w:basedOn w:val="Normal"/>
    <w:next w:val="Normal"/>
    <w:qFormat/>
    <w:rsid w:val="00755E60"/>
    <w:pPr>
      <w:spacing w:after="180"/>
    </w:pPr>
    <w:rPr>
      <w:b/>
    </w:rPr>
  </w:style>
  <w:style w:type="paragraph" w:customStyle="1" w:styleId="PIListItem">
    <w:name w:val="PI List Item"/>
    <w:basedOn w:val="Paragraph"/>
    <w:pPr>
      <w:spacing w:before="40" w:after="120" w:line="300" w:lineRule="exact"/>
      <w:jc w:val="both"/>
    </w:pPr>
  </w:style>
  <w:style w:type="paragraph" w:customStyle="1" w:styleId="PIListPara">
    <w:name w:val="PI List Para"/>
    <w:basedOn w:val="Paragraph"/>
    <w:next w:val="PIListBulleted"/>
    <w:pPr>
      <w:keepNext/>
      <w:spacing w:after="120"/>
      <w:jc w:val="both"/>
    </w:pPr>
  </w:style>
  <w:style w:type="paragraph" w:customStyle="1" w:styleId="PIListBulleted">
    <w:name w:val="PI List Bulleted"/>
    <w:basedOn w:val="Paragraph"/>
    <w:pPr>
      <w:tabs>
        <w:tab w:val="left" w:pos="432"/>
      </w:tabs>
      <w:spacing w:before="40" w:after="120" w:line="300" w:lineRule="exact"/>
      <w:ind w:left="432" w:hanging="432"/>
      <w:jc w:val="both"/>
    </w:pPr>
  </w:style>
  <w:style w:type="paragraph" w:customStyle="1" w:styleId="TableTitle">
    <w:name w:val="Table Title"/>
    <w:basedOn w:val="Paragraph"/>
    <w:pPr>
      <w:keepNext/>
      <w:keepLines/>
      <w:spacing w:before="40" w:after="240" w:line="300" w:lineRule="exact"/>
      <w:jc w:val="center"/>
    </w:pPr>
  </w:style>
  <w:style w:type="paragraph" w:customStyle="1" w:styleId="CASNumber">
    <w:name w:val="CAS Number"/>
    <w:basedOn w:val="Normal"/>
    <w:pPr>
      <w:spacing w:before="120"/>
    </w:pPr>
    <w:rPr>
      <w:i/>
    </w:rPr>
  </w:style>
  <w:style w:type="paragraph" w:customStyle="1" w:styleId="TableHeading">
    <w:name w:val="Table Heading"/>
    <w:basedOn w:val="Normal"/>
    <w:link w:val="TableHeadingChar"/>
    <w:pPr>
      <w:keepNext/>
      <w:tabs>
        <w:tab w:val="center" w:pos="4680"/>
      </w:tabs>
      <w:suppressAutoHyphens/>
      <w:spacing w:before="120"/>
      <w:jc w:val="center"/>
    </w:pPr>
    <w:rPr>
      <w:b/>
      <w:kern w:val="1"/>
    </w:rPr>
  </w:style>
  <w:style w:type="paragraph" w:customStyle="1" w:styleId="Tabletext">
    <w:name w:val="Table text"/>
    <w:basedOn w:val="Normal"/>
    <w:pPr>
      <w:keepNext/>
      <w:spacing w:after="120"/>
      <w:ind w:left="142"/>
    </w:pPr>
    <w:rPr>
      <w:sz w:val="20"/>
    </w:rPr>
  </w:style>
  <w:style w:type="paragraph" w:customStyle="1" w:styleId="Tablesubheading">
    <w:name w:val="Table subheading"/>
    <w:basedOn w:val="Normal"/>
    <w:pPr>
      <w:keepNext/>
      <w:spacing w:after="120"/>
    </w:pPr>
    <w:rPr>
      <w:b/>
      <w:sz w:val="20"/>
    </w:rPr>
  </w:style>
  <w:style w:type="paragraph" w:customStyle="1" w:styleId="Tablelegend">
    <w:name w:val="Table legend"/>
    <w:basedOn w:val="Normal"/>
    <w:pPr>
      <w:numPr>
        <w:numId w:val="1"/>
      </w:numPr>
    </w:pPr>
    <w:rPr>
      <w:i/>
      <w:sz w:val="20"/>
    </w:rPr>
  </w:style>
  <w:style w:type="paragraph" w:customStyle="1" w:styleId="TableFooter">
    <w:name w:val="Table Footer"/>
    <w:basedOn w:val="Paragraph"/>
    <w:pPr>
      <w:keepNext/>
      <w:keepLines/>
      <w:widowControl w:val="0"/>
      <w:tabs>
        <w:tab w:val="right" w:pos="144"/>
      </w:tabs>
      <w:spacing w:before="60" w:after="0" w:line="240" w:lineRule="exact"/>
      <w:ind w:left="216" w:hanging="216"/>
    </w:pPr>
    <w:rPr>
      <w:sz w:val="20"/>
    </w:rPr>
  </w:style>
  <w:style w:type="paragraph" w:customStyle="1" w:styleId="PIAnnotationHead">
    <w:name w:val="PI Annotation Head"/>
    <w:basedOn w:val="Header"/>
    <w:pPr>
      <w:widowControl w:val="0"/>
      <w:tabs>
        <w:tab w:val="clear" w:pos="4320"/>
        <w:tab w:val="center" w:pos="8640"/>
      </w:tabs>
      <w:spacing w:line="240" w:lineRule="exact"/>
    </w:pPr>
    <w:rPr>
      <w:rFonts w:ascii="Palatino" w:hAnsi="Palatino"/>
      <w:smallCaps w:val="0"/>
      <w:noProof w:val="0"/>
      <w:u w:val="single"/>
      <w:lang w:val="en-US"/>
    </w:rPr>
  </w:style>
  <w:style w:type="paragraph" w:styleId="BodyText">
    <w:name w:val="Body Text"/>
    <w:basedOn w:val="Normal"/>
    <w:pPr>
      <w:keepNext/>
    </w:pPr>
    <w:rPr>
      <w:color w:val="008000"/>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ind w:left="1134" w:hanging="414"/>
    </w:pPr>
  </w:style>
  <w:style w:type="paragraph" w:customStyle="1" w:styleId="TextAr9">
    <w:name w:val="Text:Ar9"/>
    <w:basedOn w:val="Normal"/>
    <w:pPr>
      <w:tabs>
        <w:tab w:val="left" w:pos="578"/>
      </w:tabs>
      <w:spacing w:after="170" w:line="260" w:lineRule="atLeast"/>
    </w:pPr>
    <w:rPr>
      <w:rFonts w:ascii="Arial" w:hAnsi="Arial"/>
      <w:sz w:val="18"/>
    </w:rPr>
  </w:style>
  <w:style w:type="paragraph" w:styleId="BodyText2">
    <w:name w:val="Body Text 2"/>
    <w:basedOn w:val="Normal"/>
    <w:rPr>
      <w:b/>
    </w:rPr>
  </w:style>
  <w:style w:type="paragraph" w:styleId="EndnoteText">
    <w:name w:val="endnote text"/>
    <w:basedOn w:val="Normal"/>
    <w:semiHidden/>
    <w:pPr>
      <w:tabs>
        <w:tab w:val="left" w:pos="567"/>
      </w:tabs>
      <w:spacing w:after="0"/>
    </w:pPr>
    <w:rPr>
      <w:lang w:val="en-GB"/>
    </w:rPr>
  </w:style>
  <w:style w:type="character" w:styleId="EndnoteReference">
    <w:name w:val="endnote reference"/>
    <w:semiHidden/>
    <w:rPr>
      <w:vertAlign w:val="superscript"/>
    </w:rPr>
  </w:style>
  <w:style w:type="paragraph" w:customStyle="1" w:styleId="TextTi12">
    <w:name w:val="Text:Ti12"/>
    <w:basedOn w:val="Normal"/>
    <w:link w:val="TextTi12Char1"/>
    <w:pPr>
      <w:spacing w:after="170" w:line="280" w:lineRule="atLeast"/>
      <w:jc w:val="both"/>
    </w:pPr>
    <w:rPr>
      <w:sz w:val="24"/>
    </w:rPr>
  </w:style>
  <w:style w:type="table" w:styleId="TableGrid">
    <w:name w:val="Table Grid"/>
    <w:basedOn w:val="TableNormal"/>
    <w:rsid w:val="0028259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71375"/>
    <w:rPr>
      <w:rFonts w:ascii="Tahoma" w:hAnsi="Tahoma" w:cs="Tahoma"/>
      <w:sz w:val="16"/>
      <w:szCs w:val="16"/>
    </w:rPr>
  </w:style>
  <w:style w:type="paragraph" w:customStyle="1" w:styleId="TableText0">
    <w:name w:val="Table Text"/>
    <w:basedOn w:val="Normal"/>
    <w:rsid w:val="006F4075"/>
    <w:pPr>
      <w:keepNext/>
      <w:keepLines/>
      <w:spacing w:after="0"/>
    </w:pPr>
    <w:rPr>
      <w:rFonts w:ascii="Arial Narrow" w:hAnsi="Arial Narrow"/>
      <w:sz w:val="20"/>
    </w:rPr>
  </w:style>
  <w:style w:type="paragraph" w:styleId="CommentSubject">
    <w:name w:val="annotation subject"/>
    <w:basedOn w:val="CommentText"/>
    <w:next w:val="CommentText"/>
    <w:semiHidden/>
    <w:rsid w:val="00EC77AF"/>
    <w:rPr>
      <w:b/>
      <w:bCs/>
    </w:rPr>
  </w:style>
  <w:style w:type="character" w:customStyle="1" w:styleId="Heading3Char">
    <w:name w:val="Heading 3 Char"/>
    <w:link w:val="Heading3"/>
    <w:rsid w:val="0079381F"/>
    <w:rPr>
      <w:b/>
      <w:sz w:val="24"/>
      <w:lang w:val="en-AU" w:eastAsia="ja-JP" w:bidi="ar-SA"/>
    </w:rPr>
  </w:style>
  <w:style w:type="character" w:customStyle="1" w:styleId="Heading4Char">
    <w:name w:val="Heading 4 Char"/>
    <w:link w:val="Heading4"/>
    <w:rsid w:val="00A54094"/>
    <w:rPr>
      <w:b/>
      <w:i/>
      <w:sz w:val="24"/>
      <w:lang w:val="en-AU" w:eastAsia="ja-JP" w:bidi="ar-SA"/>
    </w:rPr>
  </w:style>
  <w:style w:type="character" w:customStyle="1" w:styleId="TextTi12Char1">
    <w:name w:val="Text:Ti12 Char1"/>
    <w:link w:val="TextTi12"/>
    <w:rsid w:val="00E62C19"/>
    <w:rPr>
      <w:sz w:val="24"/>
      <w:lang w:val="en-US" w:eastAsia="ja-JP" w:bidi="ar-SA"/>
    </w:rPr>
  </w:style>
  <w:style w:type="paragraph" w:customStyle="1" w:styleId="TextAlpha">
    <w:name w:val="Text:Alpha"/>
    <w:basedOn w:val="Normal"/>
    <w:rsid w:val="00911136"/>
    <w:pPr>
      <w:spacing w:after="0" w:line="280" w:lineRule="atLeast"/>
      <w:ind w:left="357" w:hanging="357"/>
    </w:pPr>
    <w:rPr>
      <w:sz w:val="24"/>
    </w:rPr>
  </w:style>
  <w:style w:type="character" w:styleId="FollowedHyperlink">
    <w:name w:val="FollowedHyperlink"/>
    <w:rsid w:val="00C753D1"/>
    <w:rPr>
      <w:color w:val="800080"/>
      <w:u w:val="single"/>
    </w:rPr>
  </w:style>
  <w:style w:type="paragraph" w:customStyle="1" w:styleId="SAS8">
    <w:name w:val="SAS:8"/>
    <w:basedOn w:val="Normal"/>
    <w:link w:val="SAS8Char"/>
    <w:rsid w:val="003F6F87"/>
    <w:pPr>
      <w:spacing w:after="0" w:line="150" w:lineRule="exact"/>
    </w:pPr>
    <w:rPr>
      <w:rFonts w:ascii="Courier New" w:hAnsi="Courier New"/>
      <w:spacing w:val="-10"/>
      <w:sz w:val="16"/>
      <w:szCs w:val="16"/>
      <w:lang w:eastAsia="de-DE"/>
    </w:rPr>
  </w:style>
  <w:style w:type="paragraph" w:styleId="BlockText">
    <w:name w:val="Block Text"/>
    <w:basedOn w:val="Normal"/>
    <w:rsid w:val="003F6F87"/>
    <w:pPr>
      <w:tabs>
        <w:tab w:val="left" w:pos="567"/>
      </w:tabs>
      <w:spacing w:after="0"/>
      <w:ind w:left="567" w:right="-45"/>
      <w:jc w:val="both"/>
    </w:pPr>
  </w:style>
  <w:style w:type="paragraph" w:customStyle="1" w:styleId="TableText10">
    <w:name w:val="TableText:10"/>
    <w:basedOn w:val="Normal"/>
    <w:link w:val="TableText10Char"/>
    <w:rsid w:val="003F6F87"/>
    <w:pPr>
      <w:spacing w:after="0"/>
    </w:pPr>
    <w:rPr>
      <w:sz w:val="20"/>
    </w:rPr>
  </w:style>
  <w:style w:type="character" w:customStyle="1" w:styleId="TableText10Char">
    <w:name w:val="TableText:10 Char"/>
    <w:link w:val="TableText10"/>
    <w:rsid w:val="003F6F87"/>
    <w:rPr>
      <w:lang w:val="en-US" w:eastAsia="ja-JP" w:bidi="ar-SA"/>
    </w:rPr>
  </w:style>
  <w:style w:type="character" w:customStyle="1" w:styleId="SAS8Char">
    <w:name w:val="SAS:8 Char"/>
    <w:link w:val="SAS8"/>
    <w:rsid w:val="003F6F87"/>
    <w:rPr>
      <w:rFonts w:ascii="Courier New" w:hAnsi="Courier New"/>
      <w:spacing w:val="-10"/>
      <w:sz w:val="16"/>
      <w:szCs w:val="16"/>
      <w:lang w:val="en-US" w:eastAsia="de-DE" w:bidi="ar-SA"/>
    </w:rPr>
  </w:style>
  <w:style w:type="character" w:styleId="Hyperlink">
    <w:name w:val="Hyperlink"/>
    <w:rsid w:val="003F6F87"/>
    <w:rPr>
      <w:color w:val="0000FF"/>
      <w:u w:val="single"/>
    </w:rPr>
  </w:style>
  <w:style w:type="paragraph" w:customStyle="1" w:styleId="HdTab1">
    <w:name w:val="Hd:Tab:1"/>
    <w:basedOn w:val="Caption"/>
    <w:next w:val="TextTi12"/>
    <w:rsid w:val="00011739"/>
    <w:pPr>
      <w:keepNext/>
      <w:spacing w:before="113" w:after="57" w:line="280" w:lineRule="atLeast"/>
      <w:ind w:left="1701" w:hanging="1701"/>
      <w:outlineLvl w:val="4"/>
    </w:pPr>
    <w:rPr>
      <w:rFonts w:ascii="Arial" w:hAnsi="Arial"/>
      <w:b w:val="0"/>
      <w:i/>
      <w:sz w:val="24"/>
    </w:rPr>
  </w:style>
  <w:style w:type="character" w:customStyle="1" w:styleId="TableHeadingChar">
    <w:name w:val="Table Heading Char"/>
    <w:link w:val="TableHeading"/>
    <w:rsid w:val="00161366"/>
    <w:rPr>
      <w:b/>
      <w:kern w:val="1"/>
      <w:sz w:val="22"/>
      <w:lang w:val="en-AU" w:eastAsia="ja-JP" w:bidi="ar-SA"/>
    </w:rPr>
  </w:style>
  <w:style w:type="paragraph" w:customStyle="1" w:styleId="TextTi10">
    <w:name w:val="Text:Ti10"/>
    <w:basedOn w:val="Normal"/>
    <w:rsid w:val="003C747B"/>
    <w:pPr>
      <w:spacing w:after="0"/>
    </w:pPr>
    <w:rPr>
      <w:sz w:val="20"/>
    </w:rPr>
  </w:style>
  <w:style w:type="character" w:customStyle="1" w:styleId="Heading5Char">
    <w:name w:val="Heading 5 Char"/>
    <w:link w:val="Heading5"/>
    <w:rsid w:val="003624AB"/>
    <w:rPr>
      <w:i/>
      <w:sz w:val="24"/>
      <w:lang w:val="en-AU" w:eastAsia="ja-JP" w:bidi="ar-SA"/>
    </w:rPr>
  </w:style>
  <w:style w:type="character" w:styleId="Emphasis">
    <w:name w:val="Emphasis"/>
    <w:qFormat/>
    <w:rsid w:val="00143E55"/>
    <w:rPr>
      <w:i/>
      <w:iCs/>
    </w:rPr>
  </w:style>
  <w:style w:type="paragraph" w:customStyle="1" w:styleId="textti120">
    <w:name w:val="textti12"/>
    <w:basedOn w:val="Normal"/>
    <w:rsid w:val="00C918FB"/>
    <w:pPr>
      <w:spacing w:after="170" w:line="280" w:lineRule="atLeast"/>
      <w:jc w:val="both"/>
    </w:pPr>
    <w:rPr>
      <w:rFonts w:eastAsia="MS PGothic"/>
      <w:sz w:val="24"/>
      <w:szCs w:val="24"/>
    </w:rPr>
  </w:style>
  <w:style w:type="character" w:customStyle="1" w:styleId="TextTi12Char">
    <w:name w:val="Text:Ti12 Char"/>
    <w:rsid w:val="005A013D"/>
    <w:rPr>
      <w:sz w:val="24"/>
      <w:szCs w:val="24"/>
      <w:lang w:val="en-US" w:eastAsia="de-DE" w:bidi="ar-SA"/>
    </w:rPr>
  </w:style>
  <w:style w:type="paragraph" w:customStyle="1" w:styleId="TextNum">
    <w:name w:val="Text:Num"/>
    <w:basedOn w:val="Normal"/>
    <w:rsid w:val="0022663C"/>
    <w:pPr>
      <w:tabs>
        <w:tab w:val="left" w:pos="357"/>
      </w:tabs>
      <w:spacing w:after="0" w:line="280" w:lineRule="atLeast"/>
      <w:ind w:left="357" w:hanging="357"/>
    </w:pPr>
    <w:rPr>
      <w:sz w:val="24"/>
    </w:rPr>
  </w:style>
  <w:style w:type="paragraph" w:styleId="Date">
    <w:name w:val="Date"/>
    <w:basedOn w:val="Normal"/>
    <w:next w:val="Normal"/>
    <w:rsid w:val="00537E60"/>
    <w:pPr>
      <w:spacing w:after="0" w:line="280" w:lineRule="atLeast"/>
    </w:pPr>
    <w:rPr>
      <w:sz w:val="24"/>
      <w:szCs w:val="24"/>
      <w:lang w:eastAsia="de-DE"/>
    </w:rPr>
  </w:style>
  <w:style w:type="paragraph" w:customStyle="1" w:styleId="ColorfulShading-Accent11">
    <w:name w:val="Colorful Shading - Accent 11"/>
    <w:hidden/>
    <w:uiPriority w:val="99"/>
    <w:semiHidden/>
    <w:rsid w:val="002677CA"/>
    <w:rPr>
      <w:sz w:val="22"/>
      <w:lang w:eastAsia="ja-JP"/>
    </w:rPr>
  </w:style>
  <w:style w:type="paragraph" w:customStyle="1" w:styleId="Default">
    <w:name w:val="Default"/>
    <w:rsid w:val="00367F17"/>
    <w:pPr>
      <w:autoSpaceDE w:val="0"/>
      <w:autoSpaceDN w:val="0"/>
      <w:adjustRightInd w:val="0"/>
    </w:pPr>
    <w:rPr>
      <w:rFonts w:eastAsia="SimSun"/>
      <w:color w:val="000000"/>
      <w:sz w:val="24"/>
      <w:szCs w:val="24"/>
      <w:lang w:val="en-US" w:eastAsia="zh-CN"/>
    </w:rPr>
  </w:style>
  <w:style w:type="character" w:customStyle="1" w:styleId="CommentTextChar">
    <w:name w:val="Comment Text Char"/>
    <w:link w:val="CommentText"/>
    <w:semiHidden/>
    <w:rsid w:val="00650D0D"/>
    <w:rPr>
      <w:lang w:eastAsia="ja-JP"/>
    </w:rPr>
  </w:style>
  <w:style w:type="character" w:customStyle="1" w:styleId="apple-style-span">
    <w:name w:val="apple-style-span"/>
    <w:rsid w:val="007C4061"/>
  </w:style>
  <w:style w:type="paragraph" w:styleId="Revision">
    <w:name w:val="Revision"/>
    <w:hidden/>
    <w:uiPriority w:val="99"/>
    <w:semiHidden/>
    <w:rsid w:val="008C270F"/>
    <w:rPr>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788"/>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pPr>
      <w:keepNext/>
      <w:spacing w:before="240" w:after="60"/>
      <w:outlineLvl w:val="0"/>
    </w:pPr>
    <w:rPr>
      <w:rFonts w:ascii="Arial" w:hAnsi="Arial"/>
      <w:b/>
      <w:caps/>
      <w:noProof/>
      <w:kern w:val="28"/>
      <w:sz w:val="40"/>
      <w:lang w:eastAsia="ja-JP"/>
    </w:rPr>
  </w:style>
  <w:style w:type="paragraph" w:styleId="Heading2">
    <w:name w:val="heading 2"/>
    <w:basedOn w:val="Normal"/>
    <w:next w:val="Normal"/>
    <w:qFormat/>
    <w:pPr>
      <w:keepNext/>
      <w:spacing w:before="360" w:after="60"/>
      <w:outlineLvl w:val="1"/>
    </w:pPr>
    <w:rPr>
      <w:b/>
      <w:caps/>
      <w:sz w:val="28"/>
    </w:rPr>
  </w:style>
  <w:style w:type="paragraph" w:styleId="Heading3">
    <w:name w:val="heading 3"/>
    <w:basedOn w:val="Normal"/>
    <w:next w:val="Normal"/>
    <w:link w:val="Heading3Char"/>
    <w:qFormat/>
    <w:pPr>
      <w:keepNext/>
      <w:spacing w:before="240" w:after="60"/>
      <w:outlineLvl w:val="2"/>
    </w:pPr>
    <w:rPr>
      <w:b/>
      <w:sz w:val="24"/>
    </w:rPr>
  </w:style>
  <w:style w:type="paragraph" w:styleId="Heading4">
    <w:name w:val="heading 4"/>
    <w:basedOn w:val="Normal"/>
    <w:next w:val="Normal"/>
    <w:link w:val="Heading4Char"/>
    <w:qFormat/>
    <w:pPr>
      <w:keepNext/>
      <w:spacing w:before="120" w:after="0"/>
      <w:ind w:left="567"/>
      <w:outlineLvl w:val="3"/>
    </w:pPr>
    <w:rPr>
      <w:b/>
      <w:i/>
      <w:sz w:val="24"/>
    </w:rPr>
  </w:style>
  <w:style w:type="paragraph" w:styleId="Heading5">
    <w:name w:val="heading 5"/>
    <w:basedOn w:val="Normal"/>
    <w:next w:val="Normal"/>
    <w:link w:val="Heading5Char"/>
    <w:qFormat/>
    <w:pPr>
      <w:spacing w:before="120" w:after="0"/>
      <w:ind w:left="907"/>
      <w:outlineLvl w:val="4"/>
    </w:pPr>
    <w:rPr>
      <w:i/>
      <w:sz w:val="24"/>
    </w:rPr>
  </w:style>
  <w:style w:type="paragraph" w:styleId="Heading6">
    <w:name w:val="heading 6"/>
    <w:basedOn w:val="Normal"/>
    <w:next w:val="Normal"/>
    <w:qFormat/>
    <w:pPr>
      <w:spacing w:before="240" w:after="60"/>
      <w:outlineLvl w:val="5"/>
    </w:pPr>
    <w:rPr>
      <w:rFonts w:ascii="Arial" w:hAnsi="Arial"/>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rsid w:val="006807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0788"/>
  </w:style>
  <w:style w:type="paragraph" w:styleId="Header">
    <w:name w:val="header"/>
    <w:pPr>
      <w:tabs>
        <w:tab w:val="center" w:pos="4320"/>
        <w:tab w:val="right" w:pos="8640"/>
      </w:tabs>
    </w:pPr>
    <w:rPr>
      <w:smallCaps/>
      <w:noProof/>
      <w:lang w:eastAsia="ja-JP"/>
    </w:rPr>
  </w:style>
  <w:style w:type="paragraph" w:styleId="Footer">
    <w:name w:val="footer"/>
    <w:pPr>
      <w:tabs>
        <w:tab w:val="center" w:pos="4320"/>
        <w:tab w:val="right" w:pos="8640"/>
      </w:tabs>
    </w:pPr>
    <w:rPr>
      <w:noProof/>
      <w:sz w:val="16"/>
      <w:lang w:eastAsia="ja-JP"/>
    </w:rPr>
  </w:style>
  <w:style w:type="character" w:styleId="PageNumber">
    <w:name w:val="page number"/>
    <w:basedOn w:val="DefaultParagraphFont"/>
  </w:style>
  <w:style w:type="paragraph" w:customStyle="1" w:styleId="PIParagraph">
    <w:name w:val="PI Paragraph"/>
    <w:basedOn w:val="Normal"/>
    <w:pPr>
      <w:widowControl w:val="0"/>
      <w:spacing w:after="300" w:line="400" w:lineRule="exact"/>
      <w:jc w:val="both"/>
    </w:pPr>
    <w:rPr>
      <w:rFonts w:ascii="Helvetica" w:hAnsi="Helvetica"/>
      <w:sz w:val="24"/>
    </w:rPr>
  </w:style>
  <w:style w:type="paragraph" w:customStyle="1" w:styleId="PIexplanation">
    <w:name w:val="PI explanation"/>
    <w:basedOn w:val="Normal"/>
    <w:rPr>
      <w:i/>
      <w:color w:val="FF0000"/>
    </w:rPr>
  </w:style>
  <w:style w:type="character" w:styleId="CommentReference">
    <w:name w:val="annotation reference"/>
    <w:uiPriority w:val="99"/>
    <w:semiHidden/>
    <w:rPr>
      <w:sz w:val="16"/>
    </w:rPr>
  </w:style>
  <w:style w:type="paragraph" w:styleId="CommentText">
    <w:name w:val="annotation text"/>
    <w:basedOn w:val="Normal"/>
    <w:link w:val="CommentTextChar"/>
    <w:semiHidden/>
    <w:rPr>
      <w:sz w:val="20"/>
      <w:lang w:val="x-none"/>
    </w:rPr>
  </w:style>
  <w:style w:type="paragraph" w:styleId="BodyTextIndent">
    <w:name w:val="Body Text Indent"/>
    <w:basedOn w:val="Normal"/>
    <w:pPr>
      <w:tabs>
        <w:tab w:val="left" w:pos="426"/>
      </w:tabs>
      <w:ind w:left="426" w:hanging="426"/>
    </w:pPr>
  </w:style>
  <w:style w:type="paragraph" w:customStyle="1" w:styleId="Paragraph">
    <w:name w:val="Paragraph"/>
    <w:basedOn w:val="Normal"/>
    <w:pPr>
      <w:spacing w:after="300" w:line="400" w:lineRule="exact"/>
    </w:pPr>
    <w:rPr>
      <w:rFonts w:ascii="Helvetica" w:hAnsi="Helvetica"/>
      <w:sz w:val="24"/>
    </w:rPr>
  </w:style>
  <w:style w:type="paragraph" w:styleId="Caption">
    <w:name w:val="caption"/>
    <w:basedOn w:val="Normal"/>
    <w:next w:val="Normal"/>
    <w:qFormat/>
    <w:rsid w:val="00755E60"/>
    <w:pPr>
      <w:spacing w:after="180"/>
    </w:pPr>
    <w:rPr>
      <w:b/>
    </w:rPr>
  </w:style>
  <w:style w:type="paragraph" w:customStyle="1" w:styleId="PIListItem">
    <w:name w:val="PI List Item"/>
    <w:basedOn w:val="Paragraph"/>
    <w:pPr>
      <w:spacing w:before="40" w:after="120" w:line="300" w:lineRule="exact"/>
      <w:jc w:val="both"/>
    </w:pPr>
  </w:style>
  <w:style w:type="paragraph" w:customStyle="1" w:styleId="PIListPara">
    <w:name w:val="PI List Para"/>
    <w:basedOn w:val="Paragraph"/>
    <w:next w:val="PIListBulleted"/>
    <w:pPr>
      <w:keepNext/>
      <w:spacing w:after="120"/>
      <w:jc w:val="both"/>
    </w:pPr>
  </w:style>
  <w:style w:type="paragraph" w:customStyle="1" w:styleId="PIListBulleted">
    <w:name w:val="PI List Bulleted"/>
    <w:basedOn w:val="Paragraph"/>
    <w:pPr>
      <w:tabs>
        <w:tab w:val="left" w:pos="432"/>
      </w:tabs>
      <w:spacing w:before="40" w:after="120" w:line="300" w:lineRule="exact"/>
      <w:ind w:left="432" w:hanging="432"/>
      <w:jc w:val="both"/>
    </w:pPr>
  </w:style>
  <w:style w:type="paragraph" w:customStyle="1" w:styleId="TableTitle">
    <w:name w:val="Table Title"/>
    <w:basedOn w:val="Paragraph"/>
    <w:pPr>
      <w:keepNext/>
      <w:keepLines/>
      <w:spacing w:before="40" w:after="240" w:line="300" w:lineRule="exact"/>
      <w:jc w:val="center"/>
    </w:pPr>
  </w:style>
  <w:style w:type="paragraph" w:customStyle="1" w:styleId="CASNumber">
    <w:name w:val="CAS Number"/>
    <w:basedOn w:val="Normal"/>
    <w:pPr>
      <w:spacing w:before="120"/>
    </w:pPr>
    <w:rPr>
      <w:i/>
    </w:rPr>
  </w:style>
  <w:style w:type="paragraph" w:customStyle="1" w:styleId="TableHeading">
    <w:name w:val="Table Heading"/>
    <w:basedOn w:val="Normal"/>
    <w:link w:val="TableHeadingChar"/>
    <w:pPr>
      <w:keepNext/>
      <w:tabs>
        <w:tab w:val="center" w:pos="4680"/>
      </w:tabs>
      <w:suppressAutoHyphens/>
      <w:spacing w:before="120"/>
      <w:jc w:val="center"/>
    </w:pPr>
    <w:rPr>
      <w:b/>
      <w:kern w:val="1"/>
    </w:rPr>
  </w:style>
  <w:style w:type="paragraph" w:customStyle="1" w:styleId="Tabletext">
    <w:name w:val="Table text"/>
    <w:basedOn w:val="Normal"/>
    <w:pPr>
      <w:keepNext/>
      <w:spacing w:after="120"/>
      <w:ind w:left="142"/>
    </w:pPr>
    <w:rPr>
      <w:sz w:val="20"/>
    </w:rPr>
  </w:style>
  <w:style w:type="paragraph" w:customStyle="1" w:styleId="Tablesubheading">
    <w:name w:val="Table subheading"/>
    <w:basedOn w:val="Normal"/>
    <w:pPr>
      <w:keepNext/>
      <w:spacing w:after="120"/>
    </w:pPr>
    <w:rPr>
      <w:b/>
      <w:sz w:val="20"/>
    </w:rPr>
  </w:style>
  <w:style w:type="paragraph" w:customStyle="1" w:styleId="Tablelegend">
    <w:name w:val="Table legend"/>
    <w:basedOn w:val="Normal"/>
    <w:pPr>
      <w:numPr>
        <w:numId w:val="1"/>
      </w:numPr>
    </w:pPr>
    <w:rPr>
      <w:i/>
      <w:sz w:val="20"/>
    </w:rPr>
  </w:style>
  <w:style w:type="paragraph" w:customStyle="1" w:styleId="TableFooter">
    <w:name w:val="Table Footer"/>
    <w:basedOn w:val="Paragraph"/>
    <w:pPr>
      <w:keepNext/>
      <w:keepLines/>
      <w:widowControl w:val="0"/>
      <w:tabs>
        <w:tab w:val="right" w:pos="144"/>
      </w:tabs>
      <w:spacing w:before="60" w:after="0" w:line="240" w:lineRule="exact"/>
      <w:ind w:left="216" w:hanging="216"/>
    </w:pPr>
    <w:rPr>
      <w:sz w:val="20"/>
    </w:rPr>
  </w:style>
  <w:style w:type="paragraph" w:customStyle="1" w:styleId="PIAnnotationHead">
    <w:name w:val="PI Annotation Head"/>
    <w:basedOn w:val="Header"/>
    <w:pPr>
      <w:widowControl w:val="0"/>
      <w:tabs>
        <w:tab w:val="clear" w:pos="4320"/>
        <w:tab w:val="center" w:pos="8640"/>
      </w:tabs>
      <w:spacing w:line="240" w:lineRule="exact"/>
    </w:pPr>
    <w:rPr>
      <w:rFonts w:ascii="Palatino" w:hAnsi="Palatino"/>
      <w:smallCaps w:val="0"/>
      <w:noProof w:val="0"/>
      <w:u w:val="single"/>
      <w:lang w:val="en-US"/>
    </w:rPr>
  </w:style>
  <w:style w:type="paragraph" w:styleId="BodyText">
    <w:name w:val="Body Text"/>
    <w:basedOn w:val="Normal"/>
    <w:pPr>
      <w:keepNext/>
    </w:pPr>
    <w:rPr>
      <w:color w:val="008000"/>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ind w:left="1134" w:hanging="414"/>
    </w:pPr>
  </w:style>
  <w:style w:type="paragraph" w:customStyle="1" w:styleId="TextAr9">
    <w:name w:val="Text:Ar9"/>
    <w:basedOn w:val="Normal"/>
    <w:pPr>
      <w:tabs>
        <w:tab w:val="left" w:pos="578"/>
      </w:tabs>
      <w:spacing w:after="170" w:line="260" w:lineRule="atLeast"/>
    </w:pPr>
    <w:rPr>
      <w:rFonts w:ascii="Arial" w:hAnsi="Arial"/>
      <w:sz w:val="18"/>
    </w:rPr>
  </w:style>
  <w:style w:type="paragraph" w:styleId="BodyText2">
    <w:name w:val="Body Text 2"/>
    <w:basedOn w:val="Normal"/>
    <w:rPr>
      <w:b/>
    </w:rPr>
  </w:style>
  <w:style w:type="paragraph" w:styleId="EndnoteText">
    <w:name w:val="endnote text"/>
    <w:basedOn w:val="Normal"/>
    <w:semiHidden/>
    <w:pPr>
      <w:tabs>
        <w:tab w:val="left" w:pos="567"/>
      </w:tabs>
      <w:spacing w:after="0"/>
    </w:pPr>
    <w:rPr>
      <w:lang w:val="en-GB"/>
    </w:rPr>
  </w:style>
  <w:style w:type="character" w:styleId="EndnoteReference">
    <w:name w:val="endnote reference"/>
    <w:semiHidden/>
    <w:rPr>
      <w:vertAlign w:val="superscript"/>
    </w:rPr>
  </w:style>
  <w:style w:type="paragraph" w:customStyle="1" w:styleId="TextTi12">
    <w:name w:val="Text:Ti12"/>
    <w:basedOn w:val="Normal"/>
    <w:link w:val="TextTi12Char1"/>
    <w:pPr>
      <w:spacing w:after="170" w:line="280" w:lineRule="atLeast"/>
      <w:jc w:val="both"/>
    </w:pPr>
    <w:rPr>
      <w:sz w:val="24"/>
    </w:rPr>
  </w:style>
  <w:style w:type="table" w:styleId="TableGrid">
    <w:name w:val="Table Grid"/>
    <w:basedOn w:val="TableNormal"/>
    <w:rsid w:val="0028259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71375"/>
    <w:rPr>
      <w:rFonts w:ascii="Tahoma" w:hAnsi="Tahoma" w:cs="Tahoma"/>
      <w:sz w:val="16"/>
      <w:szCs w:val="16"/>
    </w:rPr>
  </w:style>
  <w:style w:type="paragraph" w:customStyle="1" w:styleId="TableText0">
    <w:name w:val="Table Text"/>
    <w:basedOn w:val="Normal"/>
    <w:rsid w:val="006F4075"/>
    <w:pPr>
      <w:keepNext/>
      <w:keepLines/>
      <w:spacing w:after="0"/>
    </w:pPr>
    <w:rPr>
      <w:rFonts w:ascii="Arial Narrow" w:hAnsi="Arial Narrow"/>
      <w:sz w:val="20"/>
    </w:rPr>
  </w:style>
  <w:style w:type="paragraph" w:styleId="CommentSubject">
    <w:name w:val="annotation subject"/>
    <w:basedOn w:val="CommentText"/>
    <w:next w:val="CommentText"/>
    <w:semiHidden/>
    <w:rsid w:val="00EC77AF"/>
    <w:rPr>
      <w:b/>
      <w:bCs/>
    </w:rPr>
  </w:style>
  <w:style w:type="character" w:customStyle="1" w:styleId="Heading3Char">
    <w:name w:val="Heading 3 Char"/>
    <w:link w:val="Heading3"/>
    <w:rsid w:val="0079381F"/>
    <w:rPr>
      <w:b/>
      <w:sz w:val="24"/>
      <w:lang w:val="en-AU" w:eastAsia="ja-JP" w:bidi="ar-SA"/>
    </w:rPr>
  </w:style>
  <w:style w:type="character" w:customStyle="1" w:styleId="Heading4Char">
    <w:name w:val="Heading 4 Char"/>
    <w:link w:val="Heading4"/>
    <w:rsid w:val="00A54094"/>
    <w:rPr>
      <w:b/>
      <w:i/>
      <w:sz w:val="24"/>
      <w:lang w:val="en-AU" w:eastAsia="ja-JP" w:bidi="ar-SA"/>
    </w:rPr>
  </w:style>
  <w:style w:type="character" w:customStyle="1" w:styleId="TextTi12Char1">
    <w:name w:val="Text:Ti12 Char1"/>
    <w:link w:val="TextTi12"/>
    <w:rsid w:val="00E62C19"/>
    <w:rPr>
      <w:sz w:val="24"/>
      <w:lang w:val="en-US" w:eastAsia="ja-JP" w:bidi="ar-SA"/>
    </w:rPr>
  </w:style>
  <w:style w:type="paragraph" w:customStyle="1" w:styleId="TextAlpha">
    <w:name w:val="Text:Alpha"/>
    <w:basedOn w:val="Normal"/>
    <w:rsid w:val="00911136"/>
    <w:pPr>
      <w:spacing w:after="0" w:line="280" w:lineRule="atLeast"/>
      <w:ind w:left="357" w:hanging="357"/>
    </w:pPr>
    <w:rPr>
      <w:sz w:val="24"/>
    </w:rPr>
  </w:style>
  <w:style w:type="character" w:styleId="FollowedHyperlink">
    <w:name w:val="FollowedHyperlink"/>
    <w:rsid w:val="00C753D1"/>
    <w:rPr>
      <w:color w:val="800080"/>
      <w:u w:val="single"/>
    </w:rPr>
  </w:style>
  <w:style w:type="paragraph" w:customStyle="1" w:styleId="SAS8">
    <w:name w:val="SAS:8"/>
    <w:basedOn w:val="Normal"/>
    <w:link w:val="SAS8Char"/>
    <w:rsid w:val="003F6F87"/>
    <w:pPr>
      <w:spacing w:after="0" w:line="150" w:lineRule="exact"/>
    </w:pPr>
    <w:rPr>
      <w:rFonts w:ascii="Courier New" w:hAnsi="Courier New"/>
      <w:spacing w:val="-10"/>
      <w:sz w:val="16"/>
      <w:szCs w:val="16"/>
      <w:lang w:eastAsia="de-DE"/>
    </w:rPr>
  </w:style>
  <w:style w:type="paragraph" w:styleId="BlockText">
    <w:name w:val="Block Text"/>
    <w:basedOn w:val="Normal"/>
    <w:rsid w:val="003F6F87"/>
    <w:pPr>
      <w:tabs>
        <w:tab w:val="left" w:pos="567"/>
      </w:tabs>
      <w:spacing w:after="0"/>
      <w:ind w:left="567" w:right="-45"/>
      <w:jc w:val="both"/>
    </w:pPr>
  </w:style>
  <w:style w:type="paragraph" w:customStyle="1" w:styleId="TableText10">
    <w:name w:val="TableText:10"/>
    <w:basedOn w:val="Normal"/>
    <w:link w:val="TableText10Char"/>
    <w:rsid w:val="003F6F87"/>
    <w:pPr>
      <w:spacing w:after="0"/>
    </w:pPr>
    <w:rPr>
      <w:sz w:val="20"/>
    </w:rPr>
  </w:style>
  <w:style w:type="character" w:customStyle="1" w:styleId="TableText10Char">
    <w:name w:val="TableText:10 Char"/>
    <w:link w:val="TableText10"/>
    <w:rsid w:val="003F6F87"/>
    <w:rPr>
      <w:lang w:val="en-US" w:eastAsia="ja-JP" w:bidi="ar-SA"/>
    </w:rPr>
  </w:style>
  <w:style w:type="character" w:customStyle="1" w:styleId="SAS8Char">
    <w:name w:val="SAS:8 Char"/>
    <w:link w:val="SAS8"/>
    <w:rsid w:val="003F6F87"/>
    <w:rPr>
      <w:rFonts w:ascii="Courier New" w:hAnsi="Courier New"/>
      <w:spacing w:val="-10"/>
      <w:sz w:val="16"/>
      <w:szCs w:val="16"/>
      <w:lang w:val="en-US" w:eastAsia="de-DE" w:bidi="ar-SA"/>
    </w:rPr>
  </w:style>
  <w:style w:type="character" w:styleId="Hyperlink">
    <w:name w:val="Hyperlink"/>
    <w:rsid w:val="003F6F87"/>
    <w:rPr>
      <w:color w:val="0000FF"/>
      <w:u w:val="single"/>
    </w:rPr>
  </w:style>
  <w:style w:type="paragraph" w:customStyle="1" w:styleId="HdTab1">
    <w:name w:val="Hd:Tab:1"/>
    <w:basedOn w:val="Caption"/>
    <w:next w:val="TextTi12"/>
    <w:rsid w:val="00011739"/>
    <w:pPr>
      <w:keepNext/>
      <w:spacing w:before="113" w:after="57" w:line="280" w:lineRule="atLeast"/>
      <w:ind w:left="1701" w:hanging="1701"/>
      <w:outlineLvl w:val="4"/>
    </w:pPr>
    <w:rPr>
      <w:rFonts w:ascii="Arial" w:hAnsi="Arial"/>
      <w:b w:val="0"/>
      <w:i/>
      <w:sz w:val="24"/>
    </w:rPr>
  </w:style>
  <w:style w:type="character" w:customStyle="1" w:styleId="TableHeadingChar">
    <w:name w:val="Table Heading Char"/>
    <w:link w:val="TableHeading"/>
    <w:rsid w:val="00161366"/>
    <w:rPr>
      <w:b/>
      <w:kern w:val="1"/>
      <w:sz w:val="22"/>
      <w:lang w:val="en-AU" w:eastAsia="ja-JP" w:bidi="ar-SA"/>
    </w:rPr>
  </w:style>
  <w:style w:type="paragraph" w:customStyle="1" w:styleId="TextTi10">
    <w:name w:val="Text:Ti10"/>
    <w:basedOn w:val="Normal"/>
    <w:rsid w:val="003C747B"/>
    <w:pPr>
      <w:spacing w:after="0"/>
    </w:pPr>
    <w:rPr>
      <w:sz w:val="20"/>
    </w:rPr>
  </w:style>
  <w:style w:type="character" w:customStyle="1" w:styleId="Heading5Char">
    <w:name w:val="Heading 5 Char"/>
    <w:link w:val="Heading5"/>
    <w:rsid w:val="003624AB"/>
    <w:rPr>
      <w:i/>
      <w:sz w:val="24"/>
      <w:lang w:val="en-AU" w:eastAsia="ja-JP" w:bidi="ar-SA"/>
    </w:rPr>
  </w:style>
  <w:style w:type="character" w:styleId="Emphasis">
    <w:name w:val="Emphasis"/>
    <w:qFormat/>
    <w:rsid w:val="00143E55"/>
    <w:rPr>
      <w:i/>
      <w:iCs/>
    </w:rPr>
  </w:style>
  <w:style w:type="paragraph" w:customStyle="1" w:styleId="textti120">
    <w:name w:val="textti12"/>
    <w:basedOn w:val="Normal"/>
    <w:rsid w:val="00C918FB"/>
    <w:pPr>
      <w:spacing w:after="170" w:line="280" w:lineRule="atLeast"/>
      <w:jc w:val="both"/>
    </w:pPr>
    <w:rPr>
      <w:rFonts w:eastAsia="MS PGothic"/>
      <w:sz w:val="24"/>
      <w:szCs w:val="24"/>
    </w:rPr>
  </w:style>
  <w:style w:type="character" w:customStyle="1" w:styleId="TextTi12Char">
    <w:name w:val="Text:Ti12 Char"/>
    <w:rsid w:val="005A013D"/>
    <w:rPr>
      <w:sz w:val="24"/>
      <w:szCs w:val="24"/>
      <w:lang w:val="en-US" w:eastAsia="de-DE" w:bidi="ar-SA"/>
    </w:rPr>
  </w:style>
  <w:style w:type="paragraph" w:customStyle="1" w:styleId="TextNum">
    <w:name w:val="Text:Num"/>
    <w:basedOn w:val="Normal"/>
    <w:rsid w:val="0022663C"/>
    <w:pPr>
      <w:tabs>
        <w:tab w:val="left" w:pos="357"/>
      </w:tabs>
      <w:spacing w:after="0" w:line="280" w:lineRule="atLeast"/>
      <w:ind w:left="357" w:hanging="357"/>
    </w:pPr>
    <w:rPr>
      <w:sz w:val="24"/>
    </w:rPr>
  </w:style>
  <w:style w:type="paragraph" w:styleId="Date">
    <w:name w:val="Date"/>
    <w:basedOn w:val="Normal"/>
    <w:next w:val="Normal"/>
    <w:rsid w:val="00537E60"/>
    <w:pPr>
      <w:spacing w:after="0" w:line="280" w:lineRule="atLeast"/>
    </w:pPr>
    <w:rPr>
      <w:sz w:val="24"/>
      <w:szCs w:val="24"/>
      <w:lang w:eastAsia="de-DE"/>
    </w:rPr>
  </w:style>
  <w:style w:type="paragraph" w:customStyle="1" w:styleId="ColorfulShading-Accent11">
    <w:name w:val="Colorful Shading - Accent 11"/>
    <w:hidden/>
    <w:uiPriority w:val="99"/>
    <w:semiHidden/>
    <w:rsid w:val="002677CA"/>
    <w:rPr>
      <w:sz w:val="22"/>
      <w:lang w:eastAsia="ja-JP"/>
    </w:rPr>
  </w:style>
  <w:style w:type="paragraph" w:customStyle="1" w:styleId="Default">
    <w:name w:val="Default"/>
    <w:rsid w:val="00367F17"/>
    <w:pPr>
      <w:autoSpaceDE w:val="0"/>
      <w:autoSpaceDN w:val="0"/>
      <w:adjustRightInd w:val="0"/>
    </w:pPr>
    <w:rPr>
      <w:rFonts w:eastAsia="SimSun"/>
      <w:color w:val="000000"/>
      <w:sz w:val="24"/>
      <w:szCs w:val="24"/>
      <w:lang w:val="en-US" w:eastAsia="zh-CN"/>
    </w:rPr>
  </w:style>
  <w:style w:type="character" w:customStyle="1" w:styleId="CommentTextChar">
    <w:name w:val="Comment Text Char"/>
    <w:link w:val="CommentText"/>
    <w:semiHidden/>
    <w:rsid w:val="00650D0D"/>
    <w:rPr>
      <w:lang w:eastAsia="ja-JP"/>
    </w:rPr>
  </w:style>
  <w:style w:type="character" w:customStyle="1" w:styleId="apple-style-span">
    <w:name w:val="apple-style-span"/>
    <w:rsid w:val="007C4061"/>
  </w:style>
  <w:style w:type="paragraph" w:styleId="Revision">
    <w:name w:val="Revision"/>
    <w:hidden/>
    <w:uiPriority w:val="99"/>
    <w:semiHidden/>
    <w:rsid w:val="008C270F"/>
    <w:rPr>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6500">
      <w:bodyDiv w:val="1"/>
      <w:marLeft w:val="0"/>
      <w:marRight w:val="0"/>
      <w:marTop w:val="0"/>
      <w:marBottom w:val="0"/>
      <w:divBdr>
        <w:top w:val="none" w:sz="0" w:space="0" w:color="auto"/>
        <w:left w:val="none" w:sz="0" w:space="0" w:color="auto"/>
        <w:bottom w:val="none" w:sz="0" w:space="0" w:color="auto"/>
        <w:right w:val="none" w:sz="0" w:space="0" w:color="auto"/>
      </w:divBdr>
    </w:div>
    <w:div w:id="163084197">
      <w:bodyDiv w:val="1"/>
      <w:marLeft w:val="0"/>
      <w:marRight w:val="0"/>
      <w:marTop w:val="0"/>
      <w:marBottom w:val="0"/>
      <w:divBdr>
        <w:top w:val="none" w:sz="0" w:space="0" w:color="auto"/>
        <w:left w:val="none" w:sz="0" w:space="0" w:color="auto"/>
        <w:bottom w:val="none" w:sz="0" w:space="0" w:color="auto"/>
        <w:right w:val="none" w:sz="0" w:space="0" w:color="auto"/>
      </w:divBdr>
    </w:div>
    <w:div w:id="224024898">
      <w:bodyDiv w:val="1"/>
      <w:marLeft w:val="0"/>
      <w:marRight w:val="0"/>
      <w:marTop w:val="0"/>
      <w:marBottom w:val="0"/>
      <w:divBdr>
        <w:top w:val="none" w:sz="0" w:space="0" w:color="auto"/>
        <w:left w:val="none" w:sz="0" w:space="0" w:color="auto"/>
        <w:bottom w:val="none" w:sz="0" w:space="0" w:color="auto"/>
        <w:right w:val="none" w:sz="0" w:space="0" w:color="auto"/>
      </w:divBdr>
    </w:div>
    <w:div w:id="723723088">
      <w:bodyDiv w:val="1"/>
      <w:marLeft w:val="0"/>
      <w:marRight w:val="0"/>
      <w:marTop w:val="0"/>
      <w:marBottom w:val="0"/>
      <w:divBdr>
        <w:top w:val="none" w:sz="0" w:space="0" w:color="auto"/>
        <w:left w:val="none" w:sz="0" w:space="0" w:color="auto"/>
        <w:bottom w:val="none" w:sz="0" w:space="0" w:color="auto"/>
        <w:right w:val="none" w:sz="0" w:space="0" w:color="auto"/>
      </w:divBdr>
      <w:divsChild>
        <w:div w:id="424831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6730833">
      <w:bodyDiv w:val="1"/>
      <w:marLeft w:val="0"/>
      <w:marRight w:val="0"/>
      <w:marTop w:val="0"/>
      <w:marBottom w:val="0"/>
      <w:divBdr>
        <w:top w:val="none" w:sz="0" w:space="0" w:color="auto"/>
        <w:left w:val="none" w:sz="0" w:space="0" w:color="auto"/>
        <w:bottom w:val="none" w:sz="0" w:space="0" w:color="auto"/>
        <w:right w:val="none" w:sz="0" w:space="0" w:color="auto"/>
      </w:divBdr>
    </w:div>
    <w:div w:id="914707144">
      <w:bodyDiv w:val="1"/>
      <w:marLeft w:val="0"/>
      <w:marRight w:val="0"/>
      <w:marTop w:val="0"/>
      <w:marBottom w:val="0"/>
      <w:divBdr>
        <w:top w:val="none" w:sz="0" w:space="0" w:color="auto"/>
        <w:left w:val="none" w:sz="0" w:space="0" w:color="auto"/>
        <w:bottom w:val="none" w:sz="0" w:space="0" w:color="auto"/>
        <w:right w:val="none" w:sz="0" w:space="0" w:color="auto"/>
      </w:divBdr>
    </w:div>
    <w:div w:id="1332755029">
      <w:bodyDiv w:val="1"/>
      <w:marLeft w:val="0"/>
      <w:marRight w:val="0"/>
      <w:marTop w:val="0"/>
      <w:marBottom w:val="0"/>
      <w:divBdr>
        <w:top w:val="none" w:sz="0" w:space="0" w:color="auto"/>
        <w:left w:val="none" w:sz="0" w:space="0" w:color="auto"/>
        <w:bottom w:val="none" w:sz="0" w:space="0" w:color="auto"/>
        <w:right w:val="none" w:sz="0" w:space="0" w:color="auto"/>
      </w:divBdr>
    </w:div>
    <w:div w:id="1861120950">
      <w:bodyDiv w:val="1"/>
      <w:marLeft w:val="0"/>
      <w:marRight w:val="0"/>
      <w:marTop w:val="0"/>
      <w:marBottom w:val="0"/>
      <w:divBdr>
        <w:top w:val="none" w:sz="0" w:space="0" w:color="auto"/>
        <w:left w:val="none" w:sz="0" w:space="0" w:color="auto"/>
        <w:bottom w:val="none" w:sz="0" w:space="0" w:color="auto"/>
        <w:right w:val="none" w:sz="0" w:space="0" w:color="auto"/>
      </w:divBdr>
      <w:divsChild>
        <w:div w:id="117846856">
          <w:marLeft w:val="0"/>
          <w:marRight w:val="0"/>
          <w:marTop w:val="0"/>
          <w:marBottom w:val="0"/>
          <w:divBdr>
            <w:top w:val="none" w:sz="0" w:space="0" w:color="auto"/>
            <w:left w:val="none" w:sz="0" w:space="0" w:color="auto"/>
            <w:bottom w:val="none" w:sz="0" w:space="0" w:color="auto"/>
            <w:right w:val="none" w:sz="0" w:space="0" w:color="auto"/>
          </w:divBdr>
          <w:divsChild>
            <w:div w:id="4933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56374">
      <w:bodyDiv w:val="1"/>
      <w:marLeft w:val="0"/>
      <w:marRight w:val="0"/>
      <w:marTop w:val="0"/>
      <w:marBottom w:val="0"/>
      <w:divBdr>
        <w:top w:val="none" w:sz="0" w:space="0" w:color="auto"/>
        <w:left w:val="none" w:sz="0" w:space="0" w:color="auto"/>
        <w:bottom w:val="none" w:sz="0" w:space="0" w:color="auto"/>
        <w:right w:val="none" w:sz="0" w:space="0" w:color="auto"/>
      </w:divBdr>
    </w:div>
    <w:div w:id="1925412561">
      <w:bodyDiv w:val="1"/>
      <w:marLeft w:val="0"/>
      <w:marRight w:val="0"/>
      <w:marTop w:val="0"/>
      <w:marBottom w:val="0"/>
      <w:divBdr>
        <w:top w:val="none" w:sz="0" w:space="0" w:color="auto"/>
        <w:left w:val="none" w:sz="0" w:space="0" w:color="auto"/>
        <w:bottom w:val="none" w:sz="0" w:space="0" w:color="auto"/>
        <w:right w:val="none" w:sz="0" w:space="0" w:color="auto"/>
      </w:divBdr>
    </w:div>
    <w:div w:id="1939096278">
      <w:bodyDiv w:val="1"/>
      <w:marLeft w:val="0"/>
      <w:marRight w:val="0"/>
      <w:marTop w:val="0"/>
      <w:marBottom w:val="0"/>
      <w:divBdr>
        <w:top w:val="none" w:sz="0" w:space="0" w:color="auto"/>
        <w:left w:val="none" w:sz="0" w:space="0" w:color="auto"/>
        <w:bottom w:val="none" w:sz="0" w:space="0" w:color="auto"/>
        <w:right w:val="none" w:sz="0" w:space="0" w:color="auto"/>
      </w:divBdr>
    </w:div>
    <w:div w:id="20853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10" Type="http://schemas.openxmlformats.org/officeDocument/2006/relationships/settings" Target="settings.xml"/><Relationship Id="rId19" Type="http://schemas.openxmlformats.org/officeDocument/2006/relationships/image" Target="media/image2.w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C1F3CFB73A04BBA7F4416FC3AF878" ma:contentTypeVersion="7" ma:contentTypeDescription="Create a new document." ma:contentTypeScope="" ma:versionID="d0aaf8a10b48677f908660546e0ee94e">
  <xsd:schema xmlns:xsd="http://www.w3.org/2001/XMLSchema" xmlns:xs="http://www.w3.org/2001/XMLSchema" xmlns:p="http://schemas.microsoft.com/office/2006/metadata/properties" xmlns:ns1="http://schemas.microsoft.com/sharepoint/v3" xmlns:ns2="f95eddb5-39ad-43aa-80a8-c2e481b005b7" targetNamespace="http://schemas.microsoft.com/office/2006/metadata/properties" ma:root="true" ma:fieldsID="50385a1ada6d890a222868457b7af53f" ns1:_="" ns2:_="">
    <xsd:import namespace="http://schemas.microsoft.com/sharepoint/v3"/>
    <xsd:import namespace="f95eddb5-39ad-43aa-80a8-c2e481b005b7"/>
    <xsd:element name="properties">
      <xsd:complexType>
        <xsd:sequence>
          <xsd:element name="documentManagement">
            <xsd:complexType>
              <xsd:all>
                <xsd:element ref="ns1:_dlc_ExpireDateSaved" minOccurs="0"/>
                <xsd:element ref="ns1:_dlc_ExpireDate" minOccurs="0"/>
                <xsd:element ref="ns1:_dlc_Exempt" minOccurs="0"/>
                <xsd:element ref="ns2:TaxKeywordTaxHTField" minOccurs="0"/>
                <xsd:element ref="ns2:TaxCatchAll"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description="" ma:hidden="true" ma:indexed="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element name="_vti_ItemDeclaredRecord" ma:index="14"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5eddb5-39ad-43aa-80a8-c2e481b005b7"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cc6062d7-e024-4aab-9bb8-d3a407c30ac5}" ma:internalName="TaxCatchAll" ma:showField="CatchAllData" ma:web="f95eddb5-39ad-43aa-80a8-c2e481b00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95eddb5-39ad-43aa-80a8-c2e481b005b7">
      <Terms xmlns="http://schemas.microsoft.com/office/infopath/2007/PartnerControls"/>
    </TaxKeywordTaxHTField>
    <TaxCatchAll xmlns="f95eddb5-39ad-43aa-80a8-c2e481b005b7"/>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10FD6-E079-4962-9287-4C2A42151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5eddb5-39ad-43aa-80a8-c2e481b00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19060-7713-45CE-A6CB-1EA1A4D91026}">
  <ds:schemaRefs>
    <ds:schemaRef ds:uri="http://schemas.microsoft.com/office/2006/metadata/longProperties"/>
  </ds:schemaRefs>
</ds:datastoreItem>
</file>

<file path=customXml/itemProps3.xml><?xml version="1.0" encoding="utf-8"?>
<ds:datastoreItem xmlns:ds="http://schemas.openxmlformats.org/officeDocument/2006/customXml" ds:itemID="{50174850-2F2D-4E86-96FD-80EA11130DA7}">
  <ds:schemaRefs>
    <ds:schemaRef ds:uri="http://schemas.microsoft.com/sharepoint/v3/contenttype/forms"/>
  </ds:schemaRefs>
</ds:datastoreItem>
</file>

<file path=customXml/itemProps4.xml><?xml version="1.0" encoding="utf-8"?>
<ds:datastoreItem xmlns:ds="http://schemas.openxmlformats.org/officeDocument/2006/customXml" ds:itemID="{DDB9DD4C-2B18-488A-B450-3D2C80F31F66}">
  <ds:schemaRefs>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f95eddb5-39ad-43aa-80a8-c2e481b005b7"/>
    <ds:schemaRef ds:uri="http://schemas.microsoft.com/sharepoint/v3"/>
    <ds:schemaRef ds:uri="http://purl.org/dc/dcmitype/"/>
  </ds:schemaRefs>
</ds:datastoreItem>
</file>

<file path=customXml/itemProps5.xml><?xml version="1.0" encoding="utf-8"?>
<ds:datastoreItem xmlns:ds="http://schemas.openxmlformats.org/officeDocument/2006/customXml" ds:itemID="{77749976-85E5-42A5-ADB1-CAEF95E3701D}">
  <ds:schemaRefs>
    <ds:schemaRef ds:uri="http://schemas.openxmlformats.org/officeDocument/2006/bibliography"/>
  </ds:schemaRefs>
</ds:datastoreItem>
</file>

<file path=customXml/itemProps6.xml><?xml version="1.0" encoding="utf-8"?>
<ds:datastoreItem xmlns:ds="http://schemas.openxmlformats.org/officeDocument/2006/customXml" ds:itemID="{5FD3FB53-53E7-4DD3-BBDC-921134F7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11235</Words>
  <Characters>65669</Characters>
  <Application>Microsoft Office Word</Application>
  <DocSecurity>0</DocSecurity>
  <Lines>547</Lines>
  <Paragraphs>153</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76751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Stone</dc:creator>
  <cp:lastModifiedBy>Schilg, Cassie</cp:lastModifiedBy>
  <cp:revision>5</cp:revision>
  <cp:lastPrinted>2015-01-29T04:24:00Z</cp:lastPrinted>
  <dcterms:created xsi:type="dcterms:W3CDTF">2015-07-29T23:46:00Z</dcterms:created>
  <dcterms:modified xsi:type="dcterms:W3CDTF">2015-08-12T01:46:00Z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ExpireDate">
    <vt:lpwstr>2017-10-23T17:41:16Z</vt:lpwstr>
  </property>
  <property fmtid="{D5CDD505-2E9C-101B-9397-08002B2CF9AE}" pid="4" name="ItemRetentionFormula">
    <vt:lpwstr>&lt;formula id="Roche.Common.Coremap.ExpirationFormula" /&gt;</vt:lpwstr>
  </property>
  <property fmtid="{D5CDD505-2E9C-101B-9397-08002B2CF9AE}" pid="5" name="_dlc_policyId">
    <vt:lpwstr>/team/2012015E/SC (Vial)</vt:lpwstr>
  </property>
  <property fmtid="{D5CDD505-2E9C-101B-9397-08002B2CF9AE}" pid="6" name="TaxKeyword">
    <vt:lpwstr/>
  </property>
</Properties>
</file>