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9"/>
      </w:tblGrid>
      <w:tr w:rsidR="008E7846" w:rsidRPr="00487162" w:rsidTr="00901E80">
        <w:trPr>
          <w:trHeight w:val="1646"/>
        </w:trPr>
        <w:tc>
          <w:tcPr>
            <w:tcW w:w="9279" w:type="dxa"/>
            <w:tcBorders>
              <w:top w:val="nil"/>
              <w:left w:val="nil"/>
              <w:bottom w:val="nil"/>
              <w:right w:val="nil"/>
            </w:tcBorders>
          </w:tcPr>
          <w:p w:rsidR="00901E80" w:rsidRDefault="00901E80" w:rsidP="00901E80">
            <w:pPr>
              <w:ind w:left="3119" w:hanging="3119"/>
              <w:rPr>
                <w:rFonts w:ascii="Arial" w:hAnsi="Arial" w:cs="Arial"/>
                <w:b/>
                <w:sz w:val="28"/>
                <w:szCs w:val="28"/>
              </w:rPr>
            </w:pPr>
            <w:r>
              <w:rPr>
                <w:rFonts w:ascii="Arial" w:hAnsi="Arial" w:cs="Arial"/>
                <w:b/>
                <w:sz w:val="28"/>
                <w:szCs w:val="28"/>
              </w:rPr>
              <w:t>Date of first round report:</w:t>
            </w:r>
            <w:r>
              <w:rPr>
                <w:rFonts w:ascii="Arial" w:hAnsi="Arial" w:cs="Arial"/>
                <w:b/>
                <w:sz w:val="28"/>
                <w:szCs w:val="28"/>
              </w:rPr>
              <w:tab/>
            </w:r>
            <w:r>
              <w:rPr>
                <w:rFonts w:ascii="Arial" w:hAnsi="Arial" w:cs="Arial"/>
                <w:b/>
                <w:sz w:val="28"/>
                <w:szCs w:val="28"/>
              </w:rPr>
              <w:tab/>
              <w:t>1 July 2014</w:t>
            </w:r>
          </w:p>
          <w:p w:rsidR="008E7846" w:rsidRPr="0017078F" w:rsidRDefault="00901E80" w:rsidP="0017078F">
            <w:pPr>
              <w:rPr>
                <w:rFonts w:ascii="Arial" w:hAnsi="Arial" w:cs="Arial"/>
                <w:b/>
                <w:color w:val="002C47"/>
                <w:sz w:val="36"/>
                <w:szCs w:val="36"/>
              </w:rPr>
            </w:pPr>
            <w:r>
              <w:rPr>
                <w:rFonts w:ascii="Arial" w:hAnsi="Arial" w:cs="Arial"/>
                <w:b/>
                <w:sz w:val="28"/>
                <w:szCs w:val="28"/>
              </w:rPr>
              <w:t>Date of second round report:</w:t>
            </w:r>
            <w:r>
              <w:rPr>
                <w:rFonts w:ascii="Arial" w:hAnsi="Arial" w:cs="Arial"/>
                <w:b/>
                <w:sz w:val="28"/>
                <w:szCs w:val="28"/>
              </w:rPr>
              <w:tab/>
              <w:t>19 September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5146A3" w:rsidRDefault="00E07F15" w:rsidP="005146A3">
            <w:pPr>
              <w:pStyle w:val="Title"/>
              <w:framePr w:hSpace="0" w:wrap="auto" w:vAnchor="margin" w:yAlign="inline"/>
            </w:pPr>
            <w:proofErr w:type="spellStart"/>
            <w:r w:rsidRPr="005146A3">
              <w:t>AusPAR</w:t>
            </w:r>
            <w:proofErr w:type="spellEnd"/>
            <w:r w:rsidRPr="005146A3">
              <w:t xml:space="preserve"> Attachment 2</w:t>
            </w:r>
          </w:p>
        </w:tc>
      </w:tr>
      <w:tr w:rsidR="00E07F15" w:rsidRPr="00A964D1" w:rsidTr="00E07F15">
        <w:trPr>
          <w:trHeight w:val="868"/>
        </w:trPr>
        <w:tc>
          <w:tcPr>
            <w:tcW w:w="9079" w:type="dxa"/>
          </w:tcPr>
          <w:p w:rsidR="00E07F15" w:rsidRPr="00A964D1" w:rsidRDefault="00497103" w:rsidP="005146A3">
            <w:pPr>
              <w:pStyle w:val="Title"/>
              <w:framePr w:hSpace="0" w:wrap="auto" w:vAnchor="margin" w:yAlign="inline"/>
            </w:pPr>
            <w:r>
              <w:t>Extract from</w:t>
            </w:r>
            <w:r w:rsidR="00E07F15">
              <w:t xml:space="preserve"> the Clinical Evaluation Report</w:t>
            </w:r>
            <w:r w:rsidR="00E07F15" w:rsidRPr="00A964D1">
              <w:t xml:space="preserve"> for </w:t>
            </w:r>
            <w:proofErr w:type="spellStart"/>
            <w:r w:rsidR="00901E80" w:rsidRPr="00901E80">
              <w:rPr>
                <w:rFonts w:cs="Arial"/>
              </w:rPr>
              <w:t>Trastuzumab</w:t>
            </w:r>
            <w:proofErr w:type="spellEnd"/>
          </w:p>
        </w:tc>
      </w:tr>
      <w:tr w:rsidR="00E07F15" w:rsidRPr="00B64760" w:rsidTr="00E07F15">
        <w:tc>
          <w:tcPr>
            <w:tcW w:w="9079" w:type="dxa"/>
          </w:tcPr>
          <w:p w:rsidR="00E07F15" w:rsidRPr="005146A3" w:rsidRDefault="00E07F15" w:rsidP="005146A3">
            <w:pPr>
              <w:pStyle w:val="Subtitle"/>
              <w:framePr w:hSpace="0" w:wrap="auto" w:vAnchor="margin" w:yAlign="inline"/>
            </w:pPr>
            <w:r w:rsidRPr="005146A3">
              <w:t xml:space="preserve">Proprietary Product Name: </w:t>
            </w:r>
            <w:r w:rsidR="00901E80" w:rsidRPr="005146A3">
              <w:t xml:space="preserve"> Herceptin</w:t>
            </w:r>
          </w:p>
        </w:tc>
      </w:tr>
      <w:tr w:rsidR="00E07F15" w:rsidRPr="00B64760" w:rsidTr="00E07F15">
        <w:trPr>
          <w:trHeight w:val="486"/>
        </w:trPr>
        <w:tc>
          <w:tcPr>
            <w:tcW w:w="9079" w:type="dxa"/>
          </w:tcPr>
          <w:p w:rsidR="00E07F15" w:rsidRPr="00901E80" w:rsidRDefault="00E07F15" w:rsidP="005146A3">
            <w:pPr>
              <w:pStyle w:val="Subtitle"/>
              <w:framePr w:hSpace="0" w:wrap="auto" w:vAnchor="margin" w:yAlign="inline"/>
            </w:pPr>
            <w:r w:rsidRPr="00901E80">
              <w:t xml:space="preserve">Sponsor: </w:t>
            </w:r>
            <w:r w:rsidR="00901E80" w:rsidRPr="00901E80">
              <w:t xml:space="preserve"> Roche Products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1C790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1C790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1C790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1C790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1C7900">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34A9B"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3350758" w:history="1">
            <w:r w:rsidR="00434A9B" w:rsidRPr="00F621AF">
              <w:rPr>
                <w:rStyle w:val="Hyperlink"/>
                <w:noProof/>
              </w:rPr>
              <w:t>List of commonly used abbreviations</w:t>
            </w:r>
            <w:r w:rsidR="00434A9B">
              <w:rPr>
                <w:noProof/>
                <w:webHidden/>
              </w:rPr>
              <w:tab/>
            </w:r>
            <w:r w:rsidR="00434A9B">
              <w:rPr>
                <w:noProof/>
                <w:webHidden/>
              </w:rPr>
              <w:fldChar w:fldCharType="begin"/>
            </w:r>
            <w:r w:rsidR="00434A9B">
              <w:rPr>
                <w:noProof/>
                <w:webHidden/>
              </w:rPr>
              <w:instrText xml:space="preserve"> PAGEREF _Toc423350758 \h </w:instrText>
            </w:r>
            <w:r w:rsidR="00434A9B">
              <w:rPr>
                <w:noProof/>
                <w:webHidden/>
              </w:rPr>
            </w:r>
            <w:r w:rsidR="00434A9B">
              <w:rPr>
                <w:noProof/>
                <w:webHidden/>
              </w:rPr>
              <w:fldChar w:fldCharType="separate"/>
            </w:r>
            <w:r w:rsidR="001C3DEE">
              <w:rPr>
                <w:noProof/>
                <w:webHidden/>
              </w:rPr>
              <w:t>5</w:t>
            </w:r>
            <w:r w:rsidR="00434A9B">
              <w:rPr>
                <w:noProof/>
                <w:webHidden/>
              </w:rPr>
              <w:fldChar w:fldCharType="end"/>
            </w:r>
          </w:hyperlink>
        </w:p>
        <w:p w:rsidR="00434A9B" w:rsidRDefault="00B30102">
          <w:pPr>
            <w:pStyle w:val="TOC2"/>
            <w:tabs>
              <w:tab w:val="left" w:pos="1100"/>
            </w:tabs>
            <w:rPr>
              <w:rFonts w:asciiTheme="minorHAnsi" w:eastAsiaTheme="minorEastAsia" w:hAnsiTheme="minorHAnsi" w:cstheme="minorBidi"/>
              <w:b w:val="0"/>
              <w:noProof/>
              <w:sz w:val="22"/>
              <w:lang w:eastAsia="en-AU"/>
            </w:rPr>
          </w:pPr>
          <w:hyperlink w:anchor="_Toc423350759" w:history="1">
            <w:r w:rsidR="00434A9B" w:rsidRPr="00F621AF">
              <w:rPr>
                <w:rStyle w:val="Hyperlink"/>
                <w:noProof/>
              </w:rPr>
              <w:t>1.</w:t>
            </w:r>
            <w:r w:rsidR="00434A9B">
              <w:rPr>
                <w:rFonts w:asciiTheme="minorHAnsi" w:eastAsiaTheme="minorEastAsia" w:hAnsiTheme="minorHAnsi" w:cstheme="minorBidi"/>
                <w:b w:val="0"/>
                <w:noProof/>
                <w:sz w:val="22"/>
                <w:lang w:eastAsia="en-AU"/>
              </w:rPr>
              <w:tab/>
            </w:r>
            <w:r w:rsidR="00434A9B" w:rsidRPr="00F621AF">
              <w:rPr>
                <w:rStyle w:val="Hyperlink"/>
                <w:noProof/>
              </w:rPr>
              <w:t>Background</w:t>
            </w:r>
            <w:r w:rsidR="00434A9B">
              <w:rPr>
                <w:noProof/>
                <w:webHidden/>
              </w:rPr>
              <w:tab/>
            </w:r>
            <w:r w:rsidR="00434A9B">
              <w:rPr>
                <w:noProof/>
                <w:webHidden/>
              </w:rPr>
              <w:fldChar w:fldCharType="begin"/>
            </w:r>
            <w:r w:rsidR="00434A9B">
              <w:rPr>
                <w:noProof/>
                <w:webHidden/>
              </w:rPr>
              <w:instrText xml:space="preserve"> PAGEREF _Toc423350759 \h </w:instrText>
            </w:r>
            <w:r w:rsidR="00434A9B">
              <w:rPr>
                <w:noProof/>
                <w:webHidden/>
              </w:rPr>
            </w:r>
            <w:r w:rsidR="00434A9B">
              <w:rPr>
                <w:noProof/>
                <w:webHidden/>
              </w:rPr>
              <w:fldChar w:fldCharType="separate"/>
            </w:r>
            <w:r w:rsidR="001C3DEE">
              <w:rPr>
                <w:noProof/>
                <w:webHidden/>
              </w:rPr>
              <w:t>6</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60" w:history="1">
            <w:r w:rsidR="00434A9B" w:rsidRPr="00F621AF">
              <w:rPr>
                <w:rStyle w:val="Hyperlink"/>
                <w:noProof/>
              </w:rPr>
              <w:t>1.1.</w:t>
            </w:r>
            <w:r w:rsidR="00434A9B">
              <w:rPr>
                <w:rFonts w:asciiTheme="minorHAnsi" w:eastAsiaTheme="minorEastAsia" w:hAnsiTheme="minorHAnsi" w:cstheme="minorBidi"/>
                <w:noProof/>
                <w:lang w:eastAsia="en-AU"/>
              </w:rPr>
              <w:tab/>
            </w:r>
            <w:r w:rsidR="00434A9B" w:rsidRPr="00F621AF">
              <w:rPr>
                <w:rStyle w:val="Hyperlink"/>
                <w:noProof/>
              </w:rPr>
              <w:t>Drug class and therapeutic indication</w:t>
            </w:r>
            <w:r w:rsidR="00434A9B">
              <w:rPr>
                <w:noProof/>
                <w:webHidden/>
              </w:rPr>
              <w:tab/>
            </w:r>
            <w:r w:rsidR="00434A9B">
              <w:rPr>
                <w:noProof/>
                <w:webHidden/>
              </w:rPr>
              <w:fldChar w:fldCharType="begin"/>
            </w:r>
            <w:r w:rsidR="00434A9B">
              <w:rPr>
                <w:noProof/>
                <w:webHidden/>
              </w:rPr>
              <w:instrText xml:space="preserve"> PAGEREF _Toc423350760 \h </w:instrText>
            </w:r>
            <w:r w:rsidR="00434A9B">
              <w:rPr>
                <w:noProof/>
                <w:webHidden/>
              </w:rPr>
            </w:r>
            <w:r w:rsidR="00434A9B">
              <w:rPr>
                <w:noProof/>
                <w:webHidden/>
              </w:rPr>
              <w:fldChar w:fldCharType="separate"/>
            </w:r>
            <w:r w:rsidR="001C3DEE">
              <w:rPr>
                <w:noProof/>
                <w:webHidden/>
              </w:rPr>
              <w:t>6</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61" w:history="1">
            <w:r w:rsidR="00434A9B" w:rsidRPr="00F621AF">
              <w:rPr>
                <w:rStyle w:val="Hyperlink"/>
                <w:noProof/>
              </w:rPr>
              <w:t>1.2.</w:t>
            </w:r>
            <w:r w:rsidR="00434A9B">
              <w:rPr>
                <w:rFonts w:asciiTheme="minorHAnsi" w:eastAsiaTheme="minorEastAsia" w:hAnsiTheme="minorHAnsi" w:cstheme="minorBidi"/>
                <w:noProof/>
                <w:lang w:eastAsia="en-AU"/>
              </w:rPr>
              <w:tab/>
            </w:r>
            <w:r w:rsidR="00434A9B" w:rsidRPr="00F621AF">
              <w:rPr>
                <w:rStyle w:val="Hyperlink"/>
                <w:noProof/>
              </w:rPr>
              <w:t>Dosage forms and strengths</w:t>
            </w:r>
            <w:r w:rsidR="00434A9B">
              <w:rPr>
                <w:noProof/>
                <w:webHidden/>
              </w:rPr>
              <w:tab/>
            </w:r>
            <w:r w:rsidR="00434A9B">
              <w:rPr>
                <w:noProof/>
                <w:webHidden/>
              </w:rPr>
              <w:fldChar w:fldCharType="begin"/>
            </w:r>
            <w:r w:rsidR="00434A9B">
              <w:rPr>
                <w:noProof/>
                <w:webHidden/>
              </w:rPr>
              <w:instrText xml:space="preserve"> PAGEREF _Toc423350761 \h </w:instrText>
            </w:r>
            <w:r w:rsidR="00434A9B">
              <w:rPr>
                <w:noProof/>
                <w:webHidden/>
              </w:rPr>
            </w:r>
            <w:r w:rsidR="00434A9B">
              <w:rPr>
                <w:noProof/>
                <w:webHidden/>
              </w:rPr>
              <w:fldChar w:fldCharType="separate"/>
            </w:r>
            <w:r w:rsidR="001C3DEE">
              <w:rPr>
                <w:noProof/>
                <w:webHidden/>
              </w:rPr>
              <w:t>6</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62" w:history="1">
            <w:r w:rsidR="00434A9B" w:rsidRPr="00F621AF">
              <w:rPr>
                <w:rStyle w:val="Hyperlink"/>
                <w:noProof/>
              </w:rPr>
              <w:t>1.3.</w:t>
            </w:r>
            <w:r w:rsidR="00434A9B">
              <w:rPr>
                <w:rFonts w:asciiTheme="minorHAnsi" w:eastAsiaTheme="minorEastAsia" w:hAnsiTheme="minorHAnsi" w:cstheme="minorBidi"/>
                <w:noProof/>
                <w:lang w:eastAsia="en-AU"/>
              </w:rPr>
              <w:tab/>
            </w:r>
            <w:r w:rsidR="00434A9B" w:rsidRPr="00F621AF">
              <w:rPr>
                <w:rStyle w:val="Hyperlink"/>
                <w:noProof/>
              </w:rPr>
              <w:t>Dosage and administration</w:t>
            </w:r>
            <w:r w:rsidR="00434A9B">
              <w:rPr>
                <w:noProof/>
                <w:webHidden/>
              </w:rPr>
              <w:tab/>
            </w:r>
            <w:r w:rsidR="00434A9B">
              <w:rPr>
                <w:noProof/>
                <w:webHidden/>
              </w:rPr>
              <w:fldChar w:fldCharType="begin"/>
            </w:r>
            <w:r w:rsidR="00434A9B">
              <w:rPr>
                <w:noProof/>
                <w:webHidden/>
              </w:rPr>
              <w:instrText xml:space="preserve"> PAGEREF _Toc423350762 \h </w:instrText>
            </w:r>
            <w:r w:rsidR="00434A9B">
              <w:rPr>
                <w:noProof/>
                <w:webHidden/>
              </w:rPr>
            </w:r>
            <w:r w:rsidR="00434A9B">
              <w:rPr>
                <w:noProof/>
                <w:webHidden/>
              </w:rPr>
              <w:fldChar w:fldCharType="separate"/>
            </w:r>
            <w:r w:rsidR="001C3DEE">
              <w:rPr>
                <w:noProof/>
                <w:webHidden/>
              </w:rPr>
              <w:t>6</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63" w:history="1">
            <w:r w:rsidR="00434A9B" w:rsidRPr="00F621AF">
              <w:rPr>
                <w:rStyle w:val="Hyperlink"/>
                <w:noProof/>
              </w:rPr>
              <w:t>1.4.</w:t>
            </w:r>
            <w:r w:rsidR="00434A9B">
              <w:rPr>
                <w:rFonts w:asciiTheme="minorHAnsi" w:eastAsiaTheme="minorEastAsia" w:hAnsiTheme="minorHAnsi" w:cstheme="minorBidi"/>
                <w:noProof/>
                <w:lang w:eastAsia="en-AU"/>
              </w:rPr>
              <w:tab/>
            </w:r>
            <w:r w:rsidR="00434A9B" w:rsidRPr="00F621AF">
              <w:rPr>
                <w:rStyle w:val="Hyperlink"/>
                <w:noProof/>
              </w:rPr>
              <w:t>Other proposed changes to the PI</w:t>
            </w:r>
            <w:r w:rsidR="00434A9B">
              <w:rPr>
                <w:noProof/>
                <w:webHidden/>
              </w:rPr>
              <w:tab/>
            </w:r>
            <w:r w:rsidR="00434A9B">
              <w:rPr>
                <w:noProof/>
                <w:webHidden/>
              </w:rPr>
              <w:fldChar w:fldCharType="begin"/>
            </w:r>
            <w:r w:rsidR="00434A9B">
              <w:rPr>
                <w:noProof/>
                <w:webHidden/>
              </w:rPr>
              <w:instrText xml:space="preserve"> PAGEREF _Toc423350763 \h </w:instrText>
            </w:r>
            <w:r w:rsidR="00434A9B">
              <w:rPr>
                <w:noProof/>
                <w:webHidden/>
              </w:rPr>
            </w:r>
            <w:r w:rsidR="00434A9B">
              <w:rPr>
                <w:noProof/>
                <w:webHidden/>
              </w:rPr>
              <w:fldChar w:fldCharType="separate"/>
            </w:r>
            <w:r w:rsidR="001C3DEE">
              <w:rPr>
                <w:noProof/>
                <w:webHidden/>
              </w:rPr>
              <w:t>6</w:t>
            </w:r>
            <w:r w:rsidR="00434A9B">
              <w:rPr>
                <w:noProof/>
                <w:webHidden/>
              </w:rPr>
              <w:fldChar w:fldCharType="end"/>
            </w:r>
          </w:hyperlink>
        </w:p>
        <w:p w:rsidR="00434A9B" w:rsidRDefault="00B30102">
          <w:pPr>
            <w:pStyle w:val="TOC2"/>
            <w:tabs>
              <w:tab w:val="left" w:pos="1100"/>
            </w:tabs>
            <w:rPr>
              <w:rFonts w:asciiTheme="minorHAnsi" w:eastAsiaTheme="minorEastAsia" w:hAnsiTheme="minorHAnsi" w:cstheme="minorBidi"/>
              <w:b w:val="0"/>
              <w:noProof/>
              <w:sz w:val="22"/>
              <w:lang w:eastAsia="en-AU"/>
            </w:rPr>
          </w:pPr>
          <w:hyperlink w:anchor="_Toc423350764" w:history="1">
            <w:r w:rsidR="00434A9B" w:rsidRPr="00F621AF">
              <w:rPr>
                <w:rStyle w:val="Hyperlink"/>
                <w:noProof/>
              </w:rPr>
              <w:t>2.</w:t>
            </w:r>
            <w:r w:rsidR="00434A9B">
              <w:rPr>
                <w:rFonts w:asciiTheme="minorHAnsi" w:eastAsiaTheme="minorEastAsia" w:hAnsiTheme="minorHAnsi" w:cstheme="minorBidi"/>
                <w:b w:val="0"/>
                <w:noProof/>
                <w:sz w:val="22"/>
                <w:lang w:eastAsia="en-AU"/>
              </w:rPr>
              <w:tab/>
            </w:r>
            <w:r w:rsidR="00434A9B" w:rsidRPr="00F621AF">
              <w:rPr>
                <w:rStyle w:val="Hyperlink"/>
                <w:noProof/>
              </w:rPr>
              <w:t>Clinical rationale</w:t>
            </w:r>
            <w:r w:rsidR="00434A9B">
              <w:rPr>
                <w:noProof/>
                <w:webHidden/>
              </w:rPr>
              <w:tab/>
            </w:r>
            <w:r w:rsidR="00434A9B">
              <w:rPr>
                <w:noProof/>
                <w:webHidden/>
              </w:rPr>
              <w:fldChar w:fldCharType="begin"/>
            </w:r>
            <w:r w:rsidR="00434A9B">
              <w:rPr>
                <w:noProof/>
                <w:webHidden/>
              </w:rPr>
              <w:instrText xml:space="preserve"> PAGEREF _Toc423350764 \h </w:instrText>
            </w:r>
            <w:r w:rsidR="00434A9B">
              <w:rPr>
                <w:noProof/>
                <w:webHidden/>
              </w:rPr>
            </w:r>
            <w:r w:rsidR="00434A9B">
              <w:rPr>
                <w:noProof/>
                <w:webHidden/>
              </w:rPr>
              <w:fldChar w:fldCharType="separate"/>
            </w:r>
            <w:r w:rsidR="001C3DEE">
              <w:rPr>
                <w:noProof/>
                <w:webHidden/>
              </w:rPr>
              <w:t>6</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65" w:history="1">
            <w:r w:rsidR="00434A9B" w:rsidRPr="00F621AF">
              <w:rPr>
                <w:rStyle w:val="Hyperlink"/>
                <w:noProof/>
              </w:rPr>
              <w:t>2.1.</w:t>
            </w:r>
            <w:r w:rsidR="00434A9B">
              <w:rPr>
                <w:rFonts w:asciiTheme="minorHAnsi" w:eastAsiaTheme="minorEastAsia" w:hAnsiTheme="minorHAnsi" w:cstheme="minorBidi"/>
                <w:noProof/>
                <w:lang w:eastAsia="en-AU"/>
              </w:rPr>
              <w:tab/>
            </w:r>
            <w:r w:rsidR="00434A9B" w:rsidRPr="00F621AF">
              <w:rPr>
                <w:rStyle w:val="Hyperlink"/>
                <w:noProof/>
              </w:rPr>
              <w:t>Orphan drug designation</w:t>
            </w:r>
            <w:r w:rsidR="00434A9B">
              <w:rPr>
                <w:noProof/>
                <w:webHidden/>
              </w:rPr>
              <w:tab/>
            </w:r>
            <w:r w:rsidR="00434A9B">
              <w:rPr>
                <w:noProof/>
                <w:webHidden/>
              </w:rPr>
              <w:fldChar w:fldCharType="begin"/>
            </w:r>
            <w:r w:rsidR="00434A9B">
              <w:rPr>
                <w:noProof/>
                <w:webHidden/>
              </w:rPr>
              <w:instrText xml:space="preserve"> PAGEREF _Toc423350765 \h </w:instrText>
            </w:r>
            <w:r w:rsidR="00434A9B">
              <w:rPr>
                <w:noProof/>
                <w:webHidden/>
              </w:rPr>
            </w:r>
            <w:r w:rsidR="00434A9B">
              <w:rPr>
                <w:noProof/>
                <w:webHidden/>
              </w:rPr>
              <w:fldChar w:fldCharType="separate"/>
            </w:r>
            <w:r w:rsidR="001C3DEE">
              <w:rPr>
                <w:noProof/>
                <w:webHidden/>
              </w:rPr>
              <w:t>7</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66" w:history="1">
            <w:r w:rsidR="00434A9B" w:rsidRPr="00F621AF">
              <w:rPr>
                <w:rStyle w:val="Hyperlink"/>
                <w:noProof/>
              </w:rPr>
              <w:t>2.2.</w:t>
            </w:r>
            <w:r w:rsidR="00434A9B">
              <w:rPr>
                <w:rFonts w:asciiTheme="minorHAnsi" w:eastAsiaTheme="minorEastAsia" w:hAnsiTheme="minorHAnsi" w:cstheme="minorBidi"/>
                <w:noProof/>
                <w:lang w:eastAsia="en-AU"/>
              </w:rPr>
              <w:tab/>
            </w:r>
            <w:r w:rsidR="00434A9B" w:rsidRPr="00F621AF">
              <w:rPr>
                <w:rStyle w:val="Hyperlink"/>
                <w:noProof/>
              </w:rPr>
              <w:t>Related submissions</w:t>
            </w:r>
            <w:r w:rsidR="00434A9B">
              <w:rPr>
                <w:noProof/>
                <w:webHidden/>
              </w:rPr>
              <w:tab/>
            </w:r>
            <w:r w:rsidR="00434A9B">
              <w:rPr>
                <w:noProof/>
                <w:webHidden/>
              </w:rPr>
              <w:fldChar w:fldCharType="begin"/>
            </w:r>
            <w:r w:rsidR="00434A9B">
              <w:rPr>
                <w:noProof/>
                <w:webHidden/>
              </w:rPr>
              <w:instrText xml:space="preserve"> PAGEREF _Toc423350766 \h </w:instrText>
            </w:r>
            <w:r w:rsidR="00434A9B">
              <w:rPr>
                <w:noProof/>
                <w:webHidden/>
              </w:rPr>
            </w:r>
            <w:r w:rsidR="00434A9B">
              <w:rPr>
                <w:noProof/>
                <w:webHidden/>
              </w:rPr>
              <w:fldChar w:fldCharType="separate"/>
            </w:r>
            <w:r w:rsidR="001C3DEE">
              <w:rPr>
                <w:noProof/>
                <w:webHidden/>
              </w:rPr>
              <w:t>7</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67" w:history="1">
            <w:r w:rsidR="00434A9B" w:rsidRPr="00F621AF">
              <w:rPr>
                <w:rStyle w:val="Hyperlink"/>
                <w:noProof/>
              </w:rPr>
              <w:t>2.3.</w:t>
            </w:r>
            <w:r w:rsidR="00434A9B">
              <w:rPr>
                <w:rFonts w:asciiTheme="minorHAnsi" w:eastAsiaTheme="minorEastAsia" w:hAnsiTheme="minorHAnsi" w:cstheme="minorBidi"/>
                <w:noProof/>
                <w:lang w:eastAsia="en-AU"/>
              </w:rPr>
              <w:tab/>
            </w:r>
            <w:r w:rsidR="00434A9B" w:rsidRPr="00F621AF">
              <w:rPr>
                <w:rStyle w:val="Hyperlink"/>
                <w:noProof/>
              </w:rPr>
              <w:t>Guidance</w:t>
            </w:r>
            <w:r w:rsidR="00434A9B">
              <w:rPr>
                <w:noProof/>
                <w:webHidden/>
              </w:rPr>
              <w:tab/>
            </w:r>
            <w:r w:rsidR="00434A9B">
              <w:rPr>
                <w:noProof/>
                <w:webHidden/>
              </w:rPr>
              <w:fldChar w:fldCharType="begin"/>
            </w:r>
            <w:r w:rsidR="00434A9B">
              <w:rPr>
                <w:noProof/>
                <w:webHidden/>
              </w:rPr>
              <w:instrText xml:space="preserve"> PAGEREF _Toc423350767 \h </w:instrText>
            </w:r>
            <w:r w:rsidR="00434A9B">
              <w:rPr>
                <w:noProof/>
                <w:webHidden/>
              </w:rPr>
            </w:r>
            <w:r w:rsidR="00434A9B">
              <w:rPr>
                <w:noProof/>
                <w:webHidden/>
              </w:rPr>
              <w:fldChar w:fldCharType="separate"/>
            </w:r>
            <w:r w:rsidR="001C3DEE">
              <w:rPr>
                <w:noProof/>
                <w:webHidden/>
              </w:rPr>
              <w:t>7</w:t>
            </w:r>
            <w:r w:rsidR="00434A9B">
              <w:rPr>
                <w:noProof/>
                <w:webHidden/>
              </w:rPr>
              <w:fldChar w:fldCharType="end"/>
            </w:r>
          </w:hyperlink>
        </w:p>
        <w:p w:rsidR="00434A9B" w:rsidRDefault="00B30102">
          <w:pPr>
            <w:pStyle w:val="TOC2"/>
            <w:tabs>
              <w:tab w:val="left" w:pos="1100"/>
            </w:tabs>
            <w:rPr>
              <w:rFonts w:asciiTheme="minorHAnsi" w:eastAsiaTheme="minorEastAsia" w:hAnsiTheme="minorHAnsi" w:cstheme="minorBidi"/>
              <w:b w:val="0"/>
              <w:noProof/>
              <w:sz w:val="22"/>
              <w:lang w:eastAsia="en-AU"/>
            </w:rPr>
          </w:pPr>
          <w:hyperlink w:anchor="_Toc423350768" w:history="1">
            <w:r w:rsidR="00434A9B" w:rsidRPr="00F621AF">
              <w:rPr>
                <w:rStyle w:val="Hyperlink"/>
                <w:noProof/>
                <w:lang w:eastAsia="en-AU"/>
              </w:rPr>
              <w:t>3.</w:t>
            </w:r>
            <w:r w:rsidR="00434A9B">
              <w:rPr>
                <w:rFonts w:asciiTheme="minorHAnsi" w:eastAsiaTheme="minorEastAsia" w:hAnsiTheme="minorHAnsi" w:cstheme="minorBidi"/>
                <w:b w:val="0"/>
                <w:noProof/>
                <w:sz w:val="22"/>
                <w:lang w:eastAsia="en-AU"/>
              </w:rPr>
              <w:tab/>
            </w:r>
            <w:r w:rsidR="00434A9B" w:rsidRPr="00F621AF">
              <w:rPr>
                <w:rStyle w:val="Hyperlink"/>
                <w:noProof/>
                <w:lang w:eastAsia="en-AU"/>
              </w:rPr>
              <w:t>Contents of the clinical dossier</w:t>
            </w:r>
            <w:r w:rsidR="00434A9B">
              <w:rPr>
                <w:noProof/>
                <w:webHidden/>
              </w:rPr>
              <w:tab/>
            </w:r>
            <w:r w:rsidR="00434A9B">
              <w:rPr>
                <w:noProof/>
                <w:webHidden/>
              </w:rPr>
              <w:fldChar w:fldCharType="begin"/>
            </w:r>
            <w:r w:rsidR="00434A9B">
              <w:rPr>
                <w:noProof/>
                <w:webHidden/>
              </w:rPr>
              <w:instrText xml:space="preserve"> PAGEREF _Toc423350768 \h </w:instrText>
            </w:r>
            <w:r w:rsidR="00434A9B">
              <w:rPr>
                <w:noProof/>
                <w:webHidden/>
              </w:rPr>
            </w:r>
            <w:r w:rsidR="00434A9B">
              <w:rPr>
                <w:noProof/>
                <w:webHidden/>
              </w:rPr>
              <w:fldChar w:fldCharType="separate"/>
            </w:r>
            <w:r w:rsidR="001C3DEE">
              <w:rPr>
                <w:noProof/>
                <w:webHidden/>
              </w:rPr>
              <w:t>7</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69" w:history="1">
            <w:r w:rsidR="00434A9B" w:rsidRPr="00F621AF">
              <w:rPr>
                <w:rStyle w:val="Hyperlink"/>
                <w:noProof/>
              </w:rPr>
              <w:t>3.1.</w:t>
            </w:r>
            <w:r w:rsidR="00434A9B">
              <w:rPr>
                <w:rFonts w:asciiTheme="minorHAnsi" w:eastAsiaTheme="minorEastAsia" w:hAnsiTheme="minorHAnsi" w:cstheme="minorBidi"/>
                <w:noProof/>
                <w:lang w:eastAsia="en-AU"/>
              </w:rPr>
              <w:tab/>
            </w:r>
            <w:r w:rsidR="00434A9B" w:rsidRPr="00F621AF">
              <w:rPr>
                <w:rStyle w:val="Hyperlink"/>
                <w:noProof/>
              </w:rPr>
              <w:t>For the SC administration component:</w:t>
            </w:r>
            <w:r w:rsidR="00434A9B">
              <w:rPr>
                <w:noProof/>
                <w:webHidden/>
              </w:rPr>
              <w:tab/>
            </w:r>
            <w:r w:rsidR="00434A9B">
              <w:rPr>
                <w:noProof/>
                <w:webHidden/>
              </w:rPr>
              <w:fldChar w:fldCharType="begin"/>
            </w:r>
            <w:r w:rsidR="00434A9B">
              <w:rPr>
                <w:noProof/>
                <w:webHidden/>
              </w:rPr>
              <w:instrText xml:space="preserve"> PAGEREF _Toc423350769 \h </w:instrText>
            </w:r>
            <w:r w:rsidR="00434A9B">
              <w:rPr>
                <w:noProof/>
                <w:webHidden/>
              </w:rPr>
            </w:r>
            <w:r w:rsidR="00434A9B">
              <w:rPr>
                <w:noProof/>
                <w:webHidden/>
              </w:rPr>
              <w:fldChar w:fldCharType="separate"/>
            </w:r>
            <w:r w:rsidR="001C3DEE">
              <w:rPr>
                <w:noProof/>
                <w:webHidden/>
              </w:rPr>
              <w:t>7</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70" w:history="1">
            <w:r w:rsidR="00434A9B" w:rsidRPr="00F621AF">
              <w:rPr>
                <w:rStyle w:val="Hyperlink"/>
                <w:noProof/>
              </w:rPr>
              <w:t>3.2.</w:t>
            </w:r>
            <w:r w:rsidR="00434A9B">
              <w:rPr>
                <w:rFonts w:asciiTheme="minorHAnsi" w:eastAsiaTheme="minorEastAsia" w:hAnsiTheme="minorHAnsi" w:cstheme="minorBidi"/>
                <w:noProof/>
                <w:lang w:eastAsia="en-AU"/>
              </w:rPr>
              <w:tab/>
            </w:r>
            <w:r w:rsidR="00434A9B" w:rsidRPr="00F621AF">
              <w:rPr>
                <w:rStyle w:val="Hyperlink"/>
                <w:noProof/>
              </w:rPr>
              <w:t>For the PI update component:</w:t>
            </w:r>
            <w:r w:rsidR="00434A9B">
              <w:rPr>
                <w:noProof/>
                <w:webHidden/>
              </w:rPr>
              <w:tab/>
            </w:r>
            <w:r w:rsidR="00434A9B">
              <w:rPr>
                <w:noProof/>
                <w:webHidden/>
              </w:rPr>
              <w:fldChar w:fldCharType="begin"/>
            </w:r>
            <w:r w:rsidR="00434A9B">
              <w:rPr>
                <w:noProof/>
                <w:webHidden/>
              </w:rPr>
              <w:instrText xml:space="preserve"> PAGEREF _Toc423350770 \h </w:instrText>
            </w:r>
            <w:r w:rsidR="00434A9B">
              <w:rPr>
                <w:noProof/>
                <w:webHidden/>
              </w:rPr>
            </w:r>
            <w:r w:rsidR="00434A9B">
              <w:rPr>
                <w:noProof/>
                <w:webHidden/>
              </w:rPr>
              <w:fldChar w:fldCharType="separate"/>
            </w:r>
            <w:r w:rsidR="001C3DEE">
              <w:rPr>
                <w:noProof/>
                <w:webHidden/>
              </w:rPr>
              <w:t>8</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71" w:history="1">
            <w:r w:rsidR="00434A9B" w:rsidRPr="00F621AF">
              <w:rPr>
                <w:rStyle w:val="Hyperlink"/>
                <w:noProof/>
              </w:rPr>
              <w:t>3.3.</w:t>
            </w:r>
            <w:r w:rsidR="00434A9B">
              <w:rPr>
                <w:rFonts w:asciiTheme="minorHAnsi" w:eastAsiaTheme="minorEastAsia" w:hAnsiTheme="minorHAnsi" w:cstheme="minorBidi"/>
                <w:noProof/>
                <w:lang w:eastAsia="en-AU"/>
              </w:rPr>
              <w:tab/>
            </w:r>
            <w:r w:rsidR="00434A9B" w:rsidRPr="00F621AF">
              <w:rPr>
                <w:rStyle w:val="Hyperlink"/>
                <w:noProof/>
              </w:rPr>
              <w:t>Paediatric data</w:t>
            </w:r>
            <w:r w:rsidR="00434A9B">
              <w:rPr>
                <w:noProof/>
                <w:webHidden/>
              </w:rPr>
              <w:tab/>
            </w:r>
            <w:r w:rsidR="00434A9B">
              <w:rPr>
                <w:noProof/>
                <w:webHidden/>
              </w:rPr>
              <w:fldChar w:fldCharType="begin"/>
            </w:r>
            <w:r w:rsidR="00434A9B">
              <w:rPr>
                <w:noProof/>
                <w:webHidden/>
              </w:rPr>
              <w:instrText xml:space="preserve"> PAGEREF _Toc423350771 \h </w:instrText>
            </w:r>
            <w:r w:rsidR="00434A9B">
              <w:rPr>
                <w:noProof/>
                <w:webHidden/>
              </w:rPr>
            </w:r>
            <w:r w:rsidR="00434A9B">
              <w:rPr>
                <w:noProof/>
                <w:webHidden/>
              </w:rPr>
              <w:fldChar w:fldCharType="separate"/>
            </w:r>
            <w:r w:rsidR="001C3DEE">
              <w:rPr>
                <w:noProof/>
                <w:webHidden/>
              </w:rPr>
              <w:t>8</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72" w:history="1">
            <w:r w:rsidR="00434A9B" w:rsidRPr="00F621AF">
              <w:rPr>
                <w:rStyle w:val="Hyperlink"/>
                <w:noProof/>
              </w:rPr>
              <w:t>3.4.</w:t>
            </w:r>
            <w:r w:rsidR="00434A9B">
              <w:rPr>
                <w:rFonts w:asciiTheme="minorHAnsi" w:eastAsiaTheme="minorEastAsia" w:hAnsiTheme="minorHAnsi" w:cstheme="minorBidi"/>
                <w:noProof/>
                <w:lang w:eastAsia="en-AU"/>
              </w:rPr>
              <w:tab/>
            </w:r>
            <w:r w:rsidR="00434A9B" w:rsidRPr="00F621AF">
              <w:rPr>
                <w:rStyle w:val="Hyperlink"/>
                <w:noProof/>
              </w:rPr>
              <w:t>Good clinical practice</w:t>
            </w:r>
            <w:r w:rsidR="00434A9B">
              <w:rPr>
                <w:noProof/>
                <w:webHidden/>
              </w:rPr>
              <w:tab/>
            </w:r>
            <w:r w:rsidR="00434A9B">
              <w:rPr>
                <w:noProof/>
                <w:webHidden/>
              </w:rPr>
              <w:fldChar w:fldCharType="begin"/>
            </w:r>
            <w:r w:rsidR="00434A9B">
              <w:rPr>
                <w:noProof/>
                <w:webHidden/>
              </w:rPr>
              <w:instrText xml:space="preserve"> PAGEREF _Toc423350772 \h </w:instrText>
            </w:r>
            <w:r w:rsidR="00434A9B">
              <w:rPr>
                <w:noProof/>
                <w:webHidden/>
              </w:rPr>
            </w:r>
            <w:r w:rsidR="00434A9B">
              <w:rPr>
                <w:noProof/>
                <w:webHidden/>
              </w:rPr>
              <w:fldChar w:fldCharType="separate"/>
            </w:r>
            <w:r w:rsidR="001C3DEE">
              <w:rPr>
                <w:noProof/>
                <w:webHidden/>
              </w:rPr>
              <w:t>8</w:t>
            </w:r>
            <w:r w:rsidR="00434A9B">
              <w:rPr>
                <w:noProof/>
                <w:webHidden/>
              </w:rPr>
              <w:fldChar w:fldCharType="end"/>
            </w:r>
          </w:hyperlink>
        </w:p>
        <w:p w:rsidR="00434A9B" w:rsidRDefault="00B30102">
          <w:pPr>
            <w:pStyle w:val="TOC2"/>
            <w:tabs>
              <w:tab w:val="left" w:pos="1100"/>
            </w:tabs>
            <w:rPr>
              <w:rFonts w:asciiTheme="minorHAnsi" w:eastAsiaTheme="minorEastAsia" w:hAnsiTheme="minorHAnsi" w:cstheme="minorBidi"/>
              <w:b w:val="0"/>
              <w:noProof/>
              <w:sz w:val="22"/>
              <w:lang w:eastAsia="en-AU"/>
            </w:rPr>
          </w:pPr>
          <w:hyperlink w:anchor="_Toc423350773" w:history="1">
            <w:r w:rsidR="00434A9B" w:rsidRPr="00F621AF">
              <w:rPr>
                <w:rStyle w:val="Hyperlink"/>
                <w:noProof/>
              </w:rPr>
              <w:t>4.</w:t>
            </w:r>
            <w:r w:rsidR="00434A9B">
              <w:rPr>
                <w:rFonts w:asciiTheme="minorHAnsi" w:eastAsiaTheme="minorEastAsia" w:hAnsiTheme="minorHAnsi" w:cstheme="minorBidi"/>
                <w:b w:val="0"/>
                <w:noProof/>
                <w:sz w:val="22"/>
                <w:lang w:eastAsia="en-AU"/>
              </w:rPr>
              <w:tab/>
            </w:r>
            <w:r w:rsidR="00434A9B" w:rsidRPr="00F621AF">
              <w:rPr>
                <w:rStyle w:val="Hyperlink"/>
                <w:noProof/>
              </w:rPr>
              <w:t>Pharmacokinetics</w:t>
            </w:r>
            <w:r w:rsidR="00434A9B">
              <w:rPr>
                <w:noProof/>
                <w:webHidden/>
              </w:rPr>
              <w:tab/>
            </w:r>
            <w:r w:rsidR="00434A9B">
              <w:rPr>
                <w:noProof/>
                <w:webHidden/>
              </w:rPr>
              <w:fldChar w:fldCharType="begin"/>
            </w:r>
            <w:r w:rsidR="00434A9B">
              <w:rPr>
                <w:noProof/>
                <w:webHidden/>
              </w:rPr>
              <w:instrText xml:space="preserve"> PAGEREF _Toc423350773 \h </w:instrText>
            </w:r>
            <w:r w:rsidR="00434A9B">
              <w:rPr>
                <w:noProof/>
                <w:webHidden/>
              </w:rPr>
            </w:r>
            <w:r w:rsidR="00434A9B">
              <w:rPr>
                <w:noProof/>
                <w:webHidden/>
              </w:rPr>
              <w:fldChar w:fldCharType="separate"/>
            </w:r>
            <w:r w:rsidR="001C3DEE">
              <w:rPr>
                <w:noProof/>
                <w:webHidden/>
              </w:rPr>
              <w:t>8</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74" w:history="1">
            <w:r w:rsidR="00434A9B" w:rsidRPr="00F621AF">
              <w:rPr>
                <w:rStyle w:val="Hyperlink"/>
                <w:noProof/>
              </w:rPr>
              <w:t>4.1.</w:t>
            </w:r>
            <w:r w:rsidR="00434A9B">
              <w:rPr>
                <w:rFonts w:asciiTheme="minorHAnsi" w:eastAsiaTheme="minorEastAsia" w:hAnsiTheme="minorHAnsi" w:cstheme="minorBidi"/>
                <w:noProof/>
                <w:lang w:eastAsia="en-AU"/>
              </w:rPr>
              <w:tab/>
            </w:r>
            <w:r w:rsidR="00434A9B" w:rsidRPr="00F621AF">
              <w:rPr>
                <w:rStyle w:val="Hyperlink"/>
                <w:noProof/>
              </w:rPr>
              <w:t>Studies providing pharmacokinetic data</w:t>
            </w:r>
            <w:r w:rsidR="00434A9B">
              <w:rPr>
                <w:noProof/>
                <w:webHidden/>
              </w:rPr>
              <w:tab/>
            </w:r>
            <w:r w:rsidR="00434A9B">
              <w:rPr>
                <w:noProof/>
                <w:webHidden/>
              </w:rPr>
              <w:fldChar w:fldCharType="begin"/>
            </w:r>
            <w:r w:rsidR="00434A9B">
              <w:rPr>
                <w:noProof/>
                <w:webHidden/>
              </w:rPr>
              <w:instrText xml:space="preserve"> PAGEREF _Toc423350774 \h </w:instrText>
            </w:r>
            <w:r w:rsidR="00434A9B">
              <w:rPr>
                <w:noProof/>
                <w:webHidden/>
              </w:rPr>
            </w:r>
            <w:r w:rsidR="00434A9B">
              <w:rPr>
                <w:noProof/>
                <w:webHidden/>
              </w:rPr>
              <w:fldChar w:fldCharType="separate"/>
            </w:r>
            <w:r w:rsidR="001C3DEE">
              <w:rPr>
                <w:noProof/>
                <w:webHidden/>
              </w:rPr>
              <w:t>8</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75" w:history="1">
            <w:r w:rsidR="00434A9B" w:rsidRPr="00F621AF">
              <w:rPr>
                <w:rStyle w:val="Hyperlink"/>
                <w:noProof/>
              </w:rPr>
              <w:t>4.2.</w:t>
            </w:r>
            <w:r w:rsidR="00434A9B">
              <w:rPr>
                <w:rFonts w:asciiTheme="minorHAnsi" w:eastAsiaTheme="minorEastAsia" w:hAnsiTheme="minorHAnsi" w:cstheme="minorBidi"/>
                <w:noProof/>
                <w:lang w:eastAsia="en-AU"/>
              </w:rPr>
              <w:tab/>
            </w:r>
            <w:r w:rsidR="00434A9B" w:rsidRPr="00F621AF">
              <w:rPr>
                <w:rStyle w:val="Hyperlink"/>
                <w:noProof/>
              </w:rPr>
              <w:t>Summary of pharmacokinetics</w:t>
            </w:r>
            <w:r w:rsidR="00434A9B">
              <w:rPr>
                <w:noProof/>
                <w:webHidden/>
              </w:rPr>
              <w:tab/>
            </w:r>
            <w:r w:rsidR="00434A9B">
              <w:rPr>
                <w:noProof/>
                <w:webHidden/>
              </w:rPr>
              <w:fldChar w:fldCharType="begin"/>
            </w:r>
            <w:r w:rsidR="00434A9B">
              <w:rPr>
                <w:noProof/>
                <w:webHidden/>
              </w:rPr>
              <w:instrText xml:space="preserve"> PAGEREF _Toc423350775 \h </w:instrText>
            </w:r>
            <w:r w:rsidR="00434A9B">
              <w:rPr>
                <w:noProof/>
                <w:webHidden/>
              </w:rPr>
            </w:r>
            <w:r w:rsidR="00434A9B">
              <w:rPr>
                <w:noProof/>
                <w:webHidden/>
              </w:rPr>
              <w:fldChar w:fldCharType="separate"/>
            </w:r>
            <w:r w:rsidR="001C3DEE">
              <w:rPr>
                <w:noProof/>
                <w:webHidden/>
              </w:rPr>
              <w:t>8</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76" w:history="1">
            <w:r w:rsidR="00434A9B" w:rsidRPr="00F621AF">
              <w:rPr>
                <w:rStyle w:val="Hyperlink"/>
                <w:noProof/>
              </w:rPr>
              <w:t>4.3.</w:t>
            </w:r>
            <w:r w:rsidR="00434A9B">
              <w:rPr>
                <w:rFonts w:asciiTheme="minorHAnsi" w:eastAsiaTheme="minorEastAsia" w:hAnsiTheme="minorHAnsi" w:cstheme="minorBidi"/>
                <w:noProof/>
                <w:lang w:eastAsia="en-AU"/>
              </w:rPr>
              <w:tab/>
            </w:r>
            <w:r w:rsidR="00434A9B" w:rsidRPr="00F621AF">
              <w:rPr>
                <w:rStyle w:val="Hyperlink"/>
                <w:noProof/>
              </w:rPr>
              <w:t>Evaluator’s overall conclusions on pharmacokinetics</w:t>
            </w:r>
            <w:r w:rsidR="00434A9B">
              <w:rPr>
                <w:noProof/>
                <w:webHidden/>
              </w:rPr>
              <w:tab/>
            </w:r>
            <w:r w:rsidR="00434A9B">
              <w:rPr>
                <w:noProof/>
                <w:webHidden/>
              </w:rPr>
              <w:fldChar w:fldCharType="begin"/>
            </w:r>
            <w:r w:rsidR="00434A9B">
              <w:rPr>
                <w:noProof/>
                <w:webHidden/>
              </w:rPr>
              <w:instrText xml:space="preserve"> PAGEREF _Toc423350776 \h </w:instrText>
            </w:r>
            <w:r w:rsidR="00434A9B">
              <w:rPr>
                <w:noProof/>
                <w:webHidden/>
              </w:rPr>
            </w:r>
            <w:r w:rsidR="00434A9B">
              <w:rPr>
                <w:noProof/>
                <w:webHidden/>
              </w:rPr>
              <w:fldChar w:fldCharType="separate"/>
            </w:r>
            <w:r w:rsidR="001C3DEE">
              <w:rPr>
                <w:noProof/>
                <w:webHidden/>
              </w:rPr>
              <w:t>9</w:t>
            </w:r>
            <w:r w:rsidR="00434A9B">
              <w:rPr>
                <w:noProof/>
                <w:webHidden/>
              </w:rPr>
              <w:fldChar w:fldCharType="end"/>
            </w:r>
          </w:hyperlink>
        </w:p>
        <w:p w:rsidR="00434A9B" w:rsidRDefault="00B30102">
          <w:pPr>
            <w:pStyle w:val="TOC2"/>
            <w:tabs>
              <w:tab w:val="left" w:pos="1100"/>
            </w:tabs>
            <w:rPr>
              <w:rFonts w:asciiTheme="minorHAnsi" w:eastAsiaTheme="minorEastAsia" w:hAnsiTheme="minorHAnsi" w:cstheme="minorBidi"/>
              <w:b w:val="0"/>
              <w:noProof/>
              <w:sz w:val="22"/>
              <w:lang w:eastAsia="en-AU"/>
            </w:rPr>
          </w:pPr>
          <w:hyperlink w:anchor="_Toc423350777" w:history="1">
            <w:r w:rsidR="00434A9B" w:rsidRPr="00F621AF">
              <w:rPr>
                <w:rStyle w:val="Hyperlink"/>
                <w:noProof/>
              </w:rPr>
              <w:t>5.</w:t>
            </w:r>
            <w:r w:rsidR="00434A9B">
              <w:rPr>
                <w:rFonts w:asciiTheme="minorHAnsi" w:eastAsiaTheme="minorEastAsia" w:hAnsiTheme="minorHAnsi" w:cstheme="minorBidi"/>
                <w:b w:val="0"/>
                <w:noProof/>
                <w:sz w:val="22"/>
                <w:lang w:eastAsia="en-AU"/>
              </w:rPr>
              <w:tab/>
            </w:r>
            <w:r w:rsidR="00434A9B" w:rsidRPr="00F621AF">
              <w:rPr>
                <w:rStyle w:val="Hyperlink"/>
                <w:noProof/>
              </w:rPr>
              <w:t>Pharmacodynamics</w:t>
            </w:r>
            <w:r w:rsidR="00434A9B">
              <w:rPr>
                <w:noProof/>
                <w:webHidden/>
              </w:rPr>
              <w:tab/>
            </w:r>
            <w:r w:rsidR="00434A9B">
              <w:rPr>
                <w:noProof/>
                <w:webHidden/>
              </w:rPr>
              <w:fldChar w:fldCharType="begin"/>
            </w:r>
            <w:r w:rsidR="00434A9B">
              <w:rPr>
                <w:noProof/>
                <w:webHidden/>
              </w:rPr>
              <w:instrText xml:space="preserve"> PAGEREF _Toc423350777 \h </w:instrText>
            </w:r>
            <w:r w:rsidR="00434A9B">
              <w:rPr>
                <w:noProof/>
                <w:webHidden/>
              </w:rPr>
            </w:r>
            <w:r w:rsidR="00434A9B">
              <w:rPr>
                <w:noProof/>
                <w:webHidden/>
              </w:rPr>
              <w:fldChar w:fldCharType="separate"/>
            </w:r>
            <w:r w:rsidR="001C3DEE">
              <w:rPr>
                <w:noProof/>
                <w:webHidden/>
              </w:rPr>
              <w:t>9</w:t>
            </w:r>
            <w:r w:rsidR="00434A9B">
              <w:rPr>
                <w:noProof/>
                <w:webHidden/>
              </w:rPr>
              <w:fldChar w:fldCharType="end"/>
            </w:r>
          </w:hyperlink>
        </w:p>
        <w:p w:rsidR="00434A9B" w:rsidRDefault="00B30102">
          <w:pPr>
            <w:pStyle w:val="TOC2"/>
            <w:tabs>
              <w:tab w:val="left" w:pos="1100"/>
            </w:tabs>
            <w:rPr>
              <w:rFonts w:asciiTheme="minorHAnsi" w:eastAsiaTheme="minorEastAsia" w:hAnsiTheme="minorHAnsi" w:cstheme="minorBidi"/>
              <w:b w:val="0"/>
              <w:noProof/>
              <w:sz w:val="22"/>
              <w:lang w:eastAsia="en-AU"/>
            </w:rPr>
          </w:pPr>
          <w:hyperlink w:anchor="_Toc423350778" w:history="1">
            <w:r w:rsidR="00434A9B" w:rsidRPr="00F621AF">
              <w:rPr>
                <w:rStyle w:val="Hyperlink"/>
                <w:noProof/>
              </w:rPr>
              <w:t>6.</w:t>
            </w:r>
            <w:r w:rsidR="00434A9B">
              <w:rPr>
                <w:rFonts w:asciiTheme="minorHAnsi" w:eastAsiaTheme="minorEastAsia" w:hAnsiTheme="minorHAnsi" w:cstheme="minorBidi"/>
                <w:b w:val="0"/>
                <w:noProof/>
                <w:sz w:val="22"/>
                <w:lang w:eastAsia="en-AU"/>
              </w:rPr>
              <w:tab/>
            </w:r>
            <w:r w:rsidR="00434A9B" w:rsidRPr="00F621AF">
              <w:rPr>
                <w:rStyle w:val="Hyperlink"/>
                <w:noProof/>
              </w:rPr>
              <w:t>Dosage selection for the pivotal studies</w:t>
            </w:r>
            <w:r w:rsidR="00434A9B">
              <w:rPr>
                <w:noProof/>
                <w:webHidden/>
              </w:rPr>
              <w:tab/>
            </w:r>
            <w:r w:rsidR="00434A9B">
              <w:rPr>
                <w:noProof/>
                <w:webHidden/>
              </w:rPr>
              <w:fldChar w:fldCharType="begin"/>
            </w:r>
            <w:r w:rsidR="00434A9B">
              <w:rPr>
                <w:noProof/>
                <w:webHidden/>
              </w:rPr>
              <w:instrText xml:space="preserve"> PAGEREF _Toc423350778 \h </w:instrText>
            </w:r>
            <w:r w:rsidR="00434A9B">
              <w:rPr>
                <w:noProof/>
                <w:webHidden/>
              </w:rPr>
            </w:r>
            <w:r w:rsidR="00434A9B">
              <w:rPr>
                <w:noProof/>
                <w:webHidden/>
              </w:rPr>
              <w:fldChar w:fldCharType="separate"/>
            </w:r>
            <w:r w:rsidR="001C3DEE">
              <w:rPr>
                <w:noProof/>
                <w:webHidden/>
              </w:rPr>
              <w:t>9</w:t>
            </w:r>
            <w:r w:rsidR="00434A9B">
              <w:rPr>
                <w:noProof/>
                <w:webHidden/>
              </w:rPr>
              <w:fldChar w:fldCharType="end"/>
            </w:r>
          </w:hyperlink>
        </w:p>
        <w:p w:rsidR="00434A9B" w:rsidRDefault="00B30102">
          <w:pPr>
            <w:pStyle w:val="TOC2"/>
            <w:tabs>
              <w:tab w:val="left" w:pos="1100"/>
            </w:tabs>
            <w:rPr>
              <w:rFonts w:asciiTheme="minorHAnsi" w:eastAsiaTheme="minorEastAsia" w:hAnsiTheme="minorHAnsi" w:cstheme="minorBidi"/>
              <w:b w:val="0"/>
              <w:noProof/>
              <w:sz w:val="22"/>
              <w:lang w:eastAsia="en-AU"/>
            </w:rPr>
          </w:pPr>
          <w:hyperlink w:anchor="_Toc423350779" w:history="1">
            <w:r w:rsidR="00434A9B" w:rsidRPr="00F621AF">
              <w:rPr>
                <w:rStyle w:val="Hyperlink"/>
                <w:noProof/>
              </w:rPr>
              <w:t>7.</w:t>
            </w:r>
            <w:r w:rsidR="00434A9B">
              <w:rPr>
                <w:rFonts w:asciiTheme="minorHAnsi" w:eastAsiaTheme="minorEastAsia" w:hAnsiTheme="minorHAnsi" w:cstheme="minorBidi"/>
                <w:b w:val="0"/>
                <w:noProof/>
                <w:sz w:val="22"/>
                <w:lang w:eastAsia="en-AU"/>
              </w:rPr>
              <w:tab/>
            </w:r>
            <w:r w:rsidR="00434A9B" w:rsidRPr="00F621AF">
              <w:rPr>
                <w:rStyle w:val="Hyperlink"/>
                <w:noProof/>
              </w:rPr>
              <w:t>Clinical efficacy</w:t>
            </w:r>
            <w:r w:rsidR="00434A9B">
              <w:rPr>
                <w:noProof/>
                <w:webHidden/>
              </w:rPr>
              <w:tab/>
            </w:r>
            <w:r w:rsidR="00434A9B">
              <w:rPr>
                <w:noProof/>
                <w:webHidden/>
              </w:rPr>
              <w:fldChar w:fldCharType="begin"/>
            </w:r>
            <w:r w:rsidR="00434A9B">
              <w:rPr>
                <w:noProof/>
                <w:webHidden/>
              </w:rPr>
              <w:instrText xml:space="preserve"> PAGEREF _Toc423350779 \h </w:instrText>
            </w:r>
            <w:r w:rsidR="00434A9B">
              <w:rPr>
                <w:noProof/>
                <w:webHidden/>
              </w:rPr>
            </w:r>
            <w:r w:rsidR="00434A9B">
              <w:rPr>
                <w:noProof/>
                <w:webHidden/>
              </w:rPr>
              <w:fldChar w:fldCharType="separate"/>
            </w:r>
            <w:r w:rsidR="001C3DEE">
              <w:rPr>
                <w:noProof/>
                <w:webHidden/>
              </w:rPr>
              <w:t>11</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80" w:history="1">
            <w:r w:rsidR="00434A9B" w:rsidRPr="00F621AF">
              <w:rPr>
                <w:rStyle w:val="Hyperlink"/>
                <w:noProof/>
              </w:rPr>
              <w:t>7.1.</w:t>
            </w:r>
            <w:r w:rsidR="00434A9B">
              <w:rPr>
                <w:rFonts w:asciiTheme="minorHAnsi" w:eastAsiaTheme="minorEastAsia" w:hAnsiTheme="minorHAnsi" w:cstheme="minorBidi"/>
                <w:noProof/>
                <w:lang w:eastAsia="en-AU"/>
              </w:rPr>
              <w:tab/>
            </w:r>
            <w:r w:rsidR="00434A9B" w:rsidRPr="00F621AF">
              <w:rPr>
                <w:rStyle w:val="Hyperlink"/>
                <w:noProof/>
              </w:rPr>
              <w:t>Subcutaneous Administration</w:t>
            </w:r>
            <w:r w:rsidR="00434A9B">
              <w:rPr>
                <w:noProof/>
                <w:webHidden/>
              </w:rPr>
              <w:tab/>
            </w:r>
            <w:r w:rsidR="00434A9B">
              <w:rPr>
                <w:noProof/>
                <w:webHidden/>
              </w:rPr>
              <w:fldChar w:fldCharType="begin"/>
            </w:r>
            <w:r w:rsidR="00434A9B">
              <w:rPr>
                <w:noProof/>
                <w:webHidden/>
              </w:rPr>
              <w:instrText xml:space="preserve"> PAGEREF _Toc423350780 \h </w:instrText>
            </w:r>
            <w:r w:rsidR="00434A9B">
              <w:rPr>
                <w:noProof/>
                <w:webHidden/>
              </w:rPr>
            </w:r>
            <w:r w:rsidR="00434A9B">
              <w:rPr>
                <w:noProof/>
                <w:webHidden/>
              </w:rPr>
              <w:fldChar w:fldCharType="separate"/>
            </w:r>
            <w:r w:rsidR="001C3DEE">
              <w:rPr>
                <w:noProof/>
                <w:webHidden/>
              </w:rPr>
              <w:t>11</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81" w:history="1">
            <w:r w:rsidR="00434A9B" w:rsidRPr="00F621AF">
              <w:rPr>
                <w:rStyle w:val="Hyperlink"/>
                <w:noProof/>
              </w:rPr>
              <w:t>7.2.</w:t>
            </w:r>
            <w:r w:rsidR="00434A9B">
              <w:rPr>
                <w:rFonts w:asciiTheme="minorHAnsi" w:eastAsiaTheme="minorEastAsia" w:hAnsiTheme="minorHAnsi" w:cstheme="minorBidi"/>
                <w:noProof/>
                <w:lang w:eastAsia="en-AU"/>
              </w:rPr>
              <w:tab/>
            </w:r>
            <w:r w:rsidR="00434A9B" w:rsidRPr="00F621AF">
              <w:rPr>
                <w:rStyle w:val="Hyperlink"/>
                <w:noProof/>
              </w:rPr>
              <w:t>Evaluator’s conclusions on clinical efficacy with SC administration</w:t>
            </w:r>
            <w:r w:rsidR="00434A9B">
              <w:rPr>
                <w:noProof/>
                <w:webHidden/>
              </w:rPr>
              <w:tab/>
            </w:r>
            <w:r w:rsidR="00434A9B">
              <w:rPr>
                <w:noProof/>
                <w:webHidden/>
              </w:rPr>
              <w:fldChar w:fldCharType="begin"/>
            </w:r>
            <w:r w:rsidR="00434A9B">
              <w:rPr>
                <w:noProof/>
                <w:webHidden/>
              </w:rPr>
              <w:instrText xml:space="preserve"> PAGEREF _Toc423350781 \h </w:instrText>
            </w:r>
            <w:r w:rsidR="00434A9B">
              <w:rPr>
                <w:noProof/>
                <w:webHidden/>
              </w:rPr>
            </w:r>
            <w:r w:rsidR="00434A9B">
              <w:rPr>
                <w:noProof/>
                <w:webHidden/>
              </w:rPr>
              <w:fldChar w:fldCharType="separate"/>
            </w:r>
            <w:r w:rsidR="001C3DEE">
              <w:rPr>
                <w:noProof/>
                <w:webHidden/>
              </w:rPr>
              <w:t>28</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82" w:history="1">
            <w:r w:rsidR="00434A9B" w:rsidRPr="00F621AF">
              <w:rPr>
                <w:rStyle w:val="Hyperlink"/>
                <w:noProof/>
              </w:rPr>
              <w:t>7.3.</w:t>
            </w:r>
            <w:r w:rsidR="00434A9B">
              <w:rPr>
                <w:rFonts w:asciiTheme="minorHAnsi" w:eastAsiaTheme="minorEastAsia" w:hAnsiTheme="minorHAnsi" w:cstheme="minorBidi"/>
                <w:noProof/>
                <w:lang w:eastAsia="en-AU"/>
              </w:rPr>
              <w:tab/>
            </w:r>
            <w:r w:rsidR="00434A9B" w:rsidRPr="00F621AF">
              <w:rPr>
                <w:rStyle w:val="Hyperlink"/>
                <w:noProof/>
              </w:rPr>
              <w:t>Product information update</w:t>
            </w:r>
            <w:r w:rsidR="00434A9B">
              <w:rPr>
                <w:noProof/>
                <w:webHidden/>
              </w:rPr>
              <w:tab/>
            </w:r>
            <w:r w:rsidR="00434A9B">
              <w:rPr>
                <w:noProof/>
                <w:webHidden/>
              </w:rPr>
              <w:fldChar w:fldCharType="begin"/>
            </w:r>
            <w:r w:rsidR="00434A9B">
              <w:rPr>
                <w:noProof/>
                <w:webHidden/>
              </w:rPr>
              <w:instrText xml:space="preserve"> PAGEREF _Toc423350782 \h </w:instrText>
            </w:r>
            <w:r w:rsidR="00434A9B">
              <w:rPr>
                <w:noProof/>
                <w:webHidden/>
              </w:rPr>
            </w:r>
            <w:r w:rsidR="00434A9B">
              <w:rPr>
                <w:noProof/>
                <w:webHidden/>
              </w:rPr>
              <w:fldChar w:fldCharType="separate"/>
            </w:r>
            <w:r w:rsidR="001C3DEE">
              <w:rPr>
                <w:noProof/>
                <w:webHidden/>
              </w:rPr>
              <w:t>33</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83" w:history="1">
            <w:r w:rsidR="00434A9B" w:rsidRPr="00F621AF">
              <w:rPr>
                <w:rStyle w:val="Hyperlink"/>
                <w:noProof/>
              </w:rPr>
              <w:t>7.3.2.</w:t>
            </w:r>
            <w:r w:rsidR="00434A9B">
              <w:rPr>
                <w:rFonts w:asciiTheme="minorHAnsi" w:eastAsiaTheme="minorEastAsia" w:hAnsiTheme="minorHAnsi" w:cstheme="minorBidi"/>
                <w:noProof/>
                <w:lang w:eastAsia="en-AU"/>
              </w:rPr>
              <w:tab/>
            </w:r>
            <w:r w:rsidR="00434A9B" w:rsidRPr="00F621AF">
              <w:rPr>
                <w:rStyle w:val="Hyperlink"/>
                <w:noProof/>
              </w:rPr>
              <w:t>Evaluator’s conclusions on clinical efficacy - PI update</w:t>
            </w:r>
            <w:r w:rsidR="00434A9B">
              <w:rPr>
                <w:noProof/>
                <w:webHidden/>
              </w:rPr>
              <w:tab/>
            </w:r>
            <w:r w:rsidR="00434A9B">
              <w:rPr>
                <w:noProof/>
                <w:webHidden/>
              </w:rPr>
              <w:fldChar w:fldCharType="begin"/>
            </w:r>
            <w:r w:rsidR="00434A9B">
              <w:rPr>
                <w:noProof/>
                <w:webHidden/>
              </w:rPr>
              <w:instrText xml:space="preserve"> PAGEREF _Toc423350783 \h </w:instrText>
            </w:r>
            <w:r w:rsidR="00434A9B">
              <w:rPr>
                <w:noProof/>
                <w:webHidden/>
              </w:rPr>
            </w:r>
            <w:r w:rsidR="00434A9B">
              <w:rPr>
                <w:noProof/>
                <w:webHidden/>
              </w:rPr>
              <w:fldChar w:fldCharType="separate"/>
            </w:r>
            <w:r w:rsidR="001C3DEE">
              <w:rPr>
                <w:noProof/>
                <w:webHidden/>
              </w:rPr>
              <w:t>36</w:t>
            </w:r>
            <w:r w:rsidR="00434A9B">
              <w:rPr>
                <w:noProof/>
                <w:webHidden/>
              </w:rPr>
              <w:fldChar w:fldCharType="end"/>
            </w:r>
          </w:hyperlink>
        </w:p>
        <w:p w:rsidR="00434A9B" w:rsidRDefault="00B30102">
          <w:pPr>
            <w:pStyle w:val="TOC2"/>
            <w:tabs>
              <w:tab w:val="left" w:pos="1100"/>
            </w:tabs>
            <w:rPr>
              <w:rFonts w:asciiTheme="minorHAnsi" w:eastAsiaTheme="minorEastAsia" w:hAnsiTheme="minorHAnsi" w:cstheme="minorBidi"/>
              <w:b w:val="0"/>
              <w:noProof/>
              <w:sz w:val="22"/>
              <w:lang w:eastAsia="en-AU"/>
            </w:rPr>
          </w:pPr>
          <w:hyperlink w:anchor="_Toc423350784" w:history="1">
            <w:r w:rsidR="00434A9B" w:rsidRPr="00F621AF">
              <w:rPr>
                <w:rStyle w:val="Hyperlink"/>
                <w:noProof/>
              </w:rPr>
              <w:t>8.</w:t>
            </w:r>
            <w:r w:rsidR="00434A9B">
              <w:rPr>
                <w:rFonts w:asciiTheme="minorHAnsi" w:eastAsiaTheme="minorEastAsia" w:hAnsiTheme="minorHAnsi" w:cstheme="minorBidi"/>
                <w:b w:val="0"/>
                <w:noProof/>
                <w:sz w:val="22"/>
                <w:lang w:eastAsia="en-AU"/>
              </w:rPr>
              <w:tab/>
            </w:r>
            <w:r w:rsidR="00434A9B" w:rsidRPr="00F621AF">
              <w:rPr>
                <w:rStyle w:val="Hyperlink"/>
                <w:noProof/>
              </w:rPr>
              <w:t>Clinical safety</w:t>
            </w:r>
            <w:r w:rsidR="00434A9B">
              <w:rPr>
                <w:noProof/>
                <w:webHidden/>
              </w:rPr>
              <w:tab/>
            </w:r>
            <w:r w:rsidR="00434A9B">
              <w:rPr>
                <w:noProof/>
                <w:webHidden/>
              </w:rPr>
              <w:fldChar w:fldCharType="begin"/>
            </w:r>
            <w:r w:rsidR="00434A9B">
              <w:rPr>
                <w:noProof/>
                <w:webHidden/>
              </w:rPr>
              <w:instrText xml:space="preserve"> PAGEREF _Toc423350784 \h </w:instrText>
            </w:r>
            <w:r w:rsidR="00434A9B">
              <w:rPr>
                <w:noProof/>
                <w:webHidden/>
              </w:rPr>
            </w:r>
            <w:r w:rsidR="00434A9B">
              <w:rPr>
                <w:noProof/>
                <w:webHidden/>
              </w:rPr>
              <w:fldChar w:fldCharType="separate"/>
            </w:r>
            <w:r w:rsidR="001C3DEE">
              <w:rPr>
                <w:noProof/>
                <w:webHidden/>
              </w:rPr>
              <w:t>36</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85" w:history="1">
            <w:r w:rsidR="00434A9B" w:rsidRPr="00F621AF">
              <w:rPr>
                <w:rStyle w:val="Hyperlink"/>
                <w:noProof/>
              </w:rPr>
              <w:t>8.1.</w:t>
            </w:r>
            <w:r w:rsidR="00434A9B">
              <w:rPr>
                <w:rFonts w:asciiTheme="minorHAnsi" w:eastAsiaTheme="minorEastAsia" w:hAnsiTheme="minorHAnsi" w:cstheme="minorBidi"/>
                <w:noProof/>
                <w:lang w:eastAsia="en-AU"/>
              </w:rPr>
              <w:tab/>
            </w:r>
            <w:r w:rsidR="00434A9B" w:rsidRPr="00F621AF">
              <w:rPr>
                <w:rStyle w:val="Hyperlink"/>
                <w:noProof/>
              </w:rPr>
              <w:t>Subcutaneous Administration</w:t>
            </w:r>
            <w:r w:rsidR="00434A9B">
              <w:rPr>
                <w:noProof/>
                <w:webHidden/>
              </w:rPr>
              <w:tab/>
            </w:r>
            <w:r w:rsidR="00434A9B">
              <w:rPr>
                <w:noProof/>
                <w:webHidden/>
              </w:rPr>
              <w:fldChar w:fldCharType="begin"/>
            </w:r>
            <w:r w:rsidR="00434A9B">
              <w:rPr>
                <w:noProof/>
                <w:webHidden/>
              </w:rPr>
              <w:instrText xml:space="preserve"> PAGEREF _Toc423350785 \h </w:instrText>
            </w:r>
            <w:r w:rsidR="00434A9B">
              <w:rPr>
                <w:noProof/>
                <w:webHidden/>
              </w:rPr>
            </w:r>
            <w:r w:rsidR="00434A9B">
              <w:rPr>
                <w:noProof/>
                <w:webHidden/>
              </w:rPr>
              <w:fldChar w:fldCharType="separate"/>
            </w:r>
            <w:r w:rsidR="001C3DEE">
              <w:rPr>
                <w:noProof/>
                <w:webHidden/>
              </w:rPr>
              <w:t>36</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86" w:history="1">
            <w:r w:rsidR="00434A9B" w:rsidRPr="00F621AF">
              <w:rPr>
                <w:rStyle w:val="Hyperlink"/>
                <w:noProof/>
              </w:rPr>
              <w:t>8.2.</w:t>
            </w:r>
            <w:r w:rsidR="00434A9B">
              <w:rPr>
                <w:rFonts w:asciiTheme="minorHAnsi" w:eastAsiaTheme="minorEastAsia" w:hAnsiTheme="minorHAnsi" w:cstheme="minorBidi"/>
                <w:noProof/>
                <w:lang w:eastAsia="en-AU"/>
              </w:rPr>
              <w:tab/>
            </w:r>
            <w:r w:rsidR="00434A9B" w:rsidRPr="00F621AF">
              <w:rPr>
                <w:rStyle w:val="Hyperlink"/>
                <w:noProof/>
              </w:rPr>
              <w:t>Patient exposure</w:t>
            </w:r>
            <w:r w:rsidR="00434A9B">
              <w:rPr>
                <w:noProof/>
                <w:webHidden/>
              </w:rPr>
              <w:tab/>
            </w:r>
            <w:r w:rsidR="00434A9B">
              <w:rPr>
                <w:noProof/>
                <w:webHidden/>
              </w:rPr>
              <w:fldChar w:fldCharType="begin"/>
            </w:r>
            <w:r w:rsidR="00434A9B">
              <w:rPr>
                <w:noProof/>
                <w:webHidden/>
              </w:rPr>
              <w:instrText xml:space="preserve"> PAGEREF _Toc423350786 \h </w:instrText>
            </w:r>
            <w:r w:rsidR="00434A9B">
              <w:rPr>
                <w:noProof/>
                <w:webHidden/>
              </w:rPr>
            </w:r>
            <w:r w:rsidR="00434A9B">
              <w:rPr>
                <w:noProof/>
                <w:webHidden/>
              </w:rPr>
              <w:fldChar w:fldCharType="separate"/>
            </w:r>
            <w:r w:rsidR="001C3DEE">
              <w:rPr>
                <w:noProof/>
                <w:webHidden/>
              </w:rPr>
              <w:t>38</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87" w:history="1">
            <w:r w:rsidR="00434A9B" w:rsidRPr="00F621AF">
              <w:rPr>
                <w:rStyle w:val="Hyperlink"/>
                <w:noProof/>
              </w:rPr>
              <w:t>8.2.1.</w:t>
            </w:r>
            <w:r w:rsidR="00434A9B">
              <w:rPr>
                <w:rFonts w:asciiTheme="minorHAnsi" w:eastAsiaTheme="minorEastAsia" w:hAnsiTheme="minorHAnsi" w:cstheme="minorBidi"/>
                <w:noProof/>
                <w:lang w:eastAsia="en-AU"/>
              </w:rPr>
              <w:tab/>
            </w:r>
            <w:r w:rsidR="00434A9B" w:rsidRPr="00F621AF">
              <w:rPr>
                <w:rStyle w:val="Hyperlink"/>
                <w:noProof/>
              </w:rPr>
              <w:t>Adverse events</w:t>
            </w:r>
            <w:r w:rsidR="00434A9B">
              <w:rPr>
                <w:noProof/>
                <w:webHidden/>
              </w:rPr>
              <w:tab/>
            </w:r>
            <w:r w:rsidR="00434A9B">
              <w:rPr>
                <w:noProof/>
                <w:webHidden/>
              </w:rPr>
              <w:fldChar w:fldCharType="begin"/>
            </w:r>
            <w:r w:rsidR="00434A9B">
              <w:rPr>
                <w:noProof/>
                <w:webHidden/>
              </w:rPr>
              <w:instrText xml:space="preserve"> PAGEREF _Toc423350787 \h </w:instrText>
            </w:r>
            <w:r w:rsidR="00434A9B">
              <w:rPr>
                <w:noProof/>
                <w:webHidden/>
              </w:rPr>
            </w:r>
            <w:r w:rsidR="00434A9B">
              <w:rPr>
                <w:noProof/>
                <w:webHidden/>
              </w:rPr>
              <w:fldChar w:fldCharType="separate"/>
            </w:r>
            <w:r w:rsidR="001C3DEE">
              <w:rPr>
                <w:noProof/>
                <w:webHidden/>
              </w:rPr>
              <w:t>39</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88" w:history="1">
            <w:r w:rsidR="00434A9B" w:rsidRPr="00F621AF">
              <w:rPr>
                <w:rStyle w:val="Hyperlink"/>
                <w:noProof/>
              </w:rPr>
              <w:t>8.3.</w:t>
            </w:r>
            <w:r w:rsidR="00434A9B">
              <w:rPr>
                <w:rFonts w:asciiTheme="minorHAnsi" w:eastAsiaTheme="minorEastAsia" w:hAnsiTheme="minorHAnsi" w:cstheme="minorBidi"/>
                <w:noProof/>
                <w:lang w:eastAsia="en-AU"/>
              </w:rPr>
              <w:tab/>
            </w:r>
            <w:r w:rsidR="00434A9B" w:rsidRPr="00F621AF">
              <w:rPr>
                <w:rStyle w:val="Hyperlink"/>
                <w:noProof/>
              </w:rPr>
              <w:t>Laboratory tests</w:t>
            </w:r>
            <w:r w:rsidR="00434A9B">
              <w:rPr>
                <w:noProof/>
                <w:webHidden/>
              </w:rPr>
              <w:tab/>
            </w:r>
            <w:r w:rsidR="00434A9B">
              <w:rPr>
                <w:noProof/>
                <w:webHidden/>
              </w:rPr>
              <w:fldChar w:fldCharType="begin"/>
            </w:r>
            <w:r w:rsidR="00434A9B">
              <w:rPr>
                <w:noProof/>
                <w:webHidden/>
              </w:rPr>
              <w:instrText xml:space="preserve"> PAGEREF _Toc423350788 \h </w:instrText>
            </w:r>
            <w:r w:rsidR="00434A9B">
              <w:rPr>
                <w:noProof/>
                <w:webHidden/>
              </w:rPr>
            </w:r>
            <w:r w:rsidR="00434A9B">
              <w:rPr>
                <w:noProof/>
                <w:webHidden/>
              </w:rPr>
              <w:fldChar w:fldCharType="separate"/>
            </w:r>
            <w:r w:rsidR="001C3DEE">
              <w:rPr>
                <w:noProof/>
                <w:webHidden/>
              </w:rPr>
              <w:t>55</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89" w:history="1">
            <w:r w:rsidR="00434A9B" w:rsidRPr="00F621AF">
              <w:rPr>
                <w:rStyle w:val="Hyperlink"/>
                <w:noProof/>
              </w:rPr>
              <w:t>8.4.</w:t>
            </w:r>
            <w:r w:rsidR="00434A9B">
              <w:rPr>
                <w:rFonts w:asciiTheme="minorHAnsi" w:eastAsiaTheme="minorEastAsia" w:hAnsiTheme="minorHAnsi" w:cstheme="minorBidi"/>
                <w:noProof/>
                <w:lang w:eastAsia="en-AU"/>
              </w:rPr>
              <w:tab/>
            </w:r>
            <w:r w:rsidR="00434A9B" w:rsidRPr="00F621AF">
              <w:rPr>
                <w:rStyle w:val="Hyperlink"/>
                <w:noProof/>
              </w:rPr>
              <w:t>PI update (HERA study)</w:t>
            </w:r>
            <w:r w:rsidR="00434A9B">
              <w:rPr>
                <w:noProof/>
                <w:webHidden/>
              </w:rPr>
              <w:tab/>
            </w:r>
            <w:r w:rsidR="00434A9B">
              <w:rPr>
                <w:noProof/>
                <w:webHidden/>
              </w:rPr>
              <w:fldChar w:fldCharType="begin"/>
            </w:r>
            <w:r w:rsidR="00434A9B">
              <w:rPr>
                <w:noProof/>
                <w:webHidden/>
              </w:rPr>
              <w:instrText xml:space="preserve"> PAGEREF _Toc423350789 \h </w:instrText>
            </w:r>
            <w:r w:rsidR="00434A9B">
              <w:rPr>
                <w:noProof/>
                <w:webHidden/>
              </w:rPr>
            </w:r>
            <w:r w:rsidR="00434A9B">
              <w:rPr>
                <w:noProof/>
                <w:webHidden/>
              </w:rPr>
              <w:fldChar w:fldCharType="separate"/>
            </w:r>
            <w:r w:rsidR="001C3DEE">
              <w:rPr>
                <w:noProof/>
                <w:webHidden/>
              </w:rPr>
              <w:t>56</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90" w:history="1">
            <w:r w:rsidR="00434A9B" w:rsidRPr="00F621AF">
              <w:rPr>
                <w:rStyle w:val="Hyperlink"/>
                <w:noProof/>
              </w:rPr>
              <w:t>8.5.</w:t>
            </w:r>
            <w:r w:rsidR="00434A9B">
              <w:rPr>
                <w:rFonts w:asciiTheme="minorHAnsi" w:eastAsiaTheme="minorEastAsia" w:hAnsiTheme="minorHAnsi" w:cstheme="minorBidi"/>
                <w:noProof/>
                <w:lang w:eastAsia="en-AU"/>
              </w:rPr>
              <w:tab/>
            </w:r>
            <w:r w:rsidR="00434A9B" w:rsidRPr="00F621AF">
              <w:rPr>
                <w:rStyle w:val="Hyperlink"/>
                <w:noProof/>
              </w:rPr>
              <w:t>Post-marketing experience</w:t>
            </w:r>
            <w:r w:rsidR="00434A9B">
              <w:rPr>
                <w:noProof/>
                <w:webHidden/>
              </w:rPr>
              <w:tab/>
            </w:r>
            <w:r w:rsidR="00434A9B">
              <w:rPr>
                <w:noProof/>
                <w:webHidden/>
              </w:rPr>
              <w:fldChar w:fldCharType="begin"/>
            </w:r>
            <w:r w:rsidR="00434A9B">
              <w:rPr>
                <w:noProof/>
                <w:webHidden/>
              </w:rPr>
              <w:instrText xml:space="preserve"> PAGEREF _Toc423350790 \h </w:instrText>
            </w:r>
            <w:r w:rsidR="00434A9B">
              <w:rPr>
                <w:noProof/>
                <w:webHidden/>
              </w:rPr>
            </w:r>
            <w:r w:rsidR="00434A9B">
              <w:rPr>
                <w:noProof/>
                <w:webHidden/>
              </w:rPr>
              <w:fldChar w:fldCharType="separate"/>
            </w:r>
            <w:r w:rsidR="001C3DEE">
              <w:rPr>
                <w:noProof/>
                <w:webHidden/>
              </w:rPr>
              <w:t>62</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91" w:history="1">
            <w:r w:rsidR="00434A9B" w:rsidRPr="00F621AF">
              <w:rPr>
                <w:rStyle w:val="Hyperlink"/>
                <w:noProof/>
              </w:rPr>
              <w:t>8.6.</w:t>
            </w:r>
            <w:r w:rsidR="00434A9B">
              <w:rPr>
                <w:rFonts w:asciiTheme="minorHAnsi" w:eastAsiaTheme="minorEastAsia" w:hAnsiTheme="minorHAnsi" w:cstheme="minorBidi"/>
                <w:noProof/>
                <w:lang w:eastAsia="en-AU"/>
              </w:rPr>
              <w:tab/>
            </w:r>
            <w:r w:rsidR="00434A9B" w:rsidRPr="00F621AF">
              <w:rPr>
                <w:rStyle w:val="Hyperlink"/>
                <w:noProof/>
              </w:rPr>
              <w:t>Safety issues with the potential for major regulatory impact</w:t>
            </w:r>
            <w:r w:rsidR="00434A9B">
              <w:rPr>
                <w:noProof/>
                <w:webHidden/>
              </w:rPr>
              <w:tab/>
            </w:r>
            <w:r w:rsidR="00434A9B">
              <w:rPr>
                <w:noProof/>
                <w:webHidden/>
              </w:rPr>
              <w:fldChar w:fldCharType="begin"/>
            </w:r>
            <w:r w:rsidR="00434A9B">
              <w:rPr>
                <w:noProof/>
                <w:webHidden/>
              </w:rPr>
              <w:instrText xml:space="preserve"> PAGEREF _Toc423350791 \h </w:instrText>
            </w:r>
            <w:r w:rsidR="00434A9B">
              <w:rPr>
                <w:noProof/>
                <w:webHidden/>
              </w:rPr>
            </w:r>
            <w:r w:rsidR="00434A9B">
              <w:rPr>
                <w:noProof/>
                <w:webHidden/>
              </w:rPr>
              <w:fldChar w:fldCharType="separate"/>
            </w:r>
            <w:r w:rsidR="001C3DEE">
              <w:rPr>
                <w:noProof/>
                <w:webHidden/>
              </w:rPr>
              <w:t>62</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92" w:history="1">
            <w:r w:rsidR="00434A9B" w:rsidRPr="00F621AF">
              <w:rPr>
                <w:rStyle w:val="Hyperlink"/>
                <w:noProof/>
              </w:rPr>
              <w:t>8.7.</w:t>
            </w:r>
            <w:r w:rsidR="00434A9B">
              <w:rPr>
                <w:rFonts w:asciiTheme="minorHAnsi" w:eastAsiaTheme="minorEastAsia" w:hAnsiTheme="minorHAnsi" w:cstheme="minorBidi"/>
                <w:noProof/>
                <w:lang w:eastAsia="en-AU"/>
              </w:rPr>
              <w:tab/>
            </w:r>
            <w:r w:rsidR="00434A9B" w:rsidRPr="00F621AF">
              <w:rPr>
                <w:rStyle w:val="Hyperlink"/>
                <w:noProof/>
              </w:rPr>
              <w:t>Evaluator’s overall conclusions on clinical safety</w:t>
            </w:r>
            <w:r w:rsidR="00434A9B">
              <w:rPr>
                <w:noProof/>
                <w:webHidden/>
              </w:rPr>
              <w:tab/>
            </w:r>
            <w:r w:rsidR="00434A9B">
              <w:rPr>
                <w:noProof/>
                <w:webHidden/>
              </w:rPr>
              <w:fldChar w:fldCharType="begin"/>
            </w:r>
            <w:r w:rsidR="00434A9B">
              <w:rPr>
                <w:noProof/>
                <w:webHidden/>
              </w:rPr>
              <w:instrText xml:space="preserve"> PAGEREF _Toc423350792 \h </w:instrText>
            </w:r>
            <w:r w:rsidR="00434A9B">
              <w:rPr>
                <w:noProof/>
                <w:webHidden/>
              </w:rPr>
            </w:r>
            <w:r w:rsidR="00434A9B">
              <w:rPr>
                <w:noProof/>
                <w:webHidden/>
              </w:rPr>
              <w:fldChar w:fldCharType="separate"/>
            </w:r>
            <w:r w:rsidR="001C3DEE">
              <w:rPr>
                <w:noProof/>
                <w:webHidden/>
              </w:rPr>
              <w:t>63</w:t>
            </w:r>
            <w:r w:rsidR="00434A9B">
              <w:rPr>
                <w:noProof/>
                <w:webHidden/>
              </w:rPr>
              <w:fldChar w:fldCharType="end"/>
            </w:r>
          </w:hyperlink>
        </w:p>
        <w:p w:rsidR="00434A9B" w:rsidRDefault="00B30102">
          <w:pPr>
            <w:pStyle w:val="TOC2"/>
            <w:tabs>
              <w:tab w:val="left" w:pos="1100"/>
            </w:tabs>
            <w:rPr>
              <w:rFonts w:asciiTheme="minorHAnsi" w:eastAsiaTheme="minorEastAsia" w:hAnsiTheme="minorHAnsi" w:cstheme="minorBidi"/>
              <w:b w:val="0"/>
              <w:noProof/>
              <w:sz w:val="22"/>
              <w:lang w:eastAsia="en-AU"/>
            </w:rPr>
          </w:pPr>
          <w:hyperlink w:anchor="_Toc423350793" w:history="1">
            <w:r w:rsidR="00434A9B" w:rsidRPr="00F621AF">
              <w:rPr>
                <w:rStyle w:val="Hyperlink"/>
                <w:noProof/>
              </w:rPr>
              <w:t>9.</w:t>
            </w:r>
            <w:r w:rsidR="00434A9B">
              <w:rPr>
                <w:rFonts w:asciiTheme="minorHAnsi" w:eastAsiaTheme="minorEastAsia" w:hAnsiTheme="minorHAnsi" w:cstheme="minorBidi"/>
                <w:b w:val="0"/>
                <w:noProof/>
                <w:sz w:val="22"/>
                <w:lang w:eastAsia="en-AU"/>
              </w:rPr>
              <w:tab/>
            </w:r>
            <w:r w:rsidR="00434A9B" w:rsidRPr="00F621AF">
              <w:rPr>
                <w:rStyle w:val="Hyperlink"/>
                <w:noProof/>
              </w:rPr>
              <w:t>First round benefit-risk assessment</w:t>
            </w:r>
            <w:r w:rsidR="00434A9B">
              <w:rPr>
                <w:noProof/>
                <w:webHidden/>
              </w:rPr>
              <w:tab/>
            </w:r>
            <w:r w:rsidR="00434A9B">
              <w:rPr>
                <w:noProof/>
                <w:webHidden/>
              </w:rPr>
              <w:fldChar w:fldCharType="begin"/>
            </w:r>
            <w:r w:rsidR="00434A9B">
              <w:rPr>
                <w:noProof/>
                <w:webHidden/>
              </w:rPr>
              <w:instrText xml:space="preserve"> PAGEREF _Toc423350793 \h </w:instrText>
            </w:r>
            <w:r w:rsidR="00434A9B">
              <w:rPr>
                <w:noProof/>
                <w:webHidden/>
              </w:rPr>
            </w:r>
            <w:r w:rsidR="00434A9B">
              <w:rPr>
                <w:noProof/>
                <w:webHidden/>
              </w:rPr>
              <w:fldChar w:fldCharType="separate"/>
            </w:r>
            <w:r w:rsidR="001C3DEE">
              <w:rPr>
                <w:noProof/>
                <w:webHidden/>
              </w:rPr>
              <w:t>64</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94" w:history="1">
            <w:r w:rsidR="00434A9B" w:rsidRPr="00F621AF">
              <w:rPr>
                <w:rStyle w:val="Hyperlink"/>
                <w:noProof/>
              </w:rPr>
              <w:t>9.1.</w:t>
            </w:r>
            <w:r w:rsidR="00434A9B">
              <w:rPr>
                <w:rFonts w:asciiTheme="minorHAnsi" w:eastAsiaTheme="minorEastAsia" w:hAnsiTheme="minorHAnsi" w:cstheme="minorBidi"/>
                <w:noProof/>
                <w:lang w:eastAsia="en-AU"/>
              </w:rPr>
              <w:tab/>
            </w:r>
            <w:r w:rsidR="00434A9B" w:rsidRPr="00F621AF">
              <w:rPr>
                <w:rStyle w:val="Hyperlink"/>
                <w:noProof/>
              </w:rPr>
              <w:t>Subcutaneous administration</w:t>
            </w:r>
            <w:r w:rsidR="00434A9B">
              <w:rPr>
                <w:noProof/>
                <w:webHidden/>
              </w:rPr>
              <w:tab/>
            </w:r>
            <w:r w:rsidR="00434A9B">
              <w:rPr>
                <w:noProof/>
                <w:webHidden/>
              </w:rPr>
              <w:fldChar w:fldCharType="begin"/>
            </w:r>
            <w:r w:rsidR="00434A9B">
              <w:rPr>
                <w:noProof/>
                <w:webHidden/>
              </w:rPr>
              <w:instrText xml:space="preserve"> PAGEREF _Toc423350794 \h </w:instrText>
            </w:r>
            <w:r w:rsidR="00434A9B">
              <w:rPr>
                <w:noProof/>
                <w:webHidden/>
              </w:rPr>
            </w:r>
            <w:r w:rsidR="00434A9B">
              <w:rPr>
                <w:noProof/>
                <w:webHidden/>
              </w:rPr>
              <w:fldChar w:fldCharType="separate"/>
            </w:r>
            <w:r w:rsidR="001C3DEE">
              <w:rPr>
                <w:noProof/>
                <w:webHidden/>
              </w:rPr>
              <w:t>64</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95" w:history="1">
            <w:r w:rsidR="00434A9B" w:rsidRPr="00F621AF">
              <w:rPr>
                <w:rStyle w:val="Hyperlink"/>
                <w:noProof/>
              </w:rPr>
              <w:t>9.2.</w:t>
            </w:r>
            <w:r w:rsidR="00434A9B">
              <w:rPr>
                <w:rFonts w:asciiTheme="minorHAnsi" w:eastAsiaTheme="minorEastAsia" w:hAnsiTheme="minorHAnsi" w:cstheme="minorBidi"/>
                <w:noProof/>
                <w:lang w:eastAsia="en-AU"/>
              </w:rPr>
              <w:tab/>
            </w:r>
            <w:r w:rsidR="00434A9B" w:rsidRPr="00F621AF">
              <w:rPr>
                <w:rStyle w:val="Hyperlink"/>
                <w:noProof/>
              </w:rPr>
              <w:t>PI update (HERA Study)</w:t>
            </w:r>
            <w:r w:rsidR="00434A9B">
              <w:rPr>
                <w:noProof/>
                <w:webHidden/>
              </w:rPr>
              <w:tab/>
            </w:r>
            <w:r w:rsidR="00434A9B">
              <w:rPr>
                <w:noProof/>
                <w:webHidden/>
              </w:rPr>
              <w:fldChar w:fldCharType="begin"/>
            </w:r>
            <w:r w:rsidR="00434A9B">
              <w:rPr>
                <w:noProof/>
                <w:webHidden/>
              </w:rPr>
              <w:instrText xml:space="preserve"> PAGEREF _Toc423350795 \h </w:instrText>
            </w:r>
            <w:r w:rsidR="00434A9B">
              <w:rPr>
                <w:noProof/>
                <w:webHidden/>
              </w:rPr>
            </w:r>
            <w:r w:rsidR="00434A9B">
              <w:rPr>
                <w:noProof/>
                <w:webHidden/>
              </w:rPr>
              <w:fldChar w:fldCharType="separate"/>
            </w:r>
            <w:r w:rsidR="001C3DEE">
              <w:rPr>
                <w:noProof/>
                <w:webHidden/>
              </w:rPr>
              <w:t>64</w:t>
            </w:r>
            <w:r w:rsidR="00434A9B">
              <w:rPr>
                <w:noProof/>
                <w:webHidden/>
              </w:rPr>
              <w:fldChar w:fldCharType="end"/>
            </w:r>
          </w:hyperlink>
        </w:p>
        <w:p w:rsidR="00434A9B" w:rsidRDefault="00B30102">
          <w:pPr>
            <w:pStyle w:val="TOC2"/>
            <w:tabs>
              <w:tab w:val="left" w:pos="1320"/>
            </w:tabs>
            <w:rPr>
              <w:rFonts w:asciiTheme="minorHAnsi" w:eastAsiaTheme="minorEastAsia" w:hAnsiTheme="minorHAnsi" w:cstheme="minorBidi"/>
              <w:b w:val="0"/>
              <w:noProof/>
              <w:sz w:val="22"/>
              <w:lang w:eastAsia="en-AU"/>
            </w:rPr>
          </w:pPr>
          <w:hyperlink w:anchor="_Toc423350796" w:history="1">
            <w:r w:rsidR="00434A9B" w:rsidRPr="00F621AF">
              <w:rPr>
                <w:rStyle w:val="Hyperlink"/>
                <w:noProof/>
              </w:rPr>
              <w:t>10.</w:t>
            </w:r>
            <w:r w:rsidR="00434A9B">
              <w:rPr>
                <w:rFonts w:asciiTheme="minorHAnsi" w:eastAsiaTheme="minorEastAsia" w:hAnsiTheme="minorHAnsi" w:cstheme="minorBidi"/>
                <w:b w:val="0"/>
                <w:noProof/>
                <w:sz w:val="22"/>
                <w:lang w:eastAsia="en-AU"/>
              </w:rPr>
              <w:tab/>
            </w:r>
            <w:r w:rsidR="00434A9B" w:rsidRPr="00F621AF">
              <w:rPr>
                <w:rStyle w:val="Hyperlink"/>
                <w:noProof/>
              </w:rPr>
              <w:t>First round recommendation regarding authorisation</w:t>
            </w:r>
            <w:r w:rsidR="00434A9B">
              <w:rPr>
                <w:noProof/>
                <w:webHidden/>
              </w:rPr>
              <w:tab/>
            </w:r>
            <w:r w:rsidR="00434A9B">
              <w:rPr>
                <w:noProof/>
                <w:webHidden/>
              </w:rPr>
              <w:fldChar w:fldCharType="begin"/>
            </w:r>
            <w:r w:rsidR="00434A9B">
              <w:rPr>
                <w:noProof/>
                <w:webHidden/>
              </w:rPr>
              <w:instrText xml:space="preserve"> PAGEREF _Toc423350796 \h </w:instrText>
            </w:r>
            <w:r w:rsidR="00434A9B">
              <w:rPr>
                <w:noProof/>
                <w:webHidden/>
              </w:rPr>
            </w:r>
            <w:r w:rsidR="00434A9B">
              <w:rPr>
                <w:noProof/>
                <w:webHidden/>
              </w:rPr>
              <w:fldChar w:fldCharType="separate"/>
            </w:r>
            <w:r w:rsidR="001C3DEE">
              <w:rPr>
                <w:noProof/>
                <w:webHidden/>
              </w:rPr>
              <w:t>65</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97" w:history="1">
            <w:r w:rsidR="00434A9B" w:rsidRPr="00F621AF">
              <w:rPr>
                <w:rStyle w:val="Hyperlink"/>
                <w:noProof/>
              </w:rPr>
              <w:t>10.1.</w:t>
            </w:r>
            <w:r w:rsidR="00434A9B">
              <w:rPr>
                <w:rFonts w:asciiTheme="minorHAnsi" w:eastAsiaTheme="minorEastAsia" w:hAnsiTheme="minorHAnsi" w:cstheme="minorBidi"/>
                <w:noProof/>
                <w:lang w:eastAsia="en-AU"/>
              </w:rPr>
              <w:tab/>
            </w:r>
            <w:r w:rsidR="00434A9B" w:rsidRPr="00F621AF">
              <w:rPr>
                <w:rStyle w:val="Hyperlink"/>
                <w:noProof/>
              </w:rPr>
              <w:t>Subcutaneous administration</w:t>
            </w:r>
            <w:r w:rsidR="00434A9B">
              <w:rPr>
                <w:noProof/>
                <w:webHidden/>
              </w:rPr>
              <w:tab/>
            </w:r>
            <w:r w:rsidR="00434A9B">
              <w:rPr>
                <w:noProof/>
                <w:webHidden/>
              </w:rPr>
              <w:fldChar w:fldCharType="begin"/>
            </w:r>
            <w:r w:rsidR="00434A9B">
              <w:rPr>
                <w:noProof/>
                <w:webHidden/>
              </w:rPr>
              <w:instrText xml:space="preserve"> PAGEREF _Toc423350797 \h </w:instrText>
            </w:r>
            <w:r w:rsidR="00434A9B">
              <w:rPr>
                <w:noProof/>
                <w:webHidden/>
              </w:rPr>
            </w:r>
            <w:r w:rsidR="00434A9B">
              <w:rPr>
                <w:noProof/>
                <w:webHidden/>
              </w:rPr>
              <w:fldChar w:fldCharType="separate"/>
            </w:r>
            <w:r w:rsidR="001C3DEE">
              <w:rPr>
                <w:noProof/>
                <w:webHidden/>
              </w:rPr>
              <w:t>65</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798" w:history="1">
            <w:r w:rsidR="00434A9B" w:rsidRPr="00F621AF">
              <w:rPr>
                <w:rStyle w:val="Hyperlink"/>
                <w:noProof/>
              </w:rPr>
              <w:t>10.2.</w:t>
            </w:r>
            <w:r w:rsidR="00434A9B">
              <w:rPr>
                <w:rFonts w:asciiTheme="minorHAnsi" w:eastAsiaTheme="minorEastAsia" w:hAnsiTheme="minorHAnsi" w:cstheme="minorBidi"/>
                <w:noProof/>
                <w:lang w:eastAsia="en-AU"/>
              </w:rPr>
              <w:tab/>
            </w:r>
            <w:r w:rsidR="00434A9B" w:rsidRPr="00F621AF">
              <w:rPr>
                <w:rStyle w:val="Hyperlink"/>
                <w:noProof/>
              </w:rPr>
              <w:t>PI update (HERA Study)</w:t>
            </w:r>
            <w:r w:rsidR="00434A9B">
              <w:rPr>
                <w:noProof/>
                <w:webHidden/>
              </w:rPr>
              <w:tab/>
            </w:r>
            <w:r w:rsidR="00434A9B">
              <w:rPr>
                <w:noProof/>
                <w:webHidden/>
              </w:rPr>
              <w:fldChar w:fldCharType="begin"/>
            </w:r>
            <w:r w:rsidR="00434A9B">
              <w:rPr>
                <w:noProof/>
                <w:webHidden/>
              </w:rPr>
              <w:instrText xml:space="preserve"> PAGEREF _Toc423350798 \h </w:instrText>
            </w:r>
            <w:r w:rsidR="00434A9B">
              <w:rPr>
                <w:noProof/>
                <w:webHidden/>
              </w:rPr>
            </w:r>
            <w:r w:rsidR="00434A9B">
              <w:rPr>
                <w:noProof/>
                <w:webHidden/>
              </w:rPr>
              <w:fldChar w:fldCharType="separate"/>
            </w:r>
            <w:r w:rsidR="001C3DEE">
              <w:rPr>
                <w:noProof/>
                <w:webHidden/>
              </w:rPr>
              <w:t>65</w:t>
            </w:r>
            <w:r w:rsidR="00434A9B">
              <w:rPr>
                <w:noProof/>
                <w:webHidden/>
              </w:rPr>
              <w:fldChar w:fldCharType="end"/>
            </w:r>
          </w:hyperlink>
        </w:p>
        <w:p w:rsidR="00434A9B" w:rsidRDefault="00B30102">
          <w:pPr>
            <w:pStyle w:val="TOC2"/>
            <w:tabs>
              <w:tab w:val="left" w:pos="1320"/>
            </w:tabs>
            <w:rPr>
              <w:rFonts w:asciiTheme="minorHAnsi" w:eastAsiaTheme="minorEastAsia" w:hAnsiTheme="minorHAnsi" w:cstheme="minorBidi"/>
              <w:b w:val="0"/>
              <w:noProof/>
              <w:sz w:val="22"/>
              <w:lang w:eastAsia="en-AU"/>
            </w:rPr>
          </w:pPr>
          <w:hyperlink w:anchor="_Toc423350799" w:history="1">
            <w:r w:rsidR="00434A9B" w:rsidRPr="00F621AF">
              <w:rPr>
                <w:rStyle w:val="Hyperlink"/>
                <w:noProof/>
              </w:rPr>
              <w:t>11.</w:t>
            </w:r>
            <w:r w:rsidR="00434A9B">
              <w:rPr>
                <w:rFonts w:asciiTheme="minorHAnsi" w:eastAsiaTheme="minorEastAsia" w:hAnsiTheme="minorHAnsi" w:cstheme="minorBidi"/>
                <w:b w:val="0"/>
                <w:noProof/>
                <w:sz w:val="22"/>
                <w:lang w:eastAsia="en-AU"/>
              </w:rPr>
              <w:tab/>
            </w:r>
            <w:r w:rsidR="00434A9B" w:rsidRPr="00F621AF">
              <w:rPr>
                <w:rStyle w:val="Hyperlink"/>
                <w:noProof/>
              </w:rPr>
              <w:t>Clinical questions</w:t>
            </w:r>
            <w:r w:rsidR="00434A9B">
              <w:rPr>
                <w:noProof/>
                <w:webHidden/>
              </w:rPr>
              <w:tab/>
            </w:r>
            <w:r w:rsidR="00434A9B">
              <w:rPr>
                <w:noProof/>
                <w:webHidden/>
              </w:rPr>
              <w:fldChar w:fldCharType="begin"/>
            </w:r>
            <w:r w:rsidR="00434A9B">
              <w:rPr>
                <w:noProof/>
                <w:webHidden/>
              </w:rPr>
              <w:instrText xml:space="preserve"> PAGEREF _Toc423350799 \h </w:instrText>
            </w:r>
            <w:r w:rsidR="00434A9B">
              <w:rPr>
                <w:noProof/>
                <w:webHidden/>
              </w:rPr>
            </w:r>
            <w:r w:rsidR="00434A9B">
              <w:rPr>
                <w:noProof/>
                <w:webHidden/>
              </w:rPr>
              <w:fldChar w:fldCharType="separate"/>
            </w:r>
            <w:r w:rsidR="001C3DEE">
              <w:rPr>
                <w:noProof/>
                <w:webHidden/>
              </w:rPr>
              <w:t>65</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800" w:history="1">
            <w:r w:rsidR="00434A9B" w:rsidRPr="00F621AF">
              <w:rPr>
                <w:rStyle w:val="Hyperlink"/>
                <w:noProof/>
              </w:rPr>
              <w:t>11.1.</w:t>
            </w:r>
            <w:r w:rsidR="00434A9B">
              <w:rPr>
                <w:rFonts w:asciiTheme="minorHAnsi" w:eastAsiaTheme="minorEastAsia" w:hAnsiTheme="minorHAnsi" w:cstheme="minorBidi"/>
                <w:noProof/>
                <w:lang w:eastAsia="en-AU"/>
              </w:rPr>
              <w:tab/>
            </w:r>
            <w:r w:rsidR="00434A9B" w:rsidRPr="00F621AF">
              <w:rPr>
                <w:rStyle w:val="Hyperlink"/>
                <w:noProof/>
              </w:rPr>
              <w:t>Pharmacokinetics</w:t>
            </w:r>
            <w:r w:rsidR="00434A9B">
              <w:rPr>
                <w:noProof/>
                <w:webHidden/>
              </w:rPr>
              <w:tab/>
            </w:r>
            <w:r w:rsidR="00434A9B">
              <w:rPr>
                <w:noProof/>
                <w:webHidden/>
              </w:rPr>
              <w:fldChar w:fldCharType="begin"/>
            </w:r>
            <w:r w:rsidR="00434A9B">
              <w:rPr>
                <w:noProof/>
                <w:webHidden/>
              </w:rPr>
              <w:instrText xml:space="preserve"> PAGEREF _Toc423350800 \h </w:instrText>
            </w:r>
            <w:r w:rsidR="00434A9B">
              <w:rPr>
                <w:noProof/>
                <w:webHidden/>
              </w:rPr>
            </w:r>
            <w:r w:rsidR="00434A9B">
              <w:rPr>
                <w:noProof/>
                <w:webHidden/>
              </w:rPr>
              <w:fldChar w:fldCharType="separate"/>
            </w:r>
            <w:r w:rsidR="001C3DEE">
              <w:rPr>
                <w:noProof/>
                <w:webHidden/>
              </w:rPr>
              <w:t>65</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801" w:history="1">
            <w:r w:rsidR="00434A9B" w:rsidRPr="00F621AF">
              <w:rPr>
                <w:rStyle w:val="Hyperlink"/>
                <w:noProof/>
              </w:rPr>
              <w:t>11.2.</w:t>
            </w:r>
            <w:r w:rsidR="00434A9B">
              <w:rPr>
                <w:rFonts w:asciiTheme="minorHAnsi" w:eastAsiaTheme="minorEastAsia" w:hAnsiTheme="minorHAnsi" w:cstheme="minorBidi"/>
                <w:noProof/>
                <w:lang w:eastAsia="en-AU"/>
              </w:rPr>
              <w:tab/>
            </w:r>
            <w:r w:rsidR="00434A9B" w:rsidRPr="00F621AF">
              <w:rPr>
                <w:rStyle w:val="Hyperlink"/>
                <w:noProof/>
              </w:rPr>
              <w:t>Efficacy</w:t>
            </w:r>
            <w:r w:rsidR="00434A9B">
              <w:rPr>
                <w:noProof/>
                <w:webHidden/>
              </w:rPr>
              <w:tab/>
            </w:r>
            <w:r w:rsidR="00434A9B">
              <w:rPr>
                <w:noProof/>
                <w:webHidden/>
              </w:rPr>
              <w:fldChar w:fldCharType="begin"/>
            </w:r>
            <w:r w:rsidR="00434A9B">
              <w:rPr>
                <w:noProof/>
                <w:webHidden/>
              </w:rPr>
              <w:instrText xml:space="preserve"> PAGEREF _Toc423350801 \h </w:instrText>
            </w:r>
            <w:r w:rsidR="00434A9B">
              <w:rPr>
                <w:noProof/>
                <w:webHidden/>
              </w:rPr>
            </w:r>
            <w:r w:rsidR="00434A9B">
              <w:rPr>
                <w:noProof/>
                <w:webHidden/>
              </w:rPr>
              <w:fldChar w:fldCharType="separate"/>
            </w:r>
            <w:r w:rsidR="001C3DEE">
              <w:rPr>
                <w:noProof/>
                <w:webHidden/>
              </w:rPr>
              <w:t>65</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802" w:history="1">
            <w:r w:rsidR="00434A9B" w:rsidRPr="00F621AF">
              <w:rPr>
                <w:rStyle w:val="Hyperlink"/>
                <w:noProof/>
              </w:rPr>
              <w:t>11.3.</w:t>
            </w:r>
            <w:r w:rsidR="00434A9B">
              <w:rPr>
                <w:rFonts w:asciiTheme="minorHAnsi" w:eastAsiaTheme="minorEastAsia" w:hAnsiTheme="minorHAnsi" w:cstheme="minorBidi"/>
                <w:noProof/>
                <w:lang w:eastAsia="en-AU"/>
              </w:rPr>
              <w:tab/>
            </w:r>
            <w:r w:rsidR="00434A9B" w:rsidRPr="00F621AF">
              <w:rPr>
                <w:rStyle w:val="Hyperlink"/>
                <w:noProof/>
              </w:rPr>
              <w:t>Safety</w:t>
            </w:r>
            <w:r w:rsidR="00434A9B">
              <w:rPr>
                <w:noProof/>
                <w:webHidden/>
              </w:rPr>
              <w:tab/>
            </w:r>
            <w:r w:rsidR="00434A9B">
              <w:rPr>
                <w:noProof/>
                <w:webHidden/>
              </w:rPr>
              <w:fldChar w:fldCharType="begin"/>
            </w:r>
            <w:r w:rsidR="00434A9B">
              <w:rPr>
                <w:noProof/>
                <w:webHidden/>
              </w:rPr>
              <w:instrText xml:space="preserve"> PAGEREF _Toc423350802 \h </w:instrText>
            </w:r>
            <w:r w:rsidR="00434A9B">
              <w:rPr>
                <w:noProof/>
                <w:webHidden/>
              </w:rPr>
            </w:r>
            <w:r w:rsidR="00434A9B">
              <w:rPr>
                <w:noProof/>
                <w:webHidden/>
              </w:rPr>
              <w:fldChar w:fldCharType="separate"/>
            </w:r>
            <w:r w:rsidR="001C3DEE">
              <w:rPr>
                <w:noProof/>
                <w:webHidden/>
              </w:rPr>
              <w:t>65</w:t>
            </w:r>
            <w:r w:rsidR="00434A9B">
              <w:rPr>
                <w:noProof/>
                <w:webHidden/>
              </w:rPr>
              <w:fldChar w:fldCharType="end"/>
            </w:r>
          </w:hyperlink>
        </w:p>
        <w:p w:rsidR="00434A9B" w:rsidRDefault="00B30102">
          <w:pPr>
            <w:pStyle w:val="TOC2"/>
            <w:tabs>
              <w:tab w:val="left" w:pos="1320"/>
            </w:tabs>
            <w:rPr>
              <w:rFonts w:asciiTheme="minorHAnsi" w:eastAsiaTheme="minorEastAsia" w:hAnsiTheme="minorHAnsi" w:cstheme="minorBidi"/>
              <w:b w:val="0"/>
              <w:noProof/>
              <w:sz w:val="22"/>
              <w:lang w:eastAsia="en-AU"/>
            </w:rPr>
          </w:pPr>
          <w:hyperlink w:anchor="_Toc423350803" w:history="1">
            <w:r w:rsidR="00434A9B" w:rsidRPr="00F621AF">
              <w:rPr>
                <w:rStyle w:val="Hyperlink"/>
                <w:noProof/>
              </w:rPr>
              <w:t>12.</w:t>
            </w:r>
            <w:r w:rsidR="00434A9B">
              <w:rPr>
                <w:rFonts w:asciiTheme="minorHAnsi" w:eastAsiaTheme="minorEastAsia" w:hAnsiTheme="minorHAnsi" w:cstheme="minorBidi"/>
                <w:b w:val="0"/>
                <w:noProof/>
                <w:sz w:val="22"/>
                <w:lang w:eastAsia="en-AU"/>
              </w:rPr>
              <w:tab/>
            </w:r>
            <w:r w:rsidR="00434A9B" w:rsidRPr="00F621AF">
              <w:rPr>
                <w:rStyle w:val="Hyperlink"/>
                <w:noProof/>
              </w:rPr>
              <w:t>Second round evaluation of clinical data submitted in response to questions</w:t>
            </w:r>
            <w:r w:rsidR="00434A9B">
              <w:rPr>
                <w:noProof/>
                <w:webHidden/>
              </w:rPr>
              <w:tab/>
            </w:r>
            <w:r w:rsidR="00434A9B">
              <w:rPr>
                <w:noProof/>
                <w:webHidden/>
              </w:rPr>
              <w:fldChar w:fldCharType="begin"/>
            </w:r>
            <w:r w:rsidR="00434A9B">
              <w:rPr>
                <w:noProof/>
                <w:webHidden/>
              </w:rPr>
              <w:instrText xml:space="preserve"> PAGEREF _Toc423350803 \h </w:instrText>
            </w:r>
            <w:r w:rsidR="00434A9B">
              <w:rPr>
                <w:noProof/>
                <w:webHidden/>
              </w:rPr>
            </w:r>
            <w:r w:rsidR="00434A9B">
              <w:rPr>
                <w:noProof/>
                <w:webHidden/>
              </w:rPr>
              <w:fldChar w:fldCharType="separate"/>
            </w:r>
            <w:r w:rsidR="001C3DEE">
              <w:rPr>
                <w:noProof/>
                <w:webHidden/>
              </w:rPr>
              <w:t>66</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804" w:history="1">
            <w:r w:rsidR="00434A9B" w:rsidRPr="00F621AF">
              <w:rPr>
                <w:rStyle w:val="Hyperlink"/>
                <w:noProof/>
              </w:rPr>
              <w:t>12.1.</w:t>
            </w:r>
            <w:r w:rsidR="00434A9B">
              <w:rPr>
                <w:rFonts w:asciiTheme="minorHAnsi" w:eastAsiaTheme="minorEastAsia" w:hAnsiTheme="minorHAnsi" w:cstheme="minorBidi"/>
                <w:noProof/>
                <w:lang w:eastAsia="en-AU"/>
              </w:rPr>
              <w:tab/>
            </w:r>
            <w:r w:rsidR="00434A9B" w:rsidRPr="00F621AF">
              <w:rPr>
                <w:rStyle w:val="Hyperlink"/>
                <w:noProof/>
              </w:rPr>
              <w:t>Response to questions</w:t>
            </w:r>
            <w:r w:rsidR="00434A9B">
              <w:rPr>
                <w:noProof/>
                <w:webHidden/>
              </w:rPr>
              <w:tab/>
            </w:r>
            <w:r w:rsidR="00434A9B">
              <w:rPr>
                <w:noProof/>
                <w:webHidden/>
              </w:rPr>
              <w:fldChar w:fldCharType="begin"/>
            </w:r>
            <w:r w:rsidR="00434A9B">
              <w:rPr>
                <w:noProof/>
                <w:webHidden/>
              </w:rPr>
              <w:instrText xml:space="preserve"> PAGEREF _Toc423350804 \h </w:instrText>
            </w:r>
            <w:r w:rsidR="00434A9B">
              <w:rPr>
                <w:noProof/>
                <w:webHidden/>
              </w:rPr>
            </w:r>
            <w:r w:rsidR="00434A9B">
              <w:rPr>
                <w:noProof/>
                <w:webHidden/>
              </w:rPr>
              <w:fldChar w:fldCharType="separate"/>
            </w:r>
            <w:r w:rsidR="001C3DEE">
              <w:rPr>
                <w:noProof/>
                <w:webHidden/>
              </w:rPr>
              <w:t>66</w:t>
            </w:r>
            <w:r w:rsidR="00434A9B">
              <w:rPr>
                <w:noProof/>
                <w:webHidden/>
              </w:rPr>
              <w:fldChar w:fldCharType="end"/>
            </w:r>
          </w:hyperlink>
        </w:p>
        <w:p w:rsidR="00434A9B" w:rsidRDefault="00B30102">
          <w:pPr>
            <w:pStyle w:val="TOC3"/>
            <w:tabs>
              <w:tab w:val="left" w:pos="1760"/>
            </w:tabs>
            <w:rPr>
              <w:rFonts w:asciiTheme="minorHAnsi" w:eastAsiaTheme="minorEastAsia" w:hAnsiTheme="minorHAnsi" w:cstheme="minorBidi"/>
              <w:noProof/>
              <w:lang w:eastAsia="en-AU"/>
            </w:rPr>
          </w:pPr>
          <w:hyperlink w:anchor="_Toc423350805" w:history="1">
            <w:r w:rsidR="00434A9B" w:rsidRPr="00F621AF">
              <w:rPr>
                <w:rStyle w:val="Hyperlink"/>
                <w:noProof/>
              </w:rPr>
              <w:t>12.2.</w:t>
            </w:r>
            <w:r w:rsidR="00434A9B">
              <w:rPr>
                <w:rFonts w:asciiTheme="minorHAnsi" w:eastAsiaTheme="minorEastAsia" w:hAnsiTheme="minorHAnsi" w:cstheme="minorBidi"/>
                <w:noProof/>
                <w:lang w:eastAsia="en-AU"/>
              </w:rPr>
              <w:tab/>
            </w:r>
            <w:r w:rsidR="00434A9B" w:rsidRPr="00F621AF">
              <w:rPr>
                <w:rStyle w:val="Hyperlink"/>
                <w:noProof/>
              </w:rPr>
              <w:t>Neoplasms in the HERA study</w:t>
            </w:r>
            <w:r w:rsidR="00434A9B">
              <w:rPr>
                <w:noProof/>
                <w:webHidden/>
              </w:rPr>
              <w:tab/>
            </w:r>
            <w:r w:rsidR="00434A9B">
              <w:rPr>
                <w:noProof/>
                <w:webHidden/>
              </w:rPr>
              <w:fldChar w:fldCharType="begin"/>
            </w:r>
            <w:r w:rsidR="00434A9B">
              <w:rPr>
                <w:noProof/>
                <w:webHidden/>
              </w:rPr>
              <w:instrText xml:space="preserve"> PAGEREF _Toc423350805 \h </w:instrText>
            </w:r>
            <w:r w:rsidR="00434A9B">
              <w:rPr>
                <w:noProof/>
                <w:webHidden/>
              </w:rPr>
            </w:r>
            <w:r w:rsidR="00434A9B">
              <w:rPr>
                <w:noProof/>
                <w:webHidden/>
              </w:rPr>
              <w:fldChar w:fldCharType="separate"/>
            </w:r>
            <w:r w:rsidR="001C3DEE">
              <w:rPr>
                <w:noProof/>
                <w:webHidden/>
              </w:rPr>
              <w:t>68</w:t>
            </w:r>
            <w:r w:rsidR="00434A9B">
              <w:rPr>
                <w:noProof/>
                <w:webHidden/>
              </w:rPr>
              <w:fldChar w:fldCharType="end"/>
            </w:r>
          </w:hyperlink>
        </w:p>
        <w:p w:rsidR="00434A9B" w:rsidRDefault="00B30102">
          <w:pPr>
            <w:pStyle w:val="TOC2"/>
            <w:tabs>
              <w:tab w:val="left" w:pos="1320"/>
            </w:tabs>
            <w:rPr>
              <w:rFonts w:asciiTheme="minorHAnsi" w:eastAsiaTheme="minorEastAsia" w:hAnsiTheme="minorHAnsi" w:cstheme="minorBidi"/>
              <w:b w:val="0"/>
              <w:noProof/>
              <w:sz w:val="22"/>
              <w:lang w:eastAsia="en-AU"/>
            </w:rPr>
          </w:pPr>
          <w:hyperlink w:anchor="_Toc423350806" w:history="1">
            <w:r w:rsidR="00434A9B" w:rsidRPr="00F621AF">
              <w:rPr>
                <w:rStyle w:val="Hyperlink"/>
                <w:noProof/>
              </w:rPr>
              <w:t>13.</w:t>
            </w:r>
            <w:r w:rsidR="00434A9B">
              <w:rPr>
                <w:rFonts w:asciiTheme="minorHAnsi" w:eastAsiaTheme="minorEastAsia" w:hAnsiTheme="minorHAnsi" w:cstheme="minorBidi"/>
                <w:b w:val="0"/>
                <w:noProof/>
                <w:sz w:val="22"/>
                <w:lang w:eastAsia="en-AU"/>
              </w:rPr>
              <w:tab/>
            </w:r>
            <w:r w:rsidR="00434A9B" w:rsidRPr="00F621AF">
              <w:rPr>
                <w:rStyle w:val="Hyperlink"/>
                <w:noProof/>
              </w:rPr>
              <w:t>Second round benefit-risk assessment</w:t>
            </w:r>
            <w:r w:rsidR="00434A9B">
              <w:rPr>
                <w:noProof/>
                <w:webHidden/>
              </w:rPr>
              <w:tab/>
            </w:r>
            <w:r w:rsidR="00434A9B">
              <w:rPr>
                <w:noProof/>
                <w:webHidden/>
              </w:rPr>
              <w:fldChar w:fldCharType="begin"/>
            </w:r>
            <w:r w:rsidR="00434A9B">
              <w:rPr>
                <w:noProof/>
                <w:webHidden/>
              </w:rPr>
              <w:instrText xml:space="preserve"> PAGEREF _Toc423350806 \h </w:instrText>
            </w:r>
            <w:r w:rsidR="00434A9B">
              <w:rPr>
                <w:noProof/>
                <w:webHidden/>
              </w:rPr>
            </w:r>
            <w:r w:rsidR="00434A9B">
              <w:rPr>
                <w:noProof/>
                <w:webHidden/>
              </w:rPr>
              <w:fldChar w:fldCharType="separate"/>
            </w:r>
            <w:r w:rsidR="001C3DEE">
              <w:rPr>
                <w:noProof/>
                <w:webHidden/>
              </w:rPr>
              <w:t>68</w:t>
            </w:r>
            <w:r w:rsidR="00434A9B">
              <w:rPr>
                <w:noProof/>
                <w:webHidden/>
              </w:rPr>
              <w:fldChar w:fldCharType="end"/>
            </w:r>
          </w:hyperlink>
        </w:p>
        <w:p w:rsidR="00434A9B" w:rsidRDefault="00B30102">
          <w:pPr>
            <w:pStyle w:val="TOC2"/>
            <w:tabs>
              <w:tab w:val="left" w:pos="1320"/>
            </w:tabs>
            <w:rPr>
              <w:rFonts w:asciiTheme="minorHAnsi" w:eastAsiaTheme="minorEastAsia" w:hAnsiTheme="minorHAnsi" w:cstheme="minorBidi"/>
              <w:b w:val="0"/>
              <w:noProof/>
              <w:sz w:val="22"/>
              <w:lang w:eastAsia="en-AU"/>
            </w:rPr>
          </w:pPr>
          <w:hyperlink w:anchor="_Toc423350807" w:history="1">
            <w:r w:rsidR="00434A9B" w:rsidRPr="00F621AF">
              <w:rPr>
                <w:rStyle w:val="Hyperlink"/>
                <w:noProof/>
              </w:rPr>
              <w:t>14.</w:t>
            </w:r>
            <w:r w:rsidR="00434A9B">
              <w:rPr>
                <w:rFonts w:asciiTheme="minorHAnsi" w:eastAsiaTheme="minorEastAsia" w:hAnsiTheme="minorHAnsi" w:cstheme="minorBidi"/>
                <w:b w:val="0"/>
                <w:noProof/>
                <w:sz w:val="22"/>
                <w:lang w:eastAsia="en-AU"/>
              </w:rPr>
              <w:tab/>
            </w:r>
            <w:r w:rsidR="00434A9B" w:rsidRPr="00F621AF">
              <w:rPr>
                <w:rStyle w:val="Hyperlink"/>
                <w:noProof/>
              </w:rPr>
              <w:t>Second round recommendation regarding authorisation</w:t>
            </w:r>
            <w:r w:rsidR="00434A9B">
              <w:rPr>
                <w:noProof/>
                <w:webHidden/>
              </w:rPr>
              <w:tab/>
            </w:r>
            <w:r w:rsidR="00434A9B">
              <w:rPr>
                <w:noProof/>
                <w:webHidden/>
              </w:rPr>
              <w:fldChar w:fldCharType="begin"/>
            </w:r>
            <w:r w:rsidR="00434A9B">
              <w:rPr>
                <w:noProof/>
                <w:webHidden/>
              </w:rPr>
              <w:instrText xml:space="preserve"> PAGEREF _Toc423350807 \h </w:instrText>
            </w:r>
            <w:r w:rsidR="00434A9B">
              <w:rPr>
                <w:noProof/>
                <w:webHidden/>
              </w:rPr>
            </w:r>
            <w:r w:rsidR="00434A9B">
              <w:rPr>
                <w:noProof/>
                <w:webHidden/>
              </w:rPr>
              <w:fldChar w:fldCharType="separate"/>
            </w:r>
            <w:r w:rsidR="001C3DEE">
              <w:rPr>
                <w:noProof/>
                <w:webHidden/>
              </w:rPr>
              <w:t>68</w:t>
            </w:r>
            <w:r w:rsidR="00434A9B">
              <w:rPr>
                <w:noProof/>
                <w:webHidden/>
              </w:rPr>
              <w:fldChar w:fldCharType="end"/>
            </w:r>
          </w:hyperlink>
        </w:p>
        <w:p w:rsidR="00434A9B" w:rsidRDefault="00B30102">
          <w:pPr>
            <w:pStyle w:val="TOC2"/>
            <w:tabs>
              <w:tab w:val="left" w:pos="1320"/>
            </w:tabs>
            <w:rPr>
              <w:rFonts w:asciiTheme="minorHAnsi" w:eastAsiaTheme="minorEastAsia" w:hAnsiTheme="minorHAnsi" w:cstheme="minorBidi"/>
              <w:b w:val="0"/>
              <w:noProof/>
              <w:sz w:val="22"/>
              <w:lang w:eastAsia="en-AU"/>
            </w:rPr>
          </w:pPr>
          <w:hyperlink w:anchor="_Toc423350808" w:history="1">
            <w:r w:rsidR="00434A9B" w:rsidRPr="00F621AF">
              <w:rPr>
                <w:rStyle w:val="Hyperlink"/>
                <w:noProof/>
              </w:rPr>
              <w:t>15.</w:t>
            </w:r>
            <w:r w:rsidR="00434A9B">
              <w:rPr>
                <w:rFonts w:asciiTheme="minorHAnsi" w:eastAsiaTheme="minorEastAsia" w:hAnsiTheme="minorHAnsi" w:cstheme="minorBidi"/>
                <w:b w:val="0"/>
                <w:noProof/>
                <w:sz w:val="22"/>
                <w:lang w:eastAsia="en-AU"/>
              </w:rPr>
              <w:tab/>
            </w:r>
            <w:r w:rsidR="00434A9B" w:rsidRPr="00F621AF">
              <w:rPr>
                <w:rStyle w:val="Hyperlink"/>
                <w:noProof/>
              </w:rPr>
              <w:t>References</w:t>
            </w:r>
            <w:r w:rsidR="00434A9B">
              <w:rPr>
                <w:noProof/>
                <w:webHidden/>
              </w:rPr>
              <w:tab/>
            </w:r>
            <w:r w:rsidR="00434A9B">
              <w:rPr>
                <w:noProof/>
                <w:webHidden/>
              </w:rPr>
              <w:fldChar w:fldCharType="begin"/>
            </w:r>
            <w:r w:rsidR="00434A9B">
              <w:rPr>
                <w:noProof/>
                <w:webHidden/>
              </w:rPr>
              <w:instrText xml:space="preserve"> PAGEREF _Toc423350808 \h </w:instrText>
            </w:r>
            <w:r w:rsidR="00434A9B">
              <w:rPr>
                <w:noProof/>
                <w:webHidden/>
              </w:rPr>
            </w:r>
            <w:r w:rsidR="00434A9B">
              <w:rPr>
                <w:noProof/>
                <w:webHidden/>
              </w:rPr>
              <w:fldChar w:fldCharType="separate"/>
            </w:r>
            <w:r w:rsidR="001C3DEE">
              <w:rPr>
                <w:noProof/>
                <w:webHidden/>
              </w:rPr>
              <w:t>69</w:t>
            </w:r>
            <w:r w:rsidR="00434A9B">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200266" w:rsidRDefault="00200266">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423350758"/>
      <w:r>
        <w:lastRenderedPageBreak/>
        <w:t xml:space="preserve">List of </w:t>
      </w:r>
      <w:r w:rsidR="00200266">
        <w:t xml:space="preserve">commonly used </w:t>
      </w:r>
      <w:r>
        <w:t>abbreviations</w:t>
      </w:r>
      <w:bookmarkEnd w:id="3"/>
      <w:bookmarkEnd w:id="4"/>
      <w:bookmarkEnd w:id="5"/>
      <w:bookmarkEnd w:id="6"/>
    </w:p>
    <w:tbl>
      <w:tblPr>
        <w:tblStyle w:val="TableTGAblue"/>
        <w:tblW w:w="0" w:type="auto"/>
        <w:tblLook w:val="04A0" w:firstRow="1" w:lastRow="0" w:firstColumn="1" w:lastColumn="0" w:noHBand="0" w:noVBand="1"/>
      </w:tblPr>
      <w:tblGrid>
        <w:gridCol w:w="1809"/>
        <w:gridCol w:w="6911"/>
      </w:tblGrid>
      <w:tr w:rsidR="00200266" w:rsidRPr="00FD119B" w:rsidTr="00041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spacing w:line="360" w:lineRule="auto"/>
              <w:ind w:left="0" w:right="0"/>
              <w:rPr>
                <w:rFonts w:asciiTheme="minorHAnsi" w:hAnsiTheme="minorHAnsi"/>
                <w:sz w:val="20"/>
                <w:szCs w:val="20"/>
                <w:lang w:eastAsia="en-US"/>
              </w:rPr>
            </w:pPr>
            <w:r w:rsidRPr="0045377C">
              <w:rPr>
                <w:rFonts w:asciiTheme="minorHAnsi" w:hAnsiTheme="minorHAnsi"/>
                <w:sz w:val="20"/>
                <w:szCs w:val="20"/>
                <w:lang w:eastAsia="en-US"/>
              </w:rPr>
              <w:t>Abbreviation</w:t>
            </w:r>
          </w:p>
        </w:tc>
        <w:tc>
          <w:tcPr>
            <w:tcW w:w="6911" w:type="dxa"/>
          </w:tcPr>
          <w:p w:rsidR="00200266" w:rsidRPr="0045377C" w:rsidRDefault="00200266" w:rsidP="00041C9E">
            <w:pPr>
              <w:spacing w:line="360" w:lineRule="auto"/>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45377C">
              <w:rPr>
                <w:rFonts w:asciiTheme="minorHAnsi" w:hAnsiTheme="minorHAnsi"/>
                <w:sz w:val="20"/>
                <w:szCs w:val="20"/>
                <w:lang w:eastAsia="en-US"/>
              </w:rPr>
              <w:t>Meaning</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AE</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Adverse Event</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ALT</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Alanine Transaminase</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ARR</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Administration-related reaction</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AST</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Aspartate Transaminase</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AUC</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Area under the curve</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CL</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Clearance</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proofErr w:type="spellStart"/>
            <w:r w:rsidRPr="0045377C">
              <w:rPr>
                <w:rFonts w:asciiTheme="minorHAnsi" w:hAnsiTheme="minorHAnsi"/>
                <w:sz w:val="20"/>
                <w:szCs w:val="20"/>
              </w:rPr>
              <w:t>Cmax</w:t>
            </w:r>
            <w:proofErr w:type="spellEnd"/>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Maximum concentration</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CR</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Complete Response</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lang w:val="en-US"/>
              </w:rPr>
            </w:pPr>
            <w:r>
              <w:rPr>
                <w:rFonts w:asciiTheme="minorHAnsi" w:hAnsiTheme="minorHAnsi"/>
                <w:sz w:val="20"/>
                <w:szCs w:val="20"/>
                <w:lang w:val="en-US"/>
              </w:rPr>
              <w:t xml:space="preserve"> </w:t>
            </w:r>
            <w:proofErr w:type="spellStart"/>
            <w:r w:rsidRPr="00AC3DCF">
              <w:t>C</w:t>
            </w:r>
            <w:r w:rsidRPr="00934C9C">
              <w:rPr>
                <w:vertAlign w:val="subscript"/>
              </w:rPr>
              <w:t>trough</w:t>
            </w:r>
            <w:proofErr w:type="spellEnd"/>
          </w:p>
        </w:tc>
        <w:tc>
          <w:tcPr>
            <w:tcW w:w="6911" w:type="dxa"/>
          </w:tcPr>
          <w:p w:rsidR="00200266" w:rsidRPr="00934C9C" w:rsidRDefault="00200266" w:rsidP="00041C9E">
            <w:pPr>
              <w:cnfStyle w:val="000000000000" w:firstRow="0" w:lastRow="0" w:firstColumn="0" w:lastColumn="0" w:oddVBand="0" w:evenVBand="0" w:oddHBand="0" w:evenHBand="0" w:firstRowFirstColumn="0" w:firstRowLastColumn="0" w:lastRowFirstColumn="0" w:lastRowLastColumn="0"/>
              <w:rPr>
                <w:sz w:val="20"/>
                <w:szCs w:val="20"/>
              </w:rPr>
            </w:pPr>
            <w:r w:rsidRPr="00934C9C">
              <w:rPr>
                <w:sz w:val="20"/>
                <w:szCs w:val="20"/>
              </w:rPr>
              <w:t>Trough concentration [the concentration at the end of the dosage interval]</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lang w:val="en-US"/>
              </w:rPr>
            </w:pPr>
            <w:r w:rsidRPr="0045377C">
              <w:rPr>
                <w:rFonts w:asciiTheme="minorHAnsi" w:hAnsiTheme="minorHAnsi"/>
                <w:sz w:val="20"/>
                <w:szCs w:val="20"/>
                <w:lang w:val="en-US"/>
              </w:rPr>
              <w:t>DFS</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45377C">
              <w:rPr>
                <w:rFonts w:asciiTheme="minorHAnsi" w:hAnsiTheme="minorHAnsi"/>
                <w:sz w:val="20"/>
                <w:szCs w:val="20"/>
                <w:lang w:val="en-US"/>
              </w:rPr>
              <w:t>Disease-free survival</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lang w:val="en-US"/>
              </w:rPr>
            </w:pPr>
            <w:r w:rsidRPr="0045377C">
              <w:rPr>
                <w:rFonts w:asciiTheme="minorHAnsi" w:hAnsiTheme="minorHAnsi"/>
                <w:sz w:val="20"/>
                <w:szCs w:val="20"/>
                <w:lang w:val="en-US"/>
              </w:rPr>
              <w:t>ECG</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45377C">
              <w:rPr>
                <w:rFonts w:asciiTheme="minorHAnsi" w:hAnsiTheme="minorHAnsi"/>
                <w:sz w:val="20"/>
                <w:szCs w:val="20"/>
                <w:lang w:val="en-US"/>
              </w:rPr>
              <w:t>Electrocardiograph</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lang w:val="en-US"/>
              </w:rPr>
            </w:pPr>
            <w:r w:rsidRPr="0045377C">
              <w:rPr>
                <w:rFonts w:asciiTheme="minorHAnsi" w:hAnsiTheme="minorHAnsi"/>
                <w:sz w:val="20"/>
                <w:szCs w:val="20"/>
                <w:lang w:val="en-US"/>
              </w:rPr>
              <w:t>EFS</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rPr>
            </w:pPr>
            <w:r w:rsidRPr="0045377C">
              <w:rPr>
                <w:rFonts w:asciiTheme="minorHAnsi" w:hAnsiTheme="minorHAnsi"/>
                <w:sz w:val="20"/>
                <w:szCs w:val="20"/>
                <w:lang w:val="en-US"/>
              </w:rPr>
              <w:t>Event-free survival</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lang w:val="en-US"/>
              </w:rPr>
            </w:pPr>
            <w:r w:rsidRPr="0045377C">
              <w:rPr>
                <w:rFonts w:asciiTheme="minorHAnsi" w:hAnsiTheme="minorHAnsi"/>
                <w:sz w:val="20"/>
                <w:szCs w:val="20"/>
                <w:lang w:val="en-US"/>
              </w:rPr>
              <w:t>EPP</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lang w:val="en-US"/>
              </w:rPr>
              <w:t>Efficacy Per-Protocol population</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EMA</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European Medicines Agency</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FDA</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Food and Drug Administration</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GCP</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Good Clinical Practice</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HER2</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human epidermal growth factor receptor 2</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ICH</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International Conference on Harmonisation</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ITT</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Intention to Treat</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IV</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Intravenous</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LDH</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Lactate Dehydrogenase</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ORR</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Overall Response rate</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OS</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Overall Survival</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proofErr w:type="spellStart"/>
            <w:r w:rsidRPr="0045377C">
              <w:rPr>
                <w:rFonts w:asciiTheme="minorHAnsi" w:hAnsiTheme="minorHAnsi"/>
                <w:sz w:val="20"/>
                <w:szCs w:val="20"/>
              </w:rPr>
              <w:t>pCR</w:t>
            </w:r>
            <w:proofErr w:type="spellEnd"/>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Pathological Complete Response</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PI</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Product Information</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PK</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Pharmacokinetics</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RECIST</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Response evaluation criteria in solid tumours</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rHuPH20</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 xml:space="preserve">recombinant human </w:t>
            </w:r>
            <w:proofErr w:type="spellStart"/>
            <w:r w:rsidRPr="0045377C">
              <w:rPr>
                <w:rFonts w:asciiTheme="minorHAnsi" w:hAnsiTheme="minorHAnsi"/>
                <w:sz w:val="20"/>
                <w:szCs w:val="20"/>
              </w:rPr>
              <w:t>hyaluronidase</w:t>
            </w:r>
            <w:proofErr w:type="spellEnd"/>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SAE</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Serious Adverse Event</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SC</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Subcutaneous</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proofErr w:type="spellStart"/>
            <w:r w:rsidRPr="0045377C">
              <w:rPr>
                <w:rFonts w:asciiTheme="minorHAnsi" w:hAnsiTheme="minorHAnsi"/>
                <w:sz w:val="20"/>
                <w:szCs w:val="20"/>
              </w:rPr>
              <w:t>Tmax</w:t>
            </w:r>
            <w:proofErr w:type="spellEnd"/>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Time of maximum concentration</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proofErr w:type="spellStart"/>
            <w:r w:rsidRPr="0045377C">
              <w:rPr>
                <w:rFonts w:asciiTheme="minorHAnsi" w:hAnsiTheme="minorHAnsi"/>
                <w:sz w:val="20"/>
                <w:szCs w:val="20"/>
              </w:rPr>
              <w:t>tpCR</w:t>
            </w:r>
            <w:proofErr w:type="spellEnd"/>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Total Pathological Complete Response</w:t>
            </w:r>
          </w:p>
        </w:tc>
      </w:tr>
      <w:tr w:rsidR="00200266" w:rsidRPr="00FD119B" w:rsidTr="00041C9E">
        <w:tc>
          <w:tcPr>
            <w:cnfStyle w:val="001000000000" w:firstRow="0" w:lastRow="0" w:firstColumn="1" w:lastColumn="0" w:oddVBand="0" w:evenVBand="0" w:oddHBand="0" w:evenHBand="0" w:firstRowFirstColumn="0" w:firstRowLastColumn="0" w:lastRowFirstColumn="0" w:lastRowLastColumn="0"/>
            <w:tcW w:w="1809"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rPr>
                <w:rFonts w:asciiTheme="minorHAnsi" w:hAnsiTheme="minorHAnsi"/>
                <w:sz w:val="20"/>
                <w:szCs w:val="20"/>
              </w:rPr>
            </w:pPr>
            <w:r w:rsidRPr="0045377C">
              <w:rPr>
                <w:rFonts w:asciiTheme="minorHAnsi" w:hAnsiTheme="minorHAnsi"/>
                <w:sz w:val="20"/>
                <w:szCs w:val="20"/>
              </w:rPr>
              <w:t>TTR</w:t>
            </w:r>
          </w:p>
        </w:tc>
        <w:tc>
          <w:tcPr>
            <w:tcW w:w="6911" w:type="dxa"/>
          </w:tcPr>
          <w:p w:rsidR="00200266" w:rsidRPr="0045377C" w:rsidRDefault="00200266" w:rsidP="00041C9E">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5377C">
              <w:rPr>
                <w:rFonts w:asciiTheme="minorHAnsi" w:hAnsiTheme="minorHAnsi"/>
                <w:sz w:val="20"/>
                <w:szCs w:val="20"/>
              </w:rPr>
              <w:t>Time to Response</w:t>
            </w:r>
          </w:p>
        </w:tc>
      </w:tr>
    </w:tbl>
    <w:p w:rsidR="00200266" w:rsidRPr="00FD119B" w:rsidRDefault="00200266" w:rsidP="00200266">
      <w:pPr>
        <w:spacing w:before="0" w:after="200" w:line="0" w:lineRule="auto"/>
        <w:rPr>
          <w:b/>
          <w:i/>
          <w:sz w:val="24"/>
          <w:szCs w:val="24"/>
        </w:rPr>
      </w:pPr>
      <w:r w:rsidRPr="00FD119B">
        <w:rPr>
          <w:b/>
          <w:i/>
          <w:sz w:val="24"/>
          <w:szCs w:val="24"/>
        </w:rPr>
        <w:br w:type="page"/>
      </w:r>
    </w:p>
    <w:p w:rsidR="00901E80" w:rsidRDefault="00901E80">
      <w:pPr>
        <w:spacing w:before="0" w:after="200" w:line="0" w:lineRule="auto"/>
        <w:rPr>
          <w:rFonts w:ascii="Arial" w:eastAsia="Times New Roman" w:hAnsi="Arial"/>
          <w:b/>
          <w:bCs/>
          <w:sz w:val="32"/>
          <w:szCs w:val="26"/>
          <w:lang w:eastAsia="ja-JP"/>
        </w:rPr>
      </w:pPr>
      <w:bookmarkStart w:id="7" w:name="_Toc272679619"/>
      <w:bookmarkStart w:id="8" w:name="_Toc290846223"/>
      <w:bookmarkStart w:id="9" w:name="_Toc272414601"/>
      <w:bookmarkStart w:id="10" w:name="_Toc351718900"/>
      <w:bookmarkStart w:id="11" w:name="_Toc355338635"/>
    </w:p>
    <w:p w:rsidR="00041C9E" w:rsidRDefault="00041C9E" w:rsidP="001C3DEE">
      <w:pPr>
        <w:pStyle w:val="Heading2"/>
      </w:pPr>
      <w:bookmarkStart w:id="12" w:name="_Toc423350759"/>
      <w:r w:rsidRPr="00CF200D">
        <w:t>Background</w:t>
      </w:r>
      <w:bookmarkEnd w:id="12"/>
    </w:p>
    <w:p w:rsidR="00041C9E" w:rsidRDefault="00041C9E" w:rsidP="00A07DC1">
      <w:r>
        <w:t>This is</w:t>
      </w:r>
      <w:r w:rsidRPr="002A39EB">
        <w:t xml:space="preserve"> a</w:t>
      </w:r>
      <w:r>
        <w:t>n abbreviated submission to:</w:t>
      </w:r>
    </w:p>
    <w:p w:rsidR="00041C9E" w:rsidRDefault="00041C9E" w:rsidP="00A07DC1">
      <w:pPr>
        <w:pStyle w:val="ListBullet"/>
      </w:pPr>
      <w:r>
        <w:t>Register a new route of administration (subcutaneous injection) for the treatment of HER2-positive breast cancer, including a new dosage regimen and formulation; and</w:t>
      </w:r>
    </w:p>
    <w:p w:rsidR="00041C9E" w:rsidRDefault="00041C9E" w:rsidP="00A07DC1">
      <w:pPr>
        <w:pStyle w:val="ListBullet"/>
      </w:pPr>
      <w:r>
        <w:t xml:space="preserve">Update the product information (PI) with new data from the HERA study, a pivotal study that formed the basis of the TGA’s approval of </w:t>
      </w:r>
      <w:proofErr w:type="spellStart"/>
      <w:r>
        <w:t>trastuzumab</w:t>
      </w:r>
      <w:proofErr w:type="spellEnd"/>
      <w:r>
        <w:t xml:space="preserve"> for the adjuvant treatment of early HER2 positive breast cancer.</w:t>
      </w:r>
    </w:p>
    <w:p w:rsidR="00041C9E" w:rsidRDefault="00041C9E" w:rsidP="001C3DEE">
      <w:pPr>
        <w:pStyle w:val="Heading3"/>
      </w:pPr>
      <w:bookmarkStart w:id="13" w:name="_Toc272414596"/>
      <w:bookmarkStart w:id="14" w:name="_Toc290846218"/>
      <w:bookmarkStart w:id="15" w:name="_Toc272679614"/>
      <w:bookmarkStart w:id="16" w:name="_Toc423350760"/>
      <w:r>
        <w:t>Drug class and therapeutic indication</w:t>
      </w:r>
      <w:bookmarkEnd w:id="13"/>
      <w:bookmarkEnd w:id="14"/>
      <w:bookmarkEnd w:id="15"/>
      <w:bookmarkEnd w:id="16"/>
    </w:p>
    <w:p w:rsidR="00041C9E" w:rsidRDefault="00041C9E" w:rsidP="00A07DC1">
      <w:proofErr w:type="spellStart"/>
      <w:r>
        <w:t>Trastuzumab</w:t>
      </w:r>
      <w:proofErr w:type="spellEnd"/>
      <w:r>
        <w:t xml:space="preserve"> is a monoclonal antibody that is directed against the extracellular domain of the </w:t>
      </w:r>
      <w:r w:rsidRPr="00083A0E">
        <w:t xml:space="preserve">human epidermal growth factor receptor 2 </w:t>
      </w:r>
      <w:proofErr w:type="gramStart"/>
      <w:r w:rsidRPr="00083A0E">
        <w:t>protein</w:t>
      </w:r>
      <w:proofErr w:type="gramEnd"/>
      <w:r w:rsidRPr="00083A0E">
        <w:t xml:space="preserve"> (HER2)</w:t>
      </w:r>
      <w:r>
        <w:t>.</w:t>
      </w:r>
    </w:p>
    <w:p w:rsidR="00041C9E" w:rsidRDefault="00041C9E" w:rsidP="00A07DC1">
      <w:r>
        <w:t>The product is approved for use in HER2-positive breast cancer (in various settings) and in HER2-positive gastric cancer. In this application the sponsor is seeking approval for use of subcutaneous (SC) administration for the breast cancer indications only. No new indications are proposed.</w:t>
      </w:r>
    </w:p>
    <w:p w:rsidR="00041C9E" w:rsidRDefault="00041C9E" w:rsidP="001C3DEE">
      <w:pPr>
        <w:pStyle w:val="Heading3"/>
      </w:pPr>
      <w:bookmarkStart w:id="17" w:name="_Toc272414597"/>
      <w:bookmarkStart w:id="18" w:name="_Toc290846219"/>
      <w:bookmarkStart w:id="19" w:name="_Toc272679615"/>
      <w:bookmarkStart w:id="20" w:name="_Toc423350761"/>
      <w:r>
        <w:t>Dosage forms and strengths</w:t>
      </w:r>
      <w:bookmarkEnd w:id="17"/>
      <w:bookmarkEnd w:id="18"/>
      <w:bookmarkEnd w:id="19"/>
      <w:bookmarkEnd w:id="20"/>
    </w:p>
    <w:p w:rsidR="00041C9E" w:rsidRDefault="00041C9E" w:rsidP="00A07DC1">
      <w:r>
        <w:t>The following dosage forms and strengths are currently registered</w:t>
      </w:r>
      <w:r w:rsidRPr="00165B66">
        <w:t xml:space="preserve"> </w:t>
      </w:r>
      <w:r>
        <w:t>for IV use:</w:t>
      </w:r>
    </w:p>
    <w:p w:rsidR="00041C9E" w:rsidRDefault="00041C9E" w:rsidP="00041C9E">
      <w:pPr>
        <w:pStyle w:val="ListBullet"/>
      </w:pPr>
      <w:r>
        <w:t xml:space="preserve">A vial containing 150 mg </w:t>
      </w:r>
      <w:proofErr w:type="spellStart"/>
      <w:r>
        <w:t>trastuzumab</w:t>
      </w:r>
      <w:proofErr w:type="spellEnd"/>
      <w:r>
        <w:t xml:space="preserve"> powd</w:t>
      </w:r>
      <w:r w:rsidR="005E127D">
        <w:t>er for injection (</w:t>
      </w:r>
      <w:proofErr w:type="spellStart"/>
      <w:r w:rsidR="005E127D">
        <w:t>Aust</w:t>
      </w:r>
      <w:proofErr w:type="spellEnd"/>
      <w:r w:rsidR="005E127D">
        <w:t xml:space="preserve"> R 73229)</w:t>
      </w:r>
    </w:p>
    <w:p w:rsidR="00041C9E" w:rsidRDefault="00041C9E" w:rsidP="00041C9E">
      <w:pPr>
        <w:pStyle w:val="ListBullet"/>
      </w:pPr>
      <w:r>
        <w:t xml:space="preserve">A 60 mg </w:t>
      </w:r>
      <w:proofErr w:type="spellStart"/>
      <w:r>
        <w:t>trastuzumab</w:t>
      </w:r>
      <w:proofErr w:type="spellEnd"/>
      <w:r>
        <w:t xml:space="preserve"> powder for injection (</w:t>
      </w:r>
      <w:proofErr w:type="spellStart"/>
      <w:r>
        <w:t>Aust</w:t>
      </w:r>
      <w:proofErr w:type="spellEnd"/>
      <w:r>
        <w:t xml:space="preserve"> R 171014).</w:t>
      </w:r>
    </w:p>
    <w:p w:rsidR="00041C9E" w:rsidRDefault="00041C9E" w:rsidP="00A07DC1">
      <w:r>
        <w:t>The submission proposes registration of the following dosage form and strength for SC use:</w:t>
      </w:r>
    </w:p>
    <w:p w:rsidR="00041C9E" w:rsidRDefault="00041C9E" w:rsidP="00041C9E">
      <w:pPr>
        <w:pStyle w:val="ListBullet"/>
      </w:pPr>
      <w:r>
        <w:t xml:space="preserve">A vial containing a solution of 600 mg of </w:t>
      </w:r>
      <w:proofErr w:type="spellStart"/>
      <w:r>
        <w:t>trastuzumab</w:t>
      </w:r>
      <w:proofErr w:type="spellEnd"/>
      <w:r>
        <w:t xml:space="preserve"> in 5 </w:t>
      </w:r>
      <w:proofErr w:type="spellStart"/>
      <w:r>
        <w:t>mL.</w:t>
      </w:r>
      <w:proofErr w:type="spellEnd"/>
    </w:p>
    <w:p w:rsidR="00041C9E" w:rsidRDefault="00041C9E" w:rsidP="001C3DEE">
      <w:pPr>
        <w:pStyle w:val="Heading3"/>
      </w:pPr>
      <w:bookmarkStart w:id="21" w:name="_Toc272414598"/>
      <w:bookmarkStart w:id="22" w:name="_Toc290846220"/>
      <w:bookmarkStart w:id="23" w:name="_Toc272679616"/>
      <w:bookmarkStart w:id="24" w:name="_Toc423350762"/>
      <w:r>
        <w:t>Dosage and administration</w:t>
      </w:r>
      <w:bookmarkEnd w:id="21"/>
      <w:bookmarkEnd w:id="22"/>
      <w:bookmarkEnd w:id="23"/>
      <w:bookmarkEnd w:id="24"/>
    </w:p>
    <w:p w:rsidR="00041C9E" w:rsidRDefault="00041C9E" w:rsidP="00A07DC1">
      <w:r>
        <w:t>For SC administration, the sponsor is proposing:</w:t>
      </w:r>
    </w:p>
    <w:p w:rsidR="00041C9E" w:rsidRDefault="005E127D" w:rsidP="00A07DC1">
      <w:pPr>
        <w:pStyle w:val="ListBullet"/>
      </w:pPr>
      <w:r>
        <w:t>no loading dose</w:t>
      </w:r>
    </w:p>
    <w:p w:rsidR="00041C9E" w:rsidRDefault="00041C9E" w:rsidP="00A07DC1">
      <w:pPr>
        <w:pStyle w:val="ListBullet"/>
      </w:pPr>
      <w:proofErr w:type="gramStart"/>
      <w:r>
        <w:t>a</w:t>
      </w:r>
      <w:proofErr w:type="gramEnd"/>
      <w:r>
        <w:t xml:space="preserve"> fixed dose (600 mg) for all patients rather than a weight-adjusted dose.</w:t>
      </w:r>
    </w:p>
    <w:p w:rsidR="00041C9E" w:rsidRPr="00E549D1" w:rsidRDefault="00041C9E" w:rsidP="001C3DEE">
      <w:pPr>
        <w:pStyle w:val="Heading3"/>
      </w:pPr>
      <w:bookmarkStart w:id="25" w:name="_Toc272414599"/>
      <w:bookmarkStart w:id="26" w:name="_Toc290846221"/>
      <w:bookmarkStart w:id="27" w:name="_Toc272679617"/>
      <w:bookmarkStart w:id="28" w:name="_Toc423350763"/>
      <w:r w:rsidRPr="00E549D1">
        <w:t>O</w:t>
      </w:r>
      <w:r>
        <w:t>ther proposed changes to t</w:t>
      </w:r>
      <w:r w:rsidRPr="00E549D1">
        <w:t xml:space="preserve">he </w:t>
      </w:r>
      <w:bookmarkEnd w:id="25"/>
      <w:r>
        <w:t>PI</w:t>
      </w:r>
      <w:bookmarkEnd w:id="26"/>
      <w:bookmarkEnd w:id="27"/>
      <w:bookmarkEnd w:id="28"/>
    </w:p>
    <w:p w:rsidR="00041C9E" w:rsidRPr="005767A5" w:rsidRDefault="00041C9E" w:rsidP="00A07DC1">
      <w:r w:rsidRPr="005767A5">
        <w:t>Apart from minor editorial changes, all proposed changes to the clinical aspects of the PI are based on data submitted in support of SC administration, or updated data from the HERA study.</w:t>
      </w:r>
    </w:p>
    <w:p w:rsidR="00901E80" w:rsidRDefault="00901E80" w:rsidP="001C3DEE">
      <w:pPr>
        <w:pStyle w:val="Heading2"/>
      </w:pPr>
      <w:bookmarkStart w:id="29" w:name="_Toc423350764"/>
      <w:r>
        <w:t>Clinical rationale</w:t>
      </w:r>
      <w:bookmarkEnd w:id="7"/>
      <w:bookmarkEnd w:id="8"/>
      <w:bookmarkEnd w:id="9"/>
      <w:bookmarkEnd w:id="29"/>
    </w:p>
    <w:p w:rsidR="00901E80" w:rsidRDefault="00901E80" w:rsidP="00A07DC1">
      <w:r>
        <w:t xml:space="preserve">HER2 (or ErbB2) is a receptor that is expressed in a variety of normal epithelial cell types. It is one of a family of four receptors (the </w:t>
      </w:r>
      <w:proofErr w:type="spellStart"/>
      <w:r>
        <w:t>ErbB</w:t>
      </w:r>
      <w:proofErr w:type="spellEnd"/>
      <w:r>
        <w:t xml:space="preserve"> family) that activate a network of intracellular signalling pathways that affect cell proliferation and survival</w:t>
      </w:r>
      <w:r w:rsidR="00041C9E">
        <w:t xml:space="preserve"> </w:t>
      </w:r>
      <w:r>
        <w:rPr>
          <w:vertAlign w:val="superscript"/>
        </w:rPr>
        <w:t>(1)</w:t>
      </w:r>
      <w:r>
        <w:t>. HER2-positivity (</w:t>
      </w:r>
      <w:r w:rsidR="001D7770">
        <w:t>that is,</w:t>
      </w:r>
      <w:r>
        <w:t xml:space="preserve"> overexpression of the HER2 protein or amplification of the HER2 gene) is found in approximately 25-30% of breast cancers</w:t>
      </w:r>
      <w:r w:rsidR="00041C9E">
        <w:t xml:space="preserve"> </w:t>
      </w:r>
      <w:r>
        <w:rPr>
          <w:vertAlign w:val="superscript"/>
        </w:rPr>
        <w:t>(2)</w:t>
      </w:r>
      <w:r>
        <w:t xml:space="preserve">. HER2-positive breast cancer is associated with reduced disease-free survival and overall survival compared to HER2-negative disease </w:t>
      </w:r>
      <w:r>
        <w:rPr>
          <w:vertAlign w:val="superscript"/>
        </w:rPr>
        <w:t>(3)</w:t>
      </w:r>
      <w:r>
        <w:t>.</w:t>
      </w:r>
    </w:p>
    <w:p w:rsidR="00901E80" w:rsidRDefault="00901E80" w:rsidP="00A07DC1">
      <w:r>
        <w:t xml:space="preserve">Previously evaluated studies have demonstrated efficacy for </w:t>
      </w:r>
      <w:proofErr w:type="spellStart"/>
      <w:r>
        <w:t>trastuzumab</w:t>
      </w:r>
      <w:proofErr w:type="spellEnd"/>
      <w:r>
        <w:t xml:space="preserve"> in the treatment of HER2-positive breast cancer in both the early and advanced disease settings. All these studies utilised IV administration of the drug.</w:t>
      </w:r>
    </w:p>
    <w:p w:rsidR="00901E80" w:rsidRDefault="00901E80" w:rsidP="001632EE">
      <w:r>
        <w:lastRenderedPageBreak/>
        <w:t>The rationale for the SC route of administration proposed in this submission was summarised in the Cl</w:t>
      </w:r>
      <w:r w:rsidRPr="00A07DC1">
        <w:t>i</w:t>
      </w:r>
      <w:r>
        <w:t>nical Overview as follows:</w:t>
      </w:r>
    </w:p>
    <w:p w:rsidR="00901E80" w:rsidRPr="00041C9E" w:rsidRDefault="00041C9E" w:rsidP="00041C9E">
      <w:pPr>
        <w:pStyle w:val="Comment2"/>
        <w:rPr>
          <w:rFonts w:asciiTheme="minorHAnsi" w:hAnsiTheme="minorHAnsi"/>
          <w:i/>
        </w:rPr>
      </w:pPr>
      <w:r w:rsidRPr="00041C9E">
        <w:rPr>
          <w:rFonts w:asciiTheme="minorHAnsi" w:hAnsiTheme="minorHAnsi"/>
          <w:i/>
        </w:rPr>
        <w:t>‘</w:t>
      </w:r>
      <w:r w:rsidR="00901E80" w:rsidRPr="00041C9E">
        <w:rPr>
          <w:rFonts w:asciiTheme="minorHAnsi" w:hAnsiTheme="minorHAnsi"/>
          <w:i/>
        </w:rPr>
        <w:t xml:space="preserve">The currently approved formulation of </w:t>
      </w:r>
      <w:proofErr w:type="spellStart"/>
      <w:r w:rsidR="00901E80" w:rsidRPr="00041C9E">
        <w:rPr>
          <w:rFonts w:asciiTheme="minorHAnsi" w:hAnsiTheme="minorHAnsi"/>
          <w:i/>
        </w:rPr>
        <w:t>trastuzumab</w:t>
      </w:r>
      <w:proofErr w:type="spellEnd"/>
      <w:r w:rsidR="00901E80" w:rsidRPr="00041C9E">
        <w:rPr>
          <w:rFonts w:asciiTheme="minorHAnsi" w:hAnsiTheme="minorHAnsi"/>
          <w:i/>
        </w:rPr>
        <w:t xml:space="preserve"> IV requires a loading dose, which is given over 90 minutes; if well tolerated, subsequent infusions may be given over 30 minutes. Instead, </w:t>
      </w:r>
      <w:proofErr w:type="spellStart"/>
      <w:r w:rsidR="00901E80" w:rsidRPr="00041C9E">
        <w:rPr>
          <w:rFonts w:asciiTheme="minorHAnsi" w:hAnsiTheme="minorHAnsi"/>
          <w:i/>
        </w:rPr>
        <w:t>trastuzumab</w:t>
      </w:r>
      <w:proofErr w:type="spellEnd"/>
      <w:r w:rsidR="00901E80" w:rsidRPr="00041C9E">
        <w:rPr>
          <w:rFonts w:asciiTheme="minorHAnsi" w:hAnsiTheme="minorHAnsi"/>
          <w:i/>
        </w:rPr>
        <w:t xml:space="preserve"> SC can be administered over 2-5 min; this shorter administration time could possibly lead to improved convenience for patients, which is particularly important when patients are treated for prolonged periods of time. Other potential benefits of SC administration include providing an alternative route of administration for patients with poor venous access as well as lower resource utilization (</w:t>
      </w:r>
      <w:proofErr w:type="spellStart"/>
      <w:r w:rsidR="00901E80" w:rsidRPr="00041C9E">
        <w:rPr>
          <w:rFonts w:asciiTheme="minorHAnsi" w:hAnsiTheme="minorHAnsi"/>
          <w:i/>
        </w:rPr>
        <w:t>eg</w:t>
      </w:r>
      <w:proofErr w:type="spellEnd"/>
      <w:r w:rsidR="00901E80" w:rsidRPr="00041C9E">
        <w:rPr>
          <w:rFonts w:asciiTheme="minorHAnsi" w:hAnsiTheme="minorHAnsi"/>
          <w:i/>
        </w:rPr>
        <w:t xml:space="preserve">, nursing time needed for IV administration and patient monitoring, other treatment </w:t>
      </w:r>
      <w:proofErr w:type="spellStart"/>
      <w:r w:rsidR="00901E80" w:rsidRPr="00041C9E">
        <w:rPr>
          <w:rFonts w:asciiTheme="minorHAnsi" w:hAnsiTheme="minorHAnsi"/>
          <w:i/>
        </w:rPr>
        <w:t>center</w:t>
      </w:r>
      <w:proofErr w:type="spellEnd"/>
      <w:r w:rsidR="00901E80" w:rsidRPr="00041C9E">
        <w:rPr>
          <w:rFonts w:asciiTheme="minorHAnsi" w:hAnsiTheme="minorHAnsi"/>
          <w:i/>
        </w:rPr>
        <w:t xml:space="preserve"> costs, patient travel </w:t>
      </w:r>
      <w:proofErr w:type="spellStart"/>
      <w:r w:rsidR="00901E80" w:rsidRPr="00041C9E">
        <w:rPr>
          <w:rFonts w:asciiTheme="minorHAnsi" w:hAnsiTheme="minorHAnsi"/>
          <w:i/>
        </w:rPr>
        <w:t>etc</w:t>
      </w:r>
      <w:proofErr w:type="spellEnd"/>
      <w:r w:rsidR="00901E80" w:rsidRPr="00041C9E">
        <w:rPr>
          <w:rFonts w:asciiTheme="minorHAnsi" w:hAnsiTheme="minorHAnsi"/>
          <w:i/>
        </w:rPr>
        <w:t>).</w:t>
      </w:r>
      <w:r w:rsidRPr="00041C9E">
        <w:rPr>
          <w:rFonts w:asciiTheme="minorHAnsi" w:hAnsiTheme="minorHAnsi"/>
          <w:i/>
        </w:rPr>
        <w:t>’</w:t>
      </w:r>
    </w:p>
    <w:p w:rsidR="00901E80" w:rsidRDefault="00901E80" w:rsidP="001C3DEE">
      <w:pPr>
        <w:pStyle w:val="Heading3"/>
      </w:pPr>
      <w:r>
        <w:rPr>
          <w:lang w:eastAsia="en-AU"/>
        </w:rPr>
        <w:t xml:space="preserve"> </w:t>
      </w:r>
      <w:bookmarkStart w:id="30" w:name="_Toc272679625"/>
      <w:bookmarkStart w:id="31" w:name="_Toc290846229"/>
      <w:bookmarkStart w:id="32" w:name="_Toc272414607"/>
      <w:bookmarkStart w:id="33" w:name="_Toc423350765"/>
      <w:r>
        <w:t xml:space="preserve">Orphan drug </w:t>
      </w:r>
      <w:r w:rsidRPr="00CF200D">
        <w:t>designation</w:t>
      </w:r>
      <w:bookmarkEnd w:id="30"/>
      <w:bookmarkEnd w:id="31"/>
      <w:bookmarkEnd w:id="32"/>
      <w:bookmarkEnd w:id="33"/>
    </w:p>
    <w:p w:rsidR="00901E80" w:rsidRDefault="00901E80" w:rsidP="00A07DC1">
      <w:r>
        <w:t>Herceptin has not been designated as an orphan drug by the TGA.</w:t>
      </w:r>
    </w:p>
    <w:p w:rsidR="00901E80" w:rsidRDefault="00901E80" w:rsidP="001C3DEE">
      <w:pPr>
        <w:pStyle w:val="Heading3"/>
      </w:pPr>
      <w:bookmarkStart w:id="34" w:name="_Toc272679626"/>
      <w:bookmarkStart w:id="35" w:name="_Toc290846230"/>
      <w:bookmarkStart w:id="36" w:name="_Toc272414608"/>
      <w:bookmarkStart w:id="37" w:name="_Toc423350766"/>
      <w:r>
        <w:t>Related submissions</w:t>
      </w:r>
      <w:bookmarkEnd w:id="34"/>
      <w:bookmarkEnd w:id="35"/>
      <w:bookmarkEnd w:id="36"/>
      <w:bookmarkEnd w:id="37"/>
    </w:p>
    <w:p w:rsidR="00901E80" w:rsidRDefault="00901E80" w:rsidP="00A07DC1">
      <w:r>
        <w:t xml:space="preserve">There have been no previous applications for SC </w:t>
      </w:r>
      <w:proofErr w:type="spellStart"/>
      <w:r>
        <w:t>trastuzumab</w:t>
      </w:r>
      <w:proofErr w:type="spellEnd"/>
      <w:r>
        <w:t xml:space="preserve">. IV </w:t>
      </w:r>
      <w:proofErr w:type="spellStart"/>
      <w:r>
        <w:t>trastuzumab</w:t>
      </w:r>
      <w:proofErr w:type="spellEnd"/>
      <w:r>
        <w:t xml:space="preserve"> was initially approved by the TGA for the treatment of metastatic HER2+ve breast cancer in 2000. In subsequent applications it was approved for use as adjuvant treatment of localised HER2+ve breast cancer (2006), in combination with aromatase inhibitors for metastatic HER2+ve breast cancer (2008), for HER2+ve gastric cancer (2010) and adjuvant treatment of locally advanced HER2+ve breast cancer (2012).</w:t>
      </w:r>
    </w:p>
    <w:p w:rsidR="00901E80" w:rsidRDefault="00901E80" w:rsidP="00A07DC1">
      <w:r>
        <w:t xml:space="preserve">A related product, </w:t>
      </w:r>
      <w:proofErr w:type="spellStart"/>
      <w:r>
        <w:t>trastuzumab</w:t>
      </w:r>
      <w:proofErr w:type="spellEnd"/>
      <w:r>
        <w:t xml:space="preserve"> </w:t>
      </w:r>
      <w:proofErr w:type="spellStart"/>
      <w:r>
        <w:t>emtansine</w:t>
      </w:r>
      <w:proofErr w:type="spellEnd"/>
      <w:r>
        <w:t xml:space="preserve"> (</w:t>
      </w:r>
      <w:proofErr w:type="spellStart"/>
      <w:r w:rsidR="00041C9E">
        <w:t>Kadcyla</w:t>
      </w:r>
      <w:proofErr w:type="spellEnd"/>
      <w:r>
        <w:t xml:space="preserve">), was approved by the TGA in 2013 for the treatment of metastatic HER2+ve breast cancer in subjects who have previously received </w:t>
      </w:r>
      <w:proofErr w:type="spellStart"/>
      <w:r>
        <w:t>trastuzumab</w:t>
      </w:r>
      <w:proofErr w:type="spellEnd"/>
      <w:r>
        <w:t xml:space="preserve">. Other registered agents that act through inhibition of the HER2 receptor include </w:t>
      </w:r>
      <w:proofErr w:type="spellStart"/>
      <w:r>
        <w:t>pertuzumab</w:t>
      </w:r>
      <w:proofErr w:type="spellEnd"/>
      <w:r>
        <w:t xml:space="preserve"> and </w:t>
      </w:r>
      <w:proofErr w:type="spellStart"/>
      <w:r>
        <w:t>lapatinib</w:t>
      </w:r>
      <w:proofErr w:type="spellEnd"/>
      <w:r>
        <w:t>.</w:t>
      </w:r>
    </w:p>
    <w:p w:rsidR="00901E80" w:rsidRDefault="00901E80" w:rsidP="00A07DC1">
      <w:r>
        <w:t>The sponsor of the current submission has also lodged an application with the TGA for a subcutaneous formulation of another monoclonal antibody (rituximab/</w:t>
      </w:r>
      <w:proofErr w:type="spellStart"/>
      <w:r w:rsidR="00041C9E">
        <w:t>MabThera</w:t>
      </w:r>
      <w:proofErr w:type="spellEnd"/>
      <w:r>
        <w:t>). The proposed formulation also contains rHuPH20. At the time of submission this application had not been decided.</w:t>
      </w:r>
    </w:p>
    <w:p w:rsidR="00901E80" w:rsidRDefault="00901E80" w:rsidP="001C3DEE">
      <w:pPr>
        <w:pStyle w:val="Heading3"/>
      </w:pPr>
      <w:bookmarkStart w:id="38" w:name="_Toc272679627"/>
      <w:bookmarkStart w:id="39" w:name="_Toc290846231"/>
      <w:bookmarkStart w:id="40" w:name="_Toc272414609"/>
      <w:bookmarkStart w:id="41" w:name="_Toc423350767"/>
      <w:r>
        <w:t>Guidance</w:t>
      </w:r>
      <w:bookmarkEnd w:id="38"/>
      <w:bookmarkEnd w:id="39"/>
      <w:bookmarkEnd w:id="40"/>
      <w:bookmarkEnd w:id="41"/>
    </w:p>
    <w:p w:rsidR="00901E80" w:rsidRDefault="00901E80" w:rsidP="00A07DC1">
      <w:r>
        <w:t>The following EMA guidelines, which have been adopted by the TGA, are considered relevant to the current submission:</w:t>
      </w:r>
    </w:p>
    <w:p w:rsidR="00901E80" w:rsidRDefault="00901E80" w:rsidP="00A07DC1">
      <w:pPr>
        <w:pStyle w:val="ListBullet"/>
      </w:pPr>
      <w:r>
        <w:t xml:space="preserve">Guideline on the evaluation of anticancer medicinal products </w:t>
      </w:r>
      <w:r>
        <w:rPr>
          <w:vertAlign w:val="superscript"/>
        </w:rPr>
        <w:t>(4)</w:t>
      </w:r>
    </w:p>
    <w:p w:rsidR="00901E80" w:rsidRDefault="00901E80" w:rsidP="00A07DC1">
      <w:pPr>
        <w:pStyle w:val="ListBullet"/>
      </w:pPr>
      <w:r>
        <w:t xml:space="preserve">Guideline on the investigation of pharmacokinetics of therapeutic proteins </w:t>
      </w:r>
      <w:r>
        <w:rPr>
          <w:vertAlign w:val="superscript"/>
        </w:rPr>
        <w:t>(5)</w:t>
      </w:r>
      <w:r w:rsidR="005E127D">
        <w:rPr>
          <w:vertAlign w:val="superscript"/>
        </w:rPr>
        <w:t>.</w:t>
      </w:r>
    </w:p>
    <w:p w:rsidR="00901E80" w:rsidRDefault="00901E80" w:rsidP="00A07DC1">
      <w:r>
        <w:t>Compliance with these guidelines is considered in the relevant sections of this report.</w:t>
      </w:r>
    </w:p>
    <w:p w:rsidR="00586F98" w:rsidRDefault="00901E80" w:rsidP="001C3DEE">
      <w:pPr>
        <w:pStyle w:val="Heading2"/>
      </w:pPr>
      <w:r>
        <w:t xml:space="preserve"> </w:t>
      </w:r>
      <w:bookmarkStart w:id="42" w:name="_Toc423350768"/>
      <w:r w:rsidR="00586F98">
        <w:t>Contents of the clinical dossier</w:t>
      </w:r>
      <w:bookmarkEnd w:id="10"/>
      <w:bookmarkEnd w:id="11"/>
      <w:bookmarkEnd w:id="42"/>
    </w:p>
    <w:p w:rsidR="00901E80" w:rsidRDefault="00901E80" w:rsidP="001C3DEE">
      <w:pPr>
        <w:pStyle w:val="Heading3"/>
      </w:pPr>
      <w:bookmarkStart w:id="43" w:name="_Toc423350769"/>
      <w:r>
        <w:t xml:space="preserve">For the </w:t>
      </w:r>
      <w:r w:rsidRPr="00041C9E">
        <w:t>SC administration</w:t>
      </w:r>
      <w:r>
        <w:t xml:space="preserve"> component:</w:t>
      </w:r>
      <w:bookmarkEnd w:id="43"/>
    </w:p>
    <w:p w:rsidR="00901E80" w:rsidRPr="00041C9E" w:rsidRDefault="00901E80" w:rsidP="00A07DC1">
      <w:pPr>
        <w:pStyle w:val="ListBullet"/>
        <w:jc w:val="center"/>
      </w:pPr>
      <w:r w:rsidRPr="00041C9E">
        <w:t xml:space="preserve">1 </w:t>
      </w:r>
      <w:r w:rsidR="00041C9E">
        <w:t>Phase I</w:t>
      </w:r>
      <w:r w:rsidRPr="00041C9E">
        <w:t xml:space="preserve"> pharmacokinetic study (BP22023) conducted in healthy volunt</w:t>
      </w:r>
      <w:r w:rsidR="005E127D">
        <w:t>eers and breast cancer patients</w:t>
      </w:r>
    </w:p>
    <w:p w:rsidR="00901E80" w:rsidRPr="00041C9E" w:rsidRDefault="00901E80" w:rsidP="00A07DC1">
      <w:pPr>
        <w:pStyle w:val="ListBullet"/>
      </w:pPr>
      <w:r w:rsidRPr="00041C9E">
        <w:t xml:space="preserve">1 pivotal </w:t>
      </w:r>
      <w:r w:rsidR="00041C9E">
        <w:t>Phase I</w:t>
      </w:r>
      <w:r w:rsidRPr="00041C9E">
        <w:t>II study (BO22227) which compared IV and SC administration with respect to effica</w:t>
      </w:r>
      <w:r w:rsidR="005E127D">
        <w:t>cy, safety and pharmacokinetics</w:t>
      </w:r>
    </w:p>
    <w:p w:rsidR="00901E80" w:rsidRPr="00041C9E" w:rsidRDefault="00901E80" w:rsidP="00A07DC1">
      <w:pPr>
        <w:pStyle w:val="ListBullet"/>
      </w:pPr>
      <w:r w:rsidRPr="00041C9E">
        <w:lastRenderedPageBreak/>
        <w:t>2 population pharmacokinetic analyses (Rep</w:t>
      </w:r>
      <w:r w:rsidR="005E127D">
        <w:t>ort Nos: 1045694 and 12-0215v2)</w:t>
      </w:r>
    </w:p>
    <w:p w:rsidR="00901E80" w:rsidRPr="00041C9E" w:rsidRDefault="00901E80" w:rsidP="00A07DC1">
      <w:pPr>
        <w:pStyle w:val="ListBullet"/>
      </w:pPr>
      <w:r w:rsidRPr="00041C9E">
        <w:t>1 pooled analysis (dated 2011) of infusion reactions occurring in clini</w:t>
      </w:r>
      <w:r w:rsidR="005E127D">
        <w:t>cal trials (Report No: 1048158)</w:t>
      </w:r>
    </w:p>
    <w:p w:rsidR="00901E80" w:rsidRPr="00041C9E" w:rsidRDefault="00901E80" w:rsidP="00A07DC1">
      <w:pPr>
        <w:pStyle w:val="ListBullet"/>
      </w:pPr>
      <w:r w:rsidRPr="00041C9E">
        <w:t>Literature references.</w:t>
      </w:r>
    </w:p>
    <w:p w:rsidR="00901E80" w:rsidRDefault="00901E80" w:rsidP="001C3DEE">
      <w:pPr>
        <w:pStyle w:val="Heading3"/>
      </w:pPr>
      <w:bookmarkStart w:id="44" w:name="_Toc423350770"/>
      <w:r>
        <w:t xml:space="preserve">For </w:t>
      </w:r>
      <w:r w:rsidRPr="00041C9E">
        <w:t>the PI update component</w:t>
      </w:r>
      <w:r>
        <w:t>:</w:t>
      </w:r>
      <w:bookmarkEnd w:id="44"/>
    </w:p>
    <w:p w:rsidR="00901E80" w:rsidRDefault="00901E80" w:rsidP="00A07DC1">
      <w:pPr>
        <w:pStyle w:val="ListBullet"/>
      </w:pPr>
      <w:r>
        <w:t xml:space="preserve">A full clinical study report for </w:t>
      </w:r>
      <w:r w:rsidR="005E127D">
        <w:t>the HERA trial</w:t>
      </w:r>
    </w:p>
    <w:p w:rsidR="00901E80" w:rsidRDefault="00901E80" w:rsidP="00A07DC1">
      <w:pPr>
        <w:pStyle w:val="ListBullet"/>
      </w:pPr>
      <w:r>
        <w:t>Literature references.</w:t>
      </w:r>
    </w:p>
    <w:p w:rsidR="00586F98" w:rsidRDefault="00586F98" w:rsidP="001C3DEE">
      <w:pPr>
        <w:pStyle w:val="Heading3"/>
      </w:pPr>
      <w:bookmarkStart w:id="45" w:name="_Toc423350771"/>
      <w:r>
        <w:t>Paediatric data</w:t>
      </w:r>
      <w:bookmarkEnd w:id="45"/>
    </w:p>
    <w:p w:rsidR="00901E80" w:rsidRDefault="00901E80" w:rsidP="00A07DC1">
      <w:r>
        <w:t>The submission did not include paediatric data. As HER2+ve breast cancer is a disease of adults, this is acceptable.</w:t>
      </w:r>
    </w:p>
    <w:p w:rsidR="00586F98" w:rsidRDefault="00586F98" w:rsidP="001C3DEE">
      <w:pPr>
        <w:pStyle w:val="Heading3"/>
      </w:pPr>
      <w:bookmarkStart w:id="46" w:name="_Toc423350772"/>
      <w:r>
        <w:t>Good clinical practice</w:t>
      </w:r>
      <w:bookmarkEnd w:id="46"/>
    </w:p>
    <w:p w:rsidR="00901E80" w:rsidRDefault="00901E80" w:rsidP="00A07DC1">
      <w:bookmarkStart w:id="47" w:name="_Toc241374282"/>
      <w:r>
        <w:t xml:space="preserve">The study reports for the clinical trials submitted with this application included assurances that they were </w:t>
      </w:r>
      <w:bookmarkEnd w:id="47"/>
      <w:r>
        <w:t xml:space="preserve">conducted in accordance with the principles of the Declaration of Helsinki and the principles of the International Conference on Harmonization (ICH) Guideline for Good Clinical Practice. </w:t>
      </w:r>
    </w:p>
    <w:p w:rsidR="00586F98" w:rsidRDefault="00586F98" w:rsidP="001C3DEE">
      <w:pPr>
        <w:pStyle w:val="Heading2"/>
      </w:pPr>
      <w:bookmarkStart w:id="48" w:name="_Toc355338639"/>
      <w:bookmarkStart w:id="49" w:name="_Toc423350773"/>
      <w:r>
        <w:t>Pharmacokinetics</w:t>
      </w:r>
      <w:bookmarkEnd w:id="48"/>
      <w:bookmarkEnd w:id="49"/>
      <w:r>
        <w:t xml:space="preserve"> </w:t>
      </w:r>
    </w:p>
    <w:p w:rsidR="00901E80" w:rsidRDefault="00901E80" w:rsidP="001C3DEE">
      <w:pPr>
        <w:pStyle w:val="Heading3"/>
      </w:pPr>
      <w:bookmarkStart w:id="50" w:name="_Ref271018934"/>
      <w:bookmarkStart w:id="51" w:name="_Ref271018924"/>
      <w:bookmarkStart w:id="52" w:name="_Ref271017296"/>
      <w:bookmarkStart w:id="53" w:name="_Toc272679636"/>
      <w:bookmarkStart w:id="54" w:name="_Toc290846238"/>
      <w:bookmarkStart w:id="55" w:name="_Toc272414614"/>
      <w:bookmarkStart w:id="56" w:name="_Toc423350774"/>
      <w:r>
        <w:t>Studies</w:t>
      </w:r>
      <w:bookmarkEnd w:id="50"/>
      <w:bookmarkEnd w:id="51"/>
      <w:bookmarkEnd w:id="52"/>
      <w:r>
        <w:t xml:space="preserve"> providing pharmacokinetic data</w:t>
      </w:r>
      <w:bookmarkEnd w:id="53"/>
      <w:bookmarkEnd w:id="54"/>
      <w:bookmarkEnd w:id="55"/>
      <w:bookmarkEnd w:id="56"/>
    </w:p>
    <w:p w:rsidR="00901E80" w:rsidRDefault="00901E80" w:rsidP="00A07DC1">
      <w:r>
        <w:t>The PK data included in the submission related to the new SC route of administration and consisted of the following:</w:t>
      </w:r>
    </w:p>
    <w:p w:rsidR="00901E80" w:rsidRPr="00041C9E" w:rsidRDefault="00901E80" w:rsidP="00A07DC1">
      <w:pPr>
        <w:pStyle w:val="ListBullet"/>
      </w:pPr>
      <w:r w:rsidRPr="00041C9E">
        <w:t xml:space="preserve">An initial </w:t>
      </w:r>
      <w:r w:rsidR="00041C9E" w:rsidRPr="00041C9E">
        <w:t>Phase I</w:t>
      </w:r>
      <w:r w:rsidRPr="00041C9E">
        <w:t xml:space="preserve"> study (BP22023), which examined the PK of single IV and SC </w:t>
      </w:r>
      <w:r w:rsidRPr="00041C9E">
        <w:rPr>
          <w:i/>
        </w:rPr>
        <w:t>weight-adjusted</w:t>
      </w:r>
      <w:r w:rsidRPr="00041C9E">
        <w:t xml:space="preserve"> doses of </w:t>
      </w:r>
      <w:proofErr w:type="spellStart"/>
      <w:r w:rsidRPr="00041C9E">
        <w:t>trastuzumab</w:t>
      </w:r>
      <w:proofErr w:type="spellEnd"/>
      <w:r w:rsidRPr="00041C9E">
        <w:t xml:space="preserve"> in healthy male volunteers and in female patients with a history</w:t>
      </w:r>
      <w:r w:rsidR="005E127D">
        <w:t xml:space="preserve"> of early HER2+ve breast cancer</w:t>
      </w:r>
    </w:p>
    <w:p w:rsidR="00901E80" w:rsidRPr="00041C9E" w:rsidRDefault="00901E80" w:rsidP="00A07DC1">
      <w:pPr>
        <w:pStyle w:val="ListBullet"/>
      </w:pPr>
      <w:r w:rsidRPr="00041C9E">
        <w:t xml:space="preserve">A population PK analysis (Report No: 1045694) that used the data from BP22023 and aimed to identify a suitable </w:t>
      </w:r>
      <w:r w:rsidRPr="00041C9E">
        <w:rPr>
          <w:i/>
        </w:rPr>
        <w:t>fixed-dose</w:t>
      </w:r>
      <w:r w:rsidRPr="00041C9E">
        <w:t xml:space="preserve"> regimen for SC use in the pivotal </w:t>
      </w:r>
      <w:r w:rsidR="00041C9E" w:rsidRPr="00041C9E">
        <w:t>Phase I</w:t>
      </w:r>
      <w:r w:rsidR="005E127D">
        <w:t>II study</w:t>
      </w:r>
    </w:p>
    <w:p w:rsidR="00901E80" w:rsidRPr="00041C9E" w:rsidRDefault="00901E80" w:rsidP="00A07DC1">
      <w:pPr>
        <w:pStyle w:val="ListBullet"/>
      </w:pPr>
      <w:r w:rsidRPr="00041C9E">
        <w:t xml:space="preserve">The pivotal </w:t>
      </w:r>
      <w:r w:rsidR="00041C9E" w:rsidRPr="00041C9E">
        <w:t>Phase I</w:t>
      </w:r>
      <w:r w:rsidRPr="00041C9E">
        <w:t>II efficacy and safety study comparing IV and SC administration (BO22227) in which PK data w</w:t>
      </w:r>
      <w:r w:rsidR="005E127D">
        <w:t>ere collected from all subjects</w:t>
      </w:r>
    </w:p>
    <w:p w:rsidR="00901E80" w:rsidRPr="00041C9E" w:rsidRDefault="00901E80" w:rsidP="00A07DC1">
      <w:pPr>
        <w:pStyle w:val="ListBullet"/>
      </w:pPr>
      <w:r w:rsidRPr="00041C9E">
        <w:t xml:space="preserve">Another population PK analysis (Report No: 12-0215v2) of the PK data collected in the </w:t>
      </w:r>
      <w:r w:rsidR="00041C9E" w:rsidRPr="00041C9E">
        <w:t>Phase I</w:t>
      </w:r>
      <w:r w:rsidRPr="00041C9E">
        <w:t>II study.</w:t>
      </w:r>
    </w:p>
    <w:p w:rsidR="00901E80" w:rsidRDefault="00901E80" w:rsidP="00A07DC1">
      <w:r>
        <w:t xml:space="preserve">None of the studies were excluded from consideration due to study deficiencies. </w:t>
      </w:r>
      <w:bookmarkStart w:id="57" w:name="_Toc290846239"/>
      <w:bookmarkStart w:id="58" w:name="_Toc272414616"/>
      <w:bookmarkStart w:id="59" w:name="_Ref269118175"/>
    </w:p>
    <w:p w:rsidR="00901E80" w:rsidRDefault="00901E80" w:rsidP="001C3DEE">
      <w:pPr>
        <w:pStyle w:val="Heading3"/>
      </w:pPr>
      <w:bookmarkStart w:id="60" w:name="_Toc272679637"/>
      <w:bookmarkStart w:id="61" w:name="_Toc423350775"/>
      <w:r>
        <w:t>Summary of pharmacokinetics</w:t>
      </w:r>
      <w:bookmarkEnd w:id="57"/>
      <w:bookmarkEnd w:id="58"/>
      <w:bookmarkEnd w:id="59"/>
      <w:bookmarkEnd w:id="60"/>
      <w:bookmarkEnd w:id="61"/>
    </w:p>
    <w:p w:rsidR="00901E80" w:rsidRDefault="00901E80" w:rsidP="001C3DEE">
      <w:pPr>
        <w:pStyle w:val="Heading4"/>
      </w:pPr>
      <w:bookmarkStart w:id="62" w:name="_Toc272679638"/>
      <w:bookmarkStart w:id="63" w:name="_Toc290846242"/>
      <w:bookmarkStart w:id="64" w:name="_Toc272414619"/>
      <w:r>
        <w:t>Absorption</w:t>
      </w:r>
      <w:bookmarkEnd w:id="62"/>
      <w:bookmarkEnd w:id="63"/>
      <w:bookmarkEnd w:id="64"/>
    </w:p>
    <w:p w:rsidR="00901E80" w:rsidRDefault="00901E80" w:rsidP="001C3DEE">
      <w:pPr>
        <w:pStyle w:val="Heading5"/>
        <w:spacing w:line="360" w:lineRule="auto"/>
      </w:pPr>
      <w:bookmarkStart w:id="65" w:name="_Toc272679639"/>
      <w:bookmarkStart w:id="66" w:name="_Toc290846243"/>
      <w:bookmarkStart w:id="67" w:name="_Toc272414620"/>
      <w:bookmarkStart w:id="68" w:name="_Toc241374287"/>
      <w:r>
        <w:t>Absolute Bioavailability</w:t>
      </w:r>
      <w:bookmarkEnd w:id="65"/>
      <w:bookmarkEnd w:id="66"/>
      <w:bookmarkEnd w:id="67"/>
      <w:bookmarkEnd w:id="68"/>
    </w:p>
    <w:p w:rsidR="00901E80" w:rsidRDefault="00901E80" w:rsidP="00A07DC1">
      <w:r>
        <w:t xml:space="preserve">In the </w:t>
      </w:r>
      <w:r w:rsidR="00041C9E">
        <w:t>Phase I</w:t>
      </w:r>
      <w:r>
        <w:t xml:space="preserve"> study (BP22023) estimates of absolute bioavailability following administration of a single SC dose were:</w:t>
      </w:r>
    </w:p>
    <w:p w:rsidR="00901E80" w:rsidRPr="00041C9E" w:rsidRDefault="00901E80" w:rsidP="00A07DC1">
      <w:pPr>
        <w:pStyle w:val="ListBullet"/>
      </w:pPr>
      <w:r w:rsidRPr="00041C9E">
        <w:t xml:space="preserve">83.9%, 91.3% and 93.2% for male healthy volunteers 6, 8 and </w:t>
      </w:r>
      <w:r w:rsidR="005E127D">
        <w:t>10 mg/kg SC doses respectively.</w:t>
      </w:r>
    </w:p>
    <w:p w:rsidR="00901E80" w:rsidRPr="00041C9E" w:rsidRDefault="00901E80" w:rsidP="00A07DC1">
      <w:pPr>
        <w:pStyle w:val="ListBullet"/>
      </w:pPr>
      <w:r w:rsidRPr="00041C9E">
        <w:lastRenderedPageBreak/>
        <w:t>87.1% and 98.6% for female patients receiving 10 and 12 m</w:t>
      </w:r>
      <w:r w:rsidR="005E127D">
        <w:t>g/kg SC doses respectively.</w:t>
      </w:r>
    </w:p>
    <w:p w:rsidR="00901E80" w:rsidRPr="00041C9E" w:rsidRDefault="00901E80" w:rsidP="00A07DC1">
      <w:r>
        <w:t xml:space="preserve">In a population PK analysis of data collected in the </w:t>
      </w:r>
      <w:r w:rsidR="00041C9E">
        <w:t>Phase I</w:t>
      </w:r>
      <w:r>
        <w:t xml:space="preserve">II study (Report No: 12-0215v2) bioavailability of the SC </w:t>
      </w:r>
      <w:r w:rsidRPr="00041C9E">
        <w:t>formulation was estimated to be 77.1%.</w:t>
      </w:r>
    </w:p>
    <w:p w:rsidR="00901E80" w:rsidRDefault="00901E80" w:rsidP="001C3DEE">
      <w:pPr>
        <w:pStyle w:val="Heading5"/>
        <w:spacing w:line="360" w:lineRule="auto"/>
      </w:pPr>
      <w:bookmarkStart w:id="69" w:name="_Toc272679640"/>
      <w:r>
        <w:t>Absorption of rHuPH20</w:t>
      </w:r>
      <w:bookmarkEnd w:id="69"/>
    </w:p>
    <w:p w:rsidR="00901E80" w:rsidRDefault="00901E80" w:rsidP="001632EE">
      <w:r>
        <w:t xml:space="preserve">In the </w:t>
      </w:r>
      <w:r w:rsidR="00041C9E">
        <w:t>Phase I</w:t>
      </w:r>
      <w:r>
        <w:t xml:space="preserve"> study, plasma rHuPH20 levels were below the limit of quantification at all </w:t>
      </w:r>
      <w:r w:rsidR="00041C9E">
        <w:t xml:space="preserve">the </w:t>
      </w:r>
      <w:r>
        <w:t>time points, suggesti</w:t>
      </w:r>
      <w:r w:rsidR="005E127D">
        <w:t>ng minimal systemic absorption.</w:t>
      </w:r>
    </w:p>
    <w:p w:rsidR="00901E80" w:rsidRDefault="00901E80" w:rsidP="001C3DEE">
      <w:pPr>
        <w:pStyle w:val="Heading5"/>
        <w:spacing w:line="360" w:lineRule="auto"/>
      </w:pPr>
      <w:bookmarkStart w:id="70" w:name="_Toc272679641"/>
      <w:r>
        <w:t>Dose proportionality</w:t>
      </w:r>
      <w:bookmarkEnd w:id="70"/>
    </w:p>
    <w:p w:rsidR="00901E80" w:rsidRDefault="00901E80" w:rsidP="00A07DC1">
      <w:r>
        <w:t xml:space="preserve">In the </w:t>
      </w:r>
      <w:r w:rsidR="00041C9E">
        <w:t>Phase I</w:t>
      </w:r>
      <w:r>
        <w:t xml:space="preserve"> study (BP22023), AUC and </w:t>
      </w:r>
      <w:proofErr w:type="spellStart"/>
      <w:r>
        <w:t>C</w:t>
      </w:r>
      <w:r>
        <w:rPr>
          <w:vertAlign w:val="subscript"/>
        </w:rPr>
        <w:t>max</w:t>
      </w:r>
      <w:proofErr w:type="spellEnd"/>
      <w:r>
        <w:t xml:space="preserve"> we</w:t>
      </w:r>
      <w:r w:rsidR="00041C9E">
        <w:t>re dose-proportional over the 6</w:t>
      </w:r>
      <w:r>
        <w:t>–10 mg/kg SC dose range in healthy males and the 8-12 mg/kg SC dose range in female patients.</w:t>
      </w:r>
    </w:p>
    <w:p w:rsidR="00901E80" w:rsidRDefault="00901E80" w:rsidP="001C3DEE">
      <w:pPr>
        <w:pStyle w:val="Heading5"/>
        <w:spacing w:line="360" w:lineRule="auto"/>
        <w:rPr>
          <w:szCs w:val="20"/>
        </w:rPr>
      </w:pPr>
      <w:bookmarkStart w:id="71" w:name="_Toc272679642"/>
      <w:r>
        <w:t>Systemic exposure</w:t>
      </w:r>
      <w:bookmarkEnd w:id="71"/>
    </w:p>
    <w:p w:rsidR="00901E80" w:rsidRDefault="00901E80" w:rsidP="00A07DC1">
      <w:r>
        <w:t xml:space="preserve">PK data from the pivotal </w:t>
      </w:r>
      <w:r w:rsidR="00041C9E">
        <w:t>Phase I</w:t>
      </w:r>
      <w:r>
        <w:t xml:space="preserve">II study indicate that the proposed SC regimen (600 mg every 3 weeks) results in higher </w:t>
      </w:r>
      <w:proofErr w:type="spellStart"/>
      <w:r>
        <w:t>C</w:t>
      </w:r>
      <w:r>
        <w:rPr>
          <w:vertAlign w:val="subscript"/>
        </w:rPr>
        <w:t>trough</w:t>
      </w:r>
      <w:proofErr w:type="spellEnd"/>
      <w:r>
        <w:t xml:space="preserve"> values than the approved IV regimen (6</w:t>
      </w:r>
      <w:r w:rsidR="00041C9E">
        <w:t xml:space="preserve"> </w:t>
      </w:r>
      <w:r>
        <w:t xml:space="preserve">mg/kg every 3 weeks) - a 33% increase after 7 cycles and a 51% increase after 12 cycles. However, total systemic exposure (as assessed by AUC) is only modestly increased with SC administration (7% increase during </w:t>
      </w:r>
      <w:r w:rsidR="00041C9E">
        <w:t>Cycle 7</w:t>
      </w:r>
      <w:r>
        <w:t xml:space="preserve"> and 18% increase during </w:t>
      </w:r>
      <w:r w:rsidR="00041C9E">
        <w:t>Cycle 12</w:t>
      </w:r>
      <w:r>
        <w:t>). Increases in AUC are more pronounced in</w:t>
      </w:r>
      <w:r w:rsidR="005E127D">
        <w:t xml:space="preserve"> subjects with low body weight.</w:t>
      </w:r>
    </w:p>
    <w:p w:rsidR="00901E80" w:rsidRDefault="00901E80" w:rsidP="00A07DC1">
      <w:r>
        <w:t xml:space="preserve">SC administration resulted in lower </w:t>
      </w:r>
      <w:proofErr w:type="spellStart"/>
      <w:r>
        <w:t>C</w:t>
      </w:r>
      <w:r>
        <w:rPr>
          <w:vertAlign w:val="subscript"/>
        </w:rPr>
        <w:t>max</w:t>
      </w:r>
      <w:proofErr w:type="spellEnd"/>
      <w:r>
        <w:t xml:space="preserve"> and delayed </w:t>
      </w:r>
      <w:proofErr w:type="spellStart"/>
      <w:r>
        <w:t>T</w:t>
      </w:r>
      <w:r>
        <w:rPr>
          <w:vertAlign w:val="subscript"/>
        </w:rPr>
        <w:t>max</w:t>
      </w:r>
      <w:proofErr w:type="spellEnd"/>
      <w:r>
        <w:t xml:space="preserve"> compared with IV administration.</w:t>
      </w:r>
    </w:p>
    <w:p w:rsidR="00901E80" w:rsidRDefault="00901E80" w:rsidP="001C3DEE">
      <w:pPr>
        <w:pStyle w:val="Heading4"/>
      </w:pPr>
      <w:bookmarkStart w:id="72" w:name="_Toc272679643"/>
      <w:bookmarkStart w:id="73" w:name="_Toc290846249"/>
      <w:bookmarkStart w:id="74" w:name="_Toc272414626"/>
      <w:bookmarkStart w:id="75" w:name="_Toc241374293"/>
      <w:r>
        <w:t>Pharmacokinetics in special populations</w:t>
      </w:r>
      <w:bookmarkEnd w:id="72"/>
      <w:bookmarkEnd w:id="73"/>
      <w:bookmarkEnd w:id="74"/>
      <w:bookmarkEnd w:id="75"/>
    </w:p>
    <w:p w:rsidR="00901E80" w:rsidRDefault="00901E80" w:rsidP="001C3DEE">
      <w:pPr>
        <w:pStyle w:val="Heading5"/>
      </w:pPr>
      <w:bookmarkStart w:id="76" w:name="_Toc272679644"/>
      <w:bookmarkStart w:id="77" w:name="_Toc290846250"/>
      <w:bookmarkStart w:id="78" w:name="_Toc272414627"/>
      <w:r>
        <w:t>Patient factors affecting pharmacokinetics</w:t>
      </w:r>
      <w:bookmarkEnd w:id="76"/>
      <w:r>
        <w:t xml:space="preserve"> </w:t>
      </w:r>
      <w:bookmarkEnd w:id="77"/>
      <w:bookmarkEnd w:id="78"/>
    </w:p>
    <w:p w:rsidR="00901E80" w:rsidRDefault="00901E80" w:rsidP="00A07DC1">
      <w:pPr>
        <w:rPr>
          <w:bCs/>
        </w:rPr>
      </w:pPr>
      <w:r>
        <w:rPr>
          <w:bCs/>
        </w:rPr>
        <w:t xml:space="preserve">Body weight was found to affect the PK of </w:t>
      </w:r>
      <w:proofErr w:type="spellStart"/>
      <w:r>
        <w:rPr>
          <w:bCs/>
        </w:rPr>
        <w:t>trastuzumab</w:t>
      </w:r>
      <w:proofErr w:type="spellEnd"/>
      <w:r>
        <w:rPr>
          <w:bCs/>
        </w:rPr>
        <w:t xml:space="preserve">. The proposed SC regimen is not weight-adjusted. However, the </w:t>
      </w:r>
      <w:r>
        <w:t xml:space="preserve">population PK analysis of data collected in the </w:t>
      </w:r>
      <w:r w:rsidR="00041C9E">
        <w:t>Phase I</w:t>
      </w:r>
      <w:r>
        <w:t xml:space="preserve">II study (Report No: 12-0215v2) indicated that, with the selected SC dose, weight would not have a clinically significant effect on efficacy. SGPT was also found to have a statistically significant effect on </w:t>
      </w:r>
      <w:proofErr w:type="spellStart"/>
      <w:r>
        <w:t>trastuzumab</w:t>
      </w:r>
      <w:proofErr w:type="spellEnd"/>
      <w:r>
        <w:t xml:space="preserve"> PK. The effect was not clinically significant.</w:t>
      </w:r>
    </w:p>
    <w:p w:rsidR="00901E80" w:rsidRDefault="00901E80" w:rsidP="00A07DC1">
      <w:r>
        <w:t xml:space="preserve">Other covariates tested in population PK model did not have a statistically significant effect on </w:t>
      </w:r>
      <w:proofErr w:type="spellStart"/>
      <w:r>
        <w:t>trastuzumab</w:t>
      </w:r>
      <w:proofErr w:type="spellEnd"/>
      <w:r>
        <w:t xml:space="preserve"> PK.</w:t>
      </w:r>
    </w:p>
    <w:p w:rsidR="00901E80" w:rsidRDefault="00901E80" w:rsidP="001C3DEE">
      <w:pPr>
        <w:pStyle w:val="Heading4"/>
      </w:pPr>
      <w:bookmarkStart w:id="79" w:name="_Toc272679645"/>
      <w:bookmarkStart w:id="80" w:name="_Toc290846258"/>
      <w:bookmarkStart w:id="81" w:name="_Toc272414635"/>
      <w:bookmarkStart w:id="82" w:name="_Ref271018755"/>
      <w:bookmarkStart w:id="83" w:name="_Ref271018704"/>
      <w:bookmarkStart w:id="84" w:name="_Ref269982040"/>
      <w:bookmarkStart w:id="85" w:name="_Toc241374296"/>
      <w:bookmarkStart w:id="86" w:name="_Toc423350776"/>
      <w:r>
        <w:t>Evaluator’s overall conclusions on pharmacokinetics</w:t>
      </w:r>
      <w:bookmarkEnd w:id="79"/>
      <w:bookmarkEnd w:id="80"/>
      <w:bookmarkEnd w:id="81"/>
      <w:bookmarkEnd w:id="82"/>
      <w:bookmarkEnd w:id="83"/>
      <w:bookmarkEnd w:id="84"/>
      <w:bookmarkEnd w:id="85"/>
      <w:bookmarkEnd w:id="86"/>
    </w:p>
    <w:p w:rsidR="00901E80" w:rsidRDefault="00901E80" w:rsidP="00A07DC1">
      <w:r>
        <w:t xml:space="preserve">The proposed SC regimen results in increased systemic exposure to </w:t>
      </w:r>
      <w:proofErr w:type="spellStart"/>
      <w:r>
        <w:t>trastuzumab</w:t>
      </w:r>
      <w:proofErr w:type="spellEnd"/>
      <w:r>
        <w:t xml:space="preserve"> compared to the approved 3-weekly IV regimen. The efficacy of the SC regimen would therefore be expected to be at least comparable to that of the IV regimen. The increased systemic exposure may have implications for safety.</w:t>
      </w:r>
    </w:p>
    <w:p w:rsidR="00586F98" w:rsidRDefault="00586F98" w:rsidP="001C3DEE">
      <w:pPr>
        <w:pStyle w:val="Heading2"/>
      </w:pPr>
      <w:bookmarkStart w:id="87" w:name="_Toc423350777"/>
      <w:r>
        <w:t>Pharmacodynamics</w:t>
      </w:r>
      <w:bookmarkEnd w:id="87"/>
    </w:p>
    <w:p w:rsidR="00901E80" w:rsidRDefault="00901E80" w:rsidP="00A07DC1">
      <w:r>
        <w:t xml:space="preserve">No new </w:t>
      </w:r>
      <w:proofErr w:type="spellStart"/>
      <w:r>
        <w:t>pharmacodynamic</w:t>
      </w:r>
      <w:proofErr w:type="spellEnd"/>
      <w:r>
        <w:t xml:space="preserve"> data were included in the submission.</w:t>
      </w:r>
    </w:p>
    <w:p w:rsidR="00586F98" w:rsidRDefault="00901E80" w:rsidP="001C3DEE">
      <w:pPr>
        <w:pStyle w:val="Heading2"/>
      </w:pPr>
      <w:r>
        <w:t xml:space="preserve"> </w:t>
      </w:r>
      <w:bookmarkStart w:id="88" w:name="_Toc423350778"/>
      <w:r w:rsidR="00C22678">
        <w:t>Dosage selection for the pivotal studies</w:t>
      </w:r>
      <w:bookmarkEnd w:id="88"/>
    </w:p>
    <w:p w:rsidR="00901E80" w:rsidRDefault="00901E80" w:rsidP="00A07DC1">
      <w:r>
        <w:t xml:space="preserve">The proposed fixed dose SC regimen (600 mg every 3 weeks, with no loading dose) was chosen based on the findings of the population PK analysis (Report No. 1045694) of data from the </w:t>
      </w:r>
      <w:r w:rsidR="00041C9E">
        <w:t>Phase I</w:t>
      </w:r>
      <w:r>
        <w:t xml:space="preserve"> study (see </w:t>
      </w:r>
      <w:r w:rsidR="00D5339C">
        <w:t>results in figures and tables below</w:t>
      </w:r>
      <w:r>
        <w:t>).</w:t>
      </w:r>
    </w:p>
    <w:p w:rsidR="00D5339C" w:rsidRDefault="00D5339C" w:rsidP="00434A9B">
      <w:pPr>
        <w:pStyle w:val="FigureTitle"/>
        <w:keepNext/>
      </w:pPr>
      <w:r>
        <w:lastRenderedPageBreak/>
        <w:t xml:space="preserve">Figure 1: The distribution of median </w:t>
      </w:r>
      <w:proofErr w:type="spellStart"/>
      <w:r>
        <w:t>C</w:t>
      </w:r>
      <w:r w:rsidRPr="00605C45">
        <w:rPr>
          <w:vertAlign w:val="subscript"/>
        </w:rPr>
        <w:t>trough</w:t>
      </w:r>
      <w:proofErr w:type="spellEnd"/>
      <w:r>
        <w:t xml:space="preserve"> values (at Cycles 1 and 8) obtained from the simulations </w:t>
      </w:r>
    </w:p>
    <w:p w:rsidR="00D5339C" w:rsidRDefault="00D5339C" w:rsidP="00434A9B">
      <w:pPr>
        <w:pStyle w:val="FigureTitle"/>
        <w:keepNext/>
      </w:pPr>
      <w:r>
        <w:rPr>
          <w:noProof/>
          <w:lang w:eastAsia="en-AU"/>
        </w:rPr>
        <w:drawing>
          <wp:inline distT="0" distB="0" distL="0" distR="0" wp14:anchorId="0749E334" wp14:editId="389DFD3C">
            <wp:extent cx="4106155" cy="5992091"/>
            <wp:effectExtent l="0" t="0" r="0" b="0"/>
            <wp:docPr id="4" name="Picture 4" descr="Figure 1: The distribution of median Ctrough values (at Cycles 1 and 8) obtained from the sim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07884" cy="5994614"/>
                    </a:xfrm>
                    <a:prstGeom prst="rect">
                      <a:avLst/>
                    </a:prstGeom>
                  </pic:spPr>
                </pic:pic>
              </a:graphicData>
            </a:graphic>
          </wp:inline>
        </w:drawing>
      </w:r>
    </w:p>
    <w:p w:rsidR="00D5339C" w:rsidRDefault="00D5339C" w:rsidP="00A07DC1">
      <w:r>
        <w:t xml:space="preserve">The predicted </w:t>
      </w:r>
      <w:proofErr w:type="spellStart"/>
      <w:r>
        <w:t>C</w:t>
      </w:r>
      <w:r w:rsidRPr="00240FB9">
        <w:rPr>
          <w:vertAlign w:val="subscript"/>
        </w:rPr>
        <w:t>trough</w:t>
      </w:r>
      <w:proofErr w:type="spellEnd"/>
      <w:r>
        <w:t xml:space="preserve"> values for the 600 mg dose at Cycle 8 were found to meet the criteria for selection of the SC dose, as shown in the following table:</w:t>
      </w:r>
    </w:p>
    <w:p w:rsidR="00D5339C" w:rsidRDefault="00D5339C" w:rsidP="00D5339C">
      <w:pPr>
        <w:pStyle w:val="Tabletitle"/>
      </w:pPr>
      <w:r>
        <w:t xml:space="preserve">Table 1: Predicted </w:t>
      </w:r>
      <w:proofErr w:type="spellStart"/>
      <w:r>
        <w:t>C</w:t>
      </w:r>
      <w:r w:rsidRPr="00240FB9">
        <w:rPr>
          <w:vertAlign w:val="subscript"/>
        </w:rPr>
        <w:t>trough</w:t>
      </w:r>
      <w:proofErr w:type="spellEnd"/>
      <w:r>
        <w:t xml:space="preserve"> values for the 600 mg dose at Cycle 8</w:t>
      </w:r>
    </w:p>
    <w:p w:rsidR="00D5339C" w:rsidRDefault="00D5339C" w:rsidP="00D5339C">
      <w:pPr>
        <w:rPr>
          <w:sz w:val="20"/>
          <w:szCs w:val="20"/>
        </w:rPr>
      </w:pPr>
      <w:r>
        <w:rPr>
          <w:noProof/>
          <w:sz w:val="20"/>
          <w:szCs w:val="20"/>
          <w:lang w:eastAsia="en-AU"/>
        </w:rPr>
        <w:drawing>
          <wp:inline distT="0" distB="0" distL="0" distR="0" wp14:anchorId="2008BB3E" wp14:editId="0A040834">
            <wp:extent cx="4640368" cy="1172666"/>
            <wp:effectExtent l="0" t="0" r="0" b="0"/>
            <wp:docPr id="50" name="Picture 2" descr="Table 1: Predicted Ctrough values for the 600 mg dose at Cyc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2029" cy="1173086"/>
                    </a:xfrm>
                    <a:prstGeom prst="rect">
                      <a:avLst/>
                    </a:prstGeom>
                    <a:noFill/>
                    <a:ln>
                      <a:noFill/>
                    </a:ln>
                  </pic:spPr>
                </pic:pic>
              </a:graphicData>
            </a:graphic>
          </wp:inline>
        </w:drawing>
      </w:r>
    </w:p>
    <w:p w:rsidR="00D5339C" w:rsidRPr="00A07DC1" w:rsidRDefault="00D5339C" w:rsidP="00A07DC1">
      <w:pPr>
        <w:pStyle w:val="TableDescription"/>
      </w:pPr>
      <w:r w:rsidRPr="00A07DC1">
        <w:t>P5 = 5th percentile, P95 = 95th percentile.</w:t>
      </w:r>
    </w:p>
    <w:p w:rsidR="00D5339C" w:rsidRDefault="00D5339C" w:rsidP="00A07DC1">
      <w:r>
        <w:lastRenderedPageBreak/>
        <w:t xml:space="preserve">Further simulations were performed </w:t>
      </w:r>
      <w:r w:rsidRPr="00240FB9">
        <w:t>to compare time course profiles after repeated doses</w:t>
      </w:r>
      <w:r>
        <w:t xml:space="preserve"> </w:t>
      </w:r>
      <w:r w:rsidRPr="00240FB9">
        <w:t xml:space="preserve">of the </w:t>
      </w:r>
      <w:r>
        <w:t xml:space="preserve">chosen 600 q3w </w:t>
      </w:r>
      <w:r w:rsidRPr="00240FB9">
        <w:t>SC dose and the two approved IV regimen</w:t>
      </w:r>
      <w:r>
        <w:t>s</w:t>
      </w:r>
      <w:r w:rsidRPr="00240FB9">
        <w:t xml:space="preserve"> (</w:t>
      </w:r>
      <w:r w:rsidR="001D7770">
        <w:t>that is,</w:t>
      </w:r>
      <w:r w:rsidRPr="00240FB9">
        <w:t xml:space="preserve"> 2</w:t>
      </w:r>
      <w:r>
        <w:t xml:space="preserve"> mg/kg q1w</w:t>
      </w:r>
      <w:r w:rsidRPr="00240FB9">
        <w:t xml:space="preserve"> and 6 mg/kg</w:t>
      </w:r>
      <w:r>
        <w:t xml:space="preserve"> q3w</w:t>
      </w:r>
      <w:r w:rsidRPr="00240FB9">
        <w:t>).</w:t>
      </w:r>
      <w:r>
        <w:t xml:space="preserve"> The predicted PK parameters at Cycle 8 are shown in </w:t>
      </w:r>
      <w:r w:rsidR="0028372E">
        <w:t>the following table and figure.</w:t>
      </w:r>
    </w:p>
    <w:p w:rsidR="00D5339C" w:rsidRDefault="00D5339C" w:rsidP="00D5339C">
      <w:pPr>
        <w:pStyle w:val="Tabletitle"/>
      </w:pPr>
      <w:r>
        <w:t>Table 2: Predicted PK parameters at Cycle 8</w:t>
      </w:r>
    </w:p>
    <w:p w:rsidR="00D5339C" w:rsidRDefault="00D5339C" w:rsidP="00D5339C">
      <w:pPr>
        <w:rPr>
          <w:sz w:val="20"/>
          <w:szCs w:val="20"/>
        </w:rPr>
      </w:pPr>
      <w:r>
        <w:rPr>
          <w:noProof/>
          <w:sz w:val="20"/>
          <w:szCs w:val="20"/>
          <w:lang w:eastAsia="en-AU"/>
        </w:rPr>
        <w:drawing>
          <wp:inline distT="0" distB="0" distL="0" distR="0" wp14:anchorId="57BB5BBA" wp14:editId="49BAC82F">
            <wp:extent cx="5219629" cy="1082040"/>
            <wp:effectExtent l="0" t="0" r="0" b="0"/>
            <wp:docPr id="51" name="Picture 3" descr="Table 2: Predicted PK parameters at Cyc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909" cy="1082098"/>
                    </a:xfrm>
                    <a:prstGeom prst="rect">
                      <a:avLst/>
                    </a:prstGeom>
                    <a:noFill/>
                    <a:ln>
                      <a:noFill/>
                    </a:ln>
                  </pic:spPr>
                </pic:pic>
              </a:graphicData>
            </a:graphic>
          </wp:inline>
        </w:drawing>
      </w:r>
    </w:p>
    <w:p w:rsidR="00D5339C" w:rsidRPr="00D5339C" w:rsidRDefault="00D5339C" w:rsidP="00D5339C">
      <w:pPr>
        <w:pStyle w:val="FigureTitle"/>
      </w:pPr>
      <w:r w:rsidRPr="00D5339C">
        <w:t>Figure 2: Predicted PK parameters at Cycle 8</w:t>
      </w:r>
    </w:p>
    <w:p w:rsidR="00D5339C" w:rsidRDefault="00D5339C" w:rsidP="00D5339C">
      <w:pPr>
        <w:rPr>
          <w:sz w:val="20"/>
          <w:szCs w:val="20"/>
        </w:rPr>
      </w:pPr>
      <w:r>
        <w:rPr>
          <w:noProof/>
          <w:sz w:val="20"/>
          <w:szCs w:val="20"/>
          <w:lang w:eastAsia="en-AU"/>
        </w:rPr>
        <w:drawing>
          <wp:inline distT="0" distB="0" distL="0" distR="0" wp14:anchorId="1D9E9635" wp14:editId="67F52EA4">
            <wp:extent cx="4252718" cy="3276600"/>
            <wp:effectExtent l="0" t="0" r="0" b="0"/>
            <wp:docPr id="53" name="Picture 5" descr="Figure 2: Predicted PK parameters at Cyc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4230"/>
                    <a:stretch/>
                  </pic:blipFill>
                  <pic:spPr bwMode="auto">
                    <a:xfrm>
                      <a:off x="0" y="0"/>
                      <a:ext cx="4259078" cy="3281500"/>
                    </a:xfrm>
                    <a:prstGeom prst="rect">
                      <a:avLst/>
                    </a:prstGeom>
                    <a:noFill/>
                    <a:ln>
                      <a:noFill/>
                    </a:ln>
                    <a:extLst>
                      <a:ext uri="{53640926-AAD7-44D8-BBD7-CCE9431645EC}">
                        <a14:shadowObscured xmlns:a14="http://schemas.microsoft.com/office/drawing/2010/main"/>
                      </a:ext>
                    </a:extLst>
                  </pic:spPr>
                </pic:pic>
              </a:graphicData>
            </a:graphic>
          </wp:inline>
        </w:drawing>
      </w:r>
    </w:p>
    <w:p w:rsidR="00D5339C" w:rsidRPr="00A07DC1" w:rsidRDefault="00D5339C" w:rsidP="00A07DC1">
      <w:pPr>
        <w:pStyle w:val="TableDescription"/>
      </w:pPr>
      <w:r w:rsidRPr="00A07DC1">
        <w:t xml:space="preserve">Legend: The full thick line represents the time course of </w:t>
      </w:r>
      <w:proofErr w:type="spellStart"/>
      <w:r w:rsidRPr="00A07DC1">
        <w:t>trastuzumab</w:t>
      </w:r>
      <w:proofErr w:type="spellEnd"/>
      <w:r w:rsidRPr="00A07DC1">
        <w:t xml:space="preserve"> for </w:t>
      </w:r>
      <w:proofErr w:type="gramStart"/>
      <w:r w:rsidRPr="00A07DC1">
        <w:t>a</w:t>
      </w:r>
      <w:proofErr w:type="gramEnd"/>
      <w:r w:rsidRPr="00A07DC1">
        <w:t xml:space="preserve"> IV </w:t>
      </w:r>
      <w:proofErr w:type="spellStart"/>
      <w:r w:rsidRPr="00A07DC1">
        <w:t>qw</w:t>
      </w:r>
      <w:proofErr w:type="spellEnd"/>
      <w:r w:rsidRPr="00A07DC1">
        <w:t xml:space="preserve"> regimen of 4 mg/Kg followed by 2 mg/Kg. The dotted line represents the time course of </w:t>
      </w:r>
      <w:proofErr w:type="spellStart"/>
      <w:r w:rsidRPr="00A07DC1">
        <w:t>trastuzumab</w:t>
      </w:r>
      <w:proofErr w:type="spellEnd"/>
      <w:r w:rsidRPr="00A07DC1">
        <w:t xml:space="preserve"> for </w:t>
      </w:r>
      <w:proofErr w:type="gramStart"/>
      <w:r w:rsidRPr="00A07DC1">
        <w:t>a</w:t>
      </w:r>
      <w:proofErr w:type="gramEnd"/>
      <w:r w:rsidRPr="00A07DC1">
        <w:t xml:space="preserve"> IV q3w regimen of 8 mg/Kg followed by 6 mg/Kg. The dashed line represents the time course of </w:t>
      </w:r>
      <w:proofErr w:type="spellStart"/>
      <w:r w:rsidRPr="00A07DC1">
        <w:t>trastuzumab</w:t>
      </w:r>
      <w:proofErr w:type="spellEnd"/>
      <w:r w:rsidRPr="00A07DC1">
        <w:t xml:space="preserve"> for a SC q3w regimen of 600 mg.</w:t>
      </w:r>
    </w:p>
    <w:p w:rsidR="00C22678" w:rsidRDefault="00901E80" w:rsidP="001C3DEE">
      <w:pPr>
        <w:pStyle w:val="Heading2"/>
      </w:pPr>
      <w:r>
        <w:t xml:space="preserve"> </w:t>
      </w:r>
      <w:bookmarkStart w:id="89" w:name="_Toc423350779"/>
      <w:r w:rsidR="00C22678">
        <w:t>Clinical efficacy</w:t>
      </w:r>
      <w:bookmarkEnd w:id="89"/>
    </w:p>
    <w:p w:rsidR="00901E80" w:rsidRDefault="00901E80" w:rsidP="001C3DEE">
      <w:pPr>
        <w:pStyle w:val="Heading3"/>
      </w:pPr>
      <w:bookmarkStart w:id="90" w:name="_Toc272679649"/>
      <w:bookmarkStart w:id="91" w:name="_Toc423350780"/>
      <w:r>
        <w:t>Subcutaneous Administration</w:t>
      </w:r>
      <w:bookmarkEnd w:id="90"/>
      <w:bookmarkEnd w:id="91"/>
    </w:p>
    <w:p w:rsidR="00901E80" w:rsidRDefault="00901E80" w:rsidP="001C3DEE">
      <w:pPr>
        <w:pStyle w:val="Heading4"/>
      </w:pPr>
      <w:bookmarkStart w:id="92" w:name="_Toc272679650"/>
      <w:r>
        <w:t>Study BO22227 (</w:t>
      </w:r>
      <w:proofErr w:type="spellStart"/>
      <w:r>
        <w:t>HannaH</w:t>
      </w:r>
      <w:proofErr w:type="spellEnd"/>
      <w:r>
        <w:t xml:space="preserve"> study)</w:t>
      </w:r>
      <w:bookmarkEnd w:id="92"/>
    </w:p>
    <w:p w:rsidR="00901E80" w:rsidRDefault="00901E80" w:rsidP="00A07DC1">
      <w:r>
        <w:t xml:space="preserve">Study BO22227 is also known as the </w:t>
      </w:r>
      <w:proofErr w:type="spellStart"/>
      <w:r>
        <w:t>HannaH</w:t>
      </w:r>
      <w:proofErr w:type="spellEnd"/>
      <w:r>
        <w:t xml:space="preserve"> study (</w:t>
      </w:r>
      <w:proofErr w:type="spellStart"/>
      <w:r>
        <w:t>en</w:t>
      </w:r>
      <w:r>
        <w:rPr>
          <w:b/>
        </w:rPr>
        <w:t>HAN</w:t>
      </w:r>
      <w:r>
        <w:t>ced</w:t>
      </w:r>
      <w:proofErr w:type="spellEnd"/>
      <w:r>
        <w:t xml:space="preserve"> treatment with </w:t>
      </w:r>
      <w:proofErr w:type="spellStart"/>
      <w:r>
        <w:rPr>
          <w:b/>
        </w:rPr>
        <w:t>N</w:t>
      </w:r>
      <w:r>
        <w:t>eo</w:t>
      </w:r>
      <w:r>
        <w:rPr>
          <w:b/>
        </w:rPr>
        <w:t>A</w:t>
      </w:r>
      <w:r>
        <w:t>djuvant</w:t>
      </w:r>
      <w:proofErr w:type="spellEnd"/>
      <w:r>
        <w:t xml:space="preserve"> </w:t>
      </w:r>
      <w:r>
        <w:rPr>
          <w:b/>
        </w:rPr>
        <w:t>H</w:t>
      </w:r>
      <w:r>
        <w:t>erceptin).</w:t>
      </w:r>
    </w:p>
    <w:p w:rsidR="00901E80" w:rsidRDefault="00901E80" w:rsidP="001C3DEE">
      <w:pPr>
        <w:pStyle w:val="Heading5"/>
      </w:pPr>
      <w:bookmarkStart w:id="93" w:name="_Toc272679651"/>
      <w:bookmarkStart w:id="94" w:name="_Ref260925855"/>
      <w:r>
        <w:t>Study design, objectives, locations and dates</w:t>
      </w:r>
      <w:bookmarkEnd w:id="93"/>
      <w:bookmarkEnd w:id="94"/>
    </w:p>
    <w:p w:rsidR="00901E80" w:rsidRDefault="00901E80" w:rsidP="00A07DC1">
      <w:r>
        <w:t xml:space="preserve">The study is a </w:t>
      </w:r>
      <w:r w:rsidR="00041C9E">
        <w:t>Phase I</w:t>
      </w:r>
      <w:r>
        <w:t xml:space="preserve">II, randomised, open-label trial with two parallel groups (IV </w:t>
      </w:r>
      <w:r w:rsidR="001D7770">
        <w:t>versus</w:t>
      </w:r>
      <w:r>
        <w:t xml:space="preserve"> SC). It was conducted in the </w:t>
      </w:r>
      <w:proofErr w:type="spellStart"/>
      <w:r>
        <w:t>neoadjuvant</w:t>
      </w:r>
      <w:proofErr w:type="spellEnd"/>
      <w:r>
        <w:t xml:space="preserve"> setting (with treatment continued post-operatively)</w:t>
      </w:r>
      <w:r w:rsidR="00174FDD">
        <w:t xml:space="preserve"> </w:t>
      </w:r>
      <w:r>
        <w:t xml:space="preserve">in patients with HER2+ve localised or locally advanced breast cancer. All patients received eight 21-day cycles of </w:t>
      </w:r>
      <w:proofErr w:type="spellStart"/>
      <w:r>
        <w:t>neoadjuvant</w:t>
      </w:r>
      <w:proofErr w:type="spellEnd"/>
      <w:r>
        <w:t xml:space="preserve"> chemotherapy (4 cycles of </w:t>
      </w:r>
      <w:proofErr w:type="spellStart"/>
      <w:r>
        <w:t>docetaxel</w:t>
      </w:r>
      <w:proofErr w:type="spellEnd"/>
      <w:r>
        <w:t xml:space="preserve"> followed by 4 cycles of 5-fluorouracil + </w:t>
      </w:r>
      <w:proofErr w:type="spellStart"/>
      <w:r>
        <w:t>epirubicin</w:t>
      </w:r>
      <w:proofErr w:type="spellEnd"/>
      <w:r>
        <w:t xml:space="preserve"> + </w:t>
      </w:r>
      <w:proofErr w:type="spellStart"/>
      <w:r>
        <w:t>cyclohosphamide</w:t>
      </w:r>
      <w:proofErr w:type="spellEnd"/>
      <w:r>
        <w:t xml:space="preserve"> [FEC]). In addition, patients were randomised (1:1) to receive eight 21-day </w:t>
      </w:r>
      <w:proofErr w:type="spellStart"/>
      <w:r>
        <w:t>neoadjuvant</w:t>
      </w:r>
      <w:proofErr w:type="spellEnd"/>
      <w:r>
        <w:t xml:space="preserve"> cycles of either IV or SC </w:t>
      </w:r>
      <w:proofErr w:type="spellStart"/>
      <w:r>
        <w:t>trastuzumab</w:t>
      </w:r>
      <w:proofErr w:type="spellEnd"/>
      <w:r>
        <w:t xml:space="preserve">, concurrent with the chemotherapy. Patients </w:t>
      </w:r>
      <w:r>
        <w:lastRenderedPageBreak/>
        <w:t xml:space="preserve">then underwent surgery. Post-surgery, subjects continued to receive </w:t>
      </w:r>
      <w:proofErr w:type="spellStart"/>
      <w:r>
        <w:t>trastuzumab</w:t>
      </w:r>
      <w:proofErr w:type="spellEnd"/>
      <w:r>
        <w:t xml:space="preserve"> as monotherapy (either IV or SC as originally randomised) for a further ten 21-day cycles. Total intended duration of </w:t>
      </w:r>
      <w:proofErr w:type="spellStart"/>
      <w:r>
        <w:t>trastuzumab</w:t>
      </w:r>
      <w:proofErr w:type="spellEnd"/>
      <w:r>
        <w:t xml:space="preserve"> treatment was therefore 18 cycles (approximately 12 months). Adjuvant endocrine therapy was permitted in both arms after surgery. A study schema is shown in</w:t>
      </w:r>
      <w:r w:rsidR="00174FDD">
        <w:t xml:space="preserve"> Figure 3</w:t>
      </w:r>
      <w:r>
        <w:t>.</w:t>
      </w:r>
    </w:p>
    <w:p w:rsidR="00174FDD" w:rsidRDefault="00174FDD" w:rsidP="00174FDD">
      <w:pPr>
        <w:pStyle w:val="FigureTitle"/>
      </w:pPr>
      <w:bookmarkStart w:id="95" w:name="_Ref260404257"/>
      <w:bookmarkStart w:id="96" w:name="_Toc272679798"/>
      <w:r>
        <w:t>Figure 3:</w:t>
      </w:r>
      <w:bookmarkEnd w:id="95"/>
      <w:r>
        <w:t xml:space="preserve"> Study BO22227 – Study schema</w:t>
      </w:r>
      <w:bookmarkEnd w:id="96"/>
    </w:p>
    <w:p w:rsidR="00174FDD" w:rsidRDefault="00174FDD" w:rsidP="00174FDD">
      <w:r>
        <w:rPr>
          <w:noProof/>
          <w:lang w:eastAsia="en-AU"/>
        </w:rPr>
        <w:drawing>
          <wp:inline distT="0" distB="0" distL="0" distR="0" wp14:anchorId="440B3D0B" wp14:editId="7E31A54F">
            <wp:extent cx="5309235" cy="3212972"/>
            <wp:effectExtent l="0" t="0" r="0" b="0"/>
            <wp:docPr id="55" name="Picture 7" descr="Figure 3: Study BO22227 –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626" cy="3213209"/>
                    </a:xfrm>
                    <a:prstGeom prst="rect">
                      <a:avLst/>
                    </a:prstGeom>
                    <a:noFill/>
                    <a:ln>
                      <a:noFill/>
                    </a:ln>
                  </pic:spPr>
                </pic:pic>
              </a:graphicData>
            </a:graphic>
          </wp:inline>
        </w:drawing>
      </w:r>
    </w:p>
    <w:p w:rsidR="00901E80" w:rsidRDefault="00901E80" w:rsidP="00A07DC1">
      <w:r>
        <w:t xml:space="preserve">The primary objectives were to compare the following parameters between </w:t>
      </w:r>
      <w:proofErr w:type="spellStart"/>
      <w:r>
        <w:t>trastuzumab</w:t>
      </w:r>
      <w:proofErr w:type="spellEnd"/>
      <w:r>
        <w:t xml:space="preserve"> IV and </w:t>
      </w:r>
      <w:proofErr w:type="spellStart"/>
      <w:r>
        <w:t>trastuzumab</w:t>
      </w:r>
      <w:proofErr w:type="spellEnd"/>
      <w:r>
        <w:t xml:space="preserve"> SC in the </w:t>
      </w:r>
      <w:proofErr w:type="spellStart"/>
      <w:r>
        <w:t>neoadjuvant</w:t>
      </w:r>
      <w:proofErr w:type="spellEnd"/>
      <w:r>
        <w:t xml:space="preserve"> setting:</w:t>
      </w:r>
    </w:p>
    <w:p w:rsidR="00901E80" w:rsidRDefault="00901E80" w:rsidP="00A07DC1">
      <w:pPr>
        <w:pStyle w:val="ListBullet"/>
      </w:pPr>
      <w:r>
        <w:t>Serum trough concentrations (</w:t>
      </w:r>
      <w:proofErr w:type="spellStart"/>
      <w:r>
        <w:t>C</w:t>
      </w:r>
      <w:r>
        <w:rPr>
          <w:vertAlign w:val="subscript"/>
        </w:rPr>
        <w:t>trough</w:t>
      </w:r>
      <w:proofErr w:type="spellEnd"/>
      <w:r w:rsidR="005E127D">
        <w:t>) observed pre-surgery</w:t>
      </w:r>
    </w:p>
    <w:p w:rsidR="00901E80" w:rsidRDefault="00901E80" w:rsidP="00A07DC1">
      <w:pPr>
        <w:pStyle w:val="ListBullet"/>
      </w:pPr>
      <w:r>
        <w:t>Efficacy (pathological complete response).</w:t>
      </w:r>
    </w:p>
    <w:p w:rsidR="00901E80" w:rsidRDefault="00901E80" w:rsidP="00A07DC1">
      <w:r>
        <w:t xml:space="preserve">The secondary objectives were to </w:t>
      </w:r>
    </w:p>
    <w:p w:rsidR="00901E80" w:rsidRDefault="00901E80" w:rsidP="00A07DC1">
      <w:pPr>
        <w:pStyle w:val="Numberbullet2"/>
      </w:pPr>
      <w:r w:rsidRPr="00A07DC1">
        <w:t>Compare</w:t>
      </w:r>
      <w:r>
        <w:t xml:space="preserve"> the following parameters between </w:t>
      </w:r>
      <w:proofErr w:type="spellStart"/>
      <w:r>
        <w:t>trastuzumab</w:t>
      </w:r>
      <w:proofErr w:type="spellEnd"/>
      <w:r>
        <w:t xml:space="preserve"> IV and </w:t>
      </w:r>
      <w:proofErr w:type="spellStart"/>
      <w:r>
        <w:t>trastuzumab</w:t>
      </w:r>
      <w:proofErr w:type="spellEnd"/>
      <w:r>
        <w:t xml:space="preserve"> SC:</w:t>
      </w:r>
    </w:p>
    <w:p w:rsidR="00901E80" w:rsidRDefault="00901E80" w:rsidP="00A07DC1">
      <w:pPr>
        <w:pStyle w:val="ListBullet"/>
      </w:pPr>
      <w:r>
        <w:t xml:space="preserve">Observed </w:t>
      </w:r>
      <w:proofErr w:type="spellStart"/>
      <w:r>
        <w:t>C</w:t>
      </w:r>
      <w:r>
        <w:rPr>
          <w:vertAlign w:val="subscript"/>
        </w:rPr>
        <w:t>trough</w:t>
      </w:r>
      <w:proofErr w:type="spellEnd"/>
      <w:r w:rsidR="005E127D">
        <w:t xml:space="preserve"> concentrations post-surgery</w:t>
      </w:r>
    </w:p>
    <w:p w:rsidR="00901E80" w:rsidRDefault="00901E80" w:rsidP="00A07DC1">
      <w:pPr>
        <w:pStyle w:val="ListBullet"/>
      </w:pPr>
      <w:r>
        <w:t xml:space="preserve">Predicted </w:t>
      </w:r>
      <w:proofErr w:type="spellStart"/>
      <w:r>
        <w:t>C</w:t>
      </w:r>
      <w:r>
        <w:rPr>
          <w:vertAlign w:val="subscript"/>
        </w:rPr>
        <w:t>trough</w:t>
      </w:r>
      <w:proofErr w:type="spellEnd"/>
      <w:r>
        <w:t xml:space="preserve"> concentratio</w:t>
      </w:r>
      <w:r w:rsidR="005E127D">
        <w:t>ns pre-surgery and post-surgery</w:t>
      </w:r>
    </w:p>
    <w:p w:rsidR="00901E80" w:rsidRDefault="00901E80" w:rsidP="00A07DC1">
      <w:pPr>
        <w:pStyle w:val="ListBullet"/>
      </w:pPr>
      <w:r>
        <w:t>Pharmacokinetic profile.</w:t>
      </w:r>
    </w:p>
    <w:p w:rsidR="00901E80" w:rsidRDefault="00901E80" w:rsidP="00174FDD">
      <w:pPr>
        <w:pStyle w:val="Numberbullet2"/>
      </w:pPr>
      <w:r>
        <w:t xml:space="preserve">Evaluate the following parameters in the </w:t>
      </w:r>
      <w:proofErr w:type="spellStart"/>
      <w:r>
        <w:t>trastuzumab</w:t>
      </w:r>
      <w:proofErr w:type="spellEnd"/>
      <w:r>
        <w:t xml:space="preserve"> IV and </w:t>
      </w:r>
      <w:proofErr w:type="spellStart"/>
      <w:r>
        <w:t>trastuzumab</w:t>
      </w:r>
      <w:proofErr w:type="spellEnd"/>
      <w:r>
        <w:t xml:space="preserve"> SC arm:</w:t>
      </w:r>
    </w:p>
    <w:p w:rsidR="00901E80" w:rsidRDefault="00901E80" w:rsidP="006D2C85">
      <w:pPr>
        <w:pStyle w:val="ListBullet"/>
      </w:pPr>
      <w:r>
        <w:t>Total pathol</w:t>
      </w:r>
      <w:r w:rsidR="005E127D">
        <w:t>ogical complete response (</w:t>
      </w:r>
      <w:proofErr w:type="spellStart"/>
      <w:r w:rsidR="005E127D">
        <w:t>tpCR</w:t>
      </w:r>
      <w:proofErr w:type="spellEnd"/>
      <w:r w:rsidR="005E127D">
        <w:t>)</w:t>
      </w:r>
    </w:p>
    <w:p w:rsidR="00901E80" w:rsidRDefault="005E127D" w:rsidP="006D2C85">
      <w:pPr>
        <w:pStyle w:val="ListBullet"/>
      </w:pPr>
      <w:r>
        <w:t>Overall response rate (ORR)</w:t>
      </w:r>
    </w:p>
    <w:p w:rsidR="00901E80" w:rsidRDefault="00901E80" w:rsidP="00850C2B">
      <w:pPr>
        <w:pStyle w:val="ListBullet"/>
      </w:pPr>
      <w:r>
        <w:t>Time</w:t>
      </w:r>
      <w:r w:rsidR="005E127D">
        <w:t>-to-response (TTR)</w:t>
      </w:r>
    </w:p>
    <w:p w:rsidR="00901E80" w:rsidRDefault="005E127D" w:rsidP="00850C2B">
      <w:pPr>
        <w:pStyle w:val="ListBullet"/>
      </w:pPr>
      <w:r>
        <w:t>Event-free-survival (EFS)</w:t>
      </w:r>
    </w:p>
    <w:p w:rsidR="00901E80" w:rsidRDefault="005E127D" w:rsidP="00850C2B">
      <w:pPr>
        <w:pStyle w:val="ListBullet"/>
      </w:pPr>
      <w:r>
        <w:t>Overall survival (OS)</w:t>
      </w:r>
    </w:p>
    <w:p w:rsidR="00901E80" w:rsidRDefault="005E127D" w:rsidP="00850C2B">
      <w:pPr>
        <w:pStyle w:val="ListBullet"/>
      </w:pPr>
      <w:r>
        <w:t>Safety and tolerability</w:t>
      </w:r>
    </w:p>
    <w:p w:rsidR="00901E80" w:rsidRDefault="00901E80" w:rsidP="00850C2B">
      <w:pPr>
        <w:pStyle w:val="ListBullet"/>
      </w:pPr>
      <w:r>
        <w:t>Immunogenicity.</w:t>
      </w:r>
    </w:p>
    <w:p w:rsidR="00901E80" w:rsidRDefault="00901E80" w:rsidP="00850C2B">
      <w:r>
        <w:t xml:space="preserve">The trial was conducted in 81 centres in 24 countries (Russia 10, Germany 8, Brazil 6, France, Peru and Spain 5 each, Thailand, Taiwan and South Africa 4 each, Poland, Colombia, Korea, Italy, Turkey </w:t>
      </w:r>
      <w:r>
        <w:lastRenderedPageBreak/>
        <w:t>and Hungary 3 each, Sweden, Slovakia, Czech Republic 2 each, Canada, China, Estonia, Guatemala, Mexico, Panama 1 each).</w:t>
      </w:r>
    </w:p>
    <w:p w:rsidR="00901E80" w:rsidRDefault="00901E80" w:rsidP="00850C2B">
      <w:r>
        <w:t xml:space="preserve">The first patient was randomised in October 2009 and the last patient in December 2010. The trial is ongoing and the date of data cut-off for the submitted study report was 9 July 2012. The report itself was dated September 2013. The study has been published </w:t>
      </w:r>
      <w:r>
        <w:rPr>
          <w:vertAlign w:val="superscript"/>
        </w:rPr>
        <w:t>(6)</w:t>
      </w:r>
      <w:r>
        <w:t>.</w:t>
      </w:r>
    </w:p>
    <w:p w:rsidR="00901E80" w:rsidRDefault="00901E80" w:rsidP="001C3DEE">
      <w:pPr>
        <w:pStyle w:val="Heading5"/>
      </w:pPr>
      <w:bookmarkStart w:id="97" w:name="_Toc272679652"/>
      <w:bookmarkStart w:id="98" w:name="_Ref260925903"/>
      <w:r>
        <w:t>Inclusion and exclusion criteria</w:t>
      </w:r>
      <w:bookmarkEnd w:id="97"/>
      <w:bookmarkEnd w:id="98"/>
    </w:p>
    <w:p w:rsidR="00901E80" w:rsidRDefault="00901E80" w:rsidP="00850C2B">
      <w:r>
        <w:t xml:space="preserve">Inclusion criteria and exclusion criteria </w:t>
      </w:r>
      <w:r w:rsidR="00174FDD">
        <w:t>are shown in Table 3 below</w:t>
      </w:r>
      <w:r>
        <w:t>.</w:t>
      </w:r>
    </w:p>
    <w:p w:rsidR="00174FDD" w:rsidRDefault="00174FDD" w:rsidP="00CF200D">
      <w:pPr>
        <w:pStyle w:val="Tabletitle"/>
      </w:pPr>
      <w:bookmarkStart w:id="99" w:name="_Ref260474323"/>
      <w:bookmarkStart w:id="100" w:name="_Toc272679747"/>
      <w:r>
        <w:t xml:space="preserve">Table </w:t>
      </w:r>
      <w:r w:rsidRPr="00CF200D">
        <w:t>3A</w:t>
      </w:r>
      <w:r>
        <w:t>:</w:t>
      </w:r>
      <w:bookmarkEnd w:id="99"/>
      <w:r>
        <w:t xml:space="preserve"> Study BO22227 – Inclusion criteria</w:t>
      </w:r>
      <w:bookmarkEnd w:id="100"/>
    </w:p>
    <w:p w:rsidR="00174FDD" w:rsidRDefault="00174FDD" w:rsidP="00174FDD">
      <w:r>
        <w:rPr>
          <w:noProof/>
          <w:lang w:eastAsia="en-AU"/>
        </w:rPr>
        <w:drawing>
          <wp:inline distT="0" distB="0" distL="0" distR="0" wp14:anchorId="519FD17E" wp14:editId="7B34AA1C">
            <wp:extent cx="4228186" cy="2856889"/>
            <wp:effectExtent l="0" t="0" r="0" b="0"/>
            <wp:docPr id="52" name="Picture 1" descr="Table 3A: Study BO22227 – In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0785" cy="2858645"/>
                    </a:xfrm>
                    <a:prstGeom prst="rect">
                      <a:avLst/>
                    </a:prstGeom>
                    <a:noFill/>
                    <a:ln>
                      <a:noFill/>
                    </a:ln>
                  </pic:spPr>
                </pic:pic>
              </a:graphicData>
            </a:graphic>
          </wp:inline>
        </w:drawing>
      </w:r>
    </w:p>
    <w:p w:rsidR="00174FDD" w:rsidRDefault="00174FDD" w:rsidP="00457B2E">
      <w:pPr>
        <w:pStyle w:val="Tabletitle"/>
        <w:keepLines/>
      </w:pPr>
      <w:bookmarkStart w:id="101" w:name="_Ref260475157"/>
      <w:bookmarkStart w:id="102" w:name="_Toc272679748"/>
      <w:r>
        <w:lastRenderedPageBreak/>
        <w:t>Table 3B</w:t>
      </w:r>
      <w:bookmarkEnd w:id="101"/>
      <w:r>
        <w:t>: Study BO22227 - Exclusion criteria</w:t>
      </w:r>
      <w:bookmarkEnd w:id="102"/>
    </w:p>
    <w:p w:rsidR="00457B2E" w:rsidRPr="00457B2E" w:rsidRDefault="00457B2E" w:rsidP="00457B2E">
      <w:r>
        <w:rPr>
          <w:noProof/>
          <w:lang w:eastAsia="en-AU"/>
        </w:rPr>
        <w:drawing>
          <wp:inline distT="0" distB="0" distL="0" distR="0" wp14:anchorId="2E6EDE1F" wp14:editId="6E4C1EF4">
            <wp:extent cx="4289359" cy="7627620"/>
            <wp:effectExtent l="0" t="0" r="0" b="0"/>
            <wp:docPr id="5" name="Picture 5" descr="Table 3B: Study BO22227 - Ex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89359" cy="7627620"/>
                    </a:xfrm>
                    <a:prstGeom prst="rect">
                      <a:avLst/>
                    </a:prstGeom>
                  </pic:spPr>
                </pic:pic>
              </a:graphicData>
            </a:graphic>
          </wp:inline>
        </w:drawing>
      </w:r>
    </w:p>
    <w:p w:rsidR="00901E80" w:rsidRDefault="00A07DC1" w:rsidP="00F57A62">
      <w:pPr>
        <w:pStyle w:val="Comment"/>
      </w:pPr>
      <w:r w:rsidRPr="00A07DC1">
        <w:rPr>
          <w:b/>
        </w:rPr>
        <w:t>Comment:</w:t>
      </w:r>
      <w:r>
        <w:t xml:space="preserve"> </w:t>
      </w:r>
      <w:r w:rsidR="00901E80">
        <w:t>The study included subjects with clinical stage I (with tumour size ≥ 1 cm) to stage IIIC disease. The population therefore approximately corresponds to those populations covered by the ‘localised’ and ‘locally advanced’ indications currently approved by the TGA. The current staging system for breast cancer is shown in Appendix 1. A central laborat</w:t>
      </w:r>
      <w:r w:rsidR="0028372E">
        <w:t>ory determined HER2-positivity.</w:t>
      </w:r>
    </w:p>
    <w:p w:rsidR="00901E80" w:rsidRDefault="00901E80" w:rsidP="001C3DEE">
      <w:pPr>
        <w:pStyle w:val="Heading5"/>
      </w:pPr>
      <w:bookmarkStart w:id="103" w:name="_Toc272679653"/>
      <w:bookmarkStart w:id="104" w:name="_Ref260925942"/>
      <w:r>
        <w:lastRenderedPageBreak/>
        <w:t>Study treatments</w:t>
      </w:r>
      <w:bookmarkEnd w:id="103"/>
      <w:bookmarkEnd w:id="104"/>
    </w:p>
    <w:p w:rsidR="00901E80" w:rsidRDefault="00901E80" w:rsidP="00850C2B">
      <w:r>
        <w:t xml:space="preserve">All subjects received 8 cycles of </w:t>
      </w:r>
      <w:proofErr w:type="spellStart"/>
      <w:r>
        <w:t>neoadjuvant</w:t>
      </w:r>
      <w:proofErr w:type="spellEnd"/>
      <w:r>
        <w:t xml:space="preserve"> chemotherapy as follows:</w:t>
      </w:r>
    </w:p>
    <w:p w:rsidR="00901E80" w:rsidRDefault="00901E80" w:rsidP="00850C2B">
      <w:r>
        <w:t>Cycles 1-4:</w:t>
      </w:r>
    </w:p>
    <w:p w:rsidR="00901E80" w:rsidRDefault="00901E80" w:rsidP="00850C2B">
      <w:pPr>
        <w:pStyle w:val="ListBullet"/>
      </w:pPr>
      <w:proofErr w:type="spellStart"/>
      <w:r>
        <w:t>Docetaxel</w:t>
      </w:r>
      <w:proofErr w:type="spellEnd"/>
      <w:r>
        <w:t xml:space="preserve"> 75 mg/m</w:t>
      </w:r>
      <w:r>
        <w:rPr>
          <w:vertAlign w:val="superscript"/>
        </w:rPr>
        <w:t>2</w:t>
      </w:r>
      <w:r>
        <w:t xml:space="preserve"> IV on day 1 of a 21-day cycle, given over 60 minutes. An oral corticosteroid (e.g. dexamethasone 16 mg per day) was given for 3 days as premedication.</w:t>
      </w:r>
    </w:p>
    <w:p w:rsidR="00901E80" w:rsidRDefault="00901E80" w:rsidP="00850C2B">
      <w:r>
        <w:t>Cycles 5-8:</w:t>
      </w:r>
    </w:p>
    <w:p w:rsidR="005E127D" w:rsidRDefault="00901E80" w:rsidP="00850C2B">
      <w:pPr>
        <w:pStyle w:val="ListBullet"/>
      </w:pPr>
      <w:r>
        <w:t>5-Fluorouracil 500 mg/m</w:t>
      </w:r>
      <w:r>
        <w:rPr>
          <w:vertAlign w:val="superscript"/>
        </w:rPr>
        <w:t>2</w:t>
      </w:r>
      <w:r>
        <w:t xml:space="preserve"> IV on day 1 of a 21-day cycle, given as an IV bolus over 3-5 minutes or</w:t>
      </w:r>
      <w:r w:rsidR="005E127D">
        <w:t xml:space="preserve"> as an infusion over 30 minutes</w:t>
      </w:r>
    </w:p>
    <w:p w:rsidR="00901E80" w:rsidRDefault="00901E80" w:rsidP="00850C2B">
      <w:pPr>
        <w:pStyle w:val="ListBullet"/>
      </w:pPr>
      <w:proofErr w:type="spellStart"/>
      <w:r>
        <w:t>Epirubicin</w:t>
      </w:r>
      <w:proofErr w:type="spellEnd"/>
      <w:r>
        <w:t xml:space="preserve"> 75 mg/m</w:t>
      </w:r>
      <w:r>
        <w:rPr>
          <w:vertAlign w:val="superscript"/>
        </w:rPr>
        <w:t>2</w:t>
      </w:r>
      <w:r>
        <w:t xml:space="preserve"> IV on day 1 of a 21-day cycle, given as an IV bolus over 3-5 minutes or</w:t>
      </w:r>
      <w:r w:rsidR="005E127D">
        <w:t xml:space="preserve"> as an infusion over 30 minutes</w:t>
      </w:r>
    </w:p>
    <w:p w:rsidR="00901E80" w:rsidRDefault="00901E80" w:rsidP="00850C2B">
      <w:pPr>
        <w:pStyle w:val="ListBullet"/>
      </w:pPr>
      <w:r>
        <w:t>Cyclophosphamide 500 mg/m</w:t>
      </w:r>
      <w:r>
        <w:rPr>
          <w:vertAlign w:val="superscript"/>
        </w:rPr>
        <w:t>2</w:t>
      </w:r>
      <w:r>
        <w:t xml:space="preserve"> IV on day 1 of a 21-day cycle, given as an IV bolus over 3-5 minutes. Individual doses were capped at 1200 mg.</w:t>
      </w:r>
    </w:p>
    <w:p w:rsidR="00901E80" w:rsidRDefault="00901E80" w:rsidP="00850C2B">
      <w:r>
        <w:t xml:space="preserve">In combination with the </w:t>
      </w:r>
      <w:proofErr w:type="spellStart"/>
      <w:r>
        <w:t>neoadjuvant</w:t>
      </w:r>
      <w:proofErr w:type="spellEnd"/>
      <w:r>
        <w:t xml:space="preserve"> chemotherapy, subjects were randomised to receive eight 21-day cycles of </w:t>
      </w:r>
      <w:proofErr w:type="spellStart"/>
      <w:r>
        <w:t>neoadjuvant</w:t>
      </w:r>
      <w:proofErr w:type="spellEnd"/>
      <w:r>
        <w:t xml:space="preserve"> </w:t>
      </w:r>
      <w:proofErr w:type="spellStart"/>
      <w:r>
        <w:t>trastuzumab</w:t>
      </w:r>
      <w:proofErr w:type="spellEnd"/>
      <w:r>
        <w:t xml:space="preserve"> (either IV or SC). Following surgery, patients received a further ten 21-day cycles of adjuvant </w:t>
      </w:r>
      <w:proofErr w:type="spellStart"/>
      <w:r>
        <w:t>trastuzumab</w:t>
      </w:r>
      <w:proofErr w:type="spellEnd"/>
      <w:r>
        <w:t xml:space="preserve"> (either IV or SC as originally randomised), giving a total duration of </w:t>
      </w:r>
      <w:proofErr w:type="spellStart"/>
      <w:r>
        <w:t>trastuzumab</w:t>
      </w:r>
      <w:proofErr w:type="spellEnd"/>
      <w:r>
        <w:t xml:space="preserve"> of 18 cycles (~ 12 months). There was no interruption to the regular 21-day dosing of </w:t>
      </w:r>
      <w:proofErr w:type="spellStart"/>
      <w:r>
        <w:t>trastuzumab</w:t>
      </w:r>
      <w:proofErr w:type="spellEnd"/>
      <w:r>
        <w:t xml:space="preserve"> between the </w:t>
      </w:r>
      <w:proofErr w:type="spellStart"/>
      <w:r>
        <w:t>neoadjuvant</w:t>
      </w:r>
      <w:proofErr w:type="spellEnd"/>
      <w:r>
        <w:t xml:space="preserve"> and adjuvant phases. The </w:t>
      </w:r>
      <w:proofErr w:type="spellStart"/>
      <w:r>
        <w:t>trastuzumab</w:t>
      </w:r>
      <w:proofErr w:type="spellEnd"/>
      <w:r>
        <w:t xml:space="preserve"> regimens that were compared were as follows:</w:t>
      </w:r>
    </w:p>
    <w:p w:rsidR="00901E80" w:rsidRDefault="00901E80" w:rsidP="00850C2B">
      <w:pPr>
        <w:pStyle w:val="ListBullet"/>
      </w:pPr>
      <w:proofErr w:type="spellStart"/>
      <w:r>
        <w:t>Trastuzumab</w:t>
      </w:r>
      <w:proofErr w:type="spellEnd"/>
      <w:r>
        <w:t xml:space="preserve"> 600 mg SC on day 1 of the 21-day cycle, given over 5 minutes into the thigh;</w:t>
      </w:r>
    </w:p>
    <w:p w:rsidR="00901E80" w:rsidRDefault="00901E80" w:rsidP="00850C2B">
      <w:pPr>
        <w:pStyle w:val="ListBullet"/>
      </w:pPr>
      <w:proofErr w:type="spellStart"/>
      <w:r>
        <w:t>Trastuzumab</w:t>
      </w:r>
      <w:proofErr w:type="spellEnd"/>
      <w:r>
        <w:t xml:space="preserve"> IV on day 1 of the 21-day cycle.  An initial loading dose of 8 mg/kg IV was used in cycle 1. For subsequent cycles, a maintenance dose of 6 mg/kg IV was used. The first infusion was given over 90 minutes and if this was well tolerated, subsequent doses </w:t>
      </w:r>
      <w:r w:rsidR="0028372E">
        <w:t>could be given over 30 minutes.</w:t>
      </w:r>
    </w:p>
    <w:p w:rsidR="00901E80" w:rsidRDefault="00901E80" w:rsidP="00850C2B">
      <w:r>
        <w:t xml:space="preserve">In both arms, </w:t>
      </w:r>
      <w:proofErr w:type="spellStart"/>
      <w:r>
        <w:t>trastuzumab</w:t>
      </w:r>
      <w:proofErr w:type="spellEnd"/>
      <w:r>
        <w:t xml:space="preserve"> was administered prior to the chemotherapy on Day 1 of each cycle during the </w:t>
      </w:r>
      <w:proofErr w:type="spellStart"/>
      <w:r>
        <w:t>neoadjuvant</w:t>
      </w:r>
      <w:proofErr w:type="spellEnd"/>
      <w:r>
        <w:t xml:space="preserve"> phase. Patients who developed infusion or injection-related symptoms could be pre-medicated with paracetamol and antihistamines for subsequent cycles. Reductions in dose of </w:t>
      </w:r>
      <w:proofErr w:type="spellStart"/>
      <w:r>
        <w:t>trastuzumab</w:t>
      </w:r>
      <w:proofErr w:type="spellEnd"/>
      <w:r>
        <w:t xml:space="preserve"> because of toxicity were not permitted in either arm. However, dosing could be delayed. Dose reduction and delay were permitted for the chemotherapy agents.</w:t>
      </w:r>
    </w:p>
    <w:p w:rsidR="00901E80" w:rsidRDefault="00901E80" w:rsidP="00850C2B">
      <w:r>
        <w:t xml:space="preserve">The regimen of </w:t>
      </w:r>
      <w:proofErr w:type="spellStart"/>
      <w:r>
        <w:t>trastuzumab</w:t>
      </w:r>
      <w:proofErr w:type="spellEnd"/>
      <w:r>
        <w:t xml:space="preserve"> with a </w:t>
      </w:r>
      <w:proofErr w:type="spellStart"/>
      <w:r>
        <w:t>taxane</w:t>
      </w:r>
      <w:proofErr w:type="spellEnd"/>
      <w:r>
        <w:t xml:space="preserve"> followed by FEC w</w:t>
      </w:r>
      <w:r>
        <w:rPr>
          <w:lang w:val="en-US"/>
        </w:rPr>
        <w:t xml:space="preserve">as chosen as it was recommended as standard in the </w:t>
      </w:r>
      <w:proofErr w:type="spellStart"/>
      <w:r>
        <w:rPr>
          <w:lang w:val="en-US"/>
        </w:rPr>
        <w:t>neoadjuvant</w:t>
      </w:r>
      <w:proofErr w:type="spellEnd"/>
      <w:r>
        <w:rPr>
          <w:lang w:val="en-US"/>
        </w:rPr>
        <w:t xml:space="preserve"> setting for patients with HER2-positive</w:t>
      </w:r>
      <w:r>
        <w:t xml:space="preserve"> early</w:t>
      </w:r>
      <w:r>
        <w:rPr>
          <w:lang w:val="en-US"/>
        </w:rPr>
        <w:t xml:space="preserve"> breast cancer in the National Comprehensive Cancer Network (NCCN) treatment guidelines.</w:t>
      </w:r>
    </w:p>
    <w:p w:rsidR="00901E80" w:rsidRDefault="00901E80" w:rsidP="00850C2B">
      <w:r>
        <w:t xml:space="preserve">Patients were permitted to receive adjuvant </w:t>
      </w:r>
      <w:proofErr w:type="spellStart"/>
      <w:r>
        <w:t>tamoxifen</w:t>
      </w:r>
      <w:proofErr w:type="spellEnd"/>
      <w:r>
        <w:t>, aromatase inhibitors or LHRH agonists, as appropriate. Adjuvant use of bisphosphonates for the prevention of bone metastases was not permitted. Other systemic anti-cancer agents or investigational agents were not permitted.</w:t>
      </w:r>
    </w:p>
    <w:p w:rsidR="00901E80" w:rsidRDefault="00901E80" w:rsidP="001C3DEE">
      <w:pPr>
        <w:pStyle w:val="Heading5"/>
      </w:pPr>
      <w:bookmarkStart w:id="105" w:name="_Toc272679654"/>
      <w:r>
        <w:t>Efficacy variables and outcomes</w:t>
      </w:r>
      <w:bookmarkEnd w:id="105"/>
    </w:p>
    <w:p w:rsidR="00901E80" w:rsidRDefault="00901E80" w:rsidP="00850C2B">
      <w:r>
        <w:t>The main efficacy variables were:</w:t>
      </w:r>
    </w:p>
    <w:p w:rsidR="005E127D" w:rsidRDefault="005E127D" w:rsidP="00850C2B">
      <w:pPr>
        <w:pStyle w:val="ListBullet"/>
      </w:pPr>
      <w:r>
        <w:t>Tumour response rates</w:t>
      </w:r>
    </w:p>
    <w:p w:rsidR="00901E80" w:rsidRDefault="00901E80" w:rsidP="00850C2B">
      <w:pPr>
        <w:pStyle w:val="ListBullet"/>
      </w:pPr>
      <w:r>
        <w:t>Overall survival and event-free survival.</w:t>
      </w:r>
    </w:p>
    <w:p w:rsidR="00901E80" w:rsidRDefault="00901E80" w:rsidP="00850C2B">
      <w:pPr>
        <w:rPr>
          <w:lang w:val="en-US"/>
        </w:rPr>
      </w:pPr>
      <w:r>
        <w:t xml:space="preserve">The </w:t>
      </w:r>
      <w:r w:rsidRPr="00457B2E">
        <w:rPr>
          <w:rStyle w:val="Heading6Char"/>
          <w:rFonts w:eastAsia="Cambria"/>
        </w:rPr>
        <w:t>primary</w:t>
      </w:r>
      <w:r>
        <w:t xml:space="preserve"> efficacy outcome was the pathological complete response (</w:t>
      </w:r>
      <w:proofErr w:type="spellStart"/>
      <w:r>
        <w:t>pCR</w:t>
      </w:r>
      <w:proofErr w:type="spellEnd"/>
      <w:r>
        <w:t xml:space="preserve">). A </w:t>
      </w:r>
      <w:proofErr w:type="spellStart"/>
      <w:r>
        <w:t>pCR</w:t>
      </w:r>
      <w:proofErr w:type="spellEnd"/>
      <w:r>
        <w:t xml:space="preserve"> was defined as </w:t>
      </w:r>
      <w:r>
        <w:rPr>
          <w:lang w:val="en-US"/>
        </w:rPr>
        <w:t xml:space="preserve">the absence of invasive neoplastic cells in the primary </w:t>
      </w:r>
      <w:proofErr w:type="spellStart"/>
      <w:r>
        <w:rPr>
          <w:lang w:val="en-US"/>
        </w:rPr>
        <w:t>tumour</w:t>
      </w:r>
      <w:proofErr w:type="spellEnd"/>
      <w:r>
        <w:rPr>
          <w:lang w:val="en-US"/>
        </w:rPr>
        <w:t xml:space="preserve"> in the breast after surgery.</w:t>
      </w:r>
    </w:p>
    <w:p w:rsidR="00901E80" w:rsidRDefault="00901E80" w:rsidP="00850C2B">
      <w:r w:rsidRPr="00457B2E">
        <w:rPr>
          <w:rStyle w:val="Heading6Char"/>
          <w:rFonts w:eastAsia="Cambria"/>
        </w:rPr>
        <w:t>Secondary</w:t>
      </w:r>
      <w:r>
        <w:t xml:space="preserve"> efficacy outcomes were:</w:t>
      </w:r>
    </w:p>
    <w:p w:rsidR="00901E80" w:rsidRDefault="00901E80" w:rsidP="00850C2B">
      <w:pPr>
        <w:pStyle w:val="ListBullet"/>
      </w:pPr>
      <w:r>
        <w:t>Total pathological complete response (</w:t>
      </w:r>
      <w:proofErr w:type="spellStart"/>
      <w:r>
        <w:t>tpCR</w:t>
      </w:r>
      <w:proofErr w:type="spellEnd"/>
      <w:r>
        <w:t xml:space="preserve">), defined as the absence of invasive neoplastic cells in the primary tumour remnants </w:t>
      </w:r>
      <w:r>
        <w:rPr>
          <w:i/>
        </w:rPr>
        <w:t>and</w:t>
      </w:r>
      <w:r w:rsidR="005E127D">
        <w:t xml:space="preserve"> in the axillary lymph nodes</w:t>
      </w:r>
    </w:p>
    <w:p w:rsidR="00901E80" w:rsidRDefault="00901E80" w:rsidP="00850C2B">
      <w:pPr>
        <w:pStyle w:val="ListBullet"/>
      </w:pPr>
      <w:r>
        <w:lastRenderedPageBreak/>
        <w:t xml:space="preserve">Overall response rate (ORR), defined as the proportion of subjects who achieved a best </w:t>
      </w:r>
      <w:r>
        <w:rPr>
          <w:i/>
        </w:rPr>
        <w:t>clinical</w:t>
      </w:r>
      <w:r>
        <w:t xml:space="preserve"> response of complete response (CR) or partial response (PR) according to modified Response Evaluation Criteria in Solid Tumours (RECIST Version 1.0 </w:t>
      </w:r>
      <w:r>
        <w:rPr>
          <w:vertAlign w:val="superscript"/>
        </w:rPr>
        <w:t>[7]</w:t>
      </w:r>
      <w:r>
        <w:t>) criteria (see</w:t>
      </w:r>
      <w:r w:rsidR="00457B2E">
        <w:t xml:space="preserve"> Table 4</w:t>
      </w:r>
      <w:r w:rsidR="005E127D">
        <w:t>)</w:t>
      </w:r>
    </w:p>
    <w:p w:rsidR="00901E80" w:rsidRDefault="00901E80" w:rsidP="00850C2B">
      <w:pPr>
        <w:pStyle w:val="ListBullet"/>
      </w:pPr>
      <w:r>
        <w:t xml:space="preserve">Time to response (TTR) defined as the time from the first study drug administration to the date of first CR or PR, which was the date the </w:t>
      </w:r>
      <w:proofErr w:type="gramStart"/>
      <w:r>
        <w:t>response</w:t>
      </w:r>
      <w:proofErr w:type="gramEnd"/>
      <w:r>
        <w:t xml:space="preserve"> was first documented by objective evidence. Only responders (CR or PR) we</w:t>
      </w:r>
      <w:r w:rsidR="005E127D">
        <w:t>re considered for this endpoint</w:t>
      </w:r>
    </w:p>
    <w:p w:rsidR="00901E80" w:rsidRDefault="00901E80" w:rsidP="00850C2B">
      <w:pPr>
        <w:pStyle w:val="ListBullet"/>
      </w:pPr>
      <w:r>
        <w:t>Event-free survival (EFS), defined as the time from the date of randomization to the date where an event occurred. An event was defined as disease recurrence or progression (local, regional, distant or contra-lat</w:t>
      </w:r>
      <w:r w:rsidR="005E127D">
        <w:t>eral) or death due to any cause</w:t>
      </w:r>
    </w:p>
    <w:p w:rsidR="00901E80" w:rsidRDefault="00901E80" w:rsidP="00850C2B">
      <w:pPr>
        <w:pStyle w:val="ListBullet"/>
      </w:pPr>
      <w:r>
        <w:t>Overall survival (OS), defined as the time from the date of randomization to the date of death, regardless of the cause of death.</w:t>
      </w:r>
    </w:p>
    <w:p w:rsidR="00457B2E" w:rsidRPr="00457B2E" w:rsidRDefault="00457B2E" w:rsidP="004C5DE2">
      <w:pPr>
        <w:pStyle w:val="Tabletitle"/>
      </w:pPr>
      <w:bookmarkStart w:id="106" w:name="_Ref260488772"/>
      <w:bookmarkStart w:id="107" w:name="_Toc272679749"/>
      <w:r>
        <w:t>Table 4:</w:t>
      </w:r>
      <w:bookmarkEnd w:id="106"/>
      <w:r>
        <w:t xml:space="preserve"> Study BO22227 - Response criteria</w:t>
      </w:r>
      <w:bookmarkEnd w:id="107"/>
      <w:r>
        <w:rPr>
          <w:noProof/>
          <w:lang w:eastAsia="en-AU"/>
        </w:rPr>
        <w:drawing>
          <wp:inline distT="0" distB="0" distL="0" distR="0" wp14:anchorId="794C72B8" wp14:editId="04D9F542">
            <wp:extent cx="4038600" cy="5657270"/>
            <wp:effectExtent l="0" t="0" r="0" b="0"/>
            <wp:docPr id="8" name="Picture 8" descr="Table 4: Study BO22227 - Respons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08"/>
                    <a:stretch/>
                  </pic:blipFill>
                  <pic:spPr bwMode="auto">
                    <a:xfrm>
                      <a:off x="0" y="0"/>
                      <a:ext cx="4042630" cy="5662915"/>
                    </a:xfrm>
                    <a:prstGeom prst="rect">
                      <a:avLst/>
                    </a:prstGeom>
                    <a:ln>
                      <a:noFill/>
                    </a:ln>
                    <a:extLst>
                      <a:ext uri="{53640926-AAD7-44D8-BBD7-CCE9431645EC}">
                        <a14:shadowObscured xmlns:a14="http://schemas.microsoft.com/office/drawing/2010/main"/>
                      </a:ext>
                    </a:extLst>
                  </pic:spPr>
                </pic:pic>
              </a:graphicData>
            </a:graphic>
          </wp:inline>
        </w:drawing>
      </w:r>
    </w:p>
    <w:p w:rsidR="00901E80" w:rsidRDefault="00901E80" w:rsidP="00850C2B">
      <w:r>
        <w:t xml:space="preserve">Clinical assessment of the tumour and lymph nodes (using </w:t>
      </w:r>
      <w:proofErr w:type="spellStart"/>
      <w:r>
        <w:t>calipers</w:t>
      </w:r>
      <w:proofErr w:type="spellEnd"/>
      <w:r>
        <w:t xml:space="preserve"> and ultrasound)</w:t>
      </w:r>
      <w:r w:rsidR="004C5DE2">
        <w:t xml:space="preserve"> was conducted at baseline, at C</w:t>
      </w:r>
      <w:r>
        <w:t>ycles 3, 5 and 7 and at surgery. Pathological assessment of the tumour and lymph nodes was conducted after surgery.</w:t>
      </w:r>
    </w:p>
    <w:p w:rsidR="00901E80" w:rsidRDefault="00901E80" w:rsidP="001C3DEE">
      <w:pPr>
        <w:pStyle w:val="Heading5"/>
      </w:pPr>
      <w:bookmarkStart w:id="108" w:name="_Toc272679655"/>
      <w:r>
        <w:lastRenderedPageBreak/>
        <w:t>Randomisation and blinding methods</w:t>
      </w:r>
      <w:bookmarkEnd w:id="108"/>
    </w:p>
    <w:p w:rsidR="00901E80" w:rsidRDefault="00901E80" w:rsidP="00850C2B">
      <w:r>
        <w:t xml:space="preserve">A centralised randomisation centre randomised patients (1:1) via an interactive voice response system. Randomisation was stratified by breast cancer type (inflammatory </w:t>
      </w:r>
      <w:r w:rsidR="001D7770">
        <w:t>versus</w:t>
      </w:r>
      <w:r>
        <w:t xml:space="preserve"> locally advanced </w:t>
      </w:r>
      <w:r w:rsidR="001D7770">
        <w:t>versus</w:t>
      </w:r>
      <w:r>
        <w:t xml:space="preserve"> operable) and oestrogen receptor status (positive </w:t>
      </w:r>
      <w:r w:rsidR="001D7770">
        <w:t>versus</w:t>
      </w:r>
      <w:r>
        <w:t xml:space="preserve"> negative </w:t>
      </w:r>
      <w:r w:rsidR="001D7770">
        <w:t>versus</w:t>
      </w:r>
      <w:r>
        <w:t xml:space="preserve"> unknown). There was no blinding to treatment allocation.</w:t>
      </w:r>
    </w:p>
    <w:p w:rsidR="00901E80" w:rsidRDefault="00A07DC1" w:rsidP="00F57A62">
      <w:pPr>
        <w:pStyle w:val="Comment"/>
      </w:pPr>
      <w:r w:rsidRPr="00A07DC1">
        <w:rPr>
          <w:b/>
        </w:rPr>
        <w:t>Comment:</w:t>
      </w:r>
      <w:r>
        <w:t xml:space="preserve"> </w:t>
      </w:r>
      <w:r w:rsidR="00901E80">
        <w:t xml:space="preserve">It appears that the pathologist undertaking the assessment of </w:t>
      </w:r>
      <w:proofErr w:type="spellStart"/>
      <w:r w:rsidR="00901E80">
        <w:t>pCR</w:t>
      </w:r>
      <w:proofErr w:type="spellEnd"/>
      <w:r w:rsidR="00901E80">
        <w:t xml:space="preserve"> was not blinded to study treatment. Blinded assessment would have been preferable. According to the study protocol, </w:t>
      </w:r>
      <w:proofErr w:type="spellStart"/>
      <w:r w:rsidR="00901E80">
        <w:t>pCR</w:t>
      </w:r>
      <w:proofErr w:type="spellEnd"/>
      <w:r w:rsidR="00901E80">
        <w:t xml:space="preserve"> was to be assessed by the local pathologist following surgery and would not be independently reviewed. However, the published version of the study states that: </w:t>
      </w:r>
      <w:r w:rsidR="00041C9E">
        <w:t>‘</w:t>
      </w:r>
      <w:r w:rsidR="00901E80">
        <w:t>Review of pathological tumour assessment results was done by a masked medical reviewer</w:t>
      </w:r>
      <w:r w:rsidR="00041C9E">
        <w:t>’</w:t>
      </w:r>
      <w:r w:rsidR="00901E80">
        <w:t>. The sponsor should be asked to clarify this issue.</w:t>
      </w:r>
    </w:p>
    <w:p w:rsidR="00901E80" w:rsidRDefault="00901E80" w:rsidP="001C3DEE">
      <w:pPr>
        <w:pStyle w:val="Heading5"/>
      </w:pPr>
      <w:bookmarkStart w:id="109" w:name="_Toc272679656"/>
      <w:r>
        <w:t>Analysis populations</w:t>
      </w:r>
      <w:bookmarkEnd w:id="109"/>
    </w:p>
    <w:p w:rsidR="00901E80" w:rsidRDefault="00901E80" w:rsidP="00850C2B">
      <w:r>
        <w:t xml:space="preserve">The </w:t>
      </w:r>
      <w:r w:rsidRPr="004C5DE2">
        <w:rPr>
          <w:rStyle w:val="Heading6Char"/>
          <w:rFonts w:eastAsia="Cambria"/>
        </w:rPr>
        <w:t>intent-to-treat (ITT) population</w:t>
      </w:r>
      <w:r>
        <w:t xml:space="preserve"> included all patients who had at least one efficacy assessment after first study drug administration.</w:t>
      </w:r>
    </w:p>
    <w:p w:rsidR="00901E80" w:rsidRDefault="00901E80" w:rsidP="00850C2B">
      <w:r>
        <w:t xml:space="preserve">The </w:t>
      </w:r>
      <w:r w:rsidRPr="004C5DE2">
        <w:rPr>
          <w:rStyle w:val="Heading6Char"/>
          <w:rFonts w:eastAsia="Cambria"/>
        </w:rPr>
        <w:t>efficacy per-protocol (EPP) population</w:t>
      </w:r>
      <w:r>
        <w:t xml:space="preserve"> was a subset of the ITT population. It excluded subjects with</w:t>
      </w:r>
      <w:r w:rsidR="005E127D">
        <w:t xml:space="preserve"> the following characteristics:</w:t>
      </w:r>
    </w:p>
    <w:p w:rsidR="00901E80" w:rsidRDefault="00901E80" w:rsidP="00850C2B">
      <w:pPr>
        <w:pStyle w:val="ListBullet"/>
      </w:pPr>
      <w:r>
        <w:t xml:space="preserve">Less than 8 cycles of </w:t>
      </w:r>
      <w:proofErr w:type="spellStart"/>
      <w:r>
        <w:t>tra</w:t>
      </w:r>
      <w:r w:rsidR="005E127D">
        <w:t>stuzumab</w:t>
      </w:r>
      <w:proofErr w:type="spellEnd"/>
      <w:r w:rsidR="005E127D">
        <w:t>/chemotherapy treatment</w:t>
      </w:r>
    </w:p>
    <w:p w:rsidR="00901E80" w:rsidRDefault="00901E80" w:rsidP="00850C2B">
      <w:pPr>
        <w:pStyle w:val="ListBullet"/>
      </w:pPr>
      <w:r>
        <w:t>Pa</w:t>
      </w:r>
      <w:r w:rsidR="005E127D">
        <w:t>tient not treated as randomized</w:t>
      </w:r>
    </w:p>
    <w:p w:rsidR="00901E80" w:rsidRDefault="00901E80" w:rsidP="00850C2B">
      <w:pPr>
        <w:pStyle w:val="ListBullet"/>
      </w:pPr>
      <w:r>
        <w:t>Pre-treatment surgical procedure other than biopsy i</w:t>
      </w:r>
      <w:r w:rsidR="005E127D">
        <w:t>mpacting on primary lesion size</w:t>
      </w:r>
    </w:p>
    <w:p w:rsidR="00901E80" w:rsidRDefault="005E127D" w:rsidP="00850C2B">
      <w:pPr>
        <w:pStyle w:val="ListBullet"/>
      </w:pPr>
      <w:r>
        <w:t>Pre-surgery radiotherapy</w:t>
      </w:r>
    </w:p>
    <w:p w:rsidR="00901E80" w:rsidRDefault="005E127D" w:rsidP="00850C2B">
      <w:pPr>
        <w:pStyle w:val="ListBullet"/>
      </w:pPr>
      <w:r>
        <w:t>Pre-surgery hormonal therapy</w:t>
      </w:r>
    </w:p>
    <w:p w:rsidR="00901E80" w:rsidRDefault="00901E80" w:rsidP="00850C2B">
      <w:pPr>
        <w:pStyle w:val="ListBullet"/>
      </w:pPr>
      <w:r>
        <w:t xml:space="preserve">No surgery after </w:t>
      </w:r>
      <w:proofErr w:type="spellStart"/>
      <w:r>
        <w:t>n</w:t>
      </w:r>
      <w:r w:rsidR="005E127D">
        <w:t>eoadjuvant</w:t>
      </w:r>
      <w:proofErr w:type="spellEnd"/>
      <w:r w:rsidR="005E127D">
        <w:t xml:space="preserve"> treatment completion</w:t>
      </w:r>
    </w:p>
    <w:p w:rsidR="00901E80" w:rsidRDefault="00901E80" w:rsidP="00850C2B">
      <w:pPr>
        <w:pStyle w:val="ListBullet"/>
      </w:pPr>
      <w:r>
        <w:t xml:space="preserve">More than 4 cycles of either </w:t>
      </w:r>
      <w:proofErr w:type="spellStart"/>
      <w:r>
        <w:t>docetax</w:t>
      </w:r>
      <w:r w:rsidR="005E127D">
        <w:t>el</w:t>
      </w:r>
      <w:proofErr w:type="spellEnd"/>
      <w:r w:rsidR="005E127D">
        <w:t xml:space="preserve"> or FEC chemotherapy received</w:t>
      </w:r>
    </w:p>
    <w:p w:rsidR="00901E80" w:rsidRDefault="00901E80" w:rsidP="00850C2B">
      <w:pPr>
        <w:pStyle w:val="ListBullet"/>
      </w:pPr>
      <w:r>
        <w:t>Bi</w:t>
      </w:r>
      <w:r w:rsidR="005E127D">
        <w:t>lateral breast cancer</w:t>
      </w:r>
    </w:p>
    <w:p w:rsidR="00901E80" w:rsidRDefault="00901E80" w:rsidP="00850C2B">
      <w:pPr>
        <w:pStyle w:val="ListBullet"/>
      </w:pPr>
      <w:r>
        <w:t xml:space="preserve">Four cycles of </w:t>
      </w:r>
      <w:proofErr w:type="spellStart"/>
      <w:r>
        <w:t>docetaxel</w:t>
      </w:r>
      <w:proofErr w:type="spellEnd"/>
      <w:r>
        <w:t xml:space="preserve"> or </w:t>
      </w:r>
      <w:proofErr w:type="spellStart"/>
      <w:r>
        <w:t>epirubicin</w:t>
      </w:r>
      <w:proofErr w:type="spellEnd"/>
      <w:r>
        <w:t xml:space="preserve"> treatment completed but intensi</w:t>
      </w:r>
      <w:r w:rsidR="005E127D">
        <w:t>ty deviation &gt; 20% from planned</w:t>
      </w:r>
    </w:p>
    <w:p w:rsidR="00901E80" w:rsidRDefault="00901E80" w:rsidP="00850C2B">
      <w:pPr>
        <w:pStyle w:val="ListBullet"/>
      </w:pPr>
      <w:r>
        <w:t>Major violation of inclusion/exclusion criteria.</w:t>
      </w:r>
    </w:p>
    <w:p w:rsidR="00901E80" w:rsidRDefault="00901E80" w:rsidP="00850C2B">
      <w:r>
        <w:t>The EPP was the main analysis set for the analysis of the p</w:t>
      </w:r>
      <w:r w:rsidR="005E127D">
        <w:t xml:space="preserve">rimary efficacy outcome of </w:t>
      </w:r>
      <w:proofErr w:type="spellStart"/>
      <w:r w:rsidR="005E127D">
        <w:t>pCR</w:t>
      </w:r>
      <w:proofErr w:type="spellEnd"/>
      <w:r w:rsidR="005E127D">
        <w:t>.</w:t>
      </w:r>
    </w:p>
    <w:p w:rsidR="00901E80" w:rsidRDefault="00901E80" w:rsidP="00850C2B">
      <w:r>
        <w:t xml:space="preserve">The </w:t>
      </w:r>
      <w:r w:rsidRPr="004C5DE2">
        <w:rPr>
          <w:rStyle w:val="Heading6Char"/>
          <w:rFonts w:eastAsia="Cambria"/>
        </w:rPr>
        <w:t>safety analysis population (SP)</w:t>
      </w:r>
      <w:r>
        <w:t xml:space="preserve"> included all patients who received at least one dose of study medication (chemotherapy or </w:t>
      </w:r>
      <w:proofErr w:type="spellStart"/>
      <w:r>
        <w:t>trastuzumab</w:t>
      </w:r>
      <w:proofErr w:type="spellEnd"/>
      <w:r>
        <w:t>).</w:t>
      </w:r>
    </w:p>
    <w:p w:rsidR="00901E80" w:rsidRDefault="00901E80" w:rsidP="001C3DEE">
      <w:pPr>
        <w:pStyle w:val="Heading5"/>
      </w:pPr>
      <w:bookmarkStart w:id="110" w:name="_Toc272679657"/>
      <w:r>
        <w:t>Sample size</w:t>
      </w:r>
      <w:bookmarkEnd w:id="110"/>
    </w:p>
    <w:p w:rsidR="00901E80" w:rsidRDefault="00901E80" w:rsidP="00850C2B">
      <w:r>
        <w:t xml:space="preserve">The trial was designed as a non-inferiority study. Based on previous studies in the </w:t>
      </w:r>
      <w:proofErr w:type="spellStart"/>
      <w:r>
        <w:t>neoadjuvant</w:t>
      </w:r>
      <w:proofErr w:type="spellEnd"/>
      <w:r>
        <w:t xml:space="preserve"> setting, it was assumed that </w:t>
      </w:r>
      <w:proofErr w:type="spellStart"/>
      <w:r>
        <w:t>pCR</w:t>
      </w:r>
      <w:proofErr w:type="spellEnd"/>
      <w:r>
        <w:t xml:space="preserve"> rates of at least 40% would be achieved in both arms. Using a one-sided 97.5% confidence limit for the difference in response rates between arms, and a non-inferiority margin of 12.5%, it was estimated that 552 patients would be necessary to conclude non-inferiority with a power of 80%. The estimation included an anticipated 10% dropout rate.</w:t>
      </w:r>
    </w:p>
    <w:p w:rsidR="00901E80" w:rsidRDefault="00901E80" w:rsidP="001C3DEE">
      <w:pPr>
        <w:pStyle w:val="Heading5"/>
      </w:pPr>
      <w:bookmarkStart w:id="111" w:name="_Toc272679658"/>
      <w:r>
        <w:t>Statistical methods</w:t>
      </w:r>
      <w:bookmarkEnd w:id="111"/>
    </w:p>
    <w:p w:rsidR="00901E80" w:rsidRDefault="00901E80" w:rsidP="00850C2B">
      <w:pPr>
        <w:rPr>
          <w:lang w:val="en-US"/>
        </w:rPr>
      </w:pPr>
      <w:r>
        <w:t xml:space="preserve">The null hypothesis was that the </w:t>
      </w:r>
      <w:proofErr w:type="spellStart"/>
      <w:r>
        <w:t>pCR</w:t>
      </w:r>
      <w:proofErr w:type="spellEnd"/>
      <w:r>
        <w:t xml:space="preserve"> rate with SC administration would be lower than that achieved with IV administration. This would be rejected if the lower limit of the one-sided 97.5% confidence interval for the difference in </w:t>
      </w:r>
      <w:proofErr w:type="spellStart"/>
      <w:r>
        <w:t>pCR</w:t>
      </w:r>
      <w:proofErr w:type="spellEnd"/>
      <w:r>
        <w:t xml:space="preserve"> rate (SC rate minus IV rate) </w:t>
      </w:r>
      <w:r>
        <w:rPr>
          <w:lang w:val="en-US"/>
        </w:rPr>
        <w:t xml:space="preserve">computed using the continuity correction of Hauck and Anderson, </w:t>
      </w:r>
      <w:r>
        <w:t xml:space="preserve">was above -12.5% (absolute percentage points). </w:t>
      </w:r>
      <w:proofErr w:type="spellStart"/>
      <w:proofErr w:type="gramStart"/>
      <w:r>
        <w:rPr>
          <w:lang w:val="en-US"/>
        </w:rPr>
        <w:t>pCR</w:t>
      </w:r>
      <w:proofErr w:type="spellEnd"/>
      <w:proofErr w:type="gramEnd"/>
      <w:r>
        <w:rPr>
          <w:lang w:val="en-US"/>
        </w:rPr>
        <w:t xml:space="preserve"> rates and 95% confidence limits were also calculated according to Pearson-</w:t>
      </w:r>
      <w:proofErr w:type="spellStart"/>
      <w:r>
        <w:rPr>
          <w:lang w:val="en-US"/>
        </w:rPr>
        <w:t>Clopper</w:t>
      </w:r>
      <w:proofErr w:type="spellEnd"/>
      <w:r>
        <w:rPr>
          <w:lang w:val="en-US"/>
        </w:rPr>
        <w:t xml:space="preserve"> f</w:t>
      </w:r>
      <w:r w:rsidR="0028372E">
        <w:rPr>
          <w:lang w:val="en-US"/>
        </w:rPr>
        <w:t>or individual treatment groups.</w:t>
      </w:r>
    </w:p>
    <w:p w:rsidR="00901E80" w:rsidRDefault="00901E80" w:rsidP="00850C2B">
      <w:r>
        <w:rPr>
          <w:lang w:val="en-US"/>
        </w:rPr>
        <w:lastRenderedPageBreak/>
        <w:t xml:space="preserve">Similar methods were used for the analysis of the secondary endpoints of </w:t>
      </w:r>
      <w:proofErr w:type="spellStart"/>
      <w:r>
        <w:rPr>
          <w:lang w:val="en-US"/>
        </w:rPr>
        <w:t>tpCR</w:t>
      </w:r>
      <w:proofErr w:type="spellEnd"/>
      <w:r>
        <w:rPr>
          <w:lang w:val="en-US"/>
        </w:rPr>
        <w:t xml:space="preserve"> and ORR. Descriptive statistics were used for TTR. For EFS and OS</w:t>
      </w:r>
      <w:r>
        <w:t xml:space="preserve"> event rates from randomization were to be displayed using estimates from Kaplan-Meier survival curves. The two treatment arms were to be compared with an un</w:t>
      </w:r>
      <w:r w:rsidR="004C5DE2">
        <w:t>-</w:t>
      </w:r>
      <w:r>
        <w:t>stratified two-sided log-rank test.</w:t>
      </w:r>
    </w:p>
    <w:p w:rsidR="00901E80" w:rsidRDefault="00901E80" w:rsidP="00850C2B">
      <w:r>
        <w:t xml:space="preserve">The primary analysis took place after all randomized patients in the study had undergone surgery </w:t>
      </w:r>
      <w:r>
        <w:rPr>
          <w:i/>
        </w:rPr>
        <w:t>and</w:t>
      </w:r>
      <w:r>
        <w:t xml:space="preserve"> 116 patients in each study arm had completed treatment with </w:t>
      </w:r>
      <w:proofErr w:type="spellStart"/>
      <w:r>
        <w:t>trastuzumab</w:t>
      </w:r>
      <w:proofErr w:type="spellEnd"/>
      <w:r>
        <w:t xml:space="preserve">. The study report included in this submission was based on a later analysis, in which </w:t>
      </w:r>
      <w:r>
        <w:rPr>
          <w:i/>
        </w:rPr>
        <w:t>all</w:t>
      </w:r>
      <w:r>
        <w:t xml:space="preserve"> subjects had completed treatment with </w:t>
      </w:r>
      <w:proofErr w:type="spellStart"/>
      <w:r>
        <w:t>trastuzumab</w:t>
      </w:r>
      <w:proofErr w:type="spellEnd"/>
      <w:r>
        <w:t>, or had withdrawn earlier.</w:t>
      </w:r>
    </w:p>
    <w:p w:rsidR="00901E80" w:rsidRDefault="00901E80" w:rsidP="001C3DEE">
      <w:pPr>
        <w:pStyle w:val="Heading5"/>
      </w:pPr>
      <w:bookmarkStart w:id="112" w:name="_Toc272679659"/>
      <w:bookmarkStart w:id="113" w:name="_Ref260930257"/>
      <w:bookmarkStart w:id="114" w:name="_Ref260930224"/>
      <w:r>
        <w:t>Participant flow</w:t>
      </w:r>
      <w:bookmarkEnd w:id="112"/>
      <w:bookmarkEnd w:id="113"/>
      <w:bookmarkEnd w:id="114"/>
    </w:p>
    <w:p w:rsidR="00901E80" w:rsidRDefault="00901E80" w:rsidP="00850C2B">
      <w:r>
        <w:t xml:space="preserve">A total of 833 patients were screened and 596 patients were randomised, 299 to the IV arm and 297 to the SC arm. The disposition of randomised subjects is summarised in </w:t>
      </w:r>
      <w:r w:rsidR="004C5DE2">
        <w:t>Figure 4</w:t>
      </w:r>
      <w:r>
        <w:t xml:space="preserve">. Reasons for withdrawal from the study are shown in </w:t>
      </w:r>
      <w:r w:rsidR="004C5DE2">
        <w:t>Table 5</w:t>
      </w:r>
      <w:r>
        <w:t xml:space="preserve"> and the analysis populations in </w:t>
      </w:r>
      <w:r w:rsidR="004C5DE2">
        <w:t>Table 6.</w:t>
      </w:r>
    </w:p>
    <w:p w:rsidR="004C5DE2" w:rsidRDefault="004C5DE2" w:rsidP="00CF200D">
      <w:pPr>
        <w:pStyle w:val="FigureTitle"/>
        <w:keepNext/>
      </w:pPr>
      <w:bookmarkStart w:id="115" w:name="_Ref290225061"/>
      <w:bookmarkStart w:id="116" w:name="_Ref290225089"/>
      <w:bookmarkStart w:id="117" w:name="_Toc272679799"/>
      <w:r>
        <w:t>Figure 4:</w:t>
      </w:r>
      <w:bookmarkEnd w:id="115"/>
      <w:r>
        <w:t xml:space="preserve"> Study </w:t>
      </w:r>
      <w:r w:rsidRPr="00CF200D">
        <w:t>BO22227</w:t>
      </w:r>
      <w:r>
        <w:t xml:space="preserve"> -</w:t>
      </w:r>
      <w:r w:rsidRPr="001131CF">
        <w:t xml:space="preserve"> </w:t>
      </w:r>
      <w:bookmarkEnd w:id="116"/>
      <w:r>
        <w:t>Patient disposition</w:t>
      </w:r>
      <w:bookmarkEnd w:id="117"/>
    </w:p>
    <w:p w:rsidR="00206F01" w:rsidRDefault="004C5DE2" w:rsidP="004C5DE2">
      <w:pPr>
        <w:rPr>
          <w:noProof/>
          <w:lang w:eastAsia="en-AU"/>
        </w:rPr>
      </w:pPr>
      <w:r>
        <w:rPr>
          <w:noProof/>
          <w:lang w:eastAsia="en-AU"/>
        </w:rPr>
        <w:drawing>
          <wp:inline distT="0" distB="0" distL="0" distR="0" wp14:anchorId="38A2948F" wp14:editId="5029F289">
            <wp:extent cx="4480328" cy="6035040"/>
            <wp:effectExtent l="0" t="0" r="0" b="0"/>
            <wp:docPr id="10" name="Picture 10" descr="Figure 4: Study BO22227 -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80328" cy="6035040"/>
                    </a:xfrm>
                    <a:prstGeom prst="rect">
                      <a:avLst/>
                    </a:prstGeom>
                  </pic:spPr>
                </pic:pic>
              </a:graphicData>
            </a:graphic>
          </wp:inline>
        </w:drawing>
      </w:r>
      <w:r>
        <w:rPr>
          <w:noProof/>
          <w:lang w:eastAsia="en-AU"/>
        </w:rPr>
        <w:t xml:space="preserve"> </w:t>
      </w:r>
    </w:p>
    <w:p w:rsidR="004C5DE2" w:rsidRDefault="00B30102" w:rsidP="00850C2B">
      <w:pPr>
        <w:pStyle w:val="FigureDescription"/>
        <w:rPr>
          <w:sz w:val="20"/>
          <w:szCs w:val="20"/>
        </w:rPr>
      </w:pPr>
      <w:r>
        <w:rPr>
          <w:noProof/>
          <w:lang w:eastAsia="en-AU"/>
        </w:rPr>
        <w:pict>
          <v:shapetype id="_x0000_t202" coordsize="21600,21600" o:spt="202" path="m,l,21600r21600,l21600,xe">
            <v:stroke joinstyle="miter"/>
            <v:path gradientshapeok="t" o:connecttype="rect"/>
          </v:shapetype>
          <v:shape id="_x0000_s1031" type="#_x0000_t202" style="position:absolute;margin-left:330pt;margin-top:417.9pt;width:39.6pt;height:10.5pt;z-index:251664384;visibility:visible;mso-wrap-distance-left:9pt;mso-wrap-distance-top:0;mso-wrap-distance-right:9pt;mso-wrap-distance-bottom:0;mso-position-horizontal-relative:text;mso-position-vertical-relative:text;mso-width-relative:margin;mso-height-relative:margin;v-text-anchor:top" fillcolor="black [3200]" strokecolor="#f2f2f2 [3041]" strokeweight="3pt">
            <v:shadow on="t" type="perspective" color="#7f7f7f [1601]" opacity=".5" offset="1pt" offset2="-1pt"/>
            <v:textbox style="mso-next-textbox:#_x0000_s1031">
              <w:txbxContent>
                <w:sdt>
                  <w:sdtPr>
                    <w:id w:val="-1699691159"/>
                    <w:temporary/>
                    <w:showingPlcHdr/>
                  </w:sdtPr>
                  <w:sdtEndPr/>
                  <w:sdtContent>
                    <w:p w:rsidR="005E127D" w:rsidRDefault="005E127D" w:rsidP="004C5DE2">
                      <w:r>
                        <w:t>[Type a quote from the document or the summary of an interesting point. You can position the text box anywhere in the document. Use the Drawing Tools tab to change the formatting of the pull quote text box.]</w:t>
                      </w:r>
                    </w:p>
                  </w:sdtContent>
                </w:sdt>
              </w:txbxContent>
            </v:textbox>
          </v:shape>
        </w:pict>
      </w:r>
      <w:r>
        <w:rPr>
          <w:noProof/>
          <w:lang w:eastAsia="en-AU"/>
        </w:rPr>
        <w:pict>
          <v:shape id="_x0000_s1030" type="#_x0000_t202" style="position:absolute;margin-left:118.2pt;margin-top:448.2pt;width:39.6pt;height:10.5pt;z-index:251663360;visibility:visible;mso-wrap-distance-left:9pt;mso-wrap-distance-top:0;mso-wrap-distance-right:9pt;mso-wrap-distance-bottom:0;mso-position-horizontal-relative:text;mso-position-vertical-relative:text;mso-width-relative:margin;mso-height-relative:margin;v-text-anchor:top" fillcolor="black [3200]" strokecolor="#f2f2f2 [3041]" strokeweight="3pt">
            <v:shadow on="t" type="perspective" color="#7f7f7f [1601]" opacity=".5" offset="1pt" offset2="-1pt"/>
            <v:textbox style="mso-next-textbox:#_x0000_s1030">
              <w:txbxContent>
                <w:sdt>
                  <w:sdtPr>
                    <w:id w:val="-1074431099"/>
                    <w:temporary/>
                    <w:showingPlcHdr/>
                  </w:sdtPr>
                  <w:sdtEndPr/>
                  <w:sdtContent>
                    <w:p w:rsidR="005E127D" w:rsidRDefault="005E127D" w:rsidP="004C5DE2">
                      <w:r>
                        <w:t>[Type a quote from the document or the summary of an interesting point. You can position the text box anywhere in the document. Use the Drawing Tools tab to change the formatting of the pull quote text box.]</w:t>
                      </w:r>
                    </w:p>
                  </w:sdtContent>
                </w:sdt>
              </w:txbxContent>
            </v:textbox>
          </v:shape>
        </w:pict>
      </w:r>
      <w:r>
        <w:rPr>
          <w:noProof/>
          <w:lang w:eastAsia="en-AU"/>
        </w:rPr>
        <w:pict>
          <v:shape id="_x0000_s1028" type="#_x0000_t202" style="position:absolute;margin-left:103.2pt;margin-top:399.9pt;width:84.6pt;height:7.5pt;z-index:251661312;visibility:visible;mso-wrap-distance-left:9pt;mso-wrap-distance-top:0;mso-wrap-distance-right:9pt;mso-wrap-distance-bottom:0;mso-position-horizontal-relative:text;mso-position-vertical-relative:text;mso-width-relative:margin;mso-height-relative:margin;v-text-anchor:top" fillcolor="black [3200]" strokecolor="#f2f2f2 [3041]" strokeweight="3pt">
            <v:shadow on="t" type="perspective" color="#7f7f7f [1601]" opacity=".5" offset="1pt" offset2="-1pt"/>
            <v:textbox style="mso-next-textbox:#_x0000_s1028">
              <w:txbxContent>
                <w:sdt>
                  <w:sdtPr>
                    <w:id w:val="-198863085"/>
                    <w:temporary/>
                    <w:showingPlcHdr/>
                  </w:sdtPr>
                  <w:sdtEndPr/>
                  <w:sdtContent>
                    <w:p w:rsidR="005E127D" w:rsidRDefault="005E127D" w:rsidP="004C5DE2">
                      <w:r>
                        <w:t>[Type a quote from the document or the summary of an interesting point. You can position the text box anywhere in the document. Use the Drawing Tools tab to change the formatting of the pull quote text box.]</w:t>
                      </w:r>
                    </w:p>
                  </w:sdtContent>
                </w:sdt>
              </w:txbxContent>
            </v:textbox>
          </v:shape>
        </w:pict>
      </w:r>
      <w:r>
        <w:rPr>
          <w:noProof/>
          <w:lang w:eastAsia="en-AU"/>
        </w:rPr>
        <w:pict>
          <v:shape id="_x0000_s1029" type="#_x0000_t202" style="position:absolute;margin-left:139.8pt;margin-top:417.9pt;width:96pt;height:10.5pt;z-index:251662336;visibility:visible;mso-wrap-distance-left:9pt;mso-wrap-distance-top:0;mso-wrap-distance-right:9pt;mso-wrap-distance-bottom:0;mso-position-horizontal-relative:text;mso-position-vertical-relative:text;mso-width-relative:margin;mso-height-relative:margin;v-text-anchor:top" fillcolor="black [3200]" strokecolor="#f2f2f2 [3041]" strokeweight="3pt">
            <v:shadow on="t" type="perspective" color="#7f7f7f [1601]" opacity=".5" offset="1pt" offset2="-1pt"/>
            <v:textbox style="mso-next-textbox:#_x0000_s1029">
              <w:txbxContent>
                <w:sdt>
                  <w:sdtPr>
                    <w:id w:val="344367037"/>
                    <w:temporary/>
                    <w:showingPlcHdr/>
                  </w:sdtPr>
                  <w:sdtEndPr/>
                  <w:sdtContent>
                    <w:p w:rsidR="005E127D" w:rsidRDefault="005E127D" w:rsidP="004C5DE2">
                      <w:r>
                        <w:t>[Type a quote from the document or the summary of an interesting point. You can position the text box anywhere in the document. Use the Drawing Tools tab to change the formatting of the pull quote text box.]</w:t>
                      </w:r>
                    </w:p>
                  </w:sdtContent>
                </w:sdt>
              </w:txbxContent>
            </v:textbox>
          </v:shape>
        </w:pict>
      </w:r>
      <w:r>
        <w:rPr>
          <w:noProof/>
          <w:lang w:eastAsia="en-AU"/>
        </w:rPr>
        <w:pict>
          <v:shape id="_x0000_s1027" type="#_x0000_t202" style="position:absolute;margin-left:293.4pt;margin-top:428.4pt;width:40.2pt;height:10.5pt;z-index:251660288;visibility:visible;mso-wrap-distance-left:9pt;mso-wrap-distance-top:0;mso-wrap-distance-right:9pt;mso-wrap-distance-bottom:0;mso-position-horizontal-relative:text;mso-position-vertical-relative:text;mso-width-relative:margin;mso-height-relative:margin;v-text-anchor:top" fillcolor="black [3200]" strokecolor="#f2f2f2 [3041]" strokeweight="3pt">
            <v:shadow on="t" type="perspective" color="#7f7f7f [1601]" opacity=".5" offset="1pt" offset2="-1pt"/>
            <v:textbox style="mso-next-textbox:#_x0000_s1027">
              <w:txbxContent>
                <w:sdt>
                  <w:sdtPr>
                    <w:id w:val="1917048931"/>
                    <w:temporary/>
                    <w:showingPlcHdr/>
                  </w:sdtPr>
                  <w:sdtEndPr/>
                  <w:sdtContent>
                    <w:p w:rsidR="005E127D" w:rsidRDefault="005E127D" w:rsidP="004C5DE2">
                      <w:r>
                        <w:t>[Type a quote from the document or the summary of an interesting point. You can position the text box anywhere in the document. Use the Drawing Tools tab to change the formatting of the pull quote text box.]</w:t>
                      </w:r>
                    </w:p>
                  </w:sdtContent>
                </w:sdt>
              </w:txbxContent>
            </v:textbox>
          </v:shape>
        </w:pict>
      </w:r>
      <w:r>
        <w:rPr>
          <w:noProof/>
        </w:rPr>
        <w:pict>
          <v:shape id="Text Box 2" o:spid="_x0000_s1026" type="#_x0000_t202" style="position:absolute;margin-left:91.2pt;margin-top:387.9pt;width:39.6pt;height:10.5pt;z-index:251659264;visibility:visible;mso-wrap-distance-left:9pt;mso-wrap-distance-top:0;mso-wrap-distance-right:9pt;mso-wrap-distance-bottom:0;mso-position-horizontal-relative:text;mso-position-vertical-relative:text;mso-width-relative:margin;mso-height-relative:margin;v-text-anchor:top" fillcolor="black [3200]" strokecolor="#f2f2f2 [3041]" strokeweight="3pt">
            <v:shadow on="t" type="perspective" color="#7f7f7f [1601]" opacity=".5" offset="1pt" offset2="-1pt"/>
            <v:textbox style="mso-next-textbox:#Text Box 2">
              <w:txbxContent>
                <w:sdt>
                  <w:sdtPr>
                    <w:id w:val="-1275700661"/>
                    <w:temporary/>
                    <w:showingPlcHdr/>
                  </w:sdtPr>
                  <w:sdtEndPr/>
                  <w:sdtContent>
                    <w:p w:rsidR="005E127D" w:rsidRDefault="005E127D">
                      <w:r>
                        <w:t>[Type a quote from the document or the summary of an interesting point. You can position the text box anywhere in the document. Use the Drawing Tools tab to change the formatting of the pull quote text box.]</w:t>
                      </w:r>
                    </w:p>
                  </w:sdtContent>
                </w:sdt>
              </w:txbxContent>
            </v:textbox>
          </v:shape>
        </w:pict>
      </w:r>
      <w:r w:rsidR="00206F01">
        <w:t xml:space="preserve">NB: </w:t>
      </w:r>
      <w:r w:rsidR="004C5DE2">
        <w:t xml:space="preserve">Patient identification numbers have been </w:t>
      </w:r>
      <w:r w:rsidR="00807BB2">
        <w:t>blacked out</w:t>
      </w:r>
      <w:r w:rsidR="00206F01">
        <w:t xml:space="preserve"> </w:t>
      </w:r>
      <w:r w:rsidR="00807BB2">
        <w:t>in</w:t>
      </w:r>
      <w:r w:rsidR="004C5DE2">
        <w:t xml:space="preserve"> the figure legend</w:t>
      </w:r>
      <w:r w:rsidR="00807BB2">
        <w:t>.</w:t>
      </w:r>
    </w:p>
    <w:p w:rsidR="004C5DE2" w:rsidRPr="006C7A87" w:rsidRDefault="004C5DE2" w:rsidP="004C5DE2">
      <w:pPr>
        <w:pStyle w:val="Tabletitle"/>
      </w:pPr>
      <w:bookmarkStart w:id="118" w:name="_Ref260563419"/>
      <w:bookmarkStart w:id="119" w:name="_Toc272679750"/>
      <w:r>
        <w:lastRenderedPageBreak/>
        <w:t>Table 5:</w:t>
      </w:r>
      <w:bookmarkEnd w:id="118"/>
      <w:r>
        <w:t xml:space="preserve"> Study BO22227 - Reasons for study withdrawal</w:t>
      </w:r>
      <w:bookmarkEnd w:id="119"/>
    </w:p>
    <w:p w:rsidR="004C5DE2" w:rsidRDefault="004C5DE2" w:rsidP="00206F01">
      <w:pPr>
        <w:rPr>
          <w:sz w:val="20"/>
          <w:szCs w:val="20"/>
        </w:rPr>
      </w:pPr>
      <w:r>
        <w:rPr>
          <w:noProof/>
          <w:sz w:val="20"/>
          <w:szCs w:val="20"/>
          <w:lang w:eastAsia="en-AU"/>
        </w:rPr>
        <w:drawing>
          <wp:inline distT="0" distB="0" distL="0" distR="0" wp14:anchorId="744A61A2" wp14:editId="64908B52">
            <wp:extent cx="5164085" cy="2689860"/>
            <wp:effectExtent l="0" t="0" r="0" b="0"/>
            <wp:docPr id="57" name="Picture 2" descr="Table 5: Study BO22227 - Reasons for study withd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9809" cy="2692841"/>
                    </a:xfrm>
                    <a:prstGeom prst="rect">
                      <a:avLst/>
                    </a:prstGeom>
                    <a:noFill/>
                    <a:ln>
                      <a:noFill/>
                    </a:ln>
                  </pic:spPr>
                </pic:pic>
              </a:graphicData>
            </a:graphic>
          </wp:inline>
        </w:drawing>
      </w:r>
    </w:p>
    <w:p w:rsidR="004C5DE2" w:rsidRDefault="004C5DE2" w:rsidP="005E127D">
      <w:pPr>
        <w:pStyle w:val="Tabletitle"/>
      </w:pPr>
      <w:bookmarkStart w:id="120" w:name="_Ref260563464"/>
      <w:bookmarkStart w:id="121" w:name="_Toc272679751"/>
      <w:r>
        <w:t>Table 6:</w:t>
      </w:r>
      <w:bookmarkEnd w:id="120"/>
      <w:r>
        <w:t xml:space="preserve"> Study BO22227 - Analysis </w:t>
      </w:r>
      <w:r w:rsidRPr="005E127D">
        <w:t>populations</w:t>
      </w:r>
      <w:bookmarkEnd w:id="121"/>
    </w:p>
    <w:p w:rsidR="004C5DE2" w:rsidRDefault="004C5DE2" w:rsidP="004C5DE2">
      <w:r>
        <w:rPr>
          <w:noProof/>
          <w:lang w:eastAsia="en-AU"/>
        </w:rPr>
        <w:drawing>
          <wp:inline distT="0" distB="0" distL="0" distR="0" wp14:anchorId="183DB237" wp14:editId="11EAB143">
            <wp:extent cx="4482059" cy="4267200"/>
            <wp:effectExtent l="0" t="0" r="0" b="0"/>
            <wp:docPr id="58" name="Picture 3" descr="Table 6: Study BO22227 -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4055" cy="4269100"/>
                    </a:xfrm>
                    <a:prstGeom prst="rect">
                      <a:avLst/>
                    </a:prstGeom>
                    <a:noFill/>
                    <a:ln>
                      <a:noFill/>
                    </a:ln>
                  </pic:spPr>
                </pic:pic>
              </a:graphicData>
            </a:graphic>
          </wp:inline>
        </w:drawing>
      </w:r>
    </w:p>
    <w:p w:rsidR="00901E80" w:rsidRPr="005E127D" w:rsidRDefault="00901E80" w:rsidP="00F57A62">
      <w:pPr>
        <w:pStyle w:val="Comment"/>
      </w:pPr>
      <w:r w:rsidRPr="00A07DC1">
        <w:rPr>
          <w:b/>
        </w:rPr>
        <w:t>Comment:</w:t>
      </w:r>
      <w:r w:rsidRPr="005E127D">
        <w:t xml:space="preserve"> Withdrawals due to adverse events were more common in the SC arm (13 </w:t>
      </w:r>
      <w:r w:rsidR="001D7770" w:rsidRPr="005E127D">
        <w:t>versus</w:t>
      </w:r>
      <w:r w:rsidRPr="005E127D">
        <w:t xml:space="preserve"> 5). Otherwise subject disposition was similar in the two arms.</w:t>
      </w:r>
    </w:p>
    <w:p w:rsidR="00901E80" w:rsidRDefault="00901E80" w:rsidP="00850C2B">
      <w:r>
        <w:t>Median duration of follow-up at the time of data cut-off was 19.7 months in the IV arm and 20.4 months in the SC arm.</w:t>
      </w:r>
    </w:p>
    <w:p w:rsidR="00901E80" w:rsidRDefault="00901E80" w:rsidP="00CF200D">
      <w:pPr>
        <w:pStyle w:val="Heading5"/>
        <w:spacing w:line="360" w:lineRule="auto"/>
      </w:pPr>
      <w:bookmarkStart w:id="122" w:name="_Toc272679660"/>
      <w:r>
        <w:lastRenderedPageBreak/>
        <w:t>Major protocol violations/deviations</w:t>
      </w:r>
      <w:bookmarkEnd w:id="122"/>
    </w:p>
    <w:p w:rsidR="00901E80" w:rsidRDefault="00901E80" w:rsidP="00850C2B">
      <w:r>
        <w:t>There were 22 subjects who had a major protocol violation that did not warrant exclusion form the EPP – 15 in the IV arm and 7 in the SC arm. In the IV arm the most common major violation was administration of the loading dose in less than 60 minutes (n=7). Other major violations were evenly distributed in the two arms and included:</w:t>
      </w:r>
    </w:p>
    <w:p w:rsidR="00901E80" w:rsidRDefault="00901E80" w:rsidP="00850C2B">
      <w:pPr>
        <w:pStyle w:val="ListBullet"/>
      </w:pPr>
      <w:r>
        <w:t xml:space="preserve">Abnormal blood tests at baseline (IV=4 </w:t>
      </w:r>
      <w:r w:rsidR="001D7770">
        <w:t>versus</w:t>
      </w:r>
      <w:r w:rsidR="00CF200D">
        <w:t xml:space="preserve"> SC=3)</w:t>
      </w:r>
    </w:p>
    <w:p w:rsidR="00901E80" w:rsidRDefault="00901E80" w:rsidP="00850C2B">
      <w:pPr>
        <w:pStyle w:val="ListBullet"/>
      </w:pPr>
      <w:r>
        <w:t xml:space="preserve">Administration of excessive dose of a cytotoxic agent (2 </w:t>
      </w:r>
      <w:r w:rsidR="001D7770">
        <w:t>versus</w:t>
      </w:r>
      <w:r w:rsidR="00CF200D">
        <w:t xml:space="preserve"> 2)</w:t>
      </w:r>
    </w:p>
    <w:p w:rsidR="00901E80" w:rsidRDefault="00901E80" w:rsidP="00850C2B">
      <w:pPr>
        <w:pStyle w:val="ListBullet"/>
      </w:pPr>
      <w:r>
        <w:t xml:space="preserve">No follow-up LVEF exams within 4 weeks of a significant LVEF drop in a patient (2 </w:t>
      </w:r>
      <w:r w:rsidR="001D7770">
        <w:t>versus</w:t>
      </w:r>
      <w:r>
        <w:t>1).</w:t>
      </w:r>
    </w:p>
    <w:p w:rsidR="00901E80" w:rsidRDefault="00CF200D" w:rsidP="00A07DC1">
      <w:pPr>
        <w:ind w:left="993"/>
      </w:pPr>
      <w:r w:rsidRPr="00A07DC1">
        <w:rPr>
          <w:b/>
        </w:rPr>
        <w:t>Comment:</w:t>
      </w:r>
      <w:r w:rsidR="007C7E5E">
        <w:t xml:space="preserve"> </w:t>
      </w:r>
      <w:r w:rsidR="00901E80">
        <w:t>The major protocol violations would not have affect</w:t>
      </w:r>
      <w:r>
        <w:t xml:space="preserve">ed the efficacy outcomes of the </w:t>
      </w:r>
      <w:r w:rsidR="00901E80">
        <w:t>study.</w:t>
      </w:r>
    </w:p>
    <w:p w:rsidR="00901E80" w:rsidRDefault="00901E80" w:rsidP="001C3DEE">
      <w:pPr>
        <w:pStyle w:val="Heading5"/>
      </w:pPr>
      <w:bookmarkStart w:id="123" w:name="_Toc272679661"/>
      <w:bookmarkStart w:id="124" w:name="_Ref260930294"/>
      <w:r>
        <w:t>Baseline data</w:t>
      </w:r>
      <w:bookmarkEnd w:id="123"/>
      <w:bookmarkEnd w:id="124"/>
    </w:p>
    <w:p w:rsidR="00901E80" w:rsidRDefault="00901E80" w:rsidP="00850C2B">
      <w:r>
        <w:t xml:space="preserve">Baseline demographic data are summarised in </w:t>
      </w:r>
      <w:r w:rsidR="00206F01">
        <w:t>Table 7</w:t>
      </w:r>
      <w:r>
        <w:t xml:space="preserve"> and baseline disease characteristics in </w:t>
      </w:r>
      <w:r w:rsidR="00A07DC1">
        <w:br/>
      </w:r>
      <w:r w:rsidR="00206F01">
        <w:t>Table 8</w:t>
      </w:r>
      <w:r>
        <w:t>.</w:t>
      </w:r>
    </w:p>
    <w:p w:rsidR="00901E80" w:rsidRDefault="00C02258" w:rsidP="00F57A62">
      <w:pPr>
        <w:pStyle w:val="Comment"/>
      </w:pPr>
      <w:r w:rsidRPr="00A07DC1">
        <w:rPr>
          <w:b/>
        </w:rPr>
        <w:t>Comment:</w:t>
      </w:r>
      <w:r>
        <w:t xml:space="preserve"> </w:t>
      </w:r>
      <w:r w:rsidR="00901E80">
        <w:t>The two treatment groups were well balanced with respect to baseline characteristics. The study report also included tabulations of previous and concurrent diseases. These were generally balanced between the two groups.</w:t>
      </w:r>
    </w:p>
    <w:p w:rsidR="00206F01" w:rsidRDefault="00206F01" w:rsidP="00206F01">
      <w:pPr>
        <w:pStyle w:val="Tabletitle"/>
      </w:pPr>
      <w:bookmarkStart w:id="125" w:name="_Ref260565454"/>
      <w:bookmarkStart w:id="126" w:name="_Toc272679752"/>
      <w:r>
        <w:lastRenderedPageBreak/>
        <w:t>Table 7:</w:t>
      </w:r>
      <w:bookmarkEnd w:id="125"/>
      <w:r>
        <w:t xml:space="preserve"> Study BO22227 - Baseline demographics (EPP)</w:t>
      </w:r>
      <w:bookmarkEnd w:id="126"/>
    </w:p>
    <w:p w:rsidR="00206F01" w:rsidRPr="00206F01" w:rsidRDefault="00206F01" w:rsidP="00206F01">
      <w:r>
        <w:rPr>
          <w:noProof/>
          <w:lang w:eastAsia="en-AU"/>
        </w:rPr>
        <w:drawing>
          <wp:inline distT="0" distB="0" distL="0" distR="0" wp14:anchorId="739F238A" wp14:editId="3B235AEC">
            <wp:extent cx="3436620" cy="6880860"/>
            <wp:effectExtent l="0" t="0" r="0" b="0"/>
            <wp:docPr id="12" name="Picture 12" descr="Table 7: Study BO22227 - Baseline demographics (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l="3219" t="1066" b="2749"/>
                    <a:stretch/>
                  </pic:blipFill>
                  <pic:spPr bwMode="auto">
                    <a:xfrm>
                      <a:off x="0" y="0"/>
                      <a:ext cx="3442081" cy="6891794"/>
                    </a:xfrm>
                    <a:prstGeom prst="rect">
                      <a:avLst/>
                    </a:prstGeom>
                    <a:ln>
                      <a:noFill/>
                    </a:ln>
                    <a:extLst>
                      <a:ext uri="{53640926-AAD7-44D8-BBD7-CCE9431645EC}">
                        <a14:shadowObscured xmlns:a14="http://schemas.microsoft.com/office/drawing/2010/main"/>
                      </a:ext>
                    </a:extLst>
                  </pic:spPr>
                </pic:pic>
              </a:graphicData>
            </a:graphic>
          </wp:inline>
        </w:drawing>
      </w:r>
    </w:p>
    <w:p w:rsidR="00206F01" w:rsidRDefault="00206F01" w:rsidP="00206F01">
      <w:pPr>
        <w:pStyle w:val="Tabletitle"/>
      </w:pPr>
      <w:bookmarkStart w:id="127" w:name="_Ref260566132"/>
      <w:bookmarkStart w:id="128" w:name="_Toc272679753"/>
      <w:r>
        <w:lastRenderedPageBreak/>
        <w:t>Table 8:</w:t>
      </w:r>
      <w:bookmarkEnd w:id="127"/>
      <w:r>
        <w:t xml:space="preserve"> Study BO22227 - Baseline disease characteristics (EPP)</w:t>
      </w:r>
      <w:bookmarkEnd w:id="128"/>
    </w:p>
    <w:p w:rsidR="00206F01" w:rsidRPr="00206F01" w:rsidRDefault="00206F01" w:rsidP="00206F01">
      <w:r>
        <w:rPr>
          <w:noProof/>
          <w:lang w:eastAsia="en-AU"/>
        </w:rPr>
        <w:drawing>
          <wp:inline distT="0" distB="0" distL="0" distR="0" wp14:anchorId="5663D7E4" wp14:editId="4F5E1C98">
            <wp:extent cx="3223260" cy="5614319"/>
            <wp:effectExtent l="0" t="0" r="0" b="0"/>
            <wp:docPr id="11" name="Picture 11" descr="Table 8: Study BO22227 - Baseline disease characteristics (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4943"/>
                    <a:stretch/>
                  </pic:blipFill>
                  <pic:spPr bwMode="auto">
                    <a:xfrm>
                      <a:off x="0" y="0"/>
                      <a:ext cx="3224191" cy="5615940"/>
                    </a:xfrm>
                    <a:prstGeom prst="rect">
                      <a:avLst/>
                    </a:prstGeom>
                    <a:ln>
                      <a:noFill/>
                    </a:ln>
                    <a:extLst>
                      <a:ext uri="{53640926-AAD7-44D8-BBD7-CCE9431645EC}">
                        <a14:shadowObscured xmlns:a14="http://schemas.microsoft.com/office/drawing/2010/main"/>
                      </a:ext>
                    </a:extLst>
                  </pic:spPr>
                </pic:pic>
              </a:graphicData>
            </a:graphic>
          </wp:inline>
        </w:drawing>
      </w:r>
    </w:p>
    <w:p w:rsidR="00901E80" w:rsidRDefault="00901E80" w:rsidP="00850C2B">
      <w:r>
        <w:t xml:space="preserve">The type of surgery that patients underwent following completion of </w:t>
      </w:r>
      <w:proofErr w:type="spellStart"/>
      <w:r>
        <w:t>neoadjuvant</w:t>
      </w:r>
      <w:proofErr w:type="spellEnd"/>
      <w:r>
        <w:t xml:space="preserve"> therapy is shown in </w:t>
      </w:r>
      <w:r w:rsidR="00206F01">
        <w:t>Table 9</w:t>
      </w:r>
      <w:r>
        <w:t>. In the IV arm 208/263 subjects (79%) underwent radiotherapy, compared to 215/260 (82.7%) in the SC arm. Use of adjuvant hormonal therapy was reasonably well balanced across the two arms.</w:t>
      </w:r>
    </w:p>
    <w:p w:rsidR="00206F01" w:rsidRDefault="00206F01" w:rsidP="00A32711">
      <w:pPr>
        <w:pStyle w:val="Tabletitle"/>
        <w:rPr>
          <w:sz w:val="20"/>
          <w:szCs w:val="20"/>
        </w:rPr>
      </w:pPr>
      <w:bookmarkStart w:id="129" w:name="_Ref260566673"/>
      <w:bookmarkStart w:id="130" w:name="_Toc272679754"/>
      <w:r>
        <w:t>Table 9:</w:t>
      </w:r>
      <w:bookmarkEnd w:id="129"/>
      <w:r>
        <w:t xml:space="preserve"> Study BO22227 </w:t>
      </w:r>
      <w:r w:rsidRPr="001924B0">
        <w:t>- Type of surgery</w:t>
      </w:r>
      <w:r>
        <w:t xml:space="preserve"> (EPP)</w:t>
      </w:r>
      <w:bookmarkEnd w:id="130"/>
      <w:r>
        <w:rPr>
          <w:noProof/>
          <w:sz w:val="20"/>
          <w:szCs w:val="20"/>
          <w:lang w:eastAsia="en-AU"/>
        </w:rPr>
        <w:drawing>
          <wp:inline distT="0" distB="0" distL="0" distR="0" wp14:anchorId="687BDA18" wp14:editId="726AB39E">
            <wp:extent cx="4503420" cy="1340416"/>
            <wp:effectExtent l="0" t="0" r="0" b="0"/>
            <wp:docPr id="71" name="Picture 8" descr="Table 9: Study BO22227 - Type of surgery (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839"/>
                    <a:stretch/>
                  </pic:blipFill>
                  <pic:spPr bwMode="auto">
                    <a:xfrm>
                      <a:off x="0" y="0"/>
                      <a:ext cx="4513763" cy="1343495"/>
                    </a:xfrm>
                    <a:prstGeom prst="rect">
                      <a:avLst/>
                    </a:prstGeom>
                    <a:noFill/>
                    <a:ln>
                      <a:noFill/>
                    </a:ln>
                    <a:extLst>
                      <a:ext uri="{53640926-AAD7-44D8-BBD7-CCE9431645EC}">
                        <a14:shadowObscured xmlns:a14="http://schemas.microsoft.com/office/drawing/2010/main"/>
                      </a:ext>
                    </a:extLst>
                  </pic:spPr>
                </pic:pic>
              </a:graphicData>
            </a:graphic>
          </wp:inline>
        </w:drawing>
      </w:r>
    </w:p>
    <w:p w:rsidR="00206F01" w:rsidRDefault="00206F01" w:rsidP="00206F01">
      <w:pPr>
        <w:rPr>
          <w:sz w:val="20"/>
          <w:szCs w:val="20"/>
        </w:rPr>
      </w:pPr>
    </w:p>
    <w:p w:rsidR="00206F01" w:rsidRDefault="00206F01" w:rsidP="00901E80">
      <w:pPr>
        <w:autoSpaceDE w:val="0"/>
        <w:autoSpaceDN w:val="0"/>
        <w:adjustRightInd w:val="0"/>
      </w:pPr>
    </w:p>
    <w:p w:rsidR="00901E80" w:rsidRDefault="00901E80" w:rsidP="001C3DEE">
      <w:pPr>
        <w:pStyle w:val="Heading4"/>
      </w:pPr>
      <w:bookmarkStart w:id="131" w:name="_Toc272679662"/>
      <w:r>
        <w:lastRenderedPageBreak/>
        <w:t>Results for the primary efficacy outcome</w:t>
      </w:r>
      <w:bookmarkEnd w:id="131"/>
    </w:p>
    <w:p w:rsidR="00901E80" w:rsidRDefault="00901E80" w:rsidP="00850C2B">
      <w:r>
        <w:t xml:space="preserve">The results for the primary endpoint of PCR in the EPP are shown in </w:t>
      </w:r>
      <w:r w:rsidR="00B96ABC">
        <w:t>Table 10</w:t>
      </w:r>
      <w:r>
        <w:t xml:space="preserve">. The </w:t>
      </w:r>
      <w:proofErr w:type="spellStart"/>
      <w:r>
        <w:t>pCR</w:t>
      </w:r>
      <w:proofErr w:type="spellEnd"/>
      <w:r>
        <w:t xml:space="preserve"> rate was </w:t>
      </w:r>
      <w:r>
        <w:rPr>
          <w:b/>
        </w:rPr>
        <w:t>40.7%</w:t>
      </w:r>
      <w:r>
        <w:t xml:space="preserve"> in the IV arm and </w:t>
      </w:r>
      <w:r>
        <w:rPr>
          <w:b/>
        </w:rPr>
        <w:t>45.4%</w:t>
      </w:r>
      <w:r>
        <w:t xml:space="preserve"> in the SC arm, with the difference being +4.7% in favour of the SC arm. The lower 97.5% confidence interval for the difference was -4.0% which was above the predetermined limit of -12.5%. Non-inferiority was therefore concluded.</w:t>
      </w:r>
    </w:p>
    <w:p w:rsidR="00B96ABC" w:rsidRDefault="00B96ABC" w:rsidP="007C7E5E">
      <w:pPr>
        <w:pStyle w:val="Tabletitle"/>
      </w:pPr>
      <w:bookmarkStart w:id="132" w:name="_Ref260578426"/>
      <w:bookmarkStart w:id="133" w:name="_Toc272679755"/>
      <w:r>
        <w:t>Table 10:</w:t>
      </w:r>
      <w:bookmarkEnd w:id="132"/>
      <w:r>
        <w:t xml:space="preserve"> </w:t>
      </w:r>
      <w:r w:rsidRPr="007C7E5E">
        <w:t>Study</w:t>
      </w:r>
      <w:r>
        <w:t xml:space="preserve"> BO22227 – Results for </w:t>
      </w:r>
      <w:proofErr w:type="spellStart"/>
      <w:r>
        <w:t>pCR</w:t>
      </w:r>
      <w:proofErr w:type="spellEnd"/>
      <w:r>
        <w:t xml:space="preserve"> (primary endpoint) - EPP</w:t>
      </w:r>
      <w:bookmarkEnd w:id="133"/>
      <w:r>
        <w:rPr>
          <w:noProof/>
          <w:lang w:eastAsia="en-AU"/>
        </w:rPr>
        <w:drawing>
          <wp:inline distT="0" distB="0" distL="0" distR="0" wp14:anchorId="027999A1" wp14:editId="0E077841">
            <wp:extent cx="5280660" cy="1447923"/>
            <wp:effectExtent l="0" t="0" r="0" b="0"/>
            <wp:docPr id="72" name="Picture 9" descr="Table 10: Study BO22227 – Results for pCR (primary endpoint) - 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86393" cy="1449495"/>
                    </a:xfrm>
                    <a:prstGeom prst="rect">
                      <a:avLst/>
                    </a:prstGeom>
                    <a:noFill/>
                    <a:ln>
                      <a:noFill/>
                    </a:ln>
                  </pic:spPr>
                </pic:pic>
              </a:graphicData>
            </a:graphic>
          </wp:inline>
        </w:drawing>
      </w:r>
    </w:p>
    <w:p w:rsidR="00901E80" w:rsidRDefault="00901E80" w:rsidP="00850C2B">
      <w:r>
        <w:t xml:space="preserve">The results in the ITT population were similar (IV = 37.4% </w:t>
      </w:r>
      <w:r w:rsidR="001D7770">
        <w:t>versus</w:t>
      </w:r>
      <w:r>
        <w:t xml:space="preserve"> SC = 42.2%; difference = 4.8%; lower 97.5% CI = -3.3%).</w:t>
      </w:r>
    </w:p>
    <w:p w:rsidR="00901E80" w:rsidRDefault="00901E80" w:rsidP="001C3DEE">
      <w:pPr>
        <w:pStyle w:val="Heading4"/>
      </w:pPr>
      <w:bookmarkStart w:id="134" w:name="_Toc272679663"/>
      <w:r>
        <w:t>Results for secondary efficacy outcomes</w:t>
      </w:r>
      <w:bookmarkEnd w:id="134"/>
    </w:p>
    <w:p w:rsidR="00901E80" w:rsidRDefault="00901E80" w:rsidP="00850C2B">
      <w:proofErr w:type="spellStart"/>
      <w:proofErr w:type="gramStart"/>
      <w:r w:rsidRPr="00B96ABC">
        <w:rPr>
          <w:rStyle w:val="Heading5Char"/>
          <w:rFonts w:eastAsia="Cambria"/>
        </w:rPr>
        <w:t>tpCR</w:t>
      </w:r>
      <w:proofErr w:type="spellEnd"/>
      <w:proofErr w:type="gramEnd"/>
      <w:r w:rsidRPr="00B96ABC">
        <w:rPr>
          <w:rStyle w:val="Heading5Char"/>
          <w:rFonts w:eastAsia="Cambria"/>
        </w:rPr>
        <w:t>.</w:t>
      </w:r>
      <w:r>
        <w:t xml:space="preserve"> The results for </w:t>
      </w:r>
      <w:proofErr w:type="spellStart"/>
      <w:r>
        <w:t>tpCR</w:t>
      </w:r>
      <w:proofErr w:type="spellEnd"/>
      <w:r>
        <w:t xml:space="preserve"> are shown in </w:t>
      </w:r>
      <w:r w:rsidR="00B96ABC">
        <w:t>Table 11</w:t>
      </w:r>
      <w:r>
        <w:t xml:space="preserve">. The </w:t>
      </w:r>
      <w:proofErr w:type="spellStart"/>
      <w:r>
        <w:t>tpCR</w:t>
      </w:r>
      <w:proofErr w:type="spellEnd"/>
      <w:r>
        <w:t xml:space="preserve"> rate was again numerically higher in the SC arm (</w:t>
      </w:r>
      <w:r>
        <w:rPr>
          <w:b/>
        </w:rPr>
        <w:t>39.2</w:t>
      </w:r>
      <w:r>
        <w:t xml:space="preserve">% </w:t>
      </w:r>
      <w:r w:rsidR="001D7770">
        <w:t>versus</w:t>
      </w:r>
      <w:r>
        <w:t xml:space="preserve"> </w:t>
      </w:r>
      <w:r>
        <w:rPr>
          <w:b/>
        </w:rPr>
        <w:t>34.2</w:t>
      </w:r>
      <w:r>
        <w:t>%; difference = 5.01%; 2-sided 95%CI = -3.5 to 13.5).</w:t>
      </w:r>
    </w:p>
    <w:p w:rsidR="00B96ABC" w:rsidRPr="0032510C" w:rsidRDefault="00B96ABC" w:rsidP="007C7E5E">
      <w:pPr>
        <w:pStyle w:val="Tabletitle"/>
      </w:pPr>
      <w:bookmarkStart w:id="135" w:name="_Ref260579328"/>
      <w:bookmarkStart w:id="136" w:name="_Toc272679756"/>
      <w:r>
        <w:t>Table 11:</w:t>
      </w:r>
      <w:bookmarkEnd w:id="135"/>
      <w:r>
        <w:t xml:space="preserve"> Study </w:t>
      </w:r>
      <w:r w:rsidRPr="007C7E5E">
        <w:t>BO22227</w:t>
      </w:r>
      <w:r>
        <w:t xml:space="preserve"> – Results for </w:t>
      </w:r>
      <w:proofErr w:type="spellStart"/>
      <w:r>
        <w:t>tpCR</w:t>
      </w:r>
      <w:proofErr w:type="spellEnd"/>
      <w:r>
        <w:t xml:space="preserve"> (EPP)</w:t>
      </w:r>
      <w:bookmarkEnd w:id="136"/>
      <w:r>
        <w:rPr>
          <w:noProof/>
          <w:lang w:eastAsia="en-AU"/>
        </w:rPr>
        <w:drawing>
          <wp:inline distT="0" distB="0" distL="0" distR="0" wp14:anchorId="4F9D0306" wp14:editId="5589CA81">
            <wp:extent cx="5280660" cy="1536444"/>
            <wp:effectExtent l="0" t="0" r="0" b="0"/>
            <wp:docPr id="73" name="Picture 10" descr="Table 11: Study BO22227 – Results for tpCR (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1801"/>
                    <a:stretch/>
                  </pic:blipFill>
                  <pic:spPr bwMode="auto">
                    <a:xfrm>
                      <a:off x="0" y="0"/>
                      <a:ext cx="5285190" cy="1537762"/>
                    </a:xfrm>
                    <a:prstGeom prst="rect">
                      <a:avLst/>
                    </a:prstGeom>
                    <a:noFill/>
                    <a:ln>
                      <a:noFill/>
                    </a:ln>
                    <a:extLst>
                      <a:ext uri="{53640926-AAD7-44D8-BBD7-CCE9431645EC}">
                        <a14:shadowObscured xmlns:a14="http://schemas.microsoft.com/office/drawing/2010/main"/>
                      </a:ext>
                    </a:extLst>
                  </pic:spPr>
                </pic:pic>
              </a:graphicData>
            </a:graphic>
          </wp:inline>
        </w:drawing>
      </w:r>
    </w:p>
    <w:p w:rsidR="00901E80" w:rsidRDefault="00901E80" w:rsidP="00850C2B">
      <w:r w:rsidRPr="00B96ABC">
        <w:rPr>
          <w:rStyle w:val="Heading5Char"/>
          <w:rFonts w:eastAsia="Cambria"/>
        </w:rPr>
        <w:t>ORR.</w:t>
      </w:r>
      <w:r>
        <w:t xml:space="preserve"> Results for overall response rate prior to surgery are shown in</w:t>
      </w:r>
      <w:r w:rsidR="00B96ABC">
        <w:t xml:space="preserve"> Table 12</w:t>
      </w:r>
      <w:r>
        <w:t xml:space="preserve">. Response rates were </w:t>
      </w:r>
      <w:r>
        <w:rPr>
          <w:b/>
        </w:rPr>
        <w:t>87.2%</w:t>
      </w:r>
      <w:r>
        <w:t xml:space="preserve"> for SC administration and </w:t>
      </w:r>
      <w:r>
        <w:rPr>
          <w:b/>
        </w:rPr>
        <w:t>88.8%</w:t>
      </w:r>
      <w:r>
        <w:t xml:space="preserve"> for IV administration. The difference in ORR was not statistically significant. The CR rates (21.7% </w:t>
      </w:r>
      <w:r w:rsidR="001D7770">
        <w:t>versus</w:t>
      </w:r>
      <w:r>
        <w:t xml:space="preserve"> 21.2%) and PR rates (65.5% </w:t>
      </w:r>
      <w:r w:rsidR="001D7770">
        <w:t>versus</w:t>
      </w:r>
      <w:r>
        <w:t xml:space="preserve"> 67.7%) were comparable in the two arms.</w:t>
      </w:r>
    </w:p>
    <w:p w:rsidR="00B96ABC" w:rsidRDefault="00B96ABC" w:rsidP="005E127D">
      <w:pPr>
        <w:pStyle w:val="Tabletitle"/>
      </w:pPr>
      <w:bookmarkStart w:id="137" w:name="_Ref260579634"/>
      <w:bookmarkStart w:id="138" w:name="_Toc272679757"/>
      <w:r>
        <w:lastRenderedPageBreak/>
        <w:t>Table 12:</w:t>
      </w:r>
      <w:bookmarkEnd w:id="137"/>
      <w:r>
        <w:t xml:space="preserve"> Study </w:t>
      </w:r>
      <w:r w:rsidRPr="007C7E5E">
        <w:t>BO22227</w:t>
      </w:r>
      <w:r>
        <w:t xml:space="preserve"> – Results for ORR (EPP)</w:t>
      </w:r>
      <w:bookmarkEnd w:id="138"/>
      <w:r>
        <w:rPr>
          <w:noProof/>
          <w:lang w:eastAsia="en-AU"/>
        </w:rPr>
        <w:drawing>
          <wp:inline distT="0" distB="0" distL="0" distR="0" wp14:anchorId="222AA216" wp14:editId="5898FD0F">
            <wp:extent cx="4213860" cy="3130158"/>
            <wp:effectExtent l="0" t="0" r="0" b="0"/>
            <wp:docPr id="74" name="Picture 11" descr="Table 12: Study BO22227 – Results for ORR (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426" r="1"/>
                    <a:stretch/>
                  </pic:blipFill>
                  <pic:spPr bwMode="auto">
                    <a:xfrm>
                      <a:off x="0" y="0"/>
                      <a:ext cx="4209872" cy="3127195"/>
                    </a:xfrm>
                    <a:prstGeom prst="rect">
                      <a:avLst/>
                    </a:prstGeom>
                    <a:noFill/>
                    <a:ln>
                      <a:noFill/>
                    </a:ln>
                    <a:extLst>
                      <a:ext uri="{53640926-AAD7-44D8-BBD7-CCE9431645EC}">
                        <a14:shadowObscured xmlns:a14="http://schemas.microsoft.com/office/drawing/2010/main"/>
                      </a:ext>
                    </a:extLst>
                  </pic:spPr>
                </pic:pic>
              </a:graphicData>
            </a:graphic>
          </wp:inline>
        </w:drawing>
      </w:r>
    </w:p>
    <w:p w:rsidR="00B96ABC" w:rsidRDefault="00901E80" w:rsidP="005E127D">
      <w:pPr>
        <w:pStyle w:val="TableDescription"/>
      </w:pPr>
      <w:proofErr w:type="gramStart"/>
      <w:r w:rsidRPr="00A32711">
        <w:rPr>
          <w:rStyle w:val="Heading5Char"/>
          <w:rFonts w:eastAsia="Cambria"/>
        </w:rPr>
        <w:t>TTR.</w:t>
      </w:r>
      <w:proofErr w:type="gramEnd"/>
      <w:r>
        <w:t xml:space="preserve"> Time to response was similar in both arms (median = 6.14 weeks in </w:t>
      </w:r>
      <w:r w:rsidRPr="005E127D">
        <w:t>both</w:t>
      </w:r>
      <w:r>
        <w:t xml:space="preserve"> </w:t>
      </w:r>
      <w:r w:rsidR="00B96ABC">
        <w:t>–</w:t>
      </w:r>
      <w:r>
        <w:t xml:space="preserve"> </w:t>
      </w:r>
      <w:r w:rsidR="00B96ABC">
        <w:t>Table 13</w:t>
      </w:r>
      <w:r>
        <w:t>).</w:t>
      </w:r>
      <w:bookmarkStart w:id="139" w:name="_Ref260580259"/>
      <w:bookmarkStart w:id="140" w:name="_Toc272679758"/>
    </w:p>
    <w:p w:rsidR="00B96ABC" w:rsidRDefault="00B96ABC" w:rsidP="005E127D">
      <w:pPr>
        <w:pStyle w:val="Tabletitle"/>
      </w:pPr>
      <w:r>
        <w:t>Table 13:</w:t>
      </w:r>
      <w:bookmarkEnd w:id="139"/>
      <w:r>
        <w:t xml:space="preserve"> Study </w:t>
      </w:r>
      <w:r w:rsidRPr="007C7E5E">
        <w:t>BO22227</w:t>
      </w:r>
      <w:r>
        <w:t xml:space="preserve"> – Results for TTR</w:t>
      </w:r>
      <w:bookmarkEnd w:id="140"/>
      <w:r>
        <w:t xml:space="preserve"> </w:t>
      </w:r>
      <w:r>
        <w:rPr>
          <w:noProof/>
          <w:lang w:eastAsia="en-AU"/>
        </w:rPr>
        <w:drawing>
          <wp:inline distT="0" distB="0" distL="0" distR="0" wp14:anchorId="003104D7" wp14:editId="73935E28">
            <wp:extent cx="3550920" cy="1583892"/>
            <wp:effectExtent l="0" t="0" r="0" b="0"/>
            <wp:docPr id="75" name="Picture 12" descr="Table 13: Study BO22227 – Results for TT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1478"/>
                    <a:stretch/>
                  </pic:blipFill>
                  <pic:spPr bwMode="auto">
                    <a:xfrm>
                      <a:off x="0" y="0"/>
                      <a:ext cx="3553074" cy="1584853"/>
                    </a:xfrm>
                    <a:prstGeom prst="rect">
                      <a:avLst/>
                    </a:prstGeom>
                    <a:noFill/>
                    <a:ln>
                      <a:noFill/>
                    </a:ln>
                    <a:extLst>
                      <a:ext uri="{53640926-AAD7-44D8-BBD7-CCE9431645EC}">
                        <a14:shadowObscured xmlns:a14="http://schemas.microsoft.com/office/drawing/2010/main"/>
                      </a:ext>
                    </a:extLst>
                  </pic:spPr>
                </pic:pic>
              </a:graphicData>
            </a:graphic>
          </wp:inline>
        </w:drawing>
      </w:r>
    </w:p>
    <w:p w:rsidR="00901E80" w:rsidRDefault="00901E80" w:rsidP="00850C2B">
      <w:proofErr w:type="gramStart"/>
      <w:r w:rsidRPr="00B96ABC">
        <w:rPr>
          <w:rStyle w:val="Heading5Char"/>
          <w:rFonts w:eastAsia="Cambria"/>
        </w:rPr>
        <w:t>EFS.</w:t>
      </w:r>
      <w:proofErr w:type="gramEnd"/>
      <w:r>
        <w:t xml:space="preserve"> Results for event-free survival are summarised in</w:t>
      </w:r>
      <w:r w:rsidR="00A32711">
        <w:t xml:space="preserve"> Table 14 and Figure 5</w:t>
      </w:r>
      <w:r>
        <w:t>. The data were not mature, with only 84/523 subjects in the EPP population (16%) having developed an event. The estimated proportion of subjects who remained event-free at 12 months was 95% in both arms.</w:t>
      </w:r>
    </w:p>
    <w:p w:rsidR="00A32711" w:rsidRDefault="00A32711" w:rsidP="005E127D">
      <w:pPr>
        <w:pStyle w:val="Tabletitle"/>
      </w:pPr>
      <w:bookmarkStart w:id="141" w:name="_Ref260639830"/>
      <w:bookmarkStart w:id="142" w:name="_Toc272679759"/>
      <w:r>
        <w:lastRenderedPageBreak/>
        <w:t>Table 14:</w:t>
      </w:r>
      <w:bookmarkEnd w:id="141"/>
      <w:r>
        <w:t xml:space="preserve"> Study </w:t>
      </w:r>
      <w:r w:rsidRPr="007C7E5E">
        <w:t>BO22227</w:t>
      </w:r>
      <w:r>
        <w:t xml:space="preserve"> - Event-free survival (EPP)</w:t>
      </w:r>
      <w:bookmarkEnd w:id="142"/>
    </w:p>
    <w:p w:rsidR="00A32711" w:rsidRDefault="00A32711" w:rsidP="00A32711">
      <w:pPr>
        <w:keepNext/>
      </w:pPr>
      <w:r>
        <w:rPr>
          <w:noProof/>
          <w:lang w:eastAsia="en-AU"/>
        </w:rPr>
        <w:drawing>
          <wp:inline distT="0" distB="0" distL="0" distR="0" wp14:anchorId="77900B42" wp14:editId="6C0CCC40">
            <wp:extent cx="3721528" cy="2575560"/>
            <wp:effectExtent l="0" t="0" r="0" b="0"/>
            <wp:docPr id="13" name="Picture 1" descr="Table 14: Study BO22227 - Event-free survival (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23614" cy="2577003"/>
                    </a:xfrm>
                    <a:prstGeom prst="rect">
                      <a:avLst/>
                    </a:prstGeom>
                    <a:noFill/>
                    <a:ln>
                      <a:noFill/>
                    </a:ln>
                  </pic:spPr>
                </pic:pic>
              </a:graphicData>
            </a:graphic>
          </wp:inline>
        </w:drawing>
      </w:r>
    </w:p>
    <w:p w:rsidR="00A32711" w:rsidRDefault="00A32711" w:rsidP="00A32711">
      <w:pPr>
        <w:pStyle w:val="FigureTitle"/>
      </w:pPr>
      <w:bookmarkStart w:id="143" w:name="_Ref260639882"/>
      <w:bookmarkStart w:id="144" w:name="_Ref260639855"/>
      <w:bookmarkStart w:id="145" w:name="_Toc272679800"/>
      <w:r>
        <w:t>Figure 5:</w:t>
      </w:r>
      <w:bookmarkEnd w:id="143"/>
      <w:r>
        <w:t xml:space="preserve"> Study BO22227 - Event-free survival (EPP)</w:t>
      </w:r>
      <w:bookmarkEnd w:id="144"/>
      <w:bookmarkEnd w:id="145"/>
    </w:p>
    <w:p w:rsidR="00A32711" w:rsidRDefault="00A32711" w:rsidP="00A32711">
      <w:r>
        <w:rPr>
          <w:noProof/>
          <w:lang w:eastAsia="en-AU"/>
        </w:rPr>
        <w:drawing>
          <wp:inline distT="0" distB="0" distL="0" distR="0" wp14:anchorId="42049508" wp14:editId="44D62F65">
            <wp:extent cx="4441708" cy="3268980"/>
            <wp:effectExtent l="0" t="0" r="0" b="0"/>
            <wp:docPr id="14" name="Picture 2" descr="Figure 5: Study BO22227 - Event-free survival (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40033" cy="3267748"/>
                    </a:xfrm>
                    <a:prstGeom prst="rect">
                      <a:avLst/>
                    </a:prstGeom>
                    <a:noFill/>
                    <a:ln>
                      <a:noFill/>
                    </a:ln>
                  </pic:spPr>
                </pic:pic>
              </a:graphicData>
            </a:graphic>
          </wp:inline>
        </w:drawing>
      </w:r>
    </w:p>
    <w:p w:rsidR="00901E80" w:rsidRDefault="00901E80" w:rsidP="00850C2B">
      <w:proofErr w:type="gramStart"/>
      <w:r w:rsidRPr="00A32711">
        <w:rPr>
          <w:rStyle w:val="Heading5Char"/>
          <w:rFonts w:eastAsia="Cambria"/>
        </w:rPr>
        <w:t>OS.</w:t>
      </w:r>
      <w:proofErr w:type="gramEnd"/>
      <w:r>
        <w:t xml:space="preserve"> Results for overall survival are summarised in</w:t>
      </w:r>
      <w:r w:rsidR="00A32711">
        <w:t xml:space="preserve"> Table 15</w:t>
      </w:r>
      <w:r>
        <w:t>. The data were not mature with only with only 19/523 subjects in the EPP population (3.6%) having died.</w:t>
      </w:r>
    </w:p>
    <w:p w:rsidR="00A32711" w:rsidRDefault="00A32711" w:rsidP="005E127D">
      <w:pPr>
        <w:pStyle w:val="Tabletitle"/>
      </w:pPr>
      <w:bookmarkStart w:id="146" w:name="_Ref260640317"/>
      <w:bookmarkStart w:id="147" w:name="_Toc272679760"/>
      <w:r>
        <w:lastRenderedPageBreak/>
        <w:t xml:space="preserve">Table </w:t>
      </w:r>
      <w:r w:rsidRPr="007C7E5E">
        <w:t>15</w:t>
      </w:r>
      <w:r>
        <w:t>:</w:t>
      </w:r>
      <w:bookmarkEnd w:id="146"/>
      <w:r>
        <w:t xml:space="preserve"> Study </w:t>
      </w:r>
      <w:r w:rsidRPr="005E127D">
        <w:t>BO22227</w:t>
      </w:r>
      <w:r>
        <w:t xml:space="preserve"> - Overall survival (EPP)</w:t>
      </w:r>
      <w:bookmarkEnd w:id="147"/>
    </w:p>
    <w:p w:rsidR="00A32711" w:rsidRDefault="00A32711" w:rsidP="00A32711">
      <w:pPr>
        <w:keepNext/>
      </w:pPr>
      <w:r>
        <w:rPr>
          <w:noProof/>
          <w:lang w:eastAsia="en-AU"/>
        </w:rPr>
        <w:drawing>
          <wp:inline distT="0" distB="0" distL="0" distR="0" wp14:anchorId="67E50736" wp14:editId="5852946F">
            <wp:extent cx="4153270" cy="3055620"/>
            <wp:effectExtent l="0" t="0" r="0" b="0"/>
            <wp:docPr id="15" name="Picture 3" descr="Table 15: Study BO22227 - Overall survival (E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54840" cy="3056775"/>
                    </a:xfrm>
                    <a:prstGeom prst="rect">
                      <a:avLst/>
                    </a:prstGeom>
                    <a:noFill/>
                    <a:ln>
                      <a:noFill/>
                    </a:ln>
                  </pic:spPr>
                </pic:pic>
              </a:graphicData>
            </a:graphic>
          </wp:inline>
        </w:drawing>
      </w:r>
    </w:p>
    <w:p w:rsidR="00901E80" w:rsidRDefault="00901E80" w:rsidP="00850C2B">
      <w:r>
        <w:t>Further analyses of EFS and OS are planned when all subjects have completed two years and five years of follow-up (after complet</w:t>
      </w:r>
      <w:r w:rsidR="0028372E">
        <w:t xml:space="preserve">ion of </w:t>
      </w:r>
      <w:proofErr w:type="spellStart"/>
      <w:r w:rsidR="0028372E">
        <w:t>trastuzumab</w:t>
      </w:r>
      <w:proofErr w:type="spellEnd"/>
      <w:r w:rsidR="0028372E">
        <w:t xml:space="preserve"> treatment).</w:t>
      </w:r>
    </w:p>
    <w:p w:rsidR="00901E80" w:rsidRDefault="00901E80" w:rsidP="001C3DEE">
      <w:pPr>
        <w:pStyle w:val="Heading4"/>
      </w:pPr>
      <w:bookmarkStart w:id="148" w:name="_Toc272679664"/>
      <w:r>
        <w:t xml:space="preserve">Exploratory </w:t>
      </w:r>
      <w:r w:rsidRPr="00A32711">
        <w:t>analyses</w:t>
      </w:r>
      <w:bookmarkEnd w:id="148"/>
    </w:p>
    <w:p w:rsidR="00901E80" w:rsidRDefault="00901E80" w:rsidP="00850C2B">
      <w:r>
        <w:t xml:space="preserve">A multiple logistic regression analysis on </w:t>
      </w:r>
      <w:proofErr w:type="spellStart"/>
      <w:r>
        <w:t>pCR</w:t>
      </w:r>
      <w:proofErr w:type="spellEnd"/>
      <w:r>
        <w:t xml:space="preserve"> adjusting for stratification factors and selected baseline characteristics was conducted. In this analysis the odds ratio (OR) for achieving a </w:t>
      </w:r>
      <w:proofErr w:type="spellStart"/>
      <w:r>
        <w:t>pCR</w:t>
      </w:r>
      <w:proofErr w:type="spellEnd"/>
      <w:r>
        <w:t xml:space="preserve"> (SC </w:t>
      </w:r>
      <w:r w:rsidR="001D7770">
        <w:t>versus</w:t>
      </w:r>
      <w:r>
        <w:t xml:space="preserve"> IV) was 1.3 (95%CI: 0.91 – 1.88). In the unadjusted analysis, the OR had been 1.21 (95%CI:  0.86 – 1.71). The confidence intervals for both these analyses included zero, suggesting comparable efficacy. Among the other factors tested, only oestrogen receptor (ER) status at baseline (negative versus positive) was associated with a significant effect on achievement of a </w:t>
      </w:r>
      <w:proofErr w:type="spellStart"/>
      <w:r>
        <w:t>pCR</w:t>
      </w:r>
      <w:proofErr w:type="spellEnd"/>
      <w:r>
        <w:t xml:space="preserve">. Patients with ER-negative tumours had a higher probability of achieving a </w:t>
      </w:r>
      <w:proofErr w:type="spellStart"/>
      <w:r>
        <w:t>pCR</w:t>
      </w:r>
      <w:proofErr w:type="spellEnd"/>
      <w:r>
        <w:t xml:space="preserve"> (OR: 2.67; 95%CI: 1.84 – 3.86; p&lt;0.0001). Published data have previously demonstrated that </w:t>
      </w:r>
      <w:proofErr w:type="spellStart"/>
      <w:r>
        <w:t>neoadjuvant</w:t>
      </w:r>
      <w:proofErr w:type="spellEnd"/>
      <w:r>
        <w:t xml:space="preserve"> treatment is more likely to produce a </w:t>
      </w:r>
      <w:proofErr w:type="spellStart"/>
      <w:r>
        <w:t>pCR</w:t>
      </w:r>
      <w:proofErr w:type="spellEnd"/>
      <w:r>
        <w:t xml:space="preserve"> in patients with ER-negative tumours than in patients with ER-positive tumours </w:t>
      </w:r>
      <w:r>
        <w:rPr>
          <w:vertAlign w:val="superscript"/>
        </w:rPr>
        <w:t>(8)</w:t>
      </w:r>
      <w:r>
        <w:t>.</w:t>
      </w:r>
    </w:p>
    <w:p w:rsidR="00901E80" w:rsidRDefault="00901E80" w:rsidP="00850C2B">
      <w:r>
        <w:t xml:space="preserve">Exploratory subgroup analyses were conducted to compare </w:t>
      </w:r>
      <w:proofErr w:type="spellStart"/>
      <w:r>
        <w:t>pCR</w:t>
      </w:r>
      <w:proofErr w:type="spellEnd"/>
      <w:r>
        <w:t xml:space="preserve"> rates obtained with SC and IV administration according to baseline demographics and baseline tumour characteristics. The difference in </w:t>
      </w:r>
      <w:proofErr w:type="spellStart"/>
      <w:r>
        <w:t>pCR</w:t>
      </w:r>
      <w:proofErr w:type="spellEnd"/>
      <w:r>
        <w:t xml:space="preserve"> rates was close to zero (suggesting comparable efficacy) in most subgroups. In elderly subjects and in subjects with inflammatory breast cancer, the point estimates suggested superior efficacy with IV administration, however these subgroups had small numbers, and the estimates had wide confidence intervals.</w:t>
      </w:r>
    </w:p>
    <w:p w:rsidR="00901E80" w:rsidRDefault="00901E80" w:rsidP="00850C2B">
      <w:r>
        <w:t>The following additional exploratory analyses were also presented in the study report:</w:t>
      </w:r>
    </w:p>
    <w:p w:rsidR="00901E80" w:rsidRPr="007405A2" w:rsidRDefault="00901E80" w:rsidP="00850C2B">
      <w:pPr>
        <w:pStyle w:val="ListBullet"/>
      </w:pPr>
      <w:r w:rsidRPr="007405A2">
        <w:t xml:space="preserve">An analysis of whether subjects who achieved a </w:t>
      </w:r>
      <w:proofErr w:type="spellStart"/>
      <w:r w:rsidRPr="007405A2">
        <w:t>pCR</w:t>
      </w:r>
      <w:proofErr w:type="spellEnd"/>
      <w:r w:rsidRPr="007405A2">
        <w:t xml:space="preserve"> had higher </w:t>
      </w:r>
      <w:proofErr w:type="spellStart"/>
      <w:r w:rsidRPr="007405A2">
        <w:t>Ctrough</w:t>
      </w:r>
      <w:proofErr w:type="spellEnd"/>
      <w:r w:rsidRPr="007405A2">
        <w:t xml:space="preserve"> values (at pre-dose </w:t>
      </w:r>
      <w:r w:rsidR="00041C9E" w:rsidRPr="007405A2">
        <w:t>Cycle 8</w:t>
      </w:r>
      <w:r w:rsidRPr="007405A2">
        <w:t>) than non-responders. No s</w:t>
      </w:r>
      <w:r w:rsidR="0028372E">
        <w:t>uch association was identified.</w:t>
      </w:r>
    </w:p>
    <w:p w:rsidR="00901E80" w:rsidRPr="007405A2" w:rsidRDefault="00901E80" w:rsidP="00850C2B">
      <w:pPr>
        <w:pStyle w:val="ListBullet"/>
      </w:pPr>
      <w:r w:rsidRPr="007405A2">
        <w:t xml:space="preserve">Analyses of the effects of baseline bodyweight and </w:t>
      </w:r>
      <w:proofErr w:type="spellStart"/>
      <w:r w:rsidRPr="007405A2">
        <w:t>Ctrough</w:t>
      </w:r>
      <w:proofErr w:type="spellEnd"/>
      <w:r w:rsidRPr="007405A2">
        <w:t xml:space="preserve"> (at pre-dose </w:t>
      </w:r>
      <w:r w:rsidR="00041C9E" w:rsidRPr="007405A2">
        <w:t>Cycle 8</w:t>
      </w:r>
      <w:r w:rsidRPr="007405A2">
        <w:t xml:space="preserve">) on </w:t>
      </w:r>
      <w:proofErr w:type="spellStart"/>
      <w:r w:rsidRPr="007405A2">
        <w:t>pCR</w:t>
      </w:r>
      <w:proofErr w:type="spellEnd"/>
      <w:r w:rsidRPr="007405A2">
        <w:t xml:space="preserve"> rate. An analysis of </w:t>
      </w:r>
      <w:proofErr w:type="spellStart"/>
      <w:r w:rsidRPr="007405A2">
        <w:t>pCR</w:t>
      </w:r>
      <w:proofErr w:type="spellEnd"/>
      <w:r w:rsidRPr="007405A2">
        <w:t xml:space="preserve"> rate by quartiles of baseline bodyweight did not suggest reduced efficacy with SC administration in heavier patients. An analysis by </w:t>
      </w:r>
      <w:proofErr w:type="spellStart"/>
      <w:r w:rsidRPr="007405A2">
        <w:t>Ctrough</w:t>
      </w:r>
      <w:proofErr w:type="spellEnd"/>
      <w:r w:rsidRPr="007405A2">
        <w:t xml:space="preserve"> quartiles suggested that in subjects with low </w:t>
      </w:r>
      <w:proofErr w:type="spellStart"/>
      <w:r w:rsidRPr="007405A2">
        <w:t>Ctrough</w:t>
      </w:r>
      <w:proofErr w:type="spellEnd"/>
      <w:r w:rsidRPr="007405A2">
        <w:t xml:space="preserve"> levels, </w:t>
      </w:r>
      <w:proofErr w:type="spellStart"/>
      <w:r w:rsidRPr="007405A2">
        <w:t>pCR</w:t>
      </w:r>
      <w:proofErr w:type="spellEnd"/>
      <w:r w:rsidRPr="007405A2">
        <w:t xml:space="preserve"> rate might be reduced in the SC arm (30% </w:t>
      </w:r>
      <w:r w:rsidR="001D7770">
        <w:t>versus</w:t>
      </w:r>
      <w:r w:rsidRPr="007405A2">
        <w:t xml:space="preserve"> 44%).  However, in a multiple logistic regression analysis for </w:t>
      </w:r>
      <w:proofErr w:type="spellStart"/>
      <w:r w:rsidRPr="007405A2">
        <w:t>pCR</w:t>
      </w:r>
      <w:proofErr w:type="spellEnd"/>
      <w:r w:rsidRPr="007405A2">
        <w:t xml:space="preserve">, which included </w:t>
      </w:r>
      <w:proofErr w:type="spellStart"/>
      <w:r w:rsidRPr="007405A2">
        <w:t>Ctrough</w:t>
      </w:r>
      <w:proofErr w:type="spellEnd"/>
      <w:r w:rsidRPr="007405A2">
        <w:t>, body weight and treatment arm as covariates, no significant effects were observed.</w:t>
      </w:r>
    </w:p>
    <w:p w:rsidR="00901E80" w:rsidRDefault="00901E80" w:rsidP="001C3DEE">
      <w:pPr>
        <w:pStyle w:val="Heading3"/>
      </w:pPr>
      <w:bookmarkStart w:id="149" w:name="_Toc272679665"/>
      <w:bookmarkStart w:id="150" w:name="_Toc423350781"/>
      <w:r>
        <w:lastRenderedPageBreak/>
        <w:t xml:space="preserve">Evaluator’s </w:t>
      </w:r>
      <w:r w:rsidRPr="007405A2">
        <w:t>conclusions</w:t>
      </w:r>
      <w:r>
        <w:t xml:space="preserve"> on clinical efficacy with </w:t>
      </w:r>
      <w:r w:rsidR="00434A9B">
        <w:t>SC</w:t>
      </w:r>
      <w:r>
        <w:t xml:space="preserve"> administration</w:t>
      </w:r>
      <w:bookmarkEnd w:id="149"/>
      <w:bookmarkEnd w:id="150"/>
    </w:p>
    <w:p w:rsidR="007405A2" w:rsidRDefault="00901E80" w:rsidP="00850C2B">
      <w:r>
        <w:t xml:space="preserve">The data on </w:t>
      </w:r>
      <w:proofErr w:type="spellStart"/>
      <w:r>
        <w:t>pCR</w:t>
      </w:r>
      <w:proofErr w:type="spellEnd"/>
      <w:r>
        <w:t xml:space="preserve"> from the pivotal study suggest that the proposed SC regimen will produce a degree of efficacy that is non-inferior to that obtained with the currently approved IV 6-mg/kg q3 </w:t>
      </w:r>
      <w:proofErr w:type="gramStart"/>
      <w:r>
        <w:t>weeks</w:t>
      </w:r>
      <w:proofErr w:type="gramEnd"/>
      <w:r>
        <w:t xml:space="preserve"> regimen. The pivotal study also compared the PK profiles of IV and SC administration and found that the SC route produced higher levels of systemic exposure to </w:t>
      </w:r>
      <w:proofErr w:type="spellStart"/>
      <w:r>
        <w:t>trastuzumab</w:t>
      </w:r>
      <w:proofErr w:type="spellEnd"/>
      <w:r>
        <w:t xml:space="preserve"> (see </w:t>
      </w:r>
      <w:r w:rsidR="00CD225A">
        <w:t>T</w:t>
      </w:r>
      <w:r w:rsidR="007405A2">
        <w:t>able</w:t>
      </w:r>
      <w:r w:rsidR="00CD225A">
        <w:t xml:space="preserve">s 16-19 and associated </w:t>
      </w:r>
      <w:r w:rsidR="00CD225A" w:rsidRPr="00CD225A">
        <w:rPr>
          <w:i/>
        </w:rPr>
        <w:t>italicised</w:t>
      </w:r>
      <w:r w:rsidR="00CD225A">
        <w:t xml:space="preserve"> text below</w:t>
      </w:r>
      <w:r w:rsidR="0028372E">
        <w:t>).</w:t>
      </w:r>
    </w:p>
    <w:p w:rsidR="007405A2" w:rsidRDefault="00CD225A" w:rsidP="005E127D">
      <w:pPr>
        <w:pStyle w:val="Tabletitle"/>
      </w:pPr>
      <w:r>
        <w:t xml:space="preserve">Table </w:t>
      </w:r>
      <w:r w:rsidR="007405A2">
        <w:t xml:space="preserve">16A: Summary statistics for </w:t>
      </w:r>
      <w:r w:rsidR="007405A2" w:rsidRPr="005E127D">
        <w:t>observed</w:t>
      </w:r>
      <w:r w:rsidR="007405A2">
        <w:t xml:space="preserve"> serum </w:t>
      </w:r>
      <w:proofErr w:type="spellStart"/>
      <w:r w:rsidR="007405A2">
        <w:t>Ctrough</w:t>
      </w:r>
      <w:proofErr w:type="spellEnd"/>
      <w:r w:rsidR="007405A2">
        <w:t xml:space="preserve"> (µg/mL) values at pre-dose Cycle 8 (PKPP1)</w:t>
      </w:r>
    </w:p>
    <w:p w:rsidR="007405A2" w:rsidRDefault="007405A2" w:rsidP="007405A2">
      <w:pPr>
        <w:rPr>
          <w:sz w:val="20"/>
          <w:szCs w:val="20"/>
        </w:rPr>
      </w:pPr>
      <w:r>
        <w:rPr>
          <w:noProof/>
          <w:sz w:val="20"/>
          <w:szCs w:val="20"/>
          <w:lang w:eastAsia="en-AU"/>
        </w:rPr>
        <w:drawing>
          <wp:inline distT="0" distB="0" distL="0" distR="0" wp14:anchorId="73153CCA" wp14:editId="10CA02C1">
            <wp:extent cx="4099778" cy="2042160"/>
            <wp:effectExtent l="0" t="0" r="0" b="0"/>
            <wp:docPr id="17" name="Picture 2" descr="Table 16A: Summary statistics for observed serum Ctrough (µg/mL) values at pre-dose Cycle 8 (PK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9906" cy="2042224"/>
                    </a:xfrm>
                    <a:prstGeom prst="rect">
                      <a:avLst/>
                    </a:prstGeom>
                    <a:noFill/>
                    <a:ln>
                      <a:noFill/>
                    </a:ln>
                  </pic:spPr>
                </pic:pic>
              </a:graphicData>
            </a:graphic>
          </wp:inline>
        </w:drawing>
      </w:r>
    </w:p>
    <w:p w:rsidR="007405A2" w:rsidRDefault="00CD225A" w:rsidP="005E127D">
      <w:pPr>
        <w:pStyle w:val="Tabletitle"/>
      </w:pPr>
      <w:r>
        <w:t xml:space="preserve">Table </w:t>
      </w:r>
      <w:r w:rsidR="007405A2">
        <w:t xml:space="preserve">16B: </w:t>
      </w:r>
      <w:r w:rsidR="007405A2" w:rsidRPr="007C7E5E">
        <w:t>Summary</w:t>
      </w:r>
      <w:r w:rsidR="007405A2">
        <w:t xml:space="preserve"> statistics for the </w:t>
      </w:r>
      <w:proofErr w:type="spellStart"/>
      <w:proofErr w:type="gramStart"/>
      <w:r w:rsidR="007405A2">
        <w:t>predicted</w:t>
      </w:r>
      <w:r w:rsidR="007405A2" w:rsidRPr="007405A2">
        <w:rPr>
          <w:vertAlign w:val="superscript"/>
        </w:rPr>
        <w:t>b</w:t>
      </w:r>
      <w:proofErr w:type="spellEnd"/>
      <w:r w:rsidR="007405A2">
        <w:t xml:space="preserve">  </w:t>
      </w:r>
      <w:proofErr w:type="spellStart"/>
      <w:r w:rsidR="007405A2">
        <w:t>Ctrough</w:t>
      </w:r>
      <w:proofErr w:type="spellEnd"/>
      <w:proofErr w:type="gramEnd"/>
      <w:r w:rsidR="007405A2">
        <w:t xml:space="preserve"> (µg/mL) values at pre-dose Cycle 8 (PKPP1)</w:t>
      </w:r>
    </w:p>
    <w:p w:rsidR="007405A2" w:rsidRDefault="007405A2" w:rsidP="007405A2">
      <w:pPr>
        <w:rPr>
          <w:sz w:val="20"/>
          <w:szCs w:val="20"/>
        </w:rPr>
      </w:pPr>
      <w:r>
        <w:rPr>
          <w:noProof/>
          <w:sz w:val="20"/>
          <w:szCs w:val="20"/>
          <w:lang w:eastAsia="en-AU"/>
        </w:rPr>
        <w:drawing>
          <wp:inline distT="0" distB="0" distL="0" distR="0" wp14:anchorId="30D852D9" wp14:editId="75EF132A">
            <wp:extent cx="3909060" cy="1618487"/>
            <wp:effectExtent l="0" t="0" r="0" b="0"/>
            <wp:docPr id="19" name="Picture 3" descr="Table 16B: Summary statistics for the predictedb  Ctrough (µg/mL) values at pre-dose Cycle 8 (PK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19011" cy="1622607"/>
                    </a:xfrm>
                    <a:prstGeom prst="rect">
                      <a:avLst/>
                    </a:prstGeom>
                    <a:noFill/>
                    <a:ln>
                      <a:noFill/>
                    </a:ln>
                  </pic:spPr>
                </pic:pic>
              </a:graphicData>
            </a:graphic>
          </wp:inline>
        </w:drawing>
      </w:r>
    </w:p>
    <w:p w:rsidR="007405A2" w:rsidRPr="005E127D" w:rsidRDefault="00CD225A" w:rsidP="005E127D">
      <w:pPr>
        <w:pStyle w:val="Tabletitle"/>
      </w:pPr>
      <w:r>
        <w:t xml:space="preserve">Table </w:t>
      </w:r>
      <w:r w:rsidR="007405A2">
        <w:t xml:space="preserve">16C: Summary of statistics for </w:t>
      </w:r>
      <w:proofErr w:type="spellStart"/>
      <w:proofErr w:type="gramStart"/>
      <w:r w:rsidR="007405A2">
        <w:t>predicted</w:t>
      </w:r>
      <w:r w:rsidR="007405A2" w:rsidRPr="007405A2">
        <w:rPr>
          <w:vertAlign w:val="superscript"/>
        </w:rPr>
        <w:t>b</w:t>
      </w:r>
      <w:proofErr w:type="spellEnd"/>
      <w:r w:rsidR="007405A2">
        <w:t xml:space="preserve">  </w:t>
      </w:r>
      <w:proofErr w:type="spellStart"/>
      <w:r w:rsidR="007405A2">
        <w:t>Ctrough</w:t>
      </w:r>
      <w:proofErr w:type="spellEnd"/>
      <w:proofErr w:type="gramEnd"/>
      <w:r w:rsidR="007405A2">
        <w:t xml:space="preserve"> (µg/mL) values at pre-dose Cycle 13 (PKPP1)</w:t>
      </w:r>
    </w:p>
    <w:p w:rsidR="007405A2" w:rsidRDefault="007405A2" w:rsidP="007405A2">
      <w:pPr>
        <w:rPr>
          <w:sz w:val="20"/>
          <w:szCs w:val="20"/>
        </w:rPr>
      </w:pPr>
      <w:r>
        <w:rPr>
          <w:noProof/>
          <w:sz w:val="20"/>
          <w:szCs w:val="20"/>
          <w:lang w:eastAsia="en-AU"/>
        </w:rPr>
        <w:drawing>
          <wp:inline distT="0" distB="0" distL="0" distR="0" wp14:anchorId="6FBF2545" wp14:editId="1305C161">
            <wp:extent cx="3970020" cy="1975982"/>
            <wp:effectExtent l="0" t="0" r="0" b="0"/>
            <wp:docPr id="21" name="Picture 1" descr="Table 16C: Summary of statistics for predictedb  Ctrough (µg/mL) values at pre-dose Cycle 13 (PK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6119" cy="1979018"/>
                    </a:xfrm>
                    <a:prstGeom prst="rect">
                      <a:avLst/>
                    </a:prstGeom>
                    <a:noFill/>
                    <a:ln>
                      <a:noFill/>
                    </a:ln>
                  </pic:spPr>
                </pic:pic>
              </a:graphicData>
            </a:graphic>
          </wp:inline>
        </w:drawing>
      </w:r>
    </w:p>
    <w:p w:rsidR="007405A2" w:rsidRDefault="00CD225A" w:rsidP="005E127D">
      <w:pPr>
        <w:pStyle w:val="Tabletitle"/>
      </w:pPr>
      <w:r>
        <w:lastRenderedPageBreak/>
        <w:t xml:space="preserve">Table </w:t>
      </w:r>
      <w:r w:rsidR="007405A2">
        <w:t xml:space="preserve">16D: Observed </w:t>
      </w:r>
      <w:proofErr w:type="spellStart"/>
      <w:r w:rsidR="007405A2">
        <w:t>C</w:t>
      </w:r>
      <w:r w:rsidR="007405A2" w:rsidRPr="009478DE">
        <w:rPr>
          <w:vertAlign w:val="subscript"/>
        </w:rPr>
        <w:t>trough</w:t>
      </w:r>
      <w:proofErr w:type="spellEnd"/>
      <w:r w:rsidR="007405A2">
        <w:t xml:space="preserve"> values </w:t>
      </w:r>
      <w:r w:rsidR="007405A2" w:rsidRPr="005E127D">
        <w:t>at</w:t>
      </w:r>
      <w:r w:rsidR="007405A2">
        <w:t xml:space="preserve"> pre-dose Cycle 13</w:t>
      </w:r>
    </w:p>
    <w:p w:rsidR="007405A2" w:rsidRDefault="007405A2" w:rsidP="007405A2">
      <w:pPr>
        <w:rPr>
          <w:sz w:val="20"/>
          <w:szCs w:val="20"/>
        </w:rPr>
      </w:pPr>
      <w:r>
        <w:rPr>
          <w:noProof/>
          <w:sz w:val="20"/>
          <w:szCs w:val="20"/>
          <w:lang w:eastAsia="en-AU"/>
        </w:rPr>
        <w:drawing>
          <wp:inline distT="0" distB="0" distL="0" distR="0" wp14:anchorId="5ED85CB6" wp14:editId="2D698DFB">
            <wp:extent cx="4411768" cy="2213624"/>
            <wp:effectExtent l="0" t="0" r="0" b="0"/>
            <wp:docPr id="22" name="Picture 4" descr="Table 16D: Observed Ctrough values at pre-dose Cyc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2154" cy="2213818"/>
                    </a:xfrm>
                    <a:prstGeom prst="rect">
                      <a:avLst/>
                    </a:prstGeom>
                    <a:noFill/>
                    <a:ln>
                      <a:noFill/>
                    </a:ln>
                  </pic:spPr>
                </pic:pic>
              </a:graphicData>
            </a:graphic>
          </wp:inline>
        </w:drawing>
      </w:r>
    </w:p>
    <w:p w:rsidR="007405A2" w:rsidRPr="00CD225A" w:rsidRDefault="007405A2" w:rsidP="00CD225A">
      <w:pPr>
        <w:rPr>
          <w:i/>
        </w:rPr>
      </w:pPr>
      <w:r w:rsidRPr="00CD225A">
        <w:rPr>
          <w:i/>
        </w:rPr>
        <w:t xml:space="preserve">The report provided data on the proportion of patients in both arms who achieved an observed </w:t>
      </w:r>
      <w:proofErr w:type="spellStart"/>
      <w:r w:rsidRPr="00CD225A">
        <w:rPr>
          <w:i/>
        </w:rPr>
        <w:t>C</w:t>
      </w:r>
      <w:r w:rsidRPr="00CD225A">
        <w:rPr>
          <w:i/>
          <w:vertAlign w:val="subscript"/>
        </w:rPr>
        <w:t>trough</w:t>
      </w:r>
      <w:proofErr w:type="spellEnd"/>
      <w:r w:rsidRPr="00CD225A">
        <w:rPr>
          <w:i/>
        </w:rPr>
        <w:t xml:space="preserve"> of &gt; 20 </w:t>
      </w:r>
      <w:proofErr w:type="spellStart"/>
      <w:r w:rsidRPr="00CD225A">
        <w:rPr>
          <w:i/>
        </w:rPr>
        <w:t>μg</w:t>
      </w:r>
      <w:proofErr w:type="spellEnd"/>
      <w:r w:rsidRPr="00CD225A">
        <w:rPr>
          <w:i/>
        </w:rPr>
        <w:t xml:space="preserve">/mL, as preclinical xenograft models had previously identified that this target serum concentration is required for efficacy in a number of tumour types. At pre-dose cycle 8 the proportions were 98.7% (IV) and 97% (SC). At pre-dose cycle 13 the proportions were 96.9% (IV) and 100% (SC). </w:t>
      </w:r>
    </w:p>
    <w:p w:rsidR="007405A2" w:rsidRPr="00CD225A" w:rsidRDefault="007405A2" w:rsidP="00CD225A">
      <w:pPr>
        <w:rPr>
          <w:i/>
        </w:rPr>
      </w:pPr>
      <w:proofErr w:type="spellStart"/>
      <w:r w:rsidRPr="00CD225A">
        <w:rPr>
          <w:i/>
        </w:rPr>
        <w:t>C</w:t>
      </w:r>
      <w:r w:rsidRPr="00CD225A">
        <w:rPr>
          <w:i/>
          <w:vertAlign w:val="subscript"/>
        </w:rPr>
        <w:t>trough</w:t>
      </w:r>
      <w:proofErr w:type="spellEnd"/>
      <w:r w:rsidRPr="00CD225A">
        <w:rPr>
          <w:i/>
        </w:rPr>
        <w:t xml:space="preserve"> values (mean ± SD) at day 21 of cycle 1 were </w:t>
      </w:r>
      <w:proofErr w:type="gramStart"/>
      <w:r w:rsidRPr="00CD225A">
        <w:rPr>
          <w:i/>
        </w:rPr>
        <w:t xml:space="preserve">34.5 (± 23.0) </w:t>
      </w:r>
      <w:proofErr w:type="spellStart"/>
      <w:r w:rsidRPr="00CD225A">
        <w:rPr>
          <w:i/>
        </w:rPr>
        <w:t>μg</w:t>
      </w:r>
      <w:proofErr w:type="spellEnd"/>
      <w:r w:rsidRPr="00CD225A">
        <w:rPr>
          <w:i/>
        </w:rPr>
        <w:t>/mL in the IV arm</w:t>
      </w:r>
      <w:proofErr w:type="gramEnd"/>
      <w:r w:rsidRPr="00CD225A">
        <w:rPr>
          <w:i/>
        </w:rPr>
        <w:t xml:space="preserve"> and 32.7 (± 18.5) </w:t>
      </w:r>
      <w:proofErr w:type="spellStart"/>
      <w:r w:rsidRPr="00CD225A">
        <w:rPr>
          <w:i/>
        </w:rPr>
        <w:t>μg</w:t>
      </w:r>
      <w:proofErr w:type="spellEnd"/>
      <w:r w:rsidRPr="00CD225A">
        <w:rPr>
          <w:i/>
        </w:rPr>
        <w:t>/mL in the SC arm. The absence of a loading dose in the SC arm did not therefore affect initial trough levels to any notable extent.</w:t>
      </w:r>
    </w:p>
    <w:p w:rsidR="007405A2" w:rsidRPr="007405A2" w:rsidRDefault="007405A2" w:rsidP="007405A2">
      <w:pPr>
        <w:pStyle w:val="Tabletitle"/>
      </w:pPr>
      <w:r w:rsidRPr="007405A2">
        <w:t xml:space="preserve">Table 17: Cycle 7, </w:t>
      </w:r>
      <w:proofErr w:type="spellStart"/>
      <w:r w:rsidRPr="007405A2">
        <w:t>Cmax</w:t>
      </w:r>
      <w:proofErr w:type="spellEnd"/>
      <w:r w:rsidRPr="007405A2">
        <w:t xml:space="preserve">, </w:t>
      </w:r>
      <w:proofErr w:type="spellStart"/>
      <w:r w:rsidRPr="007405A2">
        <w:t>Tmax</w:t>
      </w:r>
      <w:proofErr w:type="spellEnd"/>
      <w:r w:rsidRPr="007405A2">
        <w:t xml:space="preserve"> and AUC values</w:t>
      </w:r>
    </w:p>
    <w:p w:rsidR="007405A2" w:rsidRPr="007405A2" w:rsidRDefault="007405A2" w:rsidP="007405A2">
      <w:r>
        <w:rPr>
          <w:noProof/>
          <w:lang w:eastAsia="en-AU"/>
        </w:rPr>
        <w:drawing>
          <wp:inline distT="0" distB="0" distL="0" distR="0" wp14:anchorId="4578A42F" wp14:editId="403F7C49">
            <wp:extent cx="4471645" cy="1775460"/>
            <wp:effectExtent l="0" t="0" r="0" b="0"/>
            <wp:docPr id="31" name="Picture 31" descr="Table 17: Cycle 7, Cmax, Tmax and AUC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724"/>
                    <a:stretch/>
                  </pic:blipFill>
                  <pic:spPr bwMode="auto">
                    <a:xfrm>
                      <a:off x="0" y="0"/>
                      <a:ext cx="4482952" cy="1779950"/>
                    </a:xfrm>
                    <a:prstGeom prst="rect">
                      <a:avLst/>
                    </a:prstGeom>
                    <a:ln>
                      <a:noFill/>
                    </a:ln>
                    <a:extLst>
                      <a:ext uri="{53640926-AAD7-44D8-BBD7-CCE9431645EC}">
                        <a14:shadowObscured xmlns:a14="http://schemas.microsoft.com/office/drawing/2010/main"/>
                      </a:ext>
                    </a:extLst>
                  </pic:spPr>
                </pic:pic>
              </a:graphicData>
            </a:graphic>
          </wp:inline>
        </w:drawing>
      </w:r>
    </w:p>
    <w:p w:rsidR="007405A2" w:rsidRPr="00CD225A" w:rsidRDefault="007405A2" w:rsidP="00CD225A">
      <w:pPr>
        <w:rPr>
          <w:i/>
        </w:rPr>
      </w:pPr>
      <w:r w:rsidRPr="00CD225A">
        <w:rPr>
          <w:i/>
        </w:rPr>
        <w:t>The GMR (SC/IV) for AUC</w:t>
      </w:r>
      <w:r w:rsidRPr="00CD225A">
        <w:rPr>
          <w:i/>
          <w:vertAlign w:val="subscript"/>
        </w:rPr>
        <w:t>0-21 days</w:t>
      </w:r>
      <w:r w:rsidRPr="00CD225A">
        <w:rPr>
          <w:i/>
        </w:rPr>
        <w:t xml:space="preserve"> during Cycle 7 was </w:t>
      </w:r>
      <w:r w:rsidRPr="00CD225A">
        <w:rPr>
          <w:b/>
          <w:i/>
        </w:rPr>
        <w:t>1.07</w:t>
      </w:r>
      <w:r w:rsidRPr="00CD225A">
        <w:rPr>
          <w:i/>
        </w:rPr>
        <w:t xml:space="preserve"> (90% CI: 1.01; 1.12).</w:t>
      </w:r>
    </w:p>
    <w:p w:rsidR="00CD225A" w:rsidRPr="00CD225A" w:rsidRDefault="00CD225A" w:rsidP="00CD225A">
      <w:pPr>
        <w:pStyle w:val="Tabletitle"/>
      </w:pPr>
      <w:r w:rsidRPr="00CD225A">
        <w:t xml:space="preserve">Table 18: </w:t>
      </w:r>
      <w:r w:rsidR="007405A2" w:rsidRPr="00CD225A">
        <w:t>Cycle 12,</w:t>
      </w:r>
      <w:r w:rsidR="007405A2">
        <w:t xml:space="preserve"> </w:t>
      </w:r>
      <w:proofErr w:type="spellStart"/>
      <w:r w:rsidR="007405A2">
        <w:t>Cmax</w:t>
      </w:r>
      <w:proofErr w:type="spellEnd"/>
      <w:r w:rsidR="007405A2">
        <w:t xml:space="preserve">, </w:t>
      </w:r>
      <w:proofErr w:type="spellStart"/>
      <w:r w:rsidR="007405A2">
        <w:t>Tmax</w:t>
      </w:r>
      <w:proofErr w:type="spellEnd"/>
      <w:r w:rsidR="007405A2">
        <w:t xml:space="preserve"> and AUC values</w:t>
      </w:r>
      <w:r>
        <w:rPr>
          <w:noProof/>
          <w:lang w:eastAsia="en-AU"/>
        </w:rPr>
        <w:drawing>
          <wp:inline distT="0" distB="0" distL="0" distR="0" wp14:anchorId="5E8FD4DC" wp14:editId="4EE5DBAE">
            <wp:extent cx="4610100" cy="1803212"/>
            <wp:effectExtent l="0" t="0" r="0" b="0"/>
            <wp:docPr id="32" name="Picture 32" descr="Table 18: Cycle 12, Cmax, Tmax and AUC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926"/>
                    <a:stretch/>
                  </pic:blipFill>
                  <pic:spPr bwMode="auto">
                    <a:xfrm>
                      <a:off x="0" y="0"/>
                      <a:ext cx="4611122" cy="1803612"/>
                    </a:xfrm>
                    <a:prstGeom prst="rect">
                      <a:avLst/>
                    </a:prstGeom>
                    <a:ln>
                      <a:noFill/>
                    </a:ln>
                    <a:extLst>
                      <a:ext uri="{53640926-AAD7-44D8-BBD7-CCE9431645EC}">
                        <a14:shadowObscured xmlns:a14="http://schemas.microsoft.com/office/drawing/2010/main"/>
                      </a:ext>
                    </a:extLst>
                  </pic:spPr>
                </pic:pic>
              </a:graphicData>
            </a:graphic>
          </wp:inline>
        </w:drawing>
      </w:r>
    </w:p>
    <w:p w:rsidR="007405A2" w:rsidRPr="00CD225A" w:rsidRDefault="007405A2" w:rsidP="00CD225A">
      <w:pPr>
        <w:rPr>
          <w:i/>
        </w:rPr>
      </w:pPr>
      <w:r w:rsidRPr="00CD225A">
        <w:rPr>
          <w:i/>
        </w:rPr>
        <w:t>The GMR (SC/IV) for AUC</w:t>
      </w:r>
      <w:r w:rsidRPr="00CD225A">
        <w:rPr>
          <w:i/>
          <w:vertAlign w:val="subscript"/>
        </w:rPr>
        <w:t>0-21 days</w:t>
      </w:r>
      <w:r w:rsidRPr="00CD225A">
        <w:rPr>
          <w:i/>
        </w:rPr>
        <w:t xml:space="preserve"> during Cycle 12 was </w:t>
      </w:r>
      <w:r w:rsidRPr="00CD225A">
        <w:rPr>
          <w:b/>
          <w:i/>
        </w:rPr>
        <w:t>1.18</w:t>
      </w:r>
      <w:r w:rsidRPr="00CD225A">
        <w:rPr>
          <w:i/>
        </w:rPr>
        <w:t xml:space="preserve"> (90% CI: 1.12; 1.25).</w:t>
      </w:r>
    </w:p>
    <w:p w:rsidR="007405A2" w:rsidRPr="00CD225A" w:rsidRDefault="007405A2" w:rsidP="00CD225A">
      <w:pPr>
        <w:rPr>
          <w:i/>
        </w:rPr>
      </w:pPr>
      <w:r w:rsidRPr="00CD225A">
        <w:rPr>
          <w:i/>
        </w:rPr>
        <w:t xml:space="preserve">The report presented analyses of the effect of bodyweight on </w:t>
      </w:r>
      <w:proofErr w:type="spellStart"/>
      <w:r w:rsidRPr="00CD225A">
        <w:rPr>
          <w:i/>
        </w:rPr>
        <w:t>C</w:t>
      </w:r>
      <w:r w:rsidRPr="00CD225A">
        <w:rPr>
          <w:i/>
          <w:vertAlign w:val="subscript"/>
        </w:rPr>
        <w:t>trough</w:t>
      </w:r>
      <w:proofErr w:type="spellEnd"/>
      <w:r w:rsidRPr="00CD225A">
        <w:rPr>
          <w:i/>
        </w:rPr>
        <w:t xml:space="preserve"> and AUC</w:t>
      </w:r>
      <w:r w:rsidRPr="00CD225A">
        <w:rPr>
          <w:i/>
          <w:vertAlign w:val="subscript"/>
        </w:rPr>
        <w:t>0-21 days</w:t>
      </w:r>
      <w:r w:rsidRPr="00CD225A">
        <w:rPr>
          <w:i/>
        </w:rPr>
        <w:t>. Results for observed AUC</w:t>
      </w:r>
      <w:r w:rsidRPr="00CD225A">
        <w:rPr>
          <w:i/>
          <w:vertAlign w:val="subscript"/>
        </w:rPr>
        <w:t>0-21 days</w:t>
      </w:r>
      <w:r w:rsidRPr="00CD225A">
        <w:rPr>
          <w:i/>
        </w:rPr>
        <w:t xml:space="preserve"> during cycle 7 are shown in the following table. Subjects in the lowest quartile of </w:t>
      </w:r>
      <w:r w:rsidRPr="00CD225A">
        <w:rPr>
          <w:i/>
        </w:rPr>
        <w:lastRenderedPageBreak/>
        <w:t xml:space="preserve">body weight (&lt;59 kg) had notably higher AUC values after SC administration than after IV administration. A similar pattern was seen for </w:t>
      </w:r>
      <w:proofErr w:type="spellStart"/>
      <w:r w:rsidRPr="00CD225A">
        <w:rPr>
          <w:i/>
        </w:rPr>
        <w:t>C</w:t>
      </w:r>
      <w:r w:rsidRPr="00CD225A">
        <w:rPr>
          <w:i/>
          <w:vertAlign w:val="subscript"/>
        </w:rPr>
        <w:t>trough</w:t>
      </w:r>
      <w:proofErr w:type="spellEnd"/>
      <w:r w:rsidRPr="00CD225A">
        <w:rPr>
          <w:i/>
        </w:rPr>
        <w:t>.</w:t>
      </w:r>
    </w:p>
    <w:p w:rsidR="00CD225A" w:rsidRDefault="00CD225A" w:rsidP="00442EE5">
      <w:pPr>
        <w:pStyle w:val="Tabletitle"/>
      </w:pPr>
      <w:r>
        <w:t>Table 19: Summary of observed AUC0-21days (µg/</w:t>
      </w:r>
      <w:proofErr w:type="spellStart"/>
      <w:r>
        <w:t>mL.day</w:t>
      </w:r>
      <w:proofErr w:type="spellEnd"/>
      <w:r>
        <w:t xml:space="preserve">) values following the dose at Cycle 7 (up to </w:t>
      </w:r>
      <w:proofErr w:type="spellStart"/>
      <w:r w:rsidRPr="00442EE5">
        <w:t>Predose</w:t>
      </w:r>
      <w:proofErr w:type="spellEnd"/>
      <w:r>
        <w:t xml:space="preserve"> Cycle 8) by body weight quartiles for both </w:t>
      </w:r>
      <w:proofErr w:type="spellStart"/>
      <w:r>
        <w:t>trastuzumab</w:t>
      </w:r>
      <w:proofErr w:type="spellEnd"/>
      <w:r>
        <w:t xml:space="preserve"> IV and SC arms (PKPP1)</w:t>
      </w:r>
    </w:p>
    <w:p w:rsidR="007405A2" w:rsidRDefault="007405A2" w:rsidP="00CD225A">
      <w:pPr>
        <w:rPr>
          <w:sz w:val="20"/>
          <w:szCs w:val="20"/>
        </w:rPr>
      </w:pPr>
      <w:r>
        <w:rPr>
          <w:noProof/>
          <w:sz w:val="20"/>
          <w:szCs w:val="20"/>
          <w:lang w:eastAsia="en-AU"/>
        </w:rPr>
        <w:drawing>
          <wp:inline distT="0" distB="0" distL="0" distR="0" wp14:anchorId="6329814B" wp14:editId="4A520757">
            <wp:extent cx="4130040" cy="1479820"/>
            <wp:effectExtent l="0" t="0" r="0" b="0"/>
            <wp:docPr id="30" name="Picture 12" descr="Table 19: Summary of observed AUC0-21days (µg/mL.day) values following the dose at Cycle 7 (up to Predose Cycle 8) by body weight quartiles for both trastuzumab IV and SC arms (PK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2748" cy="1480790"/>
                    </a:xfrm>
                    <a:prstGeom prst="rect">
                      <a:avLst/>
                    </a:prstGeom>
                    <a:noFill/>
                    <a:ln>
                      <a:noFill/>
                    </a:ln>
                  </pic:spPr>
                </pic:pic>
              </a:graphicData>
            </a:graphic>
          </wp:inline>
        </w:drawing>
      </w:r>
    </w:p>
    <w:p w:rsidR="007405A2" w:rsidRPr="00CD225A" w:rsidRDefault="007405A2" w:rsidP="00F57A62">
      <w:pPr>
        <w:pStyle w:val="Comment"/>
      </w:pPr>
      <w:r w:rsidRPr="007C7E5E">
        <w:rPr>
          <w:b/>
        </w:rPr>
        <w:t>Evaluator’s comments:</w:t>
      </w:r>
      <w:r w:rsidR="00CD225A" w:rsidRPr="00CD225A">
        <w:t xml:space="preserve"> </w:t>
      </w:r>
      <w:r w:rsidRPr="00CD225A">
        <w:t xml:space="preserve">The study design, conduct and analysis were satisfactory. The PK data demonstrate that the proposed SC regimen results in higher </w:t>
      </w:r>
      <w:proofErr w:type="spellStart"/>
      <w:r w:rsidRPr="00CD225A">
        <w:t>C</w:t>
      </w:r>
      <w:r w:rsidRPr="00CD225A">
        <w:rPr>
          <w:vertAlign w:val="subscript"/>
        </w:rPr>
        <w:t>trough</w:t>
      </w:r>
      <w:proofErr w:type="spellEnd"/>
      <w:r w:rsidRPr="00CD225A">
        <w:t xml:space="preserve"> values than IV administration (a 33% increase at pre-dose cycle 8 and a 51% increase at pre-dose cycle 13). However, total systemic exposure (as assessed by AUC) is only modestly increased with SC administration (7% </w:t>
      </w:r>
      <w:proofErr w:type="gramStart"/>
      <w:r w:rsidRPr="00CD225A">
        <w:t>increase</w:t>
      </w:r>
      <w:proofErr w:type="gramEnd"/>
      <w:r w:rsidRPr="00CD225A">
        <w:t xml:space="preserve"> during cycle 7 and 18% increase during cycle 12). Increases in AUC are more pronounced in subjects with low body weight. As expected SC administration results in lower </w:t>
      </w:r>
      <w:proofErr w:type="spellStart"/>
      <w:r w:rsidRPr="00CD225A">
        <w:t>C</w:t>
      </w:r>
      <w:r w:rsidRPr="00CD225A">
        <w:rPr>
          <w:vertAlign w:val="subscript"/>
        </w:rPr>
        <w:t>max</w:t>
      </w:r>
      <w:proofErr w:type="spellEnd"/>
      <w:r w:rsidRPr="00CD225A">
        <w:t xml:space="preserve"> and delayed </w:t>
      </w:r>
      <w:proofErr w:type="spellStart"/>
      <w:r w:rsidRPr="00CD225A">
        <w:t>T</w:t>
      </w:r>
      <w:r w:rsidRPr="00CD225A">
        <w:rPr>
          <w:vertAlign w:val="subscript"/>
        </w:rPr>
        <w:t>max</w:t>
      </w:r>
      <w:proofErr w:type="spellEnd"/>
      <w:r w:rsidRPr="00CD225A">
        <w:t xml:space="preserve"> compared with IV administration.</w:t>
      </w:r>
    </w:p>
    <w:p w:rsidR="00901E80" w:rsidRDefault="00901E80" w:rsidP="00850C2B">
      <w:r>
        <w:t>If the PK findings are accepted then it is improbable that SC administration would be associated with inferior efficacy. However, the following issues are considered relevant:</w:t>
      </w:r>
    </w:p>
    <w:p w:rsidR="00901E80" w:rsidRPr="00B96ABC" w:rsidRDefault="00901E80" w:rsidP="001C7900">
      <w:pPr>
        <w:pStyle w:val="Numberbullet0"/>
        <w:numPr>
          <w:ilvl w:val="0"/>
          <w:numId w:val="10"/>
        </w:numPr>
        <w:rPr>
          <w:i/>
        </w:rPr>
      </w:pPr>
      <w:r w:rsidRPr="00B96ABC">
        <w:rPr>
          <w:i/>
        </w:rPr>
        <w:t xml:space="preserve">Use of </w:t>
      </w:r>
      <w:proofErr w:type="spellStart"/>
      <w:r w:rsidRPr="00B96ABC">
        <w:rPr>
          <w:i/>
        </w:rPr>
        <w:t>pCR</w:t>
      </w:r>
      <w:proofErr w:type="spellEnd"/>
      <w:r w:rsidRPr="00B96ABC">
        <w:rPr>
          <w:i/>
        </w:rPr>
        <w:t xml:space="preserve"> as a primary endpoint</w:t>
      </w:r>
    </w:p>
    <w:p w:rsidR="00901E80" w:rsidRDefault="00901E80" w:rsidP="00CD225A">
      <w:pPr>
        <w:ind w:left="284"/>
      </w:pPr>
      <w:r>
        <w:t xml:space="preserve">According to the EMA guideline on anticancer agents adopted by the TGA </w:t>
      </w:r>
      <w:r>
        <w:rPr>
          <w:vertAlign w:val="superscript"/>
        </w:rPr>
        <w:t>(4)</w:t>
      </w:r>
      <w:r>
        <w:t xml:space="preserve">, acceptable primary endpoints for </w:t>
      </w:r>
      <w:r w:rsidR="00041C9E">
        <w:t>Phase I</w:t>
      </w:r>
      <w:r>
        <w:t xml:space="preserve">II oncology trials are survival-type endpoints such as overall survival, progression-free survival and disease-free survival. Response rate measures such as ORR and </w:t>
      </w:r>
      <w:proofErr w:type="spellStart"/>
      <w:r>
        <w:t>pCR</w:t>
      </w:r>
      <w:proofErr w:type="spellEnd"/>
      <w:r>
        <w:t xml:space="preserve"> are generally not acceptable.</w:t>
      </w:r>
    </w:p>
    <w:p w:rsidR="00901E80" w:rsidRDefault="00901E80" w:rsidP="00CD225A">
      <w:pPr>
        <w:ind w:left="284"/>
      </w:pPr>
      <w:proofErr w:type="spellStart"/>
      <w:proofErr w:type="gramStart"/>
      <w:r>
        <w:t>pCR</w:t>
      </w:r>
      <w:proofErr w:type="spellEnd"/>
      <w:proofErr w:type="gramEnd"/>
      <w:r>
        <w:t xml:space="preserve"> has been proposed as a possible surrogate endpoint (in place of survival-type endpoints) to enable the early approval of new drugs for the treatment of breast cancer. The FDA has released a draft guideline on the subject </w:t>
      </w:r>
      <w:r>
        <w:rPr>
          <w:vertAlign w:val="superscript"/>
        </w:rPr>
        <w:t>(9)</w:t>
      </w:r>
      <w:r>
        <w:t xml:space="preserve">. A pooled analysis of </w:t>
      </w:r>
      <w:proofErr w:type="spellStart"/>
      <w:r>
        <w:t>neoadjuvant</w:t>
      </w:r>
      <w:proofErr w:type="spellEnd"/>
      <w:r>
        <w:t xml:space="preserve"> clinical trials </w:t>
      </w:r>
      <w:r>
        <w:rPr>
          <w:vertAlign w:val="superscript"/>
        </w:rPr>
        <w:t>(8)</w:t>
      </w:r>
      <w:r>
        <w:t xml:space="preserve"> demonstrated that patients who achieved a </w:t>
      </w:r>
      <w:proofErr w:type="spellStart"/>
      <w:r>
        <w:t>pCR</w:t>
      </w:r>
      <w:proofErr w:type="spellEnd"/>
      <w:r>
        <w:t xml:space="preserve"> had longer event-free survival and overall survival than those who were left with residual tumour. This association was stronger in patients with more aggressive forms of disease (e.g. hormone receptor negative disease) than in patients with less aggressive forms (e.g. hormone receptor positive disease). However, the analysis could not demonstrate a relationship between the magnitude of a treatment’s effect on </w:t>
      </w:r>
      <w:proofErr w:type="spellStart"/>
      <w:r>
        <w:t>pCR</w:t>
      </w:r>
      <w:proofErr w:type="spellEnd"/>
      <w:r>
        <w:t xml:space="preserve"> rate and the magnitude of its e</w:t>
      </w:r>
      <w:r w:rsidR="00CD225A">
        <w:t xml:space="preserve">ffect on EFS and OS. </w:t>
      </w:r>
      <w:r>
        <w:t xml:space="preserve">It cannot therefore be assumed that non-inferiority in terms of </w:t>
      </w:r>
      <w:proofErr w:type="spellStart"/>
      <w:r>
        <w:t>pCR</w:t>
      </w:r>
      <w:proofErr w:type="spellEnd"/>
      <w:r>
        <w:t xml:space="preserve"> will translate into non-inferiority in terms of EFS and OS.</w:t>
      </w:r>
    </w:p>
    <w:p w:rsidR="00901E80" w:rsidRDefault="00901E80" w:rsidP="00CD225A">
      <w:pPr>
        <w:ind w:left="284"/>
      </w:pPr>
      <w:r>
        <w:t xml:space="preserve">The current debate regarding the use of </w:t>
      </w:r>
      <w:proofErr w:type="spellStart"/>
      <w:r>
        <w:t>pCR</w:t>
      </w:r>
      <w:proofErr w:type="spellEnd"/>
      <w:r>
        <w:t xml:space="preserve"> concerns its use as a surrogate endpoint for </w:t>
      </w:r>
      <w:r>
        <w:rPr>
          <w:i/>
        </w:rPr>
        <w:t>new</w:t>
      </w:r>
      <w:r>
        <w:t xml:space="preserve"> drugs in the situation where data on hard clinical endpoints such as EFS and OS are not yet available. For </w:t>
      </w:r>
      <w:proofErr w:type="spellStart"/>
      <w:r>
        <w:t>trastuzumab</w:t>
      </w:r>
      <w:proofErr w:type="spellEnd"/>
      <w:r>
        <w:t xml:space="preserve">, a beneficial effect of the drug on these endpoints has already been demonstrated (for the IV form). The use of </w:t>
      </w:r>
      <w:proofErr w:type="spellStart"/>
      <w:r>
        <w:t>pCR</w:t>
      </w:r>
      <w:proofErr w:type="spellEnd"/>
      <w:r>
        <w:t xml:space="preserve"> as a surrogate endpoint to demonstrate comparable efficacy between the IV and SC forms therefore seems a reasonable approach. The alternative would be to require demonstration of non-inferiority between the two routes of administration using a hard clinical endpoint such as EFS. This would require a very large trial, which would </w:t>
      </w:r>
      <w:r w:rsidR="004B2CE5">
        <w:t>take several years to complete.</w:t>
      </w:r>
    </w:p>
    <w:p w:rsidR="00901E80" w:rsidRDefault="00901E80" w:rsidP="00CD225A">
      <w:pPr>
        <w:ind w:left="284"/>
      </w:pPr>
      <w:r>
        <w:t xml:space="preserve">Despite the wording of the EMA guideline it is noted that the EMA itself has approved the current application. Overall, it is considered that the use of </w:t>
      </w:r>
      <w:proofErr w:type="spellStart"/>
      <w:r>
        <w:t>pCR</w:t>
      </w:r>
      <w:proofErr w:type="spellEnd"/>
      <w:r>
        <w:t xml:space="preserve"> as the primary e</w:t>
      </w:r>
      <w:r w:rsidR="004B2CE5">
        <w:t>fficacy endpoint is acceptable.</w:t>
      </w:r>
    </w:p>
    <w:p w:rsidR="00901E80" w:rsidRPr="00B96ABC" w:rsidRDefault="00901E80" w:rsidP="00B96ABC">
      <w:pPr>
        <w:pStyle w:val="Numberbullet0"/>
        <w:rPr>
          <w:i/>
        </w:rPr>
      </w:pPr>
      <w:r w:rsidRPr="00B96ABC">
        <w:rPr>
          <w:i/>
        </w:rPr>
        <w:lastRenderedPageBreak/>
        <w:t>Lack of blinding</w:t>
      </w:r>
    </w:p>
    <w:p w:rsidR="00901E80" w:rsidRDefault="00901E80" w:rsidP="00901E80">
      <w:pPr>
        <w:ind w:left="284"/>
      </w:pPr>
      <w:r>
        <w:t xml:space="preserve">Local pathologists assessed the primary endpoint of </w:t>
      </w:r>
      <w:proofErr w:type="spellStart"/>
      <w:r>
        <w:t>pCR</w:t>
      </w:r>
      <w:proofErr w:type="spellEnd"/>
      <w:r>
        <w:t>. It appears that these pathologists were not blinded to treatment allocation and that there was no independent review of their findings. This may have introduced some bias into the trial findings.</w:t>
      </w:r>
    </w:p>
    <w:p w:rsidR="00901E80" w:rsidRPr="00B96ABC" w:rsidRDefault="00901E80" w:rsidP="00B96ABC">
      <w:pPr>
        <w:pStyle w:val="Numberbullet0"/>
        <w:rPr>
          <w:i/>
        </w:rPr>
      </w:pPr>
      <w:r w:rsidRPr="00B96ABC">
        <w:rPr>
          <w:i/>
        </w:rPr>
        <w:t>Efficacy in metastatic disease</w:t>
      </w:r>
    </w:p>
    <w:p w:rsidR="00901E80" w:rsidRDefault="00901E80" w:rsidP="00901E80">
      <w:pPr>
        <w:ind w:left="284"/>
      </w:pPr>
      <w:r>
        <w:t xml:space="preserve">The sponsor is seeking approval for the new SC regimen in the treatment of metastatic disease. The population included in the pivotal study consisted of subjects with localised or locally advanced disease. Patients with metastatic disease were excluded. The study also compared the proposed SC regimen with the 6-mg/kg q3 weeks IV regimen. In Australia the only regimen approved for use in metastatic disease is the 2-mg/kg q1 week regimen (see </w:t>
      </w:r>
      <w:r w:rsidR="001D7770">
        <w:t>Table 20</w:t>
      </w:r>
      <w:r>
        <w:t>). This was the dosage regimen used in the pivotal efficacy studies in this setting. An application for approval of the 6-mg/kg q3 weeks IV regimen in metastatic disease was not approved by the TGA.</w:t>
      </w:r>
    </w:p>
    <w:p w:rsidR="001D7770" w:rsidRDefault="001D7770" w:rsidP="00850C2B">
      <w:pPr>
        <w:pStyle w:val="Tabletitle"/>
      </w:pPr>
      <w:bookmarkStart w:id="151" w:name="_Ref259799826"/>
      <w:bookmarkStart w:id="152" w:name="_Ref259799758"/>
      <w:bookmarkStart w:id="153" w:name="_Toc272679745"/>
      <w:r>
        <w:t xml:space="preserve">Table </w:t>
      </w:r>
      <w:bookmarkEnd w:id="151"/>
      <w:r>
        <w:t xml:space="preserve">20: Approved </w:t>
      </w:r>
      <w:r w:rsidRPr="00850C2B">
        <w:t>indications</w:t>
      </w:r>
      <w:r>
        <w:t xml:space="preserve"> and approved and proposed dosage regimens</w:t>
      </w:r>
      <w:bookmarkEnd w:id="152"/>
      <w:bookmarkEnd w:id="153"/>
      <w:r w:rsidR="0028372E">
        <w:t>.</w:t>
      </w:r>
    </w:p>
    <w:p w:rsidR="001D7770" w:rsidRPr="00E164C8" w:rsidRDefault="001D7770" w:rsidP="001D7770">
      <w:r>
        <w:t>Shaded areas indicate changes that are the subject of the current application.</w:t>
      </w:r>
    </w:p>
    <w:tbl>
      <w:tblPr>
        <w:tblStyle w:val="TableTGAblue"/>
        <w:tblW w:w="9606" w:type="dxa"/>
        <w:tblLayout w:type="fixed"/>
        <w:tblLook w:val="04A0" w:firstRow="1" w:lastRow="0" w:firstColumn="1" w:lastColumn="0" w:noHBand="0" w:noVBand="1"/>
      </w:tblPr>
      <w:tblGrid>
        <w:gridCol w:w="3227"/>
        <w:gridCol w:w="1134"/>
        <w:gridCol w:w="1417"/>
        <w:gridCol w:w="1985"/>
        <w:gridCol w:w="1843"/>
      </w:tblGrid>
      <w:tr w:rsidR="002A64C8" w:rsidRPr="005C530E" w:rsidTr="00722E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Pr>
          <w:p w:rsidR="002A64C8" w:rsidRPr="005C530E" w:rsidRDefault="002A64C8" w:rsidP="002A64C8">
            <w:pPr>
              <w:rPr>
                <w:b w:val="0"/>
              </w:rPr>
            </w:pPr>
            <w:r w:rsidRPr="005C530E">
              <w:t>Approved Indication</w:t>
            </w:r>
          </w:p>
        </w:tc>
        <w:tc>
          <w:tcPr>
            <w:tcW w:w="1134" w:type="dxa"/>
          </w:tcPr>
          <w:p w:rsidR="002A64C8" w:rsidRPr="005C530E" w:rsidRDefault="002A64C8" w:rsidP="002A64C8">
            <w:pPr>
              <w:cnfStyle w:val="100000000000" w:firstRow="1" w:lastRow="0" w:firstColumn="0" w:lastColumn="0" w:oddVBand="0" w:evenVBand="0" w:oddHBand="0" w:evenHBand="0" w:firstRowFirstColumn="0" w:firstRowLastColumn="0" w:lastRowFirstColumn="0" w:lastRowLastColumn="0"/>
              <w:rPr>
                <w:b w:val="0"/>
              </w:rPr>
            </w:pPr>
            <w:proofErr w:type="spellStart"/>
            <w:r w:rsidRPr="005C530E">
              <w:t>RoA</w:t>
            </w:r>
            <w:proofErr w:type="spellEnd"/>
          </w:p>
        </w:tc>
        <w:tc>
          <w:tcPr>
            <w:tcW w:w="1417" w:type="dxa"/>
          </w:tcPr>
          <w:p w:rsidR="002A64C8" w:rsidRDefault="002A64C8" w:rsidP="002A64C8">
            <w:pPr>
              <w:cnfStyle w:val="100000000000" w:firstRow="1" w:lastRow="0" w:firstColumn="0" w:lastColumn="0" w:oddVBand="0" w:evenVBand="0" w:oddHBand="0" w:evenHBand="0" w:firstRowFirstColumn="0" w:firstRowLastColumn="0" w:lastRowFirstColumn="0" w:lastRowLastColumn="0"/>
              <w:rPr>
                <w:b w:val="0"/>
              </w:rPr>
            </w:pPr>
            <w:r w:rsidRPr="00E164C8">
              <w:t xml:space="preserve">Loading </w:t>
            </w:r>
          </w:p>
          <w:p w:rsidR="002A64C8" w:rsidRPr="00E164C8" w:rsidRDefault="002A64C8" w:rsidP="002A64C8">
            <w:pPr>
              <w:cnfStyle w:val="100000000000" w:firstRow="1" w:lastRow="0" w:firstColumn="0" w:lastColumn="0" w:oddVBand="0" w:evenVBand="0" w:oddHBand="0" w:evenHBand="0" w:firstRowFirstColumn="0" w:firstRowLastColumn="0" w:lastRowFirstColumn="0" w:lastRowLastColumn="0"/>
              <w:rPr>
                <w:b w:val="0"/>
              </w:rPr>
            </w:pPr>
            <w:r w:rsidRPr="00E164C8">
              <w:t>dose</w:t>
            </w:r>
          </w:p>
        </w:tc>
        <w:tc>
          <w:tcPr>
            <w:tcW w:w="1985" w:type="dxa"/>
          </w:tcPr>
          <w:p w:rsidR="002A64C8" w:rsidRDefault="002A64C8" w:rsidP="002A64C8">
            <w:pPr>
              <w:cnfStyle w:val="100000000000" w:firstRow="1" w:lastRow="0" w:firstColumn="0" w:lastColumn="0" w:oddVBand="0" w:evenVBand="0" w:oddHBand="0" w:evenHBand="0" w:firstRowFirstColumn="0" w:firstRowLastColumn="0" w:lastRowFirstColumn="0" w:lastRowLastColumn="0"/>
              <w:rPr>
                <w:b w:val="0"/>
              </w:rPr>
            </w:pPr>
            <w:r w:rsidRPr="00E164C8">
              <w:t xml:space="preserve">Subsequent </w:t>
            </w:r>
          </w:p>
          <w:p w:rsidR="002A64C8" w:rsidRPr="00E164C8" w:rsidRDefault="002A64C8" w:rsidP="002A64C8">
            <w:pPr>
              <w:cnfStyle w:val="100000000000" w:firstRow="1" w:lastRow="0" w:firstColumn="0" w:lastColumn="0" w:oddVBand="0" w:evenVBand="0" w:oddHBand="0" w:evenHBand="0" w:firstRowFirstColumn="0" w:firstRowLastColumn="0" w:lastRowFirstColumn="0" w:lastRowLastColumn="0"/>
              <w:rPr>
                <w:b w:val="0"/>
              </w:rPr>
            </w:pPr>
            <w:r w:rsidRPr="00E164C8">
              <w:t>doses</w:t>
            </w:r>
          </w:p>
        </w:tc>
        <w:tc>
          <w:tcPr>
            <w:tcW w:w="1843" w:type="dxa"/>
          </w:tcPr>
          <w:p w:rsidR="002A64C8" w:rsidRPr="00E164C8" w:rsidRDefault="002A64C8" w:rsidP="002A64C8">
            <w:pPr>
              <w:cnfStyle w:val="100000000000" w:firstRow="1" w:lastRow="0" w:firstColumn="0" w:lastColumn="0" w:oddVBand="0" w:evenVBand="0" w:oddHBand="0" w:evenHBand="0" w:firstRowFirstColumn="0" w:firstRowLastColumn="0" w:lastRowFirstColumn="0" w:lastRowLastColumn="0"/>
              <w:rPr>
                <w:b w:val="0"/>
              </w:rPr>
            </w:pPr>
            <w:r w:rsidRPr="00E164C8">
              <w:t>Duration</w:t>
            </w:r>
          </w:p>
        </w:tc>
      </w:tr>
      <w:tr w:rsidR="002A64C8" w:rsidRPr="005C530E" w:rsidTr="00722E08">
        <w:tc>
          <w:tcPr>
            <w:cnfStyle w:val="001000000000" w:firstRow="0" w:lastRow="0" w:firstColumn="1" w:lastColumn="0" w:oddVBand="0" w:evenVBand="0" w:oddHBand="0" w:evenHBand="0" w:firstRowFirstColumn="0" w:firstRowLastColumn="0" w:lastRowFirstColumn="0" w:lastRowLastColumn="0"/>
            <w:tcW w:w="3227" w:type="dxa"/>
            <w:vMerge w:val="restart"/>
          </w:tcPr>
          <w:p w:rsidR="002A64C8" w:rsidRPr="002A64C8" w:rsidRDefault="002A64C8" w:rsidP="002A64C8">
            <w:pPr>
              <w:rPr>
                <w:b/>
              </w:rPr>
            </w:pPr>
            <w:r w:rsidRPr="002A64C8">
              <w:rPr>
                <w:b/>
              </w:rPr>
              <w:t>Localised Breast Cancer</w:t>
            </w:r>
          </w:p>
          <w:p w:rsidR="002A64C8" w:rsidRDefault="002A64C8" w:rsidP="002A64C8">
            <w:r w:rsidRPr="005C530E">
              <w:t>Treatment of HER2-positive localised breast cancer following surgery, and in association with chemotherapy and, if applicable, radiotherapy.</w:t>
            </w:r>
          </w:p>
          <w:p w:rsidR="002A64C8" w:rsidRPr="005C530E" w:rsidRDefault="002A64C8" w:rsidP="002A64C8"/>
        </w:tc>
        <w:tc>
          <w:tcPr>
            <w:tcW w:w="1134" w:type="dxa"/>
          </w:tcPr>
          <w:p w:rsidR="002A64C8" w:rsidRDefault="002A64C8" w:rsidP="002A64C8">
            <w:pPr>
              <w:cnfStyle w:val="000000000000" w:firstRow="0" w:lastRow="0" w:firstColumn="0" w:lastColumn="0" w:oddVBand="0" w:evenVBand="0" w:oddHBand="0" w:evenHBand="0" w:firstRowFirstColumn="0" w:firstRowLastColumn="0" w:lastRowFirstColumn="0" w:lastRowLastColumn="0"/>
            </w:pPr>
            <w:r w:rsidRPr="005C530E">
              <w:t>IV</w:t>
            </w:r>
          </w:p>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p>
        </w:tc>
        <w:tc>
          <w:tcPr>
            <w:tcW w:w="1417"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8 mg/kg</w:t>
            </w:r>
          </w:p>
        </w:tc>
        <w:tc>
          <w:tcPr>
            <w:tcW w:w="1985"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6 mg/kg every 3 weeks</w:t>
            </w:r>
          </w:p>
        </w:tc>
        <w:tc>
          <w:tcPr>
            <w:tcW w:w="1843"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1 year</w:t>
            </w:r>
          </w:p>
        </w:tc>
      </w:tr>
      <w:tr w:rsidR="002A64C8" w:rsidRPr="005C530E" w:rsidTr="00722E08">
        <w:tc>
          <w:tcPr>
            <w:cnfStyle w:val="001000000000" w:firstRow="0" w:lastRow="0" w:firstColumn="1" w:lastColumn="0" w:oddVBand="0" w:evenVBand="0" w:oddHBand="0" w:evenHBand="0" w:firstRowFirstColumn="0" w:firstRowLastColumn="0" w:lastRowFirstColumn="0" w:lastRowLastColumn="0"/>
            <w:tcW w:w="3227" w:type="dxa"/>
            <w:vMerge/>
          </w:tcPr>
          <w:p w:rsidR="002A64C8" w:rsidRPr="005C530E" w:rsidRDefault="002A64C8" w:rsidP="002A64C8"/>
        </w:tc>
        <w:tc>
          <w:tcPr>
            <w:tcW w:w="1134" w:type="dxa"/>
          </w:tcPr>
          <w:p w:rsidR="002A64C8" w:rsidRDefault="002A64C8" w:rsidP="002A64C8">
            <w:pPr>
              <w:cnfStyle w:val="000000000000" w:firstRow="0" w:lastRow="0" w:firstColumn="0" w:lastColumn="0" w:oddVBand="0" w:evenVBand="0" w:oddHBand="0" w:evenHBand="0" w:firstRowFirstColumn="0" w:firstRowLastColumn="0" w:lastRowFirstColumn="0" w:lastRowLastColumn="0"/>
            </w:pPr>
            <w:r>
              <w:t>IV</w:t>
            </w:r>
          </w:p>
          <w:p w:rsidR="002A64C8" w:rsidRDefault="002A64C8" w:rsidP="002A64C8">
            <w:pPr>
              <w:cnfStyle w:val="000000000000" w:firstRow="0" w:lastRow="0" w:firstColumn="0" w:lastColumn="0" w:oddVBand="0" w:evenVBand="0" w:oddHBand="0" w:evenHBand="0" w:firstRowFirstColumn="0" w:firstRowLastColumn="0" w:lastRowFirstColumn="0" w:lastRowLastColumn="0"/>
            </w:pPr>
          </w:p>
        </w:tc>
        <w:tc>
          <w:tcPr>
            <w:tcW w:w="1417"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4 mg/kg</w:t>
            </w:r>
          </w:p>
        </w:tc>
        <w:tc>
          <w:tcPr>
            <w:tcW w:w="1985"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2 mg/kg every 1 week</w:t>
            </w:r>
          </w:p>
        </w:tc>
        <w:tc>
          <w:tcPr>
            <w:tcW w:w="1843"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1 year</w:t>
            </w:r>
          </w:p>
        </w:tc>
      </w:tr>
      <w:tr w:rsidR="002A64C8" w:rsidRPr="005C530E" w:rsidTr="00722E08">
        <w:tc>
          <w:tcPr>
            <w:cnfStyle w:val="001000000000" w:firstRow="0" w:lastRow="0" w:firstColumn="1" w:lastColumn="0" w:oddVBand="0" w:evenVBand="0" w:oddHBand="0" w:evenHBand="0" w:firstRowFirstColumn="0" w:firstRowLastColumn="0" w:lastRowFirstColumn="0" w:lastRowLastColumn="0"/>
            <w:tcW w:w="3227" w:type="dxa"/>
            <w:vMerge/>
          </w:tcPr>
          <w:p w:rsidR="002A64C8" w:rsidRPr="005C530E" w:rsidRDefault="002A64C8" w:rsidP="002A64C8"/>
        </w:tc>
        <w:tc>
          <w:tcPr>
            <w:tcW w:w="1134" w:type="dxa"/>
            <w:shd w:val="clear" w:color="auto" w:fill="D9D9D9" w:themeFill="background1" w:themeFillShade="D9"/>
          </w:tcPr>
          <w:p w:rsidR="002A64C8" w:rsidRDefault="002A64C8" w:rsidP="002A64C8">
            <w:pPr>
              <w:cnfStyle w:val="000000000000" w:firstRow="0" w:lastRow="0" w:firstColumn="0" w:lastColumn="0" w:oddVBand="0" w:evenVBand="0" w:oddHBand="0" w:evenHBand="0" w:firstRowFirstColumn="0" w:firstRowLastColumn="0" w:lastRowFirstColumn="0" w:lastRowLastColumn="0"/>
            </w:pPr>
            <w:r>
              <w:t>SC</w:t>
            </w:r>
          </w:p>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9D9D9" w:themeFill="background1" w:themeFillShade="D9"/>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w:t>
            </w:r>
          </w:p>
        </w:tc>
        <w:tc>
          <w:tcPr>
            <w:tcW w:w="1985" w:type="dxa"/>
            <w:shd w:val="clear" w:color="auto" w:fill="D9D9D9" w:themeFill="background1" w:themeFillShade="D9"/>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600 mg every 3 weeks</w:t>
            </w:r>
          </w:p>
        </w:tc>
        <w:tc>
          <w:tcPr>
            <w:tcW w:w="1843" w:type="dxa"/>
            <w:shd w:val="clear" w:color="auto" w:fill="D9D9D9" w:themeFill="background1" w:themeFillShade="D9"/>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1 year</w:t>
            </w:r>
          </w:p>
        </w:tc>
      </w:tr>
      <w:tr w:rsidR="002A64C8" w:rsidRPr="005C530E" w:rsidTr="00722E08">
        <w:tc>
          <w:tcPr>
            <w:cnfStyle w:val="001000000000" w:firstRow="0" w:lastRow="0" w:firstColumn="1" w:lastColumn="0" w:oddVBand="0" w:evenVBand="0" w:oddHBand="0" w:evenHBand="0" w:firstRowFirstColumn="0" w:firstRowLastColumn="0" w:lastRowFirstColumn="0" w:lastRowLastColumn="0"/>
            <w:tcW w:w="3227" w:type="dxa"/>
            <w:vMerge w:val="restart"/>
          </w:tcPr>
          <w:p w:rsidR="002A64C8" w:rsidRPr="002A64C8" w:rsidRDefault="002A64C8" w:rsidP="002A64C8">
            <w:pPr>
              <w:rPr>
                <w:b/>
              </w:rPr>
            </w:pPr>
            <w:r w:rsidRPr="002A64C8">
              <w:rPr>
                <w:b/>
              </w:rPr>
              <w:t>Locally Advanced Breast Cancer</w:t>
            </w:r>
          </w:p>
          <w:p w:rsidR="002A64C8" w:rsidRDefault="002A64C8" w:rsidP="002A64C8">
            <w:r w:rsidRPr="005C530E">
              <w:t xml:space="preserve">Treatment of HER2-positive locally advanced breast cancer in combination with </w:t>
            </w:r>
            <w:proofErr w:type="spellStart"/>
            <w:r w:rsidRPr="005C530E">
              <w:t>neoadjuvant</w:t>
            </w:r>
            <w:proofErr w:type="spellEnd"/>
            <w:r w:rsidRPr="005C530E">
              <w:t xml:space="preserve"> chemotherapy followed by adjuvant HERCEPTIN.</w:t>
            </w:r>
          </w:p>
          <w:p w:rsidR="002A64C8" w:rsidRPr="005C530E" w:rsidRDefault="002A64C8" w:rsidP="002A64C8"/>
        </w:tc>
        <w:tc>
          <w:tcPr>
            <w:tcW w:w="1134" w:type="dxa"/>
          </w:tcPr>
          <w:p w:rsidR="002A64C8" w:rsidRDefault="002A64C8" w:rsidP="002A64C8">
            <w:pPr>
              <w:cnfStyle w:val="000000000000" w:firstRow="0" w:lastRow="0" w:firstColumn="0" w:lastColumn="0" w:oddVBand="0" w:evenVBand="0" w:oddHBand="0" w:evenHBand="0" w:firstRowFirstColumn="0" w:firstRowLastColumn="0" w:lastRowFirstColumn="0" w:lastRowLastColumn="0"/>
            </w:pPr>
            <w:r>
              <w:t>IV</w:t>
            </w:r>
          </w:p>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p>
        </w:tc>
        <w:tc>
          <w:tcPr>
            <w:tcW w:w="1417"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8 mg/kg</w:t>
            </w:r>
          </w:p>
        </w:tc>
        <w:tc>
          <w:tcPr>
            <w:tcW w:w="1985"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6 mg/kg every 3 weeks</w:t>
            </w:r>
          </w:p>
        </w:tc>
        <w:tc>
          <w:tcPr>
            <w:tcW w:w="1843"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1 year</w:t>
            </w:r>
          </w:p>
        </w:tc>
      </w:tr>
      <w:tr w:rsidR="002A64C8" w:rsidRPr="005C530E" w:rsidTr="00722E08">
        <w:tc>
          <w:tcPr>
            <w:cnfStyle w:val="001000000000" w:firstRow="0" w:lastRow="0" w:firstColumn="1" w:lastColumn="0" w:oddVBand="0" w:evenVBand="0" w:oddHBand="0" w:evenHBand="0" w:firstRowFirstColumn="0" w:firstRowLastColumn="0" w:lastRowFirstColumn="0" w:lastRowLastColumn="0"/>
            <w:tcW w:w="3227" w:type="dxa"/>
            <w:vMerge/>
          </w:tcPr>
          <w:p w:rsidR="002A64C8" w:rsidRPr="005C530E" w:rsidRDefault="002A64C8" w:rsidP="002A64C8"/>
        </w:tc>
        <w:tc>
          <w:tcPr>
            <w:tcW w:w="1134" w:type="dxa"/>
            <w:shd w:val="clear" w:color="auto" w:fill="D9D9D9" w:themeFill="background1" w:themeFillShade="D9"/>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SC</w:t>
            </w:r>
          </w:p>
        </w:tc>
        <w:tc>
          <w:tcPr>
            <w:tcW w:w="1417" w:type="dxa"/>
            <w:shd w:val="clear" w:color="auto" w:fill="D9D9D9" w:themeFill="background1" w:themeFillShade="D9"/>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w:t>
            </w:r>
          </w:p>
        </w:tc>
        <w:tc>
          <w:tcPr>
            <w:tcW w:w="1985" w:type="dxa"/>
            <w:shd w:val="clear" w:color="auto" w:fill="D9D9D9" w:themeFill="background1" w:themeFillShade="D9"/>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600 mg every 3 weeks</w:t>
            </w:r>
          </w:p>
        </w:tc>
        <w:tc>
          <w:tcPr>
            <w:tcW w:w="1843" w:type="dxa"/>
            <w:shd w:val="clear" w:color="auto" w:fill="D9D9D9" w:themeFill="background1" w:themeFillShade="D9"/>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1 year</w:t>
            </w:r>
          </w:p>
        </w:tc>
      </w:tr>
      <w:tr w:rsidR="002A64C8" w:rsidRPr="005C530E" w:rsidTr="00722E08">
        <w:tc>
          <w:tcPr>
            <w:cnfStyle w:val="001000000000" w:firstRow="0" w:lastRow="0" w:firstColumn="1" w:lastColumn="0" w:oddVBand="0" w:evenVBand="0" w:oddHBand="0" w:evenHBand="0" w:firstRowFirstColumn="0" w:firstRowLastColumn="0" w:lastRowFirstColumn="0" w:lastRowLastColumn="0"/>
            <w:tcW w:w="3227" w:type="dxa"/>
            <w:vMerge w:val="restart"/>
          </w:tcPr>
          <w:p w:rsidR="002A64C8" w:rsidRPr="002A64C8" w:rsidRDefault="002A64C8" w:rsidP="002A64C8">
            <w:pPr>
              <w:rPr>
                <w:b/>
              </w:rPr>
            </w:pPr>
            <w:r w:rsidRPr="002A64C8">
              <w:rPr>
                <w:b/>
              </w:rPr>
              <w:t>Metastatic Breast Cancer</w:t>
            </w:r>
          </w:p>
          <w:p w:rsidR="002A64C8" w:rsidRPr="005C530E" w:rsidRDefault="002A64C8" w:rsidP="002A64C8">
            <w:r>
              <w:t>T</w:t>
            </w:r>
            <w:r w:rsidRPr="005C530E">
              <w:t>reatment of patients with metastatic breast cancer who have tumours that overexpress HER2:</w:t>
            </w:r>
          </w:p>
          <w:p w:rsidR="002A64C8" w:rsidRPr="005C530E" w:rsidRDefault="002A64C8" w:rsidP="002A64C8">
            <w:r w:rsidRPr="005C530E">
              <w:t xml:space="preserve">As monotherapy for the treatment of those patients who have received one or more chemotherapy regimens for their </w:t>
            </w:r>
            <w:r w:rsidRPr="005C530E">
              <w:lastRenderedPageBreak/>
              <w:t>metastatic disease;</w:t>
            </w:r>
          </w:p>
          <w:p w:rsidR="002A64C8" w:rsidRPr="005C530E" w:rsidRDefault="002A64C8" w:rsidP="002A64C8">
            <w:r w:rsidRPr="005C530E">
              <w:t xml:space="preserve">In combination with </w:t>
            </w:r>
            <w:proofErr w:type="spellStart"/>
            <w:r w:rsidRPr="005C530E">
              <w:t>taxanes</w:t>
            </w:r>
            <w:proofErr w:type="spellEnd"/>
            <w:r w:rsidRPr="005C530E">
              <w:t xml:space="preserve"> for the treatment of those patients who have not received chemotherapy for their metastatic disease; or</w:t>
            </w:r>
          </w:p>
          <w:p w:rsidR="002A64C8" w:rsidRDefault="002A64C8" w:rsidP="002A64C8">
            <w:r w:rsidRPr="005C530E">
              <w:t>In combination with an aromatase inhibitor for the treatment of post-menopausal patients with hormone-receptor positive metastatic breast cancer.</w:t>
            </w:r>
          </w:p>
          <w:p w:rsidR="002A64C8" w:rsidRPr="00FF7884" w:rsidRDefault="002A64C8" w:rsidP="002A64C8"/>
        </w:tc>
        <w:tc>
          <w:tcPr>
            <w:tcW w:w="1134" w:type="dxa"/>
          </w:tcPr>
          <w:p w:rsidR="002A64C8" w:rsidRDefault="002A64C8" w:rsidP="002A64C8">
            <w:pPr>
              <w:cnfStyle w:val="000000000000" w:firstRow="0" w:lastRow="0" w:firstColumn="0" w:lastColumn="0" w:oddVBand="0" w:evenVBand="0" w:oddHBand="0" w:evenHBand="0" w:firstRowFirstColumn="0" w:firstRowLastColumn="0" w:lastRowFirstColumn="0" w:lastRowLastColumn="0"/>
            </w:pPr>
            <w:r>
              <w:lastRenderedPageBreak/>
              <w:t>IV</w:t>
            </w:r>
          </w:p>
          <w:p w:rsidR="002A64C8" w:rsidRDefault="002A64C8" w:rsidP="002A64C8">
            <w:pPr>
              <w:cnfStyle w:val="000000000000" w:firstRow="0" w:lastRow="0" w:firstColumn="0" w:lastColumn="0" w:oddVBand="0" w:evenVBand="0" w:oddHBand="0" w:evenHBand="0" w:firstRowFirstColumn="0" w:firstRowLastColumn="0" w:lastRowFirstColumn="0" w:lastRowLastColumn="0"/>
            </w:pPr>
          </w:p>
          <w:p w:rsidR="002A64C8" w:rsidRDefault="002A64C8" w:rsidP="002A64C8">
            <w:pPr>
              <w:cnfStyle w:val="000000000000" w:firstRow="0" w:lastRow="0" w:firstColumn="0" w:lastColumn="0" w:oddVBand="0" w:evenVBand="0" w:oddHBand="0" w:evenHBand="0" w:firstRowFirstColumn="0" w:firstRowLastColumn="0" w:lastRowFirstColumn="0" w:lastRowLastColumn="0"/>
            </w:pPr>
          </w:p>
          <w:p w:rsidR="002A64C8" w:rsidRDefault="002A64C8" w:rsidP="002A64C8">
            <w:pPr>
              <w:cnfStyle w:val="000000000000" w:firstRow="0" w:lastRow="0" w:firstColumn="0" w:lastColumn="0" w:oddVBand="0" w:evenVBand="0" w:oddHBand="0" w:evenHBand="0" w:firstRowFirstColumn="0" w:firstRowLastColumn="0" w:lastRowFirstColumn="0" w:lastRowLastColumn="0"/>
            </w:pPr>
          </w:p>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p>
        </w:tc>
        <w:tc>
          <w:tcPr>
            <w:tcW w:w="1417"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4 mg/kg</w:t>
            </w:r>
          </w:p>
        </w:tc>
        <w:tc>
          <w:tcPr>
            <w:tcW w:w="1985"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2 mg/kg every 1 week</w:t>
            </w:r>
          </w:p>
        </w:tc>
        <w:tc>
          <w:tcPr>
            <w:tcW w:w="1843"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Until disease progression</w:t>
            </w:r>
          </w:p>
        </w:tc>
      </w:tr>
      <w:tr w:rsidR="002A64C8" w:rsidRPr="005C530E" w:rsidTr="00722E08">
        <w:tc>
          <w:tcPr>
            <w:cnfStyle w:val="001000000000" w:firstRow="0" w:lastRow="0" w:firstColumn="1" w:lastColumn="0" w:oddVBand="0" w:evenVBand="0" w:oddHBand="0" w:evenHBand="0" w:firstRowFirstColumn="0" w:firstRowLastColumn="0" w:lastRowFirstColumn="0" w:lastRowLastColumn="0"/>
            <w:tcW w:w="3227" w:type="dxa"/>
            <w:vMerge/>
          </w:tcPr>
          <w:p w:rsidR="002A64C8" w:rsidRPr="005C530E" w:rsidRDefault="002A64C8" w:rsidP="002A64C8"/>
        </w:tc>
        <w:tc>
          <w:tcPr>
            <w:tcW w:w="1134" w:type="dxa"/>
            <w:shd w:val="clear" w:color="auto" w:fill="D9D9D9" w:themeFill="background1" w:themeFillShade="D9"/>
          </w:tcPr>
          <w:p w:rsidR="002A64C8" w:rsidRDefault="002A64C8" w:rsidP="002A64C8">
            <w:pPr>
              <w:cnfStyle w:val="000000000000" w:firstRow="0" w:lastRow="0" w:firstColumn="0" w:lastColumn="0" w:oddVBand="0" w:evenVBand="0" w:oddHBand="0" w:evenHBand="0" w:firstRowFirstColumn="0" w:firstRowLastColumn="0" w:lastRowFirstColumn="0" w:lastRowLastColumn="0"/>
            </w:pPr>
            <w:r>
              <w:t>SC</w:t>
            </w:r>
          </w:p>
        </w:tc>
        <w:tc>
          <w:tcPr>
            <w:tcW w:w="1417" w:type="dxa"/>
            <w:shd w:val="clear" w:color="auto" w:fill="D9D9D9" w:themeFill="background1" w:themeFillShade="D9"/>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w:t>
            </w:r>
          </w:p>
        </w:tc>
        <w:tc>
          <w:tcPr>
            <w:tcW w:w="1985" w:type="dxa"/>
            <w:shd w:val="clear" w:color="auto" w:fill="D9D9D9" w:themeFill="background1" w:themeFillShade="D9"/>
          </w:tcPr>
          <w:p w:rsidR="002A64C8" w:rsidRDefault="002A64C8" w:rsidP="002A64C8">
            <w:pPr>
              <w:cnfStyle w:val="000000000000" w:firstRow="0" w:lastRow="0" w:firstColumn="0" w:lastColumn="0" w:oddVBand="0" w:evenVBand="0" w:oddHBand="0" w:evenHBand="0" w:firstRowFirstColumn="0" w:firstRowLastColumn="0" w:lastRowFirstColumn="0" w:lastRowLastColumn="0"/>
            </w:pPr>
            <w:r>
              <w:t>600 mg every 3 weeks</w:t>
            </w:r>
          </w:p>
        </w:tc>
        <w:tc>
          <w:tcPr>
            <w:tcW w:w="1843" w:type="dxa"/>
            <w:shd w:val="clear" w:color="auto" w:fill="D9D9D9" w:themeFill="background1" w:themeFillShade="D9"/>
          </w:tcPr>
          <w:p w:rsidR="002A64C8" w:rsidRDefault="002A64C8" w:rsidP="002A64C8">
            <w:pPr>
              <w:cnfStyle w:val="000000000000" w:firstRow="0" w:lastRow="0" w:firstColumn="0" w:lastColumn="0" w:oddVBand="0" w:evenVBand="0" w:oddHBand="0" w:evenHBand="0" w:firstRowFirstColumn="0" w:firstRowLastColumn="0" w:lastRowFirstColumn="0" w:lastRowLastColumn="0"/>
            </w:pPr>
            <w:r>
              <w:t>Until disease progression</w:t>
            </w:r>
          </w:p>
        </w:tc>
      </w:tr>
      <w:tr w:rsidR="002A64C8" w:rsidRPr="005C530E" w:rsidTr="00722E08">
        <w:tc>
          <w:tcPr>
            <w:cnfStyle w:val="001000000000" w:firstRow="0" w:lastRow="0" w:firstColumn="1" w:lastColumn="0" w:oddVBand="0" w:evenVBand="0" w:oddHBand="0" w:evenHBand="0" w:firstRowFirstColumn="0" w:firstRowLastColumn="0" w:lastRowFirstColumn="0" w:lastRowLastColumn="0"/>
            <w:tcW w:w="3227" w:type="dxa"/>
          </w:tcPr>
          <w:p w:rsidR="002A64C8" w:rsidRPr="002A64C8" w:rsidRDefault="002A64C8" w:rsidP="002A64C8">
            <w:pPr>
              <w:rPr>
                <w:b/>
              </w:rPr>
            </w:pPr>
            <w:r w:rsidRPr="002A64C8">
              <w:rPr>
                <w:b/>
              </w:rPr>
              <w:lastRenderedPageBreak/>
              <w:t>Advanced Gastric Cancer</w:t>
            </w:r>
          </w:p>
          <w:p w:rsidR="002A64C8" w:rsidRDefault="002A64C8" w:rsidP="002A64C8">
            <w:r w:rsidRPr="005C530E">
              <w:t xml:space="preserve">In combination with cisplatin and either </w:t>
            </w:r>
            <w:proofErr w:type="spellStart"/>
            <w:r w:rsidRPr="005C530E">
              <w:t>capecitabine</w:t>
            </w:r>
            <w:proofErr w:type="spellEnd"/>
            <w:r w:rsidRPr="005C530E">
              <w:t xml:space="preserve"> or 5-FU for the treatment of patients with HER2 positive advanced adenocarcinoma of the stomach or </w:t>
            </w:r>
            <w:proofErr w:type="spellStart"/>
            <w:r w:rsidRPr="005C530E">
              <w:t>gastrooesophageal</w:t>
            </w:r>
            <w:proofErr w:type="spellEnd"/>
            <w:r w:rsidRPr="005C530E">
              <w:t xml:space="preserve"> junction who have not received prior anti-cancer treatment for their metastatic disease.</w:t>
            </w:r>
          </w:p>
          <w:p w:rsidR="002A64C8" w:rsidRPr="005C530E" w:rsidRDefault="002A64C8" w:rsidP="002A64C8"/>
        </w:tc>
        <w:tc>
          <w:tcPr>
            <w:tcW w:w="1134"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IV</w:t>
            </w:r>
          </w:p>
        </w:tc>
        <w:tc>
          <w:tcPr>
            <w:tcW w:w="1417"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8 mg/kg</w:t>
            </w:r>
          </w:p>
        </w:tc>
        <w:tc>
          <w:tcPr>
            <w:tcW w:w="1985"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6 mg/kg every 3 weeks</w:t>
            </w:r>
          </w:p>
        </w:tc>
        <w:tc>
          <w:tcPr>
            <w:tcW w:w="1843" w:type="dxa"/>
          </w:tcPr>
          <w:p w:rsidR="002A64C8" w:rsidRPr="005C530E" w:rsidRDefault="002A64C8" w:rsidP="002A64C8">
            <w:pPr>
              <w:cnfStyle w:val="000000000000" w:firstRow="0" w:lastRow="0" w:firstColumn="0" w:lastColumn="0" w:oddVBand="0" w:evenVBand="0" w:oddHBand="0" w:evenHBand="0" w:firstRowFirstColumn="0" w:firstRowLastColumn="0" w:lastRowFirstColumn="0" w:lastRowLastColumn="0"/>
            </w:pPr>
            <w:r>
              <w:t>Until disease progression</w:t>
            </w:r>
          </w:p>
        </w:tc>
      </w:tr>
    </w:tbl>
    <w:p w:rsidR="001D7770" w:rsidRPr="00E164C8" w:rsidRDefault="001D7770" w:rsidP="000E2ABE">
      <w:pPr>
        <w:pStyle w:val="TableDescription"/>
      </w:pPr>
      <w:proofErr w:type="spellStart"/>
      <w:proofErr w:type="gramStart"/>
      <w:r w:rsidRPr="00E164C8">
        <w:t>RoA</w:t>
      </w:r>
      <w:proofErr w:type="spellEnd"/>
      <w:r w:rsidRPr="00E164C8">
        <w:t>-Route of administration</w:t>
      </w:r>
      <w:r>
        <w:t>.</w:t>
      </w:r>
      <w:proofErr w:type="gramEnd"/>
      <w:r>
        <w:t xml:space="preserve"> </w:t>
      </w:r>
    </w:p>
    <w:p w:rsidR="00901E80" w:rsidRDefault="00901E80" w:rsidP="000E2ABE">
      <w:r>
        <w:t xml:space="preserve">Simulations using a population PK model suggested that </w:t>
      </w:r>
      <w:proofErr w:type="spellStart"/>
      <w:r>
        <w:t>trastuzumab</w:t>
      </w:r>
      <w:proofErr w:type="spellEnd"/>
      <w:r>
        <w:t xml:space="preserve"> systemic exposure with the 600 mg q3 week SC regimen would be at least comparable to that obtained with the 2-mg/kg q1 week regimen (see </w:t>
      </w:r>
      <w:r w:rsidR="001D7770" w:rsidRPr="001D7770">
        <w:rPr>
          <w:i/>
        </w:rPr>
        <w:t>Dosage selection for the pivotal studies</w:t>
      </w:r>
      <w:r w:rsidR="001D7770">
        <w:t xml:space="preserve"> above</w:t>
      </w:r>
      <w:r>
        <w:t xml:space="preserve">). </w:t>
      </w:r>
      <w:proofErr w:type="spellStart"/>
      <w:r>
        <w:t>Trastuzumab</w:t>
      </w:r>
      <w:proofErr w:type="spellEnd"/>
      <w:r>
        <w:t xml:space="preserve"> for metastatic disease is funded in Australia through Medicare, using an arrangement separate to the Pharmaceutical Benefits Scheme. Under this arrangement both the 2-mg/kg q1 week regimen and the 6-mg/kg q3 </w:t>
      </w:r>
      <w:proofErr w:type="gramStart"/>
      <w:r>
        <w:t>weeks</w:t>
      </w:r>
      <w:proofErr w:type="gramEnd"/>
      <w:r>
        <w:t xml:space="preserve"> regimen are funded </w:t>
      </w:r>
      <w:r>
        <w:rPr>
          <w:vertAlign w:val="superscript"/>
        </w:rPr>
        <w:t>(10)</w:t>
      </w:r>
      <w:r>
        <w:t xml:space="preserve">, even though the latter is not approved by the TGA. It is therefore likely that the 6-mg/kg q3 </w:t>
      </w:r>
      <w:proofErr w:type="gramStart"/>
      <w:r>
        <w:t>weeks</w:t>
      </w:r>
      <w:proofErr w:type="gramEnd"/>
      <w:r>
        <w:t xml:space="preserve"> regimen is being used. For these reasons this reviewer considers it reasonable to extrapolate the efficacy findings of the pivotal study to the metastatic disease setting.</w:t>
      </w:r>
    </w:p>
    <w:p w:rsidR="00901E80" w:rsidRDefault="00901E80" w:rsidP="000E2ABE">
      <w:r>
        <w:t>Overall, when the efficacy results are considered together with the pharmacokinetic results, it is concluded that efficacy of the proposed SC regimen has been adequately established.</w:t>
      </w:r>
    </w:p>
    <w:p w:rsidR="00901E80" w:rsidRDefault="00901E80" w:rsidP="007123A4">
      <w:pPr>
        <w:pStyle w:val="Heading3"/>
      </w:pPr>
      <w:bookmarkStart w:id="154" w:name="_Toc272679666"/>
      <w:bookmarkStart w:id="155" w:name="_Toc423350782"/>
      <w:r>
        <w:t>Product information update</w:t>
      </w:r>
      <w:bookmarkEnd w:id="154"/>
      <w:bookmarkEnd w:id="155"/>
      <w:r>
        <w:t xml:space="preserve"> </w:t>
      </w:r>
    </w:p>
    <w:p w:rsidR="00901E80" w:rsidRDefault="00901E80" w:rsidP="007123A4">
      <w:pPr>
        <w:pStyle w:val="Heading4"/>
      </w:pPr>
      <w:bookmarkStart w:id="156" w:name="_Toc272679667"/>
      <w:r>
        <w:t>HERA study</w:t>
      </w:r>
      <w:bookmarkEnd w:id="156"/>
    </w:p>
    <w:p w:rsidR="00901E80" w:rsidRDefault="00901E80" w:rsidP="000E2ABE">
      <w:r>
        <w:t xml:space="preserve">The methodology and early results of the Herceptin Adjuvant (HERA) study have been previously evaluated by the TGA. It was one of four randomised </w:t>
      </w:r>
      <w:r w:rsidR="00041C9E">
        <w:t>Phase I</w:t>
      </w:r>
      <w:r>
        <w:t xml:space="preserve">II controlled trials that formed the </w:t>
      </w:r>
      <w:r>
        <w:lastRenderedPageBreak/>
        <w:t xml:space="preserve">basis for TGA approval of adjuvant use of </w:t>
      </w:r>
      <w:proofErr w:type="spellStart"/>
      <w:r>
        <w:t>trastuzumab</w:t>
      </w:r>
      <w:proofErr w:type="spellEnd"/>
      <w:r>
        <w:t xml:space="preserve"> (</w:t>
      </w:r>
      <w:r w:rsidR="001D7770">
        <w:t>that is,</w:t>
      </w:r>
      <w:r>
        <w:t xml:space="preserve"> use following surgery) i</w:t>
      </w:r>
      <w:r w:rsidR="0028372E">
        <w:t>n early breast cancer patients.</w:t>
      </w:r>
    </w:p>
    <w:p w:rsidR="00901E80" w:rsidRDefault="00901E80" w:rsidP="000E2ABE">
      <w:r>
        <w:t xml:space="preserve">The study was a randomised, open-label trial with three parallel groups. The study included subjects with HER2+ve early breast cancer (either node-negative or node-positive) who had completed surgery and at least four cycles of chemotherapy (in either the </w:t>
      </w:r>
      <w:proofErr w:type="spellStart"/>
      <w:r>
        <w:t>neoadjuvant</w:t>
      </w:r>
      <w:proofErr w:type="spellEnd"/>
      <w:r>
        <w:t xml:space="preserve"> or adjuvant setting) with or without radiotherapy. A variety of chemotherapy regimens could be used. Subjects were randomised to one of the following three arms:</w:t>
      </w:r>
    </w:p>
    <w:p w:rsidR="00901E80" w:rsidRDefault="00901E80" w:rsidP="000E2ABE">
      <w:pPr>
        <w:pStyle w:val="ListBullet"/>
      </w:pPr>
      <w:proofErr w:type="spellStart"/>
      <w:r>
        <w:t>Trastuzumab</w:t>
      </w:r>
      <w:proofErr w:type="spellEnd"/>
      <w:r>
        <w:t xml:space="preserve"> (8mg/kg loading dose followed </w:t>
      </w:r>
      <w:r w:rsidR="00E16379">
        <w:t>by 6mg/kg q 3 weeks) for 1 year</w:t>
      </w:r>
    </w:p>
    <w:p w:rsidR="00901E80" w:rsidRDefault="00901E80" w:rsidP="000E2ABE">
      <w:pPr>
        <w:pStyle w:val="ListBullet"/>
      </w:pPr>
      <w:proofErr w:type="spellStart"/>
      <w:r>
        <w:t>Trastuzumab</w:t>
      </w:r>
      <w:proofErr w:type="spellEnd"/>
      <w:r>
        <w:t xml:space="preserve"> (8mg/kg loading dose followed b</w:t>
      </w:r>
      <w:r w:rsidR="00E16379">
        <w:t>y 6mg/kg q 3 weeks) for 2 years</w:t>
      </w:r>
    </w:p>
    <w:p w:rsidR="00901E80" w:rsidRDefault="00901E80" w:rsidP="000E2ABE">
      <w:pPr>
        <w:pStyle w:val="ListBullet"/>
      </w:pPr>
      <w:r>
        <w:t>Observation.</w:t>
      </w:r>
    </w:p>
    <w:p w:rsidR="00901E80" w:rsidRDefault="00901E80" w:rsidP="000E2ABE">
      <w:r>
        <w:t>The primary end-point was disease-free survival (DFS), which was defined as the time from randomisation to the first occurrence of any of the following: recurrence of breast cancer at any site, the development of a new breast cancer, the development of a second, non-breast malignancy (other than non-melanoma skin cancer or in-situ carcinoma of the cervix) or death from any cause. Overall survival was a secondary endpoint. Other secondary endpoints were recurrence-free survival (time from randomisation to the first local, regional or distant tumour recurrence) and distant disease-free survival (time from randomization to the first distant tumour recurrence, second primary cancer o</w:t>
      </w:r>
      <w:r w:rsidR="0028372E">
        <w:t>r contralateral breast cancer).</w:t>
      </w:r>
    </w:p>
    <w:p w:rsidR="00901E80" w:rsidRDefault="00901E80" w:rsidP="000E2ABE">
      <w:r>
        <w:t xml:space="preserve">The initial objective of the study was to compare each of the two </w:t>
      </w:r>
      <w:proofErr w:type="spellStart"/>
      <w:r>
        <w:t>trastuzumab</w:t>
      </w:r>
      <w:proofErr w:type="spellEnd"/>
      <w:r>
        <w:t xml:space="preserve"> arms with the observation arm. Initial TGA approval was based on a sponsor study report that analysed data after a median follow-up of 12 months. These data also formed the basis of the first published report of the study in 2005</w:t>
      </w:r>
      <w:r>
        <w:rPr>
          <w:vertAlign w:val="superscript"/>
        </w:rPr>
        <w:t xml:space="preserve"> (11)</w:t>
      </w:r>
      <w:r>
        <w:t xml:space="preserve">.  This initial analysis demonstrated a significant DFS benefit for subjects in the 1-year </w:t>
      </w:r>
      <w:proofErr w:type="spellStart"/>
      <w:r>
        <w:t>trastuzumab</w:t>
      </w:r>
      <w:proofErr w:type="spellEnd"/>
      <w:r>
        <w:t xml:space="preserve"> arm compared with the observation arm (data from the 2-year arm were not presented). Following these findings, the protocol was amended such that an additional objective was to conduct a direct comparison of the two </w:t>
      </w:r>
      <w:proofErr w:type="spellStart"/>
      <w:r>
        <w:t>trastuzumab</w:t>
      </w:r>
      <w:proofErr w:type="spellEnd"/>
      <w:r>
        <w:t xml:space="preserve"> arms (</w:t>
      </w:r>
      <w:r w:rsidR="001D7770">
        <w:t>that is,</w:t>
      </w:r>
      <w:r>
        <w:t xml:space="preserve"> 1-year </w:t>
      </w:r>
      <w:r w:rsidR="001D7770">
        <w:t>versus</w:t>
      </w:r>
      <w:r>
        <w:t xml:space="preserve"> 2-year). Also following the initial analysis, subjects in the observation arm were permitted to cross over to the 1-year arm.</w:t>
      </w:r>
    </w:p>
    <w:p w:rsidR="00901E80" w:rsidRDefault="00901E80" w:rsidP="000E2ABE">
      <w:r>
        <w:t>Further follow-up analyses were published in 2007</w:t>
      </w:r>
      <w:r>
        <w:rPr>
          <w:vertAlign w:val="superscript"/>
        </w:rPr>
        <w:t>(12)</w:t>
      </w:r>
      <w:r>
        <w:t xml:space="preserve"> (median follow-up 23.5 months), 2011</w:t>
      </w:r>
      <w:r>
        <w:rPr>
          <w:vertAlign w:val="superscript"/>
        </w:rPr>
        <w:t>(13)</w:t>
      </w:r>
      <w:r>
        <w:t xml:space="preserve"> (median follow-up 48.4 months) and 2013</w:t>
      </w:r>
      <w:r>
        <w:rPr>
          <w:vertAlign w:val="superscript"/>
        </w:rPr>
        <w:t>(14)</w:t>
      </w:r>
      <w:r>
        <w:t xml:space="preserve"> (median follow-up 8 years). The results of these analyses (for the 1-year arm </w:t>
      </w:r>
      <w:r w:rsidR="001D7770">
        <w:t>versus</w:t>
      </w:r>
      <w:r>
        <w:t xml:space="preserve"> the observation arm) are summarised in </w:t>
      </w:r>
      <w:r w:rsidR="001D7770">
        <w:t>Table 21</w:t>
      </w:r>
      <w:r>
        <w:t>. The current TGA-approved product information includes data from the 12- and 23.5-month follow-ups.</w:t>
      </w:r>
    </w:p>
    <w:p w:rsidR="001D7770" w:rsidRDefault="001D7770" w:rsidP="00FF5F1D">
      <w:pPr>
        <w:pStyle w:val="Tabletitle"/>
      </w:pPr>
      <w:bookmarkStart w:id="157" w:name="_Ref261617998"/>
      <w:bookmarkStart w:id="158" w:name="_Toc272679763"/>
      <w:r>
        <w:t xml:space="preserve">Table </w:t>
      </w:r>
      <w:r w:rsidR="00FF5F1D">
        <w:t>21:</w:t>
      </w:r>
      <w:bookmarkEnd w:id="157"/>
      <w:r>
        <w:t xml:space="preserve"> HERA Study</w:t>
      </w:r>
      <w:r w:rsidR="00FF5F1D">
        <w:t>.</w:t>
      </w:r>
      <w:r>
        <w:t xml:space="preserve"> Published efficacy data</w:t>
      </w:r>
      <w:r w:rsidR="00FF5F1D">
        <w:t>:</w:t>
      </w:r>
      <w:r>
        <w:t xml:space="preserve"> 1</w:t>
      </w:r>
      <w:r w:rsidR="00FF5F1D">
        <w:t xml:space="preserve"> </w:t>
      </w:r>
      <w:r>
        <w:t xml:space="preserve">year </w:t>
      </w:r>
      <w:proofErr w:type="spellStart"/>
      <w:r>
        <w:t>trastuzumab</w:t>
      </w:r>
      <w:proofErr w:type="spellEnd"/>
      <w:r>
        <w:t xml:space="preserve"> group v</w:t>
      </w:r>
      <w:r w:rsidR="00FF5F1D">
        <w:t>ersus</w:t>
      </w:r>
      <w:r>
        <w:t xml:space="preserve"> observation group</w:t>
      </w:r>
      <w:bookmarkEnd w:id="158"/>
    </w:p>
    <w:tbl>
      <w:tblPr>
        <w:tblStyle w:val="TableTGAblue"/>
        <w:tblW w:w="9180" w:type="dxa"/>
        <w:tblLayout w:type="fixed"/>
        <w:tblLook w:val="04A0" w:firstRow="1" w:lastRow="0" w:firstColumn="1" w:lastColumn="0" w:noHBand="0" w:noVBand="1"/>
      </w:tblPr>
      <w:tblGrid>
        <w:gridCol w:w="1101"/>
        <w:gridCol w:w="1275"/>
        <w:gridCol w:w="1276"/>
        <w:gridCol w:w="1701"/>
        <w:gridCol w:w="1276"/>
        <w:gridCol w:w="1701"/>
        <w:gridCol w:w="283"/>
        <w:gridCol w:w="567"/>
      </w:tblGrid>
      <w:tr w:rsidR="001D7770" w:rsidRPr="00FF5F1D" w:rsidTr="00FF5F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1" w:type="dxa"/>
          </w:tcPr>
          <w:p w:rsidR="001D7770" w:rsidRPr="009E0D8F" w:rsidRDefault="001D7770" w:rsidP="00B30102"/>
        </w:tc>
        <w:tc>
          <w:tcPr>
            <w:tcW w:w="1275" w:type="dxa"/>
          </w:tcPr>
          <w:p w:rsidR="001D7770" w:rsidRPr="00FF5F1D" w:rsidRDefault="001D7770" w:rsidP="00B30102">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977" w:type="dxa"/>
            <w:gridSpan w:val="2"/>
          </w:tcPr>
          <w:p w:rsidR="001D7770" w:rsidRPr="00FF5F1D" w:rsidRDefault="001D7770" w:rsidP="00B30102">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DFS events</w:t>
            </w:r>
          </w:p>
        </w:tc>
        <w:tc>
          <w:tcPr>
            <w:tcW w:w="3260" w:type="dxa"/>
            <w:gridSpan w:val="3"/>
          </w:tcPr>
          <w:p w:rsidR="001D7770" w:rsidRPr="00FF5F1D" w:rsidRDefault="001D7770" w:rsidP="00B30102">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Deaths</w:t>
            </w:r>
          </w:p>
        </w:tc>
        <w:tc>
          <w:tcPr>
            <w:tcW w:w="567" w:type="dxa"/>
          </w:tcPr>
          <w:p w:rsidR="001D7770" w:rsidRPr="00FF5F1D" w:rsidRDefault="001D7770" w:rsidP="00B30102">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FF5F1D" w:rsidRPr="00A748BC" w:rsidTr="00FF5F1D">
        <w:tc>
          <w:tcPr>
            <w:cnfStyle w:val="001000000000" w:firstRow="0" w:lastRow="0" w:firstColumn="1" w:lastColumn="0" w:oddVBand="0" w:evenVBand="0" w:oddHBand="0" w:evenHBand="0" w:firstRowFirstColumn="0" w:firstRowLastColumn="0" w:lastRowFirstColumn="0" w:lastRowLastColumn="0"/>
            <w:tcW w:w="1101" w:type="dxa"/>
          </w:tcPr>
          <w:p w:rsidR="001D7770" w:rsidRPr="00FF5F1D" w:rsidRDefault="001D7770" w:rsidP="00B30102">
            <w:pPr>
              <w:rPr>
                <w:sz w:val="18"/>
                <w:szCs w:val="18"/>
              </w:rPr>
            </w:pPr>
            <w:r w:rsidRPr="00FF5F1D">
              <w:rPr>
                <w:sz w:val="18"/>
                <w:szCs w:val="18"/>
              </w:rPr>
              <w:t>Data cut-off</w:t>
            </w:r>
          </w:p>
        </w:tc>
        <w:tc>
          <w:tcPr>
            <w:tcW w:w="1275"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Median F/U</w:t>
            </w:r>
          </w:p>
        </w:tc>
        <w:tc>
          <w:tcPr>
            <w:tcW w:w="1276"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FF5F1D">
              <w:rPr>
                <w:rFonts w:asciiTheme="minorHAnsi" w:hAnsiTheme="minorHAnsi"/>
                <w:sz w:val="18"/>
                <w:szCs w:val="18"/>
              </w:rPr>
              <w:t>Observa</w:t>
            </w:r>
            <w:r w:rsidR="00FF5F1D">
              <w:rPr>
                <w:rFonts w:asciiTheme="minorHAnsi" w:hAnsiTheme="minorHAnsi"/>
                <w:sz w:val="18"/>
                <w:szCs w:val="18"/>
              </w:rPr>
              <w:t>-</w:t>
            </w:r>
            <w:r w:rsidRPr="00FF5F1D">
              <w:rPr>
                <w:rFonts w:asciiTheme="minorHAnsi" w:hAnsiTheme="minorHAnsi"/>
                <w:sz w:val="18"/>
                <w:szCs w:val="18"/>
              </w:rPr>
              <w:t>tion</w:t>
            </w:r>
            <w:proofErr w:type="spellEnd"/>
          </w:p>
        </w:tc>
        <w:tc>
          <w:tcPr>
            <w:tcW w:w="1701"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FF5F1D">
              <w:rPr>
                <w:rFonts w:asciiTheme="minorHAnsi" w:hAnsiTheme="minorHAnsi"/>
                <w:sz w:val="18"/>
                <w:szCs w:val="18"/>
              </w:rPr>
              <w:t>Trastuzumab</w:t>
            </w:r>
            <w:proofErr w:type="spellEnd"/>
            <w:r w:rsidRPr="00FF5F1D">
              <w:rPr>
                <w:rFonts w:asciiTheme="minorHAnsi" w:hAnsiTheme="minorHAnsi"/>
                <w:sz w:val="18"/>
                <w:szCs w:val="18"/>
              </w:rPr>
              <w:t xml:space="preserve"> 1 </w:t>
            </w:r>
            <w:proofErr w:type="spellStart"/>
            <w:r w:rsidRPr="00FF5F1D">
              <w:rPr>
                <w:rFonts w:asciiTheme="minorHAnsi" w:hAnsiTheme="minorHAnsi"/>
                <w:sz w:val="18"/>
                <w:szCs w:val="18"/>
              </w:rPr>
              <w:t>yr</w:t>
            </w:r>
            <w:proofErr w:type="spellEnd"/>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HR; 95% CI</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p value</w:t>
            </w:r>
          </w:p>
        </w:tc>
        <w:tc>
          <w:tcPr>
            <w:tcW w:w="1276"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FF5F1D">
              <w:rPr>
                <w:rFonts w:asciiTheme="minorHAnsi" w:hAnsiTheme="minorHAnsi"/>
                <w:sz w:val="18"/>
                <w:szCs w:val="18"/>
              </w:rPr>
              <w:t>Observa</w:t>
            </w:r>
            <w:r w:rsidR="00FF5F1D">
              <w:rPr>
                <w:rFonts w:asciiTheme="minorHAnsi" w:hAnsiTheme="minorHAnsi"/>
                <w:sz w:val="18"/>
                <w:szCs w:val="18"/>
              </w:rPr>
              <w:t>-</w:t>
            </w:r>
            <w:r w:rsidRPr="00FF5F1D">
              <w:rPr>
                <w:rFonts w:asciiTheme="minorHAnsi" w:hAnsiTheme="minorHAnsi"/>
                <w:sz w:val="18"/>
                <w:szCs w:val="18"/>
              </w:rPr>
              <w:t>tion</w:t>
            </w:r>
            <w:proofErr w:type="spellEnd"/>
          </w:p>
        </w:tc>
        <w:tc>
          <w:tcPr>
            <w:tcW w:w="1701"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FF5F1D">
              <w:rPr>
                <w:rFonts w:asciiTheme="minorHAnsi" w:hAnsiTheme="minorHAnsi"/>
                <w:sz w:val="18"/>
                <w:szCs w:val="18"/>
              </w:rPr>
              <w:t>Trastuzumab</w:t>
            </w:r>
            <w:proofErr w:type="spellEnd"/>
            <w:r w:rsidRPr="00FF5F1D">
              <w:rPr>
                <w:rFonts w:asciiTheme="minorHAnsi" w:hAnsiTheme="minorHAnsi"/>
                <w:sz w:val="18"/>
                <w:szCs w:val="18"/>
              </w:rPr>
              <w:t xml:space="preserve"> 1 </w:t>
            </w:r>
            <w:proofErr w:type="spellStart"/>
            <w:r w:rsidRPr="00FF5F1D">
              <w:rPr>
                <w:rFonts w:asciiTheme="minorHAnsi" w:hAnsiTheme="minorHAnsi"/>
                <w:sz w:val="18"/>
                <w:szCs w:val="18"/>
              </w:rPr>
              <w:t>yr</w:t>
            </w:r>
            <w:proofErr w:type="spellEnd"/>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HR; 95% CI</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p value</w:t>
            </w:r>
          </w:p>
        </w:tc>
        <w:tc>
          <w:tcPr>
            <w:tcW w:w="850" w:type="dxa"/>
            <w:gridSpan w:val="2"/>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Ref</w:t>
            </w:r>
          </w:p>
        </w:tc>
      </w:tr>
      <w:tr w:rsidR="00FF5F1D" w:rsidRPr="00A748BC" w:rsidTr="00FF5F1D">
        <w:tc>
          <w:tcPr>
            <w:cnfStyle w:val="001000000000" w:firstRow="0" w:lastRow="0" w:firstColumn="1" w:lastColumn="0" w:oddVBand="0" w:evenVBand="0" w:oddHBand="0" w:evenHBand="0" w:firstRowFirstColumn="0" w:firstRowLastColumn="0" w:lastRowFirstColumn="0" w:lastRowLastColumn="0"/>
            <w:tcW w:w="1101" w:type="dxa"/>
          </w:tcPr>
          <w:p w:rsidR="001D7770" w:rsidRPr="00FF5F1D" w:rsidRDefault="001D7770" w:rsidP="00B30102">
            <w:pPr>
              <w:rPr>
                <w:sz w:val="18"/>
                <w:szCs w:val="18"/>
              </w:rPr>
            </w:pPr>
            <w:r w:rsidRPr="00FF5F1D">
              <w:rPr>
                <w:sz w:val="18"/>
                <w:szCs w:val="18"/>
              </w:rPr>
              <w:t>April 2005</w:t>
            </w:r>
          </w:p>
        </w:tc>
        <w:tc>
          <w:tcPr>
            <w:tcW w:w="1275"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12 m</w:t>
            </w:r>
          </w:p>
        </w:tc>
        <w:tc>
          <w:tcPr>
            <w:tcW w:w="1276"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13.0%</w:t>
            </w:r>
          </w:p>
        </w:tc>
        <w:tc>
          <w:tcPr>
            <w:tcW w:w="1701"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7.5%</w:t>
            </w:r>
          </w:p>
          <w:p w:rsid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 xml:space="preserve">0.54 </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(0.43 – .67)</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p&lt;0.0001</w:t>
            </w:r>
          </w:p>
        </w:tc>
        <w:tc>
          <w:tcPr>
            <w:tcW w:w="1276"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2.2%</w:t>
            </w:r>
          </w:p>
        </w:tc>
        <w:tc>
          <w:tcPr>
            <w:tcW w:w="1701"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1.7%</w:t>
            </w:r>
          </w:p>
          <w:p w:rsid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 xml:space="preserve">0.76 </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(0.47 – 1.23)</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p=0.26</w:t>
            </w:r>
          </w:p>
        </w:tc>
        <w:tc>
          <w:tcPr>
            <w:tcW w:w="850" w:type="dxa"/>
            <w:gridSpan w:val="2"/>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11</w:t>
            </w:r>
          </w:p>
        </w:tc>
      </w:tr>
      <w:tr w:rsidR="00FF5F1D" w:rsidRPr="00A748BC" w:rsidTr="00FF5F1D">
        <w:tc>
          <w:tcPr>
            <w:cnfStyle w:val="001000000000" w:firstRow="0" w:lastRow="0" w:firstColumn="1" w:lastColumn="0" w:oddVBand="0" w:evenVBand="0" w:oddHBand="0" w:evenHBand="0" w:firstRowFirstColumn="0" w:firstRowLastColumn="0" w:lastRowFirstColumn="0" w:lastRowLastColumn="0"/>
            <w:tcW w:w="1101" w:type="dxa"/>
          </w:tcPr>
          <w:p w:rsidR="001D7770" w:rsidRPr="00FF5F1D" w:rsidRDefault="001D7770" w:rsidP="00B30102">
            <w:pPr>
              <w:rPr>
                <w:sz w:val="18"/>
                <w:szCs w:val="18"/>
              </w:rPr>
            </w:pPr>
            <w:r w:rsidRPr="00FF5F1D">
              <w:rPr>
                <w:sz w:val="18"/>
                <w:szCs w:val="18"/>
              </w:rPr>
              <w:t>March 2006</w:t>
            </w:r>
          </w:p>
        </w:tc>
        <w:tc>
          <w:tcPr>
            <w:tcW w:w="1275"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23.5 m</w:t>
            </w:r>
          </w:p>
        </w:tc>
        <w:tc>
          <w:tcPr>
            <w:tcW w:w="1276"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19%</w:t>
            </w:r>
          </w:p>
        </w:tc>
        <w:tc>
          <w:tcPr>
            <w:tcW w:w="1701"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13%</w:t>
            </w:r>
          </w:p>
          <w:p w:rsid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lastRenderedPageBreak/>
              <w:t xml:space="preserve">0.64 </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(0.54 – 0.76)</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p&lt;0.0001</w:t>
            </w:r>
          </w:p>
        </w:tc>
        <w:tc>
          <w:tcPr>
            <w:tcW w:w="1276"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lastRenderedPageBreak/>
              <w:t>5%</w:t>
            </w:r>
          </w:p>
        </w:tc>
        <w:tc>
          <w:tcPr>
            <w:tcW w:w="1701"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3%</w:t>
            </w:r>
          </w:p>
          <w:p w:rsid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lastRenderedPageBreak/>
              <w:t xml:space="preserve">0.66 </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(0.47 – 0.91)</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p=0.0.015</w:t>
            </w:r>
          </w:p>
        </w:tc>
        <w:tc>
          <w:tcPr>
            <w:tcW w:w="850" w:type="dxa"/>
            <w:gridSpan w:val="2"/>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lastRenderedPageBreak/>
              <w:t>12</w:t>
            </w:r>
          </w:p>
        </w:tc>
      </w:tr>
      <w:tr w:rsidR="00FF5F1D" w:rsidRPr="00A748BC" w:rsidTr="00FF5F1D">
        <w:tc>
          <w:tcPr>
            <w:cnfStyle w:val="001000000000" w:firstRow="0" w:lastRow="0" w:firstColumn="1" w:lastColumn="0" w:oddVBand="0" w:evenVBand="0" w:oddHBand="0" w:evenHBand="0" w:firstRowFirstColumn="0" w:firstRowLastColumn="0" w:lastRowFirstColumn="0" w:lastRowLastColumn="0"/>
            <w:tcW w:w="1101" w:type="dxa"/>
          </w:tcPr>
          <w:p w:rsidR="001D7770" w:rsidRPr="00FF5F1D" w:rsidRDefault="001D7770" w:rsidP="00B30102">
            <w:pPr>
              <w:rPr>
                <w:sz w:val="18"/>
                <w:szCs w:val="18"/>
              </w:rPr>
            </w:pPr>
            <w:r w:rsidRPr="00FF5F1D">
              <w:rPr>
                <w:sz w:val="18"/>
                <w:szCs w:val="18"/>
              </w:rPr>
              <w:lastRenderedPageBreak/>
              <w:t>June 2008</w:t>
            </w:r>
          </w:p>
        </w:tc>
        <w:tc>
          <w:tcPr>
            <w:tcW w:w="1275"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48.4 m</w:t>
            </w:r>
          </w:p>
        </w:tc>
        <w:tc>
          <w:tcPr>
            <w:tcW w:w="1276"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27.0%</w:t>
            </w:r>
          </w:p>
        </w:tc>
        <w:tc>
          <w:tcPr>
            <w:tcW w:w="1701"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21.7%</w:t>
            </w:r>
          </w:p>
          <w:p w:rsid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 xml:space="preserve">0.76 </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(0.66 – 0.87)</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p&lt;0.0001</w:t>
            </w:r>
          </w:p>
        </w:tc>
        <w:tc>
          <w:tcPr>
            <w:tcW w:w="1276"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12.5%</w:t>
            </w:r>
          </w:p>
        </w:tc>
        <w:tc>
          <w:tcPr>
            <w:tcW w:w="1701"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10.7%</w:t>
            </w:r>
          </w:p>
          <w:p w:rsid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 xml:space="preserve">0.85 </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(0.70 – 1.04)</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p=0.11</w:t>
            </w:r>
          </w:p>
        </w:tc>
        <w:tc>
          <w:tcPr>
            <w:tcW w:w="850" w:type="dxa"/>
            <w:gridSpan w:val="2"/>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13</w:t>
            </w:r>
          </w:p>
        </w:tc>
      </w:tr>
      <w:tr w:rsidR="00FF5F1D" w:rsidRPr="00A748BC" w:rsidTr="00FF5F1D">
        <w:tc>
          <w:tcPr>
            <w:cnfStyle w:val="001000000000" w:firstRow="0" w:lastRow="0" w:firstColumn="1" w:lastColumn="0" w:oddVBand="0" w:evenVBand="0" w:oddHBand="0" w:evenHBand="0" w:firstRowFirstColumn="0" w:firstRowLastColumn="0" w:lastRowFirstColumn="0" w:lastRowLastColumn="0"/>
            <w:tcW w:w="1101" w:type="dxa"/>
          </w:tcPr>
          <w:p w:rsidR="001D7770" w:rsidRPr="00FF5F1D" w:rsidRDefault="001D7770" w:rsidP="00B30102">
            <w:pPr>
              <w:rPr>
                <w:sz w:val="18"/>
                <w:szCs w:val="18"/>
              </w:rPr>
            </w:pPr>
            <w:r w:rsidRPr="00FF5F1D">
              <w:rPr>
                <w:sz w:val="18"/>
                <w:szCs w:val="18"/>
              </w:rPr>
              <w:t>April 2012</w:t>
            </w:r>
          </w:p>
          <w:p w:rsidR="001D7770" w:rsidRPr="00FF5F1D" w:rsidRDefault="001D7770" w:rsidP="00B30102">
            <w:pPr>
              <w:rPr>
                <w:sz w:val="18"/>
                <w:szCs w:val="18"/>
              </w:rPr>
            </w:pPr>
          </w:p>
        </w:tc>
        <w:tc>
          <w:tcPr>
            <w:tcW w:w="1275"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8 years</w:t>
            </w:r>
          </w:p>
        </w:tc>
        <w:tc>
          <w:tcPr>
            <w:tcW w:w="1276"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33.6%</w:t>
            </w:r>
          </w:p>
        </w:tc>
        <w:tc>
          <w:tcPr>
            <w:tcW w:w="1701"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27.7%</w:t>
            </w:r>
          </w:p>
          <w:p w:rsid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 xml:space="preserve">0.76 </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(0.67 – 0.86)</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p&lt;0.0001</w:t>
            </w:r>
          </w:p>
        </w:tc>
        <w:tc>
          <w:tcPr>
            <w:tcW w:w="1276"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20.6%</w:t>
            </w:r>
          </w:p>
        </w:tc>
        <w:tc>
          <w:tcPr>
            <w:tcW w:w="1701" w:type="dxa"/>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16.3%%</w:t>
            </w:r>
          </w:p>
          <w:p w:rsid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 xml:space="preserve">0.76 </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(0.65 – 0.88)</w:t>
            </w:r>
          </w:p>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p=0.0005</w:t>
            </w:r>
          </w:p>
        </w:tc>
        <w:tc>
          <w:tcPr>
            <w:tcW w:w="850" w:type="dxa"/>
            <w:gridSpan w:val="2"/>
          </w:tcPr>
          <w:p w:rsidR="001D7770" w:rsidRPr="00FF5F1D" w:rsidRDefault="001D7770" w:rsidP="00B30102">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F5F1D">
              <w:rPr>
                <w:rFonts w:asciiTheme="minorHAnsi" w:hAnsiTheme="minorHAnsi"/>
                <w:sz w:val="18"/>
                <w:szCs w:val="18"/>
              </w:rPr>
              <w:t>14</w:t>
            </w:r>
          </w:p>
        </w:tc>
      </w:tr>
    </w:tbl>
    <w:p w:rsidR="00901E80" w:rsidRDefault="00901E80" w:rsidP="000E2ABE">
      <w:r>
        <w:t xml:space="preserve">The current submission included a full study report for the trial (dated March 2013) with a data cut-off date of 12 April 2012. The report presented analyses of the efficacy and safety of 1 or 2 years of </w:t>
      </w:r>
      <w:proofErr w:type="spellStart"/>
      <w:r>
        <w:t>trastuzumab</w:t>
      </w:r>
      <w:proofErr w:type="spellEnd"/>
      <w:r>
        <w:t xml:space="preserve"> treatment compared to observation, and a comparison of 1 year </w:t>
      </w:r>
      <w:r w:rsidR="001D7770">
        <w:t>versus</w:t>
      </w:r>
      <w:r>
        <w:t xml:space="preserve"> 2 years of </w:t>
      </w:r>
      <w:proofErr w:type="spellStart"/>
      <w:r>
        <w:t>trastuzumab</w:t>
      </w:r>
      <w:proofErr w:type="spellEnd"/>
      <w:r>
        <w:t xml:space="preserve"> treatment.</w:t>
      </w:r>
    </w:p>
    <w:p w:rsidR="00901E80" w:rsidRDefault="00901E80" w:rsidP="000E2ABE">
      <w:r>
        <w:t>A total of 5102 subjects were randomised at 478 centres in 39 countries – 1,698 to the observation arm, 1,703 to the 1-year arm and 1,701 to the 2-year arm. One patient in each arm was excluded from analysis due to failure to sign the informed consent form. After the release of the results of the initial analysis, 888 patients in the observation arm (52.3%) crossed over to the 1-year arm. At the date of data cut-off, median duration of follow-up was approximately 8 years in all three groups.</w:t>
      </w:r>
    </w:p>
    <w:p w:rsidR="00901E80" w:rsidRDefault="00901E80" w:rsidP="000E2ABE">
      <w:r>
        <w:t xml:space="preserve">The comparisons of the </w:t>
      </w:r>
      <w:proofErr w:type="spellStart"/>
      <w:r>
        <w:t>trastuzumab</w:t>
      </w:r>
      <w:proofErr w:type="spellEnd"/>
      <w:r>
        <w:t xml:space="preserve"> groups versus the observation group were conducted in the full analysis set (FAS; n=5099). Comparison between the 1- and 2-year groups was conducted in the population of patients who had not been lost to follow-up and were still alive and disease-free at 12 months (n=1552 in the 1-year group</w:t>
      </w:r>
      <w:r w:rsidR="0028372E">
        <w:t xml:space="preserve"> and 1553 in the 2-year group).</w:t>
      </w:r>
    </w:p>
    <w:p w:rsidR="00901E80" w:rsidRDefault="00901E80" w:rsidP="000E2ABE">
      <w:r>
        <w:t xml:space="preserve">The three groups were well balanced at baseline for demographic and disease characteristics. Similarly patients remaining in the two </w:t>
      </w:r>
      <w:proofErr w:type="spellStart"/>
      <w:r>
        <w:t>trastuzumab</w:t>
      </w:r>
      <w:proofErr w:type="spellEnd"/>
      <w:r>
        <w:t xml:space="preserve"> groups at 12 months were well balanced with respect to baseline characteristics.</w:t>
      </w:r>
    </w:p>
    <w:p w:rsidR="00FF5F1D" w:rsidRDefault="00901E80" w:rsidP="000E2ABE">
      <w:r>
        <w:t xml:space="preserve">Results for the </w:t>
      </w:r>
      <w:proofErr w:type="spellStart"/>
      <w:r>
        <w:t>trastuzumab</w:t>
      </w:r>
      <w:proofErr w:type="spellEnd"/>
      <w:r>
        <w:t xml:space="preserve"> </w:t>
      </w:r>
      <w:r w:rsidR="001D7770">
        <w:t>versus</w:t>
      </w:r>
      <w:r>
        <w:t xml:space="preserve"> observation efficacy comparisons are summarised in </w:t>
      </w:r>
      <w:r w:rsidR="00FF5F1D">
        <w:t>Table 22.</w:t>
      </w:r>
    </w:p>
    <w:p w:rsidR="00FF5F1D" w:rsidRDefault="00FF5F1D" w:rsidP="00F57A62">
      <w:pPr>
        <w:pStyle w:val="Tabletitle"/>
      </w:pPr>
      <w:bookmarkStart w:id="159" w:name="_Ref261623797"/>
      <w:bookmarkStart w:id="160" w:name="_Toc272679764"/>
      <w:r>
        <w:lastRenderedPageBreak/>
        <w:t>Table 22:</w:t>
      </w:r>
      <w:bookmarkEnd w:id="159"/>
      <w:r>
        <w:t xml:space="preserve"> HERA </w:t>
      </w:r>
      <w:proofErr w:type="gramStart"/>
      <w:r>
        <w:t>study  Efficacy</w:t>
      </w:r>
      <w:proofErr w:type="gramEnd"/>
      <w:r>
        <w:t xml:space="preserve"> results: </w:t>
      </w:r>
      <w:proofErr w:type="spellStart"/>
      <w:r>
        <w:t>Trastuzumab</w:t>
      </w:r>
      <w:proofErr w:type="spellEnd"/>
      <w:r>
        <w:t xml:space="preserve"> arms versus observation</w:t>
      </w:r>
      <w:bookmarkEnd w:id="160"/>
      <w:r>
        <w:rPr>
          <w:noProof/>
          <w:lang w:eastAsia="en-AU"/>
        </w:rPr>
        <w:drawing>
          <wp:inline distT="0" distB="0" distL="0" distR="0" wp14:anchorId="47F0806D" wp14:editId="707BBE0C">
            <wp:extent cx="4335363" cy="4137660"/>
            <wp:effectExtent l="0" t="0" r="0" b="0"/>
            <wp:docPr id="76" name="Picture 1" descr="Table 22: HERA study – Efficacy results – Trastuzumab arms vs. ob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39499" cy="4141607"/>
                    </a:xfrm>
                    <a:prstGeom prst="rect">
                      <a:avLst/>
                    </a:prstGeom>
                    <a:noFill/>
                    <a:ln>
                      <a:noFill/>
                    </a:ln>
                  </pic:spPr>
                </pic:pic>
              </a:graphicData>
            </a:graphic>
          </wp:inline>
        </w:drawing>
      </w:r>
    </w:p>
    <w:p w:rsidR="00901E80" w:rsidRDefault="00901E80" w:rsidP="000E2ABE">
      <w:r>
        <w:t xml:space="preserve">Despite the high rate of crossover of patients from observation to </w:t>
      </w:r>
      <w:proofErr w:type="spellStart"/>
      <w:r>
        <w:t>trastuzumab</w:t>
      </w:r>
      <w:proofErr w:type="spellEnd"/>
      <w:r>
        <w:t xml:space="preserve">, a significant DFS benefit was maintained after 8 years. In the 1-year arm there was a 24% reduction in the risk of a DFS event (HR 0.76; 95%CI: 0.67 – 0.86; p&lt;0.0001). The percentage of patients remaining alive and disease-free after 8 years was increased by approximately 6% (71.2% </w:t>
      </w:r>
      <w:r w:rsidR="001D7770">
        <w:t>versus</w:t>
      </w:r>
      <w:r>
        <w:t xml:space="preserve"> 64.8%). There was a benefit of similar magnitude for overall survival. Results in the two-year arm were similar.</w:t>
      </w:r>
    </w:p>
    <w:p w:rsidR="00901E80" w:rsidRPr="00F57A62" w:rsidRDefault="00C02258" w:rsidP="00F57A62">
      <w:pPr>
        <w:pStyle w:val="Comment"/>
      </w:pPr>
      <w:r w:rsidRPr="00F57A62">
        <w:rPr>
          <w:b/>
        </w:rPr>
        <w:t xml:space="preserve">Comment: </w:t>
      </w:r>
      <w:r w:rsidR="00901E80" w:rsidRPr="00F57A62">
        <w:t xml:space="preserve">As shown in </w:t>
      </w:r>
      <w:r w:rsidR="00FF5F1D" w:rsidRPr="00F57A62">
        <w:t>Table 21</w:t>
      </w:r>
      <w:r w:rsidR="00901E80" w:rsidRPr="00F57A62">
        <w:t xml:space="preserve">, previous analyses of the HERA study had not consistently demonstrated a beneficial effect of </w:t>
      </w:r>
      <w:proofErr w:type="spellStart"/>
      <w:r w:rsidR="00901E80" w:rsidRPr="00F57A62">
        <w:t>trastuzumab</w:t>
      </w:r>
      <w:proofErr w:type="spellEnd"/>
      <w:r w:rsidR="00901E80" w:rsidRPr="00F57A62">
        <w:t xml:space="preserve"> on overall survival. In this most recent analysis the effect on overall survival was highly significant (p=0.0005). The DFS results at 8 years were consistent those obtained at 4 years.</w:t>
      </w:r>
    </w:p>
    <w:p w:rsidR="00901E80" w:rsidRDefault="00901E80" w:rsidP="000E2ABE">
      <w:r>
        <w:t xml:space="preserve">Results for the comparison of the 1-year and 2-year arms are summarised in </w:t>
      </w:r>
      <w:r w:rsidR="00FF5F1D">
        <w:t>Table 23</w:t>
      </w:r>
      <w:r>
        <w:t xml:space="preserve">. Two years of treatment with </w:t>
      </w:r>
      <w:proofErr w:type="spellStart"/>
      <w:r>
        <w:t>trastuzumab</w:t>
      </w:r>
      <w:proofErr w:type="spellEnd"/>
      <w:r>
        <w:t xml:space="preserve"> provided no additional benefit over 1 year of treatment.</w:t>
      </w:r>
    </w:p>
    <w:p w:rsidR="00FF5F1D" w:rsidRDefault="00FF5F1D" w:rsidP="00F57A62">
      <w:pPr>
        <w:pStyle w:val="Tabletitle"/>
      </w:pPr>
      <w:bookmarkStart w:id="161" w:name="_Ref261625274"/>
      <w:bookmarkStart w:id="162" w:name="_Toc272679765"/>
      <w:proofErr w:type="gramStart"/>
      <w:r>
        <w:lastRenderedPageBreak/>
        <w:t>Table 23:</w:t>
      </w:r>
      <w:bookmarkEnd w:id="161"/>
      <w:r>
        <w:t xml:space="preserve"> HERA study.</w:t>
      </w:r>
      <w:proofErr w:type="gramEnd"/>
      <w:r>
        <w:t xml:space="preserve"> Efficacy results – 1-year arm versus 2-year arm</w:t>
      </w:r>
      <w:bookmarkEnd w:id="162"/>
      <w:r>
        <w:rPr>
          <w:noProof/>
          <w:lang w:eastAsia="en-AU"/>
        </w:rPr>
        <w:drawing>
          <wp:inline distT="0" distB="0" distL="0" distR="0" wp14:anchorId="5636B424" wp14:editId="0BA9A492">
            <wp:extent cx="4254418" cy="4038600"/>
            <wp:effectExtent l="0" t="0" r="0" b="0"/>
            <wp:docPr id="77" name="Picture 2" descr="Table 23: HERA study. Efficacy results – 1-year arm versus 2-yea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4565" cy="4038739"/>
                    </a:xfrm>
                    <a:prstGeom prst="rect">
                      <a:avLst/>
                    </a:prstGeom>
                    <a:noFill/>
                    <a:ln>
                      <a:noFill/>
                    </a:ln>
                  </pic:spPr>
                </pic:pic>
              </a:graphicData>
            </a:graphic>
          </wp:inline>
        </w:drawing>
      </w:r>
    </w:p>
    <w:p w:rsidR="00901E80" w:rsidRDefault="00901E80" w:rsidP="007123A4">
      <w:pPr>
        <w:pStyle w:val="Heading3"/>
      </w:pPr>
      <w:bookmarkStart w:id="163" w:name="_Toc290846282"/>
      <w:bookmarkStart w:id="164" w:name="_Toc272414657"/>
      <w:bookmarkStart w:id="165" w:name="_Ref271126605"/>
      <w:bookmarkStart w:id="166" w:name="_Toc272679668"/>
      <w:bookmarkStart w:id="167" w:name="_Toc423350783"/>
      <w:r>
        <w:t xml:space="preserve">Evaluator’s conclusions on clinical efficacy - </w:t>
      </w:r>
      <w:bookmarkEnd w:id="163"/>
      <w:bookmarkEnd w:id="164"/>
      <w:bookmarkEnd w:id="165"/>
      <w:r>
        <w:t>PI update</w:t>
      </w:r>
      <w:bookmarkEnd w:id="166"/>
      <w:bookmarkEnd w:id="167"/>
    </w:p>
    <w:p w:rsidR="00901E80" w:rsidRDefault="00901E80" w:rsidP="000E2ABE">
      <w:r>
        <w:t xml:space="preserve">The 8-year follow-up of the study confirms that one-year of adjuvant treatment with </w:t>
      </w:r>
      <w:proofErr w:type="spellStart"/>
      <w:r>
        <w:t>trastuzumab</w:t>
      </w:r>
      <w:proofErr w:type="spellEnd"/>
      <w:r>
        <w:t xml:space="preserve"> in patients with early breast cancer (after completion of surgery and chemotherapy, with or without radiotherapy) results in significant benefit in terms of disease-free survival and overall survival. These benefits have been maintained despite 52% of subjects in the observation arm having also received </w:t>
      </w:r>
      <w:proofErr w:type="spellStart"/>
      <w:r>
        <w:t>trastuzumab</w:t>
      </w:r>
      <w:proofErr w:type="spellEnd"/>
      <w:r>
        <w:t xml:space="preserve">. The latest results have also shown that prolonging treatment with </w:t>
      </w:r>
      <w:proofErr w:type="spellStart"/>
      <w:r>
        <w:t>trastuzumab</w:t>
      </w:r>
      <w:proofErr w:type="spellEnd"/>
      <w:r>
        <w:t xml:space="preserve"> to a total of 2 years does not result in improved efficacy.</w:t>
      </w:r>
    </w:p>
    <w:p w:rsidR="00901E80" w:rsidRDefault="00901E80" w:rsidP="000E2ABE">
      <w:r>
        <w:t xml:space="preserve">The sponsor proposes to update the efficacy data in the ‘Clinical Trials’ section of the PI by replacing the results obtained after 2 years of follow-up with those obtained at 8 years, and by including the results of the comparison of the two </w:t>
      </w:r>
      <w:proofErr w:type="spellStart"/>
      <w:r>
        <w:t>trastuzumab</w:t>
      </w:r>
      <w:proofErr w:type="spellEnd"/>
      <w:r>
        <w:t xml:space="preserve"> arms at 8 years. These changes are generally acceptable. Comments on the proposed wording are included in </w:t>
      </w:r>
      <w:r w:rsidR="002A12AD">
        <w:t xml:space="preserve">the </w:t>
      </w:r>
      <w:r>
        <w:t xml:space="preserve">section </w:t>
      </w:r>
      <w:bookmarkStart w:id="168" w:name="_Toc290846336"/>
      <w:bookmarkStart w:id="169" w:name="_Ref261627470"/>
      <w:bookmarkStart w:id="170" w:name="_Toc272679716"/>
      <w:r w:rsidR="002A12AD" w:rsidRPr="002A12AD">
        <w:rPr>
          <w:i/>
        </w:rPr>
        <w:t>First round comments on clinical aspects of the draft PI</w:t>
      </w:r>
      <w:bookmarkEnd w:id="168"/>
      <w:bookmarkEnd w:id="169"/>
      <w:bookmarkEnd w:id="170"/>
      <w:r>
        <w:t xml:space="preserve"> below.</w:t>
      </w:r>
    </w:p>
    <w:p w:rsidR="00C22678" w:rsidRDefault="00901E80" w:rsidP="007123A4">
      <w:pPr>
        <w:pStyle w:val="Heading2"/>
      </w:pPr>
      <w:r>
        <w:t xml:space="preserve"> </w:t>
      </w:r>
      <w:bookmarkStart w:id="171" w:name="_Toc423350784"/>
      <w:r w:rsidR="00C22678">
        <w:t>Clinical safety</w:t>
      </w:r>
      <w:bookmarkEnd w:id="171"/>
    </w:p>
    <w:p w:rsidR="00901E80" w:rsidRDefault="00901E80" w:rsidP="007123A4">
      <w:pPr>
        <w:pStyle w:val="Heading3"/>
      </w:pPr>
      <w:bookmarkStart w:id="172" w:name="_Toc272679670"/>
      <w:bookmarkStart w:id="173" w:name="_Toc423350785"/>
      <w:r>
        <w:t>Subcutaneous Administration</w:t>
      </w:r>
      <w:bookmarkEnd w:id="172"/>
      <w:bookmarkEnd w:id="173"/>
    </w:p>
    <w:p w:rsidR="00901E80" w:rsidRDefault="00901E80" w:rsidP="007123A4">
      <w:pPr>
        <w:pStyle w:val="Heading4"/>
      </w:pPr>
      <w:bookmarkStart w:id="174" w:name="_Toc272679671"/>
      <w:bookmarkStart w:id="175" w:name="_Toc290846284"/>
      <w:bookmarkStart w:id="176" w:name="_Toc272414659"/>
      <w:r>
        <w:t>Studies providing evaluable safety data</w:t>
      </w:r>
      <w:bookmarkEnd w:id="174"/>
      <w:bookmarkEnd w:id="175"/>
      <w:bookmarkEnd w:id="176"/>
    </w:p>
    <w:p w:rsidR="00901E80" w:rsidRDefault="00901E80" w:rsidP="000E2ABE">
      <w:bookmarkStart w:id="177" w:name="_Ref268776745"/>
      <w:r>
        <w:t>The following studies provided evaluable safety data.</w:t>
      </w:r>
    </w:p>
    <w:p w:rsidR="00901E80" w:rsidRDefault="00901E80" w:rsidP="007123A4">
      <w:pPr>
        <w:pStyle w:val="Heading5"/>
      </w:pPr>
      <w:r>
        <w:t xml:space="preserve">Pivotal efficacy </w:t>
      </w:r>
      <w:proofErr w:type="gramStart"/>
      <w:r>
        <w:t>stud</w:t>
      </w:r>
      <w:bookmarkEnd w:id="177"/>
      <w:r>
        <w:t>y  -</w:t>
      </w:r>
      <w:proofErr w:type="gramEnd"/>
      <w:r>
        <w:t xml:space="preserve"> BO22227</w:t>
      </w:r>
    </w:p>
    <w:p w:rsidR="00901E80" w:rsidRDefault="00901E80" w:rsidP="000E2ABE">
      <w:r>
        <w:t>In the pivotal efficacy study, the following safety data were collected:</w:t>
      </w:r>
    </w:p>
    <w:p w:rsidR="00901E80" w:rsidRDefault="00901E80" w:rsidP="000E2ABE">
      <w:pPr>
        <w:pStyle w:val="ListBullet"/>
      </w:pPr>
      <w:r>
        <w:t xml:space="preserve">Information on general adverse events (AEs) was collected throughout the study.  Up to 28 days after the last administration of </w:t>
      </w:r>
      <w:proofErr w:type="spellStart"/>
      <w:r>
        <w:t>trastuzumab</w:t>
      </w:r>
      <w:proofErr w:type="spellEnd"/>
      <w:r>
        <w:t xml:space="preserve">, all AEs were reported irrespective of the type </w:t>
      </w:r>
      <w:r>
        <w:lastRenderedPageBreak/>
        <w:t>of disorder and relationship of the AE to the drug. Between 28 days after last study drug and the end of the study, only related AEs and cardiac AEs were to be reported.</w:t>
      </w:r>
    </w:p>
    <w:p w:rsidR="00901E80" w:rsidRDefault="00901E80" w:rsidP="000E2ABE">
      <w:pPr>
        <w:pStyle w:val="ListBullet"/>
      </w:pPr>
      <w:r>
        <w:t>Intensity of AEs was graded according to the National Cancer Institute Common Terminology Criteria for Adverse Events (NCI-CTC-AE) version 3.0.</w:t>
      </w:r>
      <w:r w:rsidR="002A12AD">
        <w:rPr>
          <w:rStyle w:val="FootnoteReference"/>
        </w:rPr>
        <w:footnoteReference w:id="1"/>
      </w:r>
      <w:r>
        <w:t xml:space="preserve"> Severity of heart failure was graded using the New York Heart Association (NYHA) classification.</w:t>
      </w:r>
      <w:r w:rsidR="002A12AD">
        <w:rPr>
          <w:rStyle w:val="FootnoteReference"/>
        </w:rPr>
        <w:footnoteReference w:id="2"/>
      </w:r>
    </w:p>
    <w:p w:rsidR="00901E80" w:rsidRDefault="00901E80" w:rsidP="000E2ABE">
      <w:pPr>
        <w:pStyle w:val="ListBullet"/>
      </w:pPr>
      <w:proofErr w:type="spellStart"/>
      <w:r>
        <w:t>MedDRA</w:t>
      </w:r>
      <w:proofErr w:type="spellEnd"/>
      <w:r>
        <w:t xml:space="preserve"> version 16.0 was used to assign preferred AE terms to the reported AEs.</w:t>
      </w:r>
    </w:p>
    <w:p w:rsidR="00901E80" w:rsidRDefault="00901E80" w:rsidP="000E2ABE">
      <w:pPr>
        <w:pStyle w:val="ListBullet"/>
      </w:pPr>
      <w:r>
        <w:t>Heart failure and administration-related reactions (ARRs) was identified as an AE of particular interest.</w:t>
      </w:r>
    </w:p>
    <w:p w:rsidR="00901E80" w:rsidRDefault="00901E80" w:rsidP="000E2ABE">
      <w:pPr>
        <w:pStyle w:val="ListBullet"/>
      </w:pPr>
      <w:r>
        <w:t xml:space="preserve">Laboratory tests, including haematology (haemoglobin, total WBC, absolute neutrophil count (ANC)/neutrophils, platelet count) and biochemistry (creatinine, urea (BUN), SGPT (ALT), SGOT (AST), total bilirubin, alkaline phosphatase, albumin, sodium, potassium and calcium) were performed at baseline, at </w:t>
      </w:r>
      <w:r w:rsidR="002A12AD">
        <w:t>C</w:t>
      </w:r>
      <w:r>
        <w:t>ycles 1-9, 13 and 18, at the final visit and then at 3, 6, 12, 18 and 24 months during follow-up.</w:t>
      </w:r>
    </w:p>
    <w:p w:rsidR="00901E80" w:rsidRDefault="00901E80" w:rsidP="000E2ABE">
      <w:pPr>
        <w:pStyle w:val="ListBullet"/>
      </w:pPr>
      <w:r>
        <w:t>Laboratory tests for anti-</w:t>
      </w:r>
      <w:proofErr w:type="spellStart"/>
      <w:r>
        <w:t>trastuzumab</w:t>
      </w:r>
      <w:proofErr w:type="spellEnd"/>
      <w:r>
        <w:t xml:space="preserve"> antibodies (both arms) and anti- rHuPH20 antibodies (SC arm only) were performed at baseline, at </w:t>
      </w:r>
      <w:r w:rsidR="002A12AD">
        <w:t>C</w:t>
      </w:r>
      <w:r>
        <w:t>ycles 2, 5 and 13, at 3 and 6 months during follow-up and then at 6 mon</w:t>
      </w:r>
      <w:r w:rsidR="00F57A62">
        <w:t>thly intervals until 60 months.</w:t>
      </w:r>
    </w:p>
    <w:p w:rsidR="00901E80" w:rsidRDefault="00901E80" w:rsidP="000E2ABE">
      <w:pPr>
        <w:pStyle w:val="ListBullet"/>
      </w:pPr>
      <w:r>
        <w:t>Assessment of LVEF (by Echo or MUGA scan) and ECG were performed during screening, at cycles 5, 9, 13 and 18, at 6-monthly intervals for the first 2 years of follow-up and then at 12-monthly intervals.</w:t>
      </w:r>
      <w:bookmarkStart w:id="180" w:name="_Ref269204367"/>
    </w:p>
    <w:p w:rsidR="00901E80" w:rsidRDefault="00901E80" w:rsidP="007123A4">
      <w:pPr>
        <w:pStyle w:val="Heading5"/>
      </w:pPr>
      <w:r>
        <w:t xml:space="preserve">Phase </w:t>
      </w:r>
      <w:r w:rsidR="002A12AD">
        <w:t>I</w:t>
      </w:r>
      <w:r>
        <w:t xml:space="preserve"> study – BP22023</w:t>
      </w:r>
    </w:p>
    <w:p w:rsidR="00901E80" w:rsidRDefault="00901E80" w:rsidP="000E2ABE">
      <w:r>
        <w:t xml:space="preserve">In this study subjects generally only received a single dose of IV or SC </w:t>
      </w:r>
      <w:proofErr w:type="spellStart"/>
      <w:r>
        <w:t>trastuzumab</w:t>
      </w:r>
      <w:proofErr w:type="spellEnd"/>
      <w:r>
        <w:t xml:space="preserve">. The safety findings of the study are summarised </w:t>
      </w:r>
      <w:r w:rsidR="002A12AD">
        <w:t>below</w:t>
      </w:r>
      <w:r>
        <w:t>.</w:t>
      </w:r>
    </w:p>
    <w:p w:rsidR="002A12AD" w:rsidRPr="005A75DB" w:rsidRDefault="002A12AD" w:rsidP="002A12AD">
      <w:pPr>
        <w:pStyle w:val="Heading6"/>
      </w:pPr>
      <w:r w:rsidRPr="00CE63A1">
        <w:lastRenderedPageBreak/>
        <w:t>Safety</w:t>
      </w:r>
      <w:r>
        <w:t xml:space="preserve"> findings</w:t>
      </w:r>
      <w:r w:rsidRPr="005A75DB">
        <w:t>:</w:t>
      </w:r>
    </w:p>
    <w:p w:rsidR="002A12AD" w:rsidRPr="002A12AD" w:rsidRDefault="002A12AD" w:rsidP="002A12AD">
      <w:pPr>
        <w:ind w:left="567"/>
        <w:rPr>
          <w:i/>
          <w:sz w:val="20"/>
          <w:szCs w:val="20"/>
        </w:rPr>
      </w:pPr>
      <w:r w:rsidRPr="002A12AD">
        <w:rPr>
          <w:i/>
          <w:sz w:val="20"/>
          <w:szCs w:val="20"/>
        </w:rPr>
        <w:t xml:space="preserve">Four subjects received 2 doses of </w:t>
      </w:r>
      <w:proofErr w:type="spellStart"/>
      <w:r w:rsidRPr="002A12AD">
        <w:rPr>
          <w:i/>
          <w:sz w:val="20"/>
          <w:szCs w:val="20"/>
        </w:rPr>
        <w:t>trastuzumab</w:t>
      </w:r>
      <w:proofErr w:type="spellEnd"/>
      <w:r w:rsidRPr="002A12AD">
        <w:rPr>
          <w:i/>
          <w:sz w:val="20"/>
          <w:szCs w:val="20"/>
        </w:rPr>
        <w:t xml:space="preserve"> (1 IV dose and 1 SC dose). The other 62 subjects received only a single dose. There were no deaths, serious AEs or AEs leading to withdrawal. In Part 1, the percentage of patients who developed AEs was comparable with IV and SC administration (83.3 – 100% v</w:t>
      </w:r>
      <w:r>
        <w:rPr>
          <w:i/>
          <w:sz w:val="20"/>
          <w:szCs w:val="20"/>
        </w:rPr>
        <w:t>ersu</w:t>
      </w:r>
      <w:r w:rsidRPr="002A12AD">
        <w:rPr>
          <w:i/>
          <w:sz w:val="20"/>
          <w:szCs w:val="20"/>
        </w:rPr>
        <w:t>s 83.3-100%). However, the total number of AEs was higher in the IV cohorts (26, 24 AEs) than in t</w:t>
      </w:r>
      <w:r w:rsidR="00F57A62">
        <w:rPr>
          <w:i/>
          <w:sz w:val="20"/>
          <w:szCs w:val="20"/>
        </w:rPr>
        <w:t>he SC cohorts (12, 11, 13 AEs).</w:t>
      </w:r>
    </w:p>
    <w:p w:rsidR="002A12AD" w:rsidRPr="002A12AD" w:rsidRDefault="002A12AD" w:rsidP="002A12AD">
      <w:pPr>
        <w:ind w:left="567"/>
        <w:rPr>
          <w:i/>
          <w:sz w:val="20"/>
          <w:szCs w:val="20"/>
        </w:rPr>
      </w:pPr>
      <w:r w:rsidRPr="002A12AD">
        <w:rPr>
          <w:i/>
          <w:sz w:val="20"/>
          <w:szCs w:val="20"/>
        </w:rPr>
        <w:t xml:space="preserve">There were </w:t>
      </w:r>
      <w:proofErr w:type="spellStart"/>
      <w:r w:rsidRPr="002A12AD">
        <w:rPr>
          <w:i/>
          <w:sz w:val="20"/>
          <w:szCs w:val="20"/>
        </w:rPr>
        <w:t>no</w:t>
      </w:r>
      <w:r>
        <w:rPr>
          <w:i/>
          <w:sz w:val="20"/>
          <w:szCs w:val="20"/>
        </w:rPr>
        <w:t>G</w:t>
      </w:r>
      <w:r w:rsidRPr="002A12AD">
        <w:rPr>
          <w:i/>
          <w:sz w:val="20"/>
          <w:szCs w:val="20"/>
        </w:rPr>
        <w:t>rade</w:t>
      </w:r>
      <w:proofErr w:type="spellEnd"/>
      <w:r w:rsidRPr="002A12AD">
        <w:rPr>
          <w:i/>
          <w:sz w:val="20"/>
          <w:szCs w:val="20"/>
        </w:rPr>
        <w:t xml:space="preserve"> 3/4 events among the SC groups in Part 1. In Part 2, there were no </w:t>
      </w:r>
      <w:r>
        <w:rPr>
          <w:i/>
          <w:sz w:val="20"/>
          <w:szCs w:val="20"/>
        </w:rPr>
        <w:t>G</w:t>
      </w:r>
      <w:r w:rsidRPr="002A12AD">
        <w:rPr>
          <w:i/>
          <w:sz w:val="20"/>
          <w:szCs w:val="20"/>
        </w:rPr>
        <w:t xml:space="preserve">rade 4 events, but 4 subjects (10%) developed </w:t>
      </w:r>
      <w:r>
        <w:rPr>
          <w:i/>
          <w:sz w:val="20"/>
          <w:szCs w:val="20"/>
        </w:rPr>
        <w:t>G</w:t>
      </w:r>
      <w:r w:rsidRPr="002A12AD">
        <w:rPr>
          <w:i/>
          <w:sz w:val="20"/>
          <w:szCs w:val="20"/>
        </w:rPr>
        <w:t xml:space="preserve">rade 3 events (viral infection, gastroenteritis, headache, influenza). All these events occurred 30 or more days after </w:t>
      </w:r>
      <w:proofErr w:type="spellStart"/>
      <w:r w:rsidRPr="002A12AD">
        <w:rPr>
          <w:i/>
          <w:sz w:val="20"/>
          <w:szCs w:val="20"/>
        </w:rPr>
        <w:t>trastuzumab</w:t>
      </w:r>
      <w:proofErr w:type="spellEnd"/>
      <w:r w:rsidRPr="002A12AD">
        <w:rPr>
          <w:i/>
          <w:sz w:val="20"/>
          <w:szCs w:val="20"/>
        </w:rPr>
        <w:t xml:space="preserve"> administration and were considered unrelated or remotely related to the drug.</w:t>
      </w:r>
    </w:p>
    <w:p w:rsidR="002A12AD" w:rsidRPr="002A12AD" w:rsidRDefault="002A12AD" w:rsidP="002A12AD">
      <w:pPr>
        <w:ind w:left="567"/>
        <w:rPr>
          <w:i/>
          <w:sz w:val="20"/>
          <w:szCs w:val="20"/>
        </w:rPr>
      </w:pPr>
      <w:r w:rsidRPr="002A12AD">
        <w:rPr>
          <w:i/>
          <w:sz w:val="20"/>
          <w:szCs w:val="20"/>
        </w:rPr>
        <w:t>The incidence of injection site reactions was 25.0% with IV administration (Cohorts 1 and 2). With SC administration it was 83.3% at 6 mg/kg (Cohort 3), 38.5% at 8 mg/kg (Cohorts 5 and A), 66.7% at 10 mg/kg (Cohort 4) and 30.0% at 12 mg/kg (Cohort B). In all there were 28 injection site AEs reported. The most common were injection site erythema (7), and discolouration (5). All such reactions were mild in intensity except for two events of moderate injection site pain in Cohort B.</w:t>
      </w:r>
    </w:p>
    <w:p w:rsidR="00901E80" w:rsidRDefault="00901E80" w:rsidP="007123A4">
      <w:pPr>
        <w:pStyle w:val="Heading3"/>
      </w:pPr>
      <w:bookmarkStart w:id="181" w:name="_Toc272679672"/>
      <w:bookmarkStart w:id="182" w:name="_Toc290846300"/>
      <w:bookmarkStart w:id="183" w:name="_Toc272414662"/>
      <w:bookmarkStart w:id="184" w:name="_Ref271196630"/>
      <w:bookmarkStart w:id="185" w:name="_Toc241374318"/>
      <w:bookmarkStart w:id="186" w:name="_Toc423350786"/>
      <w:bookmarkEnd w:id="180"/>
      <w:r>
        <w:t>Patient exposure</w:t>
      </w:r>
      <w:bookmarkEnd w:id="181"/>
      <w:bookmarkEnd w:id="182"/>
      <w:bookmarkEnd w:id="183"/>
      <w:bookmarkEnd w:id="184"/>
      <w:bookmarkEnd w:id="185"/>
      <w:bookmarkEnd w:id="186"/>
    </w:p>
    <w:p w:rsidR="00901E80" w:rsidRDefault="00901E80" w:rsidP="000E2ABE">
      <w:r>
        <w:t xml:space="preserve">A total of 661 subjects received at least one dose of </w:t>
      </w:r>
      <w:proofErr w:type="spellStart"/>
      <w:r>
        <w:t>trastuzumab</w:t>
      </w:r>
      <w:proofErr w:type="spellEnd"/>
      <w:r>
        <w:t xml:space="preserve"> in the two submitted studies. A total of 355 subjects received at least one SC dose.</w:t>
      </w:r>
    </w:p>
    <w:p w:rsidR="00901E80" w:rsidRDefault="00901E80" w:rsidP="002A12AD">
      <w:pPr>
        <w:pStyle w:val="Tabletitle"/>
      </w:pPr>
      <w:bookmarkStart w:id="187" w:name="_Toc272679740"/>
      <w:r>
        <w:t xml:space="preserve">Table </w:t>
      </w:r>
      <w:r w:rsidR="002A12AD">
        <w:t>24:</w:t>
      </w:r>
      <w:r>
        <w:t xml:space="preserve">- Exposure to </w:t>
      </w:r>
      <w:proofErr w:type="spellStart"/>
      <w:r>
        <w:t>trastuzumab</w:t>
      </w:r>
      <w:proofErr w:type="spellEnd"/>
      <w:r>
        <w:t xml:space="preserve"> SC and IV in clinical studies.</w:t>
      </w:r>
      <w:bookmarkEnd w:id="187"/>
    </w:p>
    <w:tbl>
      <w:tblPr>
        <w:tblStyle w:val="TableTGAblue"/>
        <w:tblW w:w="0" w:type="auto"/>
        <w:tblLook w:val="04A0" w:firstRow="1" w:lastRow="0" w:firstColumn="1" w:lastColumn="0" w:noHBand="0" w:noVBand="1"/>
      </w:tblPr>
      <w:tblGrid>
        <w:gridCol w:w="1868"/>
        <w:gridCol w:w="2351"/>
        <w:gridCol w:w="1353"/>
        <w:gridCol w:w="1482"/>
        <w:gridCol w:w="1843"/>
      </w:tblGrid>
      <w:tr w:rsidR="00901E80" w:rsidTr="002A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hideMark/>
          </w:tcPr>
          <w:p w:rsidR="00901E80" w:rsidRPr="002A12AD" w:rsidRDefault="00901E80" w:rsidP="00F57A62">
            <w:pPr>
              <w:rPr>
                <w:kern w:val="16"/>
              </w:rPr>
            </w:pPr>
            <w:r w:rsidRPr="002A12AD">
              <w:t>Study</w:t>
            </w:r>
          </w:p>
        </w:tc>
        <w:tc>
          <w:tcPr>
            <w:tcW w:w="2351" w:type="dxa"/>
            <w:hideMark/>
          </w:tcPr>
          <w:p w:rsidR="00901E80" w:rsidRPr="002A12AD" w:rsidRDefault="00901E80" w:rsidP="00F57A62">
            <w:pPr>
              <w:cnfStyle w:val="100000000000" w:firstRow="1" w:lastRow="0" w:firstColumn="0" w:lastColumn="0" w:oddVBand="0" w:evenVBand="0" w:oddHBand="0" w:evenHBand="0" w:firstRowFirstColumn="0" w:firstRowLastColumn="0" w:lastRowFirstColumn="0" w:lastRowLastColumn="0"/>
              <w:rPr>
                <w:kern w:val="16"/>
              </w:rPr>
            </w:pPr>
            <w:r w:rsidRPr="002A12AD">
              <w:t>Subjects</w:t>
            </w:r>
          </w:p>
        </w:tc>
        <w:tc>
          <w:tcPr>
            <w:tcW w:w="1353" w:type="dxa"/>
            <w:hideMark/>
          </w:tcPr>
          <w:p w:rsidR="00901E80" w:rsidRPr="002A12AD" w:rsidRDefault="00901E80" w:rsidP="00F57A62">
            <w:pPr>
              <w:cnfStyle w:val="100000000000" w:firstRow="1" w:lastRow="0" w:firstColumn="0" w:lastColumn="0" w:oddVBand="0" w:evenVBand="0" w:oddHBand="0" w:evenHBand="0" w:firstRowFirstColumn="0" w:firstRowLastColumn="0" w:lastRowFirstColumn="0" w:lastRowLastColumn="0"/>
              <w:rPr>
                <w:kern w:val="16"/>
              </w:rPr>
            </w:pPr>
            <w:r w:rsidRPr="002A12AD">
              <w:t>SC</w:t>
            </w:r>
          </w:p>
        </w:tc>
        <w:tc>
          <w:tcPr>
            <w:tcW w:w="1482" w:type="dxa"/>
            <w:hideMark/>
          </w:tcPr>
          <w:p w:rsidR="00901E80" w:rsidRPr="002A12AD" w:rsidRDefault="00901E80" w:rsidP="00F57A62">
            <w:pPr>
              <w:cnfStyle w:val="100000000000" w:firstRow="1" w:lastRow="0" w:firstColumn="0" w:lastColumn="0" w:oddVBand="0" w:evenVBand="0" w:oddHBand="0" w:evenHBand="0" w:firstRowFirstColumn="0" w:firstRowLastColumn="0" w:lastRowFirstColumn="0" w:lastRowLastColumn="0"/>
              <w:rPr>
                <w:kern w:val="16"/>
              </w:rPr>
            </w:pPr>
            <w:r w:rsidRPr="002A12AD">
              <w:t>IV</w:t>
            </w:r>
          </w:p>
        </w:tc>
        <w:tc>
          <w:tcPr>
            <w:tcW w:w="1843" w:type="dxa"/>
            <w:hideMark/>
          </w:tcPr>
          <w:p w:rsidR="00901E80" w:rsidRPr="002A12AD" w:rsidRDefault="00901E80" w:rsidP="00F57A62">
            <w:pPr>
              <w:cnfStyle w:val="100000000000" w:firstRow="1" w:lastRow="0" w:firstColumn="0" w:lastColumn="0" w:oddVBand="0" w:evenVBand="0" w:oddHBand="0" w:evenHBand="0" w:firstRowFirstColumn="0" w:firstRowLastColumn="0" w:lastRowFirstColumn="0" w:lastRowLastColumn="0"/>
              <w:rPr>
                <w:kern w:val="16"/>
              </w:rPr>
            </w:pPr>
            <w:r w:rsidRPr="002A12AD">
              <w:t>Total</w:t>
            </w:r>
          </w:p>
        </w:tc>
      </w:tr>
      <w:tr w:rsidR="00901E80" w:rsidTr="002A12AD">
        <w:tc>
          <w:tcPr>
            <w:cnfStyle w:val="001000000000" w:firstRow="0" w:lastRow="0" w:firstColumn="1" w:lastColumn="0" w:oddVBand="0" w:evenVBand="0" w:oddHBand="0" w:evenHBand="0" w:firstRowFirstColumn="0" w:firstRowLastColumn="0" w:lastRowFirstColumn="0" w:lastRowLastColumn="0"/>
            <w:tcW w:w="1868" w:type="dxa"/>
          </w:tcPr>
          <w:p w:rsidR="00901E80" w:rsidRDefault="00901E80" w:rsidP="00F57A62">
            <w:r>
              <w:t>BO22023</w:t>
            </w:r>
          </w:p>
          <w:p w:rsidR="00901E80" w:rsidRDefault="00901E80" w:rsidP="00F57A62">
            <w:r>
              <w:t xml:space="preserve"> - Part 1</w:t>
            </w:r>
          </w:p>
          <w:p w:rsidR="00901E80" w:rsidRDefault="00901E80" w:rsidP="00F57A62"/>
          <w:p w:rsidR="00901E80" w:rsidRDefault="00901E80" w:rsidP="00F57A62"/>
          <w:p w:rsidR="00901E80" w:rsidRDefault="00901E80" w:rsidP="00F57A62">
            <w:pPr>
              <w:rPr>
                <w:kern w:val="16"/>
              </w:rPr>
            </w:pPr>
            <w:r>
              <w:t>- Part 2</w:t>
            </w:r>
          </w:p>
        </w:tc>
        <w:tc>
          <w:tcPr>
            <w:tcW w:w="2351"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pPr>
          </w:p>
          <w:p w:rsidR="00901E80" w:rsidRDefault="00901E80" w:rsidP="00F57A62">
            <w:pPr>
              <w:cnfStyle w:val="000000000000" w:firstRow="0" w:lastRow="0" w:firstColumn="0" w:lastColumn="0" w:oddVBand="0" w:evenVBand="0" w:oddHBand="0" w:evenHBand="0" w:firstRowFirstColumn="0" w:firstRowLastColumn="0" w:lastRowFirstColumn="0" w:lastRowLastColumn="0"/>
            </w:pPr>
            <w:r>
              <w:t>Healthy volunteers</w:t>
            </w:r>
          </w:p>
          <w:p w:rsidR="00901E80" w:rsidRDefault="00901E80" w:rsidP="00F57A62">
            <w:pPr>
              <w:cnfStyle w:val="000000000000" w:firstRow="0" w:lastRow="0" w:firstColumn="0" w:lastColumn="0" w:oddVBand="0" w:evenVBand="0" w:oddHBand="0" w:evenHBand="0" w:firstRowFirstColumn="0" w:firstRowLastColumn="0" w:lastRowFirstColumn="0" w:lastRowLastColumn="0"/>
            </w:pPr>
            <w:r>
              <w:t>Patients</w:t>
            </w:r>
          </w:p>
          <w:p w:rsidR="00901E80" w:rsidRDefault="00901E80" w:rsidP="00F57A62">
            <w:pPr>
              <w:cnfStyle w:val="000000000000" w:firstRow="0" w:lastRow="0" w:firstColumn="0" w:lastColumn="0" w:oddVBand="0" w:evenVBand="0" w:oddHBand="0" w:evenHBand="0" w:firstRowFirstColumn="0" w:firstRowLastColumn="0" w:lastRowFirstColumn="0" w:lastRowLastColumn="0"/>
            </w:pPr>
          </w:p>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r>
              <w:t>Patients</w:t>
            </w:r>
          </w:p>
        </w:tc>
        <w:tc>
          <w:tcPr>
            <w:tcW w:w="1353"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pPr>
          </w:p>
          <w:p w:rsidR="00901E80" w:rsidRDefault="00901E80" w:rsidP="00F57A62">
            <w:pPr>
              <w:cnfStyle w:val="000000000000" w:firstRow="0" w:lastRow="0" w:firstColumn="0" w:lastColumn="0" w:oddVBand="0" w:evenVBand="0" w:oddHBand="0" w:evenHBand="0" w:firstRowFirstColumn="0" w:firstRowLastColumn="0" w:lastRowFirstColumn="0" w:lastRowLastColumn="0"/>
            </w:pPr>
            <w:r>
              <w:t>18</w:t>
            </w:r>
          </w:p>
          <w:p w:rsidR="00901E80" w:rsidRDefault="00901E80" w:rsidP="00F57A62">
            <w:pPr>
              <w:cnfStyle w:val="000000000000" w:firstRow="0" w:lastRow="0" w:firstColumn="0" w:lastColumn="0" w:oddVBand="0" w:evenVBand="0" w:oddHBand="0" w:evenHBand="0" w:firstRowFirstColumn="0" w:firstRowLastColumn="0" w:lastRowFirstColumn="0" w:lastRowLastColumn="0"/>
            </w:pPr>
            <w:r>
              <w:t>-</w:t>
            </w:r>
          </w:p>
          <w:p w:rsidR="00901E80" w:rsidRDefault="00901E80" w:rsidP="00F57A62">
            <w:pPr>
              <w:cnfStyle w:val="000000000000" w:firstRow="0" w:lastRow="0" w:firstColumn="0" w:lastColumn="0" w:oddVBand="0" w:evenVBand="0" w:oddHBand="0" w:evenHBand="0" w:firstRowFirstColumn="0" w:firstRowLastColumn="0" w:lastRowFirstColumn="0" w:lastRowLastColumn="0"/>
            </w:pPr>
          </w:p>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r>
              <w:t>40</w:t>
            </w:r>
          </w:p>
        </w:tc>
        <w:tc>
          <w:tcPr>
            <w:tcW w:w="1482"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pPr>
          </w:p>
          <w:p w:rsidR="00901E80" w:rsidRDefault="00901E80" w:rsidP="00F57A62">
            <w:pPr>
              <w:cnfStyle w:val="000000000000" w:firstRow="0" w:lastRow="0" w:firstColumn="0" w:lastColumn="0" w:oddVBand="0" w:evenVBand="0" w:oddHBand="0" w:evenHBand="0" w:firstRowFirstColumn="0" w:firstRowLastColumn="0" w:lastRowFirstColumn="0" w:lastRowLastColumn="0"/>
            </w:pPr>
            <w:r>
              <w:t>6</w:t>
            </w:r>
          </w:p>
          <w:p w:rsidR="00901E80" w:rsidRDefault="00901E80" w:rsidP="00F57A62">
            <w:pPr>
              <w:cnfStyle w:val="000000000000" w:firstRow="0" w:lastRow="0" w:firstColumn="0" w:lastColumn="0" w:oddVBand="0" w:evenVBand="0" w:oddHBand="0" w:evenHBand="0" w:firstRowFirstColumn="0" w:firstRowLastColumn="0" w:lastRowFirstColumn="0" w:lastRowLastColumn="0"/>
            </w:pPr>
            <w:r>
              <w:t>6</w:t>
            </w:r>
          </w:p>
          <w:p w:rsidR="00901E80" w:rsidRDefault="00901E80" w:rsidP="00F57A62">
            <w:pPr>
              <w:cnfStyle w:val="000000000000" w:firstRow="0" w:lastRow="0" w:firstColumn="0" w:lastColumn="0" w:oddVBand="0" w:evenVBand="0" w:oddHBand="0" w:evenHBand="0" w:firstRowFirstColumn="0" w:firstRowLastColumn="0" w:lastRowFirstColumn="0" w:lastRowLastColumn="0"/>
            </w:pPr>
          </w:p>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r>
              <w:t>-</w:t>
            </w:r>
          </w:p>
        </w:tc>
        <w:tc>
          <w:tcPr>
            <w:tcW w:w="1843"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pPr>
          </w:p>
          <w:p w:rsidR="00901E80" w:rsidRDefault="00901E80" w:rsidP="00F57A62">
            <w:pPr>
              <w:cnfStyle w:val="000000000000" w:firstRow="0" w:lastRow="0" w:firstColumn="0" w:lastColumn="0" w:oddVBand="0" w:evenVBand="0" w:oddHBand="0" w:evenHBand="0" w:firstRowFirstColumn="0" w:firstRowLastColumn="0" w:lastRowFirstColumn="0" w:lastRowLastColumn="0"/>
            </w:pPr>
            <w:r>
              <w:t>24</w:t>
            </w:r>
          </w:p>
          <w:p w:rsidR="00901E80" w:rsidRDefault="00901E80" w:rsidP="00F57A62">
            <w:pPr>
              <w:cnfStyle w:val="000000000000" w:firstRow="0" w:lastRow="0" w:firstColumn="0" w:lastColumn="0" w:oddVBand="0" w:evenVBand="0" w:oddHBand="0" w:evenHBand="0" w:firstRowFirstColumn="0" w:firstRowLastColumn="0" w:lastRowFirstColumn="0" w:lastRowLastColumn="0"/>
            </w:pPr>
            <w:r>
              <w:t xml:space="preserve"> 6</w:t>
            </w:r>
            <w:r>
              <w:rPr>
                <w:vertAlign w:val="superscript"/>
              </w:rPr>
              <w:t>*</w:t>
            </w:r>
          </w:p>
          <w:p w:rsidR="00901E80" w:rsidRDefault="00901E80" w:rsidP="00F57A62">
            <w:pPr>
              <w:cnfStyle w:val="000000000000" w:firstRow="0" w:lastRow="0" w:firstColumn="0" w:lastColumn="0" w:oddVBand="0" w:evenVBand="0" w:oddHBand="0" w:evenHBand="0" w:firstRowFirstColumn="0" w:firstRowLastColumn="0" w:lastRowFirstColumn="0" w:lastRowLastColumn="0"/>
            </w:pPr>
          </w:p>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r>
              <w:t>40</w:t>
            </w:r>
            <w:r>
              <w:rPr>
                <w:vertAlign w:val="superscript"/>
              </w:rPr>
              <w:t>*</w:t>
            </w:r>
          </w:p>
        </w:tc>
      </w:tr>
      <w:tr w:rsidR="00901E80" w:rsidTr="002A12AD">
        <w:tc>
          <w:tcPr>
            <w:cnfStyle w:val="001000000000" w:firstRow="0" w:lastRow="0" w:firstColumn="1" w:lastColumn="0" w:oddVBand="0" w:evenVBand="0" w:oddHBand="0" w:evenHBand="0" w:firstRowFirstColumn="0" w:firstRowLastColumn="0" w:lastRowFirstColumn="0" w:lastRowLastColumn="0"/>
            <w:tcW w:w="1868" w:type="dxa"/>
          </w:tcPr>
          <w:p w:rsidR="00901E80" w:rsidRDefault="00901E80" w:rsidP="00F57A62">
            <w:r>
              <w:t>BO22227</w:t>
            </w:r>
          </w:p>
          <w:p w:rsidR="00901E80" w:rsidRDefault="00901E80" w:rsidP="00F57A62">
            <w:pPr>
              <w:rPr>
                <w:kern w:val="16"/>
              </w:rPr>
            </w:pPr>
          </w:p>
        </w:tc>
        <w:tc>
          <w:tcPr>
            <w:tcW w:w="2351"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r>
              <w:t>Patients</w:t>
            </w:r>
          </w:p>
        </w:tc>
        <w:tc>
          <w:tcPr>
            <w:tcW w:w="1353"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r>
              <w:t>297</w:t>
            </w:r>
          </w:p>
        </w:tc>
        <w:tc>
          <w:tcPr>
            <w:tcW w:w="1482"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r>
              <w:t>298</w:t>
            </w:r>
          </w:p>
        </w:tc>
        <w:tc>
          <w:tcPr>
            <w:tcW w:w="1843"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r>
              <w:t>595</w:t>
            </w:r>
          </w:p>
        </w:tc>
      </w:tr>
      <w:tr w:rsidR="00901E80" w:rsidTr="002A12AD">
        <w:tc>
          <w:tcPr>
            <w:cnfStyle w:val="001000000000" w:firstRow="0" w:lastRow="0" w:firstColumn="1" w:lastColumn="0" w:oddVBand="0" w:evenVBand="0" w:oddHBand="0" w:evenHBand="0" w:firstRowFirstColumn="0" w:firstRowLastColumn="0" w:lastRowFirstColumn="0" w:lastRowLastColumn="0"/>
            <w:tcW w:w="1868" w:type="dxa"/>
          </w:tcPr>
          <w:p w:rsidR="00901E80" w:rsidRDefault="00901E80" w:rsidP="00F57A62">
            <w:pPr>
              <w:rPr>
                <w:kern w:val="16"/>
              </w:rPr>
            </w:pPr>
            <w:r>
              <w:t>Totals</w:t>
            </w:r>
          </w:p>
        </w:tc>
        <w:tc>
          <w:tcPr>
            <w:tcW w:w="2351"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p>
        </w:tc>
        <w:tc>
          <w:tcPr>
            <w:tcW w:w="1353"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r>
              <w:t>355</w:t>
            </w:r>
          </w:p>
        </w:tc>
        <w:tc>
          <w:tcPr>
            <w:tcW w:w="1482"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r>
              <w:t>310</w:t>
            </w:r>
          </w:p>
        </w:tc>
        <w:tc>
          <w:tcPr>
            <w:tcW w:w="1843" w:type="dxa"/>
          </w:tcPr>
          <w:p w:rsidR="00901E80" w:rsidRDefault="00901E80" w:rsidP="00F57A62">
            <w:pPr>
              <w:cnfStyle w:val="000000000000" w:firstRow="0" w:lastRow="0" w:firstColumn="0" w:lastColumn="0" w:oddVBand="0" w:evenVBand="0" w:oddHBand="0" w:evenHBand="0" w:firstRowFirstColumn="0" w:firstRowLastColumn="0" w:lastRowFirstColumn="0" w:lastRowLastColumn="0"/>
              <w:rPr>
                <w:kern w:val="16"/>
              </w:rPr>
            </w:pPr>
            <w:r>
              <w:t>661</w:t>
            </w:r>
            <w:r>
              <w:rPr>
                <w:vertAlign w:val="superscript"/>
              </w:rPr>
              <w:t>*</w:t>
            </w:r>
          </w:p>
        </w:tc>
      </w:tr>
    </w:tbl>
    <w:p w:rsidR="00901E80" w:rsidRPr="002A12AD" w:rsidRDefault="002A12AD" w:rsidP="00F57A62">
      <w:pPr>
        <w:pStyle w:val="TableDescription"/>
      </w:pPr>
      <w:r w:rsidRPr="002A12AD">
        <w:t>* F</w:t>
      </w:r>
      <w:r w:rsidR="00901E80" w:rsidRPr="002A12AD">
        <w:t>our subjects in BP22023 received a single IV dose and a single SC dose. There were therefore 66 unique subjects in this study.</w:t>
      </w:r>
    </w:p>
    <w:p w:rsidR="00901E80" w:rsidRDefault="00901E80" w:rsidP="000E2ABE">
      <w:r>
        <w:t xml:space="preserve">The main safety data come from the </w:t>
      </w:r>
      <w:r w:rsidR="00041C9E">
        <w:t>Phase I</w:t>
      </w:r>
      <w:r>
        <w:t>II study and the following review of adverse events etc. will focus on the findings of that trial.</w:t>
      </w:r>
    </w:p>
    <w:p w:rsidR="00901E80" w:rsidRDefault="00901E80" w:rsidP="000E2ABE">
      <w:r>
        <w:t xml:space="preserve">The extent of </w:t>
      </w:r>
      <w:proofErr w:type="spellStart"/>
      <w:r>
        <w:t>trastuzumab</w:t>
      </w:r>
      <w:proofErr w:type="spellEnd"/>
      <w:r>
        <w:t xml:space="preserve"> exposure in the </w:t>
      </w:r>
      <w:r w:rsidR="00041C9E">
        <w:t>Phase I</w:t>
      </w:r>
      <w:r>
        <w:t xml:space="preserve">II study is summarised in </w:t>
      </w:r>
      <w:r w:rsidR="007E772E">
        <w:t>Table 25.</w:t>
      </w:r>
      <w:r>
        <w:t xml:space="preserve"> The percentage of planned dose received and the number of cycles received were equivalent in the two arms. The extent of exposure to each of the planned chemotherapy agents (</w:t>
      </w:r>
      <w:proofErr w:type="spellStart"/>
      <w:r>
        <w:t>docetaxel</w:t>
      </w:r>
      <w:proofErr w:type="spellEnd"/>
      <w:r>
        <w:t xml:space="preserve">, 5-fluorouracil, </w:t>
      </w:r>
      <w:proofErr w:type="spellStart"/>
      <w:r>
        <w:t>epirubicin</w:t>
      </w:r>
      <w:proofErr w:type="spellEnd"/>
      <w:r>
        <w:t xml:space="preserve"> and cyclophosphamide) was also comparable in the two study arms.</w:t>
      </w:r>
    </w:p>
    <w:p w:rsidR="007E772E" w:rsidRDefault="007E772E" w:rsidP="00F57A62">
      <w:pPr>
        <w:pStyle w:val="Tabletitle"/>
      </w:pPr>
      <w:bookmarkStart w:id="188" w:name="_Ref261091918"/>
      <w:bookmarkStart w:id="189" w:name="_Toc272679768"/>
      <w:r>
        <w:lastRenderedPageBreak/>
        <w:t>Table 25:</w:t>
      </w:r>
      <w:bookmarkEnd w:id="188"/>
      <w:r>
        <w:t xml:space="preserve"> Study BO22227 – Extent of </w:t>
      </w:r>
      <w:proofErr w:type="spellStart"/>
      <w:r>
        <w:t>trastuzumab</w:t>
      </w:r>
      <w:proofErr w:type="spellEnd"/>
      <w:r>
        <w:t xml:space="preserve"> exposure</w:t>
      </w:r>
      <w:bookmarkEnd w:id="189"/>
      <w:r>
        <w:rPr>
          <w:noProof/>
          <w:lang w:eastAsia="en-AU"/>
        </w:rPr>
        <w:drawing>
          <wp:inline distT="0" distB="0" distL="0" distR="0" wp14:anchorId="061B2034" wp14:editId="59AF0FFB">
            <wp:extent cx="4207952" cy="3581400"/>
            <wp:effectExtent l="0" t="0" r="0" b="0"/>
            <wp:docPr id="23" name="Picture 3" descr="Table 25: Study BO22227 – Extent of trastuzumab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l="1268"/>
                    <a:stretch/>
                  </pic:blipFill>
                  <pic:spPr bwMode="auto">
                    <a:xfrm>
                      <a:off x="0" y="0"/>
                      <a:ext cx="4208013" cy="3581452"/>
                    </a:xfrm>
                    <a:prstGeom prst="rect">
                      <a:avLst/>
                    </a:prstGeom>
                    <a:noFill/>
                    <a:ln>
                      <a:noFill/>
                    </a:ln>
                    <a:extLst>
                      <a:ext uri="{53640926-AAD7-44D8-BBD7-CCE9431645EC}">
                        <a14:shadowObscured xmlns:a14="http://schemas.microsoft.com/office/drawing/2010/main"/>
                      </a:ext>
                    </a:extLst>
                  </pic:spPr>
                </pic:pic>
              </a:graphicData>
            </a:graphic>
          </wp:inline>
        </w:drawing>
      </w:r>
    </w:p>
    <w:p w:rsidR="00901E80" w:rsidRDefault="00901E80" w:rsidP="007123A4">
      <w:pPr>
        <w:pStyle w:val="Heading3"/>
      </w:pPr>
      <w:bookmarkStart w:id="190" w:name="_Toc272679673"/>
      <w:bookmarkStart w:id="191" w:name="_Toc290846301"/>
      <w:bookmarkStart w:id="192" w:name="_Toc272414663"/>
      <w:bookmarkStart w:id="193" w:name="_Ref271044764"/>
      <w:bookmarkStart w:id="194" w:name="_Toc241374319"/>
      <w:bookmarkStart w:id="195" w:name="_Toc423350787"/>
      <w:r>
        <w:t>Adverse events</w:t>
      </w:r>
      <w:bookmarkEnd w:id="190"/>
      <w:bookmarkEnd w:id="191"/>
      <w:bookmarkEnd w:id="192"/>
      <w:bookmarkEnd w:id="193"/>
      <w:bookmarkEnd w:id="194"/>
      <w:bookmarkEnd w:id="195"/>
    </w:p>
    <w:p w:rsidR="00901E80" w:rsidRDefault="00901E80" w:rsidP="000E2ABE">
      <w:r>
        <w:t xml:space="preserve">An overview of the safety profiles of </w:t>
      </w:r>
      <w:proofErr w:type="spellStart"/>
      <w:r>
        <w:t>trastuzumab</w:t>
      </w:r>
      <w:proofErr w:type="spellEnd"/>
      <w:r>
        <w:t xml:space="preserve"> SC and IV, in terms of the inc</w:t>
      </w:r>
      <w:r w:rsidR="007E772E">
        <w:t>idence of AEs etc., is shown in Table 26.</w:t>
      </w:r>
    </w:p>
    <w:p w:rsidR="007E772E" w:rsidRDefault="007E772E" w:rsidP="00F57A62">
      <w:pPr>
        <w:pStyle w:val="Tabletitle"/>
      </w:pPr>
      <w:bookmarkStart w:id="196" w:name="_Ref261093640"/>
      <w:bookmarkStart w:id="197" w:name="_Toc272679769"/>
      <w:r>
        <w:t>Table 26:</w:t>
      </w:r>
      <w:bookmarkEnd w:id="196"/>
      <w:r>
        <w:t xml:space="preserve"> Study BO22227 - Overview of safety profile</w:t>
      </w:r>
      <w:bookmarkEnd w:id="197"/>
      <w:r>
        <w:rPr>
          <w:noProof/>
          <w:lang w:eastAsia="en-AU"/>
        </w:rPr>
        <w:drawing>
          <wp:inline distT="0" distB="0" distL="0" distR="0" wp14:anchorId="2C04E6A7" wp14:editId="53115FAC">
            <wp:extent cx="4194174" cy="2948940"/>
            <wp:effectExtent l="0" t="0" r="0" b="0"/>
            <wp:docPr id="40" name="Picture 40" descr="Table 26: Study BO22227 - Overview of safet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96467" cy="2950553"/>
                    </a:xfrm>
                    <a:prstGeom prst="rect">
                      <a:avLst/>
                    </a:prstGeom>
                    <a:noFill/>
                    <a:ln>
                      <a:noFill/>
                    </a:ln>
                  </pic:spPr>
                </pic:pic>
              </a:graphicData>
            </a:graphic>
          </wp:inline>
        </w:drawing>
      </w:r>
    </w:p>
    <w:p w:rsidR="007E772E" w:rsidRDefault="007E772E" w:rsidP="007E772E"/>
    <w:p w:rsidR="007E772E" w:rsidRDefault="007E772E" w:rsidP="007E772E">
      <w:pPr>
        <w:tabs>
          <w:tab w:val="left" w:pos="720"/>
        </w:tabs>
      </w:pPr>
      <w:r>
        <w:br w:type="page"/>
      </w:r>
    </w:p>
    <w:p w:rsidR="00901E80" w:rsidRDefault="00901E80" w:rsidP="007123A4">
      <w:pPr>
        <w:pStyle w:val="Heading4"/>
      </w:pPr>
      <w:bookmarkStart w:id="198" w:name="_Toc272679674"/>
      <w:bookmarkStart w:id="199" w:name="_Toc290846302"/>
      <w:bookmarkStart w:id="200" w:name="_Toc272414664"/>
      <w:bookmarkStart w:id="201" w:name="_Ref272333565"/>
      <w:bookmarkStart w:id="202" w:name="_Ref272317284"/>
      <w:r>
        <w:lastRenderedPageBreak/>
        <w:t xml:space="preserve">All adverse events (irrespective of </w:t>
      </w:r>
      <w:r w:rsidRPr="007E772E">
        <w:t>relationship</w:t>
      </w:r>
      <w:r>
        <w:t xml:space="preserve"> to study treatment)</w:t>
      </w:r>
      <w:bookmarkEnd w:id="198"/>
      <w:bookmarkEnd w:id="199"/>
      <w:bookmarkEnd w:id="200"/>
      <w:bookmarkEnd w:id="201"/>
      <w:bookmarkEnd w:id="202"/>
    </w:p>
    <w:p w:rsidR="00901E80" w:rsidRDefault="00901E80" w:rsidP="000E2ABE">
      <w:r>
        <w:t xml:space="preserve">The proportion of patients who developed at least one AE was comparable in the two arms – </w:t>
      </w:r>
      <w:r>
        <w:rPr>
          <w:b/>
        </w:rPr>
        <w:t>95%</w:t>
      </w:r>
      <w:r>
        <w:t xml:space="preserve"> in the IV arm and </w:t>
      </w:r>
      <w:r>
        <w:rPr>
          <w:b/>
        </w:rPr>
        <w:t>98%</w:t>
      </w:r>
      <w:r>
        <w:t xml:space="preserve"> in the SC arm. The most common AEs (incidence ≥ 5%) are listed in </w:t>
      </w:r>
      <w:r w:rsidR="007E772E">
        <w:t>Table 27</w:t>
      </w:r>
      <w:r>
        <w:t>.</w:t>
      </w:r>
    </w:p>
    <w:p w:rsidR="007E772E" w:rsidRPr="007E772E" w:rsidRDefault="007E772E" w:rsidP="00F57A62">
      <w:pPr>
        <w:pStyle w:val="Tabletitle"/>
      </w:pPr>
      <w:bookmarkStart w:id="203" w:name="_Ref261165611"/>
      <w:bookmarkStart w:id="204" w:name="_Toc272679770"/>
      <w:r>
        <w:t>Table 27:</w:t>
      </w:r>
      <w:bookmarkEnd w:id="203"/>
      <w:r>
        <w:t xml:space="preserve"> Study BO22227 - Common AEs (incidence ≥ 5%)</w:t>
      </w:r>
      <w:bookmarkEnd w:id="204"/>
      <w:r>
        <w:rPr>
          <w:noProof/>
          <w:lang w:eastAsia="en-AU"/>
        </w:rPr>
        <w:drawing>
          <wp:inline distT="0" distB="0" distL="0" distR="0" wp14:anchorId="5C901C81" wp14:editId="1FA26498">
            <wp:extent cx="2856908" cy="7498080"/>
            <wp:effectExtent l="0" t="0" r="0" b="0"/>
            <wp:docPr id="44" name="Picture 44" descr="Table 27: Study BO22227 - Common AEs (incidenc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2860384" cy="7507202"/>
                    </a:xfrm>
                    <a:prstGeom prst="rect">
                      <a:avLst/>
                    </a:prstGeom>
                  </pic:spPr>
                </pic:pic>
              </a:graphicData>
            </a:graphic>
          </wp:inline>
        </w:drawing>
      </w:r>
    </w:p>
    <w:p w:rsidR="007E772E" w:rsidRDefault="007E772E" w:rsidP="007E772E"/>
    <w:p w:rsidR="00901E80" w:rsidRDefault="007E772E" w:rsidP="00F57A62">
      <w:pPr>
        <w:pStyle w:val="Comment"/>
      </w:pPr>
      <w:r w:rsidRPr="00F57A62">
        <w:rPr>
          <w:b/>
        </w:rPr>
        <w:lastRenderedPageBreak/>
        <w:t xml:space="preserve"> </w:t>
      </w:r>
      <w:r w:rsidR="00901E80" w:rsidRPr="00F57A62">
        <w:rPr>
          <w:b/>
        </w:rPr>
        <w:t>Comment:</w:t>
      </w:r>
      <w:r>
        <w:t xml:space="preserve"> </w:t>
      </w:r>
      <w:r w:rsidR="00901E80">
        <w:t xml:space="preserve">There were no striking differences in the pattern of AEs between the two arms. Injection site pain was more common in the SC arm (6.1% </w:t>
      </w:r>
      <w:r w:rsidR="001D7770">
        <w:t>versus</w:t>
      </w:r>
      <w:r w:rsidR="00901E80">
        <w:t xml:space="preserve"> 0%), as was erythema (7.1% </w:t>
      </w:r>
      <w:r w:rsidR="001D7770">
        <w:t>versus</w:t>
      </w:r>
      <w:r w:rsidR="00901E80">
        <w:t xml:space="preserve"> 2.7%). Many of the AEs may have been due to the cytotoxic chemotherapy that all patients received during the </w:t>
      </w:r>
      <w:proofErr w:type="spellStart"/>
      <w:r w:rsidR="00901E80">
        <w:t>neoadjuvant</w:t>
      </w:r>
      <w:proofErr w:type="spellEnd"/>
      <w:r w:rsidR="00901E80">
        <w:t xml:space="preserve"> phase. During the adjuvant phase, when all subjects were treated with </w:t>
      </w:r>
      <w:proofErr w:type="spellStart"/>
      <w:r w:rsidR="00901E80">
        <w:t>trastuzumab</w:t>
      </w:r>
      <w:proofErr w:type="spellEnd"/>
      <w:r w:rsidR="00901E80">
        <w:t xml:space="preserve"> monotherapy, the incidence of AEs was </w:t>
      </w:r>
      <w:r w:rsidR="00901E80">
        <w:rPr>
          <w:b/>
        </w:rPr>
        <w:t>67%</w:t>
      </w:r>
      <w:r w:rsidR="00901E80">
        <w:t xml:space="preserve"> in the IV arm and </w:t>
      </w:r>
      <w:r w:rsidR="00901E80">
        <w:rPr>
          <w:b/>
        </w:rPr>
        <w:t>69%</w:t>
      </w:r>
      <w:r w:rsidR="00901E80">
        <w:t xml:space="preserve"> in the SC arm. Again there were no notable differences between arms in the pattern of AEs, apart from injection site events in the SC arm.</w:t>
      </w:r>
    </w:p>
    <w:p w:rsidR="00901E80" w:rsidRDefault="00901E80" w:rsidP="007123A4">
      <w:pPr>
        <w:pStyle w:val="Heading4"/>
      </w:pPr>
      <w:bookmarkStart w:id="205" w:name="_Toc272679675"/>
      <w:bookmarkStart w:id="206" w:name="_Toc290846303"/>
      <w:bookmarkStart w:id="207" w:name="_Toc272414665"/>
      <w:bookmarkStart w:id="208" w:name="_Ref272333567"/>
      <w:r>
        <w:t>Treatment-related adverse events (</w:t>
      </w:r>
      <w:r w:rsidRPr="007E772E">
        <w:t>adverse</w:t>
      </w:r>
      <w:r>
        <w:t xml:space="preserve"> drug reactions)</w:t>
      </w:r>
      <w:bookmarkEnd w:id="205"/>
      <w:bookmarkEnd w:id="206"/>
      <w:bookmarkEnd w:id="207"/>
      <w:bookmarkEnd w:id="208"/>
    </w:p>
    <w:p w:rsidR="00901E80" w:rsidRDefault="00901E80" w:rsidP="000E2ABE">
      <w:r>
        <w:t xml:space="preserve">Investigators assessed AEs as being either related or unrelated to </w:t>
      </w:r>
      <w:r>
        <w:rPr>
          <w:i/>
        </w:rPr>
        <w:t>treatment</w:t>
      </w:r>
      <w:r>
        <w:t xml:space="preserve"> (which included chemotherapy agents and </w:t>
      </w:r>
      <w:proofErr w:type="spellStart"/>
      <w:r>
        <w:t>trastuzumab</w:t>
      </w:r>
      <w:proofErr w:type="spellEnd"/>
      <w:r>
        <w:t xml:space="preserve">). The proportion of patients who developed at least one treatment-related AE was slightly higher in the SC arm – </w:t>
      </w:r>
      <w:r>
        <w:rPr>
          <w:b/>
        </w:rPr>
        <w:t xml:space="preserve">87% </w:t>
      </w:r>
      <w:r>
        <w:t>(IV)</w:t>
      </w:r>
      <w:r>
        <w:rPr>
          <w:b/>
        </w:rPr>
        <w:t xml:space="preserve"> </w:t>
      </w:r>
      <w:r w:rsidR="001D7770">
        <w:t>versus</w:t>
      </w:r>
      <w:r>
        <w:t xml:space="preserve"> </w:t>
      </w:r>
      <w:r>
        <w:rPr>
          <w:b/>
        </w:rPr>
        <w:t>91%</w:t>
      </w:r>
      <w:r>
        <w:t xml:space="preserve"> (SC). In the adjuvant phase the incidence of treatment-related AEs was </w:t>
      </w:r>
      <w:r>
        <w:rPr>
          <w:b/>
        </w:rPr>
        <w:t>23%</w:t>
      </w:r>
      <w:r>
        <w:t xml:space="preserve"> (IV) and </w:t>
      </w:r>
      <w:r>
        <w:rPr>
          <w:b/>
        </w:rPr>
        <w:t>25%</w:t>
      </w:r>
      <w:r>
        <w:t xml:space="preserve"> (SC). Summary tabulations of treatment-related AE terms were not provided in the study report.</w:t>
      </w:r>
    </w:p>
    <w:p w:rsidR="00901E80" w:rsidRDefault="00901E80" w:rsidP="007123A4">
      <w:pPr>
        <w:pStyle w:val="Heading4"/>
      </w:pPr>
      <w:bookmarkStart w:id="209" w:name="_Toc272679676"/>
      <w:r>
        <w:t>Grade ≥ 3 AEs</w:t>
      </w:r>
      <w:bookmarkEnd w:id="209"/>
    </w:p>
    <w:p w:rsidR="00901E80" w:rsidRDefault="00901E80" w:rsidP="000E2ABE">
      <w:r>
        <w:t xml:space="preserve">The proportion of patients who developed at least one Grade 3 or higher AE was comparable in the two arms – </w:t>
      </w:r>
      <w:r>
        <w:rPr>
          <w:b/>
        </w:rPr>
        <w:t>52%</w:t>
      </w:r>
      <w:r>
        <w:t xml:space="preserve"> in the IV arm and </w:t>
      </w:r>
      <w:r>
        <w:rPr>
          <w:b/>
        </w:rPr>
        <w:t>54%</w:t>
      </w:r>
      <w:r>
        <w:t xml:space="preserve"> in the SC arm. The most common Grade ≥ 3 AEs (incidence ≥ 1%) are listed in </w:t>
      </w:r>
      <w:r w:rsidR="007E772E">
        <w:t>Table 28</w:t>
      </w:r>
      <w:r>
        <w:fldChar w:fldCharType="begin"/>
      </w:r>
      <w:r>
        <w:instrText xml:space="preserve"> REF _Ref261169952 \h </w:instrText>
      </w:r>
      <w:r>
        <w:fldChar w:fldCharType="separate"/>
      </w:r>
      <w:r w:rsidR="001C3DEE">
        <w:t>Table 28:</w:t>
      </w:r>
      <w:r>
        <w:fldChar w:fldCharType="end"/>
      </w:r>
    </w:p>
    <w:p w:rsidR="007E772E" w:rsidRDefault="007E772E" w:rsidP="00F57A62">
      <w:pPr>
        <w:pStyle w:val="Tabletitle"/>
      </w:pPr>
      <w:bookmarkStart w:id="210" w:name="_Ref261169952"/>
      <w:bookmarkStart w:id="211" w:name="_Toc272679771"/>
      <w:r>
        <w:lastRenderedPageBreak/>
        <w:t>Table 28:</w:t>
      </w:r>
      <w:bookmarkEnd w:id="210"/>
      <w:r>
        <w:t xml:space="preserve"> Study BO22227 – Grade ≥ 3 AEs (incidence ≥ 1%)</w:t>
      </w:r>
      <w:bookmarkEnd w:id="211"/>
    </w:p>
    <w:p w:rsidR="007E772E" w:rsidRPr="007E772E" w:rsidRDefault="007E772E" w:rsidP="007E772E">
      <w:r>
        <w:rPr>
          <w:noProof/>
          <w:lang w:eastAsia="en-AU"/>
        </w:rPr>
        <w:drawing>
          <wp:inline distT="0" distB="0" distL="0" distR="0" wp14:anchorId="33F9EBFE" wp14:editId="15DF41C6">
            <wp:extent cx="3546475" cy="6858000"/>
            <wp:effectExtent l="0" t="0" r="0" b="0"/>
            <wp:docPr id="46" name="Picture 46" descr="Table 28: Study BO22227 – Grade ≥ 3 AEs (incidenc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3549653" cy="6864145"/>
                    </a:xfrm>
                    <a:prstGeom prst="rect">
                      <a:avLst/>
                    </a:prstGeom>
                  </pic:spPr>
                </pic:pic>
              </a:graphicData>
            </a:graphic>
          </wp:inline>
        </w:drawing>
      </w:r>
    </w:p>
    <w:p w:rsidR="00901E80" w:rsidRDefault="00F57A62" w:rsidP="00F57A62">
      <w:pPr>
        <w:pStyle w:val="Comment"/>
      </w:pPr>
      <w:r w:rsidRPr="00F57A62">
        <w:rPr>
          <w:b/>
        </w:rPr>
        <w:t>Comment:</w:t>
      </w:r>
      <w:r>
        <w:t xml:space="preserve"> </w:t>
      </w:r>
      <w:r w:rsidR="00901E80">
        <w:t>The pattern of Grade ≥ 3 AEs was similar in the two arms.</w:t>
      </w:r>
    </w:p>
    <w:p w:rsidR="00901E80" w:rsidRDefault="00901E80" w:rsidP="007123A4">
      <w:pPr>
        <w:pStyle w:val="Heading4"/>
      </w:pPr>
      <w:bookmarkStart w:id="212" w:name="_Toc272679677"/>
      <w:bookmarkStart w:id="213" w:name="_Toc290846304"/>
      <w:bookmarkStart w:id="214" w:name="_Toc272414666"/>
      <w:bookmarkStart w:id="215" w:name="_Ref272333507"/>
      <w:bookmarkStart w:id="216" w:name="_Toc241374320"/>
      <w:r>
        <w:t>Deaths and other serious adverse events</w:t>
      </w:r>
      <w:bookmarkEnd w:id="212"/>
      <w:bookmarkEnd w:id="213"/>
      <w:bookmarkEnd w:id="214"/>
      <w:bookmarkEnd w:id="215"/>
      <w:bookmarkEnd w:id="216"/>
    </w:p>
    <w:p w:rsidR="00901E80" w:rsidRDefault="00901E80" w:rsidP="007123A4">
      <w:pPr>
        <w:pStyle w:val="Heading5"/>
      </w:pPr>
      <w:r>
        <w:t>Deaths</w:t>
      </w:r>
    </w:p>
    <w:p w:rsidR="00901E80" w:rsidRDefault="00901E80" w:rsidP="000E2ABE">
      <w:r>
        <w:t xml:space="preserve">A total of 33 deaths had occurred in the total trial population by the cut-off date for the study report - 18 (6.0%) in the IV arm </w:t>
      </w:r>
      <w:r w:rsidR="001D7770">
        <w:t>versus</w:t>
      </w:r>
      <w:r>
        <w:t xml:space="preserve"> 15 (5.1%) in the SC arm. Most of these were due to disease recurrence/progression (</w:t>
      </w:r>
      <w:r w:rsidR="00CC3392">
        <w:t>Table 29</w:t>
      </w:r>
      <w:r>
        <w:t xml:space="preserve">). There were six deaths due to an AE, 4 in the </w:t>
      </w:r>
      <w:r w:rsidR="0028372E">
        <w:t>SC group and 2 in the IV group.</w:t>
      </w:r>
    </w:p>
    <w:p w:rsidR="00CC3392" w:rsidRDefault="00CC3392" w:rsidP="00F57A62">
      <w:pPr>
        <w:pStyle w:val="Tabletitle"/>
      </w:pPr>
      <w:bookmarkStart w:id="217" w:name="_Ref261170964"/>
      <w:bookmarkStart w:id="218" w:name="_Toc272679772"/>
      <w:r>
        <w:lastRenderedPageBreak/>
        <w:t>Table 29:</w:t>
      </w:r>
      <w:bookmarkEnd w:id="217"/>
      <w:r>
        <w:t xml:space="preserve"> Study BO22227 – Deaths</w:t>
      </w:r>
      <w:bookmarkEnd w:id="218"/>
      <w:r>
        <w:rPr>
          <w:noProof/>
          <w:lang w:eastAsia="en-AU"/>
        </w:rPr>
        <w:drawing>
          <wp:inline distT="0" distB="0" distL="0" distR="0" wp14:anchorId="30EAFBE2" wp14:editId="41CDD45C">
            <wp:extent cx="4160520" cy="1197582"/>
            <wp:effectExtent l="0" t="0" r="0" b="0"/>
            <wp:docPr id="36" name="Picture 11" descr="Table 29: Study BO22227 –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5374" cy="1201858"/>
                    </a:xfrm>
                    <a:prstGeom prst="rect">
                      <a:avLst/>
                    </a:prstGeom>
                    <a:noFill/>
                    <a:ln>
                      <a:noFill/>
                    </a:ln>
                  </pic:spPr>
                </pic:pic>
              </a:graphicData>
            </a:graphic>
          </wp:inline>
        </w:drawing>
      </w:r>
    </w:p>
    <w:p w:rsidR="00901E80" w:rsidRDefault="00901E80" w:rsidP="000E2ABE">
      <w:r>
        <w:t xml:space="preserve">Two of these deaths occurred in the </w:t>
      </w:r>
      <w:r>
        <w:rPr>
          <w:u w:val="single"/>
        </w:rPr>
        <w:t>follow-up phase</w:t>
      </w:r>
      <w:r>
        <w:t xml:space="preserve">, well after the last dose of </w:t>
      </w:r>
      <w:proofErr w:type="spellStart"/>
      <w:r>
        <w:t>trastuzumab</w:t>
      </w:r>
      <w:proofErr w:type="spellEnd"/>
      <w:r>
        <w:t>:</w:t>
      </w:r>
    </w:p>
    <w:p w:rsidR="00901E80" w:rsidRPr="00CC3392" w:rsidRDefault="00901E80" w:rsidP="000E2ABE">
      <w:pPr>
        <w:pStyle w:val="ListBullet"/>
      </w:pPr>
      <w:r w:rsidRPr="00CC3392">
        <w:t xml:space="preserve">A 62-year old woman who had received 12 months of IV </w:t>
      </w:r>
      <w:proofErr w:type="spellStart"/>
      <w:r w:rsidRPr="00CC3392">
        <w:t>trastuzumab</w:t>
      </w:r>
      <w:proofErr w:type="spellEnd"/>
      <w:r w:rsidRPr="00CC3392">
        <w:t>, was diagnosed with myeloid leukaemia 8 months after her last dose and died one w</w:t>
      </w:r>
      <w:r w:rsidR="00F57A62">
        <w:t>eek later</w:t>
      </w:r>
    </w:p>
    <w:p w:rsidR="00901E80" w:rsidRPr="00CC3392" w:rsidRDefault="00901E80" w:rsidP="000E2ABE">
      <w:pPr>
        <w:pStyle w:val="ListBullet"/>
      </w:pPr>
      <w:r w:rsidRPr="00CC3392">
        <w:t xml:space="preserve">A 77-year old subject who had received 12 months of SC </w:t>
      </w:r>
      <w:proofErr w:type="spellStart"/>
      <w:r w:rsidRPr="00CC3392">
        <w:t>trastuzumab</w:t>
      </w:r>
      <w:proofErr w:type="spellEnd"/>
      <w:r w:rsidRPr="00CC3392">
        <w:t>, developed endometrial cancer 5 months after her last dose and died 4 months later.</w:t>
      </w:r>
    </w:p>
    <w:p w:rsidR="00901E80" w:rsidRDefault="00901E80" w:rsidP="000E2ABE">
      <w:r>
        <w:t>Neither of these deaths was considered related to treatment by the investigators.</w:t>
      </w:r>
    </w:p>
    <w:p w:rsidR="00901E80" w:rsidRDefault="00901E80" w:rsidP="000E2ABE">
      <w:r>
        <w:t xml:space="preserve">The remaining four deaths occurred during the </w:t>
      </w:r>
      <w:proofErr w:type="spellStart"/>
      <w:r>
        <w:t>neoadjuvant</w:t>
      </w:r>
      <w:proofErr w:type="spellEnd"/>
      <w:r>
        <w:t xml:space="preserve"> phase, when subjects were receiving concurrent cytotoxic chemotherapy:</w:t>
      </w:r>
    </w:p>
    <w:p w:rsidR="00901E80" w:rsidRPr="00CC3392" w:rsidRDefault="00901E80" w:rsidP="000E2ABE">
      <w:pPr>
        <w:pStyle w:val="ListBullet"/>
      </w:pPr>
      <w:r w:rsidRPr="00CC3392">
        <w:t xml:space="preserve">A 66-year old woman, with pre-existing pulmonary fibrosis, who had received 2 cycles of IV </w:t>
      </w:r>
      <w:proofErr w:type="spellStart"/>
      <w:r w:rsidRPr="00CC3392">
        <w:t>trastuzumab</w:t>
      </w:r>
      <w:proofErr w:type="spellEnd"/>
      <w:r w:rsidRPr="00CC3392">
        <w:t xml:space="preserve">, developed pneumonia (documented on chest X-Ray). She was not </w:t>
      </w:r>
      <w:proofErr w:type="spellStart"/>
      <w:r w:rsidRPr="00CC3392">
        <w:t>neutropaenic</w:t>
      </w:r>
      <w:proofErr w:type="spellEnd"/>
      <w:r w:rsidRPr="00CC3392">
        <w:t>. One week later she developed acute respiratory failure and died. The death was not considered related to study treatment, but related to her pulmonary fibrosis.</w:t>
      </w:r>
    </w:p>
    <w:p w:rsidR="00901E80" w:rsidRPr="00CC3392" w:rsidRDefault="00901E80" w:rsidP="000E2ABE">
      <w:pPr>
        <w:pStyle w:val="ListBullet"/>
      </w:pPr>
      <w:r w:rsidRPr="00CC3392">
        <w:t xml:space="preserve">A 60-year old subject who had received a single cycle of SC </w:t>
      </w:r>
      <w:proofErr w:type="spellStart"/>
      <w:r w:rsidRPr="00CC3392">
        <w:t>trastuzumab</w:t>
      </w:r>
      <w:proofErr w:type="spellEnd"/>
      <w:r w:rsidRPr="00CC3392">
        <w:t xml:space="preserve"> 9 days previously, developed epigastric pain, left sided chest pain, left arm pain and dyspnoea. She died in her sleep that night. No autopsy was performed. The cause of death was given as probable myocardial infarction. She had a prior history hypertension and was obese but had no other risk factors for ischaemic heart disease. Echocardiography at screening had shown an LVEF of 63%. The investigator considered the event was possibly related to study treatment.</w:t>
      </w:r>
    </w:p>
    <w:p w:rsidR="00901E80" w:rsidRPr="00CC3392" w:rsidRDefault="00901E80" w:rsidP="000E2ABE">
      <w:pPr>
        <w:pStyle w:val="ListBullet"/>
      </w:pPr>
      <w:r w:rsidRPr="00CC3392">
        <w:t xml:space="preserve">A 71-year old female who had received 8 cycles of SC </w:t>
      </w:r>
      <w:proofErr w:type="spellStart"/>
      <w:r w:rsidRPr="00CC3392">
        <w:t>trastuzumab</w:t>
      </w:r>
      <w:proofErr w:type="spellEnd"/>
      <w:r w:rsidRPr="00CC3392">
        <w:t>, died suddenly at home during the night, 20 days after her last dose. No autopsy was performed. Her past history included hypertension and diabetes. Echocardiography six weeks prior to death showed an LVEF of 71%. The death was not considered related to study treatment.</w:t>
      </w:r>
    </w:p>
    <w:p w:rsidR="00901E80" w:rsidRPr="00CC3392" w:rsidRDefault="00901E80" w:rsidP="000E2ABE">
      <w:pPr>
        <w:pStyle w:val="ListBullet"/>
      </w:pPr>
      <w:r w:rsidRPr="00CC3392">
        <w:t xml:space="preserve">A 77-year old woman who had received 4 cycles of treatment with SC </w:t>
      </w:r>
      <w:proofErr w:type="spellStart"/>
      <w:r w:rsidRPr="00CC3392">
        <w:t>trastuzumab</w:t>
      </w:r>
      <w:proofErr w:type="spellEnd"/>
      <w:r w:rsidRPr="00CC3392">
        <w:t xml:space="preserve"> developed febrile </w:t>
      </w:r>
      <w:proofErr w:type="spellStart"/>
      <w:r w:rsidRPr="00CC3392">
        <w:t>neutropaenia</w:t>
      </w:r>
      <w:proofErr w:type="spellEnd"/>
      <w:r w:rsidRPr="00CC3392">
        <w:t xml:space="preserve"> with </w:t>
      </w:r>
      <w:proofErr w:type="spellStart"/>
      <w:r w:rsidRPr="00CC3392">
        <w:t>thrombocytopaenia</w:t>
      </w:r>
      <w:proofErr w:type="spellEnd"/>
      <w:r w:rsidRPr="00CC3392">
        <w:t xml:space="preserve"> 11 days after her last dose. She died from septic shock one day later. The event was considered related to study treatment.</w:t>
      </w:r>
    </w:p>
    <w:p w:rsidR="00901E80" w:rsidRDefault="00F57A62" w:rsidP="00F57A62">
      <w:pPr>
        <w:pStyle w:val="Comment"/>
      </w:pPr>
      <w:r w:rsidRPr="00F57A62">
        <w:rPr>
          <w:b/>
        </w:rPr>
        <w:t>Comment:</w:t>
      </w:r>
      <w:r>
        <w:t xml:space="preserve"> </w:t>
      </w:r>
      <w:r w:rsidR="00901E80">
        <w:t xml:space="preserve">There was a slight excess of deaths in the SC arm during the </w:t>
      </w:r>
      <w:proofErr w:type="spellStart"/>
      <w:r w:rsidR="00901E80">
        <w:t>neoadjuvant</w:t>
      </w:r>
      <w:proofErr w:type="spellEnd"/>
      <w:r w:rsidR="00901E80">
        <w:t xml:space="preserve"> phase (3 </w:t>
      </w:r>
      <w:r w:rsidR="001D7770">
        <w:t>versus</w:t>
      </w:r>
      <w:r w:rsidR="00901E80">
        <w:t xml:space="preserve"> 1). The case of septic shock was probably due to the cytotoxic chemotherapy. The other two deaths in the SC group were possibly </w:t>
      </w:r>
      <w:proofErr w:type="gramStart"/>
      <w:r w:rsidR="00901E80">
        <w:t>cardiac</w:t>
      </w:r>
      <w:proofErr w:type="gramEnd"/>
      <w:r w:rsidR="00901E80">
        <w:t xml:space="preserve"> in nature. Neither patient had evidence of cardiac failure prior to death.</w:t>
      </w:r>
    </w:p>
    <w:p w:rsidR="00901E80" w:rsidRDefault="00901E80" w:rsidP="007123A4">
      <w:pPr>
        <w:pStyle w:val="Heading5"/>
      </w:pPr>
      <w:r>
        <w:t>Serious AEs</w:t>
      </w:r>
    </w:p>
    <w:p w:rsidR="00901E80" w:rsidRDefault="00901E80" w:rsidP="000E2ABE">
      <w:r>
        <w:t>A serious adverse event (SAE) was defined as one that fulfilled one of the following criteria: was fatal, was life-threatening, required in-patient hospitalization or prolongation of existing hospitalization, resulted in persistent or significant disability/incapacity, was a congenital anomaly/birth defect or was medically significant or required intervention to prevent one or other of these outcomes.</w:t>
      </w:r>
    </w:p>
    <w:p w:rsidR="00901E80" w:rsidRDefault="00901E80" w:rsidP="000E2ABE">
      <w:r>
        <w:t xml:space="preserve">The proportion of patients who developed at least one SAE was higher in the SC arm – </w:t>
      </w:r>
      <w:r>
        <w:rPr>
          <w:b/>
        </w:rPr>
        <w:t xml:space="preserve">14% </w:t>
      </w:r>
      <w:r>
        <w:t>(IV)</w:t>
      </w:r>
      <w:r>
        <w:rPr>
          <w:b/>
        </w:rPr>
        <w:t xml:space="preserve"> </w:t>
      </w:r>
      <w:r w:rsidR="001D7770">
        <w:t>versus</w:t>
      </w:r>
      <w:r>
        <w:t xml:space="preserve"> </w:t>
      </w:r>
      <w:r>
        <w:rPr>
          <w:b/>
        </w:rPr>
        <w:t>22%</w:t>
      </w:r>
      <w:r>
        <w:t xml:space="preserve"> (SC). SAEs are listed in</w:t>
      </w:r>
      <w:r w:rsidR="007A2349">
        <w:t xml:space="preserve"> Table 30</w:t>
      </w:r>
      <w:r>
        <w:t xml:space="preserve">. The incidence of SAEs was increased in the SC arm during both the </w:t>
      </w:r>
      <w:proofErr w:type="spellStart"/>
      <w:r>
        <w:t>neoadjuvant</w:t>
      </w:r>
      <w:proofErr w:type="spellEnd"/>
      <w:r>
        <w:t xml:space="preserve"> phase (14.1% </w:t>
      </w:r>
      <w:r w:rsidR="001D7770">
        <w:t>versus</w:t>
      </w:r>
      <w:r>
        <w:t xml:space="preserve"> 10.1%) and the adjuvant phase (8.1% </w:t>
      </w:r>
      <w:r w:rsidR="001D7770">
        <w:t>versus</w:t>
      </w:r>
      <w:r>
        <w:t xml:space="preserve"> 3.4%).</w:t>
      </w:r>
    </w:p>
    <w:p w:rsidR="00901E80" w:rsidRDefault="00901E80" w:rsidP="000E2ABE">
      <w:r>
        <w:lastRenderedPageBreak/>
        <w:t xml:space="preserve">The incidence of SAEs that were considered </w:t>
      </w:r>
      <w:r>
        <w:rPr>
          <w:i/>
        </w:rPr>
        <w:t>related</w:t>
      </w:r>
      <w:r>
        <w:t xml:space="preserve"> to study treatment was comparable - 8% (IV) </w:t>
      </w:r>
      <w:r w:rsidR="001D7770">
        <w:t>versus</w:t>
      </w:r>
      <w:r>
        <w:t xml:space="preserve"> 10% (SC).</w:t>
      </w:r>
    </w:p>
    <w:p w:rsidR="00CC3392" w:rsidRDefault="00CC3392" w:rsidP="00313D7A">
      <w:pPr>
        <w:pStyle w:val="Tabletitle"/>
      </w:pPr>
      <w:bookmarkStart w:id="219" w:name="_Ref261178292"/>
      <w:bookmarkStart w:id="220" w:name="_Toc272679773"/>
      <w:r>
        <w:t xml:space="preserve">Table </w:t>
      </w:r>
      <w:r w:rsidR="007A2349">
        <w:t>30</w:t>
      </w:r>
      <w:bookmarkEnd w:id="219"/>
      <w:r w:rsidR="007A2349">
        <w:rPr>
          <w:noProof/>
        </w:rPr>
        <w:t>:</w:t>
      </w:r>
      <w:r>
        <w:t xml:space="preserve"> Study BO22227 – Serious AEs</w:t>
      </w:r>
      <w:bookmarkEnd w:id="220"/>
    </w:p>
    <w:p w:rsidR="00CC3392" w:rsidRDefault="00CC3392" w:rsidP="00CC3392">
      <w:r>
        <w:rPr>
          <w:noProof/>
          <w:lang w:eastAsia="en-AU"/>
        </w:rPr>
        <w:drawing>
          <wp:inline distT="0" distB="0" distL="0" distR="0" wp14:anchorId="10589D4C" wp14:editId="32973837">
            <wp:extent cx="3851564" cy="6467740"/>
            <wp:effectExtent l="0" t="0" r="0" b="0"/>
            <wp:docPr id="37" name="Picture 12" descr="Table 30: Study BO22227 – Serious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56899" cy="6476698"/>
                    </a:xfrm>
                    <a:prstGeom prst="rect">
                      <a:avLst/>
                    </a:prstGeom>
                    <a:noFill/>
                    <a:ln>
                      <a:noFill/>
                    </a:ln>
                  </pic:spPr>
                </pic:pic>
              </a:graphicData>
            </a:graphic>
          </wp:inline>
        </w:drawing>
      </w:r>
    </w:p>
    <w:p w:rsidR="00CC3392" w:rsidRPr="00D25E1C" w:rsidRDefault="00CC3392" w:rsidP="00313D7A">
      <w:pPr>
        <w:pStyle w:val="Tabletitle"/>
      </w:pPr>
      <w:r w:rsidRPr="00D25E1C">
        <w:lastRenderedPageBreak/>
        <w:t xml:space="preserve">Table </w:t>
      </w:r>
      <w:r w:rsidR="007A2349">
        <w:t>30</w:t>
      </w:r>
      <w:r w:rsidRPr="00D25E1C">
        <w:t xml:space="preserve"> (continued) - Study BO22227 – Serious AEs</w:t>
      </w:r>
    </w:p>
    <w:p w:rsidR="00CC3392" w:rsidRDefault="00CC3392" w:rsidP="007A2349">
      <w:pPr>
        <w:keepNext/>
      </w:pPr>
      <w:r>
        <w:rPr>
          <w:noProof/>
          <w:lang w:eastAsia="en-AU"/>
        </w:rPr>
        <w:drawing>
          <wp:inline distT="0" distB="0" distL="0" distR="0" wp14:anchorId="6E545405" wp14:editId="34282CF1">
            <wp:extent cx="3394951" cy="5875020"/>
            <wp:effectExtent l="0" t="0" r="0" b="0"/>
            <wp:docPr id="38" name="Picture 13" descr="Table 30 (continued) - Study BO22227 – Serious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6919" cy="5878426"/>
                    </a:xfrm>
                    <a:prstGeom prst="rect">
                      <a:avLst/>
                    </a:prstGeom>
                    <a:noFill/>
                    <a:ln>
                      <a:noFill/>
                    </a:ln>
                  </pic:spPr>
                </pic:pic>
              </a:graphicData>
            </a:graphic>
          </wp:inline>
        </w:drawing>
      </w:r>
    </w:p>
    <w:p w:rsidR="00901E80" w:rsidRDefault="00313D7A" w:rsidP="00F57A62">
      <w:pPr>
        <w:pStyle w:val="Comment"/>
      </w:pPr>
      <w:r w:rsidRPr="00313D7A">
        <w:rPr>
          <w:b/>
        </w:rPr>
        <w:t>Comment:</w:t>
      </w:r>
      <w:r>
        <w:t xml:space="preserve"> </w:t>
      </w:r>
      <w:r w:rsidR="00901E80">
        <w:t xml:space="preserve">As shown in </w:t>
      </w:r>
      <w:r w:rsidR="007A2349">
        <w:t>Table 30,</w:t>
      </w:r>
      <w:r w:rsidR="00901E80">
        <w:t xml:space="preserve"> </w:t>
      </w:r>
      <w:r w:rsidR="00041C9E">
        <w:t>‘</w:t>
      </w:r>
      <w:r w:rsidR="00901E80">
        <w:t>infections and infestations</w:t>
      </w:r>
      <w:r w:rsidR="00041C9E">
        <w:t>’</w:t>
      </w:r>
      <w:r w:rsidR="00901E80">
        <w:t xml:space="preserve"> was the only category of SAE in which there was a notable difference in incidence between the two treatment arms - 8.1% (SC) </w:t>
      </w:r>
      <w:r w:rsidR="001D7770">
        <w:t>versus</w:t>
      </w:r>
      <w:r w:rsidR="00901E80">
        <w:t xml:space="preserve"> 4.4% (IV). However, when individual AE terms are examined, there does not appear to be a specific type of infection that is notably more common with SC administration. </w:t>
      </w:r>
      <w:r w:rsidR="00901E80">
        <w:rPr>
          <w:color w:val="002035" w:themeColor="text2" w:themeShade="BF"/>
        </w:rPr>
        <w:t xml:space="preserve">There were no serious infections at the SC site of administration. The incidence of </w:t>
      </w:r>
      <w:proofErr w:type="spellStart"/>
      <w:r w:rsidR="00901E80">
        <w:rPr>
          <w:color w:val="002035" w:themeColor="text2" w:themeShade="BF"/>
        </w:rPr>
        <w:t>n</w:t>
      </w:r>
      <w:r w:rsidR="00901E80">
        <w:t>eutropaenia</w:t>
      </w:r>
      <w:proofErr w:type="spellEnd"/>
      <w:r w:rsidR="00901E80">
        <w:t xml:space="preserve"> and febrile </w:t>
      </w:r>
      <w:proofErr w:type="spellStart"/>
      <w:r w:rsidR="00901E80">
        <w:t>neutropaenia</w:t>
      </w:r>
      <w:proofErr w:type="spellEnd"/>
      <w:r w:rsidR="00901E80">
        <w:t xml:space="preserve"> were comparable in the two arms.</w:t>
      </w:r>
    </w:p>
    <w:p w:rsidR="00901E80" w:rsidRDefault="00901E80" w:rsidP="00F57A62">
      <w:pPr>
        <w:pStyle w:val="Comment"/>
      </w:pPr>
      <w:r>
        <w:t xml:space="preserve">The sponsor’s current risk management plan includes infections as a potential safety concern for </w:t>
      </w:r>
      <w:proofErr w:type="spellStart"/>
      <w:r>
        <w:t>trastuzumab</w:t>
      </w:r>
      <w:proofErr w:type="spellEnd"/>
      <w:r>
        <w:t xml:space="preserve"> with the following statement: </w:t>
      </w:r>
      <w:r w:rsidR="00041C9E">
        <w:rPr>
          <w:i/>
        </w:rPr>
        <w:t>‘</w:t>
      </w:r>
      <w:r>
        <w:rPr>
          <w:i/>
        </w:rPr>
        <w:t xml:space="preserve">An increased incidence of infections, primarily mild upper respiratory infections of minor clinical significance or catheter infections, has been observed primarily in patients treated with </w:t>
      </w:r>
      <w:proofErr w:type="spellStart"/>
      <w:r>
        <w:rPr>
          <w:i/>
        </w:rPr>
        <w:t>trastuzumab</w:t>
      </w:r>
      <w:proofErr w:type="spellEnd"/>
      <w:r>
        <w:rPr>
          <w:i/>
        </w:rPr>
        <w:t xml:space="preserve"> plus paclitaxel or </w:t>
      </w:r>
      <w:proofErr w:type="spellStart"/>
      <w:r>
        <w:rPr>
          <w:i/>
        </w:rPr>
        <w:t>docetaxel</w:t>
      </w:r>
      <w:proofErr w:type="spellEnd"/>
      <w:r>
        <w:rPr>
          <w:i/>
        </w:rPr>
        <w:t xml:space="preserve"> compared with patients receiving paclitaxel or </w:t>
      </w:r>
      <w:proofErr w:type="spellStart"/>
      <w:r>
        <w:rPr>
          <w:i/>
        </w:rPr>
        <w:t>docetaxel</w:t>
      </w:r>
      <w:proofErr w:type="spellEnd"/>
      <w:r>
        <w:rPr>
          <w:i/>
        </w:rPr>
        <w:t xml:space="preserve"> alone</w:t>
      </w:r>
      <w:r w:rsidR="00041C9E">
        <w:rPr>
          <w:i/>
        </w:rPr>
        <w:t>’</w:t>
      </w:r>
      <w:r>
        <w:t>.</w:t>
      </w:r>
    </w:p>
    <w:p w:rsidR="00901E80" w:rsidRDefault="00901E80" w:rsidP="00F57A62">
      <w:pPr>
        <w:pStyle w:val="Comment"/>
      </w:pPr>
      <w:r>
        <w:t>Besides infections, the remaining excess of SAEs in the SC arm occurred across a variety of body systems, with no individual SAE term being notably more frequent in the SC arm.</w:t>
      </w:r>
    </w:p>
    <w:p w:rsidR="00901E80" w:rsidRDefault="00901E80" w:rsidP="00F57A62">
      <w:pPr>
        <w:pStyle w:val="Comment"/>
      </w:pPr>
      <w:r>
        <w:lastRenderedPageBreak/>
        <w:t xml:space="preserve">The authors of the published version of the study </w:t>
      </w:r>
      <w:r>
        <w:rPr>
          <w:vertAlign w:val="superscript"/>
        </w:rPr>
        <w:t>(6)</w:t>
      </w:r>
      <w:r>
        <w:t xml:space="preserve"> noted that although there was n</w:t>
      </w:r>
      <w:r w:rsidR="007A2349">
        <w:t>o increase in the incidence of G</w:t>
      </w:r>
      <w:r>
        <w:t xml:space="preserve">rade 3 AEs in the SC arm, these </w:t>
      </w:r>
      <w:r w:rsidR="007A2349">
        <w:t>G</w:t>
      </w:r>
      <w:r>
        <w:t xml:space="preserve">rade 3 AEs were more likely to be reported as SAEs for patients in the SC arm. They speculated that: </w:t>
      </w:r>
      <w:r w:rsidR="00041C9E">
        <w:rPr>
          <w:i/>
        </w:rPr>
        <w:t>‘</w:t>
      </w:r>
      <w:r>
        <w:rPr>
          <w:i/>
        </w:rPr>
        <w:t xml:space="preserve">investigators might have adopted a more conservative attitude towards patients receiving subcutaneous </w:t>
      </w:r>
      <w:proofErr w:type="spellStart"/>
      <w:r>
        <w:rPr>
          <w:i/>
        </w:rPr>
        <w:t>trastuzumab</w:t>
      </w:r>
      <w:proofErr w:type="spellEnd"/>
      <w:r>
        <w:rPr>
          <w:i/>
        </w:rPr>
        <w:t xml:space="preserve"> in this open-label trial, resulting in differences in clinical management (</w:t>
      </w:r>
      <w:r w:rsidR="001D7770">
        <w:rPr>
          <w:i/>
        </w:rPr>
        <w:t>that is</w:t>
      </w:r>
      <w:proofErr w:type="gramStart"/>
      <w:r w:rsidR="001D7770">
        <w:rPr>
          <w:i/>
        </w:rPr>
        <w:t>,</w:t>
      </w:r>
      <w:r>
        <w:rPr>
          <w:i/>
        </w:rPr>
        <w:t>,</w:t>
      </w:r>
      <w:proofErr w:type="gramEnd"/>
      <w:r>
        <w:rPr>
          <w:i/>
        </w:rPr>
        <w:t xml:space="preserve"> a higher rate of hospital admission)</w:t>
      </w:r>
      <w:r w:rsidR="00041C9E">
        <w:rPr>
          <w:i/>
        </w:rPr>
        <w:t>’</w:t>
      </w:r>
      <w:r>
        <w:t>.</w:t>
      </w:r>
    </w:p>
    <w:p w:rsidR="007A2349" w:rsidRDefault="00901E80" w:rsidP="000E2ABE">
      <w:r>
        <w:t xml:space="preserve">Exploratory analyses of the rates of SAEs (and Grade ≥ 3 AEs) by quartiles of body weight at baseline as well as by quartiles of AUC values were performed. </w:t>
      </w:r>
      <w:r w:rsidR="007A2349">
        <w:t>Table 31</w:t>
      </w:r>
      <w:r>
        <w:t xml:space="preserve"> shows SAE rates according to</w:t>
      </w:r>
      <w:r w:rsidR="0028372E">
        <w:t xml:space="preserve"> body weight and AUC quartiles.</w:t>
      </w:r>
    </w:p>
    <w:p w:rsidR="007A2349" w:rsidRDefault="007A2349" w:rsidP="00313D7A">
      <w:pPr>
        <w:pStyle w:val="Tabletitle"/>
      </w:pPr>
      <w:bookmarkStart w:id="221" w:name="_Ref261250576"/>
      <w:bookmarkStart w:id="222" w:name="_Toc272679774"/>
      <w:r>
        <w:t>Table 31</w:t>
      </w:r>
      <w:bookmarkEnd w:id="221"/>
      <w:r>
        <w:t>: Study BO22227 – SAEs according to bodyweight and AUC</w:t>
      </w:r>
      <w:bookmarkEnd w:id="222"/>
      <w:r>
        <w:rPr>
          <w:noProof/>
          <w:lang w:eastAsia="en-AU"/>
        </w:rPr>
        <w:drawing>
          <wp:inline distT="0" distB="0" distL="0" distR="0" wp14:anchorId="0450ED66" wp14:editId="2FB01F59">
            <wp:extent cx="4465320" cy="2229956"/>
            <wp:effectExtent l="0" t="0" r="0" b="0"/>
            <wp:docPr id="27" name="Picture 1" descr="Table 31: Study BO22227 – SAEs according to bodyweight and 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64446" cy="2229519"/>
                    </a:xfrm>
                    <a:prstGeom prst="rect">
                      <a:avLst/>
                    </a:prstGeom>
                    <a:noFill/>
                    <a:ln>
                      <a:noFill/>
                    </a:ln>
                  </pic:spPr>
                </pic:pic>
              </a:graphicData>
            </a:graphic>
          </wp:inline>
        </w:drawing>
      </w:r>
    </w:p>
    <w:p w:rsidR="00901E80" w:rsidRDefault="00901E80" w:rsidP="000E2ABE">
      <w:r>
        <w:t>There was no pattern suggestive of increasing SAE rates with increasing AUC or decreasing body weight. The results for Grade ≥ 3 AEs were similar. Further analyses of patients with low bodyweights showed that the SAE rate in these subjects was actually lower than the SAE rate in the population as a whole (</w:t>
      </w:r>
      <w:r w:rsidR="007A2349">
        <w:t>Table 32</w:t>
      </w:r>
      <w:r>
        <w:t>). These data suggest that the higher SAE rate in the SC arm is unlikely to be due to the fixed dose SC regimen producing higher AUC values in low body weight subjects.</w:t>
      </w:r>
    </w:p>
    <w:p w:rsidR="007A2349" w:rsidRDefault="007A2349" w:rsidP="00313D7A">
      <w:pPr>
        <w:pStyle w:val="Tabletitle"/>
      </w:pPr>
      <w:bookmarkStart w:id="223" w:name="_Ref261251355"/>
      <w:bookmarkStart w:id="224" w:name="_Toc272679775"/>
      <w:r>
        <w:t>Table 32:</w:t>
      </w:r>
      <w:bookmarkEnd w:id="223"/>
      <w:r>
        <w:t xml:space="preserve"> Study BO22227 – SAEs/Grade ≥ 3 AEs in subjects with low bodyweight</w:t>
      </w:r>
      <w:bookmarkEnd w:id="224"/>
      <w:r>
        <w:rPr>
          <w:noProof/>
          <w:lang w:eastAsia="en-AU"/>
        </w:rPr>
        <w:drawing>
          <wp:inline distT="0" distB="0" distL="0" distR="0" wp14:anchorId="12AF6324" wp14:editId="6D7B0C54">
            <wp:extent cx="3993269" cy="2042160"/>
            <wp:effectExtent l="0" t="0" r="0" b="0"/>
            <wp:docPr id="47" name="Picture 2" descr="Table 32: Study BO22227 – SAEs/Grade ≥ 3 AEs in subjects with low body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92164" cy="2041595"/>
                    </a:xfrm>
                    <a:prstGeom prst="rect">
                      <a:avLst/>
                    </a:prstGeom>
                    <a:noFill/>
                    <a:ln>
                      <a:noFill/>
                    </a:ln>
                  </pic:spPr>
                </pic:pic>
              </a:graphicData>
            </a:graphic>
          </wp:inline>
        </w:drawing>
      </w:r>
    </w:p>
    <w:p w:rsidR="00901E80" w:rsidRDefault="00901E80" w:rsidP="000E2ABE">
      <w:r>
        <w:t>Multiple logistic regression analyses were conducted comparing the occurrence of SAEs (and Grade ≥ 3 AEs) between treatment arms. AUC (median AUC value of Cycle 7 and 12) and body weight were included as covariates. None of the covariates showed a statistically significant effect on the frequency of SAEs or Grade ≥ 3 AEs.</w:t>
      </w:r>
    </w:p>
    <w:p w:rsidR="00901E80" w:rsidRDefault="00901E80" w:rsidP="007123A4">
      <w:pPr>
        <w:pStyle w:val="Heading4"/>
      </w:pPr>
      <w:bookmarkStart w:id="225" w:name="_Toc272679678"/>
      <w:bookmarkStart w:id="226" w:name="_Toc290846305"/>
      <w:bookmarkStart w:id="227" w:name="_Toc272414667"/>
      <w:bookmarkStart w:id="228" w:name="_Ref272333477"/>
      <w:bookmarkStart w:id="229" w:name="_Toc241374325"/>
      <w:r>
        <w:lastRenderedPageBreak/>
        <w:t>Discontinuation due to adverse events</w:t>
      </w:r>
      <w:bookmarkEnd w:id="225"/>
      <w:bookmarkEnd w:id="226"/>
      <w:bookmarkEnd w:id="227"/>
      <w:bookmarkEnd w:id="228"/>
      <w:bookmarkEnd w:id="229"/>
    </w:p>
    <w:p w:rsidR="00901E80" w:rsidRDefault="00901E80" w:rsidP="000E2ABE">
      <w:r>
        <w:t xml:space="preserve">The proportion of patients who developed at least one AE leading to study withdrawal was higher in the SC arm – </w:t>
      </w:r>
      <w:r>
        <w:rPr>
          <w:b/>
        </w:rPr>
        <w:t xml:space="preserve">2.7% </w:t>
      </w:r>
      <w:r>
        <w:t>(IV)</w:t>
      </w:r>
      <w:r>
        <w:rPr>
          <w:b/>
        </w:rPr>
        <w:t xml:space="preserve"> </w:t>
      </w:r>
      <w:r w:rsidR="001D7770">
        <w:t>versus</w:t>
      </w:r>
      <w:r>
        <w:t xml:space="preserve"> </w:t>
      </w:r>
      <w:r>
        <w:rPr>
          <w:b/>
        </w:rPr>
        <w:t>5.7%</w:t>
      </w:r>
      <w:r>
        <w:t xml:space="preserve"> (SC). These AEs are listed in </w:t>
      </w:r>
      <w:r w:rsidR="007A2349">
        <w:t>Table 33</w:t>
      </w:r>
      <w:r>
        <w:t xml:space="preserve">. Further information on these subjects is given in </w:t>
      </w:r>
      <w:r w:rsidR="007A2349">
        <w:t>Tables 34 and 35</w:t>
      </w:r>
      <w:r>
        <w:t>.</w:t>
      </w:r>
    </w:p>
    <w:p w:rsidR="007A2349" w:rsidRDefault="007A2349" w:rsidP="00313D7A">
      <w:pPr>
        <w:pStyle w:val="Tabletitle"/>
      </w:pPr>
      <w:r>
        <w:t>Table 33: Study BO22227 – AEs leading to withdrawal</w:t>
      </w:r>
      <w:r>
        <w:rPr>
          <w:noProof/>
          <w:lang w:eastAsia="en-AU"/>
        </w:rPr>
        <w:drawing>
          <wp:inline distT="0" distB="0" distL="0" distR="0" wp14:anchorId="2494F1D2" wp14:editId="010DD026">
            <wp:extent cx="3695381" cy="6507480"/>
            <wp:effectExtent l="0" t="0" r="0" b="0"/>
            <wp:docPr id="48" name="Picture 48" descr="Table 33: Study BO22227 – AEs leading to withd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b="2623"/>
                    <a:stretch/>
                  </pic:blipFill>
                  <pic:spPr bwMode="auto">
                    <a:xfrm>
                      <a:off x="0" y="0"/>
                      <a:ext cx="3695381" cy="6507480"/>
                    </a:xfrm>
                    <a:prstGeom prst="rect">
                      <a:avLst/>
                    </a:prstGeom>
                    <a:noFill/>
                    <a:ln>
                      <a:noFill/>
                    </a:ln>
                    <a:extLst>
                      <a:ext uri="{53640926-AAD7-44D8-BBD7-CCE9431645EC}">
                        <a14:shadowObscured xmlns:a14="http://schemas.microsoft.com/office/drawing/2010/main"/>
                      </a:ext>
                    </a:extLst>
                  </pic:spPr>
                </pic:pic>
              </a:graphicData>
            </a:graphic>
          </wp:inline>
        </w:drawing>
      </w:r>
    </w:p>
    <w:p w:rsidR="007A2349" w:rsidRDefault="007A2349" w:rsidP="007A2349">
      <w:pPr>
        <w:tabs>
          <w:tab w:val="left" w:pos="720"/>
        </w:tabs>
      </w:pPr>
    </w:p>
    <w:p w:rsidR="007A2349" w:rsidRDefault="007A2349" w:rsidP="007A2349">
      <w:pPr>
        <w:sectPr w:rsidR="007A2349">
          <w:footnotePr>
            <w:numFmt w:val="lowerLetter"/>
          </w:footnotePr>
          <w:endnotePr>
            <w:numFmt w:val="decimal"/>
          </w:endnotePr>
          <w:pgSz w:w="11906" w:h="16838"/>
          <w:pgMar w:top="1134" w:right="1134" w:bottom="1134" w:left="1440" w:header="737" w:footer="737" w:gutter="0"/>
          <w:cols w:space="720"/>
        </w:sectPr>
      </w:pPr>
    </w:p>
    <w:p w:rsidR="007A2349" w:rsidRDefault="007A2349" w:rsidP="007A2349">
      <w:pPr>
        <w:tabs>
          <w:tab w:val="left" w:pos="720"/>
        </w:tabs>
      </w:pPr>
    </w:p>
    <w:p w:rsidR="007A2349" w:rsidRDefault="007A2349" w:rsidP="00313D7A">
      <w:pPr>
        <w:pStyle w:val="Tabletitle"/>
      </w:pPr>
      <w:bookmarkStart w:id="230" w:name="_Ref265830211"/>
      <w:bookmarkStart w:id="231" w:name="_Toc272679777"/>
      <w:r>
        <w:t>Table 34</w:t>
      </w:r>
      <w:bookmarkEnd w:id="230"/>
      <w:r>
        <w:t>: Study BO22227 – AEs leading to withdrawal in SC arm</w:t>
      </w:r>
      <w:bookmarkEnd w:id="231"/>
    </w:p>
    <w:tbl>
      <w:tblPr>
        <w:tblStyle w:val="TableTGAblue"/>
        <w:tblW w:w="9072" w:type="dxa"/>
        <w:tblInd w:w="108" w:type="dxa"/>
        <w:tblLayout w:type="fixed"/>
        <w:tblLook w:val="04A0" w:firstRow="1" w:lastRow="0" w:firstColumn="1" w:lastColumn="0" w:noHBand="0" w:noVBand="1"/>
      </w:tblPr>
      <w:tblGrid>
        <w:gridCol w:w="993"/>
        <w:gridCol w:w="1019"/>
        <w:gridCol w:w="115"/>
        <w:gridCol w:w="1842"/>
        <w:gridCol w:w="44"/>
        <w:gridCol w:w="949"/>
        <w:gridCol w:w="283"/>
        <w:gridCol w:w="992"/>
        <w:gridCol w:w="284"/>
        <w:gridCol w:w="2551"/>
      </w:tblGrid>
      <w:tr w:rsidR="007A2349" w:rsidTr="000E2A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hideMark/>
          </w:tcPr>
          <w:p w:rsidR="007A2349" w:rsidRPr="007A2349" w:rsidRDefault="007A234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rPr>
                <w:rFonts w:cs="Helvetica"/>
                <w:kern w:val="16"/>
                <w:sz w:val="20"/>
                <w:szCs w:val="20"/>
              </w:rPr>
            </w:pPr>
            <w:r w:rsidRPr="007A2349">
              <w:rPr>
                <w:rFonts w:cs="Helvetica"/>
                <w:sz w:val="20"/>
                <w:szCs w:val="20"/>
              </w:rPr>
              <w:t>Age</w:t>
            </w:r>
          </w:p>
        </w:tc>
        <w:tc>
          <w:tcPr>
            <w:tcW w:w="1019" w:type="dxa"/>
            <w:hideMark/>
          </w:tcPr>
          <w:p w:rsidR="007A2349" w:rsidRPr="007A2349" w:rsidRDefault="007A234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elvetica"/>
                <w:kern w:val="16"/>
                <w:sz w:val="20"/>
                <w:szCs w:val="20"/>
              </w:rPr>
            </w:pPr>
            <w:r w:rsidRPr="007A2349">
              <w:rPr>
                <w:rFonts w:cs="Helvetica"/>
                <w:sz w:val="20"/>
                <w:szCs w:val="20"/>
              </w:rPr>
              <w:t>Race</w:t>
            </w:r>
          </w:p>
        </w:tc>
        <w:tc>
          <w:tcPr>
            <w:tcW w:w="2001" w:type="dxa"/>
            <w:gridSpan w:val="3"/>
            <w:hideMark/>
          </w:tcPr>
          <w:p w:rsidR="007A2349" w:rsidRPr="007A2349" w:rsidRDefault="007A234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elvetica"/>
                <w:kern w:val="16"/>
                <w:sz w:val="20"/>
                <w:szCs w:val="20"/>
              </w:rPr>
            </w:pPr>
            <w:r w:rsidRPr="007A2349">
              <w:rPr>
                <w:rFonts w:cs="Helvetica"/>
                <w:sz w:val="20"/>
                <w:szCs w:val="20"/>
              </w:rPr>
              <w:t>AE term</w:t>
            </w:r>
          </w:p>
        </w:tc>
        <w:tc>
          <w:tcPr>
            <w:tcW w:w="1232" w:type="dxa"/>
            <w:gridSpan w:val="2"/>
            <w:hideMark/>
          </w:tcPr>
          <w:p w:rsidR="007A2349" w:rsidRPr="007A2349" w:rsidRDefault="007A234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elvetica"/>
                <w:kern w:val="16"/>
                <w:sz w:val="20"/>
                <w:szCs w:val="20"/>
              </w:rPr>
            </w:pPr>
            <w:r w:rsidRPr="007A2349">
              <w:rPr>
                <w:rFonts w:cs="Helvetica"/>
                <w:sz w:val="20"/>
                <w:szCs w:val="20"/>
              </w:rPr>
              <w:t>Day of onset</w:t>
            </w:r>
          </w:p>
        </w:tc>
        <w:tc>
          <w:tcPr>
            <w:tcW w:w="1276" w:type="dxa"/>
            <w:gridSpan w:val="2"/>
            <w:hideMark/>
          </w:tcPr>
          <w:p w:rsidR="007A2349" w:rsidRPr="007A2349" w:rsidRDefault="007A234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elvetica"/>
                <w:kern w:val="16"/>
                <w:sz w:val="20"/>
                <w:szCs w:val="20"/>
              </w:rPr>
            </w:pPr>
            <w:r w:rsidRPr="007A2349">
              <w:rPr>
                <w:rFonts w:cs="Helvetica"/>
                <w:sz w:val="20"/>
                <w:szCs w:val="20"/>
              </w:rPr>
              <w:t>? Related</w:t>
            </w:r>
          </w:p>
        </w:tc>
        <w:tc>
          <w:tcPr>
            <w:tcW w:w="2551" w:type="dxa"/>
            <w:hideMark/>
          </w:tcPr>
          <w:p w:rsidR="007A2349" w:rsidRPr="007A2349" w:rsidRDefault="007A234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elvetica"/>
                <w:kern w:val="16"/>
                <w:sz w:val="20"/>
                <w:szCs w:val="20"/>
              </w:rPr>
            </w:pPr>
            <w:r w:rsidRPr="007A2349">
              <w:rPr>
                <w:rFonts w:cs="Helvetica"/>
                <w:sz w:val="20"/>
                <w:szCs w:val="20"/>
              </w:rPr>
              <w:t>Comments</w:t>
            </w:r>
          </w:p>
        </w:tc>
      </w:tr>
      <w:tr w:rsidR="00BA464F" w:rsidTr="00807BB2">
        <w:tc>
          <w:tcPr>
            <w:cnfStyle w:val="001000000000" w:firstRow="0" w:lastRow="0" w:firstColumn="1" w:lastColumn="0" w:oddVBand="0" w:evenVBand="0" w:oddHBand="0" w:evenHBand="0" w:firstRowFirstColumn="0" w:firstRowLastColumn="0" w:lastRowFirstColumn="0" w:lastRowLastColumn="0"/>
            <w:tcW w:w="9072" w:type="dxa"/>
            <w:gridSpan w:val="10"/>
          </w:tcPr>
          <w:p w:rsidR="00BA464F" w:rsidRDefault="00BA464F" w:rsidP="000E2ABE">
            <w:pPr>
              <w:rPr>
                <w:kern w:val="16"/>
              </w:rPr>
            </w:pPr>
            <w:r>
              <w:t>LVD events</w:t>
            </w: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47</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42"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LVD</w:t>
            </w:r>
          </w:p>
        </w:tc>
        <w:tc>
          <w:tcPr>
            <w:tcW w:w="993"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371</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47</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42"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LVD</w:t>
            </w:r>
          </w:p>
        </w:tc>
        <w:tc>
          <w:tcPr>
            <w:tcW w:w="993"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337</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44</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42"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Cardiotoxicity</w:t>
            </w:r>
          </w:p>
        </w:tc>
        <w:tc>
          <w:tcPr>
            <w:tcW w:w="993"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260</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56</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Black</w:t>
            </w:r>
          </w:p>
        </w:tc>
        <w:tc>
          <w:tcPr>
            <w:tcW w:w="1842"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LVD</w:t>
            </w:r>
          </w:p>
        </w:tc>
        <w:tc>
          <w:tcPr>
            <w:tcW w:w="993"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306</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43</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Black</w:t>
            </w:r>
          </w:p>
        </w:tc>
        <w:tc>
          <w:tcPr>
            <w:tcW w:w="1842"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CCF</w:t>
            </w:r>
          </w:p>
        </w:tc>
        <w:tc>
          <w:tcPr>
            <w:tcW w:w="993"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140</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43</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42"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LVD</w:t>
            </w:r>
          </w:p>
        </w:tc>
        <w:tc>
          <w:tcPr>
            <w:tcW w:w="993"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246</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52</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42"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LVD</w:t>
            </w:r>
          </w:p>
        </w:tc>
        <w:tc>
          <w:tcPr>
            <w:tcW w:w="993"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284</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69</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Asian</w:t>
            </w:r>
          </w:p>
        </w:tc>
        <w:tc>
          <w:tcPr>
            <w:tcW w:w="1842"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LVD</w:t>
            </w:r>
          </w:p>
        </w:tc>
        <w:tc>
          <w:tcPr>
            <w:tcW w:w="993"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212</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51</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42"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Pleural effusion</w:t>
            </w:r>
          </w:p>
        </w:tc>
        <w:tc>
          <w:tcPr>
            <w:tcW w:w="993"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191</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No</w:t>
            </w:r>
          </w:p>
        </w:tc>
        <w:tc>
          <w:tcPr>
            <w:tcW w:w="283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Raised BNP. Commenced on diuretics. Possible LVD.</w:t>
            </w:r>
          </w:p>
        </w:tc>
      </w:tr>
      <w:tr w:rsidR="00BA464F" w:rsidTr="00807BB2">
        <w:tc>
          <w:tcPr>
            <w:cnfStyle w:val="001000000000" w:firstRow="0" w:lastRow="0" w:firstColumn="1" w:lastColumn="0" w:oddVBand="0" w:evenVBand="0" w:oddHBand="0" w:evenHBand="0" w:firstRowFirstColumn="0" w:firstRowLastColumn="0" w:lastRowFirstColumn="0" w:lastRowLastColumn="0"/>
            <w:tcW w:w="9072" w:type="dxa"/>
            <w:gridSpan w:val="10"/>
          </w:tcPr>
          <w:p w:rsidR="00BA464F" w:rsidRDefault="00BA464F" w:rsidP="000E2ABE">
            <w:r>
              <w:t>Respiratory events</w:t>
            </w: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53</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86"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Arrhythmia</w:t>
            </w:r>
          </w:p>
        </w:tc>
        <w:tc>
          <w:tcPr>
            <w:tcW w:w="94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77</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83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AF. Noted to also have NYHA Class II CCF.</w:t>
            </w: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40</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Mestizo</w:t>
            </w:r>
          </w:p>
        </w:tc>
        <w:tc>
          <w:tcPr>
            <w:tcW w:w="1886"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Dyspnoea &amp; hyperthyroidism</w:t>
            </w:r>
          </w:p>
        </w:tc>
        <w:tc>
          <w:tcPr>
            <w:tcW w:w="94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308</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No</w:t>
            </w:r>
          </w:p>
        </w:tc>
        <w:tc>
          <w:tcPr>
            <w:tcW w:w="283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Subject withdrawn from study ‘for safety reasons’</w:t>
            </w: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48</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86"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Pneumonitis</w:t>
            </w:r>
          </w:p>
        </w:tc>
        <w:tc>
          <w:tcPr>
            <w:tcW w:w="94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340</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68</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86"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Pulmonary embolus</w:t>
            </w:r>
          </w:p>
        </w:tc>
        <w:tc>
          <w:tcPr>
            <w:tcW w:w="94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94</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r>
              <w:rPr>
                <w:vertAlign w:val="superscript"/>
              </w:rPr>
              <w:t xml:space="preserve"> (1)</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BA464F" w:rsidTr="00807BB2">
        <w:tc>
          <w:tcPr>
            <w:cnfStyle w:val="001000000000" w:firstRow="0" w:lastRow="0" w:firstColumn="1" w:lastColumn="0" w:oddVBand="0" w:evenVBand="0" w:oddHBand="0" w:evenHBand="0" w:firstRowFirstColumn="0" w:firstRowLastColumn="0" w:lastRowFirstColumn="0" w:lastRowLastColumn="0"/>
            <w:tcW w:w="9072" w:type="dxa"/>
            <w:gridSpan w:val="10"/>
          </w:tcPr>
          <w:p w:rsidR="00BA464F" w:rsidRDefault="00BA464F" w:rsidP="000E2ABE">
            <w:pPr>
              <w:rPr>
                <w:kern w:val="16"/>
              </w:rPr>
            </w:pPr>
            <w:r>
              <w:t>Other events</w:t>
            </w: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51</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86"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Thyroid cancer</w:t>
            </w:r>
          </w:p>
        </w:tc>
        <w:tc>
          <w:tcPr>
            <w:tcW w:w="94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274</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No</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31</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86"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Pregnancy</w:t>
            </w:r>
          </w:p>
        </w:tc>
        <w:tc>
          <w:tcPr>
            <w:tcW w:w="94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20</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No</w:t>
            </w:r>
          </w:p>
        </w:tc>
        <w:tc>
          <w:tcPr>
            <w:tcW w:w="2835" w:type="dxa"/>
            <w:gridSpan w:val="2"/>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67</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886"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Anxiety</w:t>
            </w:r>
          </w:p>
        </w:tc>
        <w:tc>
          <w:tcPr>
            <w:tcW w:w="94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120</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No</w:t>
            </w:r>
          </w:p>
        </w:tc>
        <w:tc>
          <w:tcPr>
            <w:tcW w:w="283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roofErr w:type="spellStart"/>
            <w:r>
              <w:t>Trastuzumab</w:t>
            </w:r>
            <w:proofErr w:type="spellEnd"/>
            <w:r>
              <w:t xml:space="preserve"> continued.</w:t>
            </w:r>
          </w:p>
        </w:tc>
      </w:tr>
      <w:tr w:rsidR="007A2349" w:rsidTr="00807BB2">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lastRenderedPageBreak/>
              <w:t>38</w:t>
            </w:r>
          </w:p>
        </w:tc>
        <w:tc>
          <w:tcPr>
            <w:tcW w:w="1134"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Asian</w:t>
            </w:r>
          </w:p>
        </w:tc>
        <w:tc>
          <w:tcPr>
            <w:tcW w:w="1886"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roofErr w:type="spellStart"/>
            <w:r>
              <w:t>Neutropaenia</w:t>
            </w:r>
            <w:proofErr w:type="spellEnd"/>
          </w:p>
        </w:tc>
        <w:tc>
          <w:tcPr>
            <w:tcW w:w="94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82</w:t>
            </w:r>
          </w:p>
        </w:tc>
        <w:tc>
          <w:tcPr>
            <w:tcW w:w="127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r>
              <w:rPr>
                <w:vertAlign w:val="superscript"/>
              </w:rPr>
              <w:t xml:space="preserve"> (1)</w:t>
            </w:r>
          </w:p>
        </w:tc>
        <w:tc>
          <w:tcPr>
            <w:tcW w:w="2835" w:type="dxa"/>
            <w:gridSpan w:val="2"/>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roofErr w:type="spellStart"/>
            <w:r>
              <w:t>Trastuzumab</w:t>
            </w:r>
            <w:proofErr w:type="spellEnd"/>
            <w:r>
              <w:t xml:space="preserve"> continued.</w:t>
            </w:r>
          </w:p>
        </w:tc>
      </w:tr>
    </w:tbl>
    <w:p w:rsidR="007A2349" w:rsidRDefault="007A2349" w:rsidP="00313D7A">
      <w:pPr>
        <w:pStyle w:val="TableDescription"/>
      </w:pPr>
      <w:r>
        <w:t xml:space="preserve">LVD = Left ventricular dysfunction; CCF= Congestive cardiac failure; AF= atrial fibrillation. (1) – Considered to be related to chemotherapy, not </w:t>
      </w:r>
      <w:proofErr w:type="spellStart"/>
      <w:r>
        <w:t>trastuzumab</w:t>
      </w:r>
      <w:proofErr w:type="spellEnd"/>
      <w:r w:rsidR="00BA464F">
        <w:t>. NB. Patient identification numbers have been deleted from this table.</w:t>
      </w:r>
    </w:p>
    <w:p w:rsidR="007A2349" w:rsidRDefault="007A2349" w:rsidP="000E2ABE">
      <w:pPr>
        <w:pStyle w:val="Tabletitle"/>
      </w:pPr>
      <w:bookmarkStart w:id="232" w:name="_Ref265830230"/>
      <w:bookmarkStart w:id="233" w:name="_Toc272679778"/>
      <w:r>
        <w:t>Table</w:t>
      </w:r>
      <w:r w:rsidR="00BA464F">
        <w:t xml:space="preserve"> 35</w:t>
      </w:r>
      <w:bookmarkEnd w:id="232"/>
      <w:r w:rsidR="00BA464F">
        <w:t>:</w:t>
      </w:r>
      <w:r>
        <w:t xml:space="preserve"> Study BO22227 – AEs leading to withdrawal in IV arm</w:t>
      </w:r>
      <w:bookmarkEnd w:id="233"/>
    </w:p>
    <w:tbl>
      <w:tblPr>
        <w:tblStyle w:val="TableTGAblue"/>
        <w:tblW w:w="9072" w:type="dxa"/>
        <w:tblInd w:w="108" w:type="dxa"/>
        <w:tblLayout w:type="fixed"/>
        <w:tblLook w:val="04A0" w:firstRow="1" w:lastRow="0" w:firstColumn="1" w:lastColumn="0" w:noHBand="0" w:noVBand="1"/>
      </w:tblPr>
      <w:tblGrid>
        <w:gridCol w:w="993"/>
        <w:gridCol w:w="1134"/>
        <w:gridCol w:w="1559"/>
        <w:gridCol w:w="1134"/>
        <w:gridCol w:w="1276"/>
        <w:gridCol w:w="2976"/>
      </w:tblGrid>
      <w:tr w:rsidR="007A2349" w:rsidTr="00BA46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rsidR="007A2349" w:rsidRPr="00BA464F" w:rsidRDefault="007A2349" w:rsidP="00BA464F">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cs="Helvetica"/>
                <w:kern w:val="16"/>
                <w:sz w:val="20"/>
                <w:szCs w:val="20"/>
              </w:rPr>
            </w:pPr>
            <w:r w:rsidRPr="00BA464F">
              <w:rPr>
                <w:rFonts w:cs="Helvetica"/>
                <w:sz w:val="20"/>
                <w:szCs w:val="20"/>
              </w:rPr>
              <w:t>Age</w:t>
            </w:r>
          </w:p>
        </w:tc>
        <w:tc>
          <w:tcPr>
            <w:tcW w:w="1134" w:type="dxa"/>
            <w:hideMark/>
          </w:tcPr>
          <w:p w:rsidR="007A2349" w:rsidRPr="00BA464F" w:rsidRDefault="007A234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elvetica"/>
                <w:kern w:val="16"/>
                <w:sz w:val="20"/>
                <w:szCs w:val="20"/>
              </w:rPr>
            </w:pPr>
            <w:r w:rsidRPr="00BA464F">
              <w:rPr>
                <w:rFonts w:cs="Helvetica"/>
                <w:sz w:val="20"/>
                <w:szCs w:val="20"/>
              </w:rPr>
              <w:t>Race</w:t>
            </w:r>
          </w:p>
        </w:tc>
        <w:tc>
          <w:tcPr>
            <w:tcW w:w="1559" w:type="dxa"/>
            <w:hideMark/>
          </w:tcPr>
          <w:p w:rsidR="007A2349" w:rsidRPr="00BA464F" w:rsidRDefault="007A234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elvetica"/>
                <w:kern w:val="16"/>
                <w:sz w:val="20"/>
                <w:szCs w:val="20"/>
              </w:rPr>
            </w:pPr>
            <w:r w:rsidRPr="00BA464F">
              <w:rPr>
                <w:rFonts w:cs="Helvetica"/>
                <w:sz w:val="20"/>
                <w:szCs w:val="20"/>
              </w:rPr>
              <w:t>AE term</w:t>
            </w:r>
          </w:p>
        </w:tc>
        <w:tc>
          <w:tcPr>
            <w:tcW w:w="1134" w:type="dxa"/>
            <w:hideMark/>
          </w:tcPr>
          <w:p w:rsidR="007A2349" w:rsidRPr="00BA464F" w:rsidRDefault="007A234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elvetica"/>
                <w:kern w:val="16"/>
                <w:sz w:val="20"/>
                <w:szCs w:val="20"/>
              </w:rPr>
            </w:pPr>
            <w:r w:rsidRPr="00BA464F">
              <w:rPr>
                <w:rFonts w:cs="Helvetica"/>
                <w:sz w:val="20"/>
                <w:szCs w:val="20"/>
              </w:rPr>
              <w:t>Day of onset</w:t>
            </w:r>
          </w:p>
        </w:tc>
        <w:tc>
          <w:tcPr>
            <w:tcW w:w="1276" w:type="dxa"/>
            <w:hideMark/>
          </w:tcPr>
          <w:p w:rsidR="007A2349" w:rsidRPr="00BA464F" w:rsidRDefault="007A234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elvetica"/>
                <w:kern w:val="16"/>
                <w:sz w:val="20"/>
                <w:szCs w:val="20"/>
              </w:rPr>
            </w:pPr>
            <w:r w:rsidRPr="00BA464F">
              <w:rPr>
                <w:rFonts w:cs="Helvetica"/>
                <w:sz w:val="20"/>
                <w:szCs w:val="20"/>
              </w:rPr>
              <w:t>? Related</w:t>
            </w:r>
          </w:p>
        </w:tc>
        <w:tc>
          <w:tcPr>
            <w:tcW w:w="2976" w:type="dxa"/>
            <w:hideMark/>
          </w:tcPr>
          <w:p w:rsidR="007A2349" w:rsidRPr="00BA464F" w:rsidRDefault="007A2349">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elvetica"/>
                <w:kern w:val="16"/>
                <w:sz w:val="20"/>
                <w:szCs w:val="20"/>
              </w:rPr>
            </w:pPr>
            <w:r w:rsidRPr="00BA464F">
              <w:rPr>
                <w:rFonts w:cs="Helvetica"/>
                <w:sz w:val="20"/>
                <w:szCs w:val="20"/>
              </w:rPr>
              <w:t>Comments</w:t>
            </w:r>
          </w:p>
        </w:tc>
      </w:tr>
      <w:tr w:rsidR="007A2349" w:rsidTr="00BA464F">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52</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55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Cardio</w:t>
            </w:r>
            <w:r w:rsidR="00BA464F">
              <w:t>-</w:t>
            </w:r>
            <w:r>
              <w:t>myopathy</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294</w:t>
            </w:r>
          </w:p>
        </w:tc>
        <w:tc>
          <w:tcPr>
            <w:tcW w:w="1276"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976" w:type="dxa"/>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BA464F">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53</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Asian</w:t>
            </w:r>
          </w:p>
        </w:tc>
        <w:tc>
          <w:tcPr>
            <w:tcW w:w="155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LVD</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182</w:t>
            </w:r>
          </w:p>
        </w:tc>
        <w:tc>
          <w:tcPr>
            <w:tcW w:w="1276"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976" w:type="dxa"/>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BA464F">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59</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Mestizo</w:t>
            </w:r>
          </w:p>
        </w:tc>
        <w:tc>
          <w:tcPr>
            <w:tcW w:w="155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LVD</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254</w:t>
            </w:r>
          </w:p>
        </w:tc>
        <w:tc>
          <w:tcPr>
            <w:tcW w:w="1276"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976" w:type="dxa"/>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BA464F">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33</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Asian</w:t>
            </w:r>
          </w:p>
        </w:tc>
        <w:tc>
          <w:tcPr>
            <w:tcW w:w="155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LVD</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272</w:t>
            </w:r>
          </w:p>
        </w:tc>
        <w:tc>
          <w:tcPr>
            <w:tcW w:w="1276"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976" w:type="dxa"/>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BA464F">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55</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55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Pneumonia</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51</w:t>
            </w:r>
          </w:p>
        </w:tc>
        <w:tc>
          <w:tcPr>
            <w:tcW w:w="1276"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No</w:t>
            </w:r>
          </w:p>
        </w:tc>
        <w:tc>
          <w:tcPr>
            <w:tcW w:w="2976" w:type="dxa"/>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
        </w:tc>
      </w:tr>
      <w:tr w:rsidR="007A2349" w:rsidTr="00BA464F">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56</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Asian</w:t>
            </w:r>
          </w:p>
        </w:tc>
        <w:tc>
          <w:tcPr>
            <w:tcW w:w="155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Hepatitis B</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166</w:t>
            </w:r>
          </w:p>
        </w:tc>
        <w:tc>
          <w:tcPr>
            <w:tcW w:w="1276"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r>
              <w:rPr>
                <w:vertAlign w:val="superscript"/>
              </w:rPr>
              <w:t xml:space="preserve"> (1)</w:t>
            </w:r>
          </w:p>
        </w:tc>
        <w:tc>
          <w:tcPr>
            <w:tcW w:w="2976"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 xml:space="preserve">Known Hep B carrier at baseline. </w:t>
            </w:r>
            <w:proofErr w:type="spellStart"/>
            <w:r>
              <w:t>Trastuzumab</w:t>
            </w:r>
            <w:proofErr w:type="spellEnd"/>
            <w:r>
              <w:t xml:space="preserve"> continued.</w:t>
            </w:r>
          </w:p>
        </w:tc>
      </w:tr>
      <w:tr w:rsidR="007A2349" w:rsidTr="00BA464F">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40</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55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Vomiting</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127</w:t>
            </w:r>
          </w:p>
        </w:tc>
        <w:tc>
          <w:tcPr>
            <w:tcW w:w="1276"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r>
              <w:rPr>
                <w:vertAlign w:val="superscript"/>
              </w:rPr>
              <w:t xml:space="preserve"> (1)</w:t>
            </w:r>
          </w:p>
        </w:tc>
        <w:tc>
          <w:tcPr>
            <w:tcW w:w="2976"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proofErr w:type="spellStart"/>
            <w:r>
              <w:t>Trastuzumab</w:t>
            </w:r>
            <w:proofErr w:type="spellEnd"/>
            <w:r>
              <w:t xml:space="preserve"> continued.</w:t>
            </w:r>
          </w:p>
        </w:tc>
      </w:tr>
      <w:tr w:rsidR="007A2349" w:rsidTr="00BA464F">
        <w:tc>
          <w:tcPr>
            <w:cnfStyle w:val="001000000000" w:firstRow="0" w:lastRow="0" w:firstColumn="1" w:lastColumn="0" w:oddVBand="0" w:evenVBand="0" w:oddHBand="0" w:evenHBand="0" w:firstRowFirstColumn="0" w:firstRowLastColumn="0" w:lastRowFirstColumn="0" w:lastRowLastColumn="0"/>
            <w:tcW w:w="993" w:type="dxa"/>
            <w:hideMark/>
          </w:tcPr>
          <w:p w:rsidR="007A2349" w:rsidRDefault="007A2349" w:rsidP="000E2ABE">
            <w:pPr>
              <w:rPr>
                <w:kern w:val="16"/>
              </w:rPr>
            </w:pPr>
            <w:r>
              <w:t>64</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White</w:t>
            </w:r>
          </w:p>
        </w:tc>
        <w:tc>
          <w:tcPr>
            <w:tcW w:w="1559"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Atrial flutter</w:t>
            </w:r>
          </w:p>
        </w:tc>
        <w:tc>
          <w:tcPr>
            <w:tcW w:w="1134"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321</w:t>
            </w:r>
          </w:p>
        </w:tc>
        <w:tc>
          <w:tcPr>
            <w:tcW w:w="1276"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Yes</w:t>
            </w:r>
          </w:p>
        </w:tc>
        <w:tc>
          <w:tcPr>
            <w:tcW w:w="2976" w:type="dxa"/>
            <w:hideMark/>
          </w:tcPr>
          <w:p w:rsidR="007A2349" w:rsidRDefault="007A2349" w:rsidP="000E2ABE">
            <w:pPr>
              <w:cnfStyle w:val="000000000000" w:firstRow="0" w:lastRow="0" w:firstColumn="0" w:lastColumn="0" w:oddVBand="0" w:evenVBand="0" w:oddHBand="0" w:evenHBand="0" w:firstRowFirstColumn="0" w:firstRowLastColumn="0" w:lastRowFirstColumn="0" w:lastRowLastColumn="0"/>
              <w:rPr>
                <w:kern w:val="16"/>
              </w:rPr>
            </w:pPr>
            <w:r>
              <w:t>LVEF values were normal at time of event.</w:t>
            </w:r>
          </w:p>
        </w:tc>
      </w:tr>
    </w:tbl>
    <w:p w:rsidR="00BA464F" w:rsidRDefault="007A2349" w:rsidP="00BA464F">
      <w:pPr>
        <w:pStyle w:val="Tabletext"/>
      </w:pPr>
      <w:r>
        <w:t>LVD = Left ventricular dysfunction.</w:t>
      </w:r>
      <w:r w:rsidR="00BA464F">
        <w:t xml:space="preserve"> </w:t>
      </w:r>
      <w:r>
        <w:t xml:space="preserve">(1) – Considered to be related to chemotherapy, not </w:t>
      </w:r>
      <w:proofErr w:type="spellStart"/>
      <w:r>
        <w:t>trastuzumab</w:t>
      </w:r>
      <w:proofErr w:type="spellEnd"/>
      <w:r w:rsidR="00BA464F">
        <w:t>. NB.</w:t>
      </w:r>
      <w:r w:rsidR="00BA464F" w:rsidRPr="00BA464F">
        <w:t xml:space="preserve"> </w:t>
      </w:r>
      <w:r w:rsidR="00BA464F">
        <w:t>Patient identification numbers have been deleted from this table.</w:t>
      </w:r>
    </w:p>
    <w:p w:rsidR="00901E80" w:rsidRDefault="00313D7A" w:rsidP="00F57A62">
      <w:pPr>
        <w:pStyle w:val="Comment"/>
      </w:pPr>
      <w:r w:rsidRPr="00313D7A">
        <w:rPr>
          <w:b/>
        </w:rPr>
        <w:t>Comment:</w:t>
      </w:r>
      <w:r>
        <w:t xml:space="preserve"> </w:t>
      </w:r>
      <w:r w:rsidR="00901E80">
        <w:t xml:space="preserve">In the SC arm there were 8 subjects who withdrew due to left ventricular dysfunction (LVD). These subjects typically had decreases in LVEF that were considered related to </w:t>
      </w:r>
      <w:proofErr w:type="spellStart"/>
      <w:r w:rsidR="00901E80">
        <w:t>trastuzumab</w:t>
      </w:r>
      <w:proofErr w:type="spellEnd"/>
      <w:r w:rsidR="00901E80">
        <w:t xml:space="preserve">. A further two subjects had events suggestive of LVD. One of these presented with bilateral pleural effusions. There was limited information provided in the case narrative for this subject, but she was noted to have elevated brain natriuretic peptide (BNP) levels (912 </w:t>
      </w:r>
      <w:proofErr w:type="spellStart"/>
      <w:r w:rsidR="00901E80">
        <w:t>pg</w:t>
      </w:r>
      <w:proofErr w:type="spellEnd"/>
      <w:r w:rsidR="00901E80">
        <w:t xml:space="preserve">/mL; normal range = 0-125) and she was commenced on hydrochlorothiazide and triamterene for dyspnoea, suggesting that the cause of her effusions may have been cardiac failure. The other subject was listed as discontinuing due to an arrhythmia (atrial fibrillation) but in the case narrative she was also noted to have NYHA Class II heart failure. The overall incidence of discontinuation due to LVD in the SC arm was therefore </w:t>
      </w:r>
      <w:r w:rsidR="00901E80">
        <w:rPr>
          <w:b/>
        </w:rPr>
        <w:t>3.4%</w:t>
      </w:r>
      <w:r w:rsidR="00901E80">
        <w:t xml:space="preserve"> (10/298). In the IV arm it was </w:t>
      </w:r>
      <w:r w:rsidR="00901E80">
        <w:rPr>
          <w:b/>
        </w:rPr>
        <w:t>0.8%</w:t>
      </w:r>
      <w:r w:rsidR="00901E80">
        <w:t xml:space="preserve"> (4/297). Cardiac saf</w:t>
      </w:r>
      <w:r w:rsidR="0028372E">
        <w:t>ety is discussed further below.</w:t>
      </w:r>
    </w:p>
    <w:p w:rsidR="00901E80" w:rsidRDefault="00901E80" w:rsidP="00F57A62">
      <w:pPr>
        <w:pStyle w:val="Comment"/>
      </w:pPr>
      <w:r>
        <w:lastRenderedPageBreak/>
        <w:t xml:space="preserve">There were more discontinuations due to respiratory events in the SC arm (3 </w:t>
      </w:r>
      <w:r w:rsidR="001D7770">
        <w:t>versus</w:t>
      </w:r>
      <w:r>
        <w:t xml:space="preserve"> 1). One subject developed </w:t>
      </w:r>
      <w:r w:rsidR="00BA464F">
        <w:t>G</w:t>
      </w:r>
      <w:r>
        <w:t xml:space="preserve">rade II dyspnoea (at the same time as being diagnosed with hyperthyroidism). No details of any investigations of the dyspnoea were provided. The dyspnoea was not treated and it subsequently resolved. One subject developed a pulmonary embolus, which was thought by the investigator to be related to cytotoxic chemotherapy, but not to </w:t>
      </w:r>
      <w:proofErr w:type="spellStart"/>
      <w:r>
        <w:t>trastuzumab</w:t>
      </w:r>
      <w:proofErr w:type="spellEnd"/>
      <w:r>
        <w:t>. Another subject developed pneumonitis. Pulmonary toxicity (</w:t>
      </w:r>
      <w:r w:rsidR="00BA464F">
        <w:t>for example,</w:t>
      </w:r>
      <w:r>
        <w:t xml:space="preserve"> interstitial lung disease) has been previously reported with </w:t>
      </w:r>
      <w:proofErr w:type="spellStart"/>
      <w:r>
        <w:t>trastuzumab</w:t>
      </w:r>
      <w:proofErr w:type="spellEnd"/>
      <w:r>
        <w:t>. In the IV arm, one subject</w:t>
      </w:r>
      <w:r w:rsidR="0028372E">
        <w:t xml:space="preserve"> discontinued due to pneumonia.</w:t>
      </w:r>
    </w:p>
    <w:p w:rsidR="00901E80" w:rsidRDefault="00901E80" w:rsidP="00F57A62">
      <w:pPr>
        <w:pStyle w:val="Comment"/>
      </w:pPr>
      <w:r>
        <w:t>There was no obvious pattern to the other events that resulted in withdrawal.</w:t>
      </w:r>
    </w:p>
    <w:p w:rsidR="00901E80" w:rsidRDefault="00901E80" w:rsidP="007123A4">
      <w:pPr>
        <w:pStyle w:val="Heading4"/>
      </w:pPr>
      <w:bookmarkStart w:id="234" w:name="_Toc272679679"/>
      <w:r>
        <w:t>Adverse events of special interest</w:t>
      </w:r>
      <w:bookmarkEnd w:id="234"/>
    </w:p>
    <w:p w:rsidR="00901E80" w:rsidRDefault="00901E80" w:rsidP="007123A4">
      <w:pPr>
        <w:pStyle w:val="Heading5"/>
      </w:pPr>
      <w:bookmarkStart w:id="235" w:name="_Toc272679680"/>
      <w:r>
        <w:t>Cardiac toxicity</w:t>
      </w:r>
      <w:bookmarkEnd w:id="235"/>
    </w:p>
    <w:p w:rsidR="00901E80" w:rsidRDefault="00901E80" w:rsidP="000E2ABE">
      <w:r>
        <w:t xml:space="preserve">The proportion of patients who developed at least one cardiac AE was comparable in the two arms – </w:t>
      </w:r>
      <w:r>
        <w:rPr>
          <w:b/>
        </w:rPr>
        <w:t xml:space="preserve">13.1% </w:t>
      </w:r>
      <w:r>
        <w:t>(IV)</w:t>
      </w:r>
      <w:r>
        <w:rPr>
          <w:b/>
        </w:rPr>
        <w:t xml:space="preserve"> </w:t>
      </w:r>
      <w:r w:rsidR="001D7770">
        <w:t>versus</w:t>
      </w:r>
      <w:r>
        <w:t xml:space="preserve"> </w:t>
      </w:r>
      <w:r>
        <w:rPr>
          <w:b/>
        </w:rPr>
        <w:t>13.5%</w:t>
      </w:r>
      <w:r>
        <w:t xml:space="preserve"> (SC). These AEs are listed in </w:t>
      </w:r>
      <w:r w:rsidR="00BA464F">
        <w:t>Table 36</w:t>
      </w:r>
      <w:r>
        <w:t>. Events indicative of cardiac failure (left ventricular dysfunction, cardiac failure, etc.) occurred with comparable frequencies.</w:t>
      </w:r>
    </w:p>
    <w:p w:rsidR="00BA464F" w:rsidRDefault="00BA464F" w:rsidP="00313D7A">
      <w:pPr>
        <w:pStyle w:val="Tabletitle"/>
      </w:pPr>
      <w:bookmarkStart w:id="236" w:name="_Ref261254939"/>
      <w:bookmarkStart w:id="237" w:name="_Toc272679779"/>
      <w:r>
        <w:lastRenderedPageBreak/>
        <w:t>Table 36:</w:t>
      </w:r>
      <w:bookmarkEnd w:id="236"/>
      <w:r>
        <w:t xml:space="preserve"> Study BO22227 – Cardiac AEs</w:t>
      </w:r>
      <w:bookmarkEnd w:id="237"/>
    </w:p>
    <w:p w:rsidR="00BA464F" w:rsidRDefault="00BA464F" w:rsidP="00BA464F">
      <w:r>
        <w:rPr>
          <w:noProof/>
          <w:lang w:eastAsia="en-AU"/>
        </w:rPr>
        <w:drawing>
          <wp:inline distT="0" distB="0" distL="0" distR="0" wp14:anchorId="09F6E087" wp14:editId="5F1060A7">
            <wp:extent cx="3465915" cy="5958840"/>
            <wp:effectExtent l="0" t="0" r="0" b="0"/>
            <wp:docPr id="39" name="Picture 4" descr="Table 36: Study BO22227 – Cardiac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a:extLst>
                        <a:ext uri="{28A0092B-C50C-407E-A947-70E740481C1C}">
                          <a14:useLocalDpi xmlns:a14="http://schemas.microsoft.com/office/drawing/2010/main" val="0"/>
                        </a:ext>
                      </a:extLst>
                    </a:blip>
                    <a:srcRect b="3311"/>
                    <a:stretch/>
                  </pic:blipFill>
                  <pic:spPr bwMode="auto">
                    <a:xfrm>
                      <a:off x="0" y="0"/>
                      <a:ext cx="3470641" cy="5966965"/>
                    </a:xfrm>
                    <a:prstGeom prst="rect">
                      <a:avLst/>
                    </a:prstGeom>
                    <a:noFill/>
                    <a:ln>
                      <a:noFill/>
                    </a:ln>
                    <a:extLst>
                      <a:ext uri="{53640926-AAD7-44D8-BBD7-CCE9431645EC}">
                        <a14:shadowObscured xmlns:a14="http://schemas.microsoft.com/office/drawing/2010/main"/>
                      </a:ext>
                    </a:extLst>
                  </pic:spPr>
                </pic:pic>
              </a:graphicData>
            </a:graphic>
          </wp:inline>
        </w:drawing>
      </w:r>
    </w:p>
    <w:p w:rsidR="00901E80" w:rsidRDefault="00901E80" w:rsidP="00901E80">
      <w:pPr>
        <w:autoSpaceDE w:val="0"/>
        <w:autoSpaceDN w:val="0"/>
        <w:adjustRightInd w:val="0"/>
      </w:pPr>
      <w:r>
        <w:t xml:space="preserve">Grade ≥ 3 cardiac AEs had a comparable frequency (1.0% for IV </w:t>
      </w:r>
      <w:r w:rsidR="001D7770">
        <w:t>versus</w:t>
      </w:r>
      <w:r>
        <w:t xml:space="preserve"> 1.7% for SC), as did cardiac SAEs (0.7% for IV </w:t>
      </w:r>
      <w:r w:rsidR="001D7770">
        <w:t>versus</w:t>
      </w:r>
      <w:r>
        <w:t xml:space="preserve"> 1.7% for SC – see </w:t>
      </w:r>
      <w:r w:rsidR="00BA464F">
        <w:t>Table 30</w:t>
      </w:r>
      <w:r>
        <w:t>).</w:t>
      </w:r>
    </w:p>
    <w:p w:rsidR="00901E80" w:rsidRDefault="00901E80" w:rsidP="003B1410">
      <w:r>
        <w:t>Abnormalities of LVEF occurred with a similar frequency in the two arms (</w:t>
      </w:r>
      <w:r w:rsidR="00BA464F">
        <w:t>Table 37</w:t>
      </w:r>
      <w:r>
        <w:t xml:space="preserve">). In patients who were withdrawn due to cardiac toxicity, abnormal LVEF values generally improved to normal after discontinuation of </w:t>
      </w:r>
      <w:proofErr w:type="spellStart"/>
      <w:r>
        <w:t>trastuzumab</w:t>
      </w:r>
      <w:proofErr w:type="spellEnd"/>
      <w:r>
        <w:t xml:space="preserve"> and in some, treatment with anti-failure therapy (</w:t>
      </w:r>
      <w:r w:rsidR="00BA464F">
        <w:t>Table 38</w:t>
      </w:r>
      <w:r>
        <w:t>).</w:t>
      </w:r>
    </w:p>
    <w:p w:rsidR="00BA464F" w:rsidRDefault="00BA464F" w:rsidP="00313D7A">
      <w:pPr>
        <w:pStyle w:val="Tabletitle"/>
      </w:pPr>
      <w:bookmarkStart w:id="238" w:name="_Ref261256089"/>
      <w:bookmarkStart w:id="239" w:name="_Toc272679780"/>
      <w:r>
        <w:lastRenderedPageBreak/>
        <w:t>Table 37:</w:t>
      </w:r>
      <w:bookmarkEnd w:id="238"/>
      <w:r>
        <w:t xml:space="preserve"> Study BO22227 – LVEF measurements</w:t>
      </w:r>
      <w:bookmarkEnd w:id="239"/>
      <w:r>
        <w:rPr>
          <w:noProof/>
          <w:lang w:eastAsia="en-AU"/>
        </w:rPr>
        <w:drawing>
          <wp:inline distT="0" distB="0" distL="0" distR="0" wp14:anchorId="1258C232" wp14:editId="721EBA06">
            <wp:extent cx="5537835" cy="2447186"/>
            <wp:effectExtent l="0" t="0" r="0" b="0"/>
            <wp:docPr id="60" name="Picture 5" descr="Table 37: Study BO22227 – LVEF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38962" cy="2447684"/>
                    </a:xfrm>
                    <a:prstGeom prst="rect">
                      <a:avLst/>
                    </a:prstGeom>
                    <a:noFill/>
                    <a:ln>
                      <a:noFill/>
                    </a:ln>
                  </pic:spPr>
                </pic:pic>
              </a:graphicData>
            </a:graphic>
          </wp:inline>
        </w:drawing>
      </w:r>
    </w:p>
    <w:p w:rsidR="00BA464F" w:rsidRDefault="00BA464F" w:rsidP="00313D7A">
      <w:pPr>
        <w:pStyle w:val="Tabletitle"/>
      </w:pPr>
      <w:bookmarkStart w:id="240" w:name="_Ref265831011"/>
      <w:bookmarkStart w:id="241" w:name="_Toc272679781"/>
      <w:r>
        <w:t>Table 38</w:t>
      </w:r>
      <w:bookmarkEnd w:id="240"/>
      <w:r>
        <w:t>:</w:t>
      </w:r>
      <w:r w:rsidRPr="00414ECF">
        <w:t xml:space="preserve"> Study BO22227 – Long term outcomes for LVD events - LVEF (%)</w:t>
      </w:r>
      <w:bookmarkEnd w:id="241"/>
    </w:p>
    <w:tbl>
      <w:tblPr>
        <w:tblStyle w:val="TableTGAblue"/>
        <w:tblW w:w="9056" w:type="dxa"/>
        <w:tblLook w:val="04A0" w:firstRow="1" w:lastRow="0" w:firstColumn="1" w:lastColumn="0" w:noHBand="0" w:noVBand="1"/>
      </w:tblPr>
      <w:tblGrid>
        <w:gridCol w:w="897"/>
        <w:gridCol w:w="1223"/>
        <w:gridCol w:w="1983"/>
        <w:gridCol w:w="1466"/>
        <w:gridCol w:w="1074"/>
        <w:gridCol w:w="1019"/>
        <w:gridCol w:w="1394"/>
      </w:tblGrid>
      <w:tr w:rsidR="002D28C5" w:rsidRPr="0017464B" w:rsidTr="002D2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 w:type="dxa"/>
          </w:tcPr>
          <w:p w:rsidR="002D28C5" w:rsidRPr="002D28C5" w:rsidRDefault="002D28C5" w:rsidP="00FE2347">
            <w:pPr>
              <w:widowControl w:val="0"/>
              <w:autoSpaceDE w:val="0"/>
              <w:autoSpaceDN w:val="0"/>
              <w:adjustRightInd w:val="0"/>
              <w:rPr>
                <w:rFonts w:cs="Helvetica"/>
                <w:sz w:val="20"/>
                <w:szCs w:val="20"/>
              </w:rPr>
            </w:pPr>
            <w:r w:rsidRPr="002D28C5">
              <w:rPr>
                <w:rFonts w:cs="Helvetica"/>
                <w:sz w:val="20"/>
                <w:szCs w:val="20"/>
              </w:rPr>
              <w:t>Age</w:t>
            </w:r>
          </w:p>
        </w:tc>
        <w:tc>
          <w:tcPr>
            <w:tcW w:w="1223" w:type="dxa"/>
          </w:tcPr>
          <w:p w:rsidR="002D28C5" w:rsidRPr="002D28C5" w:rsidRDefault="002D28C5" w:rsidP="00FE234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Helvetica"/>
                <w:sz w:val="20"/>
                <w:szCs w:val="20"/>
              </w:rPr>
            </w:pPr>
            <w:r w:rsidRPr="002D28C5">
              <w:rPr>
                <w:rFonts w:cs="Helvetica"/>
                <w:sz w:val="20"/>
                <w:szCs w:val="20"/>
              </w:rPr>
              <w:t>Race</w:t>
            </w:r>
          </w:p>
        </w:tc>
        <w:tc>
          <w:tcPr>
            <w:tcW w:w="1983" w:type="dxa"/>
          </w:tcPr>
          <w:p w:rsidR="002D28C5" w:rsidRPr="002D28C5" w:rsidRDefault="002D28C5" w:rsidP="00FE234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Helvetica"/>
                <w:sz w:val="20"/>
                <w:szCs w:val="20"/>
              </w:rPr>
            </w:pPr>
            <w:r w:rsidRPr="002D28C5">
              <w:rPr>
                <w:rFonts w:cs="Helvetica"/>
                <w:sz w:val="20"/>
                <w:szCs w:val="20"/>
              </w:rPr>
              <w:t>AE term</w:t>
            </w:r>
          </w:p>
        </w:tc>
        <w:tc>
          <w:tcPr>
            <w:tcW w:w="1466" w:type="dxa"/>
          </w:tcPr>
          <w:p w:rsidR="002D28C5" w:rsidRPr="002D28C5" w:rsidRDefault="002D28C5" w:rsidP="00FE234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Helvetica"/>
                <w:sz w:val="20"/>
                <w:szCs w:val="20"/>
              </w:rPr>
            </w:pPr>
            <w:r w:rsidRPr="002D28C5">
              <w:rPr>
                <w:rFonts w:cs="Helvetica"/>
                <w:sz w:val="20"/>
                <w:szCs w:val="20"/>
              </w:rPr>
              <w:t>Screening</w:t>
            </w:r>
          </w:p>
        </w:tc>
        <w:tc>
          <w:tcPr>
            <w:tcW w:w="1074" w:type="dxa"/>
          </w:tcPr>
          <w:p w:rsidR="002D28C5" w:rsidRPr="002D28C5" w:rsidRDefault="002D28C5" w:rsidP="00FE234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Helvetica"/>
                <w:sz w:val="20"/>
                <w:szCs w:val="20"/>
              </w:rPr>
            </w:pPr>
            <w:r w:rsidRPr="002D28C5">
              <w:rPr>
                <w:rFonts w:cs="Helvetica"/>
                <w:sz w:val="20"/>
                <w:szCs w:val="20"/>
              </w:rPr>
              <w:t>Nadir</w:t>
            </w:r>
          </w:p>
        </w:tc>
        <w:tc>
          <w:tcPr>
            <w:tcW w:w="1019" w:type="dxa"/>
          </w:tcPr>
          <w:p w:rsidR="002D28C5" w:rsidRPr="002D28C5" w:rsidRDefault="002D28C5" w:rsidP="00FE234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Helvetica"/>
                <w:sz w:val="20"/>
                <w:szCs w:val="20"/>
              </w:rPr>
            </w:pPr>
            <w:r w:rsidRPr="002D28C5">
              <w:rPr>
                <w:rFonts w:cs="Helvetica"/>
                <w:sz w:val="20"/>
                <w:szCs w:val="20"/>
              </w:rPr>
              <w:t>Final</w:t>
            </w:r>
          </w:p>
        </w:tc>
        <w:tc>
          <w:tcPr>
            <w:tcW w:w="1394" w:type="dxa"/>
          </w:tcPr>
          <w:p w:rsidR="002D28C5" w:rsidRPr="002D28C5" w:rsidRDefault="002D28C5" w:rsidP="00FE234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Helvetica"/>
                <w:sz w:val="20"/>
                <w:szCs w:val="20"/>
              </w:rPr>
            </w:pPr>
            <w:r w:rsidRPr="002D28C5">
              <w:rPr>
                <w:rFonts w:cs="Helvetica"/>
                <w:sz w:val="20"/>
                <w:szCs w:val="20"/>
              </w:rPr>
              <w:t xml:space="preserve">? AE Resolved </w:t>
            </w:r>
            <w:r w:rsidRPr="002D28C5">
              <w:rPr>
                <w:rFonts w:cs="Helvetica"/>
                <w:sz w:val="20"/>
                <w:szCs w:val="20"/>
                <w:vertAlign w:val="superscript"/>
              </w:rPr>
              <w:t>(1)</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9056" w:type="dxa"/>
            <w:gridSpan w:val="7"/>
          </w:tcPr>
          <w:p w:rsidR="002D28C5" w:rsidRPr="002D28C5" w:rsidRDefault="002D28C5" w:rsidP="00FE2347">
            <w:pPr>
              <w:widowControl w:val="0"/>
              <w:autoSpaceDE w:val="0"/>
              <w:autoSpaceDN w:val="0"/>
              <w:adjustRightInd w:val="0"/>
              <w:rPr>
                <w:rFonts w:cs="Helvetica"/>
                <w:b/>
                <w:sz w:val="20"/>
                <w:szCs w:val="20"/>
              </w:rPr>
            </w:pPr>
            <w:r w:rsidRPr="002D28C5">
              <w:rPr>
                <w:rFonts w:cs="Helvetica"/>
                <w:b/>
                <w:sz w:val="20"/>
                <w:szCs w:val="20"/>
              </w:rPr>
              <w:t>Subcutaneous arm</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47</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White</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LVD</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 xml:space="preserve">56 </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49</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59</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47</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White</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LVD</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61</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48</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56</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44</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White</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Cardiotoxicity</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61</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48</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56</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56</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Black</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LVD</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57</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40</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61</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43</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Black</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CCF</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56</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25</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49.9</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43</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White</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LVD</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65</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48</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71</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52</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White</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LVD</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67</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49</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61</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69</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Asian</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LVD</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70</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30</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50</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51</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White</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Pleural effusion</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nr</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nr</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nr</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53</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White</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Arrhythmia</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57</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w:t>
            </w:r>
            <w:r>
              <w:rPr>
                <w:rFonts w:cs="Helvetica"/>
                <w:sz w:val="20"/>
                <w:szCs w:val="20"/>
                <w:vertAlign w:val="superscript"/>
              </w:rPr>
              <w:t xml:space="preserve"> (2</w:t>
            </w:r>
            <w:r w:rsidRPr="0069687E">
              <w:rPr>
                <w:rFonts w:cs="Helvetica"/>
                <w:sz w:val="20"/>
                <w:szCs w:val="20"/>
                <w:vertAlign w:val="superscript"/>
              </w:rPr>
              <w:t>)</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nr</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E91670">
        <w:tc>
          <w:tcPr>
            <w:cnfStyle w:val="001000000000" w:firstRow="0" w:lastRow="0" w:firstColumn="1" w:lastColumn="0" w:oddVBand="0" w:evenVBand="0" w:oddHBand="0" w:evenHBand="0" w:firstRowFirstColumn="0" w:firstRowLastColumn="0" w:lastRowFirstColumn="0" w:lastRowLastColumn="0"/>
            <w:tcW w:w="9056" w:type="dxa"/>
            <w:gridSpan w:val="7"/>
          </w:tcPr>
          <w:p w:rsidR="002D28C5" w:rsidRPr="002D28C5" w:rsidRDefault="002D28C5" w:rsidP="00FE2347">
            <w:pPr>
              <w:widowControl w:val="0"/>
              <w:autoSpaceDE w:val="0"/>
              <w:autoSpaceDN w:val="0"/>
              <w:adjustRightInd w:val="0"/>
              <w:rPr>
                <w:rFonts w:cs="Helvetica"/>
                <w:b/>
                <w:sz w:val="20"/>
                <w:szCs w:val="20"/>
              </w:rPr>
            </w:pPr>
            <w:r w:rsidRPr="002D28C5">
              <w:rPr>
                <w:rFonts w:cs="Helvetica"/>
                <w:b/>
                <w:sz w:val="20"/>
                <w:szCs w:val="20"/>
              </w:rPr>
              <w:t>Intravenous arm</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52</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White</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Cardiomyopathy</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63</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28</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56</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53</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Asian</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LVD</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55</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42</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54</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Yes</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59</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Mestizo</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LVD</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66</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36</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56</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No</w:t>
            </w:r>
          </w:p>
        </w:tc>
      </w:tr>
      <w:tr w:rsidR="002D28C5" w:rsidRPr="0017464B" w:rsidTr="002D28C5">
        <w:tc>
          <w:tcPr>
            <w:cnfStyle w:val="001000000000" w:firstRow="0" w:lastRow="0" w:firstColumn="1" w:lastColumn="0" w:oddVBand="0" w:evenVBand="0" w:oddHBand="0" w:evenHBand="0" w:firstRowFirstColumn="0" w:firstRowLastColumn="0" w:lastRowFirstColumn="0" w:lastRowLastColumn="0"/>
            <w:tcW w:w="897" w:type="dxa"/>
          </w:tcPr>
          <w:p w:rsidR="002D28C5" w:rsidRPr="0017464B" w:rsidRDefault="002D28C5" w:rsidP="00FE2347">
            <w:pPr>
              <w:widowControl w:val="0"/>
              <w:autoSpaceDE w:val="0"/>
              <w:autoSpaceDN w:val="0"/>
              <w:adjustRightInd w:val="0"/>
              <w:rPr>
                <w:rFonts w:cs="Helvetica"/>
                <w:sz w:val="20"/>
                <w:szCs w:val="20"/>
              </w:rPr>
            </w:pPr>
            <w:r>
              <w:rPr>
                <w:rFonts w:cs="Helvetica"/>
                <w:sz w:val="20"/>
                <w:szCs w:val="20"/>
              </w:rPr>
              <w:t>33</w:t>
            </w:r>
          </w:p>
        </w:tc>
        <w:tc>
          <w:tcPr>
            <w:tcW w:w="122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Asian</w:t>
            </w:r>
          </w:p>
        </w:tc>
        <w:tc>
          <w:tcPr>
            <w:tcW w:w="1983"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LVD</w:t>
            </w:r>
          </w:p>
        </w:tc>
        <w:tc>
          <w:tcPr>
            <w:tcW w:w="1466"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58</w:t>
            </w:r>
          </w:p>
        </w:tc>
        <w:tc>
          <w:tcPr>
            <w:tcW w:w="1074"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40</w:t>
            </w:r>
          </w:p>
        </w:tc>
        <w:tc>
          <w:tcPr>
            <w:tcW w:w="1019" w:type="dxa"/>
          </w:tcPr>
          <w:p w:rsidR="002D28C5"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68</w:t>
            </w:r>
          </w:p>
        </w:tc>
        <w:tc>
          <w:tcPr>
            <w:tcW w:w="1394" w:type="dxa"/>
          </w:tcPr>
          <w:p w:rsidR="002D28C5" w:rsidRPr="0017464B" w:rsidRDefault="002D28C5" w:rsidP="00FE234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Helvetica"/>
                <w:sz w:val="20"/>
                <w:szCs w:val="20"/>
              </w:rPr>
            </w:pPr>
            <w:r>
              <w:rPr>
                <w:rFonts w:cs="Helvetica"/>
                <w:sz w:val="20"/>
                <w:szCs w:val="20"/>
              </w:rPr>
              <w:t>No</w:t>
            </w:r>
          </w:p>
        </w:tc>
      </w:tr>
    </w:tbl>
    <w:p w:rsidR="002D28C5" w:rsidRDefault="00BA464F" w:rsidP="00FE2347">
      <w:pPr>
        <w:pStyle w:val="TableDescription"/>
      </w:pPr>
      <w:r>
        <w:lastRenderedPageBreak/>
        <w:t>(1) Resolved according to the investigator.</w:t>
      </w:r>
      <w:r w:rsidR="002D28C5">
        <w:t xml:space="preserve"> </w:t>
      </w:r>
      <w:r>
        <w:t>(2</w:t>
      </w:r>
      <w:r w:rsidRPr="0069687E">
        <w:t xml:space="preserve">) Subject </w:t>
      </w:r>
      <w:r w:rsidR="002D28C5">
        <w:t xml:space="preserve">[information </w:t>
      </w:r>
      <w:proofErr w:type="spellStart"/>
      <w:r w:rsidR="002D28C5">
        <w:t>redcated</w:t>
      </w:r>
      <w:proofErr w:type="spellEnd"/>
      <w:r w:rsidR="002D28C5">
        <w:t>]</w:t>
      </w:r>
      <w:r w:rsidRPr="0069687E">
        <w:t xml:space="preserve"> was noted to have NYHA Class II heart failure, but at the time the LVEF was measured as 61%.</w:t>
      </w:r>
      <w:r w:rsidR="002D28C5">
        <w:t xml:space="preserve"> Patient identification numbers have been deleted from this table.</w:t>
      </w:r>
    </w:p>
    <w:p w:rsidR="00901E80" w:rsidRPr="00313D7A" w:rsidRDefault="00313D7A" w:rsidP="00313D7A">
      <w:pPr>
        <w:pStyle w:val="Comment"/>
      </w:pPr>
      <w:r w:rsidRPr="00313D7A">
        <w:rPr>
          <w:b/>
        </w:rPr>
        <w:t>Comment:</w:t>
      </w:r>
      <w:r w:rsidRPr="00313D7A">
        <w:t xml:space="preserve"> </w:t>
      </w:r>
      <w:r w:rsidR="00901E80" w:rsidRPr="00313D7A">
        <w:t>Even though there were more withdrawals due to cardiac events in the SC arm, overall cardiac toxicity appeared comparable in the two arms.</w:t>
      </w:r>
    </w:p>
    <w:p w:rsidR="00901E80" w:rsidRDefault="00901E80" w:rsidP="007123A4">
      <w:pPr>
        <w:pStyle w:val="Heading5"/>
      </w:pPr>
      <w:bookmarkStart w:id="242" w:name="_Toc272679681"/>
      <w:r>
        <w:t>Administration-related reactions (ARRs)</w:t>
      </w:r>
      <w:bookmarkEnd w:id="242"/>
    </w:p>
    <w:p w:rsidR="00901E80" w:rsidRDefault="00901E80" w:rsidP="00FE2347">
      <w:r>
        <w:t xml:space="preserve">ARRs were analysed using a Standardised MEDRA Query (SMQ) for anaphylaxis, modified by the inclusion of the following additional MEDRA preferred terms: hypersensitivity, drug hypersensitivity, infusion-related reaction, and injection site reaction. The results are shown in </w:t>
      </w:r>
      <w:r w:rsidR="00F64383">
        <w:t>Table 39</w:t>
      </w:r>
      <w:r>
        <w:t xml:space="preserve">. The incidence of ARRs was higher in the SC arm – </w:t>
      </w:r>
      <w:r>
        <w:rPr>
          <w:b/>
        </w:rPr>
        <w:t>37.2%</w:t>
      </w:r>
      <w:r>
        <w:t xml:space="preserve"> (IV) </w:t>
      </w:r>
      <w:r w:rsidR="001D7770">
        <w:t>versus</w:t>
      </w:r>
      <w:r>
        <w:t xml:space="preserve"> </w:t>
      </w:r>
      <w:r>
        <w:rPr>
          <w:b/>
        </w:rPr>
        <w:t>47.8%</w:t>
      </w:r>
      <w:r>
        <w:t xml:space="preserve"> (SC). In terms of body systems, the excess of events was most prominent in the skin (22.5% </w:t>
      </w:r>
      <w:r w:rsidR="001D7770">
        <w:t>versus</w:t>
      </w:r>
      <w:r>
        <w:t xml:space="preserve"> 30.3%) and respiratory tract (13.8% </w:t>
      </w:r>
      <w:r w:rsidR="001D7770">
        <w:t>versus</w:t>
      </w:r>
      <w:r>
        <w:t xml:space="preserve"> 17.5%).</w:t>
      </w:r>
    </w:p>
    <w:p w:rsidR="00F64383" w:rsidRDefault="00F64383" w:rsidP="00313D7A">
      <w:pPr>
        <w:pStyle w:val="Tabletitle"/>
      </w:pPr>
      <w:bookmarkStart w:id="243" w:name="_Ref261259526"/>
      <w:bookmarkStart w:id="244" w:name="_Toc272679782"/>
      <w:r>
        <w:lastRenderedPageBreak/>
        <w:t>Table 39:</w:t>
      </w:r>
      <w:bookmarkEnd w:id="243"/>
      <w:r>
        <w:t xml:space="preserve"> Study BO22227 – Administration-related reactions</w:t>
      </w:r>
      <w:bookmarkEnd w:id="244"/>
      <w:r>
        <w:rPr>
          <w:noProof/>
          <w:lang w:eastAsia="en-AU"/>
        </w:rPr>
        <w:drawing>
          <wp:inline distT="0" distB="0" distL="0" distR="0" wp14:anchorId="1FD36B6C" wp14:editId="0CCCCFA6">
            <wp:extent cx="3474720" cy="5939212"/>
            <wp:effectExtent l="0" t="0" r="0" b="0"/>
            <wp:docPr id="41" name="Picture 6" descr="Table 39: Study BO22227 – Administration-related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5738" cy="5940951"/>
                    </a:xfrm>
                    <a:prstGeom prst="rect">
                      <a:avLst/>
                    </a:prstGeom>
                    <a:noFill/>
                    <a:ln>
                      <a:noFill/>
                    </a:ln>
                  </pic:spPr>
                </pic:pic>
              </a:graphicData>
            </a:graphic>
          </wp:inline>
        </w:drawing>
      </w:r>
    </w:p>
    <w:p w:rsidR="00901E80" w:rsidRDefault="00901E80" w:rsidP="00FE2347">
      <w:r>
        <w:t xml:space="preserve">Grade 3 ARRs occurred in 6 subjects in the IV arm (2.0%) and 5 subjects in the SC arm (1.7%). There </w:t>
      </w:r>
      <w:proofErr w:type="gramStart"/>
      <w:r>
        <w:t>were</w:t>
      </w:r>
      <w:proofErr w:type="gramEnd"/>
      <w:r>
        <w:t xml:space="preserve"> no Grade 4 or 5 ARRs. Two events of hypersensitivity in the IV arm were classified as serious. There were no serious ARRs in the SC arm.</w:t>
      </w:r>
    </w:p>
    <w:p w:rsidR="00901E80" w:rsidRDefault="00901E80" w:rsidP="007123A4">
      <w:pPr>
        <w:pStyle w:val="Heading5"/>
      </w:pPr>
      <w:bookmarkStart w:id="245" w:name="_Toc272679682"/>
      <w:r>
        <w:t>Injection site reactions</w:t>
      </w:r>
      <w:bookmarkEnd w:id="245"/>
    </w:p>
    <w:p w:rsidR="00901E80" w:rsidRDefault="00901E80" w:rsidP="00FE2347">
      <w:r>
        <w:t xml:space="preserve">Injection site reactions associated with SC administration were analysed and are summarised in </w:t>
      </w:r>
      <w:r w:rsidR="00F64383">
        <w:t>Table 40</w:t>
      </w:r>
      <w:r>
        <w:t xml:space="preserve">. 11.1% of subjects experienced a total of 45 events, after a total of 4,957 injections. There were 5 Grade 2 events (4 of pain, </w:t>
      </w:r>
      <w:proofErr w:type="gramStart"/>
      <w:r>
        <w:t>1 phlebitis</w:t>
      </w:r>
      <w:proofErr w:type="gramEnd"/>
      <w:r>
        <w:t>). All the remaining events were Grade 1 in severity. None of the events were classified as serious.</w:t>
      </w:r>
    </w:p>
    <w:p w:rsidR="00901E80" w:rsidRDefault="00901E80" w:rsidP="00F57A62">
      <w:pPr>
        <w:pStyle w:val="Comment"/>
      </w:pPr>
      <w:r w:rsidRPr="00A07DC1">
        <w:rPr>
          <w:b/>
        </w:rPr>
        <w:t>Comment:</w:t>
      </w:r>
      <w:r w:rsidR="00A07DC1">
        <w:t xml:space="preserve"> </w:t>
      </w:r>
      <w:r>
        <w:t>The SC formulation does not appear to be associated with any significant local toxicity.</w:t>
      </w:r>
    </w:p>
    <w:p w:rsidR="00F64383" w:rsidRDefault="00F64383" w:rsidP="00313D7A">
      <w:pPr>
        <w:pStyle w:val="Tabletitle"/>
      </w:pPr>
      <w:bookmarkStart w:id="246" w:name="_Ref261263465"/>
      <w:bookmarkStart w:id="247" w:name="_Toc272679783"/>
      <w:r>
        <w:lastRenderedPageBreak/>
        <w:t>Table 40:</w:t>
      </w:r>
      <w:bookmarkEnd w:id="246"/>
      <w:r>
        <w:t xml:space="preserve"> Study BO22227 – Injection site reactions</w:t>
      </w:r>
      <w:bookmarkEnd w:id="247"/>
    </w:p>
    <w:p w:rsidR="00F64383" w:rsidRDefault="00F64383" w:rsidP="00F64383">
      <w:r>
        <w:rPr>
          <w:noProof/>
          <w:lang w:eastAsia="en-AU"/>
        </w:rPr>
        <w:drawing>
          <wp:inline distT="0" distB="0" distL="0" distR="0" wp14:anchorId="2846DCBC" wp14:editId="418EF270">
            <wp:extent cx="3459480" cy="3038619"/>
            <wp:effectExtent l="0" t="0" r="0" b="0"/>
            <wp:docPr id="42" name="Picture 7" descr="Table 40: Study BO22227 – Injection site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a:extLst>
                        <a:ext uri="{28A0092B-C50C-407E-A947-70E740481C1C}">
                          <a14:useLocalDpi xmlns:a14="http://schemas.microsoft.com/office/drawing/2010/main" val="0"/>
                        </a:ext>
                      </a:extLst>
                    </a:blip>
                    <a:srcRect b="5441"/>
                    <a:stretch/>
                  </pic:blipFill>
                  <pic:spPr bwMode="auto">
                    <a:xfrm>
                      <a:off x="0" y="0"/>
                      <a:ext cx="3459861" cy="3038954"/>
                    </a:xfrm>
                    <a:prstGeom prst="rect">
                      <a:avLst/>
                    </a:prstGeom>
                    <a:noFill/>
                    <a:ln>
                      <a:noFill/>
                    </a:ln>
                    <a:extLst>
                      <a:ext uri="{53640926-AAD7-44D8-BBD7-CCE9431645EC}">
                        <a14:shadowObscured xmlns:a14="http://schemas.microsoft.com/office/drawing/2010/main"/>
                      </a:ext>
                    </a:extLst>
                  </pic:spPr>
                </pic:pic>
              </a:graphicData>
            </a:graphic>
          </wp:inline>
        </w:drawing>
      </w:r>
    </w:p>
    <w:p w:rsidR="00901E80" w:rsidRDefault="00901E80" w:rsidP="007123A4">
      <w:pPr>
        <w:pStyle w:val="Heading3"/>
      </w:pPr>
      <w:bookmarkStart w:id="248" w:name="_Toc272679683"/>
      <w:bookmarkStart w:id="249" w:name="_Toc290846306"/>
      <w:bookmarkStart w:id="250" w:name="_Toc272414668"/>
      <w:bookmarkStart w:id="251" w:name="_Ref272333085"/>
      <w:bookmarkStart w:id="252" w:name="_Ref271196640"/>
      <w:bookmarkStart w:id="253" w:name="_Ref271044780"/>
      <w:bookmarkStart w:id="254" w:name="_Toc241374321"/>
      <w:bookmarkStart w:id="255" w:name="_Toc423350788"/>
      <w:r>
        <w:t>Laboratory tests</w:t>
      </w:r>
      <w:bookmarkEnd w:id="248"/>
      <w:bookmarkEnd w:id="249"/>
      <w:bookmarkEnd w:id="250"/>
      <w:bookmarkEnd w:id="251"/>
      <w:bookmarkEnd w:id="252"/>
      <w:bookmarkEnd w:id="253"/>
      <w:bookmarkEnd w:id="254"/>
      <w:bookmarkEnd w:id="255"/>
    </w:p>
    <w:p w:rsidR="00901E80" w:rsidRDefault="00901E80" w:rsidP="007123A4">
      <w:pPr>
        <w:pStyle w:val="Heading4"/>
      </w:pPr>
      <w:bookmarkStart w:id="256" w:name="_Toc272679684"/>
      <w:bookmarkStart w:id="257" w:name="_Toc290846307"/>
      <w:bookmarkStart w:id="258" w:name="_Toc272414669"/>
      <w:r>
        <w:t>Liver function</w:t>
      </w:r>
      <w:bookmarkEnd w:id="256"/>
      <w:bookmarkEnd w:id="257"/>
      <w:bookmarkEnd w:id="258"/>
    </w:p>
    <w:p w:rsidR="00901E80" w:rsidRDefault="00901E80" w:rsidP="00FE2347">
      <w:r>
        <w:t>LFT abnormalities occurred with a similar frequency in the two arms.</w:t>
      </w:r>
    </w:p>
    <w:p w:rsidR="00901E80" w:rsidRDefault="00901E80" w:rsidP="007123A4">
      <w:pPr>
        <w:pStyle w:val="Heading4"/>
      </w:pPr>
      <w:bookmarkStart w:id="259" w:name="_Toc272679685"/>
      <w:bookmarkStart w:id="260" w:name="_Toc290846308"/>
      <w:bookmarkStart w:id="261" w:name="_Toc272414670"/>
      <w:r>
        <w:t>Kidney function</w:t>
      </w:r>
      <w:bookmarkEnd w:id="259"/>
      <w:bookmarkEnd w:id="260"/>
      <w:bookmarkEnd w:id="261"/>
    </w:p>
    <w:p w:rsidR="00901E80" w:rsidRDefault="00901E80" w:rsidP="00FE2347">
      <w:r>
        <w:t>Elevations of creatinine occurred with a similar frequency in the two arms. Summary tabulations of urea results were not provided in the study report.</w:t>
      </w:r>
    </w:p>
    <w:p w:rsidR="00901E80" w:rsidRDefault="00901E80" w:rsidP="007123A4">
      <w:pPr>
        <w:pStyle w:val="Heading4"/>
      </w:pPr>
      <w:bookmarkStart w:id="262" w:name="_Toc272679686"/>
      <w:bookmarkStart w:id="263" w:name="_Toc290846309"/>
      <w:bookmarkStart w:id="264" w:name="_Toc272414671"/>
      <w:r>
        <w:t>Other clinical chemistry</w:t>
      </w:r>
      <w:bookmarkEnd w:id="262"/>
      <w:bookmarkEnd w:id="263"/>
      <w:bookmarkEnd w:id="264"/>
    </w:p>
    <w:p w:rsidR="00901E80" w:rsidRDefault="00901E80" w:rsidP="00FE2347">
      <w:r>
        <w:t xml:space="preserve">There were no notable differences between the study arms in the incidence of abnormalities of other biochemical parameters (sodium, potassium, calcium, </w:t>
      </w:r>
      <w:proofErr w:type="gramStart"/>
      <w:r>
        <w:t>albumin</w:t>
      </w:r>
      <w:proofErr w:type="gramEnd"/>
      <w:r>
        <w:t>).</w:t>
      </w:r>
    </w:p>
    <w:p w:rsidR="00901E80" w:rsidRDefault="00901E80" w:rsidP="007123A4">
      <w:pPr>
        <w:pStyle w:val="Heading4"/>
      </w:pPr>
      <w:bookmarkStart w:id="265" w:name="_Toc272679687"/>
      <w:bookmarkStart w:id="266" w:name="_Toc290846310"/>
      <w:bookmarkStart w:id="267" w:name="_Toc272414672"/>
      <w:r>
        <w:t>Haematology</w:t>
      </w:r>
      <w:bookmarkEnd w:id="265"/>
      <w:bookmarkEnd w:id="266"/>
      <w:bookmarkEnd w:id="267"/>
    </w:p>
    <w:p w:rsidR="00901E80" w:rsidRDefault="00901E80" w:rsidP="00FE2347">
      <w:r>
        <w:t xml:space="preserve">Abnormalities in haematology parameters occurred with a similar frequency in the two arms. In particular there was no increased incidence of </w:t>
      </w:r>
      <w:proofErr w:type="spellStart"/>
      <w:r>
        <w:t>neutropaenia</w:t>
      </w:r>
      <w:proofErr w:type="spellEnd"/>
      <w:r>
        <w:t xml:space="preserve"> in the SC arm that might explain the observed increase in serious infections.</w:t>
      </w:r>
    </w:p>
    <w:p w:rsidR="00901E80" w:rsidRDefault="00901E80" w:rsidP="007123A4">
      <w:pPr>
        <w:pStyle w:val="Heading4"/>
      </w:pPr>
      <w:bookmarkStart w:id="268" w:name="_Toc272679688"/>
      <w:r>
        <w:t xml:space="preserve">Anti-drug </w:t>
      </w:r>
      <w:r w:rsidRPr="00F64383">
        <w:t>antibodies</w:t>
      </w:r>
      <w:bookmarkEnd w:id="268"/>
    </w:p>
    <w:p w:rsidR="00901E80" w:rsidRDefault="00901E80" w:rsidP="007123A4">
      <w:pPr>
        <w:pStyle w:val="Heading5"/>
      </w:pPr>
      <w:r>
        <w:t>Anti-</w:t>
      </w:r>
      <w:proofErr w:type="spellStart"/>
      <w:r>
        <w:t>trastuzumab</w:t>
      </w:r>
      <w:proofErr w:type="spellEnd"/>
      <w:r>
        <w:t xml:space="preserve"> antibodies</w:t>
      </w:r>
    </w:p>
    <w:p w:rsidR="00901E80" w:rsidRDefault="00901E80" w:rsidP="00FE2347">
      <w:r>
        <w:t xml:space="preserve">Samples were tested for the presence of antibodies using a validated </w:t>
      </w:r>
      <w:proofErr w:type="spellStart"/>
      <w:r>
        <w:t>electrochemiluminescence</w:t>
      </w:r>
      <w:proofErr w:type="spellEnd"/>
      <w:r>
        <w:t xml:space="preserve"> immunoassay (ECLIA). The presence of neutralising antibodies was tested for using a cell-based bioassay, which measured the ability of the antibodies to block </w:t>
      </w:r>
      <w:proofErr w:type="spellStart"/>
      <w:r>
        <w:t>trastuzumab</w:t>
      </w:r>
      <w:proofErr w:type="spellEnd"/>
      <w:r>
        <w:t xml:space="preserve"> suppression of proliferation in a HER2-overexpressing human breast cancer cell line (BT-474).</w:t>
      </w:r>
    </w:p>
    <w:p w:rsidR="00901E80" w:rsidRDefault="00901E80" w:rsidP="00FE2347">
      <w:r>
        <w:t xml:space="preserve">A total of 591 subjects had a least one post-baseline test result (296 IV and 295 SC). At least one positive post-baseline test occurred in </w:t>
      </w:r>
      <w:r>
        <w:rPr>
          <w:b/>
        </w:rPr>
        <w:t>7.1%</w:t>
      </w:r>
      <w:r>
        <w:t xml:space="preserve"> of subjects in the IV arm (21/296) and </w:t>
      </w:r>
      <w:r>
        <w:rPr>
          <w:b/>
        </w:rPr>
        <w:t>14.6%</w:t>
      </w:r>
      <w:r>
        <w:t xml:space="preserve"> of subjects in the SC arm (43/295). Of these subjects, 5 in the IV arm and 6 in the SC arm had also ha</w:t>
      </w:r>
      <w:r w:rsidR="0028372E">
        <w:t>d positive results at baseline.</w:t>
      </w:r>
    </w:p>
    <w:p w:rsidR="00901E80" w:rsidRDefault="00901E80" w:rsidP="00FE2347">
      <w:r>
        <w:t xml:space="preserve">Neutralising antibodies were detected post-baseline in </w:t>
      </w:r>
      <w:r>
        <w:rPr>
          <w:b/>
        </w:rPr>
        <w:t>1 subject</w:t>
      </w:r>
      <w:r>
        <w:t xml:space="preserve"> in the IV arm and </w:t>
      </w:r>
      <w:r>
        <w:rPr>
          <w:b/>
        </w:rPr>
        <w:t>2 subjects</w:t>
      </w:r>
      <w:r>
        <w:t xml:space="preserve"> in the SC arm.</w:t>
      </w:r>
    </w:p>
    <w:p w:rsidR="00901E80" w:rsidRDefault="00901E80" w:rsidP="00FE2347">
      <w:r>
        <w:lastRenderedPageBreak/>
        <w:t xml:space="preserve">An exploratory analysis showed that antibody-positive subjects did not have notably lower </w:t>
      </w:r>
      <w:proofErr w:type="spellStart"/>
      <w:r>
        <w:t>trastuzumab</w:t>
      </w:r>
      <w:proofErr w:type="spellEnd"/>
      <w:r>
        <w:t xml:space="preserve"> </w:t>
      </w:r>
      <w:proofErr w:type="spellStart"/>
      <w:r>
        <w:t>C</w:t>
      </w:r>
      <w:r>
        <w:rPr>
          <w:vertAlign w:val="subscript"/>
        </w:rPr>
        <w:t>trough</w:t>
      </w:r>
      <w:proofErr w:type="spellEnd"/>
      <w:r>
        <w:t xml:space="preserve"> values at pre-dose </w:t>
      </w:r>
      <w:r w:rsidR="00041C9E">
        <w:t>Cycle 8</w:t>
      </w:r>
      <w:r>
        <w:t xml:space="preserve">, or pre-dose </w:t>
      </w:r>
      <w:r w:rsidR="00F64383">
        <w:t>C</w:t>
      </w:r>
      <w:r>
        <w:t xml:space="preserve">ycle 13, compared to antibody-negative subjects, in either the SC or the IV arm. Similarly, there were no apparent differences in rates of </w:t>
      </w:r>
      <w:proofErr w:type="spellStart"/>
      <w:r>
        <w:t>pCR</w:t>
      </w:r>
      <w:proofErr w:type="spellEnd"/>
      <w:r>
        <w:t xml:space="preserve"> or ARRs.</w:t>
      </w:r>
    </w:p>
    <w:p w:rsidR="00901E80" w:rsidRDefault="00901E80" w:rsidP="007123A4">
      <w:pPr>
        <w:pStyle w:val="Heading5"/>
      </w:pPr>
      <w:r>
        <w:t>Anti-rHuPH20 antibodies</w:t>
      </w:r>
    </w:p>
    <w:p w:rsidR="00901E80" w:rsidRDefault="00901E80" w:rsidP="00FE2347">
      <w:r>
        <w:t xml:space="preserve">A validated ECLIA assay was used to test for the presence of anti-rHuPH20 antibodies. Neutralising antibodies were detected using a validated </w:t>
      </w:r>
      <w:proofErr w:type="spellStart"/>
      <w:r>
        <w:t>turbidometric</w:t>
      </w:r>
      <w:proofErr w:type="spellEnd"/>
      <w:r>
        <w:t xml:space="preserve"> method for de</w:t>
      </w:r>
      <w:r w:rsidR="0028372E">
        <w:t xml:space="preserve">tecting </w:t>
      </w:r>
      <w:proofErr w:type="spellStart"/>
      <w:r w:rsidR="0028372E">
        <w:t>hyaluronidase</w:t>
      </w:r>
      <w:proofErr w:type="spellEnd"/>
      <w:r w:rsidR="0028372E">
        <w:t xml:space="preserve"> activity.</w:t>
      </w:r>
    </w:p>
    <w:p w:rsidR="00901E80" w:rsidRDefault="00901E80" w:rsidP="00FE2347">
      <w:r>
        <w:t xml:space="preserve">295 subjects in the SC arm had post-baseline test results. Antibodies were detected in </w:t>
      </w:r>
      <w:r>
        <w:rPr>
          <w:b/>
        </w:rPr>
        <w:t>16.3%</w:t>
      </w:r>
      <w:r>
        <w:t xml:space="preserve"> of subjects (48/295). Of these subjects, 21 had also had a positive test at baseline. No neutralising antibodies were detected.</w:t>
      </w:r>
    </w:p>
    <w:p w:rsidR="00901E80" w:rsidRDefault="00901E80" w:rsidP="00FE2347">
      <w:r>
        <w:t xml:space="preserve">An exploratory analysis showed that rHuPH20 antibody-positive subjects did not have notably lower </w:t>
      </w:r>
      <w:proofErr w:type="spellStart"/>
      <w:r>
        <w:t>trastuzumab</w:t>
      </w:r>
      <w:proofErr w:type="spellEnd"/>
      <w:r>
        <w:t xml:space="preserve"> </w:t>
      </w:r>
      <w:proofErr w:type="spellStart"/>
      <w:r>
        <w:t>C</w:t>
      </w:r>
      <w:r>
        <w:rPr>
          <w:vertAlign w:val="subscript"/>
        </w:rPr>
        <w:t>trough</w:t>
      </w:r>
      <w:proofErr w:type="spellEnd"/>
      <w:r>
        <w:t xml:space="preserve"> values at pre-dose </w:t>
      </w:r>
      <w:r w:rsidR="00041C9E">
        <w:t>Cycle 8</w:t>
      </w:r>
      <w:r>
        <w:t xml:space="preserve">, or pre-dose </w:t>
      </w:r>
      <w:r w:rsidR="00F64383">
        <w:t>C</w:t>
      </w:r>
      <w:r>
        <w:t xml:space="preserve">ycle 13, compared to antibody-negative subjects. Similarly, there were no apparent differences in rates of </w:t>
      </w:r>
      <w:proofErr w:type="spellStart"/>
      <w:r>
        <w:t>pCR</w:t>
      </w:r>
      <w:proofErr w:type="spellEnd"/>
      <w:r>
        <w:t xml:space="preserve"> or ARRs.</w:t>
      </w:r>
    </w:p>
    <w:p w:rsidR="00901E80" w:rsidRDefault="00A07DC1" w:rsidP="00F57A62">
      <w:pPr>
        <w:pStyle w:val="Comment"/>
      </w:pPr>
      <w:r>
        <w:rPr>
          <w:b/>
        </w:rPr>
        <w:t xml:space="preserve">Comment: </w:t>
      </w:r>
      <w:r w:rsidR="00901E80">
        <w:t xml:space="preserve">As noted in the relevant EMA guideline </w:t>
      </w:r>
      <w:r w:rsidR="00901E80">
        <w:rPr>
          <w:vertAlign w:val="superscript"/>
        </w:rPr>
        <w:t>(5)</w:t>
      </w:r>
      <w:r w:rsidR="00901E80">
        <w:t xml:space="preserve">, SC administration of therapeutic proteins is more immunogenic than IV administration, and the testing results from the pivotal study confirm this for </w:t>
      </w:r>
      <w:proofErr w:type="spellStart"/>
      <w:r w:rsidR="00901E80">
        <w:t>trastuzumab</w:t>
      </w:r>
      <w:proofErr w:type="spellEnd"/>
      <w:r w:rsidR="00901E80">
        <w:t>. The exploratory analyses do not suggest that the increased rate of anti-</w:t>
      </w:r>
      <w:proofErr w:type="spellStart"/>
      <w:r w:rsidR="00901E80">
        <w:t>trastuzumab</w:t>
      </w:r>
      <w:proofErr w:type="spellEnd"/>
      <w:r w:rsidR="00901E80">
        <w:t xml:space="preserve"> antibodies with SC administration is associated with any effects on PK, efficacy or ARRs. However, as noted by the sponsor, these findings should be interpreted with caution due to the small number of antibody-positive patients included in the analyses.</w:t>
      </w:r>
    </w:p>
    <w:p w:rsidR="00901E80" w:rsidRDefault="00901E80" w:rsidP="007123A4">
      <w:pPr>
        <w:pStyle w:val="Heading4"/>
      </w:pPr>
      <w:bookmarkStart w:id="269" w:name="_Toc272679689"/>
      <w:r>
        <w:t>Urinalysis</w:t>
      </w:r>
      <w:bookmarkEnd w:id="269"/>
    </w:p>
    <w:p w:rsidR="00901E80" w:rsidRDefault="00901E80" w:rsidP="00FE2347">
      <w:r>
        <w:t>There were no notable differences between study arms in the detection of protein or blood on dipstick urinalysis.</w:t>
      </w:r>
    </w:p>
    <w:p w:rsidR="00901E80" w:rsidRDefault="00901E80" w:rsidP="007123A4">
      <w:pPr>
        <w:pStyle w:val="Heading4"/>
      </w:pPr>
      <w:bookmarkStart w:id="270" w:name="_Toc272679690"/>
      <w:bookmarkStart w:id="271" w:name="_Toc290846313"/>
      <w:bookmarkStart w:id="272" w:name="_Toc272414675"/>
      <w:r>
        <w:t>Electrocardiograph</w:t>
      </w:r>
      <w:bookmarkEnd w:id="270"/>
      <w:bookmarkEnd w:id="271"/>
      <w:bookmarkEnd w:id="272"/>
    </w:p>
    <w:p w:rsidR="00901E80" w:rsidRDefault="00901E80" w:rsidP="00FE2347">
      <w:r>
        <w:t>New abnormalities on ECG occurred in 30 subjects in the SC arm and 23 subjects in the IV arm. The changes were varied and there was no recognisable pattern to the abnormalities in either arm.</w:t>
      </w:r>
    </w:p>
    <w:p w:rsidR="00901E80" w:rsidRDefault="00901E80" w:rsidP="007123A4">
      <w:pPr>
        <w:pStyle w:val="Heading4"/>
      </w:pPr>
      <w:bookmarkStart w:id="273" w:name="_Toc272679691"/>
      <w:bookmarkStart w:id="274" w:name="_Toc290846314"/>
      <w:bookmarkStart w:id="275" w:name="_Toc272414676"/>
      <w:r>
        <w:t>Vital signs</w:t>
      </w:r>
      <w:bookmarkEnd w:id="273"/>
      <w:bookmarkEnd w:id="274"/>
      <w:bookmarkEnd w:id="275"/>
    </w:p>
    <w:p w:rsidR="00901E80" w:rsidRDefault="00901E80" w:rsidP="00FE2347">
      <w:r>
        <w:t>Changes from baseline in mean and median values for body temperature, weight, and diastolic and systolic blood pressure and pulse rate were comparable in the two arms and not clinically significant.</w:t>
      </w:r>
    </w:p>
    <w:p w:rsidR="00901E80" w:rsidRDefault="00901E80" w:rsidP="007123A4">
      <w:pPr>
        <w:pStyle w:val="Heading3"/>
      </w:pPr>
      <w:bookmarkStart w:id="276" w:name="_Toc272679692"/>
      <w:bookmarkStart w:id="277" w:name="_Toc423350789"/>
      <w:r>
        <w:t>PI update (HERA study)</w:t>
      </w:r>
      <w:bookmarkEnd w:id="276"/>
      <w:bookmarkEnd w:id="277"/>
    </w:p>
    <w:p w:rsidR="00901E80" w:rsidRDefault="00901E80" w:rsidP="00FE2347">
      <w:r>
        <w:t xml:space="preserve">In the HERA study, all AEs were only monitored for the first 2 years. After this time, only cardiac or cardiovascular events, second primary malignancies, pregnancies and events considered related to study drug were recorded. Monitoring of LVEF continued at 6- and then 12-monthly intervals after completion of </w:t>
      </w:r>
      <w:proofErr w:type="spellStart"/>
      <w:r>
        <w:t>trastuzumab</w:t>
      </w:r>
      <w:proofErr w:type="spellEnd"/>
      <w:r>
        <w:t>.</w:t>
      </w:r>
    </w:p>
    <w:p w:rsidR="00901E80" w:rsidRDefault="00901E80" w:rsidP="00FE2347">
      <w:r>
        <w:t xml:space="preserve">All the 5099 patients in the FAS were also included in the safety analysis population. The Safety Analysis population was evaluated according to the actual treatment received prior to disease recurrence. Twenty patients randomized to the </w:t>
      </w:r>
      <w:proofErr w:type="spellStart"/>
      <w:r>
        <w:t>trastuzumab</w:t>
      </w:r>
      <w:proofErr w:type="spellEnd"/>
      <w:r>
        <w:t xml:space="preserve"> 1-year arm and 25 patients randomized to the </w:t>
      </w:r>
      <w:proofErr w:type="spellStart"/>
      <w:r>
        <w:t>trastuzumab</w:t>
      </w:r>
      <w:proofErr w:type="spellEnd"/>
      <w:r>
        <w:t xml:space="preserve"> 2-year arm received no </w:t>
      </w:r>
      <w:proofErr w:type="spellStart"/>
      <w:r>
        <w:t>trastuzumab</w:t>
      </w:r>
      <w:proofErr w:type="spellEnd"/>
      <w:r>
        <w:t xml:space="preserve"> prior to recurrence and were thus included in the observation only arm.</w:t>
      </w:r>
    </w:p>
    <w:p w:rsidR="00901E80" w:rsidRDefault="00901E80" w:rsidP="00FE2347">
      <w:r>
        <w:t xml:space="preserve">An overview of AEs etc. experienced in the three arms of the study is shown in </w:t>
      </w:r>
      <w:r w:rsidR="00F64383">
        <w:t>Table 41</w:t>
      </w:r>
      <w:r>
        <w:t xml:space="preserve">. Compared to the 1-year arm, the 2-year arm experienced a higher incidence of AEs leading to </w:t>
      </w:r>
      <w:r>
        <w:lastRenderedPageBreak/>
        <w:t xml:space="preserve">withdrawal (12% </w:t>
      </w:r>
      <w:r w:rsidR="001D7770">
        <w:t>versus</w:t>
      </w:r>
      <w:r>
        <w:t xml:space="preserve"> 7%), Grade 3 or higher AEs (20% </w:t>
      </w:r>
      <w:r w:rsidR="001D7770">
        <w:t>versus</w:t>
      </w:r>
      <w:r>
        <w:t xml:space="preserve"> 16%) and serious AEs (19% </w:t>
      </w:r>
      <w:r w:rsidR="001D7770">
        <w:t>versus</w:t>
      </w:r>
      <w:r>
        <w:t xml:space="preserve"> 15%).</w:t>
      </w:r>
    </w:p>
    <w:p w:rsidR="00F64383" w:rsidRDefault="00F64383" w:rsidP="00313D7A">
      <w:pPr>
        <w:pStyle w:val="Tabletitle"/>
      </w:pPr>
      <w:proofErr w:type="gramStart"/>
      <w:r>
        <w:t>Table 41: HERA study - Overview of AEs etc.</w:t>
      </w:r>
      <w:proofErr w:type="gramEnd"/>
    </w:p>
    <w:p w:rsidR="00F64383" w:rsidRPr="00F64383" w:rsidRDefault="00F64383" w:rsidP="00F64383">
      <w:r>
        <w:rPr>
          <w:noProof/>
          <w:lang w:eastAsia="en-AU"/>
        </w:rPr>
        <w:drawing>
          <wp:inline distT="0" distB="0" distL="0" distR="0" wp14:anchorId="23F779DF" wp14:editId="680B28EA">
            <wp:extent cx="4352566" cy="3020291"/>
            <wp:effectExtent l="0" t="0" r="0" b="0"/>
            <wp:docPr id="61" name="Picture 61" descr="Table 41: HERA study - Overview of A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355468" cy="3022305"/>
                    </a:xfrm>
                    <a:prstGeom prst="rect">
                      <a:avLst/>
                    </a:prstGeom>
                  </pic:spPr>
                </pic:pic>
              </a:graphicData>
            </a:graphic>
          </wp:inline>
        </w:drawing>
      </w:r>
    </w:p>
    <w:p w:rsidR="00901E80" w:rsidRDefault="00901E80" w:rsidP="00FE2347">
      <w:r>
        <w:t xml:space="preserve">The incidence of AEs was increased in the </w:t>
      </w:r>
      <w:proofErr w:type="spellStart"/>
      <w:r>
        <w:t>trastuzumab</w:t>
      </w:r>
      <w:proofErr w:type="spellEnd"/>
      <w:r>
        <w:t xml:space="preserve"> groups (84% for 1-year, 88% for 2-years) compared to the observation group (63%). Common AEs (those with an incidence of at least 2%) are shown in </w:t>
      </w:r>
      <w:r w:rsidR="005C731D">
        <w:t>Table 42</w:t>
      </w:r>
      <w:r>
        <w:t xml:space="preserve">. For most AE terms, incidence was higher in the </w:t>
      </w:r>
      <w:proofErr w:type="spellStart"/>
      <w:r>
        <w:t>trastuzumab</w:t>
      </w:r>
      <w:proofErr w:type="spellEnd"/>
      <w:r>
        <w:t xml:space="preserve"> groups than in the observation group. AEs suggestive of infusion reactions (arthralgia, fatigue, headache, pyrexia, chills etc.) were notably more frequent with </w:t>
      </w:r>
      <w:proofErr w:type="spellStart"/>
      <w:r>
        <w:t>trastuzumab</w:t>
      </w:r>
      <w:proofErr w:type="spellEnd"/>
      <w:r>
        <w:t xml:space="preserve"> treatment. The incidence of congestive cardiac failure (CCF) was also notably increased. A similar pattern was observed for AEs considered to be treatment related.</w:t>
      </w:r>
    </w:p>
    <w:p w:rsidR="005C731D" w:rsidRDefault="005C731D" w:rsidP="00313D7A">
      <w:pPr>
        <w:pStyle w:val="Tabletitle"/>
      </w:pPr>
      <w:bookmarkStart w:id="278" w:name="_Ref261697647"/>
      <w:bookmarkStart w:id="279" w:name="_Toc272679788"/>
      <w:r>
        <w:lastRenderedPageBreak/>
        <w:t>Table 42:</w:t>
      </w:r>
      <w:bookmarkEnd w:id="278"/>
      <w:r>
        <w:t xml:space="preserve"> HERA study – Common AEs (incidence of at least 2%)</w:t>
      </w:r>
      <w:bookmarkEnd w:id="279"/>
      <w:r>
        <w:rPr>
          <w:noProof/>
          <w:lang w:eastAsia="en-AU"/>
        </w:rPr>
        <w:drawing>
          <wp:inline distT="0" distB="0" distL="0" distR="0" wp14:anchorId="0F2D8F19" wp14:editId="61D76FBF">
            <wp:extent cx="4710545" cy="8298418"/>
            <wp:effectExtent l="0" t="0" r="0" b="0"/>
            <wp:docPr id="66" name="Picture 66" descr="Table 42: HERA study – Common AEs (incidence of at lea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BEBA8EAE-BF5A-486C-A8C5-ECC9F3942E4B}">
                          <a14:imgProps xmlns:a14="http://schemas.microsoft.com/office/drawing/2010/main">
                            <a14:imgLayer r:embed="rId77">
                              <a14:imgEffect>
                                <a14:sharpenSoften amount="50000"/>
                              </a14:imgEffect>
                            </a14:imgLayer>
                          </a14:imgProps>
                        </a:ext>
                      </a:extLst>
                    </a:blip>
                    <a:srcRect t="498"/>
                    <a:stretch/>
                  </pic:blipFill>
                  <pic:spPr bwMode="auto">
                    <a:xfrm>
                      <a:off x="0" y="0"/>
                      <a:ext cx="4714043" cy="8304580"/>
                    </a:xfrm>
                    <a:prstGeom prst="rect">
                      <a:avLst/>
                    </a:prstGeom>
                    <a:ln>
                      <a:noFill/>
                    </a:ln>
                    <a:extLst>
                      <a:ext uri="{53640926-AAD7-44D8-BBD7-CCE9431645EC}">
                        <a14:shadowObscured xmlns:a14="http://schemas.microsoft.com/office/drawing/2010/main"/>
                      </a:ext>
                    </a:extLst>
                  </pic:spPr>
                </pic:pic>
              </a:graphicData>
            </a:graphic>
          </wp:inline>
        </w:drawing>
      </w:r>
    </w:p>
    <w:p w:rsidR="005C731D" w:rsidRDefault="005C731D" w:rsidP="00901E80">
      <w:pPr>
        <w:autoSpaceDE w:val="0"/>
        <w:autoSpaceDN w:val="0"/>
        <w:adjustRightInd w:val="0"/>
      </w:pPr>
    </w:p>
    <w:p w:rsidR="00901E80" w:rsidRDefault="00901E80" w:rsidP="00FE2347">
      <w:r>
        <w:lastRenderedPageBreak/>
        <w:t xml:space="preserve">For </w:t>
      </w:r>
      <w:r w:rsidR="005C731D">
        <w:t>G</w:t>
      </w:r>
      <w:r>
        <w:t>rade 3 and 4 AEs, the only individual AE term for which there was a notable difference between treatment arms was CCF (1-year: 15 events; 2-year: 18 events; observation: 1 event).</w:t>
      </w:r>
    </w:p>
    <w:p w:rsidR="00901E80" w:rsidRDefault="00901E80" w:rsidP="00FE2347">
      <w:pPr>
        <w:rPr>
          <w:lang w:val="en-US"/>
        </w:rPr>
      </w:pPr>
      <w:r>
        <w:t xml:space="preserve">Deaths occurring during the treatment phase of the trial are summarised in </w:t>
      </w:r>
      <w:r w:rsidR="005C731D">
        <w:t>Table 43</w:t>
      </w:r>
      <w:r>
        <w:t xml:space="preserve">. Most were due to progressive disease. There was an excess of fatal AEs in the </w:t>
      </w:r>
      <w:proofErr w:type="spellStart"/>
      <w:r>
        <w:t>trastuzumab</w:t>
      </w:r>
      <w:proofErr w:type="spellEnd"/>
      <w:r>
        <w:t xml:space="preserve"> arms (19 and 20) compared to the observation arm (8). </w:t>
      </w:r>
      <w:r>
        <w:rPr>
          <w:lang w:val="en-US"/>
        </w:rPr>
        <w:t xml:space="preserve">Most of the excess was due to neoplastic disorders (9 and 6 </w:t>
      </w:r>
      <w:r w:rsidR="001D7770">
        <w:rPr>
          <w:lang w:val="en-US"/>
        </w:rPr>
        <w:t>versus</w:t>
      </w:r>
      <w:r>
        <w:rPr>
          <w:lang w:val="en-US"/>
        </w:rPr>
        <w:t xml:space="preserve"> 1 – see </w:t>
      </w:r>
      <w:r w:rsidR="005C731D">
        <w:rPr>
          <w:lang w:val="en-US"/>
        </w:rPr>
        <w:t>Table 44</w:t>
      </w:r>
      <w:r>
        <w:rPr>
          <w:lang w:val="en-US"/>
        </w:rPr>
        <w:t xml:space="preserve">) and CCF (1 and 4 </w:t>
      </w:r>
      <w:r w:rsidR="001D7770">
        <w:rPr>
          <w:lang w:val="en-US"/>
        </w:rPr>
        <w:t>versus</w:t>
      </w:r>
      <w:r w:rsidR="0028372E">
        <w:rPr>
          <w:lang w:val="en-US"/>
        </w:rPr>
        <w:t xml:space="preserve"> 1).</w:t>
      </w:r>
    </w:p>
    <w:p w:rsidR="005C731D" w:rsidRDefault="005C731D" w:rsidP="00313D7A">
      <w:pPr>
        <w:pStyle w:val="Tabletitle"/>
      </w:pPr>
      <w:bookmarkStart w:id="280" w:name="_Ref261700050"/>
      <w:bookmarkStart w:id="281" w:name="_Toc272679789"/>
      <w:r>
        <w:t>Table 43:</w:t>
      </w:r>
      <w:bookmarkEnd w:id="280"/>
      <w:r>
        <w:t xml:space="preserve"> HERA st</w:t>
      </w:r>
      <w:r w:rsidRPr="00313D7A">
        <w:t>u</w:t>
      </w:r>
      <w:r>
        <w:t>dy – Deaths (during the treatment phase)</w:t>
      </w:r>
      <w:bookmarkEnd w:id="281"/>
    </w:p>
    <w:p w:rsidR="005C731D" w:rsidRDefault="005C731D" w:rsidP="005C731D">
      <w:r>
        <w:rPr>
          <w:noProof/>
          <w:lang w:eastAsia="en-AU"/>
        </w:rPr>
        <w:drawing>
          <wp:inline distT="0" distB="0" distL="0" distR="0" wp14:anchorId="20E6DF09" wp14:editId="54071E48">
            <wp:extent cx="5389418" cy="1650924"/>
            <wp:effectExtent l="0" t="0" r="0" b="0"/>
            <wp:docPr id="83" name="Picture 6" descr="Table 43: HERA study – Deaths (during the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92150" cy="1651761"/>
                    </a:xfrm>
                    <a:prstGeom prst="rect">
                      <a:avLst/>
                    </a:prstGeom>
                    <a:noFill/>
                    <a:ln>
                      <a:noFill/>
                    </a:ln>
                  </pic:spPr>
                </pic:pic>
              </a:graphicData>
            </a:graphic>
          </wp:inline>
        </w:drawing>
      </w:r>
    </w:p>
    <w:p w:rsidR="005C731D" w:rsidRDefault="005C731D" w:rsidP="00313D7A">
      <w:pPr>
        <w:pStyle w:val="Tabletitle"/>
      </w:pPr>
      <w:bookmarkStart w:id="282" w:name="_Ref261767779"/>
      <w:bookmarkStart w:id="283" w:name="_Toc272679790"/>
      <w:r>
        <w:t>Table 44</w:t>
      </w:r>
      <w:bookmarkEnd w:id="282"/>
      <w:r>
        <w:t>: HERA study – AEs leading to Death – Neoplastic disorders</w:t>
      </w:r>
      <w:bookmarkEnd w:id="283"/>
    </w:p>
    <w:p w:rsidR="005C731D" w:rsidRPr="005C731D" w:rsidRDefault="005C731D" w:rsidP="005C731D">
      <w:r>
        <w:rPr>
          <w:noProof/>
          <w:lang w:eastAsia="en-AU"/>
        </w:rPr>
        <w:drawing>
          <wp:inline distT="0" distB="0" distL="0" distR="0" wp14:anchorId="30218AF8" wp14:editId="11DD2BA1">
            <wp:extent cx="5145550" cy="2881745"/>
            <wp:effectExtent l="0" t="0" r="0" b="0"/>
            <wp:docPr id="67" name="Picture 67" descr="Table 44: HERA study – AEs leading to Death – Neoplastic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BEBA8EAE-BF5A-486C-A8C5-ECC9F3942E4B}">
                          <a14:imgProps xmlns:a14="http://schemas.microsoft.com/office/drawing/2010/main">
                            <a14:imgLayer r:embed="rId81">
                              <a14:imgEffect>
                                <a14:sharpenSoften amount="50000"/>
                              </a14:imgEffect>
                            </a14:imgLayer>
                          </a14:imgProps>
                        </a:ext>
                      </a:extLst>
                    </a:blip>
                    <a:srcRect l="2178" t="9277" b="3158"/>
                    <a:stretch/>
                  </pic:blipFill>
                  <pic:spPr bwMode="auto">
                    <a:xfrm>
                      <a:off x="0" y="0"/>
                      <a:ext cx="5154208" cy="2886594"/>
                    </a:xfrm>
                    <a:prstGeom prst="rect">
                      <a:avLst/>
                    </a:prstGeom>
                    <a:ln>
                      <a:noFill/>
                    </a:ln>
                    <a:extLst>
                      <a:ext uri="{53640926-AAD7-44D8-BBD7-CCE9431645EC}">
                        <a14:shadowObscured xmlns:a14="http://schemas.microsoft.com/office/drawing/2010/main"/>
                      </a:ext>
                    </a:extLst>
                  </pic:spPr>
                </pic:pic>
              </a:graphicData>
            </a:graphic>
          </wp:inline>
        </w:drawing>
      </w:r>
    </w:p>
    <w:p w:rsidR="00901E80" w:rsidRDefault="00901E80" w:rsidP="00FE2347">
      <w:r>
        <w:t xml:space="preserve">Serious AEs were more frequent in the </w:t>
      </w:r>
      <w:proofErr w:type="spellStart"/>
      <w:r>
        <w:t>trastuzumab</w:t>
      </w:r>
      <w:proofErr w:type="spellEnd"/>
      <w:r>
        <w:t xml:space="preserve"> arms. The system organ classes in which the SAEs occurred are summarised in </w:t>
      </w:r>
      <w:r w:rsidR="005C731D">
        <w:t>Table 45</w:t>
      </w:r>
      <w:r w:rsidR="0028372E">
        <w:t>.</w:t>
      </w:r>
    </w:p>
    <w:p w:rsidR="005C731D" w:rsidRDefault="005C731D" w:rsidP="00313D7A">
      <w:pPr>
        <w:pStyle w:val="Tabletitle"/>
      </w:pPr>
      <w:bookmarkStart w:id="284" w:name="_Ref261702103"/>
      <w:bookmarkStart w:id="285" w:name="_Toc272679791"/>
      <w:r>
        <w:lastRenderedPageBreak/>
        <w:t>Table 45</w:t>
      </w:r>
      <w:bookmarkEnd w:id="284"/>
      <w:r>
        <w:t>: HERA study - SAEs by system organ class</w:t>
      </w:r>
      <w:bookmarkEnd w:id="285"/>
      <w:r>
        <w:rPr>
          <w:noProof/>
          <w:lang w:eastAsia="en-AU"/>
        </w:rPr>
        <w:drawing>
          <wp:inline distT="0" distB="0" distL="0" distR="0" wp14:anchorId="6CDF89AA" wp14:editId="56B13837">
            <wp:extent cx="4763421" cy="4717473"/>
            <wp:effectExtent l="0" t="0" r="0" b="0"/>
            <wp:docPr id="84" name="Picture 7" descr="Table 45: HERA study - SAEs by system orga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66420" cy="4720443"/>
                    </a:xfrm>
                    <a:prstGeom prst="rect">
                      <a:avLst/>
                    </a:prstGeom>
                    <a:noFill/>
                    <a:ln>
                      <a:noFill/>
                    </a:ln>
                  </pic:spPr>
                </pic:pic>
              </a:graphicData>
            </a:graphic>
          </wp:inline>
        </w:drawing>
      </w:r>
    </w:p>
    <w:p w:rsidR="00901E80" w:rsidRDefault="00313D7A" w:rsidP="00F57A62">
      <w:pPr>
        <w:pStyle w:val="Comment"/>
      </w:pPr>
      <w:r w:rsidRPr="00313D7A">
        <w:rPr>
          <w:b/>
        </w:rPr>
        <w:t>Comment:</w:t>
      </w:r>
      <w:r>
        <w:t xml:space="preserve"> </w:t>
      </w:r>
      <w:r w:rsidR="00901E80">
        <w:t xml:space="preserve">There was an excess of neoplastic SAEs in the </w:t>
      </w:r>
      <w:proofErr w:type="spellStart"/>
      <w:r w:rsidR="00901E80">
        <w:t>trastuzumab</w:t>
      </w:r>
      <w:proofErr w:type="spellEnd"/>
      <w:r w:rsidR="00901E80">
        <w:t xml:space="preserve"> arms, with notable increases in the incidence of contralateral breast cancer, melanoma and thyroid cancer, as shown in </w:t>
      </w:r>
      <w:r w:rsidR="005C731D">
        <w:t>T</w:t>
      </w:r>
      <w:r w:rsidR="00901E80">
        <w:t>able</w:t>
      </w:r>
      <w:r w:rsidR="005C731D">
        <w:t xml:space="preserve"> 46</w:t>
      </w:r>
      <w:r w:rsidR="00901E80">
        <w:t>:</w:t>
      </w:r>
    </w:p>
    <w:p w:rsidR="005C731D" w:rsidRPr="005C731D" w:rsidRDefault="005C731D" w:rsidP="00313D7A">
      <w:pPr>
        <w:pStyle w:val="Tabletitle"/>
      </w:pPr>
      <w:r>
        <w:t>Table 46: Neoplastic SAEs</w:t>
      </w:r>
    </w:p>
    <w:tbl>
      <w:tblPr>
        <w:tblStyle w:val="TableTGAblue"/>
        <w:tblW w:w="0" w:type="auto"/>
        <w:tblLook w:val="04A0" w:firstRow="1" w:lastRow="0" w:firstColumn="1" w:lastColumn="0" w:noHBand="0" w:noVBand="1"/>
      </w:tblPr>
      <w:tblGrid>
        <w:gridCol w:w="3261"/>
        <w:gridCol w:w="1801"/>
        <w:gridCol w:w="1565"/>
        <w:gridCol w:w="1565"/>
      </w:tblGrid>
      <w:tr w:rsidR="00901E80" w:rsidTr="005C7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901E80" w:rsidRDefault="00901E80" w:rsidP="00313D7A"/>
        </w:tc>
        <w:tc>
          <w:tcPr>
            <w:tcW w:w="1609" w:type="dxa"/>
            <w:hideMark/>
          </w:tcPr>
          <w:p w:rsidR="00901E80" w:rsidRDefault="00901E80" w:rsidP="00313D7A">
            <w:pPr>
              <w:cnfStyle w:val="100000000000" w:firstRow="1" w:lastRow="0" w:firstColumn="0" w:lastColumn="0" w:oddVBand="0" w:evenVBand="0" w:oddHBand="0" w:evenHBand="0" w:firstRowFirstColumn="0" w:firstRowLastColumn="0" w:lastRowFirstColumn="0" w:lastRowLastColumn="0"/>
            </w:pPr>
            <w:r>
              <w:t>Observation</w:t>
            </w:r>
          </w:p>
        </w:tc>
        <w:tc>
          <w:tcPr>
            <w:tcW w:w="1565" w:type="dxa"/>
            <w:hideMark/>
          </w:tcPr>
          <w:p w:rsidR="00901E80" w:rsidRDefault="00901E80" w:rsidP="00313D7A">
            <w:pPr>
              <w:cnfStyle w:val="100000000000" w:firstRow="1" w:lastRow="0" w:firstColumn="0" w:lastColumn="0" w:oddVBand="0" w:evenVBand="0" w:oddHBand="0" w:evenHBand="0" w:firstRowFirstColumn="0" w:firstRowLastColumn="0" w:lastRowFirstColumn="0" w:lastRowLastColumn="0"/>
            </w:pPr>
            <w:r>
              <w:t>1-year</w:t>
            </w:r>
          </w:p>
        </w:tc>
        <w:tc>
          <w:tcPr>
            <w:tcW w:w="1565" w:type="dxa"/>
            <w:hideMark/>
          </w:tcPr>
          <w:p w:rsidR="00901E80" w:rsidRDefault="00901E80" w:rsidP="00313D7A">
            <w:pPr>
              <w:cnfStyle w:val="100000000000" w:firstRow="1" w:lastRow="0" w:firstColumn="0" w:lastColumn="0" w:oddVBand="0" w:evenVBand="0" w:oddHBand="0" w:evenHBand="0" w:firstRowFirstColumn="0" w:firstRowLastColumn="0" w:lastRowFirstColumn="0" w:lastRowLastColumn="0"/>
            </w:pPr>
            <w:r>
              <w:t>2-year</w:t>
            </w:r>
          </w:p>
        </w:tc>
      </w:tr>
      <w:tr w:rsidR="00901E80" w:rsidTr="005C731D">
        <w:tc>
          <w:tcPr>
            <w:cnfStyle w:val="001000000000" w:firstRow="0" w:lastRow="0" w:firstColumn="1" w:lastColumn="0" w:oddVBand="0" w:evenVBand="0" w:oddHBand="0" w:evenHBand="0" w:firstRowFirstColumn="0" w:firstRowLastColumn="0" w:lastRowFirstColumn="0" w:lastRowLastColumn="0"/>
            <w:tcW w:w="3261" w:type="dxa"/>
            <w:hideMark/>
          </w:tcPr>
          <w:p w:rsidR="00901E80" w:rsidRDefault="00901E80" w:rsidP="00313D7A">
            <w:r>
              <w:t>Serious AEs</w:t>
            </w:r>
          </w:p>
        </w:tc>
        <w:tc>
          <w:tcPr>
            <w:tcW w:w="1609" w:type="dxa"/>
          </w:tcPr>
          <w:p w:rsidR="00901E80" w:rsidRDefault="00901E80" w:rsidP="00313D7A">
            <w:pPr>
              <w:cnfStyle w:val="000000000000" w:firstRow="0" w:lastRow="0" w:firstColumn="0" w:lastColumn="0" w:oddVBand="0" w:evenVBand="0" w:oddHBand="0" w:evenHBand="0" w:firstRowFirstColumn="0" w:firstRowLastColumn="0" w:lastRowFirstColumn="0" w:lastRowLastColumn="0"/>
            </w:pPr>
          </w:p>
        </w:tc>
        <w:tc>
          <w:tcPr>
            <w:tcW w:w="1565" w:type="dxa"/>
          </w:tcPr>
          <w:p w:rsidR="00901E80" w:rsidRDefault="00901E80" w:rsidP="00313D7A">
            <w:pPr>
              <w:cnfStyle w:val="000000000000" w:firstRow="0" w:lastRow="0" w:firstColumn="0" w:lastColumn="0" w:oddVBand="0" w:evenVBand="0" w:oddHBand="0" w:evenHBand="0" w:firstRowFirstColumn="0" w:firstRowLastColumn="0" w:lastRowFirstColumn="0" w:lastRowLastColumn="0"/>
            </w:pPr>
          </w:p>
        </w:tc>
        <w:tc>
          <w:tcPr>
            <w:tcW w:w="1565" w:type="dxa"/>
          </w:tcPr>
          <w:p w:rsidR="00901E80" w:rsidRDefault="00901E80" w:rsidP="00313D7A">
            <w:pPr>
              <w:cnfStyle w:val="000000000000" w:firstRow="0" w:lastRow="0" w:firstColumn="0" w:lastColumn="0" w:oddVBand="0" w:evenVBand="0" w:oddHBand="0" w:evenHBand="0" w:firstRowFirstColumn="0" w:firstRowLastColumn="0" w:lastRowFirstColumn="0" w:lastRowLastColumn="0"/>
            </w:pPr>
          </w:p>
        </w:tc>
      </w:tr>
      <w:tr w:rsidR="00901E80" w:rsidTr="005C731D">
        <w:tc>
          <w:tcPr>
            <w:cnfStyle w:val="001000000000" w:firstRow="0" w:lastRow="0" w:firstColumn="1" w:lastColumn="0" w:oddVBand="0" w:evenVBand="0" w:oddHBand="0" w:evenHBand="0" w:firstRowFirstColumn="0" w:firstRowLastColumn="0" w:lastRowFirstColumn="0" w:lastRowLastColumn="0"/>
            <w:tcW w:w="3261" w:type="dxa"/>
            <w:hideMark/>
          </w:tcPr>
          <w:p w:rsidR="00901E80" w:rsidRDefault="00901E80" w:rsidP="00313D7A">
            <w:r>
              <w:t>All neoplasms</w:t>
            </w:r>
          </w:p>
        </w:tc>
        <w:tc>
          <w:tcPr>
            <w:tcW w:w="1609"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35</w:t>
            </w:r>
          </w:p>
        </w:tc>
        <w:tc>
          <w:tcPr>
            <w:tcW w:w="1565"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69</w:t>
            </w:r>
          </w:p>
        </w:tc>
        <w:tc>
          <w:tcPr>
            <w:tcW w:w="1565"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94</w:t>
            </w:r>
          </w:p>
        </w:tc>
      </w:tr>
      <w:tr w:rsidR="00901E80" w:rsidTr="005C731D">
        <w:tc>
          <w:tcPr>
            <w:cnfStyle w:val="001000000000" w:firstRow="0" w:lastRow="0" w:firstColumn="1" w:lastColumn="0" w:oddVBand="0" w:evenVBand="0" w:oddHBand="0" w:evenHBand="0" w:firstRowFirstColumn="0" w:firstRowLastColumn="0" w:lastRowFirstColumn="0" w:lastRowLastColumn="0"/>
            <w:tcW w:w="3261" w:type="dxa"/>
            <w:hideMark/>
          </w:tcPr>
          <w:p w:rsidR="00901E80" w:rsidRDefault="00901E80" w:rsidP="00313D7A">
            <w:r>
              <w:t xml:space="preserve"> - contralateral breast cancer</w:t>
            </w:r>
          </w:p>
        </w:tc>
        <w:tc>
          <w:tcPr>
            <w:tcW w:w="1609"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9</w:t>
            </w:r>
          </w:p>
        </w:tc>
        <w:tc>
          <w:tcPr>
            <w:tcW w:w="1565"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23</w:t>
            </w:r>
          </w:p>
        </w:tc>
        <w:tc>
          <w:tcPr>
            <w:tcW w:w="1565"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23</w:t>
            </w:r>
          </w:p>
        </w:tc>
      </w:tr>
      <w:tr w:rsidR="00901E80" w:rsidTr="005C731D">
        <w:tc>
          <w:tcPr>
            <w:cnfStyle w:val="001000000000" w:firstRow="0" w:lastRow="0" w:firstColumn="1" w:lastColumn="0" w:oddVBand="0" w:evenVBand="0" w:oddHBand="0" w:evenHBand="0" w:firstRowFirstColumn="0" w:firstRowLastColumn="0" w:lastRowFirstColumn="0" w:lastRowLastColumn="0"/>
            <w:tcW w:w="3261" w:type="dxa"/>
            <w:hideMark/>
          </w:tcPr>
          <w:p w:rsidR="00901E80" w:rsidRDefault="00901E80" w:rsidP="00313D7A">
            <w:r>
              <w:t xml:space="preserve"> - malignant melanoma</w:t>
            </w:r>
          </w:p>
        </w:tc>
        <w:tc>
          <w:tcPr>
            <w:tcW w:w="1609"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0</w:t>
            </w:r>
          </w:p>
        </w:tc>
        <w:tc>
          <w:tcPr>
            <w:tcW w:w="1565"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8</w:t>
            </w:r>
          </w:p>
        </w:tc>
        <w:tc>
          <w:tcPr>
            <w:tcW w:w="1565"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6</w:t>
            </w:r>
          </w:p>
        </w:tc>
      </w:tr>
      <w:tr w:rsidR="00901E80" w:rsidTr="005C731D">
        <w:tc>
          <w:tcPr>
            <w:cnfStyle w:val="001000000000" w:firstRow="0" w:lastRow="0" w:firstColumn="1" w:lastColumn="0" w:oddVBand="0" w:evenVBand="0" w:oddHBand="0" w:evenHBand="0" w:firstRowFirstColumn="0" w:firstRowLastColumn="0" w:lastRowFirstColumn="0" w:lastRowLastColumn="0"/>
            <w:tcW w:w="3261" w:type="dxa"/>
            <w:hideMark/>
          </w:tcPr>
          <w:p w:rsidR="00901E80" w:rsidRDefault="00901E80" w:rsidP="00313D7A">
            <w:r>
              <w:t xml:space="preserve"> - thyroid cancer</w:t>
            </w:r>
          </w:p>
        </w:tc>
        <w:tc>
          <w:tcPr>
            <w:tcW w:w="1609"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1</w:t>
            </w:r>
          </w:p>
        </w:tc>
        <w:tc>
          <w:tcPr>
            <w:tcW w:w="1565"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1</w:t>
            </w:r>
          </w:p>
        </w:tc>
        <w:tc>
          <w:tcPr>
            <w:tcW w:w="1565"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7</w:t>
            </w:r>
          </w:p>
        </w:tc>
      </w:tr>
      <w:tr w:rsidR="00901E80" w:rsidTr="005C731D">
        <w:tc>
          <w:tcPr>
            <w:cnfStyle w:val="001000000000" w:firstRow="0" w:lastRow="0" w:firstColumn="1" w:lastColumn="0" w:oddVBand="0" w:evenVBand="0" w:oddHBand="0" w:evenHBand="0" w:firstRowFirstColumn="0" w:firstRowLastColumn="0" w:lastRowFirstColumn="0" w:lastRowLastColumn="0"/>
            <w:tcW w:w="3261" w:type="dxa"/>
            <w:hideMark/>
          </w:tcPr>
          <w:p w:rsidR="00901E80" w:rsidRDefault="00901E80" w:rsidP="00313D7A">
            <w:r>
              <w:t>AEs with Fatal Outcome</w:t>
            </w:r>
          </w:p>
        </w:tc>
        <w:tc>
          <w:tcPr>
            <w:tcW w:w="1609" w:type="dxa"/>
          </w:tcPr>
          <w:p w:rsidR="00901E80" w:rsidRDefault="00901E80" w:rsidP="00313D7A">
            <w:pPr>
              <w:cnfStyle w:val="000000000000" w:firstRow="0" w:lastRow="0" w:firstColumn="0" w:lastColumn="0" w:oddVBand="0" w:evenVBand="0" w:oddHBand="0" w:evenHBand="0" w:firstRowFirstColumn="0" w:firstRowLastColumn="0" w:lastRowFirstColumn="0" w:lastRowLastColumn="0"/>
            </w:pPr>
          </w:p>
        </w:tc>
        <w:tc>
          <w:tcPr>
            <w:tcW w:w="1565" w:type="dxa"/>
          </w:tcPr>
          <w:p w:rsidR="00901E80" w:rsidRDefault="00901E80" w:rsidP="00313D7A">
            <w:pPr>
              <w:cnfStyle w:val="000000000000" w:firstRow="0" w:lastRow="0" w:firstColumn="0" w:lastColumn="0" w:oddVBand="0" w:evenVBand="0" w:oddHBand="0" w:evenHBand="0" w:firstRowFirstColumn="0" w:firstRowLastColumn="0" w:lastRowFirstColumn="0" w:lastRowLastColumn="0"/>
            </w:pPr>
          </w:p>
        </w:tc>
        <w:tc>
          <w:tcPr>
            <w:tcW w:w="1565" w:type="dxa"/>
          </w:tcPr>
          <w:p w:rsidR="00901E80" w:rsidRDefault="00901E80" w:rsidP="00313D7A">
            <w:pPr>
              <w:cnfStyle w:val="000000000000" w:firstRow="0" w:lastRow="0" w:firstColumn="0" w:lastColumn="0" w:oddVBand="0" w:evenVBand="0" w:oddHBand="0" w:evenHBand="0" w:firstRowFirstColumn="0" w:firstRowLastColumn="0" w:lastRowFirstColumn="0" w:lastRowLastColumn="0"/>
            </w:pPr>
          </w:p>
        </w:tc>
      </w:tr>
      <w:tr w:rsidR="00901E80" w:rsidTr="005C731D">
        <w:tc>
          <w:tcPr>
            <w:cnfStyle w:val="001000000000" w:firstRow="0" w:lastRow="0" w:firstColumn="1" w:lastColumn="0" w:oddVBand="0" w:evenVBand="0" w:oddHBand="0" w:evenHBand="0" w:firstRowFirstColumn="0" w:firstRowLastColumn="0" w:lastRowFirstColumn="0" w:lastRowLastColumn="0"/>
            <w:tcW w:w="3261" w:type="dxa"/>
            <w:hideMark/>
          </w:tcPr>
          <w:p w:rsidR="00901E80" w:rsidRDefault="00901E80" w:rsidP="00313D7A">
            <w:r>
              <w:t>All neoplasms</w:t>
            </w:r>
          </w:p>
        </w:tc>
        <w:tc>
          <w:tcPr>
            <w:tcW w:w="1609"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1</w:t>
            </w:r>
          </w:p>
        </w:tc>
        <w:tc>
          <w:tcPr>
            <w:tcW w:w="1565"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9</w:t>
            </w:r>
          </w:p>
        </w:tc>
        <w:tc>
          <w:tcPr>
            <w:tcW w:w="1565" w:type="dxa"/>
            <w:hideMark/>
          </w:tcPr>
          <w:p w:rsidR="00901E80" w:rsidRDefault="00901E80" w:rsidP="00313D7A">
            <w:pPr>
              <w:cnfStyle w:val="000000000000" w:firstRow="0" w:lastRow="0" w:firstColumn="0" w:lastColumn="0" w:oddVBand="0" w:evenVBand="0" w:oddHBand="0" w:evenHBand="0" w:firstRowFirstColumn="0" w:firstRowLastColumn="0" w:lastRowFirstColumn="0" w:lastRowLastColumn="0"/>
            </w:pPr>
            <w:r>
              <w:t>6</w:t>
            </w:r>
          </w:p>
        </w:tc>
      </w:tr>
    </w:tbl>
    <w:p w:rsidR="00901E80" w:rsidRDefault="00901E80" w:rsidP="00901E80">
      <w:pPr>
        <w:autoSpaceDE w:val="0"/>
        <w:autoSpaceDN w:val="0"/>
        <w:adjustRightInd w:val="0"/>
        <w:rPr>
          <w:kern w:val="16"/>
        </w:rPr>
      </w:pPr>
    </w:p>
    <w:p w:rsidR="00901E80" w:rsidRDefault="00901E80" w:rsidP="00F57A62">
      <w:pPr>
        <w:pStyle w:val="Comment"/>
      </w:pPr>
      <w:proofErr w:type="spellStart"/>
      <w:r>
        <w:lastRenderedPageBreak/>
        <w:t>Trastuzumab</w:t>
      </w:r>
      <w:proofErr w:type="spellEnd"/>
      <w:r>
        <w:t xml:space="preserve"> has not previously been associated with an increased risk of malignancy. The sponsor should be asked to comment on any potential explanations for these obse</w:t>
      </w:r>
      <w:r w:rsidR="0028372E">
        <w:t>rvations.</w:t>
      </w:r>
    </w:p>
    <w:p w:rsidR="00901E80" w:rsidRDefault="00901E80" w:rsidP="00F57A62">
      <w:pPr>
        <w:pStyle w:val="Comment"/>
      </w:pPr>
      <w:r>
        <w:t xml:space="preserve">Serious infections were also increased with </w:t>
      </w:r>
      <w:proofErr w:type="spellStart"/>
      <w:r>
        <w:t>trastuzumab</w:t>
      </w:r>
      <w:proofErr w:type="spellEnd"/>
      <w:r>
        <w:t xml:space="preserve">, but the excess was mainly made up of device-related infections and skin infections, which may have been related to cannulation. The excess cardiac SAEs with </w:t>
      </w:r>
      <w:proofErr w:type="spellStart"/>
      <w:r>
        <w:t>trastuzumab</w:t>
      </w:r>
      <w:proofErr w:type="spellEnd"/>
      <w:r>
        <w:t xml:space="preserve"> were mainly CCF events. For ‘general disorders and administration site conditions’ the SAE terms of pyrexia and chills were more common in the </w:t>
      </w:r>
      <w:proofErr w:type="spellStart"/>
      <w:r>
        <w:t>trastuzumab</w:t>
      </w:r>
      <w:proofErr w:type="spellEnd"/>
      <w:r>
        <w:t xml:space="preserve"> arms. In the other body systems, there were no notable differences in the incidence of individual SAE terms.</w:t>
      </w:r>
    </w:p>
    <w:p w:rsidR="00901E80" w:rsidRDefault="00901E80" w:rsidP="00FE2347">
      <w:r>
        <w:t xml:space="preserve">Withdrawals due AEs were more common in the 2-year arm than the 1-year arm (12% </w:t>
      </w:r>
      <w:r w:rsidR="001D7770">
        <w:t>versus</w:t>
      </w:r>
      <w:r>
        <w:t xml:space="preserve"> 7%). An increased incidence of CCF leading to withdrawal (7% </w:t>
      </w:r>
      <w:r w:rsidR="001D7770">
        <w:t>versus</w:t>
      </w:r>
      <w:r>
        <w:t xml:space="preserve"> 4%) accounted for most of the difference.</w:t>
      </w:r>
    </w:p>
    <w:p w:rsidR="00901E80" w:rsidRDefault="00901E80" w:rsidP="007123A4">
      <w:pPr>
        <w:pStyle w:val="Heading4"/>
      </w:pPr>
      <w:r>
        <w:t>Cardiac safety</w:t>
      </w:r>
    </w:p>
    <w:p w:rsidR="00901E80" w:rsidRDefault="00901E80" w:rsidP="00FE2347">
      <w:r>
        <w:t xml:space="preserve">Two cardiac safety endpoints were defined for the study. The </w:t>
      </w:r>
      <w:r w:rsidRPr="007E0BCC">
        <w:rPr>
          <w:i/>
        </w:rPr>
        <w:t>primary cardiac safety endpoint</w:t>
      </w:r>
      <w:r>
        <w:t xml:space="preserve"> included either:</w:t>
      </w:r>
    </w:p>
    <w:p w:rsidR="00901E80" w:rsidRDefault="00901E80" w:rsidP="00FE2347">
      <w:pPr>
        <w:pStyle w:val="ListBullet"/>
      </w:pPr>
      <w:r>
        <w:t>Symptomatic congestive heart failure of NYHA class III or IV, confirmed by a cardiologist with a drop in LVEF of at least 10 EF points from baseline and to below 50%; or</w:t>
      </w:r>
    </w:p>
    <w:p w:rsidR="00901E80" w:rsidRDefault="00901E80" w:rsidP="00FE2347">
      <w:pPr>
        <w:pStyle w:val="ListBullet"/>
      </w:pPr>
      <w:r>
        <w:t>Cardiac death defined as either:</w:t>
      </w:r>
    </w:p>
    <w:p w:rsidR="00901E80" w:rsidRDefault="00901E80" w:rsidP="007E0BCC">
      <w:pPr>
        <w:pStyle w:val="ListBullet2"/>
      </w:pPr>
      <w:r>
        <w:t>Definite cardiac death: due to CHF, myocardial infarction or documented primary arrhythmia;</w:t>
      </w:r>
    </w:p>
    <w:p w:rsidR="00901E80" w:rsidRDefault="00901E80" w:rsidP="007E0BCC">
      <w:pPr>
        <w:pStyle w:val="ListBullet2"/>
      </w:pPr>
      <w:r>
        <w:t>Probable cardiac death: sudden unexpected death within 24 hours of a definite or probable cardiac event (syncope, cardiac arrest, chest pain, infarction, arrhythmia, etc.) without documented aetiology</w:t>
      </w:r>
    </w:p>
    <w:p w:rsidR="00901E80" w:rsidRDefault="00901E80" w:rsidP="00FE2347">
      <w:r>
        <w:t xml:space="preserve">Results for the primary cardiac safety endpoint are shown in </w:t>
      </w:r>
      <w:r w:rsidR="007E0BCC">
        <w:t>Table 47</w:t>
      </w:r>
      <w:r>
        <w:t xml:space="preserve">. Events were notably more common in the </w:t>
      </w:r>
      <w:proofErr w:type="spellStart"/>
      <w:r>
        <w:t>trastuzumab</w:t>
      </w:r>
      <w:proofErr w:type="spellEnd"/>
      <w:r>
        <w:t xml:space="preserve"> arms. Recovery of LVEF to &gt; 50% occurred in approximately 70% of subjects in both </w:t>
      </w:r>
      <w:proofErr w:type="spellStart"/>
      <w:r>
        <w:t>trastuzumab</w:t>
      </w:r>
      <w:proofErr w:type="spellEnd"/>
      <w:r>
        <w:t xml:space="preserve"> arms.</w:t>
      </w:r>
    </w:p>
    <w:p w:rsidR="007E0BCC" w:rsidRDefault="007E0BCC" w:rsidP="00313D7A">
      <w:pPr>
        <w:pStyle w:val="Tabletitle"/>
      </w:pPr>
      <w:bookmarkStart w:id="286" w:name="_Ref261710076"/>
      <w:bookmarkStart w:id="287" w:name="_Toc272679792"/>
      <w:r>
        <w:t>Table 47:</w:t>
      </w:r>
      <w:bookmarkEnd w:id="286"/>
      <w:r>
        <w:t xml:space="preserve"> HERA study - Primary cardiac safety endpoint</w:t>
      </w:r>
      <w:bookmarkEnd w:id="287"/>
      <w:r>
        <w:rPr>
          <w:noProof/>
          <w:lang w:eastAsia="en-AU"/>
        </w:rPr>
        <w:drawing>
          <wp:inline distT="0" distB="0" distL="0" distR="0" wp14:anchorId="67C680C0" wp14:editId="45463FBC">
            <wp:extent cx="5285509" cy="1249302"/>
            <wp:effectExtent l="0" t="0" r="0" b="0"/>
            <wp:docPr id="85" name="Picture 8" descr="Table 47: HERA study - Primary cardiac safet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90567" cy="1250497"/>
                    </a:xfrm>
                    <a:prstGeom prst="rect">
                      <a:avLst/>
                    </a:prstGeom>
                    <a:noFill/>
                    <a:ln>
                      <a:noFill/>
                    </a:ln>
                  </pic:spPr>
                </pic:pic>
              </a:graphicData>
            </a:graphic>
          </wp:inline>
        </w:drawing>
      </w:r>
    </w:p>
    <w:p w:rsidR="00901E80" w:rsidRDefault="00901E80" w:rsidP="00FE2347">
      <w:r>
        <w:t xml:space="preserve">The </w:t>
      </w:r>
      <w:r w:rsidRPr="007E0BCC">
        <w:rPr>
          <w:i/>
        </w:rPr>
        <w:t>secondary cardiac safety endpoint</w:t>
      </w:r>
      <w:r>
        <w:t xml:space="preserve"> was defined as a significant asymptomatic (NYHA class I) or mildly symptomatic (NYHA class II) LVEF drop, unless the following assessment of LVEF indicated a return to levels which did not meet the definition of a significant LVEF drop. A significant LVEF drop was defined as an absolute decrease of 10 ejection fraction (EF) points or more from baseline and to below 50%.</w:t>
      </w:r>
    </w:p>
    <w:p w:rsidR="00901E80" w:rsidRDefault="00901E80" w:rsidP="00FE2347">
      <w:r>
        <w:t xml:space="preserve">Results for the secondary cardiac safety endpoint are shown in </w:t>
      </w:r>
      <w:r w:rsidR="007E0BCC">
        <w:t>Table 48</w:t>
      </w:r>
      <w:r>
        <w:t xml:space="preserve">. Events were more common in the </w:t>
      </w:r>
      <w:proofErr w:type="spellStart"/>
      <w:r>
        <w:t>trastuzumab</w:t>
      </w:r>
      <w:proofErr w:type="spellEnd"/>
      <w:r>
        <w:t xml:space="preserve"> arms compared to the observation arm. They were also more common in the 2-year arm than the 1-year arm. Recovery of LVEF to &gt; 50% occurred in approximately 80% of subjects in the 1-year arm and 85% of subjects in the 2-year arm.</w:t>
      </w:r>
    </w:p>
    <w:p w:rsidR="007E0BCC" w:rsidRDefault="007E0BCC" w:rsidP="007E0BCC">
      <w:pPr>
        <w:pStyle w:val="Tabletitle"/>
      </w:pPr>
      <w:bookmarkStart w:id="288" w:name="_Ref261716393"/>
      <w:bookmarkStart w:id="289" w:name="_Toc272679793"/>
      <w:r>
        <w:lastRenderedPageBreak/>
        <w:t>Table 48:</w:t>
      </w:r>
      <w:bookmarkEnd w:id="288"/>
      <w:r>
        <w:t xml:space="preserve"> HERA study - Secondary cardiac safety endpoint</w:t>
      </w:r>
      <w:bookmarkEnd w:id="289"/>
      <w:r>
        <w:rPr>
          <w:noProof/>
          <w:lang w:eastAsia="en-AU"/>
        </w:rPr>
        <w:drawing>
          <wp:inline distT="0" distB="0" distL="0" distR="0" wp14:anchorId="3307DE0C" wp14:editId="4FDE4887">
            <wp:extent cx="4862945" cy="1097576"/>
            <wp:effectExtent l="0" t="0" r="0" b="0"/>
            <wp:docPr id="86" name="Picture 9" descr="Table 48: HERA study - Secondary cardiac safet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72585" cy="1099752"/>
                    </a:xfrm>
                    <a:prstGeom prst="rect">
                      <a:avLst/>
                    </a:prstGeom>
                    <a:noFill/>
                    <a:ln>
                      <a:noFill/>
                    </a:ln>
                  </pic:spPr>
                </pic:pic>
              </a:graphicData>
            </a:graphic>
          </wp:inline>
        </w:drawing>
      </w:r>
    </w:p>
    <w:p w:rsidR="00901E80" w:rsidRPr="00845193" w:rsidRDefault="00901E80" w:rsidP="00FE2347">
      <w:r>
        <w:t xml:space="preserve">Abnormalities on LVEF testing were also more common in the </w:t>
      </w:r>
      <w:proofErr w:type="spellStart"/>
      <w:r w:rsidRPr="00845193">
        <w:t>trastuzumab</w:t>
      </w:r>
      <w:proofErr w:type="spellEnd"/>
      <w:r w:rsidRPr="00845193">
        <w:t xml:space="preserve"> arms (</w:t>
      </w:r>
      <w:r w:rsidR="00845193" w:rsidRPr="00845193">
        <w:t>Table 49</w:t>
      </w:r>
      <w:r w:rsidRPr="00845193">
        <w:t>).</w:t>
      </w:r>
    </w:p>
    <w:p w:rsidR="00845193" w:rsidRDefault="00845193" w:rsidP="00313D7A">
      <w:pPr>
        <w:pStyle w:val="Tabletitle"/>
      </w:pPr>
      <w:bookmarkStart w:id="290" w:name="_Ref261717164"/>
      <w:bookmarkStart w:id="291" w:name="_Toc272679794"/>
      <w:r>
        <w:t>Table 49:</w:t>
      </w:r>
      <w:bookmarkEnd w:id="290"/>
      <w:r>
        <w:t xml:space="preserve"> HERA study – Abnormalities on LVEF testing</w:t>
      </w:r>
      <w:bookmarkEnd w:id="291"/>
    </w:p>
    <w:p w:rsidR="00845193" w:rsidRDefault="00845193" w:rsidP="00845193">
      <w:r>
        <w:rPr>
          <w:noProof/>
          <w:lang w:eastAsia="en-AU"/>
        </w:rPr>
        <w:drawing>
          <wp:inline distT="0" distB="0" distL="0" distR="0" wp14:anchorId="1D91388A" wp14:editId="6732C346">
            <wp:extent cx="4287982" cy="1600200"/>
            <wp:effectExtent l="0" t="0" r="0" b="0"/>
            <wp:docPr id="87" name="Picture 10" descr="Table 49: HERA study – Abnormalities on LVEF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8">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rcRect l="1076" t="4000" r="3789" b="3599"/>
                    <a:stretch/>
                  </pic:blipFill>
                  <pic:spPr bwMode="auto">
                    <a:xfrm>
                      <a:off x="0" y="0"/>
                      <a:ext cx="4304733" cy="1606451"/>
                    </a:xfrm>
                    <a:prstGeom prst="rect">
                      <a:avLst/>
                    </a:prstGeom>
                    <a:noFill/>
                    <a:ln>
                      <a:noFill/>
                    </a:ln>
                    <a:extLst>
                      <a:ext uri="{53640926-AAD7-44D8-BBD7-CCE9431645EC}">
                        <a14:shadowObscured xmlns:a14="http://schemas.microsoft.com/office/drawing/2010/main"/>
                      </a:ext>
                    </a:extLst>
                  </pic:spPr>
                </pic:pic>
              </a:graphicData>
            </a:graphic>
          </wp:inline>
        </w:drawing>
      </w:r>
    </w:p>
    <w:p w:rsidR="00901E80" w:rsidRDefault="00901E80" w:rsidP="007123A4">
      <w:pPr>
        <w:pStyle w:val="Heading4"/>
      </w:pPr>
      <w:r>
        <w:t>Laboratory testing</w:t>
      </w:r>
    </w:p>
    <w:p w:rsidR="00901E80" w:rsidRDefault="00845193" w:rsidP="00FE2347">
      <w:r>
        <w:t>The incidences of G</w:t>
      </w:r>
      <w:r w:rsidR="00901E80">
        <w:t xml:space="preserve">rade 3 or 4 shifts in laboratory testing </w:t>
      </w:r>
      <w:r>
        <w:t>were</w:t>
      </w:r>
      <w:r w:rsidR="00901E80">
        <w:t xml:space="preserve"> summarised. There were no remarkable differences between treatment arms.</w:t>
      </w:r>
    </w:p>
    <w:p w:rsidR="00901E80" w:rsidRDefault="00901E80" w:rsidP="007123A4">
      <w:pPr>
        <w:pStyle w:val="Heading3"/>
      </w:pPr>
      <w:bookmarkStart w:id="292" w:name="_Toc272679693"/>
      <w:bookmarkStart w:id="293" w:name="_Toc290846317"/>
      <w:bookmarkStart w:id="294" w:name="_Toc272414679"/>
      <w:bookmarkStart w:id="295" w:name="_Ref272333048"/>
      <w:bookmarkStart w:id="296" w:name="_Toc241374326"/>
      <w:bookmarkStart w:id="297" w:name="_Toc423350790"/>
      <w:r>
        <w:t>Post-marketing experience</w:t>
      </w:r>
      <w:bookmarkEnd w:id="292"/>
      <w:bookmarkEnd w:id="293"/>
      <w:bookmarkEnd w:id="294"/>
      <w:bookmarkEnd w:id="295"/>
      <w:bookmarkEnd w:id="296"/>
      <w:bookmarkEnd w:id="297"/>
    </w:p>
    <w:p w:rsidR="00901E80" w:rsidRDefault="00901E80" w:rsidP="00FE2347">
      <w:r>
        <w:t>No post-marketing data were included in the submission.</w:t>
      </w:r>
    </w:p>
    <w:p w:rsidR="00901E80" w:rsidRDefault="00901E80" w:rsidP="007123A4">
      <w:pPr>
        <w:pStyle w:val="Heading3"/>
      </w:pPr>
      <w:bookmarkStart w:id="298" w:name="_Toc272414680"/>
      <w:bookmarkStart w:id="299" w:name="_Ref272333005"/>
      <w:bookmarkStart w:id="300" w:name="_Toc272679694"/>
      <w:bookmarkStart w:id="301" w:name="_Toc290846318"/>
      <w:bookmarkStart w:id="302" w:name="_Toc423350791"/>
      <w:r>
        <w:t>Safety issues with the potential for major regulatory imp</w:t>
      </w:r>
      <w:bookmarkEnd w:id="298"/>
      <w:bookmarkEnd w:id="299"/>
      <w:r>
        <w:t>act</w:t>
      </w:r>
      <w:bookmarkEnd w:id="300"/>
      <w:bookmarkEnd w:id="301"/>
      <w:bookmarkEnd w:id="302"/>
    </w:p>
    <w:p w:rsidR="00901E80" w:rsidRDefault="00901E80" w:rsidP="007123A4">
      <w:pPr>
        <w:pStyle w:val="Heading4"/>
      </w:pPr>
      <w:bookmarkStart w:id="303" w:name="_Toc272679695"/>
      <w:bookmarkStart w:id="304" w:name="_Toc290846319"/>
      <w:bookmarkStart w:id="305" w:name="_Toc272414681"/>
      <w:r>
        <w:t>Liver toxicity</w:t>
      </w:r>
      <w:bookmarkEnd w:id="303"/>
      <w:bookmarkEnd w:id="304"/>
      <w:bookmarkEnd w:id="305"/>
    </w:p>
    <w:p w:rsidR="00901E80" w:rsidRDefault="00901E80" w:rsidP="00FE2347">
      <w:proofErr w:type="spellStart"/>
      <w:r>
        <w:t>Trastuzumab</w:t>
      </w:r>
      <w:proofErr w:type="spellEnd"/>
      <w:r>
        <w:t xml:space="preserve"> has not previously been associated with significant hepatic toxicity. The new data </w:t>
      </w:r>
      <w:r w:rsidR="00845193">
        <w:t>i</w:t>
      </w:r>
      <w:r>
        <w:t>n this submission did</w:t>
      </w:r>
      <w:r w:rsidR="0028372E">
        <w:t xml:space="preserve"> not suggest any such toxicity.</w:t>
      </w:r>
    </w:p>
    <w:p w:rsidR="00901E80" w:rsidRDefault="00901E80" w:rsidP="007123A4">
      <w:pPr>
        <w:pStyle w:val="Heading4"/>
      </w:pPr>
      <w:bookmarkStart w:id="306" w:name="_Toc272679696"/>
      <w:bookmarkStart w:id="307" w:name="_Toc290846320"/>
      <w:bookmarkStart w:id="308" w:name="_Toc272414682"/>
      <w:r>
        <w:t>Haematological toxicity</w:t>
      </w:r>
      <w:bookmarkEnd w:id="306"/>
      <w:bookmarkEnd w:id="307"/>
      <w:bookmarkEnd w:id="308"/>
    </w:p>
    <w:p w:rsidR="00901E80" w:rsidRDefault="00901E80" w:rsidP="00FE2347">
      <w:proofErr w:type="spellStart"/>
      <w:r>
        <w:t>Trastuzumab</w:t>
      </w:r>
      <w:proofErr w:type="spellEnd"/>
      <w:r>
        <w:t xml:space="preserve"> has not previously been associated with major haematological toxicity. The studies included in this submission did not raise any new concerns in this area.</w:t>
      </w:r>
    </w:p>
    <w:p w:rsidR="00901E80" w:rsidRDefault="00901E80" w:rsidP="007123A4">
      <w:pPr>
        <w:pStyle w:val="Heading4"/>
      </w:pPr>
      <w:bookmarkStart w:id="309" w:name="_Toc272679697"/>
      <w:bookmarkStart w:id="310" w:name="_Toc290846321"/>
      <w:bookmarkStart w:id="311" w:name="_Toc272414683"/>
      <w:r>
        <w:t>Serious skin reactions</w:t>
      </w:r>
      <w:bookmarkEnd w:id="309"/>
      <w:bookmarkEnd w:id="310"/>
      <w:bookmarkEnd w:id="311"/>
    </w:p>
    <w:p w:rsidR="00901E80" w:rsidRDefault="00901E80" w:rsidP="00FE2347">
      <w:r>
        <w:t xml:space="preserve">In the HERA study dermatological SAEs occurred more frequently in the </w:t>
      </w:r>
      <w:proofErr w:type="spellStart"/>
      <w:r>
        <w:t>trastuzumab</w:t>
      </w:r>
      <w:proofErr w:type="spellEnd"/>
      <w:r>
        <w:t xml:space="preserve"> arms (4 and 12 events) than in the observation arm (1 event only). Skin toxicity would be expected with </w:t>
      </w:r>
      <w:proofErr w:type="spellStart"/>
      <w:r>
        <w:t>trastuzumab</w:t>
      </w:r>
      <w:proofErr w:type="spellEnd"/>
      <w:r>
        <w:t xml:space="preserve"> as a manifestation of hypersensitivity events. In the pivotal study for SC administration there was only one serious dermatological AE – a case of erythema </w:t>
      </w:r>
      <w:proofErr w:type="spellStart"/>
      <w:r>
        <w:t>multiforme</w:t>
      </w:r>
      <w:proofErr w:type="spellEnd"/>
      <w:r>
        <w:t xml:space="preserve"> in the SC arm, which was considered unrelated to </w:t>
      </w:r>
      <w:proofErr w:type="spellStart"/>
      <w:r>
        <w:t>trastuzumab</w:t>
      </w:r>
      <w:proofErr w:type="spellEnd"/>
      <w:r>
        <w:t>.</w:t>
      </w:r>
    </w:p>
    <w:p w:rsidR="00901E80" w:rsidRDefault="00901E80" w:rsidP="00FE2347">
      <w:r>
        <w:t xml:space="preserve">There were no reports of Stevens-Johnson syndrome or toxic epidermal </w:t>
      </w:r>
      <w:proofErr w:type="spellStart"/>
      <w:r>
        <w:t>necrolysis</w:t>
      </w:r>
      <w:proofErr w:type="spellEnd"/>
      <w:r>
        <w:t>.</w:t>
      </w:r>
    </w:p>
    <w:p w:rsidR="00901E80" w:rsidRDefault="00901E80" w:rsidP="007123A4">
      <w:pPr>
        <w:pStyle w:val="Heading4"/>
      </w:pPr>
      <w:bookmarkStart w:id="312" w:name="_Toc272679698"/>
      <w:bookmarkStart w:id="313" w:name="_Toc290846322"/>
      <w:bookmarkStart w:id="314" w:name="_Toc272414684"/>
      <w:r>
        <w:t>Cardiovascular safety</w:t>
      </w:r>
      <w:bookmarkEnd w:id="312"/>
      <w:bookmarkEnd w:id="313"/>
      <w:bookmarkEnd w:id="314"/>
    </w:p>
    <w:p w:rsidR="00901E80" w:rsidRDefault="00901E80" w:rsidP="00FE2347">
      <w:proofErr w:type="spellStart"/>
      <w:r>
        <w:t>Trastuzumab</w:t>
      </w:r>
      <w:proofErr w:type="spellEnd"/>
      <w:r>
        <w:t xml:space="preserve"> is known to be associated with an increased incidence of cardiac failure. This was confirmed in the updated HERA report. Cardiac toxicity appeared comparable in the two arms of the pivotal study for SC administration.</w:t>
      </w:r>
    </w:p>
    <w:p w:rsidR="00901E80" w:rsidRDefault="00901E80" w:rsidP="007123A4">
      <w:pPr>
        <w:pStyle w:val="Heading4"/>
      </w:pPr>
      <w:bookmarkStart w:id="315" w:name="_Toc272679699"/>
      <w:bookmarkStart w:id="316" w:name="_Toc290846323"/>
      <w:bookmarkStart w:id="317" w:name="_Toc272414685"/>
      <w:bookmarkStart w:id="318" w:name="_Toc241374323"/>
      <w:r>
        <w:lastRenderedPageBreak/>
        <w:t>Unwanted immunological events</w:t>
      </w:r>
      <w:bookmarkEnd w:id="315"/>
      <w:bookmarkEnd w:id="316"/>
      <w:bookmarkEnd w:id="317"/>
      <w:bookmarkEnd w:id="318"/>
    </w:p>
    <w:p w:rsidR="00901E80" w:rsidRDefault="00901E80" w:rsidP="00FE2347">
      <w:r>
        <w:t xml:space="preserve">Hypersensitivity reactions and infusion-related reactions are known to occur with </w:t>
      </w:r>
      <w:proofErr w:type="spellStart"/>
      <w:r>
        <w:t>trastuzumab</w:t>
      </w:r>
      <w:proofErr w:type="spellEnd"/>
      <w:r>
        <w:t>. The incidence of such events was higher with SC administration. Similarly, the incidence of anti-</w:t>
      </w:r>
      <w:proofErr w:type="spellStart"/>
      <w:r>
        <w:t>trastuzumab</w:t>
      </w:r>
      <w:proofErr w:type="spellEnd"/>
      <w:r>
        <w:t xml:space="preserve"> antibody development was higher in the SC arm.</w:t>
      </w:r>
    </w:p>
    <w:p w:rsidR="00901E80" w:rsidRDefault="00901E80" w:rsidP="007123A4">
      <w:pPr>
        <w:pStyle w:val="Heading3"/>
      </w:pPr>
      <w:bookmarkStart w:id="319" w:name="_Toc272679700"/>
      <w:bookmarkStart w:id="320" w:name="_Toc290846329"/>
      <w:bookmarkStart w:id="321" w:name="_Toc272414691"/>
      <w:bookmarkStart w:id="322" w:name="_Toc241374328"/>
      <w:bookmarkStart w:id="323" w:name="_Toc423350792"/>
      <w:r>
        <w:t>Evaluator’s overall conclusions on clinical safety</w:t>
      </w:r>
      <w:bookmarkEnd w:id="319"/>
      <w:bookmarkEnd w:id="320"/>
      <w:bookmarkEnd w:id="321"/>
      <w:bookmarkEnd w:id="322"/>
      <w:bookmarkEnd w:id="323"/>
    </w:p>
    <w:p w:rsidR="00901E80" w:rsidRDefault="00901E80" w:rsidP="007123A4">
      <w:pPr>
        <w:pStyle w:val="Heading4"/>
      </w:pPr>
      <w:bookmarkStart w:id="324" w:name="_Toc272679701"/>
      <w:r>
        <w:t>Subcutaneous administration</w:t>
      </w:r>
      <w:bookmarkEnd w:id="324"/>
    </w:p>
    <w:p w:rsidR="00901E80" w:rsidRDefault="00901E80" w:rsidP="00FE2347">
      <w:r>
        <w:t xml:space="preserve">The PK data included in this submission demonstrate that the proposed SC dosage regimen will be associated with some increase in systemic exposure to </w:t>
      </w:r>
      <w:proofErr w:type="spellStart"/>
      <w:r>
        <w:t>trastuzumab</w:t>
      </w:r>
      <w:proofErr w:type="spellEnd"/>
      <w:r>
        <w:t>, compared with IV administration. A potential concern therefore, would be that the new regimen might be associated with increased toxicity.</w:t>
      </w:r>
    </w:p>
    <w:p w:rsidR="00901E80" w:rsidRDefault="00901E80" w:rsidP="00FE2347">
      <w:r>
        <w:t xml:space="preserve">The main safety concern arising out of the submitted data is that SC administration appeared to be associated with a 50% increase in the incidence of serious adverse events (22% SC </w:t>
      </w:r>
      <w:r w:rsidR="001D7770">
        <w:t>versus</w:t>
      </w:r>
      <w:r>
        <w:t xml:space="preserve"> 14% IV). If this were a real difference, it would be clinically important. There are a number of inconsistencies in the safety results that may cast doubt upon any conclusion that the increased SAE rate was due to increased systemic exposure:</w:t>
      </w:r>
    </w:p>
    <w:p w:rsidR="00901E80" w:rsidRPr="00845193" w:rsidRDefault="00901E80" w:rsidP="00FE2347">
      <w:pPr>
        <w:pStyle w:val="ListBullet"/>
      </w:pPr>
      <w:r w:rsidRPr="00845193">
        <w:t xml:space="preserve">There was no apparent increase in the rate of Grade 3 or higher AEs in the SC arm (54% SC </w:t>
      </w:r>
      <w:r w:rsidR="001D7770" w:rsidRPr="00845193">
        <w:t>versus</w:t>
      </w:r>
      <w:r w:rsidRPr="00845193">
        <w:t xml:space="preserve"> 52% IV);</w:t>
      </w:r>
    </w:p>
    <w:p w:rsidR="00901E80" w:rsidRPr="00845193" w:rsidRDefault="00901E80" w:rsidP="00FE2347">
      <w:pPr>
        <w:pStyle w:val="ListBullet"/>
      </w:pPr>
      <w:r w:rsidRPr="00845193">
        <w:t>Exploratory analyses did not demonstrate a relationship between the incidence of SAEs and patients with higher AUC values;</w:t>
      </w:r>
    </w:p>
    <w:p w:rsidR="00901E80" w:rsidRDefault="00901E80" w:rsidP="00FE2347">
      <w:pPr>
        <w:pStyle w:val="ListBullet"/>
      </w:pPr>
      <w:r w:rsidRPr="00845193">
        <w:t xml:space="preserve">The increase in SAEs was greatest in the ‘Infections and Infestations’ category. There was no obvious pattern to the types of serious infections observed in the SC arm, and it appears that an increased risk of serious infections has not previously been identified for </w:t>
      </w:r>
      <w:proofErr w:type="spellStart"/>
      <w:r w:rsidRPr="00845193">
        <w:t>trastuzumab</w:t>
      </w:r>
      <w:proofErr w:type="spellEnd"/>
      <w:r>
        <w:t>.</w:t>
      </w:r>
    </w:p>
    <w:p w:rsidR="00901E80" w:rsidRDefault="00901E80" w:rsidP="00FE2347">
      <w:r>
        <w:t xml:space="preserve">There was also an imbalance in the proportion of subjects who discontinued treatment due to an AE (5.7% SC </w:t>
      </w:r>
      <w:r w:rsidR="001D7770">
        <w:t>versus</w:t>
      </w:r>
      <w:r>
        <w:t xml:space="preserve"> 2.7% IV). This was predominantly due to an excess of patients discontinuing due to cardiac AEs. However, when all the available data from the study on cardiac toxicity are considered, SC administration does not appear to be associated with an increased risk.</w:t>
      </w:r>
    </w:p>
    <w:p w:rsidR="00901E80" w:rsidRDefault="00901E80" w:rsidP="00FE2347">
      <w:r>
        <w:t>SC administration is associated with local injection site reactions in approximately 11% of subjects. Such reactions were infrequent (45 events after 4,957 injections) and mild or moderate in intensity.</w:t>
      </w:r>
    </w:p>
    <w:p w:rsidR="00901E80" w:rsidRDefault="00901E80" w:rsidP="00FE2347">
      <w:r>
        <w:t>SC administration is also associated with an increased risk of developing anti-</w:t>
      </w:r>
      <w:proofErr w:type="spellStart"/>
      <w:r>
        <w:t>trastuzumab</w:t>
      </w:r>
      <w:proofErr w:type="spellEnd"/>
      <w:r>
        <w:t xml:space="preserve"> antibodies (14.6% SC </w:t>
      </w:r>
      <w:r w:rsidR="001D7770">
        <w:t>versus</w:t>
      </w:r>
      <w:r>
        <w:t xml:space="preserve"> 7.1% IV). However, preliminary data suggest that these antibodies are not associated with changes in PK, loss of efficacy or increased risk of administration-related reactions (e.g. hypersensitivity).</w:t>
      </w:r>
    </w:p>
    <w:p w:rsidR="00901E80" w:rsidRDefault="00901E80" w:rsidP="007123A4">
      <w:pPr>
        <w:pStyle w:val="Heading4"/>
      </w:pPr>
      <w:bookmarkStart w:id="325" w:name="_Toc272679702"/>
      <w:r>
        <w:t>PI update (HERA study)</w:t>
      </w:r>
      <w:bookmarkEnd w:id="325"/>
    </w:p>
    <w:p w:rsidR="00901E80" w:rsidRDefault="00901E80" w:rsidP="00FE2347">
      <w:r>
        <w:t xml:space="preserve">The toxicity of </w:t>
      </w:r>
      <w:proofErr w:type="spellStart"/>
      <w:r>
        <w:t>trastuzumab</w:t>
      </w:r>
      <w:proofErr w:type="spellEnd"/>
      <w:r>
        <w:t xml:space="preserve"> in the 8-year follow-up analysis of the HERA study is generally consistent with that previously described for the drug. The risk of cardiac failure and infusion reactions is increased with </w:t>
      </w:r>
      <w:proofErr w:type="spellStart"/>
      <w:r>
        <w:t>trastuzumab</w:t>
      </w:r>
      <w:proofErr w:type="spellEnd"/>
      <w:r>
        <w:t xml:space="preserve"> treatment. The two-year </w:t>
      </w:r>
      <w:proofErr w:type="spellStart"/>
      <w:r>
        <w:t>trastuzumab</w:t>
      </w:r>
      <w:proofErr w:type="spellEnd"/>
      <w:r>
        <w:t xml:space="preserve"> regimen is associated with greater toxicity than the 1-year regimen. The new data suggest that </w:t>
      </w:r>
      <w:proofErr w:type="spellStart"/>
      <w:r>
        <w:t>trastuzumab</w:t>
      </w:r>
      <w:proofErr w:type="spellEnd"/>
      <w:r>
        <w:t xml:space="preserve"> treatment may be associated with an increased risk of malignancy. The sponsor should be asked to comment on this issue.</w:t>
      </w:r>
    </w:p>
    <w:p w:rsidR="00901E80" w:rsidRDefault="00901E80" w:rsidP="00FE2347">
      <w:r>
        <w:t>The sponsor proposes to update the PI by including information on the negative safety aspects of the 2-year regimen and by updating data on cardiac toxicity. These changes are generally acceptable.</w:t>
      </w:r>
    </w:p>
    <w:p w:rsidR="00C22678" w:rsidRDefault="00C22678" w:rsidP="007123A4">
      <w:pPr>
        <w:pStyle w:val="Heading2"/>
      </w:pPr>
      <w:bookmarkStart w:id="326" w:name="_Toc423350793"/>
      <w:r>
        <w:lastRenderedPageBreak/>
        <w:t>First round benefit-risk assessment</w:t>
      </w:r>
      <w:bookmarkEnd w:id="326"/>
    </w:p>
    <w:p w:rsidR="00901E80" w:rsidRDefault="00901E80" w:rsidP="007123A4">
      <w:pPr>
        <w:pStyle w:val="Heading3"/>
      </w:pPr>
      <w:bookmarkStart w:id="327" w:name="_Toc272679704"/>
      <w:bookmarkStart w:id="328" w:name="_Toc423350794"/>
      <w:r>
        <w:t>Subcutaneous administration</w:t>
      </w:r>
      <w:bookmarkEnd w:id="327"/>
      <w:bookmarkEnd w:id="328"/>
    </w:p>
    <w:p w:rsidR="00901E80" w:rsidRDefault="00901E80" w:rsidP="007123A4">
      <w:pPr>
        <w:pStyle w:val="Heading4"/>
      </w:pPr>
      <w:bookmarkStart w:id="329" w:name="_Toc272679705"/>
      <w:bookmarkStart w:id="330" w:name="_Toc290846331"/>
      <w:bookmarkStart w:id="331" w:name="_Toc272414693"/>
      <w:bookmarkStart w:id="332" w:name="_Ref272160836"/>
      <w:bookmarkStart w:id="333" w:name="_Toc241374331"/>
      <w:bookmarkStart w:id="334" w:name="_Toc236802592"/>
      <w:r>
        <w:t>First round assessment of benefits</w:t>
      </w:r>
      <w:bookmarkEnd w:id="329"/>
      <w:bookmarkEnd w:id="330"/>
      <w:bookmarkEnd w:id="331"/>
      <w:bookmarkEnd w:id="332"/>
      <w:bookmarkEnd w:id="333"/>
      <w:bookmarkEnd w:id="334"/>
    </w:p>
    <w:p w:rsidR="00901E80" w:rsidRDefault="00901E80" w:rsidP="00FE2347">
      <w:r>
        <w:t xml:space="preserve">The benefits of SC administration of </w:t>
      </w:r>
      <w:proofErr w:type="spellStart"/>
      <w:r>
        <w:t>trastuzumab</w:t>
      </w:r>
      <w:proofErr w:type="spellEnd"/>
      <w:r>
        <w:t xml:space="preserve"> are:</w:t>
      </w:r>
    </w:p>
    <w:p w:rsidR="00901E80" w:rsidRPr="00845193" w:rsidRDefault="00901E80" w:rsidP="00FE2347">
      <w:pPr>
        <w:pStyle w:val="ListBullet"/>
      </w:pPr>
      <w:r w:rsidRPr="00845193">
        <w:t>At least non-inferior efficacy to that obtained with IV administration;</w:t>
      </w:r>
    </w:p>
    <w:p w:rsidR="00901E80" w:rsidRPr="00845193" w:rsidRDefault="00901E80" w:rsidP="00FE2347">
      <w:pPr>
        <w:pStyle w:val="ListBullet"/>
      </w:pPr>
      <w:r w:rsidRPr="00845193">
        <w:t>Patient convenience, in terms of shorter administration times;</w:t>
      </w:r>
    </w:p>
    <w:p w:rsidR="00901E80" w:rsidRDefault="00901E80" w:rsidP="00FE2347">
      <w:pPr>
        <w:pStyle w:val="ListBullet"/>
      </w:pPr>
      <w:r w:rsidRPr="00845193">
        <w:t>Avoidance of IV cannulation, at least in subjects receiving</w:t>
      </w:r>
      <w:r>
        <w:t xml:space="preserve"> </w:t>
      </w:r>
      <w:proofErr w:type="spellStart"/>
      <w:r>
        <w:t>trastuzumab</w:t>
      </w:r>
      <w:proofErr w:type="spellEnd"/>
      <w:r>
        <w:t xml:space="preserve"> monotherapy.</w:t>
      </w:r>
    </w:p>
    <w:p w:rsidR="00901E80" w:rsidRDefault="00901E80" w:rsidP="007123A4">
      <w:pPr>
        <w:pStyle w:val="Heading4"/>
      </w:pPr>
      <w:bookmarkStart w:id="335" w:name="_Toc272679706"/>
      <w:bookmarkStart w:id="336" w:name="_Toc290846332"/>
      <w:bookmarkStart w:id="337" w:name="_Toc272414694"/>
      <w:bookmarkStart w:id="338" w:name="_Ref272160964"/>
      <w:bookmarkStart w:id="339" w:name="_Toc241374334"/>
      <w:bookmarkStart w:id="340" w:name="_Toc236802596"/>
      <w:r>
        <w:t xml:space="preserve">First round </w:t>
      </w:r>
      <w:r w:rsidRPr="00845193">
        <w:t>assessment</w:t>
      </w:r>
      <w:r>
        <w:t xml:space="preserve"> of risks</w:t>
      </w:r>
      <w:bookmarkEnd w:id="335"/>
      <w:bookmarkEnd w:id="336"/>
      <w:bookmarkEnd w:id="337"/>
      <w:bookmarkEnd w:id="338"/>
      <w:bookmarkEnd w:id="339"/>
      <w:bookmarkEnd w:id="340"/>
    </w:p>
    <w:p w:rsidR="00901E80" w:rsidRDefault="00901E80" w:rsidP="00FE2347">
      <w:r>
        <w:t xml:space="preserve">The risks of SC administration of </w:t>
      </w:r>
      <w:proofErr w:type="spellStart"/>
      <w:r>
        <w:t>trastuzumab</w:t>
      </w:r>
      <w:proofErr w:type="spellEnd"/>
      <w:r>
        <w:t xml:space="preserve"> are:</w:t>
      </w:r>
    </w:p>
    <w:p w:rsidR="00901E80" w:rsidRPr="00845193" w:rsidRDefault="00901E80" w:rsidP="00FE2347">
      <w:pPr>
        <w:pStyle w:val="ListBullet"/>
      </w:pPr>
      <w:r w:rsidRPr="00845193">
        <w:t>A possible 50% increase in the incidence of serious AEs compared to IV administration;</w:t>
      </w:r>
    </w:p>
    <w:p w:rsidR="00901E80" w:rsidRPr="00845193" w:rsidRDefault="00901E80" w:rsidP="00FE2347">
      <w:pPr>
        <w:pStyle w:val="ListBullet"/>
      </w:pPr>
      <w:r w:rsidRPr="00845193">
        <w:t>Infrequent injection site reactions which are mild or moderate in severity;</w:t>
      </w:r>
    </w:p>
    <w:p w:rsidR="00901E80" w:rsidRPr="00845193" w:rsidRDefault="00901E80" w:rsidP="00FE2347">
      <w:pPr>
        <w:pStyle w:val="ListBullet"/>
      </w:pPr>
      <w:r w:rsidRPr="00845193">
        <w:t>An increased risk of the development anti-</w:t>
      </w:r>
      <w:proofErr w:type="spellStart"/>
      <w:r w:rsidRPr="00845193">
        <w:t>trastuzumab</w:t>
      </w:r>
      <w:proofErr w:type="spellEnd"/>
      <w:r w:rsidRPr="00845193">
        <w:t xml:space="preserve"> antibodies. The available evidence suggests that antibody development is not associated with clinically significant consequences.</w:t>
      </w:r>
    </w:p>
    <w:p w:rsidR="00901E80" w:rsidRDefault="00901E80" w:rsidP="007123A4">
      <w:pPr>
        <w:pStyle w:val="Heading4"/>
      </w:pPr>
      <w:bookmarkStart w:id="341" w:name="_Toc272679707"/>
      <w:bookmarkStart w:id="342" w:name="_Toc290846333"/>
      <w:bookmarkStart w:id="343" w:name="_Toc272414695"/>
      <w:bookmarkStart w:id="344" w:name="_Toc241374335"/>
      <w:bookmarkStart w:id="345" w:name="_Toc236802597"/>
      <w:r>
        <w:t>First round assessment of benefit-risk balance</w:t>
      </w:r>
      <w:bookmarkEnd w:id="341"/>
      <w:bookmarkEnd w:id="342"/>
      <w:bookmarkEnd w:id="343"/>
      <w:bookmarkEnd w:id="344"/>
      <w:bookmarkEnd w:id="345"/>
    </w:p>
    <w:p w:rsidR="00901E80" w:rsidRDefault="00901E80" w:rsidP="00FE2347">
      <w:r>
        <w:t>It can be reasonably concluded that SC administration will be as efficacious as IV administration. However, the apparent increase in the incidence of SAEs compared to IV administration raises concerns regarding safety.</w:t>
      </w:r>
    </w:p>
    <w:p w:rsidR="00901E80" w:rsidRDefault="00901E80" w:rsidP="00FE2347">
      <w:r>
        <w:t xml:space="preserve">The efficacy benefits of </w:t>
      </w:r>
      <w:proofErr w:type="spellStart"/>
      <w:r>
        <w:t>trastuzumab</w:t>
      </w:r>
      <w:proofErr w:type="spellEnd"/>
      <w:r>
        <w:t xml:space="preserve"> treatment in patients with HER2+ve breast cancer are substantial. For example, in the adjuvant setting, </w:t>
      </w:r>
      <w:proofErr w:type="spellStart"/>
      <w:r>
        <w:t>trastuzumab</w:t>
      </w:r>
      <w:proofErr w:type="spellEnd"/>
      <w:r>
        <w:t xml:space="preserve"> treatment is associated with significant improvements in disease-free and overall survival. Even if the increased SAE rate with SC use were a real phenomenon, the benefits of its use would still outweigh its risks. However the benefit-risk balance of SC administration would be less favourable </w:t>
      </w:r>
      <w:r w:rsidR="0028372E">
        <w:t>than that of IV administration.</w:t>
      </w:r>
    </w:p>
    <w:p w:rsidR="00901E80" w:rsidRDefault="00901E80" w:rsidP="00FE2347">
      <w:r>
        <w:t>The benefits of convenience and avoidance of IV cannulation may be important is some patients. On balance, it is considered that the application for SC administration could be approved. However, it is recommended that the product information for the SC formulation should include an adequate statement in the ‘Precautions’ section alerting prescribers to the possible increased risk of serious AEs.</w:t>
      </w:r>
    </w:p>
    <w:p w:rsidR="00901E80" w:rsidRDefault="00901E80" w:rsidP="007123A4">
      <w:pPr>
        <w:pStyle w:val="Heading3"/>
      </w:pPr>
      <w:bookmarkStart w:id="346" w:name="_Toc272679708"/>
      <w:bookmarkStart w:id="347" w:name="_Toc423350795"/>
      <w:r>
        <w:t>PI update (HERA Study)</w:t>
      </w:r>
      <w:bookmarkEnd w:id="346"/>
      <w:bookmarkEnd w:id="347"/>
    </w:p>
    <w:p w:rsidR="00901E80" w:rsidRDefault="00901E80" w:rsidP="007123A4">
      <w:pPr>
        <w:pStyle w:val="Heading4"/>
      </w:pPr>
      <w:bookmarkStart w:id="348" w:name="_Toc272679709"/>
      <w:r>
        <w:t>First round assessment of benefits</w:t>
      </w:r>
      <w:bookmarkEnd w:id="348"/>
    </w:p>
    <w:p w:rsidR="00901E80" w:rsidRDefault="00901E80" w:rsidP="00FE2347">
      <w:r>
        <w:t>The 8-year analysis of the HERA study confirmed that use of the drug in the adjuvant setting is associated with significant improvements in disease-free survival and overall survival.</w:t>
      </w:r>
    </w:p>
    <w:p w:rsidR="00901E80" w:rsidRDefault="00901E80" w:rsidP="007123A4">
      <w:pPr>
        <w:pStyle w:val="Heading4"/>
      </w:pPr>
      <w:bookmarkStart w:id="349" w:name="_Toc272679710"/>
      <w:r>
        <w:t>First round assessment of risks</w:t>
      </w:r>
      <w:bookmarkEnd w:id="349"/>
    </w:p>
    <w:p w:rsidR="00901E80" w:rsidRDefault="00901E80" w:rsidP="00FE2347">
      <w:r>
        <w:t xml:space="preserve">The 8-year analysis indicates that the toxicity profile of </w:t>
      </w:r>
      <w:proofErr w:type="spellStart"/>
      <w:r>
        <w:t>trastuzumab</w:t>
      </w:r>
      <w:proofErr w:type="spellEnd"/>
      <w:r>
        <w:t xml:space="preserve"> is generally consistent with that previously documented.</w:t>
      </w:r>
    </w:p>
    <w:p w:rsidR="00901E80" w:rsidRDefault="00901E80" w:rsidP="007123A4">
      <w:pPr>
        <w:pStyle w:val="Heading4"/>
      </w:pPr>
      <w:bookmarkStart w:id="350" w:name="_Toc272679711"/>
      <w:r>
        <w:t>First round assessment of benefit-risk balance</w:t>
      </w:r>
      <w:bookmarkEnd w:id="350"/>
    </w:p>
    <w:p w:rsidR="00901E80" w:rsidRDefault="00901E80" w:rsidP="00FE2347">
      <w:r>
        <w:t xml:space="preserve">The benefit-risk balance of </w:t>
      </w:r>
      <w:proofErr w:type="spellStart"/>
      <w:r>
        <w:t>trastuzumab</w:t>
      </w:r>
      <w:proofErr w:type="spellEnd"/>
      <w:r>
        <w:t xml:space="preserve"> in the adjuvant setting remains favourable.</w:t>
      </w:r>
    </w:p>
    <w:p w:rsidR="00C22678" w:rsidRDefault="00901E80" w:rsidP="007123A4">
      <w:pPr>
        <w:pStyle w:val="Heading2"/>
      </w:pPr>
      <w:r>
        <w:lastRenderedPageBreak/>
        <w:t xml:space="preserve"> </w:t>
      </w:r>
      <w:bookmarkStart w:id="351" w:name="_Toc423350796"/>
      <w:r w:rsidR="00C22678">
        <w:t>First round recommendation regarding authorisation</w:t>
      </w:r>
      <w:bookmarkEnd w:id="351"/>
    </w:p>
    <w:p w:rsidR="00901E80" w:rsidRDefault="00901E80" w:rsidP="007123A4">
      <w:pPr>
        <w:pStyle w:val="Heading3"/>
      </w:pPr>
      <w:bookmarkStart w:id="352" w:name="_Toc272679713"/>
      <w:bookmarkStart w:id="353" w:name="_Toc423350797"/>
      <w:r>
        <w:t>Subcutaneous administration</w:t>
      </w:r>
      <w:bookmarkEnd w:id="352"/>
      <w:bookmarkEnd w:id="353"/>
    </w:p>
    <w:p w:rsidR="00901E80" w:rsidRDefault="00901E80" w:rsidP="00FE2347">
      <w:r w:rsidRPr="00845193">
        <w:t>It is recommended that the application for the subcutaneous route of administration be approved, subject to changes in the product information outlined below</w:t>
      </w:r>
      <w:r>
        <w:t>.</w:t>
      </w:r>
    </w:p>
    <w:p w:rsidR="00901E80" w:rsidRDefault="00901E80" w:rsidP="007123A4">
      <w:pPr>
        <w:pStyle w:val="Heading3"/>
      </w:pPr>
      <w:bookmarkStart w:id="354" w:name="_Toc272679714"/>
      <w:bookmarkStart w:id="355" w:name="_Toc423350798"/>
      <w:r>
        <w:t>PI update (HERA Study)</w:t>
      </w:r>
      <w:bookmarkEnd w:id="354"/>
      <w:bookmarkEnd w:id="355"/>
    </w:p>
    <w:p w:rsidR="00901E80" w:rsidRDefault="00901E80" w:rsidP="00FE2347">
      <w:r>
        <w:t>It is recommended that the proposed changes to the product information be approved, subject to the changes outlined below.</w:t>
      </w:r>
    </w:p>
    <w:p w:rsidR="00C22678" w:rsidRDefault="00C22678" w:rsidP="007123A4">
      <w:pPr>
        <w:pStyle w:val="Heading2"/>
      </w:pPr>
      <w:bookmarkStart w:id="356" w:name="_Toc423350799"/>
      <w:r>
        <w:t>Clinical questions</w:t>
      </w:r>
      <w:bookmarkEnd w:id="356"/>
    </w:p>
    <w:p w:rsidR="00901E80" w:rsidRDefault="00901E80" w:rsidP="007123A4">
      <w:pPr>
        <w:pStyle w:val="Heading3"/>
      </w:pPr>
      <w:bookmarkStart w:id="357" w:name="_Toc272679720"/>
      <w:bookmarkStart w:id="358" w:name="_Toc423350800"/>
      <w:bookmarkStart w:id="359" w:name="_Toc290846344"/>
      <w:bookmarkStart w:id="360" w:name="_Toc272414704"/>
      <w:r>
        <w:t>Pharmacokinetics</w:t>
      </w:r>
      <w:bookmarkEnd w:id="357"/>
      <w:bookmarkEnd w:id="358"/>
    </w:p>
    <w:p w:rsidR="00901E80" w:rsidRDefault="00845193" w:rsidP="00FE2347">
      <w:pPr>
        <w:pStyle w:val="Numberbullet0"/>
        <w:numPr>
          <w:ilvl w:val="0"/>
          <w:numId w:val="9"/>
        </w:numPr>
      </w:pPr>
      <w:r>
        <w:t>In S</w:t>
      </w:r>
      <w:r w:rsidR="00901E80">
        <w:t xml:space="preserve">tudy BP22023, four female subjects who participated in Cohort 2 of Part 1 (6 mg/kg IV) also </w:t>
      </w:r>
      <w:r w:rsidR="00901E80" w:rsidRPr="00FE2347">
        <w:t>participated</w:t>
      </w:r>
      <w:r w:rsidR="00901E80">
        <w:t xml:space="preserve"> in Cohort </w:t>
      </w:r>
      <w:proofErr w:type="gramStart"/>
      <w:r w:rsidR="00901E80">
        <w:t>A</w:t>
      </w:r>
      <w:proofErr w:type="gramEnd"/>
      <w:r w:rsidR="00901E80">
        <w:t xml:space="preserve"> of Part 2 (8 mg/kg SC). Please provide an analysis of PK parameters observed in these four subjects, including an estimate of absolute bioavailability.</w:t>
      </w:r>
    </w:p>
    <w:p w:rsidR="00901E80" w:rsidRDefault="00901E80" w:rsidP="007123A4">
      <w:pPr>
        <w:pStyle w:val="Heading3"/>
      </w:pPr>
      <w:bookmarkStart w:id="361" w:name="_Toc272679721"/>
      <w:bookmarkStart w:id="362" w:name="_Toc423350801"/>
      <w:r>
        <w:t>Efficacy</w:t>
      </w:r>
      <w:bookmarkEnd w:id="359"/>
      <w:bookmarkEnd w:id="360"/>
      <w:bookmarkEnd w:id="361"/>
      <w:bookmarkEnd w:id="362"/>
    </w:p>
    <w:p w:rsidR="00901E80" w:rsidRDefault="00901E80" w:rsidP="00FE2347">
      <w:pPr>
        <w:pStyle w:val="Numberbullet0"/>
      </w:pPr>
      <w:r>
        <w:t xml:space="preserve">In </w:t>
      </w:r>
      <w:r w:rsidR="00845193">
        <w:t>S</w:t>
      </w:r>
      <w:r>
        <w:t xml:space="preserve">tudy BO22227, it appears that the pathologist undertaking the assessment of </w:t>
      </w:r>
      <w:proofErr w:type="spellStart"/>
      <w:r>
        <w:t>pCR</w:t>
      </w:r>
      <w:proofErr w:type="spellEnd"/>
      <w:r>
        <w:t xml:space="preserve"> was not blinded to study </w:t>
      </w:r>
      <w:r w:rsidRPr="00FE2347">
        <w:t>treatment</w:t>
      </w:r>
      <w:r>
        <w:t xml:space="preserve">. Blinded assessment would have been preferable. According to the study protocol, </w:t>
      </w:r>
      <w:proofErr w:type="spellStart"/>
      <w:r>
        <w:t>pCR</w:t>
      </w:r>
      <w:proofErr w:type="spellEnd"/>
      <w:r>
        <w:t xml:space="preserve"> was to be assessed by the local pathologist following surgery and would not be independently reviewed. However, the published version of the study states that: </w:t>
      </w:r>
      <w:r w:rsidR="00041C9E">
        <w:t>‘</w:t>
      </w:r>
      <w:r>
        <w:t>Review of pathological tumour assessment results was done by a masked medical reviewer</w:t>
      </w:r>
      <w:r w:rsidR="00041C9E">
        <w:t>’</w:t>
      </w:r>
      <w:r>
        <w:t xml:space="preserve">. Please clarify whether any central blinded assessment of </w:t>
      </w:r>
      <w:proofErr w:type="spellStart"/>
      <w:r>
        <w:t>pCR</w:t>
      </w:r>
      <w:proofErr w:type="spellEnd"/>
      <w:r>
        <w:t xml:space="preserve"> was undertaken in the study. If no central blinded assessment was undertaken, please provide a justification for such a study design.</w:t>
      </w:r>
    </w:p>
    <w:p w:rsidR="00901E80" w:rsidRDefault="00901E80" w:rsidP="00206F01">
      <w:pPr>
        <w:pStyle w:val="Numberbullet0"/>
      </w:pPr>
      <w:r>
        <w:t xml:space="preserve">A further analysis of </w:t>
      </w:r>
      <w:r w:rsidR="00845193">
        <w:t>S</w:t>
      </w:r>
      <w:r>
        <w:t>tudy BO22227 was planned when all subjects had completed 2 years of treatment-free follow-up. Please advise when this analysis will be available.</w:t>
      </w:r>
    </w:p>
    <w:p w:rsidR="00901E80" w:rsidRDefault="00901E80" w:rsidP="00206F01">
      <w:pPr>
        <w:pStyle w:val="Numberbullet0"/>
      </w:pPr>
      <w:r>
        <w:t xml:space="preserve">In </w:t>
      </w:r>
      <w:r w:rsidR="00845193">
        <w:t>S</w:t>
      </w:r>
      <w:r>
        <w:t xml:space="preserve">tudy BO22227, a high proportion of subjects had clinical lymph node involvement at baseline. What proportion of subjects in each arm had histological confirmation of lymph node involvement prior to </w:t>
      </w:r>
      <w:proofErr w:type="spellStart"/>
      <w:r>
        <w:t>neoadjuvant</w:t>
      </w:r>
      <w:proofErr w:type="spellEnd"/>
      <w:r>
        <w:t xml:space="preserve"> treatment (</w:t>
      </w:r>
      <w:r w:rsidR="00845193">
        <w:t>for example,</w:t>
      </w:r>
      <w:r>
        <w:t xml:space="preserve"> by sentinel lymph node biopsy or fine needle aspiration)?  In this subgroup of patients, what was the total pathological complete response (</w:t>
      </w:r>
      <w:proofErr w:type="spellStart"/>
      <w:r>
        <w:t>tpCR</w:t>
      </w:r>
      <w:proofErr w:type="spellEnd"/>
      <w:r>
        <w:t>) rate in each arm?</w:t>
      </w:r>
    </w:p>
    <w:p w:rsidR="00901E80" w:rsidRDefault="00901E80" w:rsidP="007123A4">
      <w:pPr>
        <w:pStyle w:val="Heading3"/>
      </w:pPr>
      <w:bookmarkStart w:id="363" w:name="_Toc272679722"/>
      <w:bookmarkStart w:id="364" w:name="_Toc290846345"/>
      <w:bookmarkStart w:id="365" w:name="_Toc272414705"/>
      <w:bookmarkStart w:id="366" w:name="_Toc423350802"/>
      <w:r>
        <w:t>Safety</w:t>
      </w:r>
      <w:bookmarkEnd w:id="363"/>
      <w:bookmarkEnd w:id="364"/>
      <w:bookmarkEnd w:id="365"/>
      <w:bookmarkEnd w:id="366"/>
    </w:p>
    <w:p w:rsidR="00901E80" w:rsidRDefault="00901E80" w:rsidP="00FE2347">
      <w:pPr>
        <w:pStyle w:val="Numberbullet0"/>
      </w:pPr>
      <w:r>
        <w:t xml:space="preserve">In the HERA study there was an excess of neoplastic serious AEs in the </w:t>
      </w:r>
      <w:proofErr w:type="spellStart"/>
      <w:r>
        <w:t>trastuzumab</w:t>
      </w:r>
      <w:proofErr w:type="spellEnd"/>
      <w:r>
        <w:t xml:space="preserve"> arms, </w:t>
      </w:r>
      <w:r w:rsidRPr="00FE2347">
        <w:t>with</w:t>
      </w:r>
      <w:r>
        <w:t xml:space="preserve"> notable increases in the incidence of contralateral breast cancer, melanoma and thyroid cancer, as shown in </w:t>
      </w:r>
      <w:r w:rsidR="00845193">
        <w:t>T</w:t>
      </w:r>
      <w:r>
        <w:t>able</w:t>
      </w:r>
      <w:r w:rsidR="00845193">
        <w:t xml:space="preserve"> 50 below.</w:t>
      </w:r>
    </w:p>
    <w:p w:rsidR="00845193" w:rsidRDefault="00845193" w:rsidP="00FE2347">
      <w:pPr>
        <w:pStyle w:val="Tabletitle"/>
      </w:pPr>
      <w:r>
        <w:lastRenderedPageBreak/>
        <w:t>Table 50: Incidence of contralateral breast cancer, melanoma and thyroid cancer</w:t>
      </w:r>
    </w:p>
    <w:tbl>
      <w:tblPr>
        <w:tblStyle w:val="TableTGAblue"/>
        <w:tblW w:w="0" w:type="auto"/>
        <w:tblInd w:w="108" w:type="dxa"/>
        <w:tblLook w:val="04A0" w:firstRow="1" w:lastRow="0" w:firstColumn="1" w:lastColumn="0" w:noHBand="0" w:noVBand="1"/>
      </w:tblPr>
      <w:tblGrid>
        <w:gridCol w:w="3635"/>
        <w:gridCol w:w="1801"/>
        <w:gridCol w:w="1849"/>
        <w:gridCol w:w="1849"/>
      </w:tblGrid>
      <w:tr w:rsidR="00901E80" w:rsidTr="00413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901E80" w:rsidRDefault="00901E80" w:rsidP="00FE2347">
            <w:pPr>
              <w:keepNext/>
            </w:pPr>
          </w:p>
        </w:tc>
        <w:tc>
          <w:tcPr>
            <w:tcW w:w="1688" w:type="dxa"/>
            <w:hideMark/>
          </w:tcPr>
          <w:p w:rsidR="00901E80" w:rsidRDefault="00901E80" w:rsidP="00FE2347">
            <w:pPr>
              <w:keepNext/>
              <w:cnfStyle w:val="100000000000" w:firstRow="1" w:lastRow="0" w:firstColumn="0" w:lastColumn="0" w:oddVBand="0" w:evenVBand="0" w:oddHBand="0" w:evenHBand="0" w:firstRowFirstColumn="0" w:firstRowLastColumn="0" w:lastRowFirstColumn="0" w:lastRowLastColumn="0"/>
            </w:pPr>
            <w:r>
              <w:t>Observation</w:t>
            </w:r>
          </w:p>
        </w:tc>
        <w:tc>
          <w:tcPr>
            <w:tcW w:w="1732" w:type="dxa"/>
            <w:hideMark/>
          </w:tcPr>
          <w:p w:rsidR="00901E80" w:rsidRDefault="00901E80" w:rsidP="00FE2347">
            <w:pPr>
              <w:keepNext/>
              <w:cnfStyle w:val="100000000000" w:firstRow="1" w:lastRow="0" w:firstColumn="0" w:lastColumn="0" w:oddVBand="0" w:evenVBand="0" w:oddHBand="0" w:evenHBand="0" w:firstRowFirstColumn="0" w:firstRowLastColumn="0" w:lastRowFirstColumn="0" w:lastRowLastColumn="0"/>
            </w:pPr>
            <w:r>
              <w:t>1-year</w:t>
            </w:r>
          </w:p>
          <w:p w:rsidR="00901E80" w:rsidRDefault="00901E80" w:rsidP="00FE2347">
            <w:pPr>
              <w:keepNext/>
              <w:cnfStyle w:val="100000000000" w:firstRow="1" w:lastRow="0" w:firstColumn="0" w:lastColumn="0" w:oddVBand="0" w:evenVBand="0" w:oddHBand="0" w:evenHBand="0" w:firstRowFirstColumn="0" w:firstRowLastColumn="0" w:lastRowFirstColumn="0" w:lastRowLastColumn="0"/>
            </w:pPr>
            <w:proofErr w:type="spellStart"/>
            <w:r>
              <w:t>trastuzumab</w:t>
            </w:r>
            <w:proofErr w:type="spellEnd"/>
          </w:p>
        </w:tc>
        <w:tc>
          <w:tcPr>
            <w:tcW w:w="1732" w:type="dxa"/>
            <w:hideMark/>
          </w:tcPr>
          <w:p w:rsidR="00901E80" w:rsidRDefault="00901E80" w:rsidP="00FE2347">
            <w:pPr>
              <w:keepNext/>
              <w:cnfStyle w:val="100000000000" w:firstRow="1" w:lastRow="0" w:firstColumn="0" w:lastColumn="0" w:oddVBand="0" w:evenVBand="0" w:oddHBand="0" w:evenHBand="0" w:firstRowFirstColumn="0" w:firstRowLastColumn="0" w:lastRowFirstColumn="0" w:lastRowLastColumn="0"/>
            </w:pPr>
            <w:r>
              <w:t xml:space="preserve">2-year </w:t>
            </w:r>
          </w:p>
          <w:p w:rsidR="00901E80" w:rsidRDefault="00901E80" w:rsidP="00FE2347">
            <w:pPr>
              <w:keepNext/>
              <w:cnfStyle w:val="100000000000" w:firstRow="1" w:lastRow="0" w:firstColumn="0" w:lastColumn="0" w:oddVBand="0" w:evenVBand="0" w:oddHBand="0" w:evenHBand="0" w:firstRowFirstColumn="0" w:firstRowLastColumn="0" w:lastRowFirstColumn="0" w:lastRowLastColumn="0"/>
            </w:pPr>
            <w:proofErr w:type="spellStart"/>
            <w:r>
              <w:t>trastuzumab</w:t>
            </w:r>
            <w:proofErr w:type="spellEnd"/>
          </w:p>
        </w:tc>
      </w:tr>
      <w:tr w:rsidR="00901E80" w:rsidTr="00413C07">
        <w:tc>
          <w:tcPr>
            <w:cnfStyle w:val="001000000000" w:firstRow="0" w:lastRow="0" w:firstColumn="1" w:lastColumn="0" w:oddVBand="0" w:evenVBand="0" w:oddHBand="0" w:evenHBand="0" w:firstRowFirstColumn="0" w:firstRowLastColumn="0" w:lastRowFirstColumn="0" w:lastRowLastColumn="0"/>
            <w:tcW w:w="3642" w:type="dxa"/>
            <w:hideMark/>
          </w:tcPr>
          <w:p w:rsidR="00901E80" w:rsidRDefault="00901E80" w:rsidP="00FE2347">
            <w:r>
              <w:t>All neoplasms</w:t>
            </w:r>
          </w:p>
        </w:tc>
        <w:tc>
          <w:tcPr>
            <w:tcW w:w="1688"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35</w:t>
            </w:r>
          </w:p>
        </w:tc>
        <w:tc>
          <w:tcPr>
            <w:tcW w:w="1732"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69</w:t>
            </w:r>
          </w:p>
        </w:tc>
        <w:tc>
          <w:tcPr>
            <w:tcW w:w="1732"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94</w:t>
            </w:r>
          </w:p>
        </w:tc>
      </w:tr>
      <w:tr w:rsidR="00901E80" w:rsidTr="00413C07">
        <w:tc>
          <w:tcPr>
            <w:cnfStyle w:val="001000000000" w:firstRow="0" w:lastRow="0" w:firstColumn="1" w:lastColumn="0" w:oddVBand="0" w:evenVBand="0" w:oddHBand="0" w:evenHBand="0" w:firstRowFirstColumn="0" w:firstRowLastColumn="0" w:lastRowFirstColumn="0" w:lastRowLastColumn="0"/>
            <w:tcW w:w="3642" w:type="dxa"/>
            <w:hideMark/>
          </w:tcPr>
          <w:p w:rsidR="00901E80" w:rsidRDefault="00901E80" w:rsidP="00FE2347">
            <w:r>
              <w:t xml:space="preserve"> - contralateral breast cancer</w:t>
            </w:r>
          </w:p>
        </w:tc>
        <w:tc>
          <w:tcPr>
            <w:tcW w:w="1688"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9</w:t>
            </w:r>
          </w:p>
        </w:tc>
        <w:tc>
          <w:tcPr>
            <w:tcW w:w="1732"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23</w:t>
            </w:r>
          </w:p>
        </w:tc>
        <w:tc>
          <w:tcPr>
            <w:tcW w:w="1732"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23</w:t>
            </w:r>
          </w:p>
        </w:tc>
      </w:tr>
      <w:tr w:rsidR="00901E80" w:rsidTr="00413C07">
        <w:tc>
          <w:tcPr>
            <w:cnfStyle w:val="001000000000" w:firstRow="0" w:lastRow="0" w:firstColumn="1" w:lastColumn="0" w:oddVBand="0" w:evenVBand="0" w:oddHBand="0" w:evenHBand="0" w:firstRowFirstColumn="0" w:firstRowLastColumn="0" w:lastRowFirstColumn="0" w:lastRowLastColumn="0"/>
            <w:tcW w:w="3642" w:type="dxa"/>
            <w:hideMark/>
          </w:tcPr>
          <w:p w:rsidR="00901E80" w:rsidRDefault="00901E80" w:rsidP="00FE2347">
            <w:r>
              <w:t xml:space="preserve"> - malignant melanoma</w:t>
            </w:r>
          </w:p>
        </w:tc>
        <w:tc>
          <w:tcPr>
            <w:tcW w:w="1688"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0</w:t>
            </w:r>
          </w:p>
        </w:tc>
        <w:tc>
          <w:tcPr>
            <w:tcW w:w="1732"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8</w:t>
            </w:r>
          </w:p>
        </w:tc>
        <w:tc>
          <w:tcPr>
            <w:tcW w:w="1732"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6</w:t>
            </w:r>
          </w:p>
        </w:tc>
      </w:tr>
      <w:tr w:rsidR="00901E80" w:rsidTr="00413C07">
        <w:tc>
          <w:tcPr>
            <w:cnfStyle w:val="001000000000" w:firstRow="0" w:lastRow="0" w:firstColumn="1" w:lastColumn="0" w:oddVBand="0" w:evenVBand="0" w:oddHBand="0" w:evenHBand="0" w:firstRowFirstColumn="0" w:firstRowLastColumn="0" w:lastRowFirstColumn="0" w:lastRowLastColumn="0"/>
            <w:tcW w:w="3642" w:type="dxa"/>
            <w:hideMark/>
          </w:tcPr>
          <w:p w:rsidR="00901E80" w:rsidRDefault="00901E80" w:rsidP="00FE2347">
            <w:r>
              <w:t xml:space="preserve"> - thyroid cancer</w:t>
            </w:r>
          </w:p>
        </w:tc>
        <w:tc>
          <w:tcPr>
            <w:tcW w:w="1688"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1</w:t>
            </w:r>
          </w:p>
        </w:tc>
        <w:tc>
          <w:tcPr>
            <w:tcW w:w="1732"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1</w:t>
            </w:r>
          </w:p>
        </w:tc>
        <w:tc>
          <w:tcPr>
            <w:tcW w:w="1732" w:type="dxa"/>
            <w:hideMark/>
          </w:tcPr>
          <w:p w:rsidR="00901E80" w:rsidRDefault="00901E80" w:rsidP="00FE2347">
            <w:pPr>
              <w:cnfStyle w:val="000000000000" w:firstRow="0" w:lastRow="0" w:firstColumn="0" w:lastColumn="0" w:oddVBand="0" w:evenVBand="0" w:oddHBand="0" w:evenHBand="0" w:firstRowFirstColumn="0" w:firstRowLastColumn="0" w:lastRowFirstColumn="0" w:lastRowLastColumn="0"/>
            </w:pPr>
            <w:r>
              <w:t>7</w:t>
            </w:r>
          </w:p>
        </w:tc>
      </w:tr>
    </w:tbl>
    <w:p w:rsidR="00901E80" w:rsidRDefault="00901E80" w:rsidP="00FE2347">
      <w:proofErr w:type="spellStart"/>
      <w:r>
        <w:t>Trastuzumab</w:t>
      </w:r>
      <w:proofErr w:type="spellEnd"/>
      <w:r>
        <w:t xml:space="preserve"> is not known to be associated with an increased risk of neoplasms/malignancies. Is the sponsor able to provide an explanation for these observations?</w:t>
      </w:r>
    </w:p>
    <w:p w:rsidR="00C618F7" w:rsidRDefault="00C618F7" w:rsidP="007123A4">
      <w:pPr>
        <w:pStyle w:val="Heading2"/>
      </w:pPr>
      <w:bookmarkStart w:id="367" w:name="_Toc423350803"/>
      <w:r>
        <w:t>Second round evaluation of clinical data submitted in response to questions</w:t>
      </w:r>
      <w:bookmarkEnd w:id="367"/>
    </w:p>
    <w:p w:rsidR="00901E80" w:rsidRDefault="00B96ABC" w:rsidP="007123A4">
      <w:pPr>
        <w:pStyle w:val="Heading3"/>
      </w:pPr>
      <w:bookmarkStart w:id="368" w:name="_Toc272679723"/>
      <w:bookmarkStart w:id="369" w:name="_Toc290846347"/>
      <w:bookmarkStart w:id="370" w:name="_Ref290644801"/>
      <w:bookmarkStart w:id="371" w:name="_Toc423350804"/>
      <w:r>
        <w:t xml:space="preserve">Response to </w:t>
      </w:r>
      <w:r w:rsidRPr="00845193">
        <w:t>questions</w:t>
      </w:r>
      <w:bookmarkEnd w:id="368"/>
      <w:bookmarkEnd w:id="369"/>
      <w:bookmarkEnd w:id="370"/>
      <w:bookmarkEnd w:id="371"/>
    </w:p>
    <w:p w:rsidR="00901E80" w:rsidRDefault="00901E80" w:rsidP="007123A4">
      <w:pPr>
        <w:pStyle w:val="Heading4"/>
      </w:pPr>
      <w:bookmarkStart w:id="372" w:name="_Toc272679724"/>
      <w:r>
        <w:t xml:space="preserve">Absolute </w:t>
      </w:r>
      <w:r w:rsidRPr="00B96ABC">
        <w:t>bioavailability</w:t>
      </w:r>
      <w:bookmarkEnd w:id="372"/>
    </w:p>
    <w:p w:rsidR="00901E80" w:rsidRDefault="00901E80" w:rsidP="00FE2347">
      <w:r>
        <w:t xml:space="preserve">The sponsor provided the individual PK data and estimates of absolute bioavailability for the four subjects in study BP22023 who received both SC and IV </w:t>
      </w:r>
      <w:proofErr w:type="spellStart"/>
      <w:r>
        <w:t>trastuzumab</w:t>
      </w:r>
      <w:proofErr w:type="spellEnd"/>
      <w:r>
        <w:t xml:space="preserve">. These data are shown in </w:t>
      </w:r>
      <w:r w:rsidR="00C8260E">
        <w:t>Table 51</w:t>
      </w:r>
      <w:r>
        <w:t>. Estimates of absolute bioavailability in the four subjects ranged from 44.7% to 90.3%.</w:t>
      </w:r>
    </w:p>
    <w:p w:rsidR="00845193" w:rsidRDefault="00845193" w:rsidP="002A2177">
      <w:pPr>
        <w:pStyle w:val="Tabletitle"/>
      </w:pPr>
      <w:bookmarkStart w:id="373" w:name="_Ref272652918"/>
      <w:bookmarkStart w:id="374" w:name="_Toc272679796"/>
      <w:proofErr w:type="gramStart"/>
      <w:r>
        <w:t>Table 51:</w:t>
      </w:r>
      <w:bookmarkEnd w:id="373"/>
      <w:r>
        <w:t xml:space="preserve"> Estimates of absolute bioavailability</w:t>
      </w:r>
      <w:bookmarkEnd w:id="374"/>
      <w:r>
        <w:t>.</w:t>
      </w:r>
      <w:proofErr w:type="gramEnd"/>
    </w:p>
    <w:p w:rsidR="00845193" w:rsidRDefault="00C8260E" w:rsidP="00C8260E">
      <w:r>
        <w:rPr>
          <w:noProof/>
          <w:lang w:eastAsia="en-AU"/>
        </w:rPr>
        <w:drawing>
          <wp:inline distT="0" distB="0" distL="0" distR="0" wp14:anchorId="217A36AA" wp14:editId="688FD040">
            <wp:extent cx="4206535" cy="3380509"/>
            <wp:effectExtent l="0" t="0" r="0" b="0"/>
            <wp:docPr id="88" name="Picture 88" descr="Table 51: Estimates of absolute bio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210743" cy="3383891"/>
                    </a:xfrm>
                    <a:prstGeom prst="rect">
                      <a:avLst/>
                    </a:prstGeom>
                  </pic:spPr>
                </pic:pic>
              </a:graphicData>
            </a:graphic>
          </wp:inline>
        </w:drawing>
      </w:r>
    </w:p>
    <w:p w:rsidR="00901E80" w:rsidRDefault="00901E80" w:rsidP="007123A4">
      <w:pPr>
        <w:pStyle w:val="Heading4"/>
      </w:pPr>
      <w:bookmarkStart w:id="375" w:name="_Toc272679725"/>
      <w:r>
        <w:lastRenderedPageBreak/>
        <w:t xml:space="preserve">Blinding of </w:t>
      </w:r>
      <w:proofErr w:type="spellStart"/>
      <w:r>
        <w:t>pCR</w:t>
      </w:r>
      <w:proofErr w:type="spellEnd"/>
      <w:r>
        <w:t xml:space="preserve"> assessment</w:t>
      </w:r>
      <w:bookmarkEnd w:id="375"/>
    </w:p>
    <w:p w:rsidR="00901E80" w:rsidRDefault="00901E80" w:rsidP="00FE2347">
      <w:r>
        <w:t xml:space="preserve">The sponsor confirmed that blinding of local pathologists to treatment allocation was </w:t>
      </w:r>
      <w:r>
        <w:rPr>
          <w:u w:val="single"/>
        </w:rPr>
        <w:t>not</w:t>
      </w:r>
      <w:r>
        <w:t xml:space="preserve"> a component of the study protocol. In justifying the absence of blinding the sponsor made the following points:</w:t>
      </w:r>
    </w:p>
    <w:p w:rsidR="00901E80" w:rsidRPr="00C8260E" w:rsidRDefault="00901E80" w:rsidP="00FE2347">
      <w:pPr>
        <w:pStyle w:val="ListBullet"/>
      </w:pPr>
      <w:r w:rsidRPr="00C8260E">
        <w:t xml:space="preserve">In other large </w:t>
      </w:r>
      <w:proofErr w:type="spellStart"/>
      <w:r w:rsidRPr="00C8260E">
        <w:t>neoadjuvant</w:t>
      </w:r>
      <w:proofErr w:type="spellEnd"/>
      <w:r w:rsidRPr="00C8260E">
        <w:t xml:space="preserve"> breast cancer trials (that used </w:t>
      </w:r>
      <w:proofErr w:type="spellStart"/>
      <w:r w:rsidRPr="00C8260E">
        <w:t>pCR</w:t>
      </w:r>
      <w:proofErr w:type="spellEnd"/>
      <w:r w:rsidRPr="00C8260E">
        <w:t xml:space="preserve"> as an endpoint), </w:t>
      </w:r>
      <w:proofErr w:type="spellStart"/>
      <w:r w:rsidRPr="00C8260E">
        <w:t>unblinded</w:t>
      </w:r>
      <w:proofErr w:type="spellEnd"/>
      <w:r w:rsidRPr="00C8260E">
        <w:t xml:space="preserve"> local pathologists assessed </w:t>
      </w:r>
      <w:proofErr w:type="spellStart"/>
      <w:r w:rsidRPr="00C8260E">
        <w:t>pCR</w:t>
      </w:r>
      <w:proofErr w:type="spellEnd"/>
      <w:r w:rsidRPr="00C8260E">
        <w:t xml:space="preserve">. Examples cited were the </w:t>
      </w:r>
      <w:proofErr w:type="spellStart"/>
      <w:r w:rsidRPr="00C8260E">
        <w:t>Geparquattro</w:t>
      </w:r>
      <w:proofErr w:type="spellEnd"/>
      <w:r w:rsidRPr="00C8260E">
        <w:t xml:space="preserve">, </w:t>
      </w:r>
      <w:proofErr w:type="spellStart"/>
      <w:r w:rsidRPr="00C8260E">
        <w:t>GeparQuinto</w:t>
      </w:r>
      <w:proofErr w:type="spellEnd"/>
      <w:r w:rsidRPr="00C8260E">
        <w:t>, NOAH, NEOSPHERE, and Neo-ALTTO trials.</w:t>
      </w:r>
    </w:p>
    <w:p w:rsidR="00901E80" w:rsidRPr="00C8260E" w:rsidRDefault="00901E80" w:rsidP="00FE2347">
      <w:pPr>
        <w:pStyle w:val="ListBullet"/>
      </w:pPr>
      <w:r w:rsidRPr="00C8260E">
        <w:t xml:space="preserve">There was a standard definition for </w:t>
      </w:r>
      <w:proofErr w:type="spellStart"/>
      <w:r w:rsidRPr="00C8260E">
        <w:t>pCR</w:t>
      </w:r>
      <w:proofErr w:type="spellEnd"/>
      <w:r w:rsidRPr="00C8260E">
        <w:t xml:space="preserve"> included in the protocol, along with guidelines for assessing pathological response. The sponsor argues that these measures would have ensured</w:t>
      </w:r>
      <w:r w:rsidR="0028372E">
        <w:t xml:space="preserve"> objectivity in </w:t>
      </w:r>
      <w:proofErr w:type="spellStart"/>
      <w:r w:rsidR="0028372E">
        <w:t>pCR</w:t>
      </w:r>
      <w:proofErr w:type="spellEnd"/>
      <w:r w:rsidR="0028372E">
        <w:t xml:space="preserve"> assessment.</w:t>
      </w:r>
    </w:p>
    <w:p w:rsidR="00901E80" w:rsidRPr="00C8260E" w:rsidRDefault="00901E80" w:rsidP="00FE2347">
      <w:pPr>
        <w:pStyle w:val="ListBullet"/>
      </w:pPr>
      <w:r w:rsidRPr="00C8260E">
        <w:t>There were also standard procedures in place for communication between investigators and pathologists to ensure accurate and comprehensive collection of information from pathologists.</w:t>
      </w:r>
    </w:p>
    <w:p w:rsidR="00901E80" w:rsidRDefault="00901E80" w:rsidP="00FE2347">
      <w:pPr>
        <w:pStyle w:val="ListBullet"/>
      </w:pPr>
      <w:r w:rsidRPr="00C8260E">
        <w:t xml:space="preserve">The sponsor retrospectively surveyed all investigators to determine whether existing procedures in operation at their institution would have resulted in pathologists being blinded to treatment allocation. Presumably blinding would have resulted from pathologists not being provided with information on treatment allocation at the time of tumour pathology assessment. The investigators were asked the following question: </w:t>
      </w:r>
      <w:r w:rsidR="00041C9E" w:rsidRPr="00C8260E">
        <w:t>‘</w:t>
      </w:r>
      <w:r w:rsidRPr="00C8260E">
        <w:t xml:space="preserve">Was your local pathologist blinded to treatment arm information on </w:t>
      </w:r>
      <w:proofErr w:type="spellStart"/>
      <w:r w:rsidRPr="00C8260E">
        <w:t>HannaH</w:t>
      </w:r>
      <w:proofErr w:type="spellEnd"/>
      <w:r w:rsidRPr="00C8260E">
        <w:t>?</w:t>
      </w:r>
      <w:r w:rsidR="00041C9E" w:rsidRPr="00C8260E">
        <w:t>’</w:t>
      </w:r>
      <w:r w:rsidRPr="00C8260E">
        <w:t xml:space="preserve"> Results of this survey are shown in the following table</w:t>
      </w:r>
      <w:r w:rsidR="00C8260E">
        <w:t xml:space="preserve"> (Table 52)</w:t>
      </w:r>
      <w:r w:rsidRPr="00C8260E">
        <w:t>:</w:t>
      </w:r>
    </w:p>
    <w:p w:rsidR="00901E80" w:rsidRDefault="00C8260E" w:rsidP="002A2177">
      <w:pPr>
        <w:pStyle w:val="Tabletitle"/>
      </w:pPr>
      <w:r>
        <w:t>Table 52: Survey results</w:t>
      </w:r>
      <w:r w:rsidR="00901E80">
        <w:rPr>
          <w:noProof/>
          <w:lang w:eastAsia="en-AU"/>
        </w:rPr>
        <w:drawing>
          <wp:inline distT="0" distB="0" distL="0" distR="0" wp14:anchorId="703525CD" wp14:editId="41F821A8">
            <wp:extent cx="4904509" cy="984210"/>
            <wp:effectExtent l="0" t="0" r="0" b="0"/>
            <wp:docPr id="3" name="Picture 3" descr="Table 52: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06765" cy="984663"/>
                    </a:xfrm>
                    <a:prstGeom prst="rect">
                      <a:avLst/>
                    </a:prstGeom>
                    <a:noFill/>
                    <a:ln>
                      <a:noFill/>
                    </a:ln>
                  </pic:spPr>
                </pic:pic>
              </a:graphicData>
            </a:graphic>
          </wp:inline>
        </w:drawing>
      </w:r>
    </w:p>
    <w:p w:rsidR="00901E80" w:rsidRPr="00C8260E" w:rsidRDefault="002A2177" w:rsidP="00F57A62">
      <w:pPr>
        <w:pStyle w:val="Comment"/>
      </w:pPr>
      <w:r w:rsidRPr="002A2177">
        <w:rPr>
          <w:b/>
        </w:rPr>
        <w:t>Comment:</w:t>
      </w:r>
      <w:r>
        <w:t xml:space="preserve"> </w:t>
      </w:r>
      <w:r w:rsidR="00901E80" w:rsidRPr="00C8260E">
        <w:t xml:space="preserve">The published versions of the </w:t>
      </w:r>
      <w:proofErr w:type="spellStart"/>
      <w:r w:rsidR="00901E80" w:rsidRPr="00C8260E">
        <w:t>GeparQuinto</w:t>
      </w:r>
      <w:proofErr w:type="spellEnd"/>
      <w:r w:rsidR="00901E80" w:rsidRPr="00C8260E">
        <w:t xml:space="preserve"> and Neo-ALTTO studies state that pathologists/outcome assessors were masked to treatment allocation. In the NOAH study, </w:t>
      </w:r>
      <w:proofErr w:type="spellStart"/>
      <w:r w:rsidR="00901E80" w:rsidRPr="00C8260E">
        <w:t>pCR</w:t>
      </w:r>
      <w:proofErr w:type="spellEnd"/>
      <w:r w:rsidR="00901E80" w:rsidRPr="00C8260E">
        <w:t xml:space="preserve"> was only a secondary endpoint.</w:t>
      </w:r>
    </w:p>
    <w:p w:rsidR="00901E80" w:rsidRPr="00C8260E" w:rsidRDefault="00901E80" w:rsidP="00F57A62">
      <w:pPr>
        <w:pStyle w:val="Comment"/>
      </w:pPr>
      <w:r w:rsidRPr="00C8260E">
        <w:t xml:space="preserve">The retrospective survey provides some reassurance regarding the objectivity of pathologist assessments of </w:t>
      </w:r>
      <w:proofErr w:type="spellStart"/>
      <w:r w:rsidRPr="00C8260E">
        <w:t>pCR</w:t>
      </w:r>
      <w:proofErr w:type="spellEnd"/>
      <w:r w:rsidRPr="00C8260E">
        <w:t xml:space="preserve"> in the trial. However, protocol-mandated masking of all pathological response assessments would have been relatively simple measure that would have improved credibility of the study efficacy findings.</w:t>
      </w:r>
    </w:p>
    <w:p w:rsidR="00901E80" w:rsidRDefault="00901E80" w:rsidP="007123A4">
      <w:pPr>
        <w:pStyle w:val="Heading4"/>
      </w:pPr>
      <w:bookmarkStart w:id="376" w:name="_Toc272679726"/>
      <w:r>
        <w:t>Two-year follow-up for Study BO22227</w:t>
      </w:r>
      <w:bookmarkEnd w:id="376"/>
    </w:p>
    <w:p w:rsidR="00901E80" w:rsidRDefault="00901E80" w:rsidP="00FE2347">
      <w:r>
        <w:t>The sponsor advised that the study report for BO22227 after two years of treatment-free follow up woul</w:t>
      </w:r>
      <w:r w:rsidR="0028372E">
        <w:t>d be available in October 2014.</w:t>
      </w:r>
    </w:p>
    <w:p w:rsidR="00901E80" w:rsidRDefault="00901E80" w:rsidP="007123A4">
      <w:pPr>
        <w:pStyle w:val="Heading4"/>
      </w:pPr>
      <w:bookmarkStart w:id="377" w:name="_Toc272679727"/>
      <w:proofErr w:type="spellStart"/>
      <w:proofErr w:type="gramStart"/>
      <w:r>
        <w:t>tpCR</w:t>
      </w:r>
      <w:proofErr w:type="spellEnd"/>
      <w:proofErr w:type="gramEnd"/>
      <w:r>
        <w:t xml:space="preserve"> rate in subjects </w:t>
      </w:r>
      <w:r w:rsidRPr="00C8260E">
        <w:t>with</w:t>
      </w:r>
      <w:r>
        <w:t xml:space="preserve"> confirmed lymph node involvement at baseline</w:t>
      </w:r>
      <w:bookmarkEnd w:id="377"/>
    </w:p>
    <w:p w:rsidR="00901E80" w:rsidRDefault="00901E80" w:rsidP="00FE2347">
      <w:r>
        <w:t xml:space="preserve">The results of the requested analysis are shown in </w:t>
      </w:r>
      <w:r w:rsidR="00C8260E">
        <w:t>Table 53</w:t>
      </w:r>
      <w:r>
        <w:t>. Only a small number of subjects (n=20 for IV and n=11 for SC) had histologically confirmed lymph node involvement at baseline. All were confirmed by sentinel node biopsy, as results of any fine needle aspiration were not recorded in the study database.</w:t>
      </w:r>
    </w:p>
    <w:p w:rsidR="00901E80" w:rsidRDefault="00901E80" w:rsidP="00FE2347">
      <w:r>
        <w:t xml:space="preserve">The </w:t>
      </w:r>
      <w:proofErr w:type="spellStart"/>
      <w:r>
        <w:t>tpCR</w:t>
      </w:r>
      <w:proofErr w:type="spellEnd"/>
      <w:r>
        <w:t xml:space="preserve"> rates among these subjects were </w:t>
      </w:r>
      <w:r>
        <w:rPr>
          <w:b/>
        </w:rPr>
        <w:t>45.0%</w:t>
      </w:r>
      <w:r>
        <w:t xml:space="preserve"> for IV and </w:t>
      </w:r>
      <w:r>
        <w:rPr>
          <w:b/>
        </w:rPr>
        <w:t>27.3%</w:t>
      </w:r>
      <w:r>
        <w:t xml:space="preserve"> for SC.</w:t>
      </w:r>
    </w:p>
    <w:p w:rsidR="00C8260E" w:rsidRDefault="00C8260E" w:rsidP="002A2177">
      <w:pPr>
        <w:pStyle w:val="Tabletitle"/>
      </w:pPr>
      <w:bookmarkStart w:id="378" w:name="_Ref272664800"/>
      <w:bookmarkStart w:id="379" w:name="_Toc272679797"/>
      <w:r>
        <w:lastRenderedPageBreak/>
        <w:t>Table 53:</w:t>
      </w:r>
      <w:bookmarkEnd w:id="378"/>
      <w:r>
        <w:t xml:space="preserve"> </w:t>
      </w:r>
      <w:proofErr w:type="spellStart"/>
      <w:r>
        <w:t>tpCR</w:t>
      </w:r>
      <w:proofErr w:type="spellEnd"/>
      <w:r>
        <w:t xml:space="preserve"> rate in subjects with confirmed lymph node involvement at baseline</w:t>
      </w:r>
      <w:bookmarkEnd w:id="379"/>
    </w:p>
    <w:p w:rsidR="00C8260E" w:rsidRDefault="00C8260E" w:rsidP="00C8260E">
      <w:r>
        <w:rPr>
          <w:noProof/>
          <w:lang w:eastAsia="en-AU"/>
        </w:rPr>
        <w:drawing>
          <wp:inline distT="0" distB="0" distL="0" distR="0" wp14:anchorId="6730115B" wp14:editId="3A16BC68">
            <wp:extent cx="4329546" cy="2105379"/>
            <wp:effectExtent l="0" t="0" r="0" b="0"/>
            <wp:docPr id="97" name="Picture 6" descr="Table 53: tpCR rate in subjects with confirmed lymph node involvemen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30084" cy="2105640"/>
                    </a:xfrm>
                    <a:prstGeom prst="rect">
                      <a:avLst/>
                    </a:prstGeom>
                    <a:noFill/>
                    <a:ln>
                      <a:noFill/>
                    </a:ln>
                  </pic:spPr>
                </pic:pic>
              </a:graphicData>
            </a:graphic>
          </wp:inline>
        </w:drawing>
      </w:r>
    </w:p>
    <w:p w:rsidR="00901E80" w:rsidRDefault="002A2177" w:rsidP="00F57A62">
      <w:pPr>
        <w:pStyle w:val="Comment"/>
      </w:pPr>
      <w:r w:rsidRPr="002A2177">
        <w:rPr>
          <w:b/>
        </w:rPr>
        <w:t>Comment:</w:t>
      </w:r>
      <w:r>
        <w:t xml:space="preserve"> </w:t>
      </w:r>
      <w:r w:rsidR="00901E80">
        <w:t xml:space="preserve">The numbers of subjects were small, and, based on these </w:t>
      </w:r>
      <w:proofErr w:type="gramStart"/>
      <w:r w:rsidR="00901E80">
        <w:t>results,</w:t>
      </w:r>
      <w:proofErr w:type="gramEnd"/>
      <w:r w:rsidR="00901E80">
        <w:t xml:space="preserve"> no reliable conclusions can be drawn regarding comparative efficacy of IV </w:t>
      </w:r>
      <w:r w:rsidR="001D7770">
        <w:t>versus</w:t>
      </w:r>
      <w:r w:rsidR="00901E80">
        <w:t xml:space="preserve"> SC administration.</w:t>
      </w:r>
    </w:p>
    <w:p w:rsidR="00901E80" w:rsidRDefault="00901E80" w:rsidP="007123A4">
      <w:pPr>
        <w:pStyle w:val="Heading3"/>
      </w:pPr>
      <w:bookmarkStart w:id="380" w:name="_Toc272679728"/>
      <w:bookmarkStart w:id="381" w:name="_Toc423350805"/>
      <w:r>
        <w:t>Neoplasms in the HERA study</w:t>
      </w:r>
      <w:bookmarkEnd w:id="380"/>
      <w:bookmarkEnd w:id="381"/>
    </w:p>
    <w:p w:rsidR="00901E80" w:rsidRDefault="00901E80" w:rsidP="00FE2347">
      <w:r>
        <w:t>The sponsor provided the following explanation:</w:t>
      </w:r>
    </w:p>
    <w:p w:rsidR="00901E80" w:rsidRDefault="00041C9E" w:rsidP="00901E80">
      <w:pPr>
        <w:ind w:left="567"/>
        <w:rPr>
          <w:i/>
        </w:rPr>
      </w:pPr>
      <w:r>
        <w:rPr>
          <w:i/>
        </w:rPr>
        <w:t>‘</w:t>
      </w:r>
      <w:r w:rsidR="00901E80">
        <w:rPr>
          <w:i/>
        </w:rPr>
        <w:t xml:space="preserve">...for safety analyses, study patients randomized to observation who decided to crossover to receive </w:t>
      </w:r>
      <w:proofErr w:type="spellStart"/>
      <w:r w:rsidR="00901E80">
        <w:rPr>
          <w:i/>
        </w:rPr>
        <w:t>trastuzumab</w:t>
      </w:r>
      <w:proofErr w:type="spellEnd"/>
      <w:r w:rsidR="00901E80">
        <w:rPr>
          <w:i/>
        </w:rPr>
        <w:t xml:space="preserve"> treatment after disclosure of the interim analysis results in 2005, are evaluated for safety in the observation arm only up to the time of their first treatment with </w:t>
      </w:r>
      <w:proofErr w:type="spellStart"/>
      <w:r w:rsidR="00901E80">
        <w:rPr>
          <w:i/>
        </w:rPr>
        <w:t>trastuzumab</w:t>
      </w:r>
      <w:proofErr w:type="spellEnd"/>
      <w:r w:rsidR="00901E80">
        <w:rPr>
          <w:i/>
        </w:rPr>
        <w:t xml:space="preserve"> (crossover point). .... Given that more than 50% of patients randomized to observation crossed over to receive </w:t>
      </w:r>
      <w:proofErr w:type="spellStart"/>
      <w:r w:rsidR="00901E80">
        <w:rPr>
          <w:i/>
        </w:rPr>
        <w:t>trastuzumab</w:t>
      </w:r>
      <w:proofErr w:type="spellEnd"/>
      <w:r w:rsidR="00901E80">
        <w:rPr>
          <w:i/>
        </w:rPr>
        <w:t xml:space="preserve"> treatment, the duration of safety follow-up in the observation arm is significantly shorter compared to each of the </w:t>
      </w:r>
      <w:proofErr w:type="spellStart"/>
      <w:r w:rsidR="00901E80">
        <w:rPr>
          <w:i/>
        </w:rPr>
        <w:t>trastuzumab</w:t>
      </w:r>
      <w:proofErr w:type="spellEnd"/>
      <w:r w:rsidR="00901E80">
        <w:rPr>
          <w:i/>
        </w:rPr>
        <w:t xml:space="preserve"> treatment arms.</w:t>
      </w:r>
      <w:r>
        <w:rPr>
          <w:i/>
        </w:rPr>
        <w:t>’</w:t>
      </w:r>
    </w:p>
    <w:p w:rsidR="00901E80" w:rsidRDefault="00901E80" w:rsidP="00FE2347">
      <w:r>
        <w:t xml:space="preserve">Median duration of follow-up was 31.05 months for the observation arm and 96.10 months for both the </w:t>
      </w:r>
      <w:proofErr w:type="spellStart"/>
      <w:r>
        <w:t>trastuzumab</w:t>
      </w:r>
      <w:proofErr w:type="spellEnd"/>
      <w:r>
        <w:t xml:space="preserve"> 1- and 2-year arms. The higher incidence of neoplasms was therefore probably due to the longer period of observation in the </w:t>
      </w:r>
      <w:proofErr w:type="spellStart"/>
      <w:r>
        <w:t>trastuzumab</w:t>
      </w:r>
      <w:proofErr w:type="spellEnd"/>
      <w:r>
        <w:t xml:space="preserve"> arms.</w:t>
      </w:r>
    </w:p>
    <w:p w:rsidR="00C618F7" w:rsidRDefault="00901E80" w:rsidP="007123A4">
      <w:pPr>
        <w:pStyle w:val="Heading2"/>
      </w:pPr>
      <w:r>
        <w:t xml:space="preserve"> </w:t>
      </w:r>
      <w:bookmarkStart w:id="382" w:name="_Toc423350806"/>
      <w:r w:rsidR="00C618F7">
        <w:t>Second round benefit-risk assessment</w:t>
      </w:r>
      <w:bookmarkEnd w:id="382"/>
    </w:p>
    <w:p w:rsidR="00901E80" w:rsidRDefault="00901E80" w:rsidP="00FE2347">
      <w:bookmarkStart w:id="383" w:name="_Toc290663810"/>
      <w:bookmarkStart w:id="384" w:name="_Toc290663966"/>
      <w:bookmarkStart w:id="385" w:name="_Toc290664559"/>
      <w:bookmarkStart w:id="386" w:name="_Toc290664868"/>
      <w:bookmarkStart w:id="387" w:name="_Toc290665024"/>
      <w:bookmarkStart w:id="388" w:name="_Toc290665752"/>
      <w:bookmarkStart w:id="389" w:name="_Toc290665925"/>
      <w:bookmarkStart w:id="390" w:name="_Toc290669473"/>
      <w:bookmarkStart w:id="391" w:name="_Toc290669646"/>
      <w:bookmarkStart w:id="392" w:name="_Toc290715963"/>
      <w:bookmarkStart w:id="393" w:name="_Toc290716136"/>
      <w:bookmarkStart w:id="394" w:name="_Toc290731463"/>
      <w:bookmarkStart w:id="395" w:name="_Toc290731636"/>
      <w:bookmarkStart w:id="396" w:name="_Toc290731957"/>
      <w:bookmarkStart w:id="397" w:name="_Toc290732278"/>
      <w:bookmarkStart w:id="398" w:name="_Toc290663811"/>
      <w:bookmarkStart w:id="399" w:name="_Toc290663967"/>
      <w:bookmarkStart w:id="400" w:name="_Toc290664560"/>
      <w:bookmarkStart w:id="401" w:name="_Toc290664869"/>
      <w:bookmarkStart w:id="402" w:name="_Toc290665025"/>
      <w:bookmarkStart w:id="403" w:name="_Toc290665753"/>
      <w:bookmarkStart w:id="404" w:name="_Toc290665926"/>
      <w:bookmarkStart w:id="405" w:name="_Toc290669474"/>
      <w:bookmarkStart w:id="406" w:name="_Toc290669647"/>
      <w:bookmarkStart w:id="407" w:name="_Toc290715964"/>
      <w:bookmarkStart w:id="408" w:name="_Toc290716137"/>
      <w:bookmarkStart w:id="409" w:name="_Toc290731464"/>
      <w:bookmarkStart w:id="410" w:name="_Toc290731637"/>
      <w:bookmarkStart w:id="411" w:name="_Toc290731958"/>
      <w:bookmarkStart w:id="412" w:name="_Toc290732279"/>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t xml:space="preserve">The benefit-risk balance for SC administration is unchanged following evaluation of the sponsor’s additional information. The benefit-risk balance of </w:t>
      </w:r>
      <w:proofErr w:type="spellStart"/>
      <w:r>
        <w:t>trastuzumab</w:t>
      </w:r>
      <w:proofErr w:type="spellEnd"/>
      <w:r>
        <w:t xml:space="preserve"> in the adjuvant setting remains favourable, based on the updated report of the HERA study.</w:t>
      </w:r>
    </w:p>
    <w:p w:rsidR="00C618F7" w:rsidRDefault="00C618F7" w:rsidP="007123A4">
      <w:pPr>
        <w:pStyle w:val="Heading2"/>
      </w:pPr>
      <w:bookmarkStart w:id="413" w:name="_Toc423350807"/>
      <w:r>
        <w:t>Second round recommendation regarding authorisation</w:t>
      </w:r>
      <w:bookmarkEnd w:id="413"/>
    </w:p>
    <w:p w:rsidR="00901E80" w:rsidRDefault="00901E80" w:rsidP="00FE2347">
      <w:r>
        <w:t>It is recommended that the application for SC administration be approved. It is also recommended that the proposed changes to the PI, based on the updated HERA study report, be approved.</w:t>
      </w:r>
    </w:p>
    <w:p w:rsidR="002A2177" w:rsidRDefault="002A2177">
      <w:pPr>
        <w:spacing w:before="0" w:after="200" w:line="0" w:lineRule="auto"/>
        <w:rPr>
          <w:rFonts w:ascii="Arial" w:eastAsia="Times New Roman" w:hAnsi="Arial"/>
          <w:b/>
          <w:bCs/>
          <w:sz w:val="32"/>
          <w:szCs w:val="26"/>
          <w:lang w:eastAsia="ja-JP"/>
        </w:rPr>
      </w:pPr>
      <w:bookmarkStart w:id="414" w:name="_Toc423350808"/>
      <w:r>
        <w:br w:type="page"/>
      </w:r>
    </w:p>
    <w:p w:rsidR="00C618F7" w:rsidRDefault="00C618F7" w:rsidP="007123A4">
      <w:pPr>
        <w:pStyle w:val="Heading2"/>
      </w:pPr>
      <w:r>
        <w:lastRenderedPageBreak/>
        <w:t>References</w:t>
      </w:r>
      <w:bookmarkEnd w:id="414"/>
    </w:p>
    <w:bookmarkEnd w:id="2"/>
    <w:bookmarkEnd w:id="1"/>
    <w:bookmarkEnd w:id="0"/>
    <w:p w:rsidR="00901E80" w:rsidRDefault="00901E80" w:rsidP="001C7900">
      <w:pPr>
        <w:pStyle w:val="ListParagraph"/>
        <w:numPr>
          <w:ilvl w:val="0"/>
          <w:numId w:val="8"/>
        </w:numPr>
        <w:tabs>
          <w:tab w:val="clear" w:pos="284"/>
          <w:tab w:val="left" w:pos="426"/>
        </w:tabs>
        <w:ind w:left="426" w:hanging="426"/>
        <w:rPr>
          <w:szCs w:val="22"/>
        </w:rPr>
      </w:pPr>
      <w:proofErr w:type="spellStart"/>
      <w:r>
        <w:rPr>
          <w:szCs w:val="22"/>
        </w:rPr>
        <w:t>Yarden</w:t>
      </w:r>
      <w:proofErr w:type="spellEnd"/>
      <w:r>
        <w:rPr>
          <w:szCs w:val="22"/>
        </w:rPr>
        <w:t xml:space="preserve"> Y and </w:t>
      </w:r>
      <w:proofErr w:type="spellStart"/>
      <w:r>
        <w:rPr>
          <w:szCs w:val="22"/>
        </w:rPr>
        <w:t>Sliwkowski</w:t>
      </w:r>
      <w:proofErr w:type="spellEnd"/>
      <w:r>
        <w:rPr>
          <w:szCs w:val="22"/>
        </w:rPr>
        <w:t xml:space="preserve"> M. Untangling the </w:t>
      </w:r>
      <w:proofErr w:type="spellStart"/>
      <w:r>
        <w:rPr>
          <w:szCs w:val="22"/>
        </w:rPr>
        <w:t>ErbB</w:t>
      </w:r>
      <w:proofErr w:type="spellEnd"/>
      <w:r>
        <w:rPr>
          <w:szCs w:val="22"/>
        </w:rPr>
        <w:t xml:space="preserve"> signalling network. </w:t>
      </w:r>
      <w:r>
        <w:rPr>
          <w:i/>
          <w:szCs w:val="22"/>
        </w:rPr>
        <w:t xml:space="preserve">Nat Rev </w:t>
      </w:r>
      <w:proofErr w:type="spellStart"/>
      <w:r>
        <w:rPr>
          <w:i/>
          <w:szCs w:val="22"/>
        </w:rPr>
        <w:t>Mol</w:t>
      </w:r>
      <w:proofErr w:type="spellEnd"/>
      <w:r>
        <w:rPr>
          <w:i/>
          <w:szCs w:val="22"/>
        </w:rPr>
        <w:t xml:space="preserve"> Cell Biol.</w:t>
      </w:r>
      <w:r>
        <w:rPr>
          <w:szCs w:val="22"/>
        </w:rPr>
        <w:t xml:space="preserve"> 2001; 2: 127-37.</w:t>
      </w:r>
    </w:p>
    <w:p w:rsidR="00901E80" w:rsidRDefault="00901E80" w:rsidP="001C7900">
      <w:pPr>
        <w:pStyle w:val="ListParagraph"/>
        <w:numPr>
          <w:ilvl w:val="0"/>
          <w:numId w:val="8"/>
        </w:numPr>
        <w:tabs>
          <w:tab w:val="clear" w:pos="284"/>
          <w:tab w:val="left" w:pos="426"/>
        </w:tabs>
        <w:ind w:left="426" w:hanging="426"/>
        <w:rPr>
          <w:szCs w:val="22"/>
        </w:rPr>
      </w:pPr>
      <w:r>
        <w:rPr>
          <w:szCs w:val="22"/>
        </w:rPr>
        <w:t xml:space="preserve">Tsang RY and Finn RS. Beyond </w:t>
      </w:r>
      <w:proofErr w:type="spellStart"/>
      <w:r>
        <w:rPr>
          <w:szCs w:val="22"/>
        </w:rPr>
        <w:t>trastuzumab</w:t>
      </w:r>
      <w:proofErr w:type="spellEnd"/>
      <w:r>
        <w:rPr>
          <w:szCs w:val="22"/>
        </w:rPr>
        <w:t xml:space="preserve">: novel therapeutic strategies in HER2-positive metastatic breast cancer. </w:t>
      </w:r>
      <w:r>
        <w:rPr>
          <w:i/>
          <w:szCs w:val="22"/>
        </w:rPr>
        <w:t>British Journal of Cancer.</w:t>
      </w:r>
      <w:r>
        <w:rPr>
          <w:szCs w:val="22"/>
        </w:rPr>
        <w:t xml:space="preserve"> 2012; 106: 6 –13</w:t>
      </w:r>
    </w:p>
    <w:p w:rsidR="00901E80" w:rsidRDefault="00901E80" w:rsidP="001C7900">
      <w:pPr>
        <w:pStyle w:val="ListParagraph"/>
        <w:numPr>
          <w:ilvl w:val="0"/>
          <w:numId w:val="8"/>
        </w:numPr>
        <w:tabs>
          <w:tab w:val="clear" w:pos="284"/>
          <w:tab w:val="left" w:pos="426"/>
        </w:tabs>
        <w:ind w:left="426" w:hanging="426"/>
        <w:rPr>
          <w:szCs w:val="22"/>
        </w:rPr>
      </w:pPr>
      <w:proofErr w:type="spellStart"/>
      <w:r>
        <w:rPr>
          <w:szCs w:val="22"/>
        </w:rPr>
        <w:t>Slamon</w:t>
      </w:r>
      <w:proofErr w:type="spellEnd"/>
      <w:r>
        <w:rPr>
          <w:szCs w:val="22"/>
        </w:rPr>
        <w:t xml:space="preserve"> DJ, Clark GM, Wong SG et al. Human breast cancer: correlation of relapse and survival with amplification of the HER-2/</w:t>
      </w:r>
      <w:proofErr w:type="spellStart"/>
      <w:r>
        <w:rPr>
          <w:szCs w:val="22"/>
        </w:rPr>
        <w:t>neu</w:t>
      </w:r>
      <w:proofErr w:type="spellEnd"/>
      <w:r>
        <w:rPr>
          <w:szCs w:val="22"/>
        </w:rPr>
        <w:t xml:space="preserve"> oncogene. </w:t>
      </w:r>
      <w:r>
        <w:rPr>
          <w:i/>
          <w:szCs w:val="22"/>
        </w:rPr>
        <w:t>Science</w:t>
      </w:r>
      <w:r>
        <w:rPr>
          <w:szCs w:val="22"/>
        </w:rPr>
        <w:t>. 1987; 235: 177–82.</w:t>
      </w:r>
    </w:p>
    <w:p w:rsidR="00B96ABC" w:rsidRDefault="00901E80" w:rsidP="001C7900">
      <w:pPr>
        <w:pStyle w:val="ListParagraph"/>
        <w:numPr>
          <w:ilvl w:val="0"/>
          <w:numId w:val="8"/>
        </w:numPr>
        <w:tabs>
          <w:tab w:val="clear" w:pos="284"/>
          <w:tab w:val="left" w:pos="426"/>
        </w:tabs>
        <w:ind w:left="426" w:hanging="426"/>
        <w:rPr>
          <w:szCs w:val="22"/>
        </w:rPr>
      </w:pPr>
      <w:r w:rsidRPr="00B96ABC">
        <w:rPr>
          <w:szCs w:val="22"/>
        </w:rPr>
        <w:t xml:space="preserve">Guideline </w:t>
      </w:r>
      <w:proofErr w:type="gramStart"/>
      <w:r w:rsidRPr="00B96ABC">
        <w:rPr>
          <w:szCs w:val="22"/>
        </w:rPr>
        <w:t>On</w:t>
      </w:r>
      <w:proofErr w:type="gramEnd"/>
      <w:r w:rsidRPr="00B96ABC">
        <w:rPr>
          <w:szCs w:val="22"/>
        </w:rPr>
        <w:t xml:space="preserve"> The Evaluation Of Anticancer Medicinal Products In Man (CPM</w:t>
      </w:r>
      <w:r w:rsidR="0028372E">
        <w:rPr>
          <w:szCs w:val="22"/>
        </w:rPr>
        <w:t>P/EWP/205/95/Rev.3.Corr); 2005.</w:t>
      </w:r>
    </w:p>
    <w:p w:rsidR="00B96ABC" w:rsidRDefault="00901E80" w:rsidP="001C7900">
      <w:pPr>
        <w:pStyle w:val="ListParagraph"/>
        <w:numPr>
          <w:ilvl w:val="0"/>
          <w:numId w:val="8"/>
        </w:numPr>
        <w:tabs>
          <w:tab w:val="clear" w:pos="284"/>
          <w:tab w:val="left" w:pos="426"/>
        </w:tabs>
        <w:ind w:left="426" w:hanging="426"/>
        <w:rPr>
          <w:szCs w:val="22"/>
        </w:rPr>
      </w:pPr>
      <w:r w:rsidRPr="00B96ABC">
        <w:rPr>
          <w:szCs w:val="22"/>
        </w:rPr>
        <w:t xml:space="preserve">Guideline </w:t>
      </w:r>
      <w:proofErr w:type="gramStart"/>
      <w:r w:rsidRPr="00B96ABC">
        <w:rPr>
          <w:szCs w:val="22"/>
        </w:rPr>
        <w:t>On</w:t>
      </w:r>
      <w:proofErr w:type="gramEnd"/>
      <w:r w:rsidRPr="00B96ABC">
        <w:rPr>
          <w:szCs w:val="22"/>
        </w:rPr>
        <w:t xml:space="preserve"> The Clinical Investigation of The Pharmacokinetics Of Therapeutic Protei</w:t>
      </w:r>
      <w:r w:rsidR="0028372E">
        <w:rPr>
          <w:szCs w:val="22"/>
        </w:rPr>
        <w:t>ns (CHMP/EWP/89249/2004); 2007.</w:t>
      </w:r>
    </w:p>
    <w:p w:rsidR="00901E80" w:rsidRPr="00B96ABC" w:rsidRDefault="00901E80" w:rsidP="001C7900">
      <w:pPr>
        <w:pStyle w:val="ListParagraph"/>
        <w:numPr>
          <w:ilvl w:val="0"/>
          <w:numId w:val="8"/>
        </w:numPr>
        <w:tabs>
          <w:tab w:val="clear" w:pos="284"/>
          <w:tab w:val="left" w:pos="426"/>
        </w:tabs>
        <w:ind w:left="426" w:hanging="426"/>
        <w:rPr>
          <w:szCs w:val="22"/>
        </w:rPr>
      </w:pPr>
      <w:r w:rsidRPr="00B96ABC">
        <w:rPr>
          <w:szCs w:val="22"/>
        </w:rPr>
        <w:t xml:space="preserve">Ismael G, </w:t>
      </w:r>
      <w:proofErr w:type="spellStart"/>
      <w:r w:rsidRPr="00B96ABC">
        <w:rPr>
          <w:szCs w:val="22"/>
        </w:rPr>
        <w:t>Hegg</w:t>
      </w:r>
      <w:proofErr w:type="spellEnd"/>
      <w:r w:rsidRPr="00B96ABC">
        <w:rPr>
          <w:szCs w:val="22"/>
        </w:rPr>
        <w:t xml:space="preserve"> R, </w:t>
      </w:r>
      <w:proofErr w:type="spellStart"/>
      <w:r w:rsidRPr="00B96ABC">
        <w:rPr>
          <w:szCs w:val="22"/>
        </w:rPr>
        <w:t>Muehlbauer</w:t>
      </w:r>
      <w:proofErr w:type="spellEnd"/>
      <w:r w:rsidRPr="00B96ABC">
        <w:rPr>
          <w:szCs w:val="22"/>
        </w:rPr>
        <w:t xml:space="preserve"> S et al. Subcutaneous versus intravenous administration of (neo)adjuvant </w:t>
      </w:r>
      <w:proofErr w:type="spellStart"/>
      <w:r w:rsidRPr="00B96ABC">
        <w:rPr>
          <w:szCs w:val="22"/>
        </w:rPr>
        <w:t>trastuzumab</w:t>
      </w:r>
      <w:proofErr w:type="spellEnd"/>
      <w:r w:rsidRPr="00B96ABC">
        <w:rPr>
          <w:szCs w:val="22"/>
        </w:rPr>
        <w:t xml:space="preserve"> in patients with HER2-positive, clinical stage I-III breast cancer (</w:t>
      </w:r>
      <w:proofErr w:type="spellStart"/>
      <w:r w:rsidRPr="00B96ABC">
        <w:rPr>
          <w:szCs w:val="22"/>
        </w:rPr>
        <w:t>HannaH</w:t>
      </w:r>
      <w:proofErr w:type="spellEnd"/>
      <w:r w:rsidRPr="00B96ABC">
        <w:rPr>
          <w:szCs w:val="22"/>
        </w:rPr>
        <w:t xml:space="preserve"> study): a phase 3, open-label, multicentre, randomised trial. Lancet </w:t>
      </w:r>
      <w:proofErr w:type="spellStart"/>
      <w:r w:rsidRPr="00B96ABC">
        <w:rPr>
          <w:szCs w:val="22"/>
        </w:rPr>
        <w:t>Oncol</w:t>
      </w:r>
      <w:proofErr w:type="spellEnd"/>
      <w:r w:rsidRPr="00B96ABC">
        <w:rPr>
          <w:szCs w:val="22"/>
        </w:rPr>
        <w:t>. 2012 Sep; 13(9): 869-7</w:t>
      </w:r>
      <w:r w:rsidR="0028372E">
        <w:rPr>
          <w:szCs w:val="22"/>
        </w:rPr>
        <w:t>8.</w:t>
      </w:r>
    </w:p>
    <w:p w:rsidR="00901E80" w:rsidRDefault="00901E80" w:rsidP="001C7900">
      <w:pPr>
        <w:pStyle w:val="ListParagraph"/>
        <w:numPr>
          <w:ilvl w:val="0"/>
          <w:numId w:val="8"/>
        </w:numPr>
        <w:tabs>
          <w:tab w:val="clear" w:pos="284"/>
          <w:tab w:val="left" w:pos="426"/>
        </w:tabs>
        <w:ind w:left="426" w:hanging="426"/>
        <w:rPr>
          <w:szCs w:val="22"/>
        </w:rPr>
      </w:pPr>
      <w:proofErr w:type="spellStart"/>
      <w:r>
        <w:rPr>
          <w:szCs w:val="22"/>
        </w:rPr>
        <w:t>Therasse</w:t>
      </w:r>
      <w:proofErr w:type="spellEnd"/>
      <w:r>
        <w:rPr>
          <w:szCs w:val="22"/>
        </w:rPr>
        <w:t xml:space="preserve"> P et al. New Guidelines to Evaluate the Response to Treatment in Solid Tumours. J Natl Cancer Inst. 2000, 92 (3): 205-216.</w:t>
      </w:r>
    </w:p>
    <w:p w:rsidR="00901E80" w:rsidRDefault="00901E80" w:rsidP="001C7900">
      <w:pPr>
        <w:pStyle w:val="ListParagraph"/>
        <w:numPr>
          <w:ilvl w:val="0"/>
          <w:numId w:val="8"/>
        </w:numPr>
        <w:tabs>
          <w:tab w:val="clear" w:pos="284"/>
          <w:tab w:val="left" w:pos="426"/>
        </w:tabs>
        <w:ind w:left="426" w:hanging="426"/>
        <w:rPr>
          <w:szCs w:val="22"/>
        </w:rPr>
      </w:pPr>
      <w:proofErr w:type="spellStart"/>
      <w:r>
        <w:rPr>
          <w:szCs w:val="22"/>
        </w:rPr>
        <w:t>Cortazar</w:t>
      </w:r>
      <w:proofErr w:type="spellEnd"/>
      <w:r>
        <w:rPr>
          <w:szCs w:val="22"/>
        </w:rPr>
        <w:t xml:space="preserve"> P, Zhang L, </w:t>
      </w:r>
      <w:proofErr w:type="spellStart"/>
      <w:r>
        <w:rPr>
          <w:szCs w:val="22"/>
        </w:rPr>
        <w:t>Untch</w:t>
      </w:r>
      <w:proofErr w:type="spellEnd"/>
      <w:r>
        <w:rPr>
          <w:szCs w:val="22"/>
        </w:rPr>
        <w:t xml:space="preserve"> M et al. Pathological complete response and long-term clinical benefit in breast cancer: the </w:t>
      </w:r>
      <w:proofErr w:type="spellStart"/>
      <w:r>
        <w:rPr>
          <w:szCs w:val="22"/>
        </w:rPr>
        <w:t>CTNeoBC</w:t>
      </w:r>
      <w:proofErr w:type="spellEnd"/>
      <w:r>
        <w:rPr>
          <w:szCs w:val="22"/>
        </w:rPr>
        <w:t xml:space="preserve"> pooled analysis. Lancet. 2014 Feb 13. </w:t>
      </w:r>
      <w:proofErr w:type="spellStart"/>
      <w:proofErr w:type="gramStart"/>
      <w:r>
        <w:rPr>
          <w:szCs w:val="22"/>
        </w:rPr>
        <w:t>pii</w:t>
      </w:r>
      <w:proofErr w:type="spellEnd"/>
      <w:proofErr w:type="gramEnd"/>
      <w:r>
        <w:rPr>
          <w:szCs w:val="22"/>
        </w:rPr>
        <w:t xml:space="preserve">: S0140-6736(13)62422-8. </w:t>
      </w:r>
      <w:proofErr w:type="spellStart"/>
      <w:proofErr w:type="gramStart"/>
      <w:r>
        <w:rPr>
          <w:szCs w:val="22"/>
        </w:rPr>
        <w:t>doi</w:t>
      </w:r>
      <w:proofErr w:type="spellEnd"/>
      <w:proofErr w:type="gramEnd"/>
      <w:r>
        <w:rPr>
          <w:szCs w:val="22"/>
        </w:rPr>
        <w:t>: 10.1016/S0140-6736(13)62422-8. [</w:t>
      </w:r>
      <w:proofErr w:type="spellStart"/>
      <w:r>
        <w:rPr>
          <w:szCs w:val="22"/>
        </w:rPr>
        <w:t>Epub</w:t>
      </w:r>
      <w:proofErr w:type="spellEnd"/>
      <w:r>
        <w:rPr>
          <w:szCs w:val="22"/>
        </w:rPr>
        <w:t xml:space="preserve"> ahead of print]</w:t>
      </w:r>
    </w:p>
    <w:p w:rsidR="00901E80" w:rsidRDefault="00901E80" w:rsidP="001C7900">
      <w:pPr>
        <w:pStyle w:val="ListParagraph"/>
        <w:numPr>
          <w:ilvl w:val="0"/>
          <w:numId w:val="8"/>
        </w:numPr>
        <w:tabs>
          <w:tab w:val="clear" w:pos="284"/>
          <w:tab w:val="left" w:pos="426"/>
        </w:tabs>
        <w:ind w:left="426" w:hanging="426"/>
        <w:rPr>
          <w:rStyle w:val="Hyperlink"/>
        </w:rPr>
      </w:pPr>
      <w:r w:rsidRPr="00B96ABC">
        <w:rPr>
          <w:szCs w:val="22"/>
        </w:rPr>
        <w:t xml:space="preserve">Food and Drug Administration. </w:t>
      </w:r>
      <w:r w:rsidRPr="00B96ABC">
        <w:rPr>
          <w:bCs/>
          <w:szCs w:val="22"/>
        </w:rPr>
        <w:t>Guidance for Industry -</w:t>
      </w:r>
      <w:r w:rsidRPr="00B96ABC">
        <w:rPr>
          <w:szCs w:val="22"/>
        </w:rPr>
        <w:t xml:space="preserve"> </w:t>
      </w:r>
      <w:r w:rsidRPr="00B96ABC">
        <w:rPr>
          <w:bCs/>
          <w:szCs w:val="22"/>
        </w:rPr>
        <w:t xml:space="preserve">Pathologic Complete Response in </w:t>
      </w:r>
      <w:proofErr w:type="spellStart"/>
      <w:r w:rsidRPr="00B96ABC">
        <w:rPr>
          <w:bCs/>
          <w:szCs w:val="22"/>
        </w:rPr>
        <w:t>Neoadjuvant</w:t>
      </w:r>
      <w:proofErr w:type="spellEnd"/>
      <w:r w:rsidRPr="00B96ABC">
        <w:rPr>
          <w:bCs/>
          <w:szCs w:val="22"/>
        </w:rPr>
        <w:t xml:space="preserve"> Treatment of High-Risk Early-Stage Breast Cancer: Use as an Endpoint to Supp</w:t>
      </w:r>
      <w:r w:rsidR="0028372E">
        <w:rPr>
          <w:bCs/>
          <w:szCs w:val="22"/>
        </w:rPr>
        <w:t>ort Accelerated Approval. 2012.</w:t>
      </w:r>
    </w:p>
    <w:p w:rsidR="00901E80" w:rsidRDefault="00901E80" w:rsidP="001C7900">
      <w:pPr>
        <w:pStyle w:val="ListParagraph"/>
        <w:numPr>
          <w:ilvl w:val="0"/>
          <w:numId w:val="8"/>
        </w:numPr>
        <w:tabs>
          <w:tab w:val="clear" w:pos="284"/>
          <w:tab w:val="left" w:pos="426"/>
        </w:tabs>
        <w:ind w:left="426" w:hanging="426"/>
        <w:rPr>
          <w:rStyle w:val="Hyperlink"/>
        </w:rPr>
      </w:pPr>
      <w:r>
        <w:rPr>
          <w:szCs w:val="22"/>
        </w:rPr>
        <w:t>Medicare Australia. Late stage metastatic breast ca</w:t>
      </w:r>
      <w:r w:rsidR="0028372E">
        <w:rPr>
          <w:szCs w:val="22"/>
        </w:rPr>
        <w:t xml:space="preserve">ncer – </w:t>
      </w:r>
      <w:proofErr w:type="spellStart"/>
      <w:r w:rsidR="0028372E">
        <w:rPr>
          <w:szCs w:val="22"/>
        </w:rPr>
        <w:t>Trastuzumab</w:t>
      </w:r>
      <w:proofErr w:type="spellEnd"/>
      <w:r w:rsidR="0028372E">
        <w:rPr>
          <w:szCs w:val="22"/>
        </w:rPr>
        <w:t xml:space="preserve"> (Herceptin).</w:t>
      </w:r>
    </w:p>
    <w:p w:rsidR="00901E80" w:rsidRDefault="00901E80" w:rsidP="001C7900">
      <w:pPr>
        <w:pStyle w:val="ListParagraph"/>
        <w:numPr>
          <w:ilvl w:val="0"/>
          <w:numId w:val="8"/>
        </w:numPr>
        <w:tabs>
          <w:tab w:val="clear" w:pos="284"/>
          <w:tab w:val="left" w:pos="426"/>
        </w:tabs>
        <w:ind w:left="426" w:hanging="426"/>
        <w:rPr>
          <w:szCs w:val="22"/>
        </w:rPr>
      </w:pPr>
      <w:proofErr w:type="spellStart"/>
      <w:r>
        <w:rPr>
          <w:szCs w:val="22"/>
        </w:rPr>
        <w:t>Piccart-Gebhart</w:t>
      </w:r>
      <w:proofErr w:type="spellEnd"/>
      <w:r>
        <w:rPr>
          <w:szCs w:val="22"/>
        </w:rPr>
        <w:t xml:space="preserve"> MJ, Procter M, Leyland-Jones B, et al. </w:t>
      </w:r>
      <w:proofErr w:type="spellStart"/>
      <w:r>
        <w:rPr>
          <w:szCs w:val="22"/>
        </w:rPr>
        <w:t>Trastuzumab</w:t>
      </w:r>
      <w:proofErr w:type="spellEnd"/>
      <w:r>
        <w:rPr>
          <w:szCs w:val="22"/>
        </w:rPr>
        <w:t xml:space="preserve"> after adjuvant chemotherapy in HER2-positive breast cancer. </w:t>
      </w:r>
      <w:r>
        <w:rPr>
          <w:i/>
          <w:szCs w:val="22"/>
        </w:rPr>
        <w:t xml:space="preserve">N </w:t>
      </w:r>
      <w:proofErr w:type="spellStart"/>
      <w:r>
        <w:rPr>
          <w:i/>
          <w:szCs w:val="22"/>
        </w:rPr>
        <w:t>Engl</w:t>
      </w:r>
      <w:proofErr w:type="spellEnd"/>
      <w:r>
        <w:rPr>
          <w:i/>
          <w:szCs w:val="22"/>
        </w:rPr>
        <w:t xml:space="preserve"> J Med</w:t>
      </w:r>
      <w:r>
        <w:rPr>
          <w:szCs w:val="22"/>
        </w:rPr>
        <w:t xml:space="preserve"> 2005; 353: 1659–72.</w:t>
      </w:r>
    </w:p>
    <w:p w:rsidR="00901E80" w:rsidRDefault="00901E80" w:rsidP="001C7900">
      <w:pPr>
        <w:pStyle w:val="ListParagraph"/>
        <w:numPr>
          <w:ilvl w:val="0"/>
          <w:numId w:val="8"/>
        </w:numPr>
        <w:tabs>
          <w:tab w:val="clear" w:pos="284"/>
          <w:tab w:val="left" w:pos="426"/>
        </w:tabs>
        <w:ind w:left="426" w:hanging="426"/>
        <w:rPr>
          <w:szCs w:val="22"/>
        </w:rPr>
      </w:pPr>
      <w:r>
        <w:rPr>
          <w:szCs w:val="22"/>
        </w:rPr>
        <w:t xml:space="preserve">Smith I, Procter M, </w:t>
      </w:r>
      <w:proofErr w:type="spellStart"/>
      <w:r>
        <w:rPr>
          <w:szCs w:val="22"/>
        </w:rPr>
        <w:t>Gelber</w:t>
      </w:r>
      <w:proofErr w:type="spellEnd"/>
      <w:r>
        <w:rPr>
          <w:szCs w:val="22"/>
        </w:rPr>
        <w:t xml:space="preserve"> RD, et al. 2-year follow-up of </w:t>
      </w:r>
      <w:proofErr w:type="spellStart"/>
      <w:r>
        <w:rPr>
          <w:szCs w:val="22"/>
        </w:rPr>
        <w:t>trastuzumab</w:t>
      </w:r>
      <w:proofErr w:type="spellEnd"/>
      <w:r>
        <w:rPr>
          <w:szCs w:val="22"/>
        </w:rPr>
        <w:t xml:space="preserve"> after adjuvant chemotherapy in HER2-positive breast cancer: a randomised controlled trial. </w:t>
      </w:r>
      <w:r>
        <w:rPr>
          <w:i/>
          <w:szCs w:val="22"/>
        </w:rPr>
        <w:t>Lancet</w:t>
      </w:r>
      <w:r>
        <w:rPr>
          <w:szCs w:val="22"/>
        </w:rPr>
        <w:t xml:space="preserve"> 2007; 369: 29–36.</w:t>
      </w:r>
    </w:p>
    <w:p w:rsidR="00901E80" w:rsidRDefault="00901E80" w:rsidP="001C7900">
      <w:pPr>
        <w:pStyle w:val="ListParagraph"/>
        <w:numPr>
          <w:ilvl w:val="0"/>
          <w:numId w:val="8"/>
        </w:numPr>
        <w:tabs>
          <w:tab w:val="clear" w:pos="284"/>
          <w:tab w:val="left" w:pos="426"/>
        </w:tabs>
        <w:ind w:left="426" w:hanging="426"/>
        <w:rPr>
          <w:szCs w:val="22"/>
        </w:rPr>
      </w:pPr>
      <w:r>
        <w:rPr>
          <w:szCs w:val="22"/>
        </w:rPr>
        <w:t xml:space="preserve">Gianni L, Dafni U, </w:t>
      </w:r>
      <w:proofErr w:type="spellStart"/>
      <w:r>
        <w:rPr>
          <w:szCs w:val="22"/>
        </w:rPr>
        <w:t>Gelber</w:t>
      </w:r>
      <w:proofErr w:type="spellEnd"/>
      <w:r>
        <w:rPr>
          <w:szCs w:val="22"/>
        </w:rPr>
        <w:t xml:space="preserve"> RD, et al. Treatment with </w:t>
      </w:r>
      <w:proofErr w:type="spellStart"/>
      <w:r>
        <w:rPr>
          <w:szCs w:val="22"/>
        </w:rPr>
        <w:t>trastuzumab</w:t>
      </w:r>
      <w:proofErr w:type="spellEnd"/>
      <w:r>
        <w:rPr>
          <w:szCs w:val="22"/>
        </w:rPr>
        <w:t xml:space="preserve"> for 1 year after adjuvant chemotherapy in patients with HER2-positive early breast cancer: a 4-year follow-up of a randomised controlled trial. </w:t>
      </w:r>
      <w:r>
        <w:rPr>
          <w:i/>
          <w:szCs w:val="22"/>
        </w:rPr>
        <w:t xml:space="preserve">Lancet </w:t>
      </w:r>
      <w:proofErr w:type="spellStart"/>
      <w:r>
        <w:rPr>
          <w:i/>
          <w:szCs w:val="22"/>
        </w:rPr>
        <w:t>Oncol</w:t>
      </w:r>
      <w:proofErr w:type="spellEnd"/>
      <w:r>
        <w:rPr>
          <w:szCs w:val="22"/>
        </w:rPr>
        <w:t xml:space="preserve"> 2011; 12: 236–44.</w:t>
      </w:r>
    </w:p>
    <w:p w:rsidR="00901E80" w:rsidRDefault="00901E80" w:rsidP="001C7900">
      <w:pPr>
        <w:pStyle w:val="ListParagraph"/>
        <w:numPr>
          <w:ilvl w:val="0"/>
          <w:numId w:val="8"/>
        </w:numPr>
        <w:tabs>
          <w:tab w:val="clear" w:pos="284"/>
          <w:tab w:val="left" w:pos="426"/>
        </w:tabs>
        <w:ind w:left="426" w:hanging="426"/>
        <w:rPr>
          <w:szCs w:val="22"/>
        </w:rPr>
      </w:pPr>
      <w:proofErr w:type="spellStart"/>
      <w:r>
        <w:rPr>
          <w:bCs/>
          <w:szCs w:val="22"/>
        </w:rPr>
        <w:t>Goldhirsch</w:t>
      </w:r>
      <w:proofErr w:type="spellEnd"/>
      <w:r>
        <w:rPr>
          <w:szCs w:val="22"/>
        </w:rPr>
        <w:t xml:space="preserve"> A, </w:t>
      </w:r>
      <w:proofErr w:type="spellStart"/>
      <w:r>
        <w:rPr>
          <w:szCs w:val="22"/>
        </w:rPr>
        <w:t>Gelber</w:t>
      </w:r>
      <w:proofErr w:type="spellEnd"/>
      <w:r>
        <w:rPr>
          <w:szCs w:val="22"/>
        </w:rPr>
        <w:t xml:space="preserve"> RD, </w:t>
      </w:r>
      <w:proofErr w:type="spellStart"/>
      <w:r>
        <w:rPr>
          <w:szCs w:val="22"/>
        </w:rPr>
        <w:t>Piccart-Gebhart</w:t>
      </w:r>
      <w:proofErr w:type="spellEnd"/>
      <w:r>
        <w:rPr>
          <w:szCs w:val="22"/>
        </w:rPr>
        <w:t xml:space="preserve"> MJ et al. 2 years versus 1 year of adjuvant </w:t>
      </w:r>
      <w:proofErr w:type="spellStart"/>
      <w:r>
        <w:rPr>
          <w:szCs w:val="22"/>
        </w:rPr>
        <w:t>trastuzumab</w:t>
      </w:r>
      <w:proofErr w:type="spellEnd"/>
      <w:r>
        <w:rPr>
          <w:szCs w:val="22"/>
        </w:rPr>
        <w:t xml:space="preserve"> for HER2-positive breast cancer (HERA): an open-</w:t>
      </w:r>
      <w:proofErr w:type="gramStart"/>
      <w:r>
        <w:rPr>
          <w:szCs w:val="22"/>
        </w:rPr>
        <w:t>label,</w:t>
      </w:r>
      <w:proofErr w:type="gramEnd"/>
      <w:r>
        <w:rPr>
          <w:szCs w:val="22"/>
        </w:rPr>
        <w:t xml:space="preserve"> randomised </w:t>
      </w:r>
      <w:bookmarkStart w:id="415" w:name="_GoBack"/>
      <w:bookmarkEnd w:id="415"/>
      <w:r>
        <w:rPr>
          <w:szCs w:val="22"/>
        </w:rPr>
        <w:t xml:space="preserve">controlled trial. </w:t>
      </w:r>
      <w:r>
        <w:rPr>
          <w:i/>
          <w:szCs w:val="22"/>
        </w:rPr>
        <w:t>Lancet</w:t>
      </w:r>
      <w:r>
        <w:rPr>
          <w:szCs w:val="22"/>
        </w:rPr>
        <w:t>. 2013; 382 (9897): 1021-8</w:t>
      </w:r>
    </w:p>
    <w:p w:rsidR="00901E80" w:rsidRDefault="00901E80" w:rsidP="001C7900">
      <w:pPr>
        <w:pStyle w:val="ListParagraph"/>
        <w:numPr>
          <w:ilvl w:val="0"/>
          <w:numId w:val="8"/>
        </w:numPr>
        <w:tabs>
          <w:tab w:val="clear" w:pos="284"/>
          <w:tab w:val="left" w:pos="426"/>
        </w:tabs>
        <w:ind w:left="426" w:hanging="426"/>
        <w:rPr>
          <w:szCs w:val="22"/>
        </w:rPr>
      </w:pPr>
      <w:r>
        <w:rPr>
          <w:szCs w:val="22"/>
        </w:rPr>
        <w:t xml:space="preserve">Joensuu H, </w:t>
      </w:r>
      <w:proofErr w:type="spellStart"/>
      <w:r>
        <w:rPr>
          <w:szCs w:val="22"/>
        </w:rPr>
        <w:t>Kellokumpu-Lehtinen</w:t>
      </w:r>
      <w:proofErr w:type="spellEnd"/>
      <w:r>
        <w:rPr>
          <w:szCs w:val="22"/>
        </w:rPr>
        <w:t xml:space="preserve"> PL, Bono P et al. Adjuvant </w:t>
      </w:r>
      <w:proofErr w:type="spellStart"/>
      <w:r>
        <w:rPr>
          <w:szCs w:val="22"/>
        </w:rPr>
        <w:t>Docetaxel</w:t>
      </w:r>
      <w:proofErr w:type="spellEnd"/>
      <w:r>
        <w:rPr>
          <w:szCs w:val="22"/>
        </w:rPr>
        <w:t xml:space="preserve"> or </w:t>
      </w:r>
      <w:proofErr w:type="spellStart"/>
      <w:r>
        <w:rPr>
          <w:szCs w:val="22"/>
        </w:rPr>
        <w:t>Vinorelbine</w:t>
      </w:r>
      <w:proofErr w:type="spellEnd"/>
      <w:r>
        <w:rPr>
          <w:szCs w:val="22"/>
        </w:rPr>
        <w:t xml:space="preserve"> with or without </w:t>
      </w:r>
      <w:proofErr w:type="spellStart"/>
      <w:r>
        <w:rPr>
          <w:szCs w:val="22"/>
        </w:rPr>
        <w:t>Trastuzumab</w:t>
      </w:r>
      <w:proofErr w:type="spellEnd"/>
      <w:r>
        <w:rPr>
          <w:szCs w:val="22"/>
        </w:rPr>
        <w:t xml:space="preserve"> for Breast Cancer.</w:t>
      </w:r>
      <w:r>
        <w:rPr>
          <w:i/>
          <w:szCs w:val="22"/>
        </w:rPr>
        <w:t xml:space="preserve"> N </w:t>
      </w:r>
      <w:proofErr w:type="spellStart"/>
      <w:r>
        <w:rPr>
          <w:i/>
          <w:szCs w:val="22"/>
        </w:rPr>
        <w:t>Engl</w:t>
      </w:r>
      <w:proofErr w:type="spellEnd"/>
      <w:r>
        <w:rPr>
          <w:i/>
          <w:szCs w:val="22"/>
        </w:rPr>
        <w:t xml:space="preserve"> J Med</w:t>
      </w:r>
      <w:r>
        <w:rPr>
          <w:szCs w:val="22"/>
        </w:rPr>
        <w:t xml:space="preserve"> 2006; 354: 809-820.</w:t>
      </w:r>
    </w:p>
    <w:p w:rsidR="00901E80" w:rsidRDefault="00901E80" w:rsidP="001C7900">
      <w:pPr>
        <w:pStyle w:val="ListParagraph"/>
        <w:numPr>
          <w:ilvl w:val="0"/>
          <w:numId w:val="8"/>
        </w:numPr>
        <w:tabs>
          <w:tab w:val="left" w:pos="426"/>
        </w:tabs>
        <w:ind w:left="426" w:hanging="426"/>
        <w:rPr>
          <w:szCs w:val="22"/>
        </w:rPr>
      </w:pPr>
      <w:r>
        <w:t xml:space="preserve">Joensuu H, Bono P, </w:t>
      </w:r>
      <w:proofErr w:type="spellStart"/>
      <w:r>
        <w:t>Kataja</w:t>
      </w:r>
      <w:proofErr w:type="spellEnd"/>
      <w:r>
        <w:t xml:space="preserve"> V et al. Fluorouracil, </w:t>
      </w:r>
      <w:proofErr w:type="spellStart"/>
      <w:r>
        <w:t>epirubicin</w:t>
      </w:r>
      <w:proofErr w:type="spellEnd"/>
      <w:r>
        <w:t xml:space="preserve">, and cyclophosphamide with either </w:t>
      </w:r>
      <w:proofErr w:type="spellStart"/>
      <w:r>
        <w:t>docetaxel</w:t>
      </w:r>
      <w:proofErr w:type="spellEnd"/>
      <w:r>
        <w:t xml:space="preserve"> or </w:t>
      </w:r>
      <w:proofErr w:type="spellStart"/>
      <w:r>
        <w:t>vinorelbine</w:t>
      </w:r>
      <w:proofErr w:type="spellEnd"/>
      <w:r>
        <w:t xml:space="preserve">, with or without </w:t>
      </w:r>
      <w:proofErr w:type="spellStart"/>
      <w:r>
        <w:t>trastuzumab</w:t>
      </w:r>
      <w:proofErr w:type="spellEnd"/>
      <w:r>
        <w:t xml:space="preserve">, as adjuvant treatments of breast cancer: final results of the </w:t>
      </w:r>
      <w:proofErr w:type="spellStart"/>
      <w:r>
        <w:t>FinHer</w:t>
      </w:r>
      <w:proofErr w:type="spellEnd"/>
      <w:r>
        <w:t xml:space="preserve"> Trial. </w:t>
      </w:r>
      <w:r>
        <w:rPr>
          <w:i/>
        </w:rPr>
        <w:t xml:space="preserve">J </w:t>
      </w:r>
      <w:proofErr w:type="spellStart"/>
      <w:r>
        <w:rPr>
          <w:i/>
        </w:rPr>
        <w:t>Clin</w:t>
      </w:r>
      <w:proofErr w:type="spellEnd"/>
      <w:r>
        <w:rPr>
          <w:i/>
        </w:rPr>
        <w:t xml:space="preserve"> </w:t>
      </w:r>
      <w:proofErr w:type="spellStart"/>
      <w:r>
        <w:rPr>
          <w:i/>
        </w:rPr>
        <w:t>Oncol</w:t>
      </w:r>
      <w:proofErr w:type="spellEnd"/>
      <w:r>
        <w:t>. 2009; 27(34): 5685-92.</w:t>
      </w:r>
    </w:p>
    <w:p w:rsidR="00901E80" w:rsidRDefault="00901E80" w:rsidP="001C7900">
      <w:pPr>
        <w:pStyle w:val="ListParagraph"/>
        <w:numPr>
          <w:ilvl w:val="0"/>
          <w:numId w:val="8"/>
        </w:numPr>
        <w:tabs>
          <w:tab w:val="left" w:pos="426"/>
        </w:tabs>
        <w:ind w:left="426" w:hanging="426"/>
        <w:rPr>
          <w:szCs w:val="22"/>
        </w:rPr>
      </w:pPr>
      <w:r>
        <w:t xml:space="preserve">Pivot X, </w:t>
      </w:r>
      <w:proofErr w:type="spellStart"/>
      <w:r>
        <w:t>Romieu</w:t>
      </w:r>
      <w:proofErr w:type="spellEnd"/>
      <w:r>
        <w:t xml:space="preserve"> G, </w:t>
      </w:r>
      <w:proofErr w:type="spellStart"/>
      <w:r>
        <w:t>Debled</w:t>
      </w:r>
      <w:proofErr w:type="spellEnd"/>
      <w:r>
        <w:t xml:space="preserve"> M et al. 6 months versus 12 months of adjuvant </w:t>
      </w:r>
      <w:proofErr w:type="spellStart"/>
      <w:r>
        <w:t>trastuzumab</w:t>
      </w:r>
      <w:proofErr w:type="spellEnd"/>
      <w:r>
        <w:t xml:space="preserve"> for patients with HER2-positive early breast cancer (PHARE): a randomised phase 3 trial. </w:t>
      </w:r>
      <w:r>
        <w:rPr>
          <w:i/>
        </w:rPr>
        <w:t xml:space="preserve">Lancet </w:t>
      </w:r>
      <w:proofErr w:type="spellStart"/>
      <w:r>
        <w:rPr>
          <w:i/>
        </w:rPr>
        <w:t>Oncol</w:t>
      </w:r>
      <w:proofErr w:type="spellEnd"/>
      <w:r w:rsidR="0028372E">
        <w:t>. 2013; 14(8): 741-8.</w:t>
      </w:r>
    </w:p>
    <w:p w:rsidR="00901E80" w:rsidRDefault="00901E80" w:rsidP="001C7900">
      <w:pPr>
        <w:pStyle w:val="ListParagraph"/>
        <w:numPr>
          <w:ilvl w:val="0"/>
          <w:numId w:val="8"/>
        </w:numPr>
        <w:tabs>
          <w:tab w:val="left" w:pos="426"/>
        </w:tabs>
        <w:ind w:left="426" w:hanging="426"/>
        <w:rPr>
          <w:szCs w:val="22"/>
        </w:rPr>
      </w:pPr>
      <w:r>
        <w:rPr>
          <w:szCs w:val="22"/>
        </w:rPr>
        <w:t xml:space="preserve">Wynne C, Harvey V, </w:t>
      </w:r>
      <w:proofErr w:type="spellStart"/>
      <w:r>
        <w:rPr>
          <w:szCs w:val="22"/>
        </w:rPr>
        <w:t>Schwabe</w:t>
      </w:r>
      <w:proofErr w:type="spellEnd"/>
      <w:r>
        <w:rPr>
          <w:szCs w:val="22"/>
        </w:rPr>
        <w:t xml:space="preserve"> C et al. Comparison of subcutaneous and intravenous administration of </w:t>
      </w:r>
      <w:proofErr w:type="spellStart"/>
      <w:r>
        <w:rPr>
          <w:szCs w:val="22"/>
        </w:rPr>
        <w:t>trastuzumab</w:t>
      </w:r>
      <w:proofErr w:type="spellEnd"/>
      <w:r>
        <w:rPr>
          <w:szCs w:val="22"/>
        </w:rPr>
        <w:t xml:space="preserve">: a </w:t>
      </w:r>
      <w:r w:rsidR="00041C9E">
        <w:rPr>
          <w:szCs w:val="22"/>
        </w:rPr>
        <w:t>Phase I</w:t>
      </w:r>
      <w:r>
        <w:rPr>
          <w:szCs w:val="22"/>
        </w:rPr>
        <w:t>/</w:t>
      </w:r>
      <w:proofErr w:type="spellStart"/>
      <w:proofErr w:type="gramStart"/>
      <w:r>
        <w:rPr>
          <w:szCs w:val="22"/>
        </w:rPr>
        <w:t>Ib</w:t>
      </w:r>
      <w:proofErr w:type="spellEnd"/>
      <w:proofErr w:type="gramEnd"/>
      <w:r>
        <w:rPr>
          <w:szCs w:val="22"/>
        </w:rPr>
        <w:t xml:space="preserve"> trial in healthy male volunteers and patients with HER2-positive breast cancer. </w:t>
      </w:r>
      <w:r>
        <w:rPr>
          <w:i/>
          <w:szCs w:val="22"/>
        </w:rPr>
        <w:t xml:space="preserve">J </w:t>
      </w:r>
      <w:proofErr w:type="spellStart"/>
      <w:r>
        <w:rPr>
          <w:i/>
          <w:szCs w:val="22"/>
        </w:rPr>
        <w:t>Clin</w:t>
      </w:r>
      <w:proofErr w:type="spellEnd"/>
      <w:r>
        <w:rPr>
          <w:i/>
          <w:szCs w:val="22"/>
        </w:rPr>
        <w:t xml:space="preserve"> </w:t>
      </w:r>
      <w:proofErr w:type="spellStart"/>
      <w:r>
        <w:rPr>
          <w:i/>
          <w:szCs w:val="22"/>
        </w:rPr>
        <w:t>Pharmacol</w:t>
      </w:r>
      <w:proofErr w:type="spellEnd"/>
      <w:r>
        <w:rPr>
          <w:szCs w:val="22"/>
        </w:rPr>
        <w:t xml:space="preserve"> 2012; published online Feb 22. DOI</w:t>
      </w:r>
      <w:proofErr w:type="gramStart"/>
      <w:r>
        <w:rPr>
          <w:szCs w:val="22"/>
        </w:rPr>
        <w:t>:10.1177</w:t>
      </w:r>
      <w:proofErr w:type="gramEnd"/>
      <w:r>
        <w:rPr>
          <w:szCs w:val="22"/>
        </w:rPr>
        <w:t>/0091270012436560.</w:t>
      </w:r>
    </w:p>
    <w:p w:rsidR="00901E80" w:rsidRPr="00901E80" w:rsidRDefault="00901E80" w:rsidP="00901E80">
      <w:pPr>
        <w:pStyle w:val="ListParagraph"/>
        <w:rPr>
          <w:szCs w:val="22"/>
        </w:rPr>
      </w:pPr>
    </w:p>
    <w:p w:rsidR="008D770F" w:rsidRPr="00AE01C2" w:rsidRDefault="008D770F" w:rsidP="008B5A3E">
      <w:pPr>
        <w:rPr>
          <w:lang w:eastAsia="ja-JP"/>
        </w:rPr>
      </w:pPr>
    </w:p>
    <w:p w:rsidR="003D1E62" w:rsidRPr="001D043B" w:rsidRDefault="008E7846" w:rsidP="002666AC">
      <w:pPr>
        <w:sectPr w:rsidR="003D1E62" w:rsidRPr="001D043B" w:rsidSect="008D770F">
          <w:headerReference w:type="even" r:id="rId93"/>
          <w:headerReference w:type="default" r:id="rId94"/>
          <w:headerReference w:type="first" r:id="rId95"/>
          <w:footerReference w:type="first" r:id="rId96"/>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041C9E">
        <w:trPr>
          <w:trHeight w:hRule="exact" w:val="564"/>
        </w:trPr>
        <w:tc>
          <w:tcPr>
            <w:tcW w:w="9175" w:type="dxa"/>
          </w:tcPr>
          <w:p w:rsidR="00B3567E" w:rsidRPr="00487162" w:rsidRDefault="00B3567E" w:rsidP="00041C9E">
            <w:pPr>
              <w:pStyle w:val="TGASignoff"/>
            </w:pPr>
            <w:r w:rsidRPr="00487162">
              <w:lastRenderedPageBreak/>
              <w:t>Therapeutic Goods Administration</w:t>
            </w:r>
          </w:p>
        </w:tc>
      </w:tr>
      <w:tr w:rsidR="00B3567E" w:rsidRPr="00487162" w:rsidTr="00041C9E">
        <w:trPr>
          <w:trHeight w:val="1221"/>
        </w:trPr>
        <w:tc>
          <w:tcPr>
            <w:tcW w:w="9175" w:type="dxa"/>
            <w:tcMar>
              <w:top w:w="28" w:type="dxa"/>
            </w:tcMar>
          </w:tcPr>
          <w:p w:rsidR="00B3567E" w:rsidRPr="00487162" w:rsidRDefault="00B3567E" w:rsidP="00041C9E">
            <w:pPr>
              <w:pStyle w:val="Address"/>
            </w:pPr>
            <w:r w:rsidRPr="00487162">
              <w:t>PO Box 100 Woden ACT 2606 Australia</w:t>
            </w:r>
          </w:p>
          <w:p w:rsidR="00B3567E" w:rsidRPr="00487162" w:rsidRDefault="00B3567E" w:rsidP="00041C9E">
            <w:pPr>
              <w:pStyle w:val="Address"/>
            </w:pPr>
            <w:r w:rsidRPr="00487162">
              <w:t xml:space="preserve">Email: </w:t>
            </w:r>
            <w:hyperlink r:id="rId97" w:history="1">
              <w:r w:rsidRPr="008D770F">
                <w:rPr>
                  <w:rStyle w:val="Hyperlink"/>
                </w:rPr>
                <w:t>info@tga.gov.au</w:t>
              </w:r>
            </w:hyperlink>
            <w:r w:rsidRPr="00487162">
              <w:t xml:space="preserve">  Phone: 1800 020 653  Fax: 02 6232 8605</w:t>
            </w:r>
          </w:p>
          <w:p w:rsidR="00B3567E" w:rsidRPr="008D770F" w:rsidRDefault="00B30102" w:rsidP="00041C9E">
            <w:pPr>
              <w:pStyle w:val="Address"/>
              <w:spacing w:line="260" w:lineRule="atLeast"/>
              <w:rPr>
                <w:b/>
                <w:color w:val="0000FF"/>
                <w:u w:val="single"/>
              </w:rPr>
            </w:pPr>
            <w:hyperlink r:id="rId98"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99"/>
      <w:headerReference w:type="default" r:id="rId100"/>
      <w:footerReference w:type="default" r:id="rId101"/>
      <w:headerReference w:type="first" r:id="rId102"/>
      <w:footerReference w:type="first" r:id="rId10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27D" w:rsidRDefault="005E127D" w:rsidP="00C40A36">
      <w:pPr>
        <w:spacing w:after="0"/>
      </w:pPr>
      <w:r>
        <w:separator/>
      </w:r>
    </w:p>
  </w:endnote>
  <w:endnote w:type="continuationSeparator" w:id="0">
    <w:p w:rsidR="005E127D" w:rsidRDefault="005E127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5E127D" w:rsidRPr="00487162" w:rsidTr="00901E80">
      <w:trPr>
        <w:trHeight w:val="269"/>
      </w:trPr>
      <w:tc>
        <w:tcPr>
          <w:tcW w:w="7513" w:type="dxa"/>
          <w:tcMar>
            <w:top w:w="142" w:type="dxa"/>
            <w:bottom w:w="0" w:type="dxa"/>
          </w:tcMar>
        </w:tcPr>
        <w:p w:rsidR="005E127D" w:rsidRPr="00487162" w:rsidRDefault="005E127D" w:rsidP="00843ABB">
          <w:pPr>
            <w:pStyle w:val="Footer"/>
          </w:pPr>
          <w:r>
            <w:t>Submission</w:t>
          </w:r>
          <w:r w:rsidRPr="00487162">
            <w:t xml:space="preserve"> PM-20</w:t>
          </w:r>
          <w:r>
            <w:t>13</w:t>
          </w:r>
          <w:r w:rsidRPr="00487162">
            <w:t>-</w:t>
          </w:r>
          <w:r>
            <w:t>04600</w:t>
          </w:r>
          <w:r w:rsidRPr="00487162">
            <w:t>-</w:t>
          </w:r>
          <w:r>
            <w:t>1-1 Extract from the Clinical Evaluation Report for Herceptin</w:t>
          </w:r>
        </w:p>
      </w:tc>
      <w:tc>
        <w:tcPr>
          <w:tcW w:w="1348" w:type="dxa"/>
          <w:tcMar>
            <w:top w:w="142" w:type="dxa"/>
            <w:bottom w:w="0" w:type="dxa"/>
          </w:tcMar>
        </w:tcPr>
        <w:p w:rsidR="005E127D" w:rsidRPr="00981D66" w:rsidRDefault="005E127D" w:rsidP="00901E80">
          <w:pPr>
            <w:pStyle w:val="Footer"/>
            <w:jc w:val="center"/>
          </w:pPr>
          <w:r w:rsidRPr="00981D66">
            <w:t xml:space="preserve">Page </w:t>
          </w:r>
          <w:r w:rsidRPr="00981D66">
            <w:fldChar w:fldCharType="begin"/>
          </w:r>
          <w:r w:rsidRPr="00981D66">
            <w:instrText xml:space="preserve"> PAGE  \* Arabic  \* MERGEFORMAT </w:instrText>
          </w:r>
          <w:r w:rsidRPr="00981D66">
            <w:fldChar w:fldCharType="separate"/>
          </w:r>
          <w:r w:rsidR="00B30102">
            <w:rPr>
              <w:noProof/>
            </w:rPr>
            <w:t>2</w:t>
          </w:r>
          <w:r w:rsidRPr="00981D66">
            <w:fldChar w:fldCharType="end"/>
          </w:r>
          <w:r w:rsidRPr="00981D66">
            <w:t xml:space="preserve"> of </w:t>
          </w:r>
          <w:r w:rsidR="00B30102">
            <w:fldChar w:fldCharType="begin"/>
          </w:r>
          <w:r w:rsidR="00B30102">
            <w:instrText xml:space="preserve"> NUMPAGES  \* Arabic  \* MERGEFORMAT </w:instrText>
          </w:r>
          <w:r w:rsidR="00B30102">
            <w:fldChar w:fldCharType="separate"/>
          </w:r>
          <w:r w:rsidR="00B30102">
            <w:rPr>
              <w:noProof/>
            </w:rPr>
            <w:t>69</w:t>
          </w:r>
          <w:r w:rsidR="00B30102">
            <w:rPr>
              <w:noProof/>
            </w:rPr>
            <w:fldChar w:fldCharType="end"/>
          </w:r>
        </w:p>
      </w:tc>
    </w:tr>
  </w:tbl>
  <w:p w:rsidR="005E127D" w:rsidRDefault="005E127D"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E127D" w:rsidRPr="00487162" w:rsidTr="00E45619">
      <w:trPr>
        <w:trHeight w:val="269"/>
      </w:trPr>
      <w:tc>
        <w:tcPr>
          <w:tcW w:w="4519" w:type="dxa"/>
          <w:tcBorders>
            <w:top w:val="single" w:sz="4" w:space="0" w:color="auto"/>
          </w:tcBorders>
          <w:tcMar>
            <w:top w:w="142" w:type="dxa"/>
            <w:bottom w:w="0" w:type="dxa"/>
          </w:tcMar>
        </w:tcPr>
        <w:p w:rsidR="005E127D" w:rsidRPr="00487162" w:rsidRDefault="005E127D" w:rsidP="00FE1DEE">
          <w:pPr>
            <w:pStyle w:val="Footer"/>
          </w:pPr>
          <w:r w:rsidRPr="00487162">
            <w:t>Document title, Part #, Section # - Section title</w:t>
          </w:r>
        </w:p>
        <w:p w:rsidR="005E127D" w:rsidRPr="00487162" w:rsidRDefault="005E127D" w:rsidP="00FE1DEE">
          <w:pPr>
            <w:pStyle w:val="Footer"/>
          </w:pPr>
          <w:r w:rsidRPr="00487162">
            <w:t>V1.0 October 2010</w:t>
          </w:r>
        </w:p>
      </w:tc>
      <w:tc>
        <w:tcPr>
          <w:tcW w:w="4342" w:type="dxa"/>
          <w:tcBorders>
            <w:top w:val="single" w:sz="4" w:space="0" w:color="auto"/>
          </w:tcBorders>
          <w:tcMar>
            <w:top w:w="142" w:type="dxa"/>
            <w:bottom w:w="0" w:type="dxa"/>
          </w:tcMar>
        </w:tcPr>
        <w:p w:rsidR="005E127D" w:rsidRPr="00487162" w:rsidRDefault="005E127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30102">
            <w:fldChar w:fldCharType="begin"/>
          </w:r>
          <w:r w:rsidR="00B30102">
            <w:instrText xml:space="preserve"> NUMPAGES  </w:instrText>
          </w:r>
          <w:r w:rsidR="00B30102">
            <w:fldChar w:fldCharType="separate"/>
          </w:r>
          <w:r w:rsidR="001C3DEE">
            <w:rPr>
              <w:noProof/>
            </w:rPr>
            <w:t>70</w:t>
          </w:r>
          <w:r w:rsidR="00B30102">
            <w:rPr>
              <w:noProof/>
            </w:rPr>
            <w:fldChar w:fldCharType="end"/>
          </w:r>
        </w:p>
      </w:tc>
    </w:tr>
  </w:tbl>
  <w:p w:rsidR="005E127D" w:rsidRDefault="005E12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27D" w:rsidRDefault="005E127D"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E127D" w:rsidTr="0010601F">
      <w:trPr>
        <w:trHeight w:val="108"/>
      </w:trPr>
      <w:tc>
        <w:tcPr>
          <w:tcW w:w="8875" w:type="dxa"/>
          <w:gridSpan w:val="2"/>
          <w:tcBorders>
            <w:bottom w:val="single" w:sz="4" w:space="0" w:color="auto"/>
          </w:tcBorders>
          <w:tcMar>
            <w:right w:w="284" w:type="dxa"/>
          </w:tcMar>
        </w:tcPr>
        <w:p w:rsidR="005E127D" w:rsidRDefault="005E127D" w:rsidP="006E08B3">
          <w:pPr>
            <w:pStyle w:val="Heading3"/>
          </w:pPr>
          <w:r>
            <w:t>Copyright</w:t>
          </w:r>
        </w:p>
        <w:p w:rsidR="005E127D" w:rsidRDefault="005E127D" w:rsidP="006E08B3">
          <w:r>
            <w:rPr>
              <w:rFonts w:cs="Arial"/>
            </w:rPr>
            <w:t>©</w:t>
          </w:r>
          <w:r>
            <w:t xml:space="preserve"> Commonwealth of Australia [add year]</w:t>
          </w:r>
        </w:p>
        <w:p w:rsidR="005E127D" w:rsidRDefault="005E127D" w:rsidP="006E08B3"/>
        <w:p w:rsidR="005E127D" w:rsidRDefault="005E127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E127D" w:rsidRDefault="005E127D" w:rsidP="006E08B3"/>
        <w:p w:rsidR="005E127D" w:rsidRDefault="005E127D" w:rsidP="006E08B3">
          <w:pPr>
            <w:pStyle w:val="Heading3"/>
          </w:pPr>
          <w:r>
            <w:t>Confidentiality</w:t>
          </w:r>
        </w:p>
        <w:p w:rsidR="005E127D" w:rsidRDefault="005E127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E127D" w:rsidRDefault="005E127D" w:rsidP="006E08B3"/>
        <w:p w:rsidR="005E127D" w:rsidRDefault="005E127D" w:rsidP="006E08B3">
          <w:r>
            <w:t>For submission made by individuals, all personal details, other than your name, will be removed from your submission before it is published on the TGA’s Internet site.</w:t>
          </w:r>
        </w:p>
        <w:p w:rsidR="005E127D" w:rsidRDefault="005E127D" w:rsidP="006E08B3"/>
        <w:p w:rsidR="005E127D" w:rsidRDefault="005E127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E127D" w:rsidTr="0010601F">
      <w:trPr>
        <w:trHeight w:val="417"/>
      </w:trPr>
      <w:tc>
        <w:tcPr>
          <w:tcW w:w="4519" w:type="dxa"/>
          <w:tcBorders>
            <w:top w:val="single" w:sz="4" w:space="0" w:color="auto"/>
          </w:tcBorders>
          <w:tcMar>
            <w:top w:w="142" w:type="dxa"/>
            <w:bottom w:w="0" w:type="dxa"/>
          </w:tcMar>
        </w:tcPr>
        <w:p w:rsidR="005E127D" w:rsidRDefault="005E127D" w:rsidP="006E08B3">
          <w:r>
            <w:t>Document title, Part #, Section # - Section title</w:t>
          </w:r>
        </w:p>
        <w:p w:rsidR="005E127D" w:rsidRDefault="005E127D" w:rsidP="006E08B3">
          <w:r>
            <w:t>V1.0 October 2010</w:t>
          </w:r>
        </w:p>
      </w:tc>
      <w:tc>
        <w:tcPr>
          <w:tcW w:w="4356" w:type="dxa"/>
          <w:tcBorders>
            <w:top w:val="single" w:sz="4" w:space="0" w:color="auto"/>
          </w:tcBorders>
          <w:tcMar>
            <w:top w:w="142" w:type="dxa"/>
            <w:bottom w:w="0" w:type="dxa"/>
          </w:tcMar>
        </w:tcPr>
        <w:p w:rsidR="005E127D" w:rsidRDefault="005E127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30102">
            <w:fldChar w:fldCharType="begin"/>
          </w:r>
          <w:r w:rsidR="00B30102">
            <w:instrText xml:space="preserve"> NUMPAGES  \* Arabic </w:instrText>
          </w:r>
          <w:r w:rsidR="00B30102">
            <w:fldChar w:fldCharType="separate"/>
          </w:r>
          <w:r w:rsidR="001C3DEE">
            <w:rPr>
              <w:noProof/>
            </w:rPr>
            <w:t>70</w:t>
          </w:r>
          <w:r w:rsidR="00B30102">
            <w:rPr>
              <w:noProof/>
            </w:rPr>
            <w:fldChar w:fldCharType="end"/>
          </w:r>
          <w:r>
            <w:t xml:space="preserve">  </w:t>
          </w:r>
        </w:p>
      </w:tc>
    </w:tr>
  </w:tbl>
  <w:p w:rsidR="005E127D" w:rsidRDefault="005E12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27D" w:rsidRDefault="005E127D" w:rsidP="00C40A36">
      <w:pPr>
        <w:spacing w:after="0"/>
      </w:pPr>
      <w:r>
        <w:separator/>
      </w:r>
    </w:p>
  </w:footnote>
  <w:footnote w:type="continuationSeparator" w:id="0">
    <w:p w:rsidR="005E127D" w:rsidRDefault="005E127D" w:rsidP="00C40A36">
      <w:pPr>
        <w:spacing w:after="0"/>
      </w:pPr>
      <w:r>
        <w:continuationSeparator/>
      </w:r>
    </w:p>
  </w:footnote>
  <w:footnote w:id="1">
    <w:p w:rsidR="005E127D" w:rsidRDefault="005E127D" w:rsidP="002A12AD">
      <w:pPr>
        <w:pStyle w:val="Caption"/>
      </w:pPr>
      <w:r>
        <w:rPr>
          <w:rStyle w:val="FootnoteReference"/>
        </w:rPr>
        <w:footnoteRef/>
      </w:r>
      <w:r>
        <w:t xml:space="preserve"> </w:t>
      </w:r>
      <w:bookmarkStart w:id="178" w:name="_Toc272679766"/>
      <w:r>
        <w:t>NCI grading of AEs</w:t>
      </w:r>
      <w:bookmarkEnd w:id="178"/>
    </w:p>
    <w:p w:rsidR="005E127D" w:rsidRDefault="005E127D" w:rsidP="002A12AD">
      <w:r>
        <w:rPr>
          <w:noProof/>
          <w:lang w:eastAsia="en-AU"/>
        </w:rPr>
        <w:drawing>
          <wp:inline distT="0" distB="0" distL="0" distR="0" wp14:anchorId="0F97E5DC" wp14:editId="5159EF47">
            <wp:extent cx="3064521" cy="1859280"/>
            <wp:effectExtent l="0" t="0" r="0" b="0"/>
            <wp:docPr id="6" name="Picture 1" descr="Footnote a: NCI grading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0246" cy="1862753"/>
                    </a:xfrm>
                    <a:prstGeom prst="rect">
                      <a:avLst/>
                    </a:prstGeom>
                    <a:noFill/>
                    <a:ln>
                      <a:noFill/>
                    </a:ln>
                  </pic:spPr>
                </pic:pic>
              </a:graphicData>
            </a:graphic>
          </wp:inline>
        </w:drawing>
      </w:r>
    </w:p>
  </w:footnote>
  <w:footnote w:id="2">
    <w:p w:rsidR="005E127D" w:rsidRDefault="005E127D" w:rsidP="002A12AD">
      <w:pPr>
        <w:pStyle w:val="Caption"/>
      </w:pPr>
      <w:r>
        <w:rPr>
          <w:rStyle w:val="FootnoteReference"/>
        </w:rPr>
        <w:footnoteRef/>
      </w:r>
      <w:r>
        <w:t xml:space="preserve"> </w:t>
      </w:r>
      <w:bookmarkStart w:id="179" w:name="_Toc272679767"/>
      <w:r>
        <w:t>NYHA classification of heart failure</w:t>
      </w:r>
      <w:bookmarkEnd w:id="179"/>
    </w:p>
    <w:p w:rsidR="005E127D" w:rsidRDefault="005E127D" w:rsidP="002A12AD">
      <w:pPr>
        <w:tabs>
          <w:tab w:val="left" w:pos="720"/>
        </w:tabs>
      </w:pPr>
      <w:r>
        <w:rPr>
          <w:noProof/>
          <w:lang w:eastAsia="en-AU"/>
        </w:rPr>
        <w:drawing>
          <wp:inline distT="0" distB="0" distL="0" distR="0" wp14:anchorId="023D6624" wp14:editId="08842369">
            <wp:extent cx="3398520" cy="1227486"/>
            <wp:effectExtent l="0" t="0" r="0" b="0"/>
            <wp:docPr id="7" name="Picture 7" descr="Footnote b: NYHA classification of hear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98520" cy="1227486"/>
                    </a:xfrm>
                    <a:prstGeom prst="rect">
                      <a:avLst/>
                    </a:prstGeom>
                    <a:noFill/>
                    <a:ln>
                      <a:noFill/>
                    </a:ln>
                  </pic:spPr>
                </pic:pic>
              </a:graphicData>
            </a:graphic>
          </wp:inline>
        </w:drawing>
      </w:r>
    </w:p>
    <w:p w:rsidR="005E127D" w:rsidRDefault="005E127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27D" w:rsidRDefault="005E127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27D" w:rsidRDefault="005E127D">
    <w:pPr>
      <w:rPr>
        <w:noProof/>
        <w:lang w:eastAsia="en-AU"/>
      </w:rPr>
    </w:pPr>
    <w:r w:rsidRPr="002D545C">
      <w:rPr>
        <w:noProof/>
        <w:lang w:eastAsia="en-AU"/>
      </w:rPr>
      <w:drawing>
        <wp:anchor distT="0" distB="0" distL="114300" distR="114300" simplePos="0" relativeHeight="251659264" behindDoc="1" locked="0" layoutInCell="1" allowOverlap="1" wp14:anchorId="42E90C16" wp14:editId="018171E0">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E127D" w:rsidRDefault="005E127D" w:rsidP="00593AD1">
    <w:pPr>
      <w:pStyle w:val="HeaderNoLine"/>
    </w:pPr>
    <w:r>
      <w:rPr>
        <w:noProof/>
        <w:lang w:eastAsia="en-AU"/>
      </w:rPr>
      <w:drawing>
        <wp:inline distT="0" distB="0" distL="0" distR="0" wp14:anchorId="5DFA5598" wp14:editId="67B2A366">
          <wp:extent cx="5400675" cy="7639050"/>
          <wp:effectExtent l="0" t="0" r="0" b="0"/>
          <wp:docPr id="16" name="Picture 1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27D" w:rsidRDefault="005E12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27D" w:rsidRDefault="005E127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27D" w:rsidRDefault="005E127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27D" w:rsidRDefault="005E127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27D" w:rsidRDefault="005E127D"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27D" w:rsidRDefault="005E127D" w:rsidP="006E08B3">
    <w:r>
      <w:t>Therapeutic Goods Administration</w:t>
    </w:r>
  </w:p>
  <w:p w:rsidR="005E127D" w:rsidRDefault="005E127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4385389"/>
    <w:multiLevelType w:val="hybridMultilevel"/>
    <w:tmpl w:val="CA00F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4">
    <w:nsid w:val="33F91606"/>
    <w:multiLevelType w:val="hybridMultilevel"/>
    <w:tmpl w:val="DE4464EA"/>
    <w:lvl w:ilvl="0" w:tplc="BEC8A46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AC02909"/>
    <w:multiLevelType w:val="hybridMultilevel"/>
    <w:tmpl w:val="FE1E7382"/>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6">
    <w:nsid w:val="6D0B1B75"/>
    <w:multiLevelType w:val="multilevel"/>
    <w:tmpl w:val="27A444E8"/>
    <w:lvl w:ilvl="0">
      <w:start w:val="1"/>
      <w:numFmt w:val="decimal"/>
      <w:pStyle w:val="Heading2"/>
      <w:lvlText w:val="%1."/>
      <w:lvlJc w:val="left"/>
      <w:pPr>
        <w:tabs>
          <w:tab w:val="num" w:pos="6521"/>
        </w:tabs>
        <w:ind w:left="6521"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0"/>
  </w:num>
  <w:num w:numId="3">
    <w:abstractNumId w:val="2"/>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3"/>
  </w:num>
  <w:num w:numId="7">
    <w:abstractNumId w:val="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o:colormenu v:ext="edit" fillcolor="none [3213]" strokecolor="none"/>
    </o:shapedefaults>
  </w:hdrShapeDefaults>
  <w:footnotePr>
    <w:footnote w:id="-1"/>
    <w:footnote w:id="0"/>
  </w:footnotePr>
  <w:endnotePr>
    <w:endnote w:id="-1"/>
    <w:endnote w:id="0"/>
  </w:endnotePr>
  <w:compat>
    <w:compatSetting w:name="compatibilityMode" w:uri="http://schemas.microsoft.com/office/word" w:val="12"/>
  </w:compat>
  <w:rsids>
    <w:rsidRoot w:val="00901E80"/>
    <w:rsid w:val="00002031"/>
    <w:rsid w:val="00004734"/>
    <w:rsid w:val="00006B22"/>
    <w:rsid w:val="0001276A"/>
    <w:rsid w:val="000246AE"/>
    <w:rsid w:val="00025C67"/>
    <w:rsid w:val="00040ACB"/>
    <w:rsid w:val="00041C9E"/>
    <w:rsid w:val="0005559E"/>
    <w:rsid w:val="00077775"/>
    <w:rsid w:val="00090471"/>
    <w:rsid w:val="000A3AED"/>
    <w:rsid w:val="000A63AF"/>
    <w:rsid w:val="000B3532"/>
    <w:rsid w:val="000B3A75"/>
    <w:rsid w:val="000C690F"/>
    <w:rsid w:val="000D1295"/>
    <w:rsid w:val="000D391B"/>
    <w:rsid w:val="000D3D6D"/>
    <w:rsid w:val="000D4FC7"/>
    <w:rsid w:val="000E2ABE"/>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32EE"/>
    <w:rsid w:val="00165389"/>
    <w:rsid w:val="0017078F"/>
    <w:rsid w:val="00174FDD"/>
    <w:rsid w:val="0017693F"/>
    <w:rsid w:val="0018110E"/>
    <w:rsid w:val="00181684"/>
    <w:rsid w:val="001843C6"/>
    <w:rsid w:val="001850E0"/>
    <w:rsid w:val="001A2158"/>
    <w:rsid w:val="001A525F"/>
    <w:rsid w:val="001B09F9"/>
    <w:rsid w:val="001B5D98"/>
    <w:rsid w:val="001B6448"/>
    <w:rsid w:val="001C3DEE"/>
    <w:rsid w:val="001C7900"/>
    <w:rsid w:val="001D7770"/>
    <w:rsid w:val="001E07CF"/>
    <w:rsid w:val="001E59F1"/>
    <w:rsid w:val="001F49EB"/>
    <w:rsid w:val="001F6CBA"/>
    <w:rsid w:val="00200266"/>
    <w:rsid w:val="00201D4E"/>
    <w:rsid w:val="00206F01"/>
    <w:rsid w:val="002076C9"/>
    <w:rsid w:val="00220B8A"/>
    <w:rsid w:val="002257F3"/>
    <w:rsid w:val="00233456"/>
    <w:rsid w:val="002339A5"/>
    <w:rsid w:val="00257848"/>
    <w:rsid w:val="002666AC"/>
    <w:rsid w:val="0027084A"/>
    <w:rsid w:val="0028372E"/>
    <w:rsid w:val="00286434"/>
    <w:rsid w:val="00286C59"/>
    <w:rsid w:val="00292113"/>
    <w:rsid w:val="002942D1"/>
    <w:rsid w:val="0029501A"/>
    <w:rsid w:val="002A12AD"/>
    <w:rsid w:val="002A2177"/>
    <w:rsid w:val="002A64C8"/>
    <w:rsid w:val="002B1638"/>
    <w:rsid w:val="002C63ED"/>
    <w:rsid w:val="002D28C5"/>
    <w:rsid w:val="002D545C"/>
    <w:rsid w:val="002D6161"/>
    <w:rsid w:val="002E4C9A"/>
    <w:rsid w:val="002F11F8"/>
    <w:rsid w:val="002F3F56"/>
    <w:rsid w:val="002F44B5"/>
    <w:rsid w:val="00311AC0"/>
    <w:rsid w:val="00313D7A"/>
    <w:rsid w:val="0032583B"/>
    <w:rsid w:val="00327883"/>
    <w:rsid w:val="00335504"/>
    <w:rsid w:val="003521E8"/>
    <w:rsid w:val="003728F3"/>
    <w:rsid w:val="0037496E"/>
    <w:rsid w:val="0037623D"/>
    <w:rsid w:val="00386150"/>
    <w:rsid w:val="003874CE"/>
    <w:rsid w:val="00390900"/>
    <w:rsid w:val="00396C92"/>
    <w:rsid w:val="003A7F6C"/>
    <w:rsid w:val="003B1113"/>
    <w:rsid w:val="003B1410"/>
    <w:rsid w:val="003B4D60"/>
    <w:rsid w:val="003B634F"/>
    <w:rsid w:val="003B7E39"/>
    <w:rsid w:val="003C58DC"/>
    <w:rsid w:val="003D0A3B"/>
    <w:rsid w:val="003D1E62"/>
    <w:rsid w:val="003E2486"/>
    <w:rsid w:val="003E3208"/>
    <w:rsid w:val="003F0B04"/>
    <w:rsid w:val="0040134E"/>
    <w:rsid w:val="00413C07"/>
    <w:rsid w:val="00415D59"/>
    <w:rsid w:val="00434A9B"/>
    <w:rsid w:val="0043797D"/>
    <w:rsid w:val="00440A2D"/>
    <w:rsid w:val="00442EE5"/>
    <w:rsid w:val="004564A7"/>
    <w:rsid w:val="00457B2E"/>
    <w:rsid w:val="004617BF"/>
    <w:rsid w:val="00463658"/>
    <w:rsid w:val="004722CC"/>
    <w:rsid w:val="004936E4"/>
    <w:rsid w:val="00494E60"/>
    <w:rsid w:val="00497103"/>
    <w:rsid w:val="00497487"/>
    <w:rsid w:val="004A7E13"/>
    <w:rsid w:val="004B2CE5"/>
    <w:rsid w:val="004B7B76"/>
    <w:rsid w:val="004C2DCA"/>
    <w:rsid w:val="004C5DE2"/>
    <w:rsid w:val="004C7E12"/>
    <w:rsid w:val="004F0F38"/>
    <w:rsid w:val="004F4AF5"/>
    <w:rsid w:val="00501921"/>
    <w:rsid w:val="005146A3"/>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31D"/>
    <w:rsid w:val="005C79A4"/>
    <w:rsid w:val="005D5442"/>
    <w:rsid w:val="005E127D"/>
    <w:rsid w:val="00603F32"/>
    <w:rsid w:val="00620406"/>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2C85"/>
    <w:rsid w:val="006D5D3E"/>
    <w:rsid w:val="006E08B3"/>
    <w:rsid w:val="006F17AC"/>
    <w:rsid w:val="006F1D37"/>
    <w:rsid w:val="006F26D0"/>
    <w:rsid w:val="006F2796"/>
    <w:rsid w:val="006F572E"/>
    <w:rsid w:val="007046D6"/>
    <w:rsid w:val="00705DB0"/>
    <w:rsid w:val="007123A4"/>
    <w:rsid w:val="00722B57"/>
    <w:rsid w:val="00722E08"/>
    <w:rsid w:val="007405A2"/>
    <w:rsid w:val="0074253D"/>
    <w:rsid w:val="0074429B"/>
    <w:rsid w:val="007513B4"/>
    <w:rsid w:val="007615BC"/>
    <w:rsid w:val="00762F05"/>
    <w:rsid w:val="007652FF"/>
    <w:rsid w:val="00770EF1"/>
    <w:rsid w:val="00773EF7"/>
    <w:rsid w:val="00774E1D"/>
    <w:rsid w:val="0077675A"/>
    <w:rsid w:val="00780355"/>
    <w:rsid w:val="00785721"/>
    <w:rsid w:val="00793A59"/>
    <w:rsid w:val="007A2349"/>
    <w:rsid w:val="007A6CD5"/>
    <w:rsid w:val="007B6E9F"/>
    <w:rsid w:val="007C1216"/>
    <w:rsid w:val="007C1AF7"/>
    <w:rsid w:val="007C7E5E"/>
    <w:rsid w:val="007E0BCC"/>
    <w:rsid w:val="007E6E27"/>
    <w:rsid w:val="007E772E"/>
    <w:rsid w:val="00805D27"/>
    <w:rsid w:val="00807BB2"/>
    <w:rsid w:val="00821776"/>
    <w:rsid w:val="008321F5"/>
    <w:rsid w:val="00832369"/>
    <w:rsid w:val="00834660"/>
    <w:rsid w:val="00836BC2"/>
    <w:rsid w:val="008414A0"/>
    <w:rsid w:val="00843ABB"/>
    <w:rsid w:val="00845193"/>
    <w:rsid w:val="00850C2B"/>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1E80"/>
    <w:rsid w:val="00902A21"/>
    <w:rsid w:val="00906DAA"/>
    <w:rsid w:val="00920330"/>
    <w:rsid w:val="009219D7"/>
    <w:rsid w:val="00922D53"/>
    <w:rsid w:val="00923B70"/>
    <w:rsid w:val="00924482"/>
    <w:rsid w:val="00930237"/>
    <w:rsid w:val="009438E8"/>
    <w:rsid w:val="00946EA5"/>
    <w:rsid w:val="0095160F"/>
    <w:rsid w:val="00963C08"/>
    <w:rsid w:val="00981D66"/>
    <w:rsid w:val="0098585A"/>
    <w:rsid w:val="0098669D"/>
    <w:rsid w:val="00994C95"/>
    <w:rsid w:val="009A4CED"/>
    <w:rsid w:val="009A690D"/>
    <w:rsid w:val="009B1D12"/>
    <w:rsid w:val="009B416B"/>
    <w:rsid w:val="009C4BD5"/>
    <w:rsid w:val="009D7B77"/>
    <w:rsid w:val="009E0BB0"/>
    <w:rsid w:val="009E3FBB"/>
    <w:rsid w:val="00A07DC1"/>
    <w:rsid w:val="00A102E4"/>
    <w:rsid w:val="00A12C42"/>
    <w:rsid w:val="00A14DF7"/>
    <w:rsid w:val="00A235D9"/>
    <w:rsid w:val="00A3246D"/>
    <w:rsid w:val="00A32711"/>
    <w:rsid w:val="00A36FA7"/>
    <w:rsid w:val="00A475B7"/>
    <w:rsid w:val="00A47AF7"/>
    <w:rsid w:val="00A47C3E"/>
    <w:rsid w:val="00A50226"/>
    <w:rsid w:val="00A60BAD"/>
    <w:rsid w:val="00A80628"/>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0102"/>
    <w:rsid w:val="00B33588"/>
    <w:rsid w:val="00B33863"/>
    <w:rsid w:val="00B3567E"/>
    <w:rsid w:val="00B37D17"/>
    <w:rsid w:val="00B4175E"/>
    <w:rsid w:val="00B452CE"/>
    <w:rsid w:val="00B54C25"/>
    <w:rsid w:val="00B76B91"/>
    <w:rsid w:val="00B77EB1"/>
    <w:rsid w:val="00B811C6"/>
    <w:rsid w:val="00B85A87"/>
    <w:rsid w:val="00B92E08"/>
    <w:rsid w:val="00B96ABC"/>
    <w:rsid w:val="00B96EBE"/>
    <w:rsid w:val="00BA464F"/>
    <w:rsid w:val="00BC622A"/>
    <w:rsid w:val="00BD45E3"/>
    <w:rsid w:val="00BE0A78"/>
    <w:rsid w:val="00BE32A6"/>
    <w:rsid w:val="00BE6252"/>
    <w:rsid w:val="00BE79F0"/>
    <w:rsid w:val="00BF046D"/>
    <w:rsid w:val="00BF1190"/>
    <w:rsid w:val="00BF5D04"/>
    <w:rsid w:val="00C02258"/>
    <w:rsid w:val="00C1164D"/>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8260E"/>
    <w:rsid w:val="00CB6BC0"/>
    <w:rsid w:val="00CC1B7C"/>
    <w:rsid w:val="00CC3392"/>
    <w:rsid w:val="00CC727F"/>
    <w:rsid w:val="00CD225A"/>
    <w:rsid w:val="00CE6299"/>
    <w:rsid w:val="00CF15C3"/>
    <w:rsid w:val="00CF200D"/>
    <w:rsid w:val="00CF2B6F"/>
    <w:rsid w:val="00CF58B6"/>
    <w:rsid w:val="00D017ED"/>
    <w:rsid w:val="00D040D3"/>
    <w:rsid w:val="00D04C65"/>
    <w:rsid w:val="00D224FE"/>
    <w:rsid w:val="00D5339C"/>
    <w:rsid w:val="00D53A31"/>
    <w:rsid w:val="00D6493E"/>
    <w:rsid w:val="00D7301E"/>
    <w:rsid w:val="00D83AE1"/>
    <w:rsid w:val="00D855D4"/>
    <w:rsid w:val="00D87961"/>
    <w:rsid w:val="00D93466"/>
    <w:rsid w:val="00DA1124"/>
    <w:rsid w:val="00DB75B7"/>
    <w:rsid w:val="00DC6E02"/>
    <w:rsid w:val="00DE02AE"/>
    <w:rsid w:val="00DF1D7F"/>
    <w:rsid w:val="00DF4BE4"/>
    <w:rsid w:val="00E02FB4"/>
    <w:rsid w:val="00E07F15"/>
    <w:rsid w:val="00E16379"/>
    <w:rsid w:val="00E20571"/>
    <w:rsid w:val="00E235F7"/>
    <w:rsid w:val="00E23659"/>
    <w:rsid w:val="00E239D4"/>
    <w:rsid w:val="00E26130"/>
    <w:rsid w:val="00E2741C"/>
    <w:rsid w:val="00E40B22"/>
    <w:rsid w:val="00E45619"/>
    <w:rsid w:val="00E4588F"/>
    <w:rsid w:val="00E46DA3"/>
    <w:rsid w:val="00E51BB1"/>
    <w:rsid w:val="00E624A5"/>
    <w:rsid w:val="00E7344E"/>
    <w:rsid w:val="00E91670"/>
    <w:rsid w:val="00E936E3"/>
    <w:rsid w:val="00E979F4"/>
    <w:rsid w:val="00EB0798"/>
    <w:rsid w:val="00EB40AD"/>
    <w:rsid w:val="00EB586E"/>
    <w:rsid w:val="00EB5FC8"/>
    <w:rsid w:val="00EC23DB"/>
    <w:rsid w:val="00ED3CAD"/>
    <w:rsid w:val="00ED5A41"/>
    <w:rsid w:val="00EE1DE8"/>
    <w:rsid w:val="00F033EC"/>
    <w:rsid w:val="00F04F68"/>
    <w:rsid w:val="00F12670"/>
    <w:rsid w:val="00F14B27"/>
    <w:rsid w:val="00F23019"/>
    <w:rsid w:val="00F3148D"/>
    <w:rsid w:val="00F325C5"/>
    <w:rsid w:val="00F32FE0"/>
    <w:rsid w:val="00F35298"/>
    <w:rsid w:val="00F47333"/>
    <w:rsid w:val="00F47E37"/>
    <w:rsid w:val="00F53C07"/>
    <w:rsid w:val="00F54B65"/>
    <w:rsid w:val="00F57A62"/>
    <w:rsid w:val="00F640B6"/>
    <w:rsid w:val="00F64383"/>
    <w:rsid w:val="00F80E40"/>
    <w:rsid w:val="00F848D9"/>
    <w:rsid w:val="00FA5B82"/>
    <w:rsid w:val="00FA639E"/>
    <w:rsid w:val="00FC25E4"/>
    <w:rsid w:val="00FC4EF7"/>
    <w:rsid w:val="00FE1DEE"/>
    <w:rsid w:val="00FE2347"/>
    <w:rsid w:val="00FF2126"/>
    <w:rsid w:val="00FF5755"/>
    <w:rsid w:val="00FF5F1D"/>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colormenu v:ext="edit" fillcolor="none [3213]"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8372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tabs>
        <w:tab w:val="clear" w:pos="652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901E8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5146A3"/>
    <w:pPr>
      <w:framePr w:hSpace="180" w:wrap="around" w:vAnchor="page" w:hAnchor="text" w:y="3316"/>
      <w:numPr>
        <w:ilvl w:val="1"/>
      </w:numPr>
      <w:spacing w:after="360"/>
      <w:ind w:left="170"/>
    </w:pPr>
    <w:rPr>
      <w:rFonts w:ascii="Arial" w:eastAsia="Times New Roman" w:hAnsi="Arial"/>
      <w:bCs/>
      <w:iCs/>
      <w:color w:val="FFFFFF" w:themeColor="background1"/>
      <w:sz w:val="40"/>
      <w:szCs w:val="40"/>
    </w:rPr>
  </w:style>
  <w:style w:type="character" w:customStyle="1" w:styleId="SubtitleChar">
    <w:name w:val="Subtitle Char"/>
    <w:basedOn w:val="DefaultParagraphFont"/>
    <w:link w:val="Subtitle"/>
    <w:uiPriority w:val="11"/>
    <w:rsid w:val="005146A3"/>
    <w:rPr>
      <w:rFonts w:ascii="Arial" w:eastAsia="Times New Roman" w:hAnsi="Arial" w:cs="Times New Roman"/>
      <w:bCs/>
      <w:iCs/>
      <w:color w:val="FFFFFF" w:themeColor="background1"/>
      <w:sz w:val="40"/>
      <w:szCs w:val="40"/>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5146A3"/>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5146A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F57A62"/>
    <w:pPr>
      <w:ind w:left="993"/>
    </w:pPr>
  </w:style>
  <w:style w:type="paragraph" w:styleId="ListParagraph">
    <w:name w:val="List Paragraph"/>
    <w:basedOn w:val="Normal"/>
    <w:uiPriority w:val="34"/>
    <w:qFormat/>
    <w:rsid w:val="00901E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901E80"/>
    <w:pPr>
      <w:numPr>
        <w:numId w:val="6"/>
      </w:numPr>
      <w:spacing w:after="0" w:line="240" w:lineRule="auto"/>
    </w:pPr>
    <w:rPr>
      <w:rFonts w:eastAsia="Times New Roman"/>
      <w:kern w:val="24"/>
      <w:szCs w:val="24"/>
      <w:lang w:eastAsia="en-AU"/>
    </w:rPr>
  </w:style>
  <w:style w:type="paragraph" w:customStyle="1" w:styleId="Bullet2">
    <w:name w:val="Bullet 2"/>
    <w:basedOn w:val="Bullet1"/>
    <w:rsid w:val="00901E80"/>
    <w:pPr>
      <w:numPr>
        <w:numId w:val="7"/>
      </w:numPr>
    </w:pPr>
  </w:style>
  <w:style w:type="paragraph" w:customStyle="1" w:styleId="Comment1">
    <w:name w:val="Comment 1"/>
    <w:basedOn w:val="Normal"/>
    <w:next w:val="Normal"/>
    <w:qFormat/>
    <w:rsid w:val="00901E8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8Char">
    <w:name w:val="Heading 8 Char"/>
    <w:basedOn w:val="DefaultParagraphFont"/>
    <w:link w:val="Heading8"/>
    <w:uiPriority w:val="9"/>
    <w:semiHidden/>
    <w:rsid w:val="00901E8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01E8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Abbreviations">
    <w:name w:val="Abbreviations"/>
    <w:basedOn w:val="Normal"/>
    <w:rsid w:val="0020026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uiPriority w:val="99"/>
    <w:semiHidden/>
    <w:unhideWhenUsed/>
    <w:rsid w:val="002A12A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A12AD"/>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2A12AD"/>
    <w:rPr>
      <w:vertAlign w:val="superscript"/>
    </w:rPr>
  </w:style>
  <w:style w:type="paragraph" w:styleId="Revision">
    <w:name w:val="Revision"/>
    <w:hidden/>
    <w:uiPriority w:val="99"/>
    <w:semiHidden/>
    <w:rsid w:val="00E91670"/>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81657">
      <w:bodyDiv w:val="1"/>
      <w:marLeft w:val="0"/>
      <w:marRight w:val="0"/>
      <w:marTop w:val="0"/>
      <w:marBottom w:val="0"/>
      <w:divBdr>
        <w:top w:val="none" w:sz="0" w:space="0" w:color="auto"/>
        <w:left w:val="none" w:sz="0" w:space="0" w:color="auto"/>
        <w:bottom w:val="none" w:sz="0" w:space="0" w:color="auto"/>
        <w:right w:val="none" w:sz="0" w:space="0" w:color="auto"/>
      </w:divBdr>
    </w:div>
    <w:div w:id="426119529">
      <w:bodyDiv w:val="1"/>
      <w:marLeft w:val="0"/>
      <w:marRight w:val="0"/>
      <w:marTop w:val="0"/>
      <w:marBottom w:val="0"/>
      <w:divBdr>
        <w:top w:val="none" w:sz="0" w:space="0" w:color="auto"/>
        <w:left w:val="none" w:sz="0" w:space="0" w:color="auto"/>
        <w:bottom w:val="none" w:sz="0" w:space="0" w:color="auto"/>
        <w:right w:val="none" w:sz="0" w:space="0" w:color="auto"/>
      </w:divBdr>
    </w:div>
    <w:div w:id="434449244">
      <w:bodyDiv w:val="1"/>
      <w:marLeft w:val="0"/>
      <w:marRight w:val="0"/>
      <w:marTop w:val="0"/>
      <w:marBottom w:val="0"/>
      <w:divBdr>
        <w:top w:val="none" w:sz="0" w:space="0" w:color="auto"/>
        <w:left w:val="none" w:sz="0" w:space="0" w:color="auto"/>
        <w:bottom w:val="none" w:sz="0" w:space="0" w:color="auto"/>
        <w:right w:val="none" w:sz="0" w:space="0" w:color="auto"/>
      </w:divBdr>
    </w:div>
    <w:div w:id="505290691">
      <w:bodyDiv w:val="1"/>
      <w:marLeft w:val="0"/>
      <w:marRight w:val="0"/>
      <w:marTop w:val="0"/>
      <w:marBottom w:val="0"/>
      <w:divBdr>
        <w:top w:val="none" w:sz="0" w:space="0" w:color="auto"/>
        <w:left w:val="none" w:sz="0" w:space="0" w:color="auto"/>
        <w:bottom w:val="none" w:sz="0" w:space="0" w:color="auto"/>
        <w:right w:val="none" w:sz="0" w:space="0" w:color="auto"/>
      </w:divBdr>
    </w:div>
    <w:div w:id="593124577">
      <w:bodyDiv w:val="1"/>
      <w:marLeft w:val="0"/>
      <w:marRight w:val="0"/>
      <w:marTop w:val="0"/>
      <w:marBottom w:val="0"/>
      <w:divBdr>
        <w:top w:val="none" w:sz="0" w:space="0" w:color="auto"/>
        <w:left w:val="none" w:sz="0" w:space="0" w:color="auto"/>
        <w:bottom w:val="none" w:sz="0" w:space="0" w:color="auto"/>
        <w:right w:val="none" w:sz="0" w:space="0" w:color="auto"/>
      </w:divBdr>
    </w:div>
    <w:div w:id="635910386">
      <w:bodyDiv w:val="1"/>
      <w:marLeft w:val="0"/>
      <w:marRight w:val="0"/>
      <w:marTop w:val="0"/>
      <w:marBottom w:val="0"/>
      <w:divBdr>
        <w:top w:val="none" w:sz="0" w:space="0" w:color="auto"/>
        <w:left w:val="none" w:sz="0" w:space="0" w:color="auto"/>
        <w:bottom w:val="none" w:sz="0" w:space="0" w:color="auto"/>
        <w:right w:val="none" w:sz="0" w:space="0" w:color="auto"/>
      </w:divBdr>
    </w:div>
    <w:div w:id="650596362">
      <w:bodyDiv w:val="1"/>
      <w:marLeft w:val="0"/>
      <w:marRight w:val="0"/>
      <w:marTop w:val="0"/>
      <w:marBottom w:val="0"/>
      <w:divBdr>
        <w:top w:val="none" w:sz="0" w:space="0" w:color="auto"/>
        <w:left w:val="none" w:sz="0" w:space="0" w:color="auto"/>
        <w:bottom w:val="none" w:sz="0" w:space="0" w:color="auto"/>
        <w:right w:val="none" w:sz="0" w:space="0" w:color="auto"/>
      </w:divBdr>
    </w:div>
    <w:div w:id="734666511">
      <w:bodyDiv w:val="1"/>
      <w:marLeft w:val="0"/>
      <w:marRight w:val="0"/>
      <w:marTop w:val="0"/>
      <w:marBottom w:val="0"/>
      <w:divBdr>
        <w:top w:val="none" w:sz="0" w:space="0" w:color="auto"/>
        <w:left w:val="none" w:sz="0" w:space="0" w:color="auto"/>
        <w:bottom w:val="none" w:sz="0" w:space="0" w:color="auto"/>
        <w:right w:val="none" w:sz="0" w:space="0" w:color="auto"/>
      </w:divBdr>
    </w:div>
    <w:div w:id="747649216">
      <w:bodyDiv w:val="1"/>
      <w:marLeft w:val="0"/>
      <w:marRight w:val="0"/>
      <w:marTop w:val="0"/>
      <w:marBottom w:val="0"/>
      <w:divBdr>
        <w:top w:val="none" w:sz="0" w:space="0" w:color="auto"/>
        <w:left w:val="none" w:sz="0" w:space="0" w:color="auto"/>
        <w:bottom w:val="none" w:sz="0" w:space="0" w:color="auto"/>
        <w:right w:val="none" w:sz="0" w:space="0" w:color="auto"/>
      </w:divBdr>
    </w:div>
    <w:div w:id="755325311">
      <w:bodyDiv w:val="1"/>
      <w:marLeft w:val="0"/>
      <w:marRight w:val="0"/>
      <w:marTop w:val="0"/>
      <w:marBottom w:val="0"/>
      <w:divBdr>
        <w:top w:val="none" w:sz="0" w:space="0" w:color="auto"/>
        <w:left w:val="none" w:sz="0" w:space="0" w:color="auto"/>
        <w:bottom w:val="none" w:sz="0" w:space="0" w:color="auto"/>
        <w:right w:val="none" w:sz="0" w:space="0" w:color="auto"/>
      </w:divBdr>
    </w:div>
    <w:div w:id="839783224">
      <w:bodyDiv w:val="1"/>
      <w:marLeft w:val="0"/>
      <w:marRight w:val="0"/>
      <w:marTop w:val="0"/>
      <w:marBottom w:val="0"/>
      <w:divBdr>
        <w:top w:val="none" w:sz="0" w:space="0" w:color="auto"/>
        <w:left w:val="none" w:sz="0" w:space="0" w:color="auto"/>
        <w:bottom w:val="none" w:sz="0" w:space="0" w:color="auto"/>
        <w:right w:val="none" w:sz="0" w:space="0" w:color="auto"/>
      </w:divBdr>
    </w:div>
    <w:div w:id="867908866">
      <w:bodyDiv w:val="1"/>
      <w:marLeft w:val="0"/>
      <w:marRight w:val="0"/>
      <w:marTop w:val="0"/>
      <w:marBottom w:val="0"/>
      <w:divBdr>
        <w:top w:val="none" w:sz="0" w:space="0" w:color="auto"/>
        <w:left w:val="none" w:sz="0" w:space="0" w:color="auto"/>
        <w:bottom w:val="none" w:sz="0" w:space="0" w:color="auto"/>
        <w:right w:val="none" w:sz="0" w:space="0" w:color="auto"/>
      </w:divBdr>
    </w:div>
    <w:div w:id="886650890">
      <w:bodyDiv w:val="1"/>
      <w:marLeft w:val="0"/>
      <w:marRight w:val="0"/>
      <w:marTop w:val="0"/>
      <w:marBottom w:val="0"/>
      <w:divBdr>
        <w:top w:val="none" w:sz="0" w:space="0" w:color="auto"/>
        <w:left w:val="none" w:sz="0" w:space="0" w:color="auto"/>
        <w:bottom w:val="none" w:sz="0" w:space="0" w:color="auto"/>
        <w:right w:val="none" w:sz="0" w:space="0" w:color="auto"/>
      </w:divBdr>
    </w:div>
    <w:div w:id="984311124">
      <w:bodyDiv w:val="1"/>
      <w:marLeft w:val="0"/>
      <w:marRight w:val="0"/>
      <w:marTop w:val="0"/>
      <w:marBottom w:val="0"/>
      <w:divBdr>
        <w:top w:val="none" w:sz="0" w:space="0" w:color="auto"/>
        <w:left w:val="none" w:sz="0" w:space="0" w:color="auto"/>
        <w:bottom w:val="none" w:sz="0" w:space="0" w:color="auto"/>
        <w:right w:val="none" w:sz="0" w:space="0" w:color="auto"/>
      </w:divBdr>
    </w:div>
    <w:div w:id="1041902172">
      <w:bodyDiv w:val="1"/>
      <w:marLeft w:val="0"/>
      <w:marRight w:val="0"/>
      <w:marTop w:val="0"/>
      <w:marBottom w:val="0"/>
      <w:divBdr>
        <w:top w:val="none" w:sz="0" w:space="0" w:color="auto"/>
        <w:left w:val="none" w:sz="0" w:space="0" w:color="auto"/>
        <w:bottom w:val="none" w:sz="0" w:space="0" w:color="auto"/>
        <w:right w:val="none" w:sz="0" w:space="0" w:color="auto"/>
      </w:divBdr>
    </w:div>
    <w:div w:id="1077436474">
      <w:bodyDiv w:val="1"/>
      <w:marLeft w:val="0"/>
      <w:marRight w:val="0"/>
      <w:marTop w:val="0"/>
      <w:marBottom w:val="0"/>
      <w:divBdr>
        <w:top w:val="none" w:sz="0" w:space="0" w:color="auto"/>
        <w:left w:val="none" w:sz="0" w:space="0" w:color="auto"/>
        <w:bottom w:val="none" w:sz="0" w:space="0" w:color="auto"/>
        <w:right w:val="none" w:sz="0" w:space="0" w:color="auto"/>
      </w:divBdr>
    </w:div>
    <w:div w:id="1110316823">
      <w:bodyDiv w:val="1"/>
      <w:marLeft w:val="0"/>
      <w:marRight w:val="0"/>
      <w:marTop w:val="0"/>
      <w:marBottom w:val="0"/>
      <w:divBdr>
        <w:top w:val="none" w:sz="0" w:space="0" w:color="auto"/>
        <w:left w:val="none" w:sz="0" w:space="0" w:color="auto"/>
        <w:bottom w:val="none" w:sz="0" w:space="0" w:color="auto"/>
        <w:right w:val="none" w:sz="0" w:space="0" w:color="auto"/>
      </w:divBdr>
    </w:div>
    <w:div w:id="1333264926">
      <w:bodyDiv w:val="1"/>
      <w:marLeft w:val="0"/>
      <w:marRight w:val="0"/>
      <w:marTop w:val="0"/>
      <w:marBottom w:val="0"/>
      <w:divBdr>
        <w:top w:val="none" w:sz="0" w:space="0" w:color="auto"/>
        <w:left w:val="none" w:sz="0" w:space="0" w:color="auto"/>
        <w:bottom w:val="none" w:sz="0" w:space="0" w:color="auto"/>
        <w:right w:val="none" w:sz="0" w:space="0" w:color="auto"/>
      </w:divBdr>
    </w:div>
    <w:div w:id="1337540716">
      <w:bodyDiv w:val="1"/>
      <w:marLeft w:val="0"/>
      <w:marRight w:val="0"/>
      <w:marTop w:val="0"/>
      <w:marBottom w:val="0"/>
      <w:divBdr>
        <w:top w:val="none" w:sz="0" w:space="0" w:color="auto"/>
        <w:left w:val="none" w:sz="0" w:space="0" w:color="auto"/>
        <w:bottom w:val="none" w:sz="0" w:space="0" w:color="auto"/>
        <w:right w:val="none" w:sz="0" w:space="0" w:color="auto"/>
      </w:divBdr>
    </w:div>
    <w:div w:id="1587573060">
      <w:bodyDiv w:val="1"/>
      <w:marLeft w:val="0"/>
      <w:marRight w:val="0"/>
      <w:marTop w:val="0"/>
      <w:marBottom w:val="0"/>
      <w:divBdr>
        <w:top w:val="none" w:sz="0" w:space="0" w:color="auto"/>
        <w:left w:val="none" w:sz="0" w:space="0" w:color="auto"/>
        <w:bottom w:val="none" w:sz="0" w:space="0" w:color="auto"/>
        <w:right w:val="none" w:sz="0" w:space="0" w:color="auto"/>
      </w:divBdr>
    </w:div>
    <w:div w:id="1636641066">
      <w:bodyDiv w:val="1"/>
      <w:marLeft w:val="0"/>
      <w:marRight w:val="0"/>
      <w:marTop w:val="0"/>
      <w:marBottom w:val="0"/>
      <w:divBdr>
        <w:top w:val="none" w:sz="0" w:space="0" w:color="auto"/>
        <w:left w:val="none" w:sz="0" w:space="0" w:color="auto"/>
        <w:bottom w:val="none" w:sz="0" w:space="0" w:color="auto"/>
        <w:right w:val="none" w:sz="0" w:space="0" w:color="auto"/>
      </w:divBdr>
    </w:div>
    <w:div w:id="1816485996">
      <w:bodyDiv w:val="1"/>
      <w:marLeft w:val="0"/>
      <w:marRight w:val="0"/>
      <w:marTop w:val="0"/>
      <w:marBottom w:val="0"/>
      <w:divBdr>
        <w:top w:val="none" w:sz="0" w:space="0" w:color="auto"/>
        <w:left w:val="none" w:sz="0" w:space="0" w:color="auto"/>
        <w:bottom w:val="none" w:sz="0" w:space="0" w:color="auto"/>
        <w:right w:val="none" w:sz="0" w:space="0" w:color="auto"/>
      </w:divBdr>
    </w:div>
    <w:div w:id="195004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39.png"/><Relationship Id="rId68" Type="http://schemas.microsoft.com/office/2007/relationships/hdphoto" Target="media/hdphoto16.wdp"/><Relationship Id="rId84" Type="http://schemas.openxmlformats.org/officeDocument/2006/relationships/image" Target="media/image54.png"/><Relationship Id="rId89" Type="http://schemas.microsoft.com/office/2007/relationships/hdphoto" Target="media/hdphoto23.wdp"/><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2.wdp"/><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17.png"/><Relationship Id="rId37" Type="http://schemas.microsoft.com/office/2007/relationships/hdphoto" Target="media/hdphoto6.wdp"/><Relationship Id="rId40" Type="http://schemas.openxmlformats.org/officeDocument/2006/relationships/image" Target="media/image21.png"/><Relationship Id="rId45" Type="http://schemas.microsoft.com/office/2007/relationships/hdphoto" Target="media/hdphoto10.wdp"/><Relationship Id="rId53" Type="http://schemas.openxmlformats.org/officeDocument/2006/relationships/image" Target="media/image31.png"/><Relationship Id="rId58" Type="http://schemas.microsoft.com/office/2007/relationships/hdphoto" Target="media/hdphoto12.wdp"/><Relationship Id="rId66" Type="http://schemas.openxmlformats.org/officeDocument/2006/relationships/image" Target="media/image41.png"/><Relationship Id="rId74" Type="http://schemas.openxmlformats.org/officeDocument/2006/relationships/image" Target="media/image48.png"/><Relationship Id="rId79" Type="http://schemas.microsoft.com/office/2007/relationships/hdphoto" Target="media/hdphoto18.wdp"/><Relationship Id="rId87" Type="http://schemas.microsoft.com/office/2007/relationships/hdphoto" Target="media/hdphoto22.wdp"/><Relationship Id="rId102"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53.png"/><Relationship Id="rId90" Type="http://schemas.openxmlformats.org/officeDocument/2006/relationships/image" Target="media/image57.png"/><Relationship Id="rId95" Type="http://schemas.openxmlformats.org/officeDocument/2006/relationships/header" Target="header5.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microsoft.com/office/2007/relationships/hdphoto" Target="media/hdphoto1.wdp"/><Relationship Id="rId30" Type="http://schemas.openxmlformats.org/officeDocument/2006/relationships/image" Target="media/image16.png"/><Relationship Id="rId35" Type="http://schemas.microsoft.com/office/2007/relationships/hdphoto" Target="media/hdphoto5.wdp"/><Relationship Id="rId43" Type="http://schemas.microsoft.com/office/2007/relationships/hdphoto" Target="media/hdphoto9.wdp"/><Relationship Id="rId48" Type="http://schemas.openxmlformats.org/officeDocument/2006/relationships/image" Target="media/image26.png"/><Relationship Id="rId56" Type="http://schemas.microsoft.com/office/2007/relationships/hdphoto" Target="media/hdphoto11.wdp"/><Relationship Id="rId64" Type="http://schemas.microsoft.com/office/2007/relationships/hdphoto" Target="media/hdphoto15.wdp"/><Relationship Id="rId69" Type="http://schemas.openxmlformats.org/officeDocument/2006/relationships/image" Target="media/image43.png"/><Relationship Id="rId77" Type="http://schemas.microsoft.com/office/2007/relationships/hdphoto" Target="media/hdphoto17.wdp"/><Relationship Id="rId100" Type="http://schemas.openxmlformats.org/officeDocument/2006/relationships/header" Target="header7.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image" Target="media/image52.png"/><Relationship Id="rId85" Type="http://schemas.microsoft.com/office/2007/relationships/hdphoto" Target="media/hdphoto21.wdp"/><Relationship Id="rId93" Type="http://schemas.openxmlformats.org/officeDocument/2006/relationships/header" Target="header3.xml"/><Relationship Id="rId98"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microsoft.com/office/2007/relationships/hdphoto" Target="media/hdphoto4.wdp"/><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2.png"/><Relationship Id="rId103" Type="http://schemas.openxmlformats.org/officeDocument/2006/relationships/footer" Target="footer4.xml"/><Relationship Id="rId20" Type="http://schemas.openxmlformats.org/officeDocument/2006/relationships/image" Target="media/image8.png"/><Relationship Id="rId41" Type="http://schemas.microsoft.com/office/2007/relationships/hdphoto" Target="media/hdphoto8.wdp"/><Relationship Id="rId54" Type="http://schemas.openxmlformats.org/officeDocument/2006/relationships/image" Target="media/image32.png"/><Relationship Id="rId62" Type="http://schemas.microsoft.com/office/2007/relationships/hdphoto" Target="media/hdphoto14.wdp"/><Relationship Id="rId70" Type="http://schemas.openxmlformats.org/officeDocument/2006/relationships/image" Target="media/image44.png"/><Relationship Id="rId75" Type="http://schemas.openxmlformats.org/officeDocument/2006/relationships/image" Target="media/image49.png"/><Relationship Id="rId83" Type="http://schemas.microsoft.com/office/2007/relationships/hdphoto" Target="media/hdphoto20.wdp"/><Relationship Id="rId88" Type="http://schemas.openxmlformats.org/officeDocument/2006/relationships/image" Target="media/image56.png"/><Relationship Id="rId91" Type="http://schemas.openxmlformats.org/officeDocument/2006/relationships/image" Target="media/image58.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36.png"/><Relationship Id="rId10" Type="http://schemas.openxmlformats.org/officeDocument/2006/relationships/hyperlink" Target="https://www.tga.gov.au/product-information-pi" TargetMode="External"/><Relationship Id="rId31" Type="http://schemas.microsoft.com/office/2007/relationships/hdphoto" Target="media/hdphoto3.wdp"/><Relationship Id="rId44" Type="http://schemas.openxmlformats.org/officeDocument/2006/relationships/image" Target="media/image23.png"/><Relationship Id="rId52" Type="http://schemas.openxmlformats.org/officeDocument/2006/relationships/image" Target="media/image30.png"/><Relationship Id="rId60" Type="http://schemas.microsoft.com/office/2007/relationships/hdphoto" Target="media/hdphoto13.wdp"/><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image" Target="media/image51.png"/><Relationship Id="rId81" Type="http://schemas.microsoft.com/office/2007/relationships/hdphoto" Target="media/hdphoto19.wdp"/><Relationship Id="rId86" Type="http://schemas.openxmlformats.org/officeDocument/2006/relationships/image" Target="media/image55.png"/><Relationship Id="rId94" Type="http://schemas.openxmlformats.org/officeDocument/2006/relationships/header" Target="header4.xml"/><Relationship Id="rId99" Type="http://schemas.openxmlformats.org/officeDocument/2006/relationships/header" Target="header6.xml"/><Relationship Id="rId10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6.png"/><Relationship Id="rId39" Type="http://schemas.microsoft.com/office/2007/relationships/hdphoto" Target="media/hdphoto7.wdp"/><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image" Target="media/image35.png"/><Relationship Id="rId76" Type="http://schemas.openxmlformats.org/officeDocument/2006/relationships/image" Target="media/image50.png"/><Relationship Id="rId97" Type="http://schemas.openxmlformats.org/officeDocument/2006/relationships/hyperlink" Target="mailto:info@tga.gov.au" TargetMode="External"/><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828\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DCA09-3F68-4669-B363-8E01927DC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Template>
  <TotalTime>256</TotalTime>
  <Pages>69</Pages>
  <Words>15364</Words>
  <Characters>85427</Characters>
  <Application>Microsoft Office Word</Application>
  <DocSecurity>0</DocSecurity>
  <Lines>2033</Lines>
  <Paragraphs>924</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99867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dc:title>
  <dc:subject>prescription medicine regulation</dc:subject>
  <dc:creator>Hart, Anna</dc:creator>
  <cp:keywords>clinical, evaluation, report, medicine, assessment, regulation, australia</cp:keywords>
  <cp:lastModifiedBy>Schilg, Cassie</cp:lastModifiedBy>
  <cp:revision>23</cp:revision>
  <cp:lastPrinted>2010-12-20T22:59:00Z</cp:lastPrinted>
  <dcterms:created xsi:type="dcterms:W3CDTF">2015-08-03T00:42:00Z</dcterms:created>
  <dcterms:modified xsi:type="dcterms:W3CDTF">2015-08-18T01:30:00Z</dcterms:modified>
</cp:coreProperties>
</file>