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DE168" w14:textId="75B44248" w:rsidR="0077380F" w:rsidRPr="009C3E82" w:rsidRDefault="009C3E82" w:rsidP="009C3E82">
      <w:pPr>
        <w:widowControl w:val="0"/>
        <w:autoSpaceDE/>
        <w:autoSpaceDN/>
        <w:adjustRightInd/>
        <w:spacing w:before="120" w:line="240" w:lineRule="auto"/>
        <w:jc w:val="center"/>
        <w:rPr>
          <w:b/>
          <w:sz w:val="32"/>
          <w:szCs w:val="32"/>
          <w:lang w:val="fr-FR" w:eastAsia="en-GB"/>
        </w:rPr>
      </w:pPr>
      <w:bookmarkStart w:id="0" w:name="_GoBack"/>
      <w:bookmarkEnd w:id="0"/>
      <w:r>
        <w:rPr>
          <w:b/>
          <w:sz w:val="32"/>
          <w:szCs w:val="32"/>
          <w:lang w:val="fr-FR" w:eastAsia="en-GB"/>
        </w:rPr>
        <w:t xml:space="preserve">AUSTRALIAN </w:t>
      </w:r>
      <w:r w:rsidR="00DB4863" w:rsidRPr="00151EA3">
        <w:rPr>
          <w:b/>
          <w:sz w:val="32"/>
          <w:szCs w:val="32"/>
          <w:lang w:val="fr-FR" w:eastAsia="en-GB"/>
        </w:rPr>
        <w:t>PRODUCT INFORMATION</w:t>
      </w:r>
      <w:r>
        <w:rPr>
          <w:b/>
          <w:sz w:val="32"/>
          <w:szCs w:val="32"/>
          <w:lang w:val="fr-FR" w:eastAsia="en-GB"/>
        </w:rPr>
        <w:t xml:space="preserve"> - </w:t>
      </w:r>
      <w:r w:rsidR="005D1137" w:rsidRPr="009C3E82">
        <w:rPr>
          <w:b/>
          <w:sz w:val="32"/>
          <w:szCs w:val="32"/>
          <w:lang w:val="fr-FR" w:eastAsia="en-GB"/>
        </w:rPr>
        <w:t>TAFINLAR</w:t>
      </w:r>
      <w:r w:rsidR="00C556BA" w:rsidRPr="00205AF4">
        <w:rPr>
          <w:b/>
          <w:sz w:val="32"/>
          <w:szCs w:val="32"/>
          <w:vertAlign w:val="superscript"/>
          <w:lang w:val="fr-FR" w:eastAsia="en-GB"/>
        </w:rPr>
        <w:sym w:font="Symbol" w:char="F0E2"/>
      </w:r>
      <w:r w:rsidR="00796D87" w:rsidRPr="009C3E82">
        <w:rPr>
          <w:b/>
          <w:sz w:val="32"/>
          <w:szCs w:val="32"/>
          <w:lang w:val="fr-FR" w:eastAsia="en-GB"/>
        </w:rPr>
        <w:t xml:space="preserve"> </w:t>
      </w:r>
      <w:r>
        <w:rPr>
          <w:b/>
          <w:sz w:val="32"/>
          <w:szCs w:val="32"/>
          <w:lang w:val="fr-FR" w:eastAsia="en-GB"/>
        </w:rPr>
        <w:t xml:space="preserve">(dabrafenib) </w:t>
      </w:r>
      <w:r w:rsidR="00220258" w:rsidRPr="009C3E82">
        <w:rPr>
          <w:b/>
          <w:sz w:val="32"/>
          <w:szCs w:val="32"/>
          <w:lang w:val="fr-FR" w:eastAsia="en-GB"/>
        </w:rPr>
        <w:t>c</w:t>
      </w:r>
      <w:r w:rsidR="00637663" w:rsidRPr="009C3E82">
        <w:rPr>
          <w:b/>
          <w:sz w:val="32"/>
          <w:szCs w:val="32"/>
          <w:lang w:val="fr-FR" w:eastAsia="en-GB"/>
        </w:rPr>
        <w:t>apsules</w:t>
      </w:r>
    </w:p>
    <w:p w14:paraId="07FDE16B" w14:textId="77777777" w:rsidR="00E81E59" w:rsidRPr="00910946" w:rsidRDefault="0077380F" w:rsidP="00910946">
      <w:pPr>
        <w:pStyle w:val="Heading2"/>
        <w:keepNext w:val="0"/>
        <w:numPr>
          <w:ilvl w:val="0"/>
          <w:numId w:val="34"/>
        </w:numPr>
        <w:autoSpaceDE/>
        <w:autoSpaceDN/>
        <w:adjustRightInd/>
        <w:spacing w:before="120" w:line="240" w:lineRule="auto"/>
        <w:rPr>
          <w:bCs/>
          <w:sz w:val="28"/>
          <w:szCs w:val="28"/>
          <w:lang w:val="en-AU"/>
        </w:rPr>
      </w:pPr>
      <w:r w:rsidRPr="00910946">
        <w:rPr>
          <w:bCs/>
          <w:sz w:val="28"/>
          <w:szCs w:val="28"/>
          <w:lang w:val="en-AU"/>
        </w:rPr>
        <w:t>NAME OF THE MEDICINE</w:t>
      </w:r>
    </w:p>
    <w:p w14:paraId="07FDE176" w14:textId="4F96A87E" w:rsidR="00982469" w:rsidRPr="00254BEF" w:rsidRDefault="009C3E82" w:rsidP="00086990">
      <w:pPr>
        <w:ind w:left="360"/>
      </w:pPr>
      <w:proofErr w:type="gramStart"/>
      <w:r w:rsidRPr="00086990">
        <w:t>Dabrafenib.</w:t>
      </w:r>
      <w:proofErr w:type="gramEnd"/>
      <w:r w:rsidRPr="00086990">
        <w:t xml:space="preserve"> </w:t>
      </w:r>
    </w:p>
    <w:p w14:paraId="07FDE177" w14:textId="61CACC01" w:rsidR="00C556BA" w:rsidRPr="00C54309" w:rsidRDefault="00910946" w:rsidP="00C54309">
      <w:pPr>
        <w:pStyle w:val="Heading1"/>
        <w:numPr>
          <w:ilvl w:val="0"/>
          <w:numId w:val="34"/>
        </w:numPr>
        <w:rPr>
          <w:sz w:val="28"/>
          <w:szCs w:val="28"/>
          <w:lang w:eastAsia="en-AU"/>
        </w:rPr>
      </w:pPr>
      <w:r w:rsidRPr="00C54309">
        <w:rPr>
          <w:sz w:val="28"/>
          <w:szCs w:val="28"/>
          <w:lang w:eastAsia="en-AU"/>
        </w:rPr>
        <w:t>QUALITATIVE AND QUANTITATIVE COMPOSI</w:t>
      </w:r>
      <w:r w:rsidR="00E81E59" w:rsidRPr="00C54309">
        <w:rPr>
          <w:sz w:val="28"/>
          <w:szCs w:val="28"/>
          <w:lang w:eastAsia="en-AU"/>
        </w:rPr>
        <w:t>TION</w:t>
      </w:r>
    </w:p>
    <w:p w14:paraId="7DAAD55F" w14:textId="77777777" w:rsidR="00910946" w:rsidRPr="00C54309" w:rsidRDefault="00910946" w:rsidP="00C54309">
      <w:pPr>
        <w:spacing w:after="60" w:line="240" w:lineRule="auto"/>
        <w:ind w:left="357"/>
        <w:rPr>
          <w:b/>
        </w:rPr>
      </w:pPr>
      <w:r w:rsidRPr="00C54309">
        <w:rPr>
          <w:b/>
        </w:rPr>
        <w:t>Active substance</w:t>
      </w:r>
    </w:p>
    <w:p w14:paraId="32A5110F" w14:textId="12645FE7" w:rsidR="00481A56" w:rsidRPr="00FF7C60" w:rsidRDefault="00481A56" w:rsidP="00C54309">
      <w:pPr>
        <w:ind w:left="360"/>
        <w:rPr>
          <w:u w:val="single"/>
        </w:rPr>
      </w:pPr>
      <w:r w:rsidRPr="00FF7C60" w:rsidDel="003533B2">
        <w:rPr>
          <w:u w:val="single"/>
        </w:rPr>
        <w:t xml:space="preserve">TAFINLAR </w:t>
      </w:r>
      <w:r w:rsidRPr="00FF7C60">
        <w:rPr>
          <w:u w:val="single"/>
        </w:rPr>
        <w:t xml:space="preserve">50 mg </w:t>
      </w:r>
      <w:r w:rsidRPr="00FF7C60" w:rsidDel="003533B2">
        <w:rPr>
          <w:u w:val="single"/>
        </w:rPr>
        <w:t xml:space="preserve">capsules </w:t>
      </w:r>
    </w:p>
    <w:p w14:paraId="03123019" w14:textId="2FBFCC61" w:rsidR="00910946" w:rsidRDefault="00481A56" w:rsidP="00C54309">
      <w:pPr>
        <w:ind w:left="360"/>
        <w:rPr>
          <w:u w:val="single"/>
        </w:rPr>
      </w:pPr>
      <w:r>
        <w:t xml:space="preserve">Each hard capsule </w:t>
      </w:r>
      <w:r w:rsidRPr="003533B2" w:rsidDel="003533B2">
        <w:t>contain</w:t>
      </w:r>
      <w:r>
        <w:t>s</w:t>
      </w:r>
      <w:r w:rsidRPr="003533B2" w:rsidDel="003533B2">
        <w:t xml:space="preserve"> dabrafenib mesilate equivalent to 50 mg of dabrafenib. </w:t>
      </w:r>
    </w:p>
    <w:p w14:paraId="3443AA96" w14:textId="77777777" w:rsidR="00910946" w:rsidRPr="00C54309" w:rsidRDefault="00910946" w:rsidP="00C54309">
      <w:pPr>
        <w:ind w:left="360"/>
        <w:rPr>
          <w:u w:val="single"/>
        </w:rPr>
      </w:pPr>
      <w:r w:rsidRPr="00C54309">
        <w:rPr>
          <w:u w:val="single"/>
        </w:rPr>
        <w:t xml:space="preserve">TAFINLAR 75 mg capsules    </w:t>
      </w:r>
    </w:p>
    <w:p w14:paraId="7D4BF1F7" w14:textId="7E393189" w:rsidR="00910946" w:rsidRPr="00996BA9" w:rsidRDefault="00910946" w:rsidP="00C54309">
      <w:pPr>
        <w:ind w:left="360"/>
        <w:rPr>
          <w:u w:val="single"/>
        </w:rPr>
      </w:pPr>
      <w:r>
        <w:t xml:space="preserve">Each hard </w:t>
      </w:r>
      <w:r w:rsidRPr="00254BEF">
        <w:t>capsule</w:t>
      </w:r>
      <w:r>
        <w:t xml:space="preserve"> contains d</w:t>
      </w:r>
      <w:r w:rsidRPr="00A83554">
        <w:t>abrafenib mesilate</w:t>
      </w:r>
      <w:r>
        <w:t xml:space="preserve"> equivalent to 75 mg of</w:t>
      </w:r>
      <w:r w:rsidRPr="00CC0221">
        <w:t xml:space="preserve"> dabrafenib</w:t>
      </w:r>
      <w:r>
        <w:t>.</w:t>
      </w:r>
    </w:p>
    <w:p w14:paraId="7D4F5404" w14:textId="77777777" w:rsidR="00910946" w:rsidRPr="00910946" w:rsidRDefault="00910946" w:rsidP="00910946">
      <w:pPr>
        <w:widowControl w:val="0"/>
        <w:autoSpaceDE/>
        <w:autoSpaceDN/>
        <w:adjustRightInd/>
        <w:spacing w:after="0" w:line="240" w:lineRule="auto"/>
        <w:ind w:left="357"/>
        <w:rPr>
          <w:b/>
        </w:rPr>
      </w:pPr>
      <w:r w:rsidRPr="00910946">
        <w:rPr>
          <w:b/>
        </w:rPr>
        <w:t>Excipients</w:t>
      </w:r>
    </w:p>
    <w:p w14:paraId="6757084C" w14:textId="03A6603F" w:rsidR="00910946" w:rsidRPr="00910946" w:rsidRDefault="00910946" w:rsidP="00910946">
      <w:pPr>
        <w:widowControl w:val="0"/>
        <w:autoSpaceDE/>
        <w:autoSpaceDN/>
        <w:adjustRightInd/>
        <w:spacing w:after="0" w:line="240" w:lineRule="auto"/>
        <w:ind w:left="357"/>
      </w:pPr>
      <w:r w:rsidRPr="00910946">
        <w:t>For the list of excipients, see section 6.1</w:t>
      </w:r>
      <w:r w:rsidR="00775F26" w:rsidRPr="00775F26">
        <w:t xml:space="preserve"> List of Excipients</w:t>
      </w:r>
      <w:r w:rsidRPr="00775F26">
        <w:t>.</w:t>
      </w:r>
    </w:p>
    <w:p w14:paraId="01A7B698" w14:textId="77777777" w:rsidR="00910946" w:rsidRDefault="00910946" w:rsidP="00C54309">
      <w:pPr>
        <w:pStyle w:val="ListParagraph"/>
        <w:spacing w:after="0" w:line="240" w:lineRule="auto"/>
      </w:pPr>
    </w:p>
    <w:p w14:paraId="6BAF0A1A" w14:textId="77777777" w:rsidR="00D87C03" w:rsidRPr="00D87C03" w:rsidRDefault="00D87C03" w:rsidP="00C54309">
      <w:pPr>
        <w:pStyle w:val="Heading1"/>
        <w:numPr>
          <w:ilvl w:val="0"/>
          <w:numId w:val="34"/>
        </w:numPr>
        <w:rPr>
          <w:sz w:val="28"/>
          <w:szCs w:val="28"/>
          <w:lang w:eastAsia="en-AU"/>
        </w:rPr>
      </w:pPr>
      <w:r w:rsidRPr="00D87C03">
        <w:rPr>
          <w:sz w:val="28"/>
          <w:szCs w:val="28"/>
          <w:lang w:eastAsia="en-AU"/>
        </w:rPr>
        <w:t>PHARMACEUTICAL FORM</w:t>
      </w:r>
    </w:p>
    <w:p w14:paraId="2A962A35" w14:textId="77777777" w:rsidR="00422CCF" w:rsidRPr="00C54309" w:rsidRDefault="00422CCF" w:rsidP="00C54309">
      <w:pPr>
        <w:ind w:left="360"/>
        <w:rPr>
          <w:bCs/>
          <w:u w:val="single"/>
        </w:rPr>
      </w:pPr>
      <w:r w:rsidRPr="00C54309">
        <w:rPr>
          <w:bCs/>
          <w:u w:val="single"/>
        </w:rPr>
        <w:t>TAFINLAR 50 mg capsules</w:t>
      </w:r>
    </w:p>
    <w:p w14:paraId="64BC116E" w14:textId="5DDDFF88" w:rsidR="00910946" w:rsidRPr="00C54309" w:rsidRDefault="00422CCF" w:rsidP="00C54309">
      <w:pPr>
        <w:ind w:left="360"/>
      </w:pPr>
      <w:r w:rsidRPr="00C54309">
        <w:t xml:space="preserve">Opaque, size 2 hard </w:t>
      </w:r>
      <w:proofErr w:type="gramStart"/>
      <w:r w:rsidRPr="00C54309">
        <w:t>capsule</w:t>
      </w:r>
      <w:proofErr w:type="gramEnd"/>
      <w:r w:rsidRPr="00C54309">
        <w:t xml:space="preserve"> composed of a dark red body and dark red cap containing a white to slightly coloured solid. The capsule shells are imprinted with GS TEW and 50 mg.</w:t>
      </w:r>
    </w:p>
    <w:p w14:paraId="24973044" w14:textId="77777777" w:rsidR="00881855" w:rsidRPr="00C54309" w:rsidRDefault="00881855" w:rsidP="00C54309">
      <w:pPr>
        <w:ind w:left="360"/>
        <w:rPr>
          <w:bCs/>
          <w:u w:val="single"/>
        </w:rPr>
      </w:pPr>
      <w:r w:rsidRPr="00C54309">
        <w:rPr>
          <w:bCs/>
          <w:u w:val="single"/>
        </w:rPr>
        <w:t xml:space="preserve">TAFINLAR 75 mg capsules </w:t>
      </w:r>
    </w:p>
    <w:p w14:paraId="725F3956" w14:textId="64E6E4B2" w:rsidR="00910946" w:rsidRDefault="00881855" w:rsidP="00C54309">
      <w:pPr>
        <w:ind w:left="360"/>
      </w:pPr>
      <w:r>
        <w:t>O</w:t>
      </w:r>
      <w:r w:rsidRPr="00254BEF">
        <w:t xml:space="preserve">paque, size 1 </w:t>
      </w:r>
      <w:r>
        <w:t xml:space="preserve">hard </w:t>
      </w:r>
      <w:r w:rsidRPr="00254BEF">
        <w:t>capsule composed of a dark pink body and dark pink cap containing a white to slightly coloured solid. The capsule shells are imprinted with GS LHF and 75 mg.</w:t>
      </w:r>
    </w:p>
    <w:p w14:paraId="08E070C3" w14:textId="77777777" w:rsidR="00881855" w:rsidRDefault="00881855" w:rsidP="00C54309">
      <w:pPr>
        <w:pStyle w:val="ListParagraph"/>
        <w:spacing w:after="0" w:line="240" w:lineRule="auto"/>
      </w:pPr>
    </w:p>
    <w:p w14:paraId="70973A90" w14:textId="77777777" w:rsidR="00881855" w:rsidRPr="00881855" w:rsidRDefault="00881855" w:rsidP="00C54309">
      <w:pPr>
        <w:pStyle w:val="Heading1"/>
        <w:numPr>
          <w:ilvl w:val="0"/>
          <w:numId w:val="34"/>
        </w:numPr>
        <w:rPr>
          <w:sz w:val="28"/>
          <w:szCs w:val="28"/>
          <w:lang w:eastAsia="en-AU"/>
        </w:rPr>
      </w:pPr>
      <w:r w:rsidRPr="00881855">
        <w:rPr>
          <w:sz w:val="28"/>
          <w:szCs w:val="28"/>
          <w:lang w:eastAsia="en-AU"/>
        </w:rPr>
        <w:t>CLINICAL PARTICULARS</w:t>
      </w:r>
    </w:p>
    <w:p w14:paraId="749EDD6D" w14:textId="0D34C408" w:rsidR="00885651" w:rsidRPr="00C54309" w:rsidRDefault="00885651" w:rsidP="00C54309">
      <w:pPr>
        <w:pStyle w:val="ListParagraph"/>
        <w:numPr>
          <w:ilvl w:val="0"/>
          <w:numId w:val="35"/>
        </w:numPr>
        <w:autoSpaceDE/>
        <w:autoSpaceDN/>
        <w:adjustRightInd/>
        <w:contextualSpacing/>
        <w:rPr>
          <w:rFonts w:ascii="Times New Roman" w:hAnsi="Times New Roman" w:cs="Times New Roman"/>
          <w:b/>
          <w:sz w:val="24"/>
          <w:szCs w:val="24"/>
        </w:rPr>
      </w:pPr>
      <w:r>
        <w:rPr>
          <w:rFonts w:ascii="Times New Roman" w:hAnsi="Times New Roman" w:cs="Times New Roman"/>
          <w:b/>
          <w:sz w:val="24"/>
          <w:szCs w:val="24"/>
        </w:rPr>
        <w:t>Therapeutic i</w:t>
      </w:r>
      <w:r w:rsidRPr="00C54309">
        <w:rPr>
          <w:rFonts w:ascii="Times New Roman" w:hAnsi="Times New Roman" w:cs="Times New Roman"/>
          <w:b/>
          <w:sz w:val="24"/>
          <w:szCs w:val="24"/>
        </w:rPr>
        <w:t>ndications</w:t>
      </w:r>
    </w:p>
    <w:p w14:paraId="7043A6C6" w14:textId="77777777" w:rsidR="00885651" w:rsidRPr="00C54309" w:rsidRDefault="00885651" w:rsidP="00C54309">
      <w:pPr>
        <w:ind w:left="360"/>
        <w:rPr>
          <w:noProof/>
          <w:u w:val="single"/>
        </w:rPr>
      </w:pPr>
      <w:r w:rsidRPr="00C54309">
        <w:rPr>
          <w:noProof/>
          <w:u w:val="single"/>
        </w:rPr>
        <w:t>Unresectable or metastatic melanoma</w:t>
      </w:r>
    </w:p>
    <w:p w14:paraId="0DA1A6AC" w14:textId="3C51136A" w:rsidR="00885651" w:rsidRDefault="00885651" w:rsidP="00C54309">
      <w:pPr>
        <w:ind w:left="360"/>
        <w:rPr>
          <w:noProof/>
        </w:rPr>
      </w:pPr>
      <w:r>
        <w:rPr>
          <w:noProof/>
        </w:rPr>
        <w:t xml:space="preserve">TAFINLAR in combination with </w:t>
      </w:r>
      <w:r w:rsidR="00DE045D">
        <w:rPr>
          <w:noProof/>
        </w:rPr>
        <w:t>trametinib</w:t>
      </w:r>
      <w:r>
        <w:rPr>
          <w:noProof/>
        </w:rPr>
        <w:t xml:space="preserve"> </w:t>
      </w:r>
      <w:r w:rsidRPr="009737E2">
        <w:rPr>
          <w:noProof/>
        </w:rPr>
        <w:t>is indicated for the treatment of patients with BRAFV600 mutation positive unresectable Stage III or metastatic (Stage IV) melanoma.</w:t>
      </w:r>
    </w:p>
    <w:p w14:paraId="0D83C292" w14:textId="77777777" w:rsidR="00885651" w:rsidRPr="00254BEF" w:rsidRDefault="00885651" w:rsidP="00C54309">
      <w:pPr>
        <w:ind w:left="360"/>
        <w:rPr>
          <w:noProof/>
        </w:rPr>
      </w:pPr>
      <w:r>
        <w:rPr>
          <w:noProof/>
        </w:rPr>
        <w:t>TAFINLAR as monotherapy</w:t>
      </w:r>
      <w:r w:rsidRPr="00254BEF">
        <w:rPr>
          <w:noProof/>
        </w:rPr>
        <w:t xml:space="preserve"> is indicated for the treatment of patients with BRAF V600 mutation positive unresectable</w:t>
      </w:r>
      <w:r>
        <w:rPr>
          <w:noProof/>
        </w:rPr>
        <w:t xml:space="preserve"> Stage III</w:t>
      </w:r>
      <w:r w:rsidRPr="00254BEF">
        <w:rPr>
          <w:noProof/>
        </w:rPr>
        <w:t xml:space="preserve"> or metastatic (Stage IV) melanoma.</w:t>
      </w:r>
    </w:p>
    <w:p w14:paraId="2C922733" w14:textId="77777777" w:rsidR="00885651" w:rsidRPr="00885651" w:rsidRDefault="00885651" w:rsidP="00885651">
      <w:pPr>
        <w:autoSpaceDE/>
        <w:autoSpaceDN/>
        <w:adjustRightInd/>
        <w:ind w:left="360"/>
        <w:rPr>
          <w:noProof/>
          <w:u w:val="single"/>
        </w:rPr>
      </w:pPr>
      <w:r w:rsidRPr="00885651">
        <w:rPr>
          <w:noProof/>
          <w:u w:val="single"/>
        </w:rPr>
        <w:t>Adjuvant treatment of melanoma</w:t>
      </w:r>
    </w:p>
    <w:p w14:paraId="7DF6A3BE" w14:textId="79BF3515" w:rsidR="00885651" w:rsidRPr="00647C82" w:rsidRDefault="00885651" w:rsidP="00885651">
      <w:pPr>
        <w:autoSpaceDE/>
        <w:autoSpaceDN/>
        <w:adjustRightInd/>
        <w:ind w:left="360"/>
        <w:rPr>
          <w:noProof/>
        </w:rPr>
      </w:pPr>
      <w:r>
        <w:rPr>
          <w:noProof/>
        </w:rPr>
        <w:t>TAFINLAR</w:t>
      </w:r>
      <w:r w:rsidRPr="00885651">
        <w:rPr>
          <w:noProof/>
        </w:rPr>
        <w:t xml:space="preserve"> in combination with </w:t>
      </w:r>
      <w:r w:rsidR="00DE045D" w:rsidRPr="00DE045D">
        <w:rPr>
          <w:noProof/>
        </w:rPr>
        <w:t>trametinib</w:t>
      </w:r>
      <w:r w:rsidRPr="00DE045D">
        <w:rPr>
          <w:noProof/>
        </w:rPr>
        <w:t>,</w:t>
      </w:r>
      <w:r w:rsidRPr="00885651">
        <w:rPr>
          <w:noProof/>
        </w:rPr>
        <w:t xml:space="preserve"> is indicated for the adjuvant treatment of patients with a BRAF V600 mutation</w:t>
      </w:r>
      <w:r w:rsidR="0013067E" w:rsidRPr="0013067E">
        <w:rPr>
          <w:noProof/>
        </w:rPr>
        <w:t xml:space="preserve"> and involvement of the lymph node(s)</w:t>
      </w:r>
      <w:r w:rsidRPr="00885651">
        <w:rPr>
          <w:noProof/>
        </w:rPr>
        <w:t>, following complete resection</w:t>
      </w:r>
      <w:r w:rsidRPr="00647C82">
        <w:rPr>
          <w:noProof/>
        </w:rPr>
        <w:t xml:space="preserve">. </w:t>
      </w:r>
    </w:p>
    <w:p w14:paraId="2063DA4C" w14:textId="77777777" w:rsidR="00885651" w:rsidRPr="00885651" w:rsidRDefault="00885651" w:rsidP="00885651">
      <w:pPr>
        <w:widowControl w:val="0"/>
        <w:autoSpaceDE/>
        <w:autoSpaceDN/>
        <w:adjustRightInd/>
        <w:spacing w:after="0" w:line="240" w:lineRule="auto"/>
        <w:ind w:left="360"/>
      </w:pPr>
    </w:p>
    <w:p w14:paraId="2F4FFDB0" w14:textId="046C2CA9" w:rsidR="009849D5" w:rsidRPr="00C54309" w:rsidRDefault="009849D5" w:rsidP="00C54309">
      <w:pPr>
        <w:pStyle w:val="ListParagraph"/>
        <w:numPr>
          <w:ilvl w:val="0"/>
          <w:numId w:val="35"/>
        </w:numPr>
        <w:autoSpaceDE/>
        <w:autoSpaceDN/>
        <w:adjustRightInd/>
        <w:contextualSpacing/>
        <w:rPr>
          <w:rFonts w:ascii="Times New Roman" w:hAnsi="Times New Roman" w:cs="Times New Roman"/>
          <w:b/>
          <w:sz w:val="24"/>
          <w:szCs w:val="24"/>
        </w:rPr>
      </w:pPr>
      <w:r w:rsidRPr="00C54309">
        <w:rPr>
          <w:rFonts w:ascii="Times New Roman" w:hAnsi="Times New Roman" w:cs="Times New Roman"/>
          <w:b/>
          <w:sz w:val="24"/>
          <w:szCs w:val="24"/>
        </w:rPr>
        <w:t xml:space="preserve">Dose </w:t>
      </w:r>
      <w:r>
        <w:rPr>
          <w:rFonts w:ascii="Times New Roman" w:hAnsi="Times New Roman" w:cs="Times New Roman"/>
          <w:b/>
          <w:sz w:val="24"/>
          <w:szCs w:val="24"/>
        </w:rPr>
        <w:t>a</w:t>
      </w:r>
      <w:r w:rsidRPr="00C54309">
        <w:rPr>
          <w:rFonts w:ascii="Times New Roman" w:hAnsi="Times New Roman" w:cs="Times New Roman"/>
          <w:b/>
          <w:sz w:val="24"/>
          <w:szCs w:val="24"/>
        </w:rPr>
        <w:t xml:space="preserve">nd </w:t>
      </w:r>
      <w:r>
        <w:rPr>
          <w:rFonts w:ascii="Times New Roman" w:hAnsi="Times New Roman" w:cs="Times New Roman"/>
          <w:b/>
          <w:sz w:val="24"/>
          <w:szCs w:val="24"/>
        </w:rPr>
        <w:t>method of a</w:t>
      </w:r>
      <w:r w:rsidRPr="00C54309">
        <w:rPr>
          <w:rFonts w:ascii="Times New Roman" w:hAnsi="Times New Roman" w:cs="Times New Roman"/>
          <w:b/>
          <w:sz w:val="24"/>
          <w:szCs w:val="24"/>
        </w:rPr>
        <w:t>dministration</w:t>
      </w:r>
    </w:p>
    <w:p w14:paraId="2AC416CA" w14:textId="77777777" w:rsidR="009849D5" w:rsidRDefault="009849D5" w:rsidP="00C54309">
      <w:pPr>
        <w:ind w:left="360"/>
      </w:pPr>
      <w:r w:rsidRPr="0093397B">
        <w:t xml:space="preserve">Treatment with </w:t>
      </w:r>
      <w:r>
        <w:t>TAFINLAR</w:t>
      </w:r>
      <w:r w:rsidRPr="0093397B">
        <w:t xml:space="preserve"> should be initiated by a physician experienced in the use of anticancer therapies.</w:t>
      </w:r>
    </w:p>
    <w:p w14:paraId="3FAB12A8" w14:textId="47470B6F" w:rsidR="009849D5" w:rsidRDefault="009849D5" w:rsidP="00C54309">
      <w:pPr>
        <w:ind w:left="360"/>
      </w:pPr>
      <w:proofErr w:type="gramStart"/>
      <w:r w:rsidRPr="00BF1F9D">
        <w:lastRenderedPageBreak/>
        <w:t xml:space="preserve">Confirmation of BRAF V600 mutation using an approved/validated test is required for selection of patients appropriate for </w:t>
      </w:r>
      <w:r>
        <w:t>TAFINLAR</w:t>
      </w:r>
      <w:r w:rsidRPr="00BF1F9D">
        <w:t xml:space="preserve"> </w:t>
      </w:r>
      <w:r>
        <w:t>monotherapy and in combination with MEKINIST</w:t>
      </w:r>
      <w:r w:rsidRPr="00620AF0">
        <w:t xml:space="preserve"> (see</w:t>
      </w:r>
      <w:proofErr w:type="gramEnd"/>
      <w:r w:rsidRPr="00620AF0">
        <w:t xml:space="preserve"> </w:t>
      </w:r>
      <w:r w:rsidR="005A4222">
        <w:t>section 5.1</w:t>
      </w:r>
      <w:r w:rsidR="003278E1">
        <w:t xml:space="preserve"> Clinical trials</w:t>
      </w:r>
      <w:r w:rsidRPr="00620AF0">
        <w:t>)</w:t>
      </w:r>
      <w:r w:rsidRPr="00BF1F9D">
        <w:t>.</w:t>
      </w:r>
    </w:p>
    <w:p w14:paraId="20F7979E" w14:textId="7209C398" w:rsidR="009849D5" w:rsidRPr="00BF1F9D" w:rsidRDefault="009849D5" w:rsidP="00C54309">
      <w:pPr>
        <w:ind w:left="360"/>
      </w:pPr>
      <w:r w:rsidRPr="006566D6">
        <w:t xml:space="preserve">When </w:t>
      </w:r>
      <w:r>
        <w:t>TAFINLAR</w:t>
      </w:r>
      <w:r w:rsidRPr="006566D6">
        <w:t xml:space="preserve"> is used in combination with</w:t>
      </w:r>
      <w:r>
        <w:t xml:space="preserve"> MEKINIST (trametinib)</w:t>
      </w:r>
      <w:r w:rsidRPr="006566D6">
        <w:t xml:space="preserve">, refer to the full </w:t>
      </w:r>
      <w:r>
        <w:t>MEKINIST product</w:t>
      </w:r>
      <w:r w:rsidRPr="006566D6">
        <w:t xml:space="preserve"> information, for</w:t>
      </w:r>
      <w:r>
        <w:t xml:space="preserve"> </w:t>
      </w:r>
      <w:r w:rsidRPr="006566D6">
        <w:t>dosing instructions</w:t>
      </w:r>
      <w:r>
        <w:t>.</w:t>
      </w:r>
      <w:r w:rsidRPr="00BF1F9D">
        <w:t xml:space="preserve"> </w:t>
      </w:r>
    </w:p>
    <w:p w14:paraId="5580410B" w14:textId="77777777" w:rsidR="009849D5" w:rsidRDefault="009849D5" w:rsidP="00C54309">
      <w:pPr>
        <w:ind w:left="360"/>
      </w:pPr>
      <w:r w:rsidRPr="00E00E44">
        <w:t>TAFINLAR treatment should continue until disease progression or the development of unacceptable toxicity.</w:t>
      </w:r>
    </w:p>
    <w:p w14:paraId="344C2920" w14:textId="003F1E78" w:rsidR="009849D5" w:rsidRPr="00254BEF" w:rsidRDefault="009849D5" w:rsidP="00C54309">
      <w:pPr>
        <w:ind w:left="360"/>
      </w:pPr>
      <w:r w:rsidRPr="00BF1F9D">
        <w:t xml:space="preserve">The efficacy and safety of </w:t>
      </w:r>
      <w:r>
        <w:t>TAFINLAR</w:t>
      </w:r>
      <w:r w:rsidRPr="00BF1F9D">
        <w:t xml:space="preserve"> have not been established in patients with wild-type BRAF melanoma (</w:t>
      </w:r>
      <w:r w:rsidRPr="00284C3C">
        <w:t>see</w:t>
      </w:r>
      <w:r w:rsidRPr="00BF1F9D">
        <w:rPr>
          <w:i/>
        </w:rPr>
        <w:t xml:space="preserve"> </w:t>
      </w:r>
      <w:r w:rsidR="005A4222" w:rsidRPr="005A4222">
        <w:t>section</w:t>
      </w:r>
      <w:r w:rsidR="005A4222">
        <w:t xml:space="preserve"> 5.1</w:t>
      </w:r>
      <w:r w:rsidR="005A4222" w:rsidRPr="005A4222">
        <w:t xml:space="preserve"> </w:t>
      </w:r>
      <w:r w:rsidR="00830174">
        <w:t>Clinical trials</w:t>
      </w:r>
      <w:r w:rsidRPr="00BF1F9D">
        <w:t xml:space="preserve">). </w:t>
      </w:r>
      <w:r>
        <w:t>TAFINLAR</w:t>
      </w:r>
      <w:r w:rsidRPr="00BF1F9D">
        <w:t xml:space="preserve"> should not be used in patients with BRAF wild-type melanoma</w:t>
      </w:r>
      <w:r>
        <w:t xml:space="preserve"> (see </w:t>
      </w:r>
      <w:r w:rsidR="005A4222">
        <w:t>section 4.4</w:t>
      </w:r>
      <w:r w:rsidR="003278E1">
        <w:t xml:space="preserve"> </w:t>
      </w:r>
      <w:r w:rsidR="003278E1" w:rsidRPr="003278E1">
        <w:t>Special W</w:t>
      </w:r>
      <w:r w:rsidR="003278E1">
        <w:t>arnings and Precautions for Use</w:t>
      </w:r>
      <w:r>
        <w:t>)</w:t>
      </w:r>
      <w:r w:rsidRPr="00BF1F9D">
        <w:t>.</w:t>
      </w:r>
    </w:p>
    <w:p w14:paraId="68D27A34" w14:textId="10808D48" w:rsidR="009849D5" w:rsidRPr="00C54309" w:rsidRDefault="009849D5" w:rsidP="00C54309">
      <w:pPr>
        <w:keepNext/>
        <w:autoSpaceDE/>
        <w:autoSpaceDN/>
        <w:adjustRightInd/>
        <w:ind w:left="360"/>
        <w:rPr>
          <w:u w:val="single"/>
        </w:rPr>
      </w:pPr>
      <w:r w:rsidRPr="00C54309">
        <w:rPr>
          <w:u w:val="single"/>
        </w:rPr>
        <w:t xml:space="preserve">Adult Dose </w:t>
      </w:r>
    </w:p>
    <w:p w14:paraId="11C6E045" w14:textId="77777777" w:rsidR="001E18A0" w:rsidRPr="004D4EBA" w:rsidRDefault="001E18A0" w:rsidP="00C54309">
      <w:pPr>
        <w:ind w:left="360"/>
        <w:rPr>
          <w:i/>
        </w:rPr>
      </w:pPr>
      <w:r w:rsidRPr="004D4EBA">
        <w:rPr>
          <w:i/>
        </w:rPr>
        <w:t>Recommended Dosage for Unresectable or Metastatic Melanoma</w:t>
      </w:r>
    </w:p>
    <w:p w14:paraId="3B765D09" w14:textId="7E22CF15" w:rsidR="009849D5" w:rsidRDefault="009849D5" w:rsidP="00C54309">
      <w:pPr>
        <w:ind w:left="360"/>
      </w:pPr>
      <w:r w:rsidRPr="00254BEF">
        <w:t xml:space="preserve">The recommended dose </w:t>
      </w:r>
      <w:r>
        <w:t xml:space="preserve">of TAFINLAR used as monotherapy or in combination with trametinib </w:t>
      </w:r>
      <w:r w:rsidRPr="00254BEF">
        <w:t xml:space="preserve">is </w:t>
      </w:r>
      <w:r>
        <w:t>TAFINLAR</w:t>
      </w:r>
      <w:r w:rsidRPr="00254BEF">
        <w:t xml:space="preserve"> 150 mg (two 75 mg capsules) </w:t>
      </w:r>
      <w:r w:rsidR="001E18A0">
        <w:t xml:space="preserve">taken </w:t>
      </w:r>
      <w:r w:rsidRPr="00254BEF">
        <w:t>twice daily (corresponding to a total daily dose of 300 mg).</w:t>
      </w:r>
    </w:p>
    <w:p w14:paraId="6CC7535A" w14:textId="77777777" w:rsidR="001E18A0" w:rsidRPr="004D4EBA" w:rsidRDefault="001E18A0" w:rsidP="00C54309">
      <w:pPr>
        <w:ind w:left="360"/>
        <w:rPr>
          <w:i/>
        </w:rPr>
      </w:pPr>
      <w:r w:rsidRPr="004D4EBA">
        <w:rPr>
          <w:i/>
        </w:rPr>
        <w:t>Recommended Dosage for the Adjuvant Treatment of Melanoma</w:t>
      </w:r>
    </w:p>
    <w:p w14:paraId="4553AEFC" w14:textId="78F08CED" w:rsidR="001E18A0" w:rsidRPr="009A63F9" w:rsidRDefault="001E18A0" w:rsidP="009A63F9">
      <w:pPr>
        <w:ind w:left="360"/>
      </w:pPr>
      <w:r w:rsidRPr="001E18A0">
        <w:t>The recommended dosage of TAFINLAR is 150 mg orally taken twice daily in combination with trametinib until disease recurrence or unacceptable toxicity for up to 1 year.</w:t>
      </w:r>
      <w:r w:rsidR="009A63F9" w:rsidRPr="009A63F9">
        <w:t xml:space="preserve"> </w:t>
      </w:r>
    </w:p>
    <w:p w14:paraId="46DBEBED" w14:textId="77777777" w:rsidR="009849D5" w:rsidRPr="00C54309" w:rsidRDefault="009849D5" w:rsidP="00C54309">
      <w:pPr>
        <w:pStyle w:val="Heading3"/>
        <w:ind w:left="360"/>
        <w:rPr>
          <w:b w:val="0"/>
          <w:i/>
          <w:u w:val="single"/>
        </w:rPr>
      </w:pPr>
      <w:r w:rsidRPr="00C54309">
        <w:rPr>
          <w:b w:val="0"/>
          <w:i/>
          <w:u w:val="single"/>
        </w:rPr>
        <w:t>Dose modifications</w:t>
      </w:r>
    </w:p>
    <w:p w14:paraId="7DF6ABC6" w14:textId="77777777" w:rsidR="009849D5" w:rsidRPr="00C54309" w:rsidRDefault="009849D5" w:rsidP="00C54309">
      <w:pPr>
        <w:pStyle w:val="Heading4"/>
        <w:ind w:left="360"/>
        <w:rPr>
          <w:i/>
          <w:u w:val="none"/>
        </w:rPr>
      </w:pPr>
      <w:r w:rsidRPr="00C54309">
        <w:rPr>
          <w:i/>
          <w:u w:val="none"/>
        </w:rPr>
        <w:t>Monotherapy and in combination with MEKINIST</w:t>
      </w:r>
    </w:p>
    <w:p w14:paraId="7B28D279" w14:textId="7F497848" w:rsidR="009849D5" w:rsidRPr="00254BEF" w:rsidRDefault="009849D5" w:rsidP="00C54309">
      <w:pPr>
        <w:spacing w:before="120" w:line="240" w:lineRule="auto"/>
        <w:ind w:left="360"/>
      </w:pPr>
      <w:r w:rsidRPr="00254BEF">
        <w:t xml:space="preserve">The management of adverse reactions </w:t>
      </w:r>
      <w:r>
        <w:t>when TAFINLAR is used as monotherapy or in combination with MEKINIST</w:t>
      </w:r>
      <w:r w:rsidRPr="00254BEF">
        <w:t xml:space="preserve"> </w:t>
      </w:r>
      <w:r>
        <w:t xml:space="preserve">(trametinib) </w:t>
      </w:r>
      <w:r w:rsidRPr="00254BEF">
        <w:t>may require treatment interruption, dose reduction, or treatment discontinuation (see</w:t>
      </w:r>
      <w:r>
        <w:t xml:space="preserve"> Table 1 </w:t>
      </w:r>
      <w:r w:rsidRPr="00BF1F9D">
        <w:t>and</w:t>
      </w:r>
      <w:r>
        <w:t xml:space="preserve"> Table 2</w:t>
      </w:r>
      <w:r w:rsidRPr="00254BEF">
        <w:t>).</w:t>
      </w:r>
      <w:r w:rsidRPr="006976E7">
        <w:t xml:space="preserve"> </w:t>
      </w:r>
      <w:r>
        <w:t>Also r</w:t>
      </w:r>
      <w:r w:rsidRPr="006566D6">
        <w:t>efer to the full trametinib pr</w:t>
      </w:r>
      <w:r>
        <w:t xml:space="preserve">oduct </w:t>
      </w:r>
      <w:r w:rsidRPr="006566D6">
        <w:t>information</w:t>
      </w:r>
      <w:r>
        <w:t xml:space="preserve"> </w:t>
      </w:r>
      <w:r w:rsidRPr="006566D6">
        <w:t>for dosing instructions</w:t>
      </w:r>
      <w:r>
        <w:t xml:space="preserve"> and </w:t>
      </w:r>
      <w:r w:rsidRPr="00254BEF">
        <w:t>modifications</w:t>
      </w:r>
      <w:r w:rsidRPr="006566D6">
        <w:t>.</w:t>
      </w:r>
    </w:p>
    <w:p w14:paraId="681F5C6C" w14:textId="54890400" w:rsidR="009849D5" w:rsidRDefault="009849D5" w:rsidP="00C54309">
      <w:pPr>
        <w:spacing w:before="120" w:line="240" w:lineRule="auto"/>
        <w:ind w:left="360"/>
      </w:pPr>
      <w:r>
        <w:t>Dose</w:t>
      </w:r>
      <w:r w:rsidRPr="00254BEF">
        <w:t xml:space="preserve"> adjustments resulting in a dose lower than </w:t>
      </w:r>
      <w:r>
        <w:t xml:space="preserve">TAFINLAR </w:t>
      </w:r>
      <w:r w:rsidRPr="00254BEF">
        <w:t>50 mg twice daily are not recommended.</w:t>
      </w:r>
      <w:r w:rsidRPr="00E1145B">
        <w:t xml:space="preserve"> </w:t>
      </w:r>
    </w:p>
    <w:p w14:paraId="16298DCD" w14:textId="32C2A0FF" w:rsidR="009849D5" w:rsidRDefault="009849D5" w:rsidP="00C54309">
      <w:pPr>
        <w:spacing w:before="120" w:line="240" w:lineRule="auto"/>
        <w:ind w:left="360"/>
      </w:pPr>
      <w:r w:rsidRPr="00DF03AB">
        <w:t>Dose modifications are not recommended</w:t>
      </w:r>
      <w:r>
        <w:t xml:space="preserve"> for TAFINLAR, when administered with </w:t>
      </w:r>
      <w:r w:rsidR="003278E1">
        <w:t>trametinib</w:t>
      </w:r>
      <w:r>
        <w:t xml:space="preserve">, for the following adverse reactions of </w:t>
      </w:r>
      <w:r w:rsidR="003278E1" w:rsidRPr="003278E1">
        <w:t>trametinib</w:t>
      </w:r>
      <w:r>
        <w:t xml:space="preserve">: retinal vein occlusion (RVO), retinal pigment epithelial detachment (RPED), interstitial lung disease (ILD)/pneumonitis, and uncomplicated venous thromboembolism. </w:t>
      </w:r>
    </w:p>
    <w:p w14:paraId="36C1FFB6" w14:textId="6FA719EB" w:rsidR="009849D5" w:rsidRDefault="009849D5" w:rsidP="00C54309">
      <w:pPr>
        <w:pStyle w:val="Title"/>
        <w:spacing w:before="120" w:after="120"/>
        <w:ind w:left="360"/>
      </w:pPr>
      <w:r>
        <w:t>Table 1</w:t>
      </w:r>
      <w:r>
        <w:tab/>
      </w:r>
      <w:r w:rsidRPr="00254BEF">
        <w:t xml:space="preserve">Recommended </w:t>
      </w:r>
      <w:r>
        <w:t>TAFINLAR</w:t>
      </w:r>
      <w:r w:rsidRPr="00254BEF">
        <w:t xml:space="preserve"> dose level reductions</w:t>
      </w:r>
    </w:p>
    <w:tbl>
      <w:tblPr>
        <w:tblW w:w="0" w:type="auto"/>
        <w:tblInd w:w="1687" w:type="dxa"/>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98"/>
        <w:gridCol w:w="2160"/>
      </w:tblGrid>
      <w:tr w:rsidR="009849D5" w:rsidRPr="00000FDD" w14:paraId="0D738AB9" w14:textId="77777777" w:rsidTr="00C54309">
        <w:tc>
          <w:tcPr>
            <w:tcW w:w="1998" w:type="dxa"/>
            <w:tcBorders>
              <w:left w:val="nil"/>
              <w:right w:val="nil"/>
            </w:tcBorders>
          </w:tcPr>
          <w:p w14:paraId="4B7BBFE2" w14:textId="77777777" w:rsidR="009849D5" w:rsidRPr="00000FDD" w:rsidRDefault="009849D5" w:rsidP="007C6B71">
            <w:pPr>
              <w:jc w:val="center"/>
              <w:rPr>
                <w:rFonts w:ascii="Arial" w:hAnsi="Arial" w:cs="Arial"/>
                <w:b/>
                <w:sz w:val="20"/>
                <w:szCs w:val="20"/>
              </w:rPr>
            </w:pPr>
            <w:r w:rsidRPr="00000FDD">
              <w:rPr>
                <w:rFonts w:ascii="Arial" w:hAnsi="Arial" w:cs="Arial"/>
                <w:b/>
                <w:sz w:val="20"/>
                <w:szCs w:val="20"/>
              </w:rPr>
              <w:t>Dose Level</w:t>
            </w:r>
          </w:p>
        </w:tc>
        <w:tc>
          <w:tcPr>
            <w:tcW w:w="2160" w:type="dxa"/>
            <w:tcBorders>
              <w:left w:val="nil"/>
            </w:tcBorders>
          </w:tcPr>
          <w:p w14:paraId="657D27FA" w14:textId="77777777" w:rsidR="009849D5" w:rsidRPr="00000FDD" w:rsidRDefault="009849D5" w:rsidP="007C6B71">
            <w:pPr>
              <w:jc w:val="center"/>
              <w:rPr>
                <w:rFonts w:ascii="Arial" w:hAnsi="Arial" w:cs="Arial"/>
                <w:b/>
                <w:sz w:val="20"/>
                <w:szCs w:val="20"/>
              </w:rPr>
            </w:pPr>
            <w:r w:rsidRPr="00000FDD">
              <w:rPr>
                <w:rFonts w:ascii="Arial" w:hAnsi="Arial" w:cs="Arial"/>
                <w:b/>
                <w:sz w:val="20"/>
                <w:szCs w:val="20"/>
              </w:rPr>
              <w:t>Dose/Schedule</w:t>
            </w:r>
          </w:p>
        </w:tc>
      </w:tr>
      <w:tr w:rsidR="009849D5" w:rsidRPr="00254BEF" w14:paraId="4140A6A8" w14:textId="77777777" w:rsidTr="00C54309">
        <w:tc>
          <w:tcPr>
            <w:tcW w:w="1998" w:type="dxa"/>
            <w:tcBorders>
              <w:left w:val="nil"/>
              <w:right w:val="nil"/>
            </w:tcBorders>
          </w:tcPr>
          <w:p w14:paraId="249D9A13" w14:textId="77777777" w:rsidR="009849D5" w:rsidRPr="00000FDD" w:rsidRDefault="009849D5" w:rsidP="007C6B71">
            <w:pPr>
              <w:jc w:val="right"/>
              <w:rPr>
                <w:rFonts w:ascii="Arial" w:hAnsi="Arial" w:cs="Arial"/>
                <w:sz w:val="20"/>
                <w:szCs w:val="20"/>
              </w:rPr>
            </w:pPr>
            <w:r w:rsidRPr="00000FDD">
              <w:rPr>
                <w:rFonts w:ascii="Arial" w:hAnsi="Arial" w:cs="Arial"/>
                <w:sz w:val="20"/>
                <w:szCs w:val="20"/>
              </w:rPr>
              <w:t>Full dose</w:t>
            </w:r>
          </w:p>
        </w:tc>
        <w:tc>
          <w:tcPr>
            <w:tcW w:w="2160" w:type="dxa"/>
            <w:tcBorders>
              <w:left w:val="nil"/>
            </w:tcBorders>
          </w:tcPr>
          <w:p w14:paraId="4D2C8D97" w14:textId="77777777" w:rsidR="009849D5" w:rsidRPr="00000FDD" w:rsidRDefault="009849D5" w:rsidP="007C6B71">
            <w:pPr>
              <w:jc w:val="center"/>
              <w:rPr>
                <w:rFonts w:ascii="Arial" w:hAnsi="Arial" w:cs="Arial"/>
                <w:sz w:val="20"/>
                <w:szCs w:val="20"/>
              </w:rPr>
            </w:pPr>
            <w:r w:rsidRPr="00000FDD">
              <w:rPr>
                <w:rFonts w:ascii="Arial" w:hAnsi="Arial" w:cs="Arial"/>
                <w:sz w:val="20"/>
                <w:szCs w:val="20"/>
              </w:rPr>
              <w:t>150 mg twice daily</w:t>
            </w:r>
          </w:p>
        </w:tc>
      </w:tr>
      <w:tr w:rsidR="009849D5" w:rsidRPr="00254BEF" w14:paraId="5EAB4ACB" w14:textId="77777777" w:rsidTr="00C54309">
        <w:tc>
          <w:tcPr>
            <w:tcW w:w="1998" w:type="dxa"/>
            <w:tcBorders>
              <w:left w:val="nil"/>
              <w:right w:val="nil"/>
            </w:tcBorders>
          </w:tcPr>
          <w:p w14:paraId="68465BD6" w14:textId="77777777" w:rsidR="009849D5" w:rsidRPr="00000FDD" w:rsidRDefault="009849D5" w:rsidP="007C6B71">
            <w:pPr>
              <w:jc w:val="right"/>
              <w:rPr>
                <w:rFonts w:ascii="Arial" w:hAnsi="Arial" w:cs="Arial"/>
                <w:sz w:val="20"/>
                <w:szCs w:val="20"/>
              </w:rPr>
            </w:pPr>
            <w:r w:rsidRPr="00000FDD">
              <w:rPr>
                <w:rFonts w:ascii="Arial" w:hAnsi="Arial" w:cs="Arial"/>
                <w:sz w:val="20"/>
                <w:szCs w:val="20"/>
              </w:rPr>
              <w:t>First reduction</w:t>
            </w:r>
          </w:p>
        </w:tc>
        <w:tc>
          <w:tcPr>
            <w:tcW w:w="2160" w:type="dxa"/>
            <w:tcBorders>
              <w:left w:val="nil"/>
            </w:tcBorders>
          </w:tcPr>
          <w:p w14:paraId="6E3E14A7" w14:textId="77777777" w:rsidR="009849D5" w:rsidRPr="00000FDD" w:rsidRDefault="009849D5" w:rsidP="007C6B71">
            <w:pPr>
              <w:jc w:val="center"/>
              <w:rPr>
                <w:rFonts w:ascii="Arial" w:hAnsi="Arial" w:cs="Arial"/>
                <w:sz w:val="20"/>
                <w:szCs w:val="20"/>
              </w:rPr>
            </w:pPr>
            <w:r w:rsidRPr="00000FDD">
              <w:rPr>
                <w:rFonts w:ascii="Arial" w:hAnsi="Arial" w:cs="Arial"/>
                <w:sz w:val="20"/>
                <w:szCs w:val="20"/>
              </w:rPr>
              <w:t>100 mg twice daily</w:t>
            </w:r>
          </w:p>
        </w:tc>
      </w:tr>
      <w:tr w:rsidR="009849D5" w:rsidRPr="00254BEF" w14:paraId="05116DB0" w14:textId="77777777" w:rsidTr="00C54309">
        <w:tc>
          <w:tcPr>
            <w:tcW w:w="1998" w:type="dxa"/>
            <w:tcBorders>
              <w:left w:val="nil"/>
              <w:right w:val="nil"/>
            </w:tcBorders>
          </w:tcPr>
          <w:p w14:paraId="6C613EF6" w14:textId="77777777" w:rsidR="009849D5" w:rsidRPr="00000FDD" w:rsidRDefault="009849D5" w:rsidP="007C6B71">
            <w:pPr>
              <w:jc w:val="right"/>
              <w:rPr>
                <w:rFonts w:ascii="Arial" w:hAnsi="Arial" w:cs="Arial"/>
                <w:sz w:val="20"/>
                <w:szCs w:val="20"/>
              </w:rPr>
            </w:pPr>
            <w:r w:rsidRPr="00000FDD">
              <w:rPr>
                <w:rFonts w:ascii="Arial" w:hAnsi="Arial" w:cs="Arial"/>
                <w:sz w:val="20"/>
                <w:szCs w:val="20"/>
              </w:rPr>
              <w:t>Second reduction</w:t>
            </w:r>
          </w:p>
        </w:tc>
        <w:tc>
          <w:tcPr>
            <w:tcW w:w="2160" w:type="dxa"/>
            <w:tcBorders>
              <w:left w:val="nil"/>
            </w:tcBorders>
          </w:tcPr>
          <w:p w14:paraId="69B94ED0" w14:textId="77777777" w:rsidR="009849D5" w:rsidRPr="00000FDD" w:rsidRDefault="009849D5" w:rsidP="007C6B71">
            <w:pPr>
              <w:jc w:val="center"/>
              <w:rPr>
                <w:rFonts w:ascii="Arial" w:hAnsi="Arial" w:cs="Arial"/>
                <w:sz w:val="20"/>
                <w:szCs w:val="20"/>
              </w:rPr>
            </w:pPr>
            <w:r w:rsidRPr="00000FDD">
              <w:rPr>
                <w:rFonts w:ascii="Arial" w:hAnsi="Arial" w:cs="Arial"/>
                <w:sz w:val="20"/>
                <w:szCs w:val="20"/>
              </w:rPr>
              <w:t>75 mg twice daily</w:t>
            </w:r>
          </w:p>
        </w:tc>
      </w:tr>
      <w:tr w:rsidR="009849D5" w:rsidRPr="00254BEF" w14:paraId="4D8DEE16" w14:textId="77777777" w:rsidTr="00C54309">
        <w:tc>
          <w:tcPr>
            <w:tcW w:w="1998" w:type="dxa"/>
            <w:tcBorders>
              <w:left w:val="nil"/>
              <w:right w:val="nil"/>
            </w:tcBorders>
          </w:tcPr>
          <w:p w14:paraId="08A9B08A" w14:textId="77777777" w:rsidR="009849D5" w:rsidRPr="00000FDD" w:rsidRDefault="009849D5" w:rsidP="007C6B71">
            <w:pPr>
              <w:jc w:val="right"/>
              <w:rPr>
                <w:rFonts w:ascii="Arial" w:hAnsi="Arial" w:cs="Arial"/>
                <w:sz w:val="20"/>
                <w:szCs w:val="20"/>
              </w:rPr>
            </w:pPr>
            <w:r w:rsidRPr="00000FDD">
              <w:rPr>
                <w:rFonts w:ascii="Arial" w:hAnsi="Arial" w:cs="Arial"/>
                <w:sz w:val="20"/>
                <w:szCs w:val="20"/>
              </w:rPr>
              <w:t>Third reduction</w:t>
            </w:r>
          </w:p>
        </w:tc>
        <w:tc>
          <w:tcPr>
            <w:tcW w:w="2160" w:type="dxa"/>
            <w:tcBorders>
              <w:left w:val="nil"/>
            </w:tcBorders>
          </w:tcPr>
          <w:p w14:paraId="70E64910" w14:textId="77777777" w:rsidR="009849D5" w:rsidRPr="00000FDD" w:rsidRDefault="009849D5" w:rsidP="007C6B71">
            <w:pPr>
              <w:jc w:val="center"/>
              <w:rPr>
                <w:rFonts w:ascii="Arial" w:hAnsi="Arial" w:cs="Arial"/>
                <w:sz w:val="20"/>
                <w:szCs w:val="20"/>
              </w:rPr>
            </w:pPr>
            <w:r w:rsidRPr="00000FDD">
              <w:rPr>
                <w:rFonts w:ascii="Arial" w:hAnsi="Arial" w:cs="Arial"/>
                <w:sz w:val="20"/>
                <w:szCs w:val="20"/>
              </w:rPr>
              <w:t>50 mg twice daily</w:t>
            </w:r>
          </w:p>
        </w:tc>
      </w:tr>
    </w:tbl>
    <w:p w14:paraId="58F3A4D2" w14:textId="77777777" w:rsidR="009849D5" w:rsidRDefault="009849D5" w:rsidP="00C54309">
      <w:pPr>
        <w:widowControl w:val="0"/>
        <w:spacing w:after="0" w:line="240" w:lineRule="auto"/>
        <w:ind w:left="360"/>
      </w:pPr>
    </w:p>
    <w:p w14:paraId="1606FC89" w14:textId="789A50EB" w:rsidR="009849D5" w:rsidRDefault="009849D5" w:rsidP="00C54309">
      <w:pPr>
        <w:pStyle w:val="Title"/>
        <w:keepNext/>
        <w:spacing w:after="120"/>
        <w:ind w:left="360"/>
      </w:pPr>
      <w:r>
        <w:t>Table 2</w:t>
      </w:r>
      <w:r>
        <w:tab/>
        <w:t>Recommended</w:t>
      </w:r>
      <w:r w:rsidRPr="00254BEF">
        <w:t xml:space="preserve"> dose modification</w:t>
      </w:r>
      <w:r>
        <w:t>s for</w:t>
      </w:r>
      <w:r w:rsidRPr="00254BEF">
        <w:t xml:space="preserve"> </w:t>
      </w:r>
      <w:r>
        <w:t>TAFINLAR</w:t>
      </w:r>
      <w:r w:rsidRPr="00254BEF">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04"/>
        <w:gridCol w:w="108"/>
      </w:tblGrid>
      <w:tr w:rsidR="009849D5" w:rsidRPr="00254BEF" w14:paraId="3B6E2EDF" w14:textId="77777777" w:rsidTr="00C54309">
        <w:trPr>
          <w:tblHeader/>
        </w:trPr>
        <w:tc>
          <w:tcPr>
            <w:tcW w:w="3544" w:type="dxa"/>
            <w:tcBorders>
              <w:left w:val="nil"/>
              <w:right w:val="nil"/>
            </w:tcBorders>
          </w:tcPr>
          <w:p w14:paraId="2512CAFE" w14:textId="77777777" w:rsidR="009849D5" w:rsidRPr="00000FDD" w:rsidRDefault="009849D5" w:rsidP="007C6B71">
            <w:pPr>
              <w:jc w:val="center"/>
              <w:rPr>
                <w:rFonts w:ascii="Arial" w:hAnsi="Arial" w:cs="Arial"/>
                <w:b/>
                <w:sz w:val="20"/>
                <w:szCs w:val="20"/>
              </w:rPr>
            </w:pPr>
            <w:r>
              <w:rPr>
                <w:rFonts w:ascii="Arial" w:hAnsi="Arial" w:cs="Arial"/>
                <w:b/>
                <w:sz w:val="20"/>
                <w:szCs w:val="20"/>
              </w:rPr>
              <w:t xml:space="preserve">Severity of adverse </w:t>
            </w:r>
            <w:proofErr w:type="spellStart"/>
            <w:r>
              <w:rPr>
                <w:rFonts w:ascii="Arial" w:hAnsi="Arial" w:cs="Arial"/>
                <w:b/>
                <w:sz w:val="20"/>
                <w:szCs w:val="20"/>
              </w:rPr>
              <w:t>reaction</w:t>
            </w:r>
            <w:r w:rsidRPr="002F3B49">
              <w:rPr>
                <w:rFonts w:ascii="Arial" w:hAnsi="Arial" w:cs="Arial"/>
                <w:sz w:val="20"/>
                <w:szCs w:val="20"/>
                <w:vertAlign w:val="superscript"/>
              </w:rPr>
              <w:t>a</w:t>
            </w:r>
            <w:proofErr w:type="spellEnd"/>
          </w:p>
        </w:tc>
        <w:tc>
          <w:tcPr>
            <w:tcW w:w="5312" w:type="dxa"/>
            <w:gridSpan w:val="2"/>
            <w:tcBorders>
              <w:left w:val="nil"/>
              <w:right w:val="nil"/>
            </w:tcBorders>
          </w:tcPr>
          <w:p w14:paraId="5D024717" w14:textId="77777777" w:rsidR="009849D5" w:rsidRPr="00000FDD" w:rsidRDefault="009849D5" w:rsidP="007C6B71">
            <w:pPr>
              <w:jc w:val="center"/>
              <w:rPr>
                <w:rFonts w:ascii="Arial" w:hAnsi="Arial" w:cs="Arial"/>
                <w:b/>
                <w:sz w:val="20"/>
                <w:szCs w:val="20"/>
              </w:rPr>
            </w:pPr>
            <w:proofErr w:type="spellStart"/>
            <w:r w:rsidRPr="00000FDD">
              <w:rPr>
                <w:rFonts w:ascii="Arial" w:hAnsi="Arial" w:cs="Arial"/>
                <w:b/>
                <w:sz w:val="20"/>
                <w:szCs w:val="20"/>
              </w:rPr>
              <w:t>TAFINLAR</w:t>
            </w:r>
            <w:r w:rsidRPr="002F3B49">
              <w:rPr>
                <w:rFonts w:ascii="Arial" w:hAnsi="Arial" w:cs="Arial"/>
                <w:sz w:val="20"/>
                <w:szCs w:val="20"/>
                <w:vertAlign w:val="superscript"/>
              </w:rPr>
              <w:t>b</w:t>
            </w:r>
            <w:proofErr w:type="spellEnd"/>
            <w:r w:rsidRPr="002F3B49">
              <w:rPr>
                <w:rFonts w:ascii="Arial" w:hAnsi="Arial" w:cs="Arial"/>
                <w:sz w:val="20"/>
                <w:szCs w:val="20"/>
                <w:vertAlign w:val="superscript"/>
              </w:rPr>
              <w:t xml:space="preserve"> </w:t>
            </w:r>
          </w:p>
        </w:tc>
      </w:tr>
      <w:tr w:rsidR="009849D5" w:rsidRPr="002F3B49" w14:paraId="09DBBFA8" w14:textId="77777777" w:rsidTr="00C54309">
        <w:trPr>
          <w:gridAfter w:val="1"/>
          <w:wAfter w:w="108" w:type="dxa"/>
        </w:trPr>
        <w:tc>
          <w:tcPr>
            <w:tcW w:w="3544" w:type="dxa"/>
            <w:tcBorders>
              <w:left w:val="nil"/>
              <w:right w:val="nil"/>
            </w:tcBorders>
          </w:tcPr>
          <w:p w14:paraId="0D0901F9" w14:textId="77777777" w:rsidR="009849D5" w:rsidRPr="002F3B49" w:rsidRDefault="009849D5" w:rsidP="007C6B71">
            <w:pPr>
              <w:jc w:val="left"/>
              <w:rPr>
                <w:rFonts w:ascii="Arial" w:hAnsi="Arial" w:cs="Arial"/>
                <w:b/>
                <w:i/>
                <w:sz w:val="20"/>
                <w:szCs w:val="20"/>
              </w:rPr>
            </w:pPr>
            <w:r w:rsidRPr="002F3B49">
              <w:rPr>
                <w:rFonts w:ascii="Arial" w:hAnsi="Arial" w:cs="Arial"/>
                <w:b/>
                <w:i/>
                <w:sz w:val="20"/>
                <w:szCs w:val="20"/>
              </w:rPr>
              <w:t>FEBRILE DRUG REACTION</w:t>
            </w:r>
          </w:p>
        </w:tc>
        <w:tc>
          <w:tcPr>
            <w:tcW w:w="5204" w:type="dxa"/>
            <w:tcBorders>
              <w:left w:val="nil"/>
              <w:right w:val="nil"/>
            </w:tcBorders>
            <w:shd w:val="clear" w:color="auto" w:fill="auto"/>
          </w:tcPr>
          <w:p w14:paraId="2D9D6295" w14:textId="77777777" w:rsidR="009849D5" w:rsidRPr="002F3B49" w:rsidRDefault="009849D5" w:rsidP="007C6B71">
            <w:pPr>
              <w:rPr>
                <w:rFonts w:ascii="Arial" w:hAnsi="Arial" w:cs="Arial"/>
                <w:i/>
                <w:sz w:val="20"/>
                <w:szCs w:val="20"/>
              </w:rPr>
            </w:pPr>
          </w:p>
        </w:tc>
      </w:tr>
      <w:tr w:rsidR="009849D5" w:rsidRPr="00254BEF" w14:paraId="3F031CF0" w14:textId="77777777" w:rsidTr="00C54309">
        <w:trPr>
          <w:gridAfter w:val="1"/>
          <w:wAfter w:w="108" w:type="dxa"/>
        </w:trPr>
        <w:tc>
          <w:tcPr>
            <w:tcW w:w="3544" w:type="dxa"/>
            <w:tcBorders>
              <w:left w:val="nil"/>
              <w:right w:val="nil"/>
            </w:tcBorders>
          </w:tcPr>
          <w:p w14:paraId="4E54351F" w14:textId="77777777" w:rsidR="009849D5" w:rsidRPr="0088047D" w:rsidRDefault="009849D5" w:rsidP="0088047D">
            <w:pPr>
              <w:jc w:val="left"/>
              <w:rPr>
                <w:rFonts w:ascii="Arial" w:hAnsi="Arial" w:cs="Arial"/>
                <w:sz w:val="20"/>
                <w:szCs w:val="20"/>
              </w:rPr>
            </w:pPr>
            <w:r w:rsidRPr="0088047D">
              <w:rPr>
                <w:rFonts w:ascii="Arial" w:hAnsi="Arial" w:cs="Arial"/>
                <w:sz w:val="20"/>
                <w:szCs w:val="20"/>
              </w:rPr>
              <w:lastRenderedPageBreak/>
              <w:t>Fever of 38.5°C-40.0°C</w:t>
            </w:r>
          </w:p>
        </w:tc>
        <w:tc>
          <w:tcPr>
            <w:tcW w:w="5204" w:type="dxa"/>
            <w:tcBorders>
              <w:left w:val="nil"/>
              <w:right w:val="nil"/>
            </w:tcBorders>
            <w:shd w:val="clear" w:color="auto" w:fill="auto"/>
          </w:tcPr>
          <w:p w14:paraId="0F86BCBB" w14:textId="77777777" w:rsidR="009849D5" w:rsidRPr="002C7CE4" w:rsidRDefault="009849D5" w:rsidP="007C6B71">
            <w:pPr>
              <w:rPr>
                <w:rFonts w:ascii="Arial" w:hAnsi="Arial" w:cs="Arial"/>
                <w:sz w:val="20"/>
                <w:szCs w:val="20"/>
              </w:rPr>
            </w:pPr>
            <w:r>
              <w:rPr>
                <w:rFonts w:ascii="Arial" w:hAnsi="Arial" w:cs="Arial"/>
                <w:sz w:val="20"/>
                <w:szCs w:val="20"/>
              </w:rPr>
              <w:t>Evaluate p</w:t>
            </w:r>
            <w:r w:rsidRPr="00E1145B">
              <w:rPr>
                <w:rFonts w:ascii="Arial" w:hAnsi="Arial" w:cs="Arial"/>
                <w:sz w:val="20"/>
                <w:szCs w:val="20"/>
              </w:rPr>
              <w:t>atients for signs and symptoms of infection</w:t>
            </w:r>
            <w:r>
              <w:rPr>
                <w:rFonts w:ascii="Arial" w:hAnsi="Arial" w:cs="Arial"/>
                <w:sz w:val="20"/>
                <w:szCs w:val="20"/>
              </w:rPr>
              <w:t xml:space="preserve">. </w:t>
            </w:r>
            <w:r w:rsidRPr="002C7CE4">
              <w:rPr>
                <w:rFonts w:ascii="Arial" w:hAnsi="Arial" w:cs="Arial"/>
                <w:sz w:val="20"/>
                <w:szCs w:val="20"/>
              </w:rPr>
              <w:t xml:space="preserve">Withhold TAFINLAR until the fever resolves. </w:t>
            </w:r>
            <w:r>
              <w:rPr>
                <w:rFonts w:ascii="Arial" w:hAnsi="Arial" w:cs="Arial"/>
                <w:sz w:val="20"/>
                <w:szCs w:val="20"/>
              </w:rPr>
              <w:t>R</w:t>
            </w:r>
            <w:r w:rsidRPr="002C7CE4">
              <w:rPr>
                <w:rFonts w:ascii="Arial" w:hAnsi="Arial" w:cs="Arial"/>
                <w:sz w:val="20"/>
                <w:szCs w:val="20"/>
              </w:rPr>
              <w:t>esume TAFINLAR at same or lower dose level.</w:t>
            </w:r>
          </w:p>
        </w:tc>
      </w:tr>
      <w:tr w:rsidR="009849D5" w:rsidRPr="00254BEF" w14:paraId="5FBEDE61" w14:textId="77777777" w:rsidTr="00C54309">
        <w:tc>
          <w:tcPr>
            <w:tcW w:w="3544" w:type="dxa"/>
            <w:tcBorders>
              <w:left w:val="nil"/>
              <w:right w:val="nil"/>
            </w:tcBorders>
          </w:tcPr>
          <w:p w14:paraId="7579F635" w14:textId="77777777" w:rsidR="009849D5" w:rsidRPr="00C9135A" w:rsidRDefault="009849D5" w:rsidP="007C6B71">
            <w:pPr>
              <w:pStyle w:val="ListParagraph"/>
              <w:numPr>
                <w:ilvl w:val="0"/>
                <w:numId w:val="25"/>
              </w:numPr>
              <w:jc w:val="left"/>
              <w:rPr>
                <w:sz w:val="20"/>
                <w:szCs w:val="20"/>
              </w:rPr>
            </w:pPr>
            <w:r w:rsidRPr="002F3B49">
              <w:rPr>
                <w:sz w:val="20"/>
                <w:szCs w:val="20"/>
              </w:rPr>
              <w:t>Fever of &gt; 40</w:t>
            </w:r>
            <w:r w:rsidRPr="00C9135A">
              <w:rPr>
                <w:sz w:val="20"/>
                <w:szCs w:val="20"/>
              </w:rPr>
              <w:t xml:space="preserve">°C </w:t>
            </w:r>
          </w:p>
          <w:p w14:paraId="62E732FB" w14:textId="77777777" w:rsidR="009849D5" w:rsidRPr="00C9135A" w:rsidRDefault="009849D5" w:rsidP="007C6B71">
            <w:pPr>
              <w:jc w:val="center"/>
              <w:rPr>
                <w:rFonts w:ascii="Arial" w:hAnsi="Arial" w:cs="Arial"/>
                <w:sz w:val="20"/>
                <w:szCs w:val="20"/>
              </w:rPr>
            </w:pPr>
            <w:r w:rsidRPr="00C9135A">
              <w:rPr>
                <w:rFonts w:ascii="Arial" w:hAnsi="Arial" w:cs="Arial"/>
                <w:sz w:val="20"/>
                <w:szCs w:val="20"/>
              </w:rPr>
              <w:t>or</w:t>
            </w:r>
          </w:p>
          <w:p w14:paraId="5A9BBE65" w14:textId="77777777" w:rsidR="009849D5" w:rsidRPr="009347F6" w:rsidRDefault="009849D5" w:rsidP="007C6B71">
            <w:pPr>
              <w:pStyle w:val="ListParagraph"/>
              <w:numPr>
                <w:ilvl w:val="0"/>
                <w:numId w:val="25"/>
              </w:numPr>
              <w:jc w:val="left"/>
              <w:rPr>
                <w:sz w:val="20"/>
              </w:rPr>
            </w:pPr>
            <w:r w:rsidRPr="002F3B49">
              <w:rPr>
                <w:sz w:val="20"/>
                <w:szCs w:val="20"/>
              </w:rPr>
              <w:t>F</w:t>
            </w:r>
            <w:r w:rsidRPr="00C9135A">
              <w:rPr>
                <w:sz w:val="20"/>
                <w:szCs w:val="20"/>
              </w:rPr>
              <w:t>ever is complicated with rigors, hypotension, dehydration, or renal failure</w:t>
            </w:r>
          </w:p>
        </w:tc>
        <w:tc>
          <w:tcPr>
            <w:tcW w:w="5312" w:type="dxa"/>
            <w:gridSpan w:val="2"/>
            <w:tcBorders>
              <w:left w:val="nil"/>
              <w:right w:val="nil"/>
            </w:tcBorders>
            <w:shd w:val="clear" w:color="auto" w:fill="auto"/>
          </w:tcPr>
          <w:p w14:paraId="23E40228" w14:textId="77777777" w:rsidR="009849D5" w:rsidRDefault="009849D5" w:rsidP="007C6B71">
            <w:pPr>
              <w:rPr>
                <w:rFonts w:ascii="Arial" w:hAnsi="Arial" w:cs="Arial"/>
                <w:sz w:val="20"/>
                <w:szCs w:val="20"/>
              </w:rPr>
            </w:pPr>
            <w:r w:rsidRPr="00F12DF4">
              <w:rPr>
                <w:rFonts w:ascii="Arial" w:hAnsi="Arial" w:cs="Arial"/>
                <w:sz w:val="20"/>
                <w:szCs w:val="20"/>
              </w:rPr>
              <w:t xml:space="preserve">Evaluate patients for signs and symptoms of infection. </w:t>
            </w:r>
            <w:r w:rsidRPr="002C7CE4">
              <w:rPr>
                <w:rFonts w:ascii="Arial" w:hAnsi="Arial" w:cs="Arial"/>
                <w:sz w:val="20"/>
                <w:szCs w:val="20"/>
              </w:rPr>
              <w:t xml:space="preserve">Withhold TAFINLAR until the fever resolves. </w:t>
            </w:r>
          </w:p>
          <w:p w14:paraId="7D338DB9" w14:textId="77777777" w:rsidR="009849D5" w:rsidRPr="002C7CE4" w:rsidRDefault="009849D5" w:rsidP="007C6B71">
            <w:pPr>
              <w:rPr>
                <w:rFonts w:ascii="Arial" w:hAnsi="Arial" w:cs="Arial"/>
                <w:sz w:val="20"/>
                <w:szCs w:val="20"/>
              </w:rPr>
            </w:pPr>
            <w:r w:rsidRPr="002C7CE4">
              <w:rPr>
                <w:rFonts w:ascii="Arial" w:hAnsi="Arial" w:cs="Arial"/>
                <w:sz w:val="20"/>
                <w:szCs w:val="20"/>
              </w:rPr>
              <w:t>Then either:</w:t>
            </w:r>
          </w:p>
          <w:p w14:paraId="3DD0E034" w14:textId="77777777" w:rsidR="009849D5" w:rsidRPr="002F3B49" w:rsidRDefault="009849D5" w:rsidP="007C6B71">
            <w:pPr>
              <w:pStyle w:val="ListParagraph"/>
              <w:numPr>
                <w:ilvl w:val="0"/>
                <w:numId w:val="21"/>
              </w:numPr>
              <w:rPr>
                <w:sz w:val="20"/>
                <w:szCs w:val="20"/>
              </w:rPr>
            </w:pPr>
            <w:r w:rsidRPr="002F3B49">
              <w:rPr>
                <w:sz w:val="20"/>
                <w:szCs w:val="20"/>
              </w:rPr>
              <w:t xml:space="preserve">resume TAFINLAR with appropriate anti-pyretic prophylaxis at a lower dose level if pyrexia is recurrent and/or was accompanied by other severe symptoms including dehydration, hypotension or renal failure </w:t>
            </w:r>
          </w:p>
          <w:p w14:paraId="1135F73F" w14:textId="77777777" w:rsidR="009849D5" w:rsidRPr="002C7CE4" w:rsidRDefault="009849D5" w:rsidP="007C6B71">
            <w:pPr>
              <w:jc w:val="center"/>
              <w:rPr>
                <w:rFonts w:ascii="Arial" w:hAnsi="Arial" w:cs="Arial"/>
                <w:sz w:val="20"/>
                <w:szCs w:val="20"/>
              </w:rPr>
            </w:pPr>
            <w:r w:rsidRPr="002C7CE4">
              <w:rPr>
                <w:rFonts w:ascii="Arial" w:hAnsi="Arial" w:cs="Arial"/>
                <w:sz w:val="20"/>
                <w:szCs w:val="20"/>
              </w:rPr>
              <w:t>or</w:t>
            </w:r>
          </w:p>
          <w:p w14:paraId="5E5AE2E2" w14:textId="77777777" w:rsidR="009849D5" w:rsidRPr="009347F6" w:rsidRDefault="009849D5" w:rsidP="007C6B71">
            <w:pPr>
              <w:pStyle w:val="ListParagraph"/>
              <w:numPr>
                <w:ilvl w:val="0"/>
                <w:numId w:val="21"/>
              </w:numPr>
              <w:rPr>
                <w:sz w:val="20"/>
              </w:rPr>
            </w:pPr>
            <w:r w:rsidRPr="002F3B49">
              <w:rPr>
                <w:sz w:val="20"/>
                <w:szCs w:val="20"/>
              </w:rPr>
              <w:t>permanently discontinue TAFINLAR</w:t>
            </w:r>
          </w:p>
        </w:tc>
      </w:tr>
      <w:tr w:rsidR="009849D5" w:rsidRPr="00936C01" w14:paraId="420A9EF7" w14:textId="77777777" w:rsidTr="00C54309">
        <w:trPr>
          <w:gridAfter w:val="1"/>
          <w:wAfter w:w="108" w:type="dxa"/>
        </w:trPr>
        <w:tc>
          <w:tcPr>
            <w:tcW w:w="3544" w:type="dxa"/>
            <w:tcBorders>
              <w:left w:val="nil"/>
              <w:right w:val="nil"/>
            </w:tcBorders>
          </w:tcPr>
          <w:p w14:paraId="386606C1" w14:textId="77777777" w:rsidR="009849D5" w:rsidRPr="002F3B49" w:rsidRDefault="009849D5" w:rsidP="007C6B71">
            <w:pPr>
              <w:jc w:val="left"/>
              <w:rPr>
                <w:rFonts w:ascii="Arial" w:hAnsi="Arial" w:cs="Arial"/>
                <w:b/>
                <w:i/>
                <w:sz w:val="20"/>
                <w:szCs w:val="20"/>
              </w:rPr>
            </w:pPr>
            <w:r w:rsidRPr="002F3B49">
              <w:rPr>
                <w:rFonts w:ascii="Arial" w:hAnsi="Arial" w:cs="Arial"/>
                <w:b/>
                <w:i/>
                <w:sz w:val="20"/>
                <w:szCs w:val="20"/>
              </w:rPr>
              <w:t>CUTANEOUS</w:t>
            </w:r>
          </w:p>
        </w:tc>
        <w:tc>
          <w:tcPr>
            <w:tcW w:w="5204" w:type="dxa"/>
            <w:tcBorders>
              <w:left w:val="nil"/>
              <w:right w:val="nil"/>
            </w:tcBorders>
            <w:shd w:val="clear" w:color="auto" w:fill="auto"/>
          </w:tcPr>
          <w:p w14:paraId="3D1DF9F2" w14:textId="77777777" w:rsidR="009849D5" w:rsidRPr="00C9135A" w:rsidRDefault="009849D5" w:rsidP="007C6B71">
            <w:pPr>
              <w:rPr>
                <w:rFonts w:ascii="Arial" w:hAnsi="Arial" w:cs="Arial"/>
                <w:i/>
                <w:sz w:val="20"/>
                <w:szCs w:val="20"/>
              </w:rPr>
            </w:pPr>
          </w:p>
        </w:tc>
      </w:tr>
      <w:tr w:rsidR="009849D5" w:rsidRPr="00254BEF" w14:paraId="0E259ACD" w14:textId="77777777" w:rsidTr="00C54309">
        <w:tc>
          <w:tcPr>
            <w:tcW w:w="3544" w:type="dxa"/>
            <w:tcBorders>
              <w:left w:val="nil"/>
              <w:right w:val="nil"/>
            </w:tcBorders>
          </w:tcPr>
          <w:p w14:paraId="2C8152B5" w14:textId="77777777" w:rsidR="009849D5" w:rsidRPr="002F3B49" w:rsidRDefault="009849D5" w:rsidP="007C6B71">
            <w:pPr>
              <w:pStyle w:val="ListParagraph"/>
              <w:numPr>
                <w:ilvl w:val="0"/>
                <w:numId w:val="21"/>
              </w:numPr>
              <w:jc w:val="left"/>
              <w:rPr>
                <w:sz w:val="20"/>
                <w:szCs w:val="20"/>
              </w:rPr>
            </w:pPr>
            <w:r w:rsidRPr="009347F6">
              <w:rPr>
                <w:sz w:val="20"/>
              </w:rPr>
              <w:t>Intolerable</w:t>
            </w:r>
            <w:r w:rsidRPr="002F3B49">
              <w:rPr>
                <w:sz w:val="20"/>
                <w:szCs w:val="20"/>
              </w:rPr>
              <w:t xml:space="preserve"> Grade 2 skin toxicity</w:t>
            </w:r>
          </w:p>
          <w:p w14:paraId="784EAF95" w14:textId="77777777" w:rsidR="009849D5" w:rsidRPr="002F3B49" w:rsidRDefault="009849D5" w:rsidP="007C6B71">
            <w:pPr>
              <w:pStyle w:val="ListParagraph"/>
              <w:numPr>
                <w:ilvl w:val="0"/>
                <w:numId w:val="21"/>
              </w:numPr>
              <w:jc w:val="left"/>
              <w:rPr>
                <w:sz w:val="20"/>
                <w:szCs w:val="20"/>
              </w:rPr>
            </w:pPr>
            <w:r w:rsidRPr="009347F6">
              <w:rPr>
                <w:sz w:val="20"/>
              </w:rPr>
              <w:t>Grade</w:t>
            </w:r>
            <w:r w:rsidRPr="002F3B49">
              <w:rPr>
                <w:sz w:val="20"/>
                <w:szCs w:val="20"/>
              </w:rPr>
              <w:t xml:space="preserve"> </w:t>
            </w:r>
            <w:r w:rsidRPr="009347F6">
              <w:rPr>
                <w:sz w:val="20"/>
              </w:rPr>
              <w:t>3</w:t>
            </w:r>
            <w:r w:rsidRPr="002F3B49">
              <w:rPr>
                <w:sz w:val="20"/>
                <w:szCs w:val="20"/>
              </w:rPr>
              <w:t xml:space="preserve"> or 4 skin toxicity</w:t>
            </w:r>
            <w:r w:rsidRPr="002F3B49">
              <w:rPr>
                <w:sz w:val="20"/>
                <w:szCs w:val="20"/>
              </w:rPr>
              <w:tab/>
            </w:r>
          </w:p>
          <w:p w14:paraId="7DB2F26B" w14:textId="77777777" w:rsidR="009849D5" w:rsidRPr="00000FDD" w:rsidRDefault="009849D5" w:rsidP="007C6B71">
            <w:pPr>
              <w:jc w:val="left"/>
              <w:rPr>
                <w:rFonts w:ascii="Arial" w:hAnsi="Arial" w:cs="Arial"/>
                <w:sz w:val="20"/>
                <w:szCs w:val="20"/>
              </w:rPr>
            </w:pPr>
          </w:p>
        </w:tc>
        <w:tc>
          <w:tcPr>
            <w:tcW w:w="5312" w:type="dxa"/>
            <w:gridSpan w:val="2"/>
            <w:tcBorders>
              <w:left w:val="nil"/>
              <w:right w:val="nil"/>
            </w:tcBorders>
            <w:shd w:val="clear" w:color="auto" w:fill="auto"/>
          </w:tcPr>
          <w:p w14:paraId="550AE67C" w14:textId="77777777" w:rsidR="009849D5" w:rsidRDefault="009849D5" w:rsidP="007C6B71">
            <w:pPr>
              <w:jc w:val="left"/>
              <w:rPr>
                <w:rFonts w:ascii="Arial" w:hAnsi="Arial" w:cs="Arial"/>
                <w:sz w:val="20"/>
                <w:szCs w:val="20"/>
              </w:rPr>
            </w:pPr>
            <w:r w:rsidRPr="00936C01">
              <w:rPr>
                <w:rFonts w:ascii="Arial" w:hAnsi="Arial" w:cs="Arial"/>
                <w:sz w:val="20"/>
                <w:szCs w:val="20"/>
              </w:rPr>
              <w:t xml:space="preserve">Withhold TAFINLAR for up to 3 weeks. </w:t>
            </w:r>
          </w:p>
          <w:p w14:paraId="1E390761" w14:textId="77777777" w:rsidR="009849D5" w:rsidRPr="002F3B49" w:rsidRDefault="009849D5" w:rsidP="007C6B71">
            <w:pPr>
              <w:pStyle w:val="ListParagraph"/>
              <w:numPr>
                <w:ilvl w:val="0"/>
                <w:numId w:val="26"/>
              </w:numPr>
              <w:jc w:val="left"/>
              <w:rPr>
                <w:sz w:val="20"/>
                <w:szCs w:val="20"/>
              </w:rPr>
            </w:pPr>
            <w:r w:rsidRPr="002F3B49">
              <w:rPr>
                <w:sz w:val="20"/>
                <w:szCs w:val="20"/>
              </w:rPr>
              <w:t>If improved, resume at a lower dose level.</w:t>
            </w:r>
          </w:p>
          <w:p w14:paraId="0CDCD009" w14:textId="77777777" w:rsidR="009849D5" w:rsidRPr="009347F6" w:rsidRDefault="009849D5" w:rsidP="007C6B71">
            <w:pPr>
              <w:pStyle w:val="ListParagraph"/>
              <w:numPr>
                <w:ilvl w:val="0"/>
                <w:numId w:val="26"/>
              </w:numPr>
              <w:rPr>
                <w:sz w:val="20"/>
              </w:rPr>
            </w:pPr>
            <w:r w:rsidRPr="002F3B49">
              <w:rPr>
                <w:sz w:val="20"/>
                <w:szCs w:val="20"/>
              </w:rPr>
              <w:t>If not improved, permanently discontinue.</w:t>
            </w:r>
          </w:p>
        </w:tc>
      </w:tr>
      <w:tr w:rsidR="009849D5" w:rsidRPr="00936C01" w14:paraId="4F0B5E0F" w14:textId="77777777" w:rsidTr="00C54309">
        <w:trPr>
          <w:gridAfter w:val="1"/>
          <w:wAfter w:w="108" w:type="dxa"/>
        </w:trPr>
        <w:tc>
          <w:tcPr>
            <w:tcW w:w="3544" w:type="dxa"/>
            <w:tcBorders>
              <w:left w:val="nil"/>
              <w:right w:val="nil"/>
            </w:tcBorders>
          </w:tcPr>
          <w:p w14:paraId="53B0606C" w14:textId="77777777" w:rsidR="009849D5" w:rsidRPr="002F3B49" w:rsidRDefault="009849D5" w:rsidP="007C6B71">
            <w:pPr>
              <w:jc w:val="left"/>
              <w:rPr>
                <w:rFonts w:ascii="Arial" w:hAnsi="Arial" w:cs="Arial"/>
                <w:b/>
                <w:i/>
                <w:sz w:val="20"/>
                <w:szCs w:val="20"/>
              </w:rPr>
            </w:pPr>
            <w:r w:rsidRPr="00087C2E">
              <w:rPr>
                <w:rFonts w:ascii="Arial" w:hAnsi="Arial" w:cs="Arial"/>
                <w:b/>
                <w:i/>
                <w:sz w:val="20"/>
                <w:szCs w:val="20"/>
              </w:rPr>
              <w:t>CARDIAC</w:t>
            </w:r>
          </w:p>
        </w:tc>
        <w:tc>
          <w:tcPr>
            <w:tcW w:w="5204" w:type="dxa"/>
            <w:tcBorders>
              <w:left w:val="nil"/>
              <w:right w:val="nil"/>
            </w:tcBorders>
            <w:shd w:val="clear" w:color="auto" w:fill="auto"/>
          </w:tcPr>
          <w:p w14:paraId="306FE0AF" w14:textId="77777777" w:rsidR="009849D5" w:rsidRPr="00C9135A" w:rsidRDefault="009849D5" w:rsidP="007C6B71">
            <w:pPr>
              <w:jc w:val="left"/>
              <w:rPr>
                <w:rFonts w:ascii="Arial" w:hAnsi="Arial" w:cs="Arial"/>
                <w:i/>
                <w:sz w:val="20"/>
                <w:szCs w:val="20"/>
              </w:rPr>
            </w:pPr>
          </w:p>
        </w:tc>
      </w:tr>
      <w:tr w:rsidR="009849D5" w:rsidRPr="002F3B49" w14:paraId="754D8113" w14:textId="77777777" w:rsidTr="00C54309">
        <w:trPr>
          <w:gridAfter w:val="1"/>
          <w:wAfter w:w="108" w:type="dxa"/>
        </w:trPr>
        <w:tc>
          <w:tcPr>
            <w:tcW w:w="3544" w:type="dxa"/>
            <w:tcBorders>
              <w:left w:val="nil"/>
              <w:right w:val="nil"/>
            </w:tcBorders>
          </w:tcPr>
          <w:p w14:paraId="0224400B" w14:textId="77777777" w:rsidR="009849D5" w:rsidRPr="002F3B49" w:rsidRDefault="009849D5" w:rsidP="007C6B71">
            <w:pPr>
              <w:pStyle w:val="ListParagraph"/>
              <w:numPr>
                <w:ilvl w:val="0"/>
                <w:numId w:val="27"/>
              </w:numPr>
              <w:jc w:val="left"/>
              <w:rPr>
                <w:sz w:val="20"/>
                <w:szCs w:val="20"/>
              </w:rPr>
            </w:pPr>
            <w:r w:rsidRPr="002F3B49">
              <w:rPr>
                <w:sz w:val="20"/>
                <w:szCs w:val="20"/>
              </w:rPr>
              <w:t>Symptomatic congestive heart failure</w:t>
            </w:r>
          </w:p>
          <w:p w14:paraId="43B98A43" w14:textId="77777777" w:rsidR="009849D5" w:rsidRPr="002F3B49" w:rsidRDefault="009849D5" w:rsidP="007C6B71">
            <w:pPr>
              <w:pStyle w:val="ListParagraph"/>
              <w:numPr>
                <w:ilvl w:val="0"/>
                <w:numId w:val="27"/>
              </w:numPr>
              <w:jc w:val="left"/>
              <w:rPr>
                <w:sz w:val="20"/>
                <w:szCs w:val="20"/>
              </w:rPr>
            </w:pPr>
            <w:r w:rsidRPr="002F3B49">
              <w:rPr>
                <w:sz w:val="20"/>
                <w:szCs w:val="20"/>
              </w:rPr>
              <w:t>Absolute decrease in LVEF of greater than 20</w:t>
            </w:r>
            <w:r>
              <w:rPr>
                <w:sz w:val="20"/>
                <w:szCs w:val="20"/>
              </w:rPr>
              <w:t xml:space="preserve"> </w:t>
            </w:r>
            <w:r w:rsidRPr="002F3B49">
              <w:rPr>
                <w:sz w:val="20"/>
                <w:szCs w:val="20"/>
              </w:rPr>
              <w:t>% from baseline that is below LLN</w:t>
            </w:r>
          </w:p>
        </w:tc>
        <w:tc>
          <w:tcPr>
            <w:tcW w:w="5204" w:type="dxa"/>
            <w:tcBorders>
              <w:left w:val="nil"/>
              <w:right w:val="nil"/>
            </w:tcBorders>
            <w:shd w:val="clear" w:color="auto" w:fill="auto"/>
          </w:tcPr>
          <w:p w14:paraId="3FFA02E2" w14:textId="77777777" w:rsidR="009849D5" w:rsidRPr="002F3B49" w:rsidRDefault="009849D5" w:rsidP="007C6B71">
            <w:pPr>
              <w:pStyle w:val="ListParagraph"/>
              <w:numPr>
                <w:ilvl w:val="0"/>
                <w:numId w:val="27"/>
              </w:numPr>
              <w:jc w:val="left"/>
              <w:rPr>
                <w:sz w:val="20"/>
                <w:szCs w:val="20"/>
              </w:rPr>
            </w:pPr>
            <w:r>
              <w:rPr>
                <w:sz w:val="20"/>
                <w:szCs w:val="20"/>
              </w:rPr>
              <w:t>W</w:t>
            </w:r>
            <w:r w:rsidRPr="002F3B49">
              <w:rPr>
                <w:sz w:val="20"/>
                <w:szCs w:val="20"/>
              </w:rPr>
              <w:t>ithh</w:t>
            </w:r>
            <w:r>
              <w:rPr>
                <w:sz w:val="20"/>
                <w:szCs w:val="20"/>
              </w:rPr>
              <w:t>o</w:t>
            </w:r>
            <w:r w:rsidRPr="002F3B49">
              <w:rPr>
                <w:sz w:val="20"/>
                <w:szCs w:val="20"/>
              </w:rPr>
              <w:t xml:space="preserve">ld </w:t>
            </w:r>
            <w:r>
              <w:rPr>
                <w:sz w:val="20"/>
                <w:szCs w:val="20"/>
              </w:rPr>
              <w:t xml:space="preserve">TAFINLAR. If improved, </w:t>
            </w:r>
            <w:r w:rsidRPr="002F3B49">
              <w:rPr>
                <w:sz w:val="20"/>
                <w:szCs w:val="20"/>
              </w:rPr>
              <w:t>resume</w:t>
            </w:r>
            <w:r>
              <w:rPr>
                <w:sz w:val="20"/>
                <w:szCs w:val="20"/>
              </w:rPr>
              <w:t xml:space="preserve"> </w:t>
            </w:r>
            <w:r w:rsidRPr="002F3B49">
              <w:rPr>
                <w:sz w:val="20"/>
                <w:szCs w:val="20"/>
              </w:rPr>
              <w:t>at the same dose upon recovery of cardiac function</w:t>
            </w:r>
          </w:p>
        </w:tc>
      </w:tr>
      <w:tr w:rsidR="009849D5" w:rsidRPr="00936C01" w14:paraId="718F0643" w14:textId="77777777" w:rsidTr="00C54309">
        <w:trPr>
          <w:gridAfter w:val="1"/>
          <w:wAfter w:w="108" w:type="dxa"/>
        </w:trPr>
        <w:tc>
          <w:tcPr>
            <w:tcW w:w="3544" w:type="dxa"/>
            <w:tcBorders>
              <w:left w:val="nil"/>
              <w:right w:val="nil"/>
            </w:tcBorders>
          </w:tcPr>
          <w:p w14:paraId="395DA219" w14:textId="77777777" w:rsidR="009849D5" w:rsidRPr="002F3B49" w:rsidRDefault="009849D5" w:rsidP="007C6B71">
            <w:pPr>
              <w:jc w:val="left"/>
              <w:rPr>
                <w:rFonts w:ascii="Arial" w:hAnsi="Arial" w:cs="Arial"/>
                <w:b/>
                <w:i/>
                <w:sz w:val="20"/>
                <w:szCs w:val="20"/>
              </w:rPr>
            </w:pPr>
            <w:r w:rsidRPr="002F3B49">
              <w:rPr>
                <w:rFonts w:ascii="Arial" w:hAnsi="Arial" w:cs="Arial"/>
                <w:b/>
                <w:i/>
                <w:sz w:val="20"/>
                <w:szCs w:val="20"/>
              </w:rPr>
              <w:t>UVEITIS</w:t>
            </w:r>
          </w:p>
        </w:tc>
        <w:tc>
          <w:tcPr>
            <w:tcW w:w="5204" w:type="dxa"/>
            <w:tcBorders>
              <w:left w:val="nil"/>
              <w:right w:val="nil"/>
            </w:tcBorders>
            <w:shd w:val="clear" w:color="auto" w:fill="auto"/>
          </w:tcPr>
          <w:p w14:paraId="58207E02" w14:textId="77777777" w:rsidR="009849D5" w:rsidRPr="00C9135A" w:rsidRDefault="009849D5" w:rsidP="007C6B71">
            <w:pPr>
              <w:rPr>
                <w:rFonts w:ascii="Arial" w:hAnsi="Arial" w:cs="Arial"/>
                <w:i/>
                <w:sz w:val="20"/>
                <w:szCs w:val="20"/>
              </w:rPr>
            </w:pPr>
          </w:p>
        </w:tc>
      </w:tr>
      <w:tr w:rsidR="009849D5" w:rsidRPr="00254BEF" w14:paraId="1445685C" w14:textId="77777777" w:rsidTr="00C54309">
        <w:tc>
          <w:tcPr>
            <w:tcW w:w="3544" w:type="dxa"/>
            <w:tcBorders>
              <w:left w:val="nil"/>
              <w:right w:val="nil"/>
            </w:tcBorders>
          </w:tcPr>
          <w:p w14:paraId="16F03BFE" w14:textId="77777777" w:rsidR="009849D5" w:rsidRPr="0088047D" w:rsidRDefault="009849D5" w:rsidP="0088047D">
            <w:pPr>
              <w:jc w:val="left"/>
              <w:rPr>
                <w:rFonts w:ascii="Arial" w:hAnsi="Arial" w:cs="Arial"/>
                <w:sz w:val="20"/>
              </w:rPr>
            </w:pPr>
            <w:r w:rsidRPr="0088047D">
              <w:rPr>
                <w:rFonts w:ascii="Arial" w:hAnsi="Arial" w:cs="Arial"/>
                <w:sz w:val="20"/>
                <w:szCs w:val="20"/>
              </w:rPr>
              <w:t xml:space="preserve">Uveitis including iritis and </w:t>
            </w:r>
            <w:proofErr w:type="spellStart"/>
            <w:r w:rsidRPr="0088047D">
              <w:rPr>
                <w:rFonts w:ascii="Arial" w:hAnsi="Arial" w:cs="Arial"/>
                <w:sz w:val="20"/>
                <w:szCs w:val="20"/>
              </w:rPr>
              <w:t>iridocyclitis</w:t>
            </w:r>
            <w:proofErr w:type="spellEnd"/>
          </w:p>
        </w:tc>
        <w:tc>
          <w:tcPr>
            <w:tcW w:w="5312" w:type="dxa"/>
            <w:gridSpan w:val="2"/>
            <w:tcBorders>
              <w:left w:val="nil"/>
              <w:right w:val="nil"/>
            </w:tcBorders>
            <w:shd w:val="clear" w:color="auto" w:fill="auto"/>
          </w:tcPr>
          <w:p w14:paraId="193A384C" w14:textId="77777777" w:rsidR="009849D5" w:rsidRPr="000076F9" w:rsidRDefault="009849D5" w:rsidP="007C6B71">
            <w:pPr>
              <w:rPr>
                <w:rFonts w:ascii="Arial" w:hAnsi="Arial" w:cs="Arial"/>
                <w:sz w:val="20"/>
                <w:szCs w:val="20"/>
              </w:rPr>
            </w:pPr>
            <w:r w:rsidRPr="000076F9">
              <w:rPr>
                <w:rFonts w:ascii="Arial" w:hAnsi="Arial" w:cs="Arial"/>
                <w:sz w:val="20"/>
                <w:szCs w:val="20"/>
              </w:rPr>
              <w:t>If mild</w:t>
            </w:r>
            <w:r w:rsidRPr="00000FDD">
              <w:rPr>
                <w:rFonts w:ascii="Arial" w:hAnsi="Arial" w:cs="Arial"/>
                <w:sz w:val="20"/>
                <w:szCs w:val="20"/>
              </w:rPr>
              <w:t xml:space="preserve"> or </w:t>
            </w:r>
            <w:r w:rsidRPr="000076F9">
              <w:rPr>
                <w:rFonts w:ascii="Arial" w:hAnsi="Arial" w:cs="Arial"/>
                <w:sz w:val="20"/>
                <w:szCs w:val="20"/>
              </w:rPr>
              <w:t>moderate uveitis does not respond to ocular</w:t>
            </w:r>
            <w:r w:rsidRPr="00000FDD">
              <w:rPr>
                <w:rFonts w:ascii="Arial" w:hAnsi="Arial" w:cs="Arial"/>
                <w:sz w:val="20"/>
                <w:szCs w:val="20"/>
              </w:rPr>
              <w:t xml:space="preserve"> therapy</w:t>
            </w:r>
            <w:r w:rsidRPr="000076F9">
              <w:rPr>
                <w:rFonts w:ascii="Arial" w:hAnsi="Arial" w:cs="Arial"/>
                <w:sz w:val="20"/>
                <w:szCs w:val="20"/>
              </w:rPr>
              <w:t>, or for severe uveitis, withhold TAFINLAR for up to 6 weeks.</w:t>
            </w:r>
          </w:p>
          <w:p w14:paraId="698E77D9" w14:textId="77777777" w:rsidR="009849D5" w:rsidRPr="002F3B49" w:rsidRDefault="009849D5" w:rsidP="007C6B71">
            <w:pPr>
              <w:pStyle w:val="ListParagraph"/>
              <w:numPr>
                <w:ilvl w:val="0"/>
                <w:numId w:val="28"/>
              </w:numPr>
              <w:rPr>
                <w:sz w:val="20"/>
                <w:szCs w:val="20"/>
              </w:rPr>
            </w:pPr>
            <w:r w:rsidRPr="002F3B49">
              <w:rPr>
                <w:sz w:val="20"/>
                <w:szCs w:val="20"/>
              </w:rPr>
              <w:t>If improved to Grade</w:t>
            </w:r>
            <w:r w:rsidRPr="009347F6">
              <w:rPr>
                <w:sz w:val="20"/>
              </w:rPr>
              <w:t xml:space="preserve"> 0</w:t>
            </w:r>
            <w:r w:rsidRPr="002F3B49">
              <w:rPr>
                <w:sz w:val="20"/>
                <w:szCs w:val="20"/>
              </w:rPr>
              <w:t>-</w:t>
            </w:r>
            <w:r w:rsidRPr="009347F6">
              <w:rPr>
                <w:sz w:val="20"/>
              </w:rPr>
              <w:t>1</w:t>
            </w:r>
            <w:r w:rsidRPr="002F3B49">
              <w:rPr>
                <w:sz w:val="20"/>
                <w:szCs w:val="20"/>
              </w:rPr>
              <w:t>, then resume at the same or at a lower</w:t>
            </w:r>
            <w:r w:rsidRPr="009347F6">
              <w:rPr>
                <w:sz w:val="20"/>
              </w:rPr>
              <w:t xml:space="preserve"> dose level</w:t>
            </w:r>
            <w:r w:rsidRPr="002F3B49">
              <w:rPr>
                <w:sz w:val="20"/>
                <w:szCs w:val="20"/>
              </w:rPr>
              <w:t>.</w:t>
            </w:r>
          </w:p>
          <w:p w14:paraId="1998C189" w14:textId="77777777" w:rsidR="009849D5" w:rsidRPr="000B2AB2" w:rsidRDefault="009849D5" w:rsidP="007C6B71">
            <w:pPr>
              <w:pStyle w:val="ListParagraph"/>
              <w:numPr>
                <w:ilvl w:val="0"/>
                <w:numId w:val="28"/>
              </w:numPr>
              <w:rPr>
                <w:sz w:val="20"/>
              </w:rPr>
            </w:pPr>
            <w:r w:rsidRPr="002F3B49">
              <w:rPr>
                <w:sz w:val="20"/>
                <w:szCs w:val="20"/>
              </w:rPr>
              <w:t>If not improved, permanently discontinue</w:t>
            </w:r>
            <w:r w:rsidRPr="009347F6">
              <w:rPr>
                <w:sz w:val="20"/>
              </w:rPr>
              <w:t>.</w:t>
            </w:r>
          </w:p>
        </w:tc>
      </w:tr>
      <w:tr w:rsidR="009849D5" w:rsidRPr="002F3B49" w14:paraId="5D7D886D" w14:textId="77777777" w:rsidTr="00C54309">
        <w:trPr>
          <w:gridAfter w:val="1"/>
          <w:wAfter w:w="108" w:type="dxa"/>
        </w:trPr>
        <w:tc>
          <w:tcPr>
            <w:tcW w:w="3544" w:type="dxa"/>
            <w:tcBorders>
              <w:left w:val="nil"/>
              <w:right w:val="nil"/>
            </w:tcBorders>
          </w:tcPr>
          <w:p w14:paraId="45C13EC1" w14:textId="77777777" w:rsidR="009849D5" w:rsidRPr="002F3B49" w:rsidRDefault="009849D5" w:rsidP="007C6B71">
            <w:pPr>
              <w:jc w:val="left"/>
              <w:rPr>
                <w:rFonts w:ascii="Arial" w:hAnsi="Arial" w:cs="Arial"/>
                <w:b/>
                <w:i/>
                <w:sz w:val="20"/>
                <w:szCs w:val="20"/>
              </w:rPr>
            </w:pPr>
            <w:r w:rsidRPr="00087C2E">
              <w:rPr>
                <w:rFonts w:ascii="Arial" w:hAnsi="Arial" w:cs="Arial"/>
                <w:b/>
                <w:i/>
                <w:sz w:val="20"/>
                <w:szCs w:val="20"/>
              </w:rPr>
              <w:t>OTHER</w:t>
            </w:r>
          </w:p>
        </w:tc>
        <w:tc>
          <w:tcPr>
            <w:tcW w:w="5204" w:type="dxa"/>
            <w:tcBorders>
              <w:left w:val="nil"/>
              <w:right w:val="nil"/>
            </w:tcBorders>
            <w:shd w:val="clear" w:color="auto" w:fill="auto"/>
          </w:tcPr>
          <w:p w14:paraId="219147D5" w14:textId="77777777" w:rsidR="009849D5" w:rsidRPr="002F3B49" w:rsidRDefault="009849D5" w:rsidP="007C6B71">
            <w:pPr>
              <w:rPr>
                <w:rFonts w:ascii="Arial" w:hAnsi="Arial" w:cs="Arial"/>
                <w:i/>
                <w:sz w:val="20"/>
                <w:szCs w:val="20"/>
              </w:rPr>
            </w:pPr>
          </w:p>
        </w:tc>
      </w:tr>
      <w:tr w:rsidR="009849D5" w:rsidRPr="00254BEF" w14:paraId="75086A93" w14:textId="77777777" w:rsidTr="00C54309">
        <w:trPr>
          <w:gridAfter w:val="1"/>
          <w:wAfter w:w="108" w:type="dxa"/>
        </w:trPr>
        <w:tc>
          <w:tcPr>
            <w:tcW w:w="3544" w:type="dxa"/>
            <w:tcBorders>
              <w:left w:val="nil"/>
              <w:right w:val="nil"/>
            </w:tcBorders>
          </w:tcPr>
          <w:p w14:paraId="33E79377" w14:textId="77777777" w:rsidR="009849D5" w:rsidRPr="0088047D" w:rsidRDefault="009849D5" w:rsidP="0088047D">
            <w:pPr>
              <w:jc w:val="left"/>
              <w:rPr>
                <w:rFonts w:ascii="Arial" w:hAnsi="Arial" w:cs="Arial"/>
                <w:sz w:val="20"/>
                <w:szCs w:val="20"/>
              </w:rPr>
            </w:pPr>
            <w:r w:rsidRPr="0088047D">
              <w:rPr>
                <w:rFonts w:ascii="Arial" w:hAnsi="Arial" w:cs="Arial"/>
                <w:sz w:val="20"/>
                <w:szCs w:val="20"/>
              </w:rPr>
              <w:t>Grade 2 (Intolerable) or Grade 3</w:t>
            </w:r>
          </w:p>
        </w:tc>
        <w:tc>
          <w:tcPr>
            <w:tcW w:w="5204" w:type="dxa"/>
            <w:tcBorders>
              <w:left w:val="nil"/>
              <w:right w:val="nil"/>
            </w:tcBorders>
            <w:shd w:val="clear" w:color="auto" w:fill="auto"/>
          </w:tcPr>
          <w:p w14:paraId="56111C36" w14:textId="531F2DA6" w:rsidR="009849D5" w:rsidRDefault="0035507E" w:rsidP="007C6B71">
            <w:pPr>
              <w:rPr>
                <w:rFonts w:ascii="Arial" w:hAnsi="Arial" w:cs="Arial"/>
                <w:sz w:val="20"/>
                <w:szCs w:val="20"/>
              </w:rPr>
            </w:pPr>
            <w:r>
              <w:rPr>
                <w:rFonts w:ascii="Arial" w:hAnsi="Arial" w:cs="Arial"/>
                <w:sz w:val="20"/>
                <w:szCs w:val="20"/>
              </w:rPr>
              <w:t>Withhold</w:t>
            </w:r>
            <w:r w:rsidR="009849D5">
              <w:rPr>
                <w:rFonts w:ascii="Arial" w:hAnsi="Arial" w:cs="Arial"/>
                <w:sz w:val="20"/>
                <w:szCs w:val="20"/>
              </w:rPr>
              <w:t xml:space="preserve"> </w:t>
            </w:r>
            <w:r w:rsidR="009849D5" w:rsidRPr="0017792A">
              <w:rPr>
                <w:rFonts w:ascii="Arial" w:hAnsi="Arial" w:cs="Arial"/>
                <w:sz w:val="20"/>
                <w:szCs w:val="20"/>
              </w:rPr>
              <w:t>TAFINLAR</w:t>
            </w:r>
            <w:r w:rsidR="009849D5">
              <w:rPr>
                <w:rFonts w:ascii="Arial" w:hAnsi="Arial" w:cs="Arial"/>
                <w:sz w:val="20"/>
                <w:szCs w:val="20"/>
              </w:rPr>
              <w:t>.</w:t>
            </w:r>
          </w:p>
          <w:p w14:paraId="6974379B" w14:textId="77777777" w:rsidR="009849D5" w:rsidRDefault="009849D5" w:rsidP="007C6B71">
            <w:pPr>
              <w:pStyle w:val="ListParagraph"/>
              <w:numPr>
                <w:ilvl w:val="0"/>
                <w:numId w:val="30"/>
              </w:numPr>
              <w:rPr>
                <w:sz w:val="20"/>
                <w:szCs w:val="20"/>
              </w:rPr>
            </w:pPr>
            <w:r w:rsidRPr="002F3B49">
              <w:rPr>
                <w:sz w:val="20"/>
                <w:szCs w:val="20"/>
              </w:rPr>
              <w:t>If improved to grade 0 – 1, resume at a lower dose level.</w:t>
            </w:r>
          </w:p>
          <w:p w14:paraId="2A86160B" w14:textId="77777777" w:rsidR="009849D5" w:rsidRPr="002F3B49" w:rsidRDefault="009849D5" w:rsidP="007C6B71">
            <w:pPr>
              <w:pStyle w:val="ListParagraph"/>
              <w:numPr>
                <w:ilvl w:val="0"/>
                <w:numId w:val="30"/>
              </w:numPr>
              <w:rPr>
                <w:sz w:val="20"/>
                <w:szCs w:val="20"/>
              </w:rPr>
            </w:pPr>
            <w:r>
              <w:rPr>
                <w:sz w:val="20"/>
                <w:szCs w:val="20"/>
              </w:rPr>
              <w:t>If not improved, p</w:t>
            </w:r>
            <w:r w:rsidRPr="000076F9">
              <w:rPr>
                <w:sz w:val="20"/>
                <w:szCs w:val="20"/>
              </w:rPr>
              <w:t>ermanently discontinue TAFINLAR.</w:t>
            </w:r>
          </w:p>
        </w:tc>
      </w:tr>
      <w:tr w:rsidR="009849D5" w:rsidRPr="00254BEF" w14:paraId="24B8C15F" w14:textId="77777777" w:rsidTr="00C54309">
        <w:trPr>
          <w:gridAfter w:val="1"/>
          <w:wAfter w:w="108" w:type="dxa"/>
        </w:trPr>
        <w:tc>
          <w:tcPr>
            <w:tcW w:w="3544" w:type="dxa"/>
            <w:tcBorders>
              <w:left w:val="nil"/>
              <w:right w:val="nil"/>
            </w:tcBorders>
          </w:tcPr>
          <w:p w14:paraId="5EED8DA6" w14:textId="77777777" w:rsidR="009849D5" w:rsidRPr="0088047D" w:rsidRDefault="009849D5" w:rsidP="0088047D">
            <w:pPr>
              <w:jc w:val="left"/>
              <w:rPr>
                <w:rFonts w:ascii="Arial" w:hAnsi="Arial" w:cs="Arial"/>
                <w:sz w:val="20"/>
                <w:szCs w:val="20"/>
              </w:rPr>
            </w:pPr>
            <w:r w:rsidRPr="0088047D">
              <w:rPr>
                <w:rFonts w:ascii="Arial" w:hAnsi="Arial" w:cs="Arial"/>
                <w:sz w:val="20"/>
                <w:szCs w:val="20"/>
              </w:rPr>
              <w:t>First occurrence of any Grade 4 adverse reaction</w:t>
            </w:r>
          </w:p>
        </w:tc>
        <w:tc>
          <w:tcPr>
            <w:tcW w:w="5204" w:type="dxa"/>
            <w:tcBorders>
              <w:left w:val="nil"/>
              <w:right w:val="nil"/>
            </w:tcBorders>
            <w:shd w:val="clear" w:color="auto" w:fill="auto"/>
          </w:tcPr>
          <w:p w14:paraId="5A600A12" w14:textId="77777777" w:rsidR="009849D5" w:rsidRPr="002F3B49" w:rsidRDefault="009849D5" w:rsidP="007C6B71">
            <w:pPr>
              <w:pStyle w:val="ListParagraph"/>
              <w:numPr>
                <w:ilvl w:val="0"/>
                <w:numId w:val="29"/>
              </w:numPr>
              <w:rPr>
                <w:sz w:val="20"/>
                <w:szCs w:val="20"/>
              </w:rPr>
            </w:pPr>
            <w:r w:rsidRPr="002F3B49">
              <w:rPr>
                <w:sz w:val="20"/>
                <w:szCs w:val="20"/>
              </w:rPr>
              <w:t>Withhold TAFINLAR until adverse reaction improves to Grade 0-1. Then resume at a lower dose level.</w:t>
            </w:r>
          </w:p>
          <w:p w14:paraId="316F3C8A" w14:textId="77777777" w:rsidR="009849D5" w:rsidRPr="000076F9" w:rsidRDefault="009849D5" w:rsidP="007C6B71">
            <w:pPr>
              <w:rPr>
                <w:rFonts w:ascii="Arial" w:hAnsi="Arial" w:cs="Arial"/>
                <w:sz w:val="20"/>
                <w:szCs w:val="20"/>
              </w:rPr>
            </w:pPr>
            <w:r w:rsidRPr="000076F9">
              <w:rPr>
                <w:rFonts w:ascii="Arial" w:hAnsi="Arial" w:cs="Arial"/>
                <w:sz w:val="20"/>
                <w:szCs w:val="20"/>
              </w:rPr>
              <w:t>Or</w:t>
            </w:r>
          </w:p>
          <w:p w14:paraId="13725878" w14:textId="77777777" w:rsidR="009849D5" w:rsidRPr="002F3B49" w:rsidRDefault="009849D5" w:rsidP="007C6B71">
            <w:pPr>
              <w:pStyle w:val="ListParagraph"/>
              <w:numPr>
                <w:ilvl w:val="0"/>
                <w:numId w:val="29"/>
              </w:numPr>
              <w:rPr>
                <w:sz w:val="20"/>
                <w:szCs w:val="20"/>
              </w:rPr>
            </w:pPr>
            <w:r w:rsidRPr="002F3B49">
              <w:rPr>
                <w:sz w:val="20"/>
                <w:szCs w:val="20"/>
              </w:rPr>
              <w:t>Permanently discontinue TAFINLAR.</w:t>
            </w:r>
          </w:p>
        </w:tc>
      </w:tr>
    </w:tbl>
    <w:p w14:paraId="5EDF21D1" w14:textId="77777777" w:rsidR="009849D5" w:rsidRPr="00000FDD" w:rsidRDefault="009849D5" w:rsidP="00C54309">
      <w:pPr>
        <w:ind w:left="360"/>
        <w:rPr>
          <w:rFonts w:ascii="Arial" w:hAnsi="Arial" w:cs="Arial"/>
          <w:sz w:val="18"/>
          <w:szCs w:val="18"/>
        </w:rPr>
      </w:pPr>
      <w:proofErr w:type="gramStart"/>
      <w:r w:rsidRPr="002F3B49">
        <w:rPr>
          <w:rFonts w:ascii="Arial" w:hAnsi="Arial" w:cs="Arial"/>
          <w:sz w:val="18"/>
          <w:szCs w:val="18"/>
          <w:vertAlign w:val="superscript"/>
        </w:rPr>
        <w:t>a</w:t>
      </w:r>
      <w:proofErr w:type="gramEnd"/>
      <w:r>
        <w:rPr>
          <w:rFonts w:ascii="Arial" w:hAnsi="Arial" w:cs="Arial"/>
          <w:sz w:val="18"/>
          <w:szCs w:val="18"/>
        </w:rPr>
        <w:t xml:space="preserve"> AE I</w:t>
      </w:r>
      <w:r w:rsidRPr="00000FDD">
        <w:rPr>
          <w:rFonts w:ascii="Arial" w:hAnsi="Arial" w:cs="Arial"/>
          <w:sz w:val="18"/>
          <w:szCs w:val="18"/>
        </w:rPr>
        <w:t xml:space="preserve">ntensity graded by the Common Terminology Criteria for Adverse Events (CTC-AE) v4.0 </w:t>
      </w:r>
    </w:p>
    <w:p w14:paraId="312133A1" w14:textId="6E2710E5" w:rsidR="009849D5" w:rsidRPr="00B0733D" w:rsidRDefault="009849D5" w:rsidP="00C54309">
      <w:pPr>
        <w:ind w:left="360"/>
        <w:rPr>
          <w:rFonts w:ascii="Arial" w:hAnsi="Arial"/>
          <w:sz w:val="18"/>
        </w:rPr>
      </w:pPr>
      <w:proofErr w:type="gramStart"/>
      <w:r w:rsidRPr="002F3B49">
        <w:rPr>
          <w:rFonts w:ascii="Arial" w:hAnsi="Arial" w:cs="Arial"/>
          <w:sz w:val="18"/>
          <w:szCs w:val="18"/>
          <w:vertAlign w:val="superscript"/>
        </w:rPr>
        <w:t>b</w:t>
      </w:r>
      <w:proofErr w:type="gramEnd"/>
      <w:r>
        <w:rPr>
          <w:rFonts w:ascii="Arial" w:hAnsi="Arial" w:cs="Arial"/>
          <w:sz w:val="18"/>
          <w:szCs w:val="18"/>
        </w:rPr>
        <w:t xml:space="preserve"> See Table </w:t>
      </w:r>
      <w:r w:rsidR="00C73E06">
        <w:rPr>
          <w:rFonts w:ascii="Arial" w:hAnsi="Arial" w:cs="Arial"/>
          <w:sz w:val="18"/>
          <w:szCs w:val="18"/>
        </w:rPr>
        <w:t>2</w:t>
      </w:r>
      <w:r>
        <w:rPr>
          <w:rFonts w:ascii="Arial" w:hAnsi="Arial" w:cs="Arial"/>
          <w:sz w:val="18"/>
          <w:szCs w:val="18"/>
        </w:rPr>
        <w:t xml:space="preserve"> for </w:t>
      </w:r>
      <w:r w:rsidRPr="00F63EC1">
        <w:rPr>
          <w:rFonts w:ascii="Arial" w:hAnsi="Arial" w:cs="Arial"/>
          <w:sz w:val="18"/>
          <w:szCs w:val="18"/>
        </w:rPr>
        <w:t>recommended dose reductions of TAFINLAR</w:t>
      </w:r>
      <w:r>
        <w:rPr>
          <w:rFonts w:ascii="Arial" w:hAnsi="Arial" w:cs="Arial"/>
          <w:sz w:val="18"/>
          <w:szCs w:val="18"/>
        </w:rPr>
        <w:t>.</w:t>
      </w:r>
    </w:p>
    <w:p w14:paraId="61C6861F" w14:textId="77777777" w:rsidR="009849D5" w:rsidRDefault="009849D5" w:rsidP="00C54309">
      <w:pPr>
        <w:ind w:left="360"/>
      </w:pPr>
      <w:r w:rsidRPr="00254BEF">
        <w:lastRenderedPageBreak/>
        <w:t xml:space="preserve">When an individual’s adverse reactions are under effective management, dose re-escalation following the same dosing steps as de-escalation may be considered. The </w:t>
      </w:r>
      <w:r>
        <w:t>TAFINLAR</w:t>
      </w:r>
      <w:r w:rsidRPr="00254BEF">
        <w:t xml:space="preserve"> dose should not exceed 150 mg twice daily.</w:t>
      </w:r>
    </w:p>
    <w:p w14:paraId="18143CEA" w14:textId="6BC007FE" w:rsidR="009849D5" w:rsidRPr="00B0733D" w:rsidRDefault="009849D5" w:rsidP="00C54309">
      <w:pPr>
        <w:pStyle w:val="Heading3"/>
        <w:keepNext w:val="0"/>
        <w:widowControl w:val="0"/>
        <w:ind w:left="357"/>
        <w:rPr>
          <w:b w:val="0"/>
        </w:rPr>
      </w:pPr>
      <w:r w:rsidRPr="00B0733D">
        <w:rPr>
          <w:b w:val="0"/>
          <w:lang w:val="en-GB"/>
        </w:rPr>
        <w:t xml:space="preserve">If treatment related toxicities occur when </w:t>
      </w:r>
      <w:r w:rsidRPr="007570E1">
        <w:rPr>
          <w:b w:val="0"/>
          <w:lang w:val="en-GB"/>
        </w:rPr>
        <w:t>TAFINLAR</w:t>
      </w:r>
      <w:r w:rsidRPr="00B0733D">
        <w:rPr>
          <w:b w:val="0"/>
          <w:lang w:val="en-GB"/>
        </w:rPr>
        <w:t xml:space="preserve"> is used in combination with </w:t>
      </w:r>
      <w:r w:rsidRPr="007570E1">
        <w:rPr>
          <w:b w:val="0"/>
          <w:lang w:val="en-GB"/>
        </w:rPr>
        <w:t>MEKINIST</w:t>
      </w:r>
      <w:r w:rsidRPr="00B0733D">
        <w:rPr>
          <w:b w:val="0"/>
          <w:lang w:val="en-GB"/>
        </w:rPr>
        <w:t xml:space="preserve"> then both treatments should be simultaneously dose reduced, interrupted or discontinued with the </w:t>
      </w:r>
      <w:r w:rsidR="00D52899">
        <w:rPr>
          <w:b w:val="0"/>
          <w:lang w:val="en-GB"/>
        </w:rPr>
        <w:t xml:space="preserve">following </w:t>
      </w:r>
      <w:r w:rsidRPr="00B0733D">
        <w:rPr>
          <w:b w:val="0"/>
          <w:lang w:val="en-GB"/>
        </w:rPr>
        <w:t>exceptions.</w:t>
      </w:r>
      <w:r w:rsidRPr="007570E1">
        <w:rPr>
          <w:b w:val="0"/>
        </w:rPr>
        <w:t xml:space="preserve"> </w:t>
      </w:r>
    </w:p>
    <w:p w14:paraId="5B7194D4" w14:textId="77777777" w:rsidR="009849D5" w:rsidRPr="00C54309" w:rsidRDefault="009849D5" w:rsidP="00C54309">
      <w:pPr>
        <w:pStyle w:val="Heading2"/>
        <w:ind w:left="360"/>
        <w:rPr>
          <w:b w:val="0"/>
          <w:i/>
        </w:rPr>
      </w:pPr>
      <w:r w:rsidRPr="00C54309">
        <w:rPr>
          <w:b w:val="0"/>
          <w:i/>
        </w:rPr>
        <w:t>Detailed dosing modifications for selected adverse reactions</w:t>
      </w:r>
    </w:p>
    <w:p w14:paraId="2F676F38" w14:textId="77777777" w:rsidR="009849D5" w:rsidRPr="00C54309" w:rsidRDefault="009849D5" w:rsidP="00C54309">
      <w:pPr>
        <w:pStyle w:val="Heading3"/>
        <w:ind w:left="360"/>
        <w:rPr>
          <w:b w:val="0"/>
          <w:i/>
        </w:rPr>
      </w:pPr>
      <w:r w:rsidRPr="00C54309">
        <w:rPr>
          <w:b w:val="0"/>
          <w:i/>
        </w:rPr>
        <w:t xml:space="preserve">New Primary Cutaneous Malignancies </w:t>
      </w:r>
    </w:p>
    <w:p w14:paraId="2E2287E5" w14:textId="77777777" w:rsidR="009849D5" w:rsidRPr="00184DC7" w:rsidRDefault="009849D5" w:rsidP="00C54309">
      <w:pPr>
        <w:numPr>
          <w:ilvl w:val="0"/>
          <w:numId w:val="5"/>
        </w:numPr>
        <w:ind w:left="720"/>
        <w:rPr>
          <w:u w:val="single"/>
          <w:lang w:val="en-GB"/>
        </w:rPr>
      </w:pPr>
      <w:r>
        <w:rPr>
          <w:lang w:val="en-GB"/>
        </w:rPr>
        <w:t>N</w:t>
      </w:r>
      <w:r w:rsidRPr="007D1404">
        <w:rPr>
          <w:lang w:val="en-GB"/>
        </w:rPr>
        <w:t xml:space="preserve">o </w:t>
      </w:r>
      <w:r>
        <w:rPr>
          <w:lang w:val="en-GB"/>
        </w:rPr>
        <w:t>TAFINLAR</w:t>
      </w:r>
      <w:r w:rsidRPr="007D1404">
        <w:rPr>
          <w:lang w:val="en-GB"/>
        </w:rPr>
        <w:t xml:space="preserve"> dose modifications are required. </w:t>
      </w:r>
    </w:p>
    <w:p w14:paraId="7DC419C7" w14:textId="77777777" w:rsidR="009849D5" w:rsidRPr="00C54309" w:rsidRDefault="009849D5" w:rsidP="00C54309">
      <w:pPr>
        <w:pStyle w:val="Heading3"/>
        <w:ind w:left="360"/>
        <w:rPr>
          <w:b w:val="0"/>
          <w:i/>
        </w:rPr>
      </w:pPr>
      <w:r w:rsidRPr="00C54309">
        <w:rPr>
          <w:b w:val="0"/>
          <w:i/>
        </w:rPr>
        <w:t>New Primary Non-Cutaneous Malignancies</w:t>
      </w:r>
    </w:p>
    <w:p w14:paraId="671DF355" w14:textId="77777777" w:rsidR="009849D5" w:rsidRPr="007D1404" w:rsidRDefault="009849D5" w:rsidP="00C54309">
      <w:pPr>
        <w:numPr>
          <w:ilvl w:val="0"/>
          <w:numId w:val="5"/>
        </w:numPr>
        <w:ind w:left="720"/>
        <w:rPr>
          <w:u w:val="single"/>
          <w:lang w:val="en-GB"/>
        </w:rPr>
      </w:pPr>
      <w:r>
        <w:rPr>
          <w:lang w:val="en-GB"/>
        </w:rPr>
        <w:t>P</w:t>
      </w:r>
      <w:r w:rsidRPr="007D1404">
        <w:rPr>
          <w:lang w:val="en-GB"/>
        </w:rPr>
        <w:t xml:space="preserve">ermanently discontinue </w:t>
      </w:r>
      <w:r>
        <w:rPr>
          <w:lang w:val="en-GB"/>
        </w:rPr>
        <w:t xml:space="preserve">TAFINLAR </w:t>
      </w:r>
      <w:r w:rsidRPr="007D1404">
        <w:rPr>
          <w:lang w:val="en-GB"/>
        </w:rPr>
        <w:t>in patients who develop RAS mutation-positive non-cutaneous malignancies.</w:t>
      </w:r>
    </w:p>
    <w:p w14:paraId="030CF074" w14:textId="77777777" w:rsidR="009849D5" w:rsidRPr="00C54309" w:rsidRDefault="009849D5" w:rsidP="00C54309">
      <w:pPr>
        <w:pStyle w:val="Heading3"/>
        <w:ind w:left="360"/>
        <w:rPr>
          <w:b w:val="0"/>
          <w:i/>
        </w:rPr>
      </w:pPr>
      <w:r w:rsidRPr="00C54309">
        <w:rPr>
          <w:b w:val="0"/>
          <w:i/>
        </w:rPr>
        <w:t xml:space="preserve">Pyrexia Management </w:t>
      </w:r>
    </w:p>
    <w:p w14:paraId="22714D30" w14:textId="24731D51" w:rsidR="009849D5" w:rsidRPr="00B0733D" w:rsidRDefault="009849D5" w:rsidP="00C54309">
      <w:pPr>
        <w:widowControl w:val="0"/>
        <w:ind w:left="360"/>
        <w:rPr>
          <w:lang w:val="en-GB"/>
        </w:rPr>
      </w:pPr>
      <w:r>
        <w:rPr>
          <w:lang w:val="en-GB"/>
        </w:rPr>
        <w:t>Follow</w:t>
      </w:r>
      <w:r w:rsidRPr="00184DC7">
        <w:rPr>
          <w:lang w:val="en-GB"/>
        </w:rPr>
        <w:t xml:space="preserve"> the </w:t>
      </w:r>
      <w:r>
        <w:rPr>
          <w:lang w:val="en-GB"/>
        </w:rPr>
        <w:t xml:space="preserve">dose modifications in Table </w:t>
      </w:r>
      <w:r w:rsidR="00162040">
        <w:rPr>
          <w:lang w:val="en-GB"/>
        </w:rPr>
        <w:t>2</w:t>
      </w:r>
      <w:r>
        <w:rPr>
          <w:lang w:val="en-GB"/>
        </w:rPr>
        <w:t xml:space="preserve">. </w:t>
      </w:r>
      <w:r w:rsidRPr="007D1404">
        <w:rPr>
          <w:lang w:val="en-GB"/>
        </w:rPr>
        <w:t>Initiate treatment with anti-</w:t>
      </w:r>
      <w:proofErr w:type="spellStart"/>
      <w:r w:rsidRPr="007D1404">
        <w:rPr>
          <w:lang w:val="en-GB"/>
        </w:rPr>
        <w:t>pyretics</w:t>
      </w:r>
      <w:proofErr w:type="spellEnd"/>
      <w:r w:rsidRPr="007D1404">
        <w:rPr>
          <w:lang w:val="en-GB"/>
        </w:rPr>
        <w:t xml:space="preserve"> such as ibuprofen (preferred) or </w:t>
      </w:r>
      <w:r w:rsidRPr="00FA01AF">
        <w:rPr>
          <w:lang w:val="en-GB"/>
        </w:rPr>
        <w:t xml:space="preserve">paracetamol. </w:t>
      </w:r>
      <w:r w:rsidRPr="00B0733D">
        <w:rPr>
          <w:lang w:val="en-GB"/>
        </w:rPr>
        <w:t>The use of oral corticosteroids should be considered in those instances in which anti-</w:t>
      </w:r>
      <w:proofErr w:type="spellStart"/>
      <w:r w:rsidRPr="00B0733D">
        <w:rPr>
          <w:lang w:val="en-GB"/>
        </w:rPr>
        <w:t>pyretics</w:t>
      </w:r>
      <w:proofErr w:type="spellEnd"/>
      <w:r w:rsidRPr="00B0733D">
        <w:rPr>
          <w:lang w:val="en-GB"/>
        </w:rPr>
        <w:t xml:space="preserve"> are insufficient.</w:t>
      </w:r>
      <w:r w:rsidRPr="007D1404">
        <w:rPr>
          <w:lang w:val="en-GB"/>
        </w:rPr>
        <w:t xml:space="preserve"> Patients should be evaluated for signs and symptoms of infection (see </w:t>
      </w:r>
      <w:r w:rsidR="00E26DB7">
        <w:rPr>
          <w:lang w:val="en-GB"/>
        </w:rPr>
        <w:t>section 4.4</w:t>
      </w:r>
      <w:r w:rsidR="003278E1" w:rsidRPr="003278E1">
        <w:t xml:space="preserve"> </w:t>
      </w:r>
      <w:r w:rsidR="003278E1" w:rsidRPr="003278E1">
        <w:rPr>
          <w:lang w:val="en-GB"/>
        </w:rPr>
        <w:t>Special Warnings and Precautions for Use</w:t>
      </w:r>
      <w:r w:rsidRPr="003278E1">
        <w:rPr>
          <w:lang w:val="en-GB"/>
        </w:rPr>
        <w:t>)</w:t>
      </w:r>
      <w:r w:rsidRPr="007D1404">
        <w:rPr>
          <w:lang w:val="en-GB"/>
        </w:rPr>
        <w:t>.</w:t>
      </w:r>
      <w:r w:rsidRPr="00B0733D">
        <w:t xml:space="preserve"> </w:t>
      </w:r>
      <w:r w:rsidRPr="00411677">
        <w:rPr>
          <w:lang w:val="en-GB"/>
        </w:rPr>
        <w:t>Monitor serum creatinine and other evidence of renal function during and following severe</w:t>
      </w:r>
      <w:r>
        <w:rPr>
          <w:lang w:val="en-GB"/>
        </w:rPr>
        <w:t xml:space="preserve"> </w:t>
      </w:r>
      <w:r w:rsidRPr="00411677">
        <w:rPr>
          <w:lang w:val="en-GB"/>
        </w:rPr>
        <w:t>events of pyrexia.</w:t>
      </w:r>
    </w:p>
    <w:p w14:paraId="6FAAE302" w14:textId="77777777" w:rsidR="009849D5" w:rsidRPr="00C54309" w:rsidRDefault="009849D5" w:rsidP="00C54309">
      <w:pPr>
        <w:pStyle w:val="Heading3"/>
        <w:ind w:left="360"/>
        <w:rPr>
          <w:b w:val="0"/>
          <w:i/>
        </w:rPr>
      </w:pPr>
      <w:r w:rsidRPr="00C54309">
        <w:rPr>
          <w:b w:val="0"/>
          <w:i/>
        </w:rPr>
        <w:t>Uveitis Management</w:t>
      </w:r>
    </w:p>
    <w:p w14:paraId="09D3B9E4" w14:textId="77777777" w:rsidR="009849D5" w:rsidRDefault="009849D5" w:rsidP="00C54309">
      <w:pPr>
        <w:ind w:left="360"/>
        <w:rPr>
          <w:rFonts w:ascii="Arial" w:hAnsi="Arial" w:cs="Arial"/>
          <w:sz w:val="20"/>
          <w:szCs w:val="20"/>
        </w:rPr>
      </w:pPr>
      <w:r w:rsidRPr="00F43BB5">
        <w:rPr>
          <w:lang w:val="en-GB"/>
        </w:rPr>
        <w:t>No dose modifications are required as long as effective local therapies can control ocular</w:t>
      </w:r>
      <w:r>
        <w:rPr>
          <w:lang w:val="en-GB"/>
        </w:rPr>
        <w:t xml:space="preserve"> </w:t>
      </w:r>
      <w:r w:rsidRPr="00F43BB5">
        <w:rPr>
          <w:lang w:val="en-GB"/>
        </w:rPr>
        <w:t xml:space="preserve">inflammation.  </w:t>
      </w:r>
    </w:p>
    <w:p w14:paraId="1A8F248A" w14:textId="77777777" w:rsidR="009849D5" w:rsidRPr="00C54309" w:rsidRDefault="009849D5" w:rsidP="00C54309">
      <w:pPr>
        <w:pStyle w:val="Heading3"/>
        <w:spacing w:before="120"/>
        <w:ind w:left="360"/>
        <w:rPr>
          <w:b w:val="0"/>
          <w:i/>
        </w:rPr>
      </w:pPr>
      <w:r w:rsidRPr="00C54309">
        <w:rPr>
          <w:b w:val="0"/>
          <w:i/>
        </w:rPr>
        <w:t>Interstitial lung disease (ILD)/Pneumonitis</w:t>
      </w:r>
    </w:p>
    <w:p w14:paraId="00798B44" w14:textId="77777777" w:rsidR="009849D5" w:rsidRDefault="009849D5" w:rsidP="00C54309">
      <w:pPr>
        <w:ind w:left="360"/>
      </w:pPr>
      <w:r>
        <w:t>D</w:t>
      </w:r>
      <w:r w:rsidRPr="007D1404">
        <w:t>o not modify the dose of</w:t>
      </w:r>
      <w:r>
        <w:t xml:space="preserve"> TAFINLAR</w:t>
      </w:r>
      <w:r w:rsidRPr="007D1404">
        <w:t>.</w:t>
      </w:r>
      <w:r>
        <w:t xml:space="preserve"> </w:t>
      </w:r>
    </w:p>
    <w:p w14:paraId="51E06DF8" w14:textId="6F3875B4" w:rsidR="009849D5" w:rsidRPr="007D1404" w:rsidRDefault="009849D5" w:rsidP="00C54309">
      <w:pPr>
        <w:ind w:left="360"/>
        <w:rPr>
          <w:lang w:val="en-GB"/>
        </w:rPr>
      </w:pPr>
      <w:r w:rsidRPr="00074685">
        <w:rPr>
          <w:lang w:val="en-GB"/>
        </w:rPr>
        <w:t xml:space="preserve">When receiving </w:t>
      </w:r>
      <w:r>
        <w:rPr>
          <w:lang w:val="en-GB"/>
        </w:rPr>
        <w:t>TAFINLAR</w:t>
      </w:r>
      <w:r w:rsidRPr="00074685">
        <w:rPr>
          <w:lang w:val="en-GB"/>
        </w:rPr>
        <w:t xml:space="preserve"> in combination with </w:t>
      </w:r>
      <w:r>
        <w:rPr>
          <w:lang w:val="en-GB"/>
        </w:rPr>
        <w:t>MEKINIST</w:t>
      </w:r>
      <w:r w:rsidRPr="00074685">
        <w:rPr>
          <w:lang w:val="en-GB"/>
        </w:rPr>
        <w:t xml:space="preserve">, </w:t>
      </w:r>
      <w:r>
        <w:rPr>
          <w:lang w:val="en-GB"/>
        </w:rPr>
        <w:t>w</w:t>
      </w:r>
      <w:r w:rsidRPr="007D1404">
        <w:rPr>
          <w:lang w:val="en-GB"/>
        </w:rPr>
        <w:t xml:space="preserve">ithhold </w:t>
      </w:r>
      <w:r>
        <w:rPr>
          <w:lang w:val="en-GB"/>
        </w:rPr>
        <w:t>MEKINIST</w:t>
      </w:r>
      <w:r w:rsidR="0035507E">
        <w:rPr>
          <w:lang w:val="en-GB"/>
        </w:rPr>
        <w:t xml:space="preserve"> </w:t>
      </w:r>
      <w:r w:rsidRPr="007D1404">
        <w:rPr>
          <w:lang w:val="en-GB"/>
        </w:rPr>
        <w:t xml:space="preserve">in patients with suspected ILD or pneumonitis, including patients presenting with new or progressive pulmonary symptoms and findings including cough, </w:t>
      </w:r>
      <w:r w:rsidR="0035507E" w:rsidRPr="007D1404">
        <w:rPr>
          <w:lang w:val="en-GB"/>
        </w:rPr>
        <w:t>dyspnoea</w:t>
      </w:r>
      <w:r w:rsidRPr="007D1404">
        <w:rPr>
          <w:lang w:val="en-GB"/>
        </w:rPr>
        <w:t>, hypoxia, pleural effusion, or infiltrates, pending clinical investigations. Permanently discontinue</w:t>
      </w:r>
      <w:r>
        <w:rPr>
          <w:lang w:val="en-GB"/>
        </w:rPr>
        <w:t xml:space="preserve"> MEKINIST</w:t>
      </w:r>
      <w:r w:rsidRPr="007D1404">
        <w:rPr>
          <w:lang w:val="en-GB"/>
        </w:rPr>
        <w:t xml:space="preserve"> for patients diagnosed with treatment-related ILD or pneumonitis.</w:t>
      </w:r>
      <w:r w:rsidRPr="007D1404">
        <w:t xml:space="preserve"> </w:t>
      </w:r>
    </w:p>
    <w:p w14:paraId="29E79AC3" w14:textId="77777777" w:rsidR="009849D5" w:rsidRPr="00C54309" w:rsidRDefault="009849D5" w:rsidP="00C54309">
      <w:pPr>
        <w:pStyle w:val="Heading3"/>
        <w:spacing w:before="120"/>
        <w:ind w:left="360"/>
        <w:rPr>
          <w:b w:val="0"/>
          <w:i/>
        </w:rPr>
      </w:pPr>
      <w:r w:rsidRPr="00C54309">
        <w:rPr>
          <w:b w:val="0"/>
          <w:i/>
        </w:rPr>
        <w:t>Serious Skin Toxicity</w:t>
      </w:r>
    </w:p>
    <w:p w14:paraId="3528FDB6" w14:textId="3248C281" w:rsidR="009849D5" w:rsidRPr="00B0733D" w:rsidRDefault="009849D5" w:rsidP="00C54309">
      <w:pPr>
        <w:ind w:left="360"/>
      </w:pPr>
      <w:r w:rsidRPr="007D1404">
        <w:t xml:space="preserve">For dosing </w:t>
      </w:r>
      <w:r>
        <w:t>modifications in</w:t>
      </w:r>
      <w:r w:rsidRPr="007D1404">
        <w:t xml:space="preserve"> intolerable or severe skin toxicity see Table </w:t>
      </w:r>
      <w:r w:rsidR="00162040">
        <w:t>2</w:t>
      </w:r>
      <w:r w:rsidRPr="007D1404">
        <w:t xml:space="preserve">. </w:t>
      </w:r>
    </w:p>
    <w:p w14:paraId="009A04EA" w14:textId="77777777" w:rsidR="009849D5" w:rsidRDefault="009849D5" w:rsidP="00C54309">
      <w:pPr>
        <w:ind w:left="360"/>
      </w:pPr>
      <w:r>
        <w:t xml:space="preserve">Rash </w:t>
      </w:r>
      <w:r w:rsidRPr="007D1404">
        <w:t>management should be considered whether</w:t>
      </w:r>
      <w:r>
        <w:t xml:space="preserve"> TAFINLAR</w:t>
      </w:r>
      <w:r w:rsidRPr="007D1404">
        <w:t xml:space="preserve"> is given as monotherapy or in combination with</w:t>
      </w:r>
      <w:r>
        <w:t xml:space="preserve"> MEKINIST</w:t>
      </w:r>
      <w:r w:rsidRPr="007D1404">
        <w:t>, and if dose reduction, interruption or discontinuation is necessary it should be applied to both treatments.</w:t>
      </w:r>
    </w:p>
    <w:p w14:paraId="2FBB37A9" w14:textId="77777777" w:rsidR="009849D5" w:rsidRPr="00B0733D" w:rsidRDefault="009849D5" w:rsidP="00C54309">
      <w:pPr>
        <w:ind w:left="360"/>
      </w:pPr>
      <w:r w:rsidRPr="007D1404">
        <w:t xml:space="preserve">Treatment of rash has not been formally studied and should be based on rash severity. </w:t>
      </w:r>
    </w:p>
    <w:p w14:paraId="3C532025" w14:textId="77777777" w:rsidR="009849D5" w:rsidRPr="00C54309" w:rsidRDefault="009849D5" w:rsidP="00C54309">
      <w:pPr>
        <w:pStyle w:val="Heading2"/>
        <w:ind w:left="360"/>
        <w:rPr>
          <w:b w:val="0"/>
        </w:rPr>
      </w:pPr>
      <w:r w:rsidRPr="00C54309">
        <w:rPr>
          <w:b w:val="0"/>
        </w:rPr>
        <w:t>Populations</w:t>
      </w:r>
    </w:p>
    <w:p w14:paraId="5C04F0F0" w14:textId="2B6BC58F" w:rsidR="009849D5" w:rsidRPr="00C54309" w:rsidRDefault="009849D5" w:rsidP="00C54309">
      <w:pPr>
        <w:pStyle w:val="Heading3"/>
        <w:ind w:left="360"/>
        <w:rPr>
          <w:b w:val="0"/>
          <w:i/>
        </w:rPr>
      </w:pPr>
      <w:proofErr w:type="spellStart"/>
      <w:r w:rsidRPr="00C54309">
        <w:rPr>
          <w:b w:val="0"/>
          <w:i/>
        </w:rPr>
        <w:t>Paediatric</w:t>
      </w:r>
      <w:proofErr w:type="spellEnd"/>
      <w:r w:rsidRPr="00C54309">
        <w:rPr>
          <w:b w:val="0"/>
          <w:i/>
        </w:rPr>
        <w:t xml:space="preserve"> </w:t>
      </w:r>
      <w:r w:rsidR="00D87CDE">
        <w:rPr>
          <w:b w:val="0"/>
          <w:i/>
        </w:rPr>
        <w:t>use</w:t>
      </w:r>
    </w:p>
    <w:p w14:paraId="449BFFE7" w14:textId="6086BFD6" w:rsidR="009849D5" w:rsidRPr="00254BEF" w:rsidRDefault="009849D5" w:rsidP="00C54309">
      <w:pPr>
        <w:ind w:left="360"/>
      </w:pPr>
      <w:r w:rsidRPr="00254BEF">
        <w:t xml:space="preserve">The safety and efficacy of </w:t>
      </w:r>
      <w:r>
        <w:t>TAFINLAR</w:t>
      </w:r>
      <w:r w:rsidRPr="00254BEF">
        <w:t xml:space="preserve"> have not been established in children and adolescents (&lt; 18 years)</w:t>
      </w:r>
      <w:r>
        <w:t xml:space="preserve">. </w:t>
      </w:r>
      <w:r w:rsidRPr="00A112EC">
        <w:t xml:space="preserve"> Studies in juvenile animals have shown effects of </w:t>
      </w:r>
      <w:r>
        <w:t>TAFINLAR</w:t>
      </w:r>
      <w:r w:rsidRPr="00A112EC">
        <w:t xml:space="preserve"> which had not been observed in adult animals (see</w:t>
      </w:r>
      <w:r>
        <w:t xml:space="preserve"> </w:t>
      </w:r>
      <w:r w:rsidR="00E26DB7">
        <w:t>Section 4.4</w:t>
      </w:r>
      <w:r w:rsidR="003278E1" w:rsidRPr="003278E1">
        <w:t xml:space="preserve"> Special Warnings and Precautions for Use</w:t>
      </w:r>
      <w:r w:rsidRPr="003278E1">
        <w:t>)</w:t>
      </w:r>
      <w:r w:rsidRPr="00A112EC">
        <w:t>.</w:t>
      </w:r>
      <w:r w:rsidRPr="00254BEF">
        <w:t xml:space="preserve"> </w:t>
      </w:r>
    </w:p>
    <w:p w14:paraId="2FB51D28" w14:textId="2C7A5A1F" w:rsidR="009849D5" w:rsidRPr="00C54309" w:rsidRDefault="00D87CDE" w:rsidP="00C54309">
      <w:pPr>
        <w:pStyle w:val="Heading3"/>
        <w:ind w:left="360"/>
        <w:rPr>
          <w:b w:val="0"/>
          <w:i/>
        </w:rPr>
      </w:pPr>
      <w:r>
        <w:rPr>
          <w:b w:val="0"/>
          <w:i/>
        </w:rPr>
        <w:lastRenderedPageBreak/>
        <w:t>Use in the elderly</w:t>
      </w:r>
    </w:p>
    <w:p w14:paraId="522C5202" w14:textId="7EAC6BCF" w:rsidR="009849D5" w:rsidRPr="00254BEF" w:rsidRDefault="009849D5" w:rsidP="00C54309">
      <w:pPr>
        <w:widowControl w:val="0"/>
        <w:ind w:left="360"/>
      </w:pPr>
      <w:r w:rsidRPr="00254BEF">
        <w:t xml:space="preserve">No dose adjustment is required in patients over 65 years (see </w:t>
      </w:r>
      <w:r w:rsidR="00E26DB7">
        <w:t>section 5.</w:t>
      </w:r>
      <w:r w:rsidR="009F5C01">
        <w:t>2</w:t>
      </w:r>
      <w:r>
        <w:t xml:space="preserve"> </w:t>
      </w:r>
      <w:r w:rsidR="009F5C01">
        <w:t>–</w:t>
      </w:r>
      <w:r>
        <w:t xml:space="preserve"> Pharmaco</w:t>
      </w:r>
      <w:r w:rsidRPr="00254BEF">
        <w:t>kinetic</w:t>
      </w:r>
      <w:r w:rsidR="009F5C01">
        <w:t xml:space="preserve"> propertie</w:t>
      </w:r>
      <w:r w:rsidRPr="00254BEF">
        <w:t>s).</w:t>
      </w:r>
    </w:p>
    <w:p w14:paraId="095305B3" w14:textId="77777777" w:rsidR="009849D5" w:rsidRPr="00C54309" w:rsidRDefault="009849D5" w:rsidP="00C54309">
      <w:pPr>
        <w:pStyle w:val="Heading3"/>
        <w:ind w:left="360"/>
        <w:rPr>
          <w:b w:val="0"/>
          <w:i/>
        </w:rPr>
      </w:pPr>
      <w:r w:rsidRPr="00C54309">
        <w:rPr>
          <w:b w:val="0"/>
          <w:i/>
        </w:rPr>
        <w:t>Renal impairment</w:t>
      </w:r>
    </w:p>
    <w:p w14:paraId="510E57E1" w14:textId="165FAA61" w:rsidR="009849D5" w:rsidRPr="00254BEF" w:rsidRDefault="009849D5" w:rsidP="001550EB">
      <w:pPr>
        <w:widowControl w:val="0"/>
        <w:ind w:left="357"/>
      </w:pPr>
      <w:r w:rsidRPr="00254BEF">
        <w:t xml:space="preserve">No dose adjustment is required for patients with mild or moderate renal impairment. Based on the population pharmacokinetic analysis, mild and moderate renal impairment had no significant effect on </w:t>
      </w:r>
      <w:r>
        <w:t>TAFINLAR</w:t>
      </w:r>
      <w:r w:rsidRPr="00254BEF">
        <w:t xml:space="preserve"> oral clearance or on the concentrations of its metabolites (see </w:t>
      </w:r>
      <w:r w:rsidR="0038265B">
        <w:t>section 5.2</w:t>
      </w:r>
      <w:r w:rsidR="009F5C01">
        <w:t xml:space="preserve"> Pharmacokinetic properties</w:t>
      </w:r>
      <w:r w:rsidRPr="00254BEF">
        <w:t xml:space="preserve">). There are no clinical data in </w:t>
      </w:r>
      <w:r w:rsidR="001C1405">
        <w:t>patient</w:t>
      </w:r>
      <w:r w:rsidRPr="00254BEF">
        <w:t xml:space="preserve">s with severe renal impairment and the potential need for dose adjustment cannot be determined.  </w:t>
      </w:r>
      <w:r>
        <w:t>TAFINLAR</w:t>
      </w:r>
      <w:r w:rsidRPr="00254BEF">
        <w:t xml:space="preserve"> should be used with caution in patients with severe renal impairment.</w:t>
      </w:r>
    </w:p>
    <w:p w14:paraId="2E4E20E4" w14:textId="77777777" w:rsidR="009849D5" w:rsidRPr="00C54309" w:rsidRDefault="009849D5" w:rsidP="00C54309">
      <w:pPr>
        <w:pStyle w:val="Heading3"/>
        <w:ind w:left="360"/>
        <w:rPr>
          <w:b w:val="0"/>
          <w:i/>
        </w:rPr>
      </w:pPr>
      <w:r w:rsidRPr="00C54309">
        <w:rPr>
          <w:b w:val="0"/>
          <w:i/>
        </w:rPr>
        <w:t>Hepatic impairment</w:t>
      </w:r>
    </w:p>
    <w:p w14:paraId="06508F9E" w14:textId="055A3241" w:rsidR="009849D5" w:rsidRPr="00254BEF" w:rsidRDefault="009849D5" w:rsidP="00C54309">
      <w:pPr>
        <w:widowControl w:val="0"/>
        <w:ind w:left="360"/>
      </w:pPr>
      <w:r w:rsidRPr="00254BEF">
        <w:t xml:space="preserve">No dose adjustment is required for patients with mild hepatic impairment.  Based on the population pharmacokinetic analysis, mild hepatic impairment had no significant effect on </w:t>
      </w:r>
      <w:r>
        <w:t>TAFINLAR</w:t>
      </w:r>
      <w:r w:rsidRPr="00254BEF">
        <w:t xml:space="preserve"> oral clearance or on the concentrations of its metabolites (</w:t>
      </w:r>
      <w:proofErr w:type="gramStart"/>
      <w:r w:rsidRPr="00254BEF">
        <w:t>see</w:t>
      </w:r>
      <w:proofErr w:type="gramEnd"/>
      <w:r w:rsidRPr="00254BEF">
        <w:t xml:space="preserve"> </w:t>
      </w:r>
      <w:r w:rsidR="003278E1">
        <w:t>section 5.2 Pharmacokinetic properties</w:t>
      </w:r>
      <w:r w:rsidRPr="00254BEF">
        <w:t xml:space="preserve">). There are no clinical data in </w:t>
      </w:r>
      <w:r w:rsidR="001C1405">
        <w:t>patient</w:t>
      </w:r>
      <w:r w:rsidRPr="00254BEF">
        <w:t xml:space="preserve">s with moderate to severe hepatic impairment and the potential need for dose adjustment cannot be determined. Hepatic metabolism and biliary secretion are the primary routes of elimination of </w:t>
      </w:r>
      <w:r>
        <w:t>TAFINLAR</w:t>
      </w:r>
      <w:r w:rsidRPr="00254BEF">
        <w:t xml:space="preserve"> and its metabolites and patients with moderate to severe hepatic impairment may have increased exposure. </w:t>
      </w:r>
      <w:r>
        <w:t>TAFINLAR</w:t>
      </w:r>
      <w:r w:rsidRPr="00254BEF">
        <w:t xml:space="preserve"> should be used with caution in patients with moderate or severe hepatic impairment.</w:t>
      </w:r>
    </w:p>
    <w:p w14:paraId="5BA24A22" w14:textId="77777777" w:rsidR="009849D5" w:rsidRPr="00C54309" w:rsidRDefault="009849D5" w:rsidP="00C54309">
      <w:pPr>
        <w:widowControl w:val="0"/>
        <w:ind w:left="360"/>
        <w:rPr>
          <w:u w:val="single"/>
          <w:lang w:val="en-US"/>
        </w:rPr>
      </w:pPr>
      <w:r w:rsidRPr="00C54309">
        <w:rPr>
          <w:u w:val="single"/>
          <w:lang w:val="en-US"/>
        </w:rPr>
        <w:t>Administration</w:t>
      </w:r>
    </w:p>
    <w:p w14:paraId="7C02DADB" w14:textId="77777777" w:rsidR="009849D5" w:rsidRDefault="009849D5" w:rsidP="00C54309">
      <w:pPr>
        <w:widowControl w:val="0"/>
        <w:ind w:left="360"/>
      </w:pPr>
      <w:r>
        <w:t>TAFINLAR should be taken either at least one hour before, or at least two hours after a meal, leaving an interval of approximately 12 hours between doses. TAFINLAR should be taken at similar times every day.</w:t>
      </w:r>
      <w:r w:rsidRPr="000F3B04">
        <w:t xml:space="preserve"> </w:t>
      </w:r>
    </w:p>
    <w:p w14:paraId="149301F7" w14:textId="77777777" w:rsidR="009849D5" w:rsidRDefault="009849D5" w:rsidP="00C54309">
      <w:pPr>
        <w:widowControl w:val="0"/>
        <w:ind w:left="360"/>
      </w:pPr>
      <w:r>
        <w:t xml:space="preserve">Do not open, crush, or break TAFINLAR capsules. </w:t>
      </w:r>
    </w:p>
    <w:p w14:paraId="66BF24B0" w14:textId="77777777" w:rsidR="009849D5" w:rsidRPr="00C54309" w:rsidRDefault="009849D5" w:rsidP="00C54309">
      <w:pPr>
        <w:widowControl w:val="0"/>
        <w:ind w:left="360"/>
        <w:rPr>
          <w:i/>
        </w:rPr>
      </w:pPr>
      <w:r w:rsidRPr="00C54309">
        <w:rPr>
          <w:i/>
        </w:rPr>
        <w:t>Combination therapy</w:t>
      </w:r>
    </w:p>
    <w:p w14:paraId="4DEF6A79" w14:textId="77777777" w:rsidR="009849D5" w:rsidRDefault="009849D5" w:rsidP="00C54309">
      <w:pPr>
        <w:widowControl w:val="0"/>
        <w:ind w:left="360"/>
      </w:pPr>
      <w:r w:rsidRPr="000F3B04">
        <w:t xml:space="preserve">When TAFINLAR and </w:t>
      </w:r>
      <w:r>
        <w:t>MEKINIST</w:t>
      </w:r>
      <w:r w:rsidRPr="000F3B04">
        <w:t xml:space="preserve"> are taken in combination, take the once-daily dose of </w:t>
      </w:r>
      <w:r>
        <w:t>MEKINIST</w:t>
      </w:r>
      <w:r w:rsidRPr="000F3B04">
        <w:t xml:space="preserve"> at the same time each day with either the morning dose or the evening dose of TAFINLAR</w:t>
      </w:r>
      <w:r>
        <w:t>.</w:t>
      </w:r>
    </w:p>
    <w:p w14:paraId="74D48B6E" w14:textId="77777777" w:rsidR="009849D5" w:rsidRPr="00C54309" w:rsidRDefault="009849D5" w:rsidP="00C54309">
      <w:pPr>
        <w:widowControl w:val="0"/>
        <w:ind w:left="360"/>
        <w:rPr>
          <w:i/>
        </w:rPr>
      </w:pPr>
      <w:r w:rsidRPr="00C54309">
        <w:rPr>
          <w:i/>
        </w:rPr>
        <w:t>Missed dose</w:t>
      </w:r>
    </w:p>
    <w:p w14:paraId="18F5F53F" w14:textId="255B7C4C" w:rsidR="009849D5" w:rsidRDefault="009849D5" w:rsidP="00C54309">
      <w:pPr>
        <w:widowControl w:val="0"/>
        <w:ind w:left="360"/>
      </w:pPr>
      <w:r w:rsidDel="00E00E44">
        <w:t>If a dose is missed, it should not be taken if it is less than 6 hours until the next dose.</w:t>
      </w:r>
    </w:p>
    <w:p w14:paraId="59D1929A" w14:textId="0CAD3605" w:rsidR="003B7F99" w:rsidRPr="00C54309" w:rsidRDefault="003B7F99" w:rsidP="00C54309">
      <w:pPr>
        <w:pStyle w:val="ListParagraph"/>
        <w:numPr>
          <w:ilvl w:val="0"/>
          <w:numId w:val="35"/>
        </w:numPr>
        <w:autoSpaceDE/>
        <w:autoSpaceDN/>
        <w:adjustRightInd/>
        <w:contextualSpacing/>
        <w:rPr>
          <w:rFonts w:ascii="Times New Roman" w:hAnsi="Times New Roman" w:cs="Times New Roman"/>
          <w:b/>
          <w:sz w:val="24"/>
          <w:szCs w:val="24"/>
        </w:rPr>
      </w:pPr>
      <w:r w:rsidRPr="00C54309">
        <w:rPr>
          <w:rFonts w:ascii="Times New Roman" w:hAnsi="Times New Roman" w:cs="Times New Roman"/>
          <w:b/>
          <w:sz w:val="24"/>
          <w:szCs w:val="24"/>
        </w:rPr>
        <w:t>Contraindications</w:t>
      </w:r>
    </w:p>
    <w:p w14:paraId="57F206B2" w14:textId="70468F8C" w:rsidR="003B7F99" w:rsidRDefault="003B7F99" w:rsidP="00C54309">
      <w:pPr>
        <w:ind w:left="360"/>
        <w:rPr>
          <w:lang w:val="en-GB"/>
        </w:rPr>
      </w:pPr>
      <w:r>
        <w:rPr>
          <w:lang w:val="en-GB"/>
        </w:rPr>
        <w:t>TAFINLAR</w:t>
      </w:r>
      <w:r w:rsidRPr="005E7888">
        <w:rPr>
          <w:lang w:val="en-GB"/>
        </w:rPr>
        <w:t xml:space="preserve"> is contraindicated in patients with hypersensitivity to the active substance dabrafenib mesilate or any of the excipients (</w:t>
      </w:r>
      <w:r>
        <w:rPr>
          <w:lang w:val="en-GB"/>
        </w:rPr>
        <w:t>s</w:t>
      </w:r>
      <w:r w:rsidRPr="005E7888">
        <w:rPr>
          <w:lang w:val="en-GB"/>
        </w:rPr>
        <w:t xml:space="preserve">ee </w:t>
      </w:r>
      <w:r w:rsidR="0038265B">
        <w:rPr>
          <w:lang w:val="en-GB"/>
        </w:rPr>
        <w:t>Section 6.1</w:t>
      </w:r>
      <w:r w:rsidR="003278E1">
        <w:rPr>
          <w:lang w:val="en-GB"/>
        </w:rPr>
        <w:t xml:space="preserve"> List of excipients</w:t>
      </w:r>
      <w:r w:rsidRPr="005E7888">
        <w:rPr>
          <w:lang w:val="en-GB"/>
        </w:rPr>
        <w:t>).</w:t>
      </w:r>
    </w:p>
    <w:p w14:paraId="0B72CEF0" w14:textId="5DFDE6F1" w:rsidR="003B7F99" w:rsidRPr="00C54309" w:rsidRDefault="003B7F99" w:rsidP="00C54309">
      <w:pPr>
        <w:pStyle w:val="ListParagraph"/>
        <w:numPr>
          <w:ilvl w:val="0"/>
          <w:numId w:val="35"/>
        </w:numPr>
        <w:autoSpaceDE/>
        <w:autoSpaceDN/>
        <w:adjustRightInd/>
        <w:contextualSpacing/>
        <w:rPr>
          <w:rFonts w:ascii="Times New Roman" w:hAnsi="Times New Roman" w:cs="Times New Roman"/>
          <w:b/>
          <w:sz w:val="24"/>
          <w:szCs w:val="24"/>
        </w:rPr>
      </w:pPr>
      <w:r>
        <w:rPr>
          <w:rFonts w:ascii="Times New Roman" w:hAnsi="Times New Roman" w:cs="Times New Roman"/>
          <w:b/>
          <w:sz w:val="24"/>
          <w:szCs w:val="24"/>
        </w:rPr>
        <w:t>Special warnings and p</w:t>
      </w:r>
      <w:r w:rsidRPr="00C54309">
        <w:rPr>
          <w:rFonts w:ascii="Times New Roman" w:hAnsi="Times New Roman" w:cs="Times New Roman"/>
          <w:b/>
          <w:sz w:val="24"/>
          <w:szCs w:val="24"/>
        </w:rPr>
        <w:t>recautions</w:t>
      </w:r>
      <w:r>
        <w:rPr>
          <w:rFonts w:ascii="Times New Roman" w:hAnsi="Times New Roman" w:cs="Times New Roman"/>
          <w:b/>
          <w:sz w:val="24"/>
          <w:szCs w:val="24"/>
        </w:rPr>
        <w:t xml:space="preserve"> for use</w:t>
      </w:r>
    </w:p>
    <w:p w14:paraId="4E7972E0" w14:textId="77777777" w:rsidR="003B7F99" w:rsidRPr="00E11C29" w:rsidRDefault="003B7F99" w:rsidP="00C54309">
      <w:pPr>
        <w:widowControl w:val="0"/>
        <w:autoSpaceDE/>
        <w:autoSpaceDN/>
        <w:adjustRightInd/>
        <w:ind w:left="360"/>
        <w:rPr>
          <w:i/>
          <w:noProof/>
          <w:u w:val="single"/>
          <w:lang w:val="en-GB"/>
        </w:rPr>
      </w:pPr>
      <w:r w:rsidRPr="00E11C29">
        <w:rPr>
          <w:i/>
          <w:noProof/>
          <w:u w:val="single"/>
          <w:lang w:val="en-GB"/>
        </w:rPr>
        <w:t>BRAF V600 testing</w:t>
      </w:r>
    </w:p>
    <w:p w14:paraId="2438E33A" w14:textId="77777777" w:rsidR="003B7F99" w:rsidRDefault="003B7F99" w:rsidP="00C54309">
      <w:pPr>
        <w:widowControl w:val="0"/>
        <w:ind w:left="360"/>
      </w:pPr>
      <w:r w:rsidRPr="00DE63EC">
        <w:t xml:space="preserve">Before taking </w:t>
      </w:r>
      <w:r>
        <w:t>TAFINLAR</w:t>
      </w:r>
      <w:r w:rsidRPr="00DE63EC">
        <w:t>, patients must have BRAF V600 mutation-positive tumour status confirmed by a</w:t>
      </w:r>
      <w:r>
        <w:t xml:space="preserve"> </w:t>
      </w:r>
      <w:r w:rsidRPr="00DE63EC">
        <w:t xml:space="preserve">validated test. </w:t>
      </w:r>
    </w:p>
    <w:p w14:paraId="3571F878" w14:textId="709199C5" w:rsidR="003B7F99" w:rsidRDefault="003B7F99" w:rsidP="00C54309">
      <w:pPr>
        <w:ind w:left="360"/>
      </w:pPr>
      <w:r w:rsidRPr="00DE63EC">
        <w:t xml:space="preserve">The efficacy and safety of </w:t>
      </w:r>
      <w:r>
        <w:t>TAFINLAR</w:t>
      </w:r>
      <w:r w:rsidRPr="00DE63EC">
        <w:t xml:space="preserve"> have not been established in patients with wild-type BRAF melanoma</w:t>
      </w:r>
      <w:r>
        <w:t>, and therefore TAFINLAR</w:t>
      </w:r>
      <w:r w:rsidRPr="00DE63EC">
        <w:t xml:space="preserve"> should not be used in patients with BRAF wild-type melanoma</w:t>
      </w:r>
      <w:r>
        <w:t xml:space="preserve"> (see</w:t>
      </w:r>
      <w:r w:rsidR="00E01B03">
        <w:t xml:space="preserve"> </w:t>
      </w:r>
      <w:r w:rsidR="008626D9">
        <w:t>section 5.1</w:t>
      </w:r>
      <w:r w:rsidR="008F6B52">
        <w:t xml:space="preserve"> Clinical trials</w:t>
      </w:r>
      <w:r>
        <w:t xml:space="preserve">). </w:t>
      </w:r>
      <w:r w:rsidRPr="00697EF8">
        <w:t>Further around 40</w:t>
      </w:r>
      <w:r>
        <w:t xml:space="preserve"> </w:t>
      </w:r>
      <w:r w:rsidRPr="00697EF8">
        <w:t>% of BRAF wild-type metastatic melanomas have oncogenic NRAS mutations</w:t>
      </w:r>
      <w:r>
        <w:t xml:space="preserve"> </w:t>
      </w:r>
      <w:r w:rsidRPr="00DD27E7">
        <w:t>which may result in paradoxical activation of MAP-</w:t>
      </w:r>
      <w:r w:rsidRPr="00DD27E7">
        <w:lastRenderedPageBreak/>
        <w:t xml:space="preserve">kinase signalling in the presence </w:t>
      </w:r>
      <w:r w:rsidRPr="00697EF8">
        <w:t xml:space="preserve">of BRAF inhibitors such as </w:t>
      </w:r>
      <w:r>
        <w:t>TAFINLAR</w:t>
      </w:r>
      <w:r w:rsidRPr="00697EF8">
        <w:t xml:space="preserve"> </w:t>
      </w:r>
      <w:r>
        <w:t>and</w:t>
      </w:r>
      <w:r w:rsidRPr="00697EF8">
        <w:t xml:space="preserve"> may lead to accelerated tumour growth.  </w:t>
      </w:r>
    </w:p>
    <w:p w14:paraId="7055E99C" w14:textId="77777777" w:rsidR="003B7F99" w:rsidRPr="00C54309" w:rsidRDefault="003B7F99" w:rsidP="00C54309">
      <w:pPr>
        <w:pStyle w:val="Heading2"/>
        <w:ind w:left="357"/>
        <w:rPr>
          <w:b w:val="0"/>
        </w:rPr>
      </w:pPr>
      <w:r w:rsidRPr="00C54309">
        <w:rPr>
          <w:b w:val="0"/>
        </w:rPr>
        <w:t>Pyrexia and serious non-infectious febrile events</w:t>
      </w:r>
    </w:p>
    <w:p w14:paraId="2AEFF398" w14:textId="4BFD9ECD" w:rsidR="003B7F99" w:rsidRDefault="003B7F99" w:rsidP="00C54309">
      <w:pPr>
        <w:ind w:left="357"/>
      </w:pPr>
      <w:r w:rsidRPr="00CE28A0">
        <w:t>Pyrexia</w:t>
      </w:r>
      <w:r>
        <w:t xml:space="preserve"> was</w:t>
      </w:r>
      <w:r w:rsidRPr="005E7888">
        <w:t xml:space="preserve"> reported in clinical trials</w:t>
      </w:r>
      <w:r>
        <w:t xml:space="preserve"> </w:t>
      </w:r>
      <w:r w:rsidRPr="0058347E">
        <w:t xml:space="preserve">with </w:t>
      </w:r>
      <w:r>
        <w:t xml:space="preserve">TAFINLAR </w:t>
      </w:r>
      <w:r w:rsidRPr="0058347E">
        <w:t xml:space="preserve">monotherapy and in combination with </w:t>
      </w:r>
      <w:r>
        <w:t>MEKINIST</w:t>
      </w:r>
      <w:r w:rsidRPr="0058347E">
        <w:t xml:space="preserve"> (</w:t>
      </w:r>
      <w:proofErr w:type="gramStart"/>
      <w:r w:rsidRPr="0058347E">
        <w:t>see</w:t>
      </w:r>
      <w:proofErr w:type="gramEnd"/>
      <w:r w:rsidRPr="0058347E">
        <w:t xml:space="preserve"> </w:t>
      </w:r>
      <w:r w:rsidR="008626D9">
        <w:t>section 4.8</w:t>
      </w:r>
      <w:r w:rsidR="0032783F" w:rsidRPr="0032783F">
        <w:t xml:space="preserve"> Adverse Effects (Undesirable Effects)</w:t>
      </w:r>
      <w:r w:rsidRPr="0058347E">
        <w:t>)</w:t>
      </w:r>
      <w:r w:rsidRPr="005E7888">
        <w:t xml:space="preserve">. </w:t>
      </w:r>
      <w:r w:rsidRPr="00BD5772">
        <w:t>In a Phase III clinical trial</w:t>
      </w:r>
      <w:r>
        <w:t xml:space="preserve"> </w:t>
      </w:r>
      <w:r w:rsidRPr="00C96157">
        <w:t xml:space="preserve">in patients with </w:t>
      </w:r>
      <w:r w:rsidR="00E87050" w:rsidRPr="00E87050">
        <w:t xml:space="preserve">unresectable or metastatic </w:t>
      </w:r>
      <w:r w:rsidRPr="00C96157">
        <w:t xml:space="preserve">melanoma, </w:t>
      </w:r>
      <w:r w:rsidRPr="00BD5772">
        <w:t>the</w:t>
      </w:r>
      <w:r w:rsidRPr="0058347E">
        <w:t xml:space="preserve"> incidence and severity of pyrexia </w:t>
      </w:r>
      <w:r>
        <w:t>were</w:t>
      </w:r>
      <w:r w:rsidRPr="0058347E">
        <w:t xml:space="preserve"> increased when</w:t>
      </w:r>
      <w:r>
        <w:t xml:space="preserve"> TAFINLAR</w:t>
      </w:r>
      <w:r w:rsidRPr="0058347E">
        <w:t xml:space="preserve"> </w:t>
      </w:r>
      <w:r>
        <w:t>was</w:t>
      </w:r>
      <w:r w:rsidRPr="0058347E">
        <w:t xml:space="preserve"> used in combination with </w:t>
      </w:r>
      <w:r>
        <w:t>MEKINIST</w:t>
      </w:r>
      <w:r w:rsidRPr="00BD5772">
        <w:t xml:space="preserve"> (57</w:t>
      </w:r>
      <w:r>
        <w:t xml:space="preserve"> </w:t>
      </w:r>
      <w:r w:rsidRPr="00BD5772">
        <w:t>% [119/209], 7</w:t>
      </w:r>
      <w:r>
        <w:t xml:space="preserve"> </w:t>
      </w:r>
      <w:r w:rsidRPr="00BD5772">
        <w:t xml:space="preserve">% Grade 3) as compared to </w:t>
      </w:r>
      <w:r>
        <w:t>TAFINLAR</w:t>
      </w:r>
      <w:r w:rsidRPr="00BD5772">
        <w:t xml:space="preserve"> monotherapy (33</w:t>
      </w:r>
      <w:r>
        <w:t xml:space="preserve"> </w:t>
      </w:r>
      <w:r w:rsidRPr="00BD5772">
        <w:t>% [69/211], 2</w:t>
      </w:r>
      <w:r>
        <w:t xml:space="preserve"> </w:t>
      </w:r>
      <w:r w:rsidRPr="00BD5772">
        <w:t xml:space="preserve">% Grade 3). </w:t>
      </w:r>
      <w:r w:rsidR="00E87050" w:rsidRPr="00E87050">
        <w:t>In a Phase III trial in the adjuvant treatment of melanoma, the incidence and severity of pyrexia were higher in the Tafinlar in combination with Mekinist arm (67% [292/435]; 6% Grade 3/4) as compared to the placebo arm (15% [66/432]; &lt;1% Grade 3)</w:t>
      </w:r>
      <w:r w:rsidR="00E87050">
        <w:t>.</w:t>
      </w:r>
      <w:r w:rsidR="00E87050" w:rsidRPr="00E87050">
        <w:t xml:space="preserve"> </w:t>
      </w:r>
      <w:r w:rsidR="001F715E" w:rsidRPr="001F715E">
        <w:t xml:space="preserve"> </w:t>
      </w:r>
      <w:r w:rsidRPr="0058347E">
        <w:t xml:space="preserve">In patients </w:t>
      </w:r>
      <w:r>
        <w:t xml:space="preserve">with </w:t>
      </w:r>
      <w:r w:rsidR="00E87050" w:rsidRPr="00E87050">
        <w:t xml:space="preserve">unresectable or metastatic </w:t>
      </w:r>
      <w:r>
        <w:t xml:space="preserve">melanoma </w:t>
      </w:r>
      <w:r w:rsidRPr="0058347E">
        <w:t xml:space="preserve">who received the combination dose of </w:t>
      </w:r>
      <w:r w:rsidRPr="00BD5772">
        <w:t>TAFINLAR</w:t>
      </w:r>
      <w:r w:rsidRPr="0058347E">
        <w:t xml:space="preserve"> 150 mg twice daily and</w:t>
      </w:r>
      <w:r>
        <w:t xml:space="preserve"> MEKINIST</w:t>
      </w:r>
      <w:r w:rsidRPr="0058347E">
        <w:t xml:space="preserve"> 2 mg once daily developed pyrexia</w:t>
      </w:r>
      <w:r>
        <w:t>. A</w:t>
      </w:r>
      <w:r w:rsidRPr="00BD5772">
        <w:t>pproximately one-third</w:t>
      </w:r>
      <w:r w:rsidRPr="0058347E">
        <w:t xml:space="preserve"> of the </w:t>
      </w:r>
      <w:r w:rsidRPr="00BD5772">
        <w:t xml:space="preserve">patients receiving combination therapy </w:t>
      </w:r>
      <w:r w:rsidRPr="0058347E">
        <w:t xml:space="preserve">who experienced pyrexia had </w:t>
      </w:r>
      <w:r>
        <w:t xml:space="preserve">three </w:t>
      </w:r>
      <w:r w:rsidRPr="00BD5772">
        <w:t xml:space="preserve">or more events. </w:t>
      </w:r>
    </w:p>
    <w:p w14:paraId="5260D3AD" w14:textId="5BC1ED72" w:rsidR="003B7F99" w:rsidRDefault="003B7F99" w:rsidP="00C54309">
      <w:pPr>
        <w:ind w:left="357"/>
      </w:pPr>
      <w:r>
        <w:t xml:space="preserve">Monitor serum creatinine and other evidence of renal function during and following severe episodes of pyrexia (also see </w:t>
      </w:r>
      <w:r w:rsidR="00AF1974">
        <w:t xml:space="preserve">Section 4.4 </w:t>
      </w:r>
      <w:r w:rsidR="00830174">
        <w:t>Special warnings and precautions for use</w:t>
      </w:r>
      <w:r>
        <w:t xml:space="preserve">- Renal failure). </w:t>
      </w:r>
      <w:r w:rsidRPr="0058347E">
        <w:t xml:space="preserve"> </w:t>
      </w:r>
      <w:r>
        <w:t xml:space="preserve"> </w:t>
      </w:r>
    </w:p>
    <w:p w14:paraId="67A57C4C" w14:textId="057E3B96" w:rsidR="003B7F99" w:rsidRPr="005E7888" w:rsidRDefault="003B7F99" w:rsidP="00C54309">
      <w:pPr>
        <w:ind w:left="357"/>
      </w:pPr>
      <w:r w:rsidRPr="00A650BF">
        <w:t>In 1</w:t>
      </w:r>
      <w:r>
        <w:t xml:space="preserve"> %</w:t>
      </w:r>
      <w:r w:rsidRPr="00A650BF">
        <w:t xml:space="preserve"> of</w:t>
      </w:r>
      <w:r>
        <w:t xml:space="preserve"> </w:t>
      </w:r>
      <w:r w:rsidRPr="00A650BF">
        <w:t>patients in clinical trials, serious non-infectious</w:t>
      </w:r>
      <w:r>
        <w:t xml:space="preserve"> </w:t>
      </w:r>
      <w:r w:rsidRPr="00A650BF">
        <w:t>febrile events were identified defined as fever</w:t>
      </w:r>
      <w:r>
        <w:t xml:space="preserve"> </w:t>
      </w:r>
      <w:r w:rsidRPr="00A650BF">
        <w:t>accompanied by severe rigors, dehydration,</w:t>
      </w:r>
      <w:r>
        <w:t xml:space="preserve"> </w:t>
      </w:r>
      <w:r w:rsidRPr="00A650BF">
        <w:t>hypotension and/or acute renal insufficiency</w:t>
      </w:r>
      <w:r>
        <w:t xml:space="preserve"> (See </w:t>
      </w:r>
      <w:r w:rsidR="0053613C">
        <w:t>Section 4.4</w:t>
      </w:r>
      <w:r>
        <w:t xml:space="preserve"> </w:t>
      </w:r>
      <w:r w:rsidR="00830174">
        <w:t>Special warnings and precautions for use</w:t>
      </w:r>
      <w:r>
        <w:t xml:space="preserve"> and </w:t>
      </w:r>
      <w:r w:rsidR="0053613C">
        <w:t>Section 4.8</w:t>
      </w:r>
      <w:r w:rsidR="0032783F" w:rsidRPr="0032783F">
        <w:t xml:space="preserve"> Adverse Effects (Undesirable Effects)</w:t>
      </w:r>
      <w:r>
        <w:t>)</w:t>
      </w:r>
      <w:r w:rsidRPr="005E7888">
        <w:t>. The onset of these serious non-infectious febrile events was typically within the first month of</w:t>
      </w:r>
      <w:r>
        <w:t xml:space="preserve"> </w:t>
      </w:r>
      <w:r w:rsidRPr="005E7888">
        <w:t xml:space="preserve">therapy. </w:t>
      </w:r>
      <w:r>
        <w:t>Patients with s</w:t>
      </w:r>
      <w:r w:rsidRPr="005E7888">
        <w:t>erious non-infectious febrile events responded well to dose interruption and/or dose reduction and supportive care.</w:t>
      </w:r>
    </w:p>
    <w:p w14:paraId="529E5164" w14:textId="77777777" w:rsidR="003B7F99" w:rsidRDefault="003B7F99" w:rsidP="00C54309">
      <w:pPr>
        <w:widowControl w:val="0"/>
        <w:ind w:left="357"/>
      </w:pPr>
      <w:r w:rsidRPr="003D27A6">
        <w:t xml:space="preserve">Therapy with </w:t>
      </w:r>
      <w:r>
        <w:t>TAFINLAR</w:t>
      </w:r>
      <w:r w:rsidRPr="003D27A6">
        <w:t xml:space="preserve"> should be interrupted if the patient’s temperature is ≥ 38.5</w:t>
      </w:r>
      <w:r>
        <w:t xml:space="preserve"> </w:t>
      </w:r>
      <w:r w:rsidRPr="003D27A6">
        <w:t xml:space="preserve">ºC. Patients should be evaluated for signs and symptoms of infection. </w:t>
      </w:r>
      <w:r>
        <w:rPr>
          <w:noProof/>
        </w:rPr>
        <w:t>TAFINLAR</w:t>
      </w:r>
      <w:r w:rsidRPr="003D27A6">
        <w:t xml:space="preserve"> can be restarted once the fever resolves with appropriate prophylaxis using non-steroidal anti-inflammatory medicinal products or paracetamol. </w:t>
      </w:r>
      <w:r>
        <w:t>The use of oral corticosteroids should be considered in those instances in which antipyretics are insufficient.</w:t>
      </w:r>
      <w:r w:rsidRPr="003D27A6">
        <w:t xml:space="preserve"> If fever is associated with other severe signs or symptoms, </w:t>
      </w:r>
      <w:r>
        <w:rPr>
          <w:noProof/>
        </w:rPr>
        <w:t>TAFINLAR</w:t>
      </w:r>
      <w:r w:rsidRPr="003D27A6">
        <w:t xml:space="preserve"> should be restarted at a reduced dose once fever resolves and as clinically appropriate.</w:t>
      </w:r>
      <w:r w:rsidRPr="001025A6">
        <w:t xml:space="preserve"> </w:t>
      </w:r>
    </w:p>
    <w:p w14:paraId="1EA544BE" w14:textId="77777777" w:rsidR="003B7F99" w:rsidRDefault="003B7F99" w:rsidP="00C54309">
      <w:pPr>
        <w:ind w:left="357"/>
      </w:pPr>
      <w:r>
        <w:t>No dose modification of MEKINIST is required when taken in combination with TAFINLAR.</w:t>
      </w:r>
    </w:p>
    <w:p w14:paraId="454AF794" w14:textId="56C09181" w:rsidR="003B7F99" w:rsidRPr="005E7888" w:rsidRDefault="003B7F99" w:rsidP="00C54309">
      <w:pPr>
        <w:ind w:left="357"/>
      </w:pPr>
      <w:r w:rsidRPr="00CE5BBF">
        <w:t xml:space="preserve">For management of pyrexia </w:t>
      </w:r>
      <w:r>
        <w:t xml:space="preserve">also </w:t>
      </w:r>
      <w:r w:rsidRPr="00CE5BBF">
        <w:t xml:space="preserve">see </w:t>
      </w:r>
      <w:r w:rsidR="0053613C">
        <w:t>Section 4.2</w:t>
      </w:r>
      <w:r w:rsidR="00CC7798" w:rsidRPr="00CC7798">
        <w:t xml:space="preserve"> Dose and method of </w:t>
      </w:r>
      <w:r w:rsidR="00E01B03" w:rsidRPr="00CC7798">
        <w:t>administration</w:t>
      </w:r>
      <w:r w:rsidRPr="00CE5BBF">
        <w:t>.</w:t>
      </w:r>
    </w:p>
    <w:p w14:paraId="6808B856" w14:textId="77777777" w:rsidR="003B7F99" w:rsidRPr="00C54309" w:rsidRDefault="003B7F99" w:rsidP="00C54309">
      <w:pPr>
        <w:pStyle w:val="Heading2"/>
        <w:ind w:left="357"/>
        <w:rPr>
          <w:b w:val="0"/>
        </w:rPr>
      </w:pPr>
      <w:r w:rsidRPr="00C54309">
        <w:rPr>
          <w:b w:val="0"/>
        </w:rPr>
        <w:t>Renal failure</w:t>
      </w:r>
    </w:p>
    <w:p w14:paraId="3194B7B3" w14:textId="77777777" w:rsidR="003B7F99" w:rsidRDefault="003B7F99" w:rsidP="00C54309">
      <w:pPr>
        <w:ind w:left="357"/>
      </w:pPr>
      <w:r w:rsidRPr="00AE6BB4">
        <w:t>Renal failure has been identified in &lt;</w:t>
      </w:r>
      <w:r>
        <w:t xml:space="preserve"> </w:t>
      </w:r>
      <w:r w:rsidRPr="00AE6BB4">
        <w:t>1</w:t>
      </w:r>
      <w:r>
        <w:t xml:space="preserve"> </w:t>
      </w:r>
      <w:r w:rsidRPr="00AE6BB4">
        <w:t xml:space="preserve">% of patients treated with </w:t>
      </w:r>
      <w:r>
        <w:t>TAFINLAR</w:t>
      </w:r>
      <w:r w:rsidRPr="00AE6BB4">
        <w:t xml:space="preserve"> as monotherapy. </w:t>
      </w:r>
      <w:r w:rsidRPr="001E3831">
        <w:t>Renal failure was reported in 7</w:t>
      </w:r>
      <w:r>
        <w:t xml:space="preserve"> </w:t>
      </w:r>
      <w:r w:rsidRPr="001E3831">
        <w:t xml:space="preserve">% of patients who received the combination dose of </w:t>
      </w:r>
      <w:r>
        <w:t xml:space="preserve">TAFINLAR </w:t>
      </w:r>
      <w:r w:rsidRPr="00587990">
        <w:t xml:space="preserve">150 mg twice daily and </w:t>
      </w:r>
      <w:r>
        <w:t>MEKINIST</w:t>
      </w:r>
      <w:r w:rsidRPr="00293923">
        <w:t xml:space="preserve"> 2 mg on</w:t>
      </w:r>
      <w:r w:rsidRPr="0067259C">
        <w:t>ce daily, a higher frequency than observed in</w:t>
      </w:r>
      <w:r w:rsidRPr="00E040E8">
        <w:t xml:space="preserve"> </w:t>
      </w:r>
      <w:r>
        <w:t>TAFINLAR</w:t>
      </w:r>
      <w:r w:rsidRPr="00E040E8">
        <w:t xml:space="preserve"> monotherapy patients (&lt;</w:t>
      </w:r>
      <w:r>
        <w:t xml:space="preserve"> </w:t>
      </w:r>
      <w:r w:rsidRPr="00E040E8">
        <w:t>1</w:t>
      </w:r>
      <w:r>
        <w:t xml:space="preserve"> </w:t>
      </w:r>
      <w:r w:rsidRPr="00E040E8">
        <w:t xml:space="preserve">%). </w:t>
      </w:r>
      <w:r w:rsidRPr="00330F12">
        <w:t xml:space="preserve"> Observed cases were generally associated with pyrexia and dehydration and responded well to dose interruption and general supportive measures. Granulomatous nephritis has b</w:t>
      </w:r>
      <w:r w:rsidRPr="00611B46">
        <w:t xml:space="preserve">een reported. Patients should be routinely monitored for serum creatinine while on therapy. If creatinine increases, </w:t>
      </w:r>
      <w:r>
        <w:t>TAFINLAR</w:t>
      </w:r>
      <w:r w:rsidRPr="00B86A7B">
        <w:t xml:space="preserve"> may need to be interrupted as clinically appropriate.</w:t>
      </w:r>
      <w:r w:rsidRPr="00774C10">
        <w:t xml:space="preserve"> </w:t>
      </w:r>
      <w:r>
        <w:t>TAFINLAR</w:t>
      </w:r>
      <w:r w:rsidRPr="00F077B8">
        <w:t xml:space="preserve"> has not been studied in patients with renal insufficiency (defined as creatinine &gt;</w:t>
      </w:r>
      <w:r>
        <w:t xml:space="preserve"> </w:t>
      </w:r>
      <w:r w:rsidRPr="00F077B8">
        <w:t>1.5 x ULN) therefore caution should be used in this setting.</w:t>
      </w:r>
    </w:p>
    <w:p w14:paraId="31581C8E" w14:textId="77777777" w:rsidR="003B7F99" w:rsidRPr="00C54309" w:rsidRDefault="003B7F99" w:rsidP="00C54309">
      <w:pPr>
        <w:pStyle w:val="Heading2"/>
        <w:ind w:left="357"/>
        <w:rPr>
          <w:b w:val="0"/>
        </w:rPr>
      </w:pPr>
      <w:r w:rsidRPr="00C54309">
        <w:rPr>
          <w:b w:val="0"/>
        </w:rPr>
        <w:t>Cutaneous Squamous Cell Carcinoma (cuSCC)</w:t>
      </w:r>
    </w:p>
    <w:p w14:paraId="1C4C34DA" w14:textId="349ADB8E" w:rsidR="003B7F99" w:rsidRPr="00C04862" w:rsidRDefault="003B7F99" w:rsidP="00C04862">
      <w:pPr>
        <w:widowControl w:val="0"/>
        <w:ind w:left="357"/>
      </w:pPr>
      <w:r w:rsidRPr="005E7888">
        <w:t xml:space="preserve">Cases of cuSCC (which include those classified as keratoacanthoma or mixed keratoacanthoma subtype) have been reported in patients treated with </w:t>
      </w:r>
      <w:r>
        <w:rPr>
          <w:noProof/>
        </w:rPr>
        <w:t>TAFINLAR</w:t>
      </w:r>
      <w:r w:rsidRPr="005E7888">
        <w:t xml:space="preserve"> </w:t>
      </w:r>
      <w:r w:rsidRPr="00CE5BBF">
        <w:t xml:space="preserve">as monotherapy and in </w:t>
      </w:r>
      <w:r w:rsidRPr="00CE5BBF">
        <w:lastRenderedPageBreak/>
        <w:t xml:space="preserve">combination with </w:t>
      </w:r>
      <w:r>
        <w:t>MEKINIST</w:t>
      </w:r>
      <w:r w:rsidRPr="00CE5BBF">
        <w:t xml:space="preserve"> </w:t>
      </w:r>
      <w:r w:rsidRPr="005E7888">
        <w:t xml:space="preserve">(see </w:t>
      </w:r>
      <w:r w:rsidR="0053613C">
        <w:t>Section 4.8</w:t>
      </w:r>
      <w:r w:rsidR="008F6B52" w:rsidRPr="008F6B52">
        <w:rPr>
          <w:noProof/>
        </w:rPr>
        <w:t xml:space="preserve"> Adverse Effects (Undesirable Effects)). </w:t>
      </w:r>
      <w:r w:rsidRPr="005E7888">
        <w:t xml:space="preserve">). </w:t>
      </w:r>
      <w:r w:rsidRPr="00BD5772">
        <w:t>In a Phase III study</w:t>
      </w:r>
      <w:r>
        <w:t xml:space="preserve"> in patients with </w:t>
      </w:r>
      <w:r w:rsidR="00C04862" w:rsidRPr="00C04862">
        <w:t xml:space="preserve">unresectable or metastatic </w:t>
      </w:r>
      <w:r>
        <w:t>melanoma</w:t>
      </w:r>
      <w:r w:rsidRPr="00BD5772">
        <w:t>, 10</w:t>
      </w:r>
      <w:r>
        <w:t xml:space="preserve"> </w:t>
      </w:r>
      <w:r w:rsidRPr="00BD5772">
        <w:t>% (22/211) of patients receiving</w:t>
      </w:r>
      <w:r>
        <w:t xml:space="preserve"> </w:t>
      </w:r>
      <w:r w:rsidRPr="00BD5772">
        <w:t xml:space="preserve">TAFINLAR </w:t>
      </w:r>
      <w:r>
        <w:t>as monotherapy</w:t>
      </w:r>
      <w:r w:rsidRPr="00BD5772">
        <w:t xml:space="preserve"> developed cuSCC</w:t>
      </w:r>
      <w:r w:rsidRPr="00697EF8">
        <w:t xml:space="preserve"> with a median time to onset of </w:t>
      </w:r>
      <w:r w:rsidRPr="00BD5772">
        <w:t xml:space="preserve">the first occurrence of approximately </w:t>
      </w:r>
      <w:r w:rsidRPr="00697EF8">
        <w:t xml:space="preserve">8 weeks. </w:t>
      </w:r>
      <w:r w:rsidRPr="00CE5BBF">
        <w:t xml:space="preserve">In patients who received </w:t>
      </w:r>
      <w:r w:rsidRPr="00BD5772">
        <w:t>TAFINLA</w:t>
      </w:r>
      <w:r>
        <w:t>R</w:t>
      </w:r>
      <w:r w:rsidRPr="00CE5BBF">
        <w:t xml:space="preserve"> with </w:t>
      </w:r>
      <w:r>
        <w:t>MEKINIST</w:t>
      </w:r>
      <w:r w:rsidRPr="00CE5BBF">
        <w:t xml:space="preserve">, </w:t>
      </w:r>
      <w:r w:rsidRPr="00BD5772">
        <w:t>3</w:t>
      </w:r>
      <w:r>
        <w:t xml:space="preserve"> </w:t>
      </w:r>
      <w:r w:rsidRPr="00BD5772">
        <w:t>% (6/209)</w:t>
      </w:r>
      <w:r w:rsidRPr="00CE5BBF">
        <w:t xml:space="preserve"> of </w:t>
      </w:r>
      <w:r w:rsidRPr="00BD5772">
        <w:t>patients developed cuSCC and</w:t>
      </w:r>
      <w:r w:rsidRPr="00CE5BBF">
        <w:t>, events occurred later</w:t>
      </w:r>
      <w:r>
        <w:t>,</w:t>
      </w:r>
      <w:r w:rsidRPr="00CE5BBF">
        <w:t xml:space="preserve"> with the median time to onset of </w:t>
      </w:r>
      <w:r w:rsidRPr="00BD5772">
        <w:t xml:space="preserve">the first occurrence of </w:t>
      </w:r>
      <w:r>
        <w:t>20 </w:t>
      </w:r>
      <w:r w:rsidRPr="00BD5772">
        <w:t>to 32</w:t>
      </w:r>
      <w:r w:rsidRPr="00CE5BBF">
        <w:t xml:space="preserve"> weeks. More than 90 % of patients on </w:t>
      </w:r>
      <w:r>
        <w:t>TAFINLAR</w:t>
      </w:r>
      <w:r w:rsidRPr="00CE5BBF">
        <w:t xml:space="preserve"> who developed cuSCC</w:t>
      </w:r>
      <w:r>
        <w:t>,</w:t>
      </w:r>
      <w:r w:rsidRPr="00CE5BBF">
        <w:t xml:space="preserve"> continued on treatment without dose modification.</w:t>
      </w:r>
      <w:r>
        <w:t xml:space="preserve"> </w:t>
      </w:r>
      <w:r w:rsidR="00C04862" w:rsidRPr="00C04862">
        <w:t xml:space="preserve">In a Phase III trial in the adjuvant treatment of melanoma, 1% (6/435) of patients receiving </w:t>
      </w:r>
      <w:r w:rsidR="00F511B8" w:rsidRPr="00C04862">
        <w:t xml:space="preserve">TAFINLAR </w:t>
      </w:r>
      <w:r w:rsidR="00C04862" w:rsidRPr="00C04862">
        <w:t xml:space="preserve">in combination with </w:t>
      </w:r>
      <w:r w:rsidR="00F511B8" w:rsidRPr="00C04862">
        <w:t xml:space="preserve">MEKINIST </w:t>
      </w:r>
      <w:r w:rsidR="00C04862" w:rsidRPr="00C04862">
        <w:t>as compared to 1% (5/432) of patients receiving placebo developed cuSCC. The median time to onset of the first occurrence of cuSCC in the combination arm was approximately 18 weeks</w:t>
      </w:r>
      <w:r w:rsidR="00C04862">
        <w:t>.</w:t>
      </w:r>
    </w:p>
    <w:p w14:paraId="32944AB1" w14:textId="77777777" w:rsidR="003B7F99" w:rsidRPr="005E7888" w:rsidRDefault="003B7F99" w:rsidP="00C54309">
      <w:pPr>
        <w:ind w:left="357"/>
      </w:pPr>
      <w:r>
        <w:t>S</w:t>
      </w:r>
      <w:r w:rsidRPr="005E7888">
        <w:t xml:space="preserve">kin examination </w:t>
      </w:r>
      <w:r>
        <w:rPr>
          <w:noProof/>
        </w:rPr>
        <w:t xml:space="preserve">for cuSCC </w:t>
      </w:r>
      <w:r>
        <w:t xml:space="preserve">should </w:t>
      </w:r>
      <w:r w:rsidRPr="005E7888">
        <w:t xml:space="preserve">be performed prior to initiation of </w:t>
      </w:r>
      <w:r>
        <w:rPr>
          <w:noProof/>
        </w:rPr>
        <w:t>TAFINLAR</w:t>
      </w:r>
      <w:r w:rsidRPr="005E7888">
        <w:t xml:space="preserve"> and every month</w:t>
      </w:r>
      <w:r w:rsidRPr="005E7888" w:rsidDel="00253DD7">
        <w:t xml:space="preserve"> </w:t>
      </w:r>
      <w:r>
        <w:t xml:space="preserve">throughout </w:t>
      </w:r>
      <w:r w:rsidRPr="005E7888">
        <w:t xml:space="preserve">treatment with </w:t>
      </w:r>
      <w:r>
        <w:rPr>
          <w:noProof/>
        </w:rPr>
        <w:t>TAFINLAR and for up to six months after treatment</w:t>
      </w:r>
      <w:r w:rsidRPr="005E7888">
        <w:t xml:space="preserve">.  </w:t>
      </w:r>
      <w:r w:rsidRPr="00AE49B1">
        <w:t xml:space="preserve">Monitoring should continue </w:t>
      </w:r>
      <w:r>
        <w:t xml:space="preserve">every two or three months </w:t>
      </w:r>
      <w:r w:rsidRPr="00AE49B1">
        <w:t xml:space="preserve">for </w:t>
      </w:r>
      <w:r>
        <w:t>six</w:t>
      </w:r>
      <w:r w:rsidRPr="00AE49B1">
        <w:t xml:space="preserve"> months following discontinuation of </w:t>
      </w:r>
      <w:r>
        <w:t>TAFINLAR</w:t>
      </w:r>
      <w:r w:rsidRPr="00AE49B1">
        <w:t xml:space="preserve"> or until initiation of another anti-neoplastic therapy.</w:t>
      </w:r>
    </w:p>
    <w:p w14:paraId="7E022451" w14:textId="77777777" w:rsidR="003B7F99" w:rsidRPr="005E7888" w:rsidRDefault="003B7F99" w:rsidP="001550EB">
      <w:pPr>
        <w:widowControl w:val="0"/>
        <w:ind w:left="357"/>
      </w:pPr>
      <w:r w:rsidRPr="005E7888">
        <w:t xml:space="preserve">Cases of cuSCC should be managed by dermatological excision and </w:t>
      </w:r>
      <w:r>
        <w:rPr>
          <w:noProof/>
        </w:rPr>
        <w:t>TAFINLAR</w:t>
      </w:r>
      <w:r w:rsidRPr="005E7888">
        <w:t xml:space="preserve"> treatment should be continued without any dose adjustment. Patients should be instructed to immediately inform their physician if new lesions develop.</w:t>
      </w:r>
    </w:p>
    <w:p w14:paraId="33382439" w14:textId="77777777" w:rsidR="003B7F99" w:rsidRPr="00C54309" w:rsidRDefault="003B7F99" w:rsidP="00C54309">
      <w:pPr>
        <w:pStyle w:val="Heading2"/>
        <w:ind w:left="357"/>
        <w:rPr>
          <w:b w:val="0"/>
        </w:rPr>
      </w:pPr>
      <w:r w:rsidRPr="00C54309">
        <w:rPr>
          <w:b w:val="0"/>
        </w:rPr>
        <w:t>New primary melanoma</w:t>
      </w:r>
    </w:p>
    <w:p w14:paraId="0BD26EA9" w14:textId="04ADE005" w:rsidR="003B7F99" w:rsidRPr="005E7888" w:rsidRDefault="003B7F99" w:rsidP="00C54309">
      <w:pPr>
        <w:ind w:left="357"/>
      </w:pPr>
      <w:r w:rsidRPr="005E7888">
        <w:t xml:space="preserve">New primary melanomas have been reported in </w:t>
      </w:r>
      <w:r>
        <w:t>patients treated with TAFINLAR.</w:t>
      </w:r>
      <w:r w:rsidRPr="005E7888">
        <w:t xml:space="preserve"> </w:t>
      </w:r>
      <w:r w:rsidRPr="00797584">
        <w:t xml:space="preserve">In </w:t>
      </w:r>
      <w:r>
        <w:t xml:space="preserve">clinical trials in </w:t>
      </w:r>
      <w:r w:rsidR="00FD3D1D" w:rsidRPr="00FD3D1D">
        <w:t xml:space="preserve">unresectable or metastatic </w:t>
      </w:r>
      <w:r>
        <w:t>melanoma,</w:t>
      </w:r>
      <w:r w:rsidRPr="00797584">
        <w:t xml:space="preserve"> </w:t>
      </w:r>
      <w:r>
        <w:t>t</w:t>
      </w:r>
      <w:r w:rsidRPr="005E7888">
        <w:t xml:space="preserve">hese </w:t>
      </w:r>
      <w:r>
        <w:t>cases</w:t>
      </w:r>
      <w:r w:rsidRPr="005E7888">
        <w:t xml:space="preserve"> were identified within the first </w:t>
      </w:r>
      <w:r>
        <w:t>five</w:t>
      </w:r>
      <w:r w:rsidRPr="005E7888">
        <w:t> months of therapy</w:t>
      </w:r>
      <w:r>
        <w:t>, were managed with excision,</w:t>
      </w:r>
      <w:r w:rsidRPr="005E7888">
        <w:t xml:space="preserve"> and did not require treatment modification. </w:t>
      </w:r>
      <w:r w:rsidR="00FD3D1D" w:rsidRPr="00FD3D1D">
        <w:t>In the Phase III clinical trial in the adjuvant treatment of melanoma, new primary melanomas occurred in &lt;1% (1/435) of patients receiving the combination of Tafinlar and Mekinist as opposed to 1% (6/432) of patients receiving placebo</w:t>
      </w:r>
      <w:r w:rsidR="00FD3D1D">
        <w:t>.</w:t>
      </w:r>
      <w:r w:rsidR="00FD3D1D" w:rsidRPr="00FD3D1D">
        <w:t xml:space="preserve"> </w:t>
      </w:r>
      <w:r w:rsidRPr="005E7888">
        <w:t>Monitoring for skin lesions should occur as described for cuSCC.</w:t>
      </w:r>
    </w:p>
    <w:p w14:paraId="22EBF59B" w14:textId="77777777" w:rsidR="003B7F99" w:rsidRPr="00C54309" w:rsidRDefault="003B7F99" w:rsidP="00C54309">
      <w:pPr>
        <w:pStyle w:val="Heading2"/>
        <w:ind w:left="357"/>
        <w:rPr>
          <w:b w:val="0"/>
        </w:rPr>
      </w:pPr>
      <w:r w:rsidRPr="00C54309">
        <w:rPr>
          <w:b w:val="0"/>
        </w:rPr>
        <w:t>Non-cutaneous secondary/ recurrent malignancy</w:t>
      </w:r>
    </w:p>
    <w:p w14:paraId="5139F53A" w14:textId="33E59A52" w:rsidR="003B7F99" w:rsidRPr="00D14FA0" w:rsidRDefault="003B7F99" w:rsidP="00D14FA0">
      <w:pPr>
        <w:ind w:left="357"/>
      </w:pPr>
      <w:r w:rsidRPr="00CE28A0">
        <w:rPr>
          <w:i/>
        </w:rPr>
        <w:t>In vitro</w:t>
      </w:r>
      <w:r w:rsidRPr="005E7888">
        <w:t xml:space="preserve"> experiments have demonstrated paradoxical activation of MAP-kinase signalling in BRAF wild type cells </w:t>
      </w:r>
      <w:r>
        <w:t>with RAS mutations when</w:t>
      </w:r>
      <w:r w:rsidRPr="005E7888">
        <w:t xml:space="preserve"> exposed to BRAF inhibitors</w:t>
      </w:r>
      <w:r>
        <w:t>. This</w:t>
      </w:r>
      <w:r w:rsidRPr="005E7888">
        <w:t xml:space="preserve"> may lead to </w:t>
      </w:r>
      <w:r>
        <w:t xml:space="preserve">an </w:t>
      </w:r>
      <w:r w:rsidRPr="005E7888">
        <w:t xml:space="preserve">increased risk of non-cutaneous malignancies </w:t>
      </w:r>
      <w:r>
        <w:t>with TAFINLAR exposure, when RAS mutations are present</w:t>
      </w:r>
      <w:r w:rsidRPr="005E7888">
        <w:t xml:space="preserve">. </w:t>
      </w:r>
      <w:r>
        <w:t xml:space="preserve">RAS-associated malignancies have been reported in clinical trials, both with another BRAF inhibitor </w:t>
      </w:r>
      <w:r w:rsidRPr="00697EF8">
        <w:t>(</w:t>
      </w:r>
      <w:r>
        <w:t>c</w:t>
      </w:r>
      <w:r w:rsidRPr="00697EF8">
        <w:t xml:space="preserve">hronic </w:t>
      </w:r>
      <w:proofErr w:type="spellStart"/>
      <w:r w:rsidRPr="00697EF8">
        <w:t>myelomonocytic</w:t>
      </w:r>
      <w:proofErr w:type="spellEnd"/>
      <w:r w:rsidRPr="00697EF8">
        <w:t xml:space="preserve"> </w:t>
      </w:r>
      <w:r w:rsidR="0035507E" w:rsidRPr="00697EF8">
        <w:t>leukaemia</w:t>
      </w:r>
      <w:r w:rsidRPr="00697EF8">
        <w:t xml:space="preserve"> and non-cutaneous SCC of the head and neck) </w:t>
      </w:r>
      <w:r>
        <w:t>as well as with TAFINLAR monotherapy (</w:t>
      </w:r>
      <w:r w:rsidRPr="00051F9A">
        <w:t>pancreatic adenocarcinoma, bile duct adenocarcinoma)</w:t>
      </w:r>
      <w:r>
        <w:t xml:space="preserve"> and with </w:t>
      </w:r>
      <w:r w:rsidRPr="00051F9A">
        <w:t>TAFINLAR</w:t>
      </w:r>
      <w:r>
        <w:t xml:space="preserve"> in combination with the MEK inhibitor MEKINIST (colorectal cancer, pancreatic cancer). </w:t>
      </w:r>
      <w:r w:rsidR="00D14FA0" w:rsidRPr="00D14FA0">
        <w:t>In the Phase III trial in the adjuvant treatment of melanoma comparing combination of Tafinlar and Mekinist to placebo, non-cutaneous secondary malignancies or recurrent malignancies were observed in 1% (5/435) of patients receiving active therapy compared to 1% (3/432) of patients receiving placebo</w:t>
      </w:r>
      <w:r w:rsidR="00D14FA0">
        <w:t>.</w:t>
      </w:r>
    </w:p>
    <w:p w14:paraId="37819B92" w14:textId="579B85B6" w:rsidR="003B7F99" w:rsidRDefault="003B7F99" w:rsidP="00C54309">
      <w:pPr>
        <w:ind w:left="357"/>
      </w:pPr>
      <w:r>
        <w:t>Prior to initiation of treatment, patients should undergo a head and neck examination with minimally visual inspection of oral mucosa and lymph node palpation, as well as chest/abdomen computerised tomography (CT) scan. During treatment, p</w:t>
      </w:r>
      <w:r w:rsidRPr="005E7888">
        <w:t>atients should be monitored as clinically appropriate</w:t>
      </w:r>
      <w:r>
        <w:t xml:space="preserve"> which may include a head and neck examination every 3 months and a chest/abdomen CT scan every 6 months. Anal examinations and pelvic examinations (for women) are recommended before and at the end of treatment or when considered clinically indicated. Complete blood cell counts should be performed as clinically indicated. </w:t>
      </w:r>
      <w:proofErr w:type="gramStart"/>
      <w:r>
        <w:t>(See</w:t>
      </w:r>
      <w:r w:rsidR="0053613C">
        <w:t xml:space="preserve"> section 4.2</w:t>
      </w:r>
      <w:r w:rsidR="00CC7798" w:rsidRPr="00CC7798">
        <w:t xml:space="preserve"> Dose and method of administration</w:t>
      </w:r>
      <w:r w:rsidR="0053613C" w:rsidRPr="00CC7798">
        <w:t>.</w:t>
      </w:r>
      <w:r>
        <w:t>)</w:t>
      </w:r>
      <w:proofErr w:type="gramEnd"/>
    </w:p>
    <w:p w14:paraId="023A004B" w14:textId="77777777" w:rsidR="003B7F99" w:rsidRDefault="003B7F99" w:rsidP="00C54309">
      <w:pPr>
        <w:ind w:left="357"/>
      </w:pPr>
      <w:r>
        <w:lastRenderedPageBreak/>
        <w:t>Carefully consider benefits and risks before administering TAFINLAR to patients with a prior or concurrent cancer associated with RAS mutations. No dose modification of MEKINIST is required when taken in combination with TAFINLAR.</w:t>
      </w:r>
      <w:r w:rsidRPr="00275319">
        <w:t xml:space="preserve"> </w:t>
      </w:r>
    </w:p>
    <w:p w14:paraId="0629DEF8" w14:textId="77777777" w:rsidR="003B7F99" w:rsidRPr="005E7888" w:rsidRDefault="003B7F99" w:rsidP="00C54309">
      <w:pPr>
        <w:ind w:left="357"/>
      </w:pPr>
      <w:r w:rsidRPr="00275319">
        <w:t>Following discontinuation of</w:t>
      </w:r>
      <w:r>
        <w:t xml:space="preserve"> TAFINLAR</w:t>
      </w:r>
      <w:r w:rsidRPr="00275319">
        <w:t xml:space="preserve">, monitoring for non-cutaneous </w:t>
      </w:r>
      <w:r w:rsidRPr="003E69D2">
        <w:t>secondary/recurrent</w:t>
      </w:r>
      <w:r w:rsidRPr="00275319">
        <w:t xml:space="preserve"> malignancies </w:t>
      </w:r>
      <w:r>
        <w:t xml:space="preserve">should continue for up to 6 months or </w:t>
      </w:r>
      <w:r w:rsidRPr="0081688D">
        <w:t>until initiation of another anti-neoplastic therapy</w:t>
      </w:r>
      <w:r w:rsidRPr="005E7888">
        <w:t>.</w:t>
      </w:r>
      <w:r w:rsidRPr="003E69D2">
        <w:t xml:space="preserve"> </w:t>
      </w:r>
      <w:r>
        <w:t>Abnormal findings should be managed according to clinical practices.</w:t>
      </w:r>
    </w:p>
    <w:p w14:paraId="0F5B7989" w14:textId="77777777" w:rsidR="003B7F99" w:rsidRPr="00C54309" w:rsidRDefault="003B7F99" w:rsidP="00C54309">
      <w:pPr>
        <w:ind w:left="357"/>
        <w:rPr>
          <w:u w:val="single"/>
        </w:rPr>
      </w:pPr>
      <w:r w:rsidRPr="00C54309">
        <w:rPr>
          <w:u w:val="single"/>
        </w:rPr>
        <w:t>Serious Skin Toxicity</w:t>
      </w:r>
    </w:p>
    <w:p w14:paraId="43523209" w14:textId="046569EB" w:rsidR="003B7F99" w:rsidRPr="007960E7" w:rsidRDefault="003B7F99" w:rsidP="00C54309">
      <w:pPr>
        <w:ind w:left="357"/>
      </w:pPr>
      <w:r w:rsidRPr="007960E7">
        <w:t>Serious skin toxicity can occur with TAFINLAR.</w:t>
      </w:r>
      <w:r>
        <w:t xml:space="preserve"> </w:t>
      </w:r>
      <w:r w:rsidRPr="007960E7">
        <w:t xml:space="preserve">Across clinical trials of TAFINLAR administered with </w:t>
      </w:r>
      <w:r>
        <w:t>MEKINIST</w:t>
      </w:r>
      <w:r w:rsidRPr="007960E7">
        <w:t xml:space="preserve"> (N = 559), serious skin toxicity occurred in 0.7% (4/559) of patients.</w:t>
      </w:r>
      <w:r>
        <w:t xml:space="preserve"> </w:t>
      </w:r>
      <w:r w:rsidRPr="007960E7">
        <w:t xml:space="preserve">Withhold TAFINLAR for intolerable or severe skin toxicity. TAFINLAR may be resumed at the next lower dose level in patients with improvement or recovery from skin toxicity within </w:t>
      </w:r>
      <w:r>
        <w:t xml:space="preserve">three </w:t>
      </w:r>
      <w:r w:rsidRPr="007960E7">
        <w:t xml:space="preserve">weeks </w:t>
      </w:r>
      <w:r>
        <w:t>(</w:t>
      </w:r>
      <w:r w:rsidRPr="007960E7">
        <w:t xml:space="preserve">see </w:t>
      </w:r>
      <w:r w:rsidR="0053613C">
        <w:t>section 4.2</w:t>
      </w:r>
      <w:r w:rsidR="00CC7798" w:rsidRPr="00CC7798">
        <w:t xml:space="preserve"> Dose and method of administration</w:t>
      </w:r>
      <w:r w:rsidRPr="00CC7798">
        <w:t>)</w:t>
      </w:r>
      <w:r w:rsidRPr="007960E7">
        <w:t>.</w:t>
      </w:r>
    </w:p>
    <w:p w14:paraId="4356537B" w14:textId="77777777" w:rsidR="003B7F99" w:rsidRPr="00C54309" w:rsidRDefault="003B7F99" w:rsidP="00C54309">
      <w:pPr>
        <w:ind w:left="357"/>
        <w:rPr>
          <w:u w:val="single"/>
        </w:rPr>
      </w:pPr>
      <w:r w:rsidRPr="00C54309">
        <w:rPr>
          <w:u w:val="single"/>
        </w:rPr>
        <w:t>Visual impairment</w:t>
      </w:r>
    </w:p>
    <w:p w14:paraId="0371BDC5" w14:textId="0C516554" w:rsidR="00843F78" w:rsidRPr="005E7888" w:rsidRDefault="003B7F99" w:rsidP="00C54309">
      <w:pPr>
        <w:ind w:left="357"/>
      </w:pPr>
      <w:r>
        <w:t xml:space="preserve">Treatment with TAFINLAR </w:t>
      </w:r>
      <w:r w:rsidRPr="008B56A5">
        <w:t xml:space="preserve">as monotherapy and in combination with </w:t>
      </w:r>
      <w:r>
        <w:t>MEKINIST</w:t>
      </w:r>
      <w:r w:rsidRPr="008B56A5">
        <w:t xml:space="preserve"> </w:t>
      </w:r>
      <w:r>
        <w:t>has been associated with o</w:t>
      </w:r>
      <w:r w:rsidRPr="00A650BF">
        <w:t>phthalmologic reactions, including uveitis</w:t>
      </w:r>
      <w:r>
        <w:t xml:space="preserve">, </w:t>
      </w:r>
      <w:proofErr w:type="spellStart"/>
      <w:r>
        <w:t>iridocyclitis</w:t>
      </w:r>
      <w:proofErr w:type="spellEnd"/>
      <w:r>
        <w:t>,</w:t>
      </w:r>
      <w:r w:rsidRPr="00A650BF">
        <w:t xml:space="preserve"> and iritis.</w:t>
      </w:r>
      <w:r w:rsidRPr="005E7888">
        <w:t xml:space="preserve"> </w:t>
      </w:r>
      <w:r>
        <w:t>Monitor p</w:t>
      </w:r>
      <w:r w:rsidRPr="005E7888">
        <w:t xml:space="preserve">atients </w:t>
      </w:r>
      <w:r>
        <w:t xml:space="preserve">routinely </w:t>
      </w:r>
      <w:r w:rsidRPr="005E7888">
        <w:t>for visual signs and symptoms (such as, change in vision, photophobia and eye pain) during therapy.</w:t>
      </w:r>
      <w:r>
        <w:t xml:space="preserve"> (Also see </w:t>
      </w:r>
      <w:r w:rsidR="00B369A6">
        <w:t>section 4.2</w:t>
      </w:r>
      <w:r w:rsidR="00CC7798" w:rsidRPr="00CC7798">
        <w:t xml:space="preserve"> Dose and method of </w:t>
      </w:r>
      <w:r w:rsidR="00E01B03" w:rsidRPr="00CC7798">
        <w:t>administration</w:t>
      </w:r>
      <w:r>
        <w:t>.)</w:t>
      </w:r>
    </w:p>
    <w:p w14:paraId="20EE9CD8" w14:textId="77777777" w:rsidR="003B7F99" w:rsidRPr="00C54309" w:rsidRDefault="003B7F99">
      <w:pPr>
        <w:ind w:left="357"/>
        <w:rPr>
          <w:i/>
        </w:rPr>
      </w:pPr>
      <w:r w:rsidRPr="00C54309">
        <w:rPr>
          <w:i/>
        </w:rPr>
        <w:t xml:space="preserve">Uveitis </w:t>
      </w:r>
    </w:p>
    <w:p w14:paraId="7D03E009" w14:textId="5432E29D" w:rsidR="003B7F99" w:rsidRDefault="003B7F99" w:rsidP="001550EB">
      <w:pPr>
        <w:widowControl w:val="0"/>
        <w:ind w:left="357"/>
      </w:pPr>
      <w:r>
        <w:t xml:space="preserve">If uveitis does not respond to local ocular therapy, withhold TAFINLAR until resolution of ocular inflammation and then restart TAFINLAR reduced by one dose level. </w:t>
      </w:r>
      <w:proofErr w:type="gramStart"/>
      <w:r>
        <w:t xml:space="preserve">(See </w:t>
      </w:r>
      <w:r w:rsidR="00B369A6">
        <w:t>section 4.2</w:t>
      </w:r>
      <w:r w:rsidR="00CC7798" w:rsidRPr="00CC7798">
        <w:t xml:space="preserve"> Dose and method of </w:t>
      </w:r>
      <w:r w:rsidR="00E01B03" w:rsidRPr="00CC7798">
        <w:t>administration</w:t>
      </w:r>
      <w:r>
        <w:t>.)</w:t>
      </w:r>
      <w:proofErr w:type="gramEnd"/>
    </w:p>
    <w:p w14:paraId="18B6A3BF" w14:textId="77777777" w:rsidR="003B7F99" w:rsidRDefault="003B7F99" w:rsidP="00C54309">
      <w:pPr>
        <w:ind w:left="357"/>
      </w:pPr>
      <w:r>
        <w:t>No dose modification of MEKINIST is required when taken in combination with TAFINLAR following diagnosis of uveitis.</w:t>
      </w:r>
    </w:p>
    <w:p w14:paraId="31B48E36" w14:textId="77777777" w:rsidR="003B7F99" w:rsidRPr="00C54309" w:rsidRDefault="003B7F99" w:rsidP="0029565F">
      <w:pPr>
        <w:keepNext/>
        <w:ind w:left="357"/>
        <w:rPr>
          <w:i/>
        </w:rPr>
      </w:pPr>
      <w:r w:rsidRPr="00C54309">
        <w:rPr>
          <w:i/>
        </w:rPr>
        <w:t>Retinal vein occlusion (RVO) and Retinal pigment epithelial detachment (RPED)</w:t>
      </w:r>
    </w:p>
    <w:p w14:paraId="76C06D74" w14:textId="77777777" w:rsidR="003B7F99" w:rsidRDefault="003B7F99" w:rsidP="00C54309">
      <w:pPr>
        <w:ind w:left="357"/>
      </w:pPr>
      <w:r>
        <w:t xml:space="preserve">RPED and RVO may occur with dabrafenib in combination with MEKINIST (trametinib). No dose modification of TAFINLAR is required when taken in combination with trametinib following diagnosis of RVO or RPED.  </w:t>
      </w:r>
    </w:p>
    <w:p w14:paraId="4F33F20D" w14:textId="77777777" w:rsidR="003B7F99" w:rsidRPr="005E7888" w:rsidRDefault="003B7F99" w:rsidP="00C54309">
      <w:pPr>
        <w:ind w:left="357"/>
      </w:pPr>
      <w:r w:rsidRPr="00CF216D">
        <w:t xml:space="preserve">Please refer to the </w:t>
      </w:r>
      <w:r>
        <w:t>MEKINIST</w:t>
      </w:r>
      <w:r w:rsidRPr="00CF216D">
        <w:t xml:space="preserve"> Product Information.</w:t>
      </w:r>
    </w:p>
    <w:p w14:paraId="16D9C0C1" w14:textId="77777777" w:rsidR="003B7F99" w:rsidRPr="00C54309" w:rsidRDefault="003B7F99" w:rsidP="00C54309">
      <w:pPr>
        <w:ind w:left="357"/>
        <w:rPr>
          <w:u w:val="single"/>
        </w:rPr>
      </w:pPr>
      <w:r w:rsidRPr="00C54309">
        <w:rPr>
          <w:u w:val="single"/>
        </w:rPr>
        <w:t xml:space="preserve">Pancreatitis </w:t>
      </w:r>
    </w:p>
    <w:p w14:paraId="7546E5C4" w14:textId="09D69003" w:rsidR="00FE4A54" w:rsidRDefault="003B7F99" w:rsidP="00C54309">
      <w:pPr>
        <w:ind w:left="357"/>
      </w:pPr>
      <w:r w:rsidRPr="00A650BF">
        <w:t>Pancreatitis has been reported in &lt; 1</w:t>
      </w:r>
      <w:r>
        <w:t xml:space="preserve"> %</w:t>
      </w:r>
      <w:r w:rsidRPr="00A650BF">
        <w:t xml:space="preserve"> of </w:t>
      </w:r>
      <w:r>
        <w:t>TAFINLAR</w:t>
      </w:r>
      <w:r w:rsidRPr="00A650BF">
        <w:t xml:space="preserve">-treated </w:t>
      </w:r>
      <w:r>
        <w:t>patients</w:t>
      </w:r>
      <w:r w:rsidRPr="00797584">
        <w:t xml:space="preserve"> in </w:t>
      </w:r>
      <w:r w:rsidR="00B1085E" w:rsidRPr="00B1085E">
        <w:t xml:space="preserve">unresectable or metastatic </w:t>
      </w:r>
      <w:r>
        <w:t xml:space="preserve">melanoma </w:t>
      </w:r>
      <w:r w:rsidRPr="00797584">
        <w:t>clinical trials</w:t>
      </w:r>
      <w:r w:rsidRPr="00A650BF">
        <w:t xml:space="preserve">. </w:t>
      </w:r>
      <w:r w:rsidRPr="00FD7CAA">
        <w:t xml:space="preserve">One of the events occurred on the first day of dosing </w:t>
      </w:r>
      <w:r>
        <w:t xml:space="preserve">of a melanoma patient </w:t>
      </w:r>
      <w:r w:rsidRPr="00FD7CAA">
        <w:t>and recurred following re-challenge at a reduced dose</w:t>
      </w:r>
      <w:r w:rsidRPr="00A650BF">
        <w:t xml:space="preserve">. </w:t>
      </w:r>
      <w:r w:rsidR="00FE4A54" w:rsidRPr="00FE4A54">
        <w:t xml:space="preserve">In the adjuvant treatment of melanoma trial, pancreatitis was reported in 1% of patients receiving </w:t>
      </w:r>
      <w:r w:rsidR="00F50B9D" w:rsidRPr="00FE4A54">
        <w:t xml:space="preserve">TAFINLAR </w:t>
      </w:r>
      <w:r w:rsidR="00FE4A54" w:rsidRPr="00FE4A54">
        <w:t xml:space="preserve">in combination with </w:t>
      </w:r>
      <w:r w:rsidR="00F50B9D" w:rsidRPr="00FE4A54">
        <w:t>MEKINIST</w:t>
      </w:r>
      <w:r w:rsidR="00FE4A54" w:rsidRPr="00FE4A54">
        <w:t>, and in &lt;1% of patients receiving placebo</w:t>
      </w:r>
      <w:r w:rsidR="00FE4A54">
        <w:t>.</w:t>
      </w:r>
      <w:r w:rsidR="00FE4A54" w:rsidRPr="00FE4A54">
        <w:t xml:space="preserve"> </w:t>
      </w:r>
    </w:p>
    <w:p w14:paraId="3AC47266" w14:textId="1AC43C38" w:rsidR="003B7F99" w:rsidRPr="00A650BF" w:rsidRDefault="003B7F99" w:rsidP="00C54309">
      <w:pPr>
        <w:ind w:left="357"/>
      </w:pPr>
      <w:r w:rsidRPr="00A650BF">
        <w:t xml:space="preserve">Unexplained abdominal pain should be promptly investigated to include measurement of serum amylase and lipase. Patients should be closely monitored when re-starting </w:t>
      </w:r>
      <w:r>
        <w:t>TAFINLAR</w:t>
      </w:r>
      <w:r w:rsidRPr="00A650BF">
        <w:t xml:space="preserve"> after an episode of pancreatitis.</w:t>
      </w:r>
    </w:p>
    <w:p w14:paraId="1D657512" w14:textId="77777777" w:rsidR="003B7F99" w:rsidRPr="00C54309" w:rsidRDefault="003B7F99" w:rsidP="00C54309">
      <w:pPr>
        <w:ind w:left="357"/>
        <w:rPr>
          <w:u w:val="single"/>
        </w:rPr>
      </w:pPr>
      <w:r w:rsidRPr="00C54309">
        <w:rPr>
          <w:u w:val="single"/>
        </w:rPr>
        <w:t>Hyperglycaemia</w:t>
      </w:r>
    </w:p>
    <w:p w14:paraId="5848E7FD" w14:textId="3F2C91A7" w:rsidR="003B7F99" w:rsidRDefault="003B7F99" w:rsidP="00C54309">
      <w:pPr>
        <w:ind w:left="357"/>
      </w:pPr>
      <w:r w:rsidRPr="00B1292F">
        <w:t xml:space="preserve">Hyperglycaemia requiring an increase in the dose of, or initiation of insulin or oral </w:t>
      </w:r>
      <w:proofErr w:type="gramStart"/>
      <w:r w:rsidRPr="00B1292F">
        <w:t>hypoglycaemic  agent</w:t>
      </w:r>
      <w:proofErr w:type="gramEnd"/>
      <w:r w:rsidRPr="00B1292F">
        <w:t xml:space="preserve"> therapy can occur with </w:t>
      </w:r>
      <w:r>
        <w:t>TAFINLAR</w:t>
      </w:r>
      <w:r w:rsidRPr="00B1292F">
        <w:t xml:space="preserve">. In the pivotal study, five of 12 patients with a history of diabetes required more intensive hypoglycaemic therapy while taking </w:t>
      </w:r>
      <w:r>
        <w:t>TAFINLAR</w:t>
      </w:r>
      <w:r w:rsidRPr="00B1292F">
        <w:t>. The incidence of Grade 3 hyperglycaemia based on laboratory values was 6</w:t>
      </w:r>
      <w:r>
        <w:t xml:space="preserve"> </w:t>
      </w:r>
      <w:r w:rsidRPr="00B1292F">
        <w:t xml:space="preserve">% </w:t>
      </w:r>
      <w:r w:rsidRPr="00B1292F">
        <w:lastRenderedPageBreak/>
        <w:t xml:space="preserve">(12/187) in patients treated with </w:t>
      </w:r>
      <w:r>
        <w:t>TAFINLAR</w:t>
      </w:r>
      <w:r w:rsidRPr="00B1292F">
        <w:t xml:space="preserve"> compared to none of the </w:t>
      </w:r>
      <w:proofErr w:type="spellStart"/>
      <w:r w:rsidRPr="00B1292F">
        <w:t>dacarbazine</w:t>
      </w:r>
      <w:proofErr w:type="spellEnd"/>
      <w:r w:rsidRPr="00B1292F">
        <w:t xml:space="preserve">-treated patients. Monitor serum glucose levels as clinically appropriate during treatment with </w:t>
      </w:r>
      <w:r>
        <w:t>TAFINLAR</w:t>
      </w:r>
      <w:r w:rsidRPr="00B1292F">
        <w:t xml:space="preserve"> in patients with pre-existing diabetes or hyperglycaemia. Advise patients to report symptoms of severe hyperglycaemia such as excessive thirst or any increase in the volume or frequency of urination.</w:t>
      </w:r>
    </w:p>
    <w:p w14:paraId="7FF8B471" w14:textId="77777777" w:rsidR="003B7F99" w:rsidRPr="00CE28A0" w:rsidRDefault="003B7F99" w:rsidP="00C54309">
      <w:pPr>
        <w:pStyle w:val="Heading2"/>
        <w:ind w:left="357"/>
        <w:rPr>
          <w:b w:val="0"/>
        </w:rPr>
      </w:pPr>
      <w:r w:rsidRPr="00CE28A0">
        <w:rPr>
          <w:b w:val="0"/>
        </w:rPr>
        <w:t>Glucose-6-phosphate dehydrogenase (G6PD) deficiency</w:t>
      </w:r>
    </w:p>
    <w:p w14:paraId="032F4399" w14:textId="77777777" w:rsidR="003B7F99" w:rsidRDefault="003B7F99" w:rsidP="00C54309">
      <w:pPr>
        <w:ind w:left="357"/>
      </w:pPr>
      <w:r w:rsidRPr="00C5427A">
        <w:t>TAFINLAR, which contains a sul</w:t>
      </w:r>
      <w:r>
        <w:t>ph</w:t>
      </w:r>
      <w:r w:rsidRPr="00C5427A">
        <w:t>onamide moiety, confers a potential risk of h</w:t>
      </w:r>
      <w:r>
        <w:t>a</w:t>
      </w:r>
      <w:r w:rsidRPr="00C5427A">
        <w:t>emolytic an</w:t>
      </w:r>
      <w:r>
        <w:t>a</w:t>
      </w:r>
      <w:r w:rsidRPr="00C5427A">
        <w:t xml:space="preserve">emia in patients with </w:t>
      </w:r>
      <w:r>
        <w:t>G6PD</w:t>
      </w:r>
      <w:r w:rsidRPr="003C370F">
        <w:t xml:space="preserve"> </w:t>
      </w:r>
      <w:r w:rsidRPr="00C5427A">
        <w:t>deficiency. Monitor patients with G6PD deficiency for signs of h</w:t>
      </w:r>
      <w:r>
        <w:t>a</w:t>
      </w:r>
      <w:r w:rsidRPr="00C5427A">
        <w:t>emolytic an</w:t>
      </w:r>
      <w:r>
        <w:t>a</w:t>
      </w:r>
      <w:r w:rsidRPr="00C5427A">
        <w:t>emia while taking TAFINLAR.</w:t>
      </w:r>
    </w:p>
    <w:p w14:paraId="4740F177" w14:textId="77777777" w:rsidR="003B7F99" w:rsidRPr="00C54309" w:rsidRDefault="003B7F99" w:rsidP="00C54309">
      <w:pPr>
        <w:pStyle w:val="Heading2"/>
        <w:keepNext w:val="0"/>
        <w:widowControl w:val="0"/>
        <w:ind w:left="357"/>
        <w:rPr>
          <w:b w:val="0"/>
        </w:rPr>
      </w:pPr>
      <w:r w:rsidRPr="00C54309">
        <w:rPr>
          <w:b w:val="0"/>
        </w:rPr>
        <w:t>TAFINLAR in combination with MEKINIST</w:t>
      </w:r>
      <w:r w:rsidRPr="00C54309">
        <w:rPr>
          <w:b w:val="0"/>
          <w:vertAlign w:val="superscript"/>
        </w:rPr>
        <w:t>®</w:t>
      </w:r>
      <w:r w:rsidRPr="00C54309">
        <w:rPr>
          <w:b w:val="0"/>
        </w:rPr>
        <w:t xml:space="preserve"> (trametinib)</w:t>
      </w:r>
    </w:p>
    <w:p w14:paraId="217C3482" w14:textId="77777777" w:rsidR="003B7F99" w:rsidRPr="00E54D58" w:rsidRDefault="003B7F99" w:rsidP="00C54309">
      <w:pPr>
        <w:widowControl w:val="0"/>
        <w:ind w:left="357"/>
      </w:pPr>
      <w:r>
        <w:t>When TAFINLAR is given</w:t>
      </w:r>
      <w:r w:rsidRPr="00F077B8">
        <w:t xml:space="preserve"> in combination with trametinib</w:t>
      </w:r>
      <w:r>
        <w:t xml:space="preserve">, please refer to the </w:t>
      </w:r>
      <w:r w:rsidRPr="00583B74">
        <w:t xml:space="preserve">full </w:t>
      </w:r>
      <w:r w:rsidRPr="00E54D58">
        <w:t>trametinib</w:t>
      </w:r>
      <w:r w:rsidRPr="00583B74">
        <w:t xml:space="preserve"> </w:t>
      </w:r>
      <w:r w:rsidRPr="00590C2C">
        <w:t>Product Information</w:t>
      </w:r>
      <w:r>
        <w:t xml:space="preserve">, </w:t>
      </w:r>
      <w:r w:rsidRPr="00671B1B">
        <w:t xml:space="preserve">prior to initiation of combination treatment. </w:t>
      </w:r>
    </w:p>
    <w:p w14:paraId="34F71447" w14:textId="77777777" w:rsidR="003B7F99" w:rsidRPr="00C54309" w:rsidRDefault="003B7F99" w:rsidP="00C54309">
      <w:pPr>
        <w:pStyle w:val="Heading2"/>
        <w:ind w:left="357"/>
        <w:rPr>
          <w:b w:val="0"/>
        </w:rPr>
      </w:pPr>
      <w:proofErr w:type="spellStart"/>
      <w:r w:rsidRPr="00C54309">
        <w:rPr>
          <w:b w:val="0"/>
        </w:rPr>
        <w:t>Haemorrhage</w:t>
      </w:r>
      <w:proofErr w:type="spellEnd"/>
    </w:p>
    <w:p w14:paraId="05D1B25A" w14:textId="77777777" w:rsidR="003B7F99" w:rsidRPr="00797584" w:rsidRDefault="003B7F99" w:rsidP="00C54309">
      <w:pPr>
        <w:widowControl w:val="0"/>
        <w:ind w:left="357"/>
      </w:pPr>
      <w:r w:rsidRPr="00797584">
        <w:t xml:space="preserve">Haemorrhagic events, including major haemorrhagic events have occurred in patients taking trametinib in combination with </w:t>
      </w:r>
      <w:r>
        <w:t>TAFINLAR</w:t>
      </w:r>
      <w:r w:rsidRPr="00797584">
        <w:t xml:space="preserve">. </w:t>
      </w:r>
      <w:r w:rsidRPr="004C4650">
        <w:t>If patients develop symptoms of haemorrhage</w:t>
      </w:r>
      <w:r>
        <w:t>,</w:t>
      </w:r>
      <w:r w:rsidRPr="004C4650">
        <w:t xml:space="preserve"> they should immediately seek medical care</w:t>
      </w:r>
      <w:r>
        <w:t xml:space="preserve">. </w:t>
      </w:r>
    </w:p>
    <w:p w14:paraId="58B3CFE8" w14:textId="2BDC8DBC" w:rsidR="003B7F99" w:rsidRPr="00FD20D0" w:rsidRDefault="003B7F99" w:rsidP="00FD20D0">
      <w:pPr>
        <w:ind w:left="357"/>
      </w:pPr>
      <w:r>
        <w:t xml:space="preserve">Six </w:t>
      </w:r>
      <w:r w:rsidR="008F6B52">
        <w:t xml:space="preserve">(6) </w:t>
      </w:r>
      <w:r>
        <w:t>out</w:t>
      </w:r>
      <w:r w:rsidRPr="00797584">
        <w:t xml:space="preserve"> of </w:t>
      </w:r>
      <w:r>
        <w:t xml:space="preserve">559 </w:t>
      </w:r>
      <w:r w:rsidR="00FD20D0" w:rsidRPr="00FD20D0">
        <w:t xml:space="preserve">unresectable or metastatic melanoma </w:t>
      </w:r>
      <w:r w:rsidR="00FD20D0">
        <w:t>patient</w:t>
      </w:r>
      <w:r w:rsidRPr="00797584">
        <w:t>s (1</w:t>
      </w:r>
      <w:r>
        <w:t xml:space="preserve">.1 </w:t>
      </w:r>
      <w:r w:rsidRPr="00797584">
        <w:t xml:space="preserve">%) receiving dabrafenib in combination with trametinib in a phase III trial had fatal intracranial haemorrhagic events. </w:t>
      </w:r>
      <w:r w:rsidRPr="00DE7B09">
        <w:t>Three cases were from study MEK115306 (COMBI-d) and three cases were from study MEK116513 (COMBI-v).</w:t>
      </w:r>
      <w:r w:rsidR="00FD20D0" w:rsidRPr="00FD20D0">
        <w:t xml:space="preserve"> No fatal h</w:t>
      </w:r>
      <w:r w:rsidR="00FD20D0">
        <w:t>a</w:t>
      </w:r>
      <w:r w:rsidR="00FD20D0" w:rsidRPr="00FD20D0">
        <w:t>emorrhagic events occurred in the Phase III study in the adjuvant treatment of melanoma</w:t>
      </w:r>
      <w:r w:rsidR="008F6B52">
        <w:t xml:space="preserve"> (0/438)</w:t>
      </w:r>
      <w:r w:rsidR="00FD20D0">
        <w:t xml:space="preserve">. </w:t>
      </w:r>
      <w:r w:rsidR="00FD20D0" w:rsidRPr="00FD20D0">
        <w:t>If patients develop symptoms of h</w:t>
      </w:r>
      <w:r w:rsidR="00FD20D0">
        <w:t>a</w:t>
      </w:r>
      <w:r w:rsidR="00FD20D0" w:rsidRPr="00FD20D0">
        <w:t>emorrhage they should immediately seek medical care</w:t>
      </w:r>
      <w:r w:rsidR="008F6B52">
        <w:t>.</w:t>
      </w:r>
    </w:p>
    <w:p w14:paraId="053BCD61" w14:textId="77777777" w:rsidR="003B7F99" w:rsidRDefault="003B7F99" w:rsidP="00C54309">
      <w:pPr>
        <w:widowControl w:val="0"/>
        <w:ind w:left="357"/>
      </w:pPr>
      <w:r w:rsidRPr="00D732DE">
        <w:t xml:space="preserve">In Study BRF113220, treatment with </w:t>
      </w:r>
      <w:r>
        <w:t>TAFINLAR</w:t>
      </w:r>
      <w:r w:rsidRPr="00D732DE">
        <w:t xml:space="preserve"> in combination with </w:t>
      </w:r>
      <w:r>
        <w:t>trametinib</w:t>
      </w:r>
      <w:r w:rsidRPr="00D732DE">
        <w:t xml:space="preserve"> resulted in an increased incidence and severity of any haemorrhagic event: 16 % (9/55) of patients treated with trametinib in combination with </w:t>
      </w:r>
      <w:r>
        <w:t>TAFINLAR</w:t>
      </w:r>
      <w:r w:rsidRPr="00D732DE">
        <w:t xml:space="preserve"> compared with 2 % (1/53) of patients treated with </w:t>
      </w:r>
      <w:r>
        <w:t>TAFINLAR</w:t>
      </w:r>
      <w:r w:rsidRPr="00D732DE">
        <w:t xml:space="preserve"> as a single agent. The major haemorrhagic events of intracranial or gastric haemorrhage occurred in 5 % (3/55) of patients treated with MEKINIST in combination with </w:t>
      </w:r>
      <w:r>
        <w:t>TAFINLAR</w:t>
      </w:r>
      <w:r w:rsidRPr="00D732DE">
        <w:t xml:space="preserve"> compared with none of the 53 patients treated with dabrafenib as a single agent. Intracranial haemorrhage was fatal in two (4 %) patients receiving the combination of MEKINIST and </w:t>
      </w:r>
      <w:r>
        <w:t>TAFINLAR.</w:t>
      </w:r>
    </w:p>
    <w:p w14:paraId="6242AA66" w14:textId="77777777" w:rsidR="003B7F99" w:rsidRPr="00C54309" w:rsidRDefault="003B7F99" w:rsidP="00C54309">
      <w:pPr>
        <w:pStyle w:val="Heading2"/>
        <w:ind w:left="357"/>
        <w:rPr>
          <w:b w:val="0"/>
        </w:rPr>
      </w:pPr>
      <w:r w:rsidRPr="00C54309">
        <w:rPr>
          <w:b w:val="0"/>
        </w:rPr>
        <w:t>Cardiac Effects</w:t>
      </w:r>
    </w:p>
    <w:p w14:paraId="328FF2AF" w14:textId="77777777" w:rsidR="003B7F99" w:rsidRPr="00C54309" w:rsidRDefault="003B7F99" w:rsidP="00C54309">
      <w:pPr>
        <w:pStyle w:val="Heading2"/>
        <w:ind w:left="357"/>
        <w:rPr>
          <w:b w:val="0"/>
          <w:i/>
          <w:u w:val="none"/>
        </w:rPr>
      </w:pPr>
      <w:r w:rsidRPr="00C54309">
        <w:rPr>
          <w:b w:val="0"/>
          <w:i/>
          <w:u w:val="none"/>
        </w:rPr>
        <w:t xml:space="preserve">LVEF reduction/Left ventricular dysfunction </w:t>
      </w:r>
    </w:p>
    <w:p w14:paraId="575DDF11" w14:textId="47362583" w:rsidR="003B7F99" w:rsidRPr="00CE28A0" w:rsidRDefault="003B7F99" w:rsidP="00C54309">
      <w:pPr>
        <w:pStyle w:val="Heading2"/>
        <w:ind w:left="357"/>
        <w:rPr>
          <w:b w:val="0"/>
          <w:u w:val="none"/>
          <w:lang w:val="en-AU"/>
        </w:rPr>
      </w:pPr>
      <w:r w:rsidRPr="00CE30D2">
        <w:rPr>
          <w:b w:val="0"/>
          <w:u w:val="none"/>
          <w:lang w:val="en-AU"/>
        </w:rPr>
        <w:t>Cardiomyopathy can occur with TAFINLAR</w:t>
      </w:r>
      <w:r>
        <w:rPr>
          <w:b w:val="0"/>
          <w:u w:val="none"/>
          <w:lang w:val="en-AU"/>
        </w:rPr>
        <w:t xml:space="preserve"> (see </w:t>
      </w:r>
      <w:r w:rsidR="0053613C">
        <w:rPr>
          <w:b w:val="0"/>
          <w:u w:val="none"/>
          <w:lang w:val="en-AU"/>
        </w:rPr>
        <w:t>section 4.8</w:t>
      </w:r>
      <w:r w:rsidR="0032783F" w:rsidRPr="0032783F">
        <w:t xml:space="preserve"> </w:t>
      </w:r>
      <w:r w:rsidR="0032783F" w:rsidRPr="0032783F">
        <w:rPr>
          <w:b w:val="0"/>
          <w:u w:val="none"/>
          <w:lang w:val="en-AU"/>
        </w:rPr>
        <w:t>Adverse Effects (Undesirable Effects)</w:t>
      </w:r>
      <w:r>
        <w:rPr>
          <w:b w:val="0"/>
          <w:u w:val="none"/>
          <w:lang w:val="en-AU"/>
        </w:rPr>
        <w:t>)</w:t>
      </w:r>
      <w:r w:rsidRPr="00CE30D2">
        <w:rPr>
          <w:b w:val="0"/>
          <w:u w:val="none"/>
          <w:lang w:val="en-AU"/>
        </w:rPr>
        <w:t>.</w:t>
      </w:r>
      <w:r>
        <w:rPr>
          <w:b w:val="0"/>
          <w:u w:val="none"/>
          <w:lang w:val="en-AU"/>
        </w:rPr>
        <w:t xml:space="preserve"> </w:t>
      </w:r>
      <w:r w:rsidRPr="00CE30D2">
        <w:rPr>
          <w:b w:val="0"/>
          <w:u w:val="none"/>
          <w:lang w:val="en-AU"/>
        </w:rPr>
        <w:t xml:space="preserve">In MEK115306 (COMBI-d), all patients were required to have an echocardiogram at baseline to document normal left ventricular ejection fraction (LVEF) and serial echocardiograms at Week 4, Week 12, and every 12 weeks thereafter. </w:t>
      </w:r>
      <w:proofErr w:type="gramStart"/>
      <w:r w:rsidRPr="00CE30D2">
        <w:rPr>
          <w:b w:val="0"/>
          <w:u w:val="none"/>
          <w:lang w:val="en-AU"/>
        </w:rPr>
        <w:t>Cardiomyopathy,</w:t>
      </w:r>
      <w:proofErr w:type="gramEnd"/>
      <w:r w:rsidRPr="00CE30D2">
        <w:rPr>
          <w:b w:val="0"/>
          <w:u w:val="none"/>
          <w:lang w:val="en-AU"/>
        </w:rPr>
        <w:t xml:space="preserve"> defined as a decrease in LVEF ≥</w:t>
      </w:r>
      <w:r>
        <w:rPr>
          <w:b w:val="0"/>
          <w:u w:val="none"/>
          <w:lang w:val="en-AU"/>
        </w:rPr>
        <w:t xml:space="preserve"> </w:t>
      </w:r>
      <w:r w:rsidRPr="00CE30D2">
        <w:rPr>
          <w:b w:val="0"/>
          <w:u w:val="none"/>
          <w:lang w:val="en-AU"/>
        </w:rPr>
        <w:t xml:space="preserve">10% from baseline and below the institutional lower limit of normal, occurred in 6% (12/206) of patients receiving TAFINLAR with </w:t>
      </w:r>
      <w:r>
        <w:rPr>
          <w:b w:val="0"/>
          <w:u w:val="none"/>
          <w:lang w:val="en-AU"/>
        </w:rPr>
        <w:t>MEKINIST</w:t>
      </w:r>
      <w:r w:rsidRPr="00CE30D2">
        <w:rPr>
          <w:b w:val="0"/>
          <w:u w:val="none"/>
          <w:lang w:val="en-AU"/>
        </w:rPr>
        <w:t xml:space="preserve"> and 2.9% (6/207) of patients receiving single-agent TAFINLAR. The median time to onset of cardiomyopathy on the TAFINLAR plus </w:t>
      </w:r>
      <w:r>
        <w:rPr>
          <w:b w:val="0"/>
          <w:u w:val="none"/>
          <w:lang w:val="en-AU"/>
        </w:rPr>
        <w:t>MEKINIST</w:t>
      </w:r>
      <w:r w:rsidRPr="00CE30D2">
        <w:rPr>
          <w:b w:val="0"/>
          <w:u w:val="none"/>
          <w:lang w:val="en-AU"/>
        </w:rPr>
        <w:t xml:space="preserve"> arm was 8.2 months (range: 28 days to 24.9 months), and was 4.4 months (range: 28 days to 19.1 months)</w:t>
      </w:r>
      <w:r w:rsidRPr="00CE28A0">
        <w:rPr>
          <w:b w:val="0"/>
          <w:u w:val="none"/>
          <w:lang w:val="en-AU"/>
        </w:rPr>
        <w:t xml:space="preserve"> on </w:t>
      </w:r>
      <w:r w:rsidRPr="00CE30D2">
        <w:rPr>
          <w:b w:val="0"/>
          <w:u w:val="none"/>
          <w:lang w:val="en-AU"/>
        </w:rPr>
        <w:t>the TAFINLAR arm.</w:t>
      </w:r>
    </w:p>
    <w:p w14:paraId="4743718E" w14:textId="77777777" w:rsidR="003B7F99" w:rsidRPr="00CE30D2" w:rsidRDefault="003B7F99" w:rsidP="00C54309">
      <w:pPr>
        <w:pStyle w:val="Heading2"/>
        <w:ind w:left="357"/>
        <w:rPr>
          <w:b w:val="0"/>
          <w:u w:val="none"/>
          <w:lang w:val="en-AU"/>
        </w:rPr>
      </w:pPr>
      <w:r>
        <w:rPr>
          <w:b w:val="0"/>
          <w:u w:val="none"/>
          <w:lang w:val="en-AU"/>
        </w:rPr>
        <w:t>C</w:t>
      </w:r>
      <w:r w:rsidRPr="00CE30D2">
        <w:rPr>
          <w:b w:val="0"/>
          <w:u w:val="none"/>
          <w:lang w:val="en-AU"/>
        </w:rPr>
        <w:t xml:space="preserve">ardiomyopathy was identified within the first month of initiation of TAFINLAR with </w:t>
      </w:r>
      <w:r>
        <w:rPr>
          <w:b w:val="0"/>
          <w:u w:val="none"/>
          <w:lang w:val="en-AU"/>
        </w:rPr>
        <w:t>MEKINIST</w:t>
      </w:r>
      <w:r w:rsidRPr="00CE30D2">
        <w:rPr>
          <w:b w:val="0"/>
          <w:u w:val="none"/>
          <w:lang w:val="en-AU"/>
        </w:rPr>
        <w:t xml:space="preserve"> in 2 of 12 patients, and in 2 of 6 patients receiving single-agent TAFINLAR</w:t>
      </w:r>
      <w:r>
        <w:rPr>
          <w:b w:val="0"/>
          <w:u w:val="none"/>
          <w:lang w:val="en-AU"/>
        </w:rPr>
        <w:t xml:space="preserve"> </w:t>
      </w:r>
      <w:r w:rsidRPr="00186EF2">
        <w:rPr>
          <w:b w:val="0"/>
          <w:u w:val="none"/>
        </w:rPr>
        <w:t>i</w:t>
      </w:r>
      <w:r w:rsidRPr="00CE30D2">
        <w:rPr>
          <w:b w:val="0"/>
          <w:u w:val="none"/>
          <w:lang w:val="en-AU"/>
        </w:rPr>
        <w:t xml:space="preserve">n MEK115306. Development of cardiomyopathy in patients receiving TAFINLAR and trametinib </w:t>
      </w:r>
      <w:r w:rsidRPr="00CE30D2">
        <w:rPr>
          <w:b w:val="0"/>
          <w:u w:val="none"/>
          <w:lang w:val="en-AU"/>
        </w:rPr>
        <w:lastRenderedPageBreak/>
        <w:t>resulted in dose interruption of TAFINLAR (4.4</w:t>
      </w:r>
      <w:r>
        <w:rPr>
          <w:b w:val="0"/>
          <w:u w:val="none"/>
          <w:lang w:val="en-AU"/>
        </w:rPr>
        <w:t xml:space="preserve"> </w:t>
      </w:r>
      <w:r w:rsidRPr="00CE30D2">
        <w:rPr>
          <w:b w:val="0"/>
          <w:u w:val="none"/>
          <w:lang w:val="en-AU"/>
        </w:rPr>
        <w:t>%) or discontinuation of TAFINLAR (1.0</w:t>
      </w:r>
      <w:r>
        <w:rPr>
          <w:b w:val="0"/>
          <w:u w:val="none"/>
          <w:lang w:val="en-AU"/>
        </w:rPr>
        <w:t xml:space="preserve"> </w:t>
      </w:r>
      <w:r w:rsidRPr="00CE30D2">
        <w:rPr>
          <w:b w:val="0"/>
          <w:u w:val="none"/>
          <w:lang w:val="en-AU"/>
        </w:rPr>
        <w:t>%). In patients receiving single-agent TAFINLAR, development of cardiomyopathy resulted in dose interruption (2.4</w:t>
      </w:r>
      <w:r>
        <w:rPr>
          <w:b w:val="0"/>
          <w:u w:val="none"/>
          <w:lang w:val="en-AU"/>
        </w:rPr>
        <w:t xml:space="preserve"> </w:t>
      </w:r>
      <w:r w:rsidRPr="00CE30D2">
        <w:rPr>
          <w:b w:val="0"/>
          <w:u w:val="none"/>
          <w:lang w:val="en-AU"/>
        </w:rPr>
        <w:t>%), dose reduction (0.5</w:t>
      </w:r>
      <w:r>
        <w:rPr>
          <w:b w:val="0"/>
          <w:u w:val="none"/>
          <w:lang w:val="en-AU"/>
        </w:rPr>
        <w:t xml:space="preserve"> </w:t>
      </w:r>
      <w:r w:rsidRPr="00CE30D2">
        <w:rPr>
          <w:b w:val="0"/>
          <w:u w:val="none"/>
          <w:lang w:val="en-AU"/>
        </w:rPr>
        <w:t>%), or discontinuation (1.0</w:t>
      </w:r>
      <w:r>
        <w:rPr>
          <w:b w:val="0"/>
          <w:u w:val="none"/>
          <w:lang w:val="en-AU"/>
        </w:rPr>
        <w:t xml:space="preserve"> </w:t>
      </w:r>
      <w:r w:rsidRPr="00CE30D2">
        <w:rPr>
          <w:b w:val="0"/>
          <w:u w:val="none"/>
          <w:lang w:val="en-AU"/>
        </w:rPr>
        <w:t>%). Cardiomyopathy resolved in 10 of 12 patients receiving TAFINLAR with trametinib, and in 3 of 6 patients receiving single-agent TAFINLAR.</w:t>
      </w:r>
    </w:p>
    <w:p w14:paraId="01684163" w14:textId="0349DF9F" w:rsidR="003B7F99" w:rsidRDefault="003B7F99" w:rsidP="00C54309">
      <w:pPr>
        <w:pStyle w:val="Heading2"/>
        <w:ind w:left="357"/>
        <w:rPr>
          <w:b w:val="0"/>
          <w:u w:val="none"/>
          <w:lang w:val="en-AU"/>
        </w:rPr>
      </w:pPr>
      <w:r w:rsidRPr="00CE30D2">
        <w:rPr>
          <w:b w:val="0"/>
          <w:u w:val="none"/>
          <w:lang w:val="en-AU"/>
        </w:rPr>
        <w:t>Assess LVEF by echocardiogram or multi</w:t>
      </w:r>
      <w:r>
        <w:rPr>
          <w:b w:val="0"/>
          <w:u w:val="none"/>
          <w:lang w:val="en-AU"/>
        </w:rPr>
        <w:t>-</w:t>
      </w:r>
      <w:r w:rsidRPr="00CE30D2">
        <w:rPr>
          <w:b w:val="0"/>
          <w:u w:val="none"/>
          <w:lang w:val="en-AU"/>
        </w:rPr>
        <w:t xml:space="preserve">gated acquisition (MUGA) scan before initiation of TAFINLAR with </w:t>
      </w:r>
      <w:r>
        <w:rPr>
          <w:b w:val="0"/>
          <w:u w:val="none"/>
          <w:lang w:val="en-AU"/>
        </w:rPr>
        <w:t>MEKINIST</w:t>
      </w:r>
      <w:r w:rsidRPr="00CE30D2">
        <w:rPr>
          <w:b w:val="0"/>
          <w:u w:val="none"/>
          <w:lang w:val="en-AU"/>
        </w:rPr>
        <w:t>, one month after initiation of TAFINLAR, and then at 2- to 3-month intervals while on treatment. Withhold TAFINLAR for symptomatic cardiomyopathy or asymptomatic LV dysfunction of &gt;</w:t>
      </w:r>
      <w:r>
        <w:rPr>
          <w:b w:val="0"/>
          <w:u w:val="none"/>
          <w:lang w:val="en-AU"/>
        </w:rPr>
        <w:t xml:space="preserve"> </w:t>
      </w:r>
      <w:r w:rsidRPr="00CE30D2">
        <w:rPr>
          <w:b w:val="0"/>
          <w:u w:val="none"/>
          <w:lang w:val="en-AU"/>
        </w:rPr>
        <w:t>20</w:t>
      </w:r>
      <w:r>
        <w:rPr>
          <w:b w:val="0"/>
          <w:u w:val="none"/>
          <w:lang w:val="en-AU"/>
        </w:rPr>
        <w:t xml:space="preserve"> </w:t>
      </w:r>
      <w:r w:rsidRPr="00CE30D2">
        <w:rPr>
          <w:b w:val="0"/>
          <w:u w:val="none"/>
          <w:lang w:val="en-AU"/>
        </w:rPr>
        <w:t>% from baseline that is below institutional lower limit of normal (LLN). Resume TAFINLAR at the same dose level upon recovery of cardiac function to at least the institutional LLN for LVEF and absolute decrease ≤</w:t>
      </w:r>
      <w:r>
        <w:rPr>
          <w:b w:val="0"/>
          <w:u w:val="none"/>
          <w:lang w:val="en-AU"/>
        </w:rPr>
        <w:t xml:space="preserve"> </w:t>
      </w:r>
      <w:r w:rsidRPr="00CE30D2">
        <w:rPr>
          <w:b w:val="0"/>
          <w:u w:val="none"/>
          <w:lang w:val="en-AU"/>
        </w:rPr>
        <w:t>10</w:t>
      </w:r>
      <w:r>
        <w:rPr>
          <w:b w:val="0"/>
          <w:u w:val="none"/>
          <w:lang w:val="en-AU"/>
        </w:rPr>
        <w:t xml:space="preserve"> </w:t>
      </w:r>
      <w:r w:rsidRPr="00CE30D2">
        <w:rPr>
          <w:b w:val="0"/>
          <w:u w:val="none"/>
          <w:lang w:val="en-AU"/>
        </w:rPr>
        <w:t xml:space="preserve">% compared to baseline </w:t>
      </w:r>
      <w:r>
        <w:rPr>
          <w:b w:val="0"/>
          <w:u w:val="none"/>
          <w:lang w:val="en-AU"/>
        </w:rPr>
        <w:t>(</w:t>
      </w:r>
      <w:r w:rsidRPr="00CE30D2">
        <w:rPr>
          <w:b w:val="0"/>
          <w:u w:val="none"/>
          <w:lang w:val="en-AU"/>
        </w:rPr>
        <w:t xml:space="preserve">see </w:t>
      </w:r>
      <w:r w:rsidR="0053613C">
        <w:rPr>
          <w:b w:val="0"/>
          <w:u w:val="none"/>
          <w:lang w:val="en-AU"/>
        </w:rPr>
        <w:t>section 4.2</w:t>
      </w:r>
      <w:r w:rsidR="00CC7798" w:rsidRPr="00CC7798">
        <w:t xml:space="preserve"> </w:t>
      </w:r>
      <w:r w:rsidR="00CC7798" w:rsidRPr="00CC7798">
        <w:rPr>
          <w:b w:val="0"/>
          <w:u w:val="none"/>
          <w:lang w:val="en-AU"/>
        </w:rPr>
        <w:t xml:space="preserve">Dose and method of administration </w:t>
      </w:r>
      <w:r>
        <w:rPr>
          <w:b w:val="0"/>
          <w:u w:val="none"/>
          <w:lang w:val="en-AU"/>
        </w:rPr>
        <w:t xml:space="preserve">). </w:t>
      </w:r>
    </w:p>
    <w:p w14:paraId="17A11C8E" w14:textId="77777777" w:rsidR="003B7F99" w:rsidRPr="00C54309" w:rsidRDefault="003B7F99" w:rsidP="00C54309">
      <w:pPr>
        <w:pStyle w:val="Heading2"/>
        <w:ind w:left="357"/>
        <w:rPr>
          <w:b w:val="0"/>
          <w:i/>
          <w:u w:val="none"/>
        </w:rPr>
      </w:pPr>
      <w:r w:rsidRPr="00C54309">
        <w:rPr>
          <w:b w:val="0"/>
          <w:i/>
          <w:u w:val="none"/>
        </w:rPr>
        <w:t>QT prolongation</w:t>
      </w:r>
    </w:p>
    <w:p w14:paraId="1AD11FCC" w14:textId="5383C7E1" w:rsidR="003B7F99" w:rsidRDefault="003B7F99" w:rsidP="00C54309">
      <w:pPr>
        <w:pStyle w:val="Heading2"/>
        <w:keepNext w:val="0"/>
        <w:widowControl w:val="0"/>
        <w:ind w:left="357"/>
        <w:rPr>
          <w:b w:val="0"/>
          <w:u w:val="none"/>
          <w:lang w:val="en-AU"/>
        </w:rPr>
      </w:pPr>
      <w:r w:rsidRPr="00876C11">
        <w:rPr>
          <w:b w:val="0"/>
          <w:u w:val="none"/>
          <w:lang w:val="en-AU"/>
        </w:rPr>
        <w:t>Worst-case QTc prolongation of &gt;</w:t>
      </w:r>
      <w:r>
        <w:rPr>
          <w:b w:val="0"/>
          <w:u w:val="none"/>
          <w:lang w:val="en-AU"/>
        </w:rPr>
        <w:t xml:space="preserve"> </w:t>
      </w:r>
      <w:r w:rsidRPr="00876C11">
        <w:rPr>
          <w:b w:val="0"/>
          <w:u w:val="none"/>
          <w:lang w:val="en-AU"/>
        </w:rPr>
        <w:t>60 millisecond (ms) was observed in 3</w:t>
      </w:r>
      <w:r>
        <w:rPr>
          <w:b w:val="0"/>
          <w:u w:val="none"/>
          <w:lang w:val="en-AU"/>
        </w:rPr>
        <w:t xml:space="preserve"> </w:t>
      </w:r>
      <w:r w:rsidRPr="00876C11">
        <w:rPr>
          <w:b w:val="0"/>
          <w:u w:val="none"/>
          <w:lang w:val="en-AU"/>
        </w:rPr>
        <w:t xml:space="preserve">% of </w:t>
      </w:r>
      <w:r>
        <w:rPr>
          <w:b w:val="0"/>
          <w:u w:val="none"/>
          <w:lang w:val="en-AU"/>
        </w:rPr>
        <w:t>TAFINLAR</w:t>
      </w:r>
      <w:r w:rsidRPr="00876C11">
        <w:rPr>
          <w:b w:val="0"/>
          <w:u w:val="none"/>
          <w:lang w:val="en-AU"/>
        </w:rPr>
        <w:t xml:space="preserve">-treated </w:t>
      </w:r>
      <w:r w:rsidR="0035507E">
        <w:rPr>
          <w:b w:val="0"/>
          <w:u w:val="none"/>
          <w:lang w:val="en-AU"/>
        </w:rPr>
        <w:t>patients</w:t>
      </w:r>
      <w:r w:rsidRPr="00876C11">
        <w:rPr>
          <w:b w:val="0"/>
          <w:u w:val="none"/>
          <w:lang w:val="en-AU"/>
        </w:rPr>
        <w:t xml:space="preserve"> (one</w:t>
      </w:r>
      <w:r>
        <w:rPr>
          <w:b w:val="0"/>
          <w:u w:val="none"/>
          <w:lang w:val="en-AU"/>
        </w:rPr>
        <w:t xml:space="preserve"> </w:t>
      </w:r>
      <w:r w:rsidRPr="00876C11">
        <w:rPr>
          <w:b w:val="0"/>
          <w:u w:val="none"/>
          <w:lang w:val="en-AU"/>
        </w:rPr>
        <w:t>&gt;</w:t>
      </w:r>
      <w:r>
        <w:rPr>
          <w:b w:val="0"/>
          <w:u w:val="none"/>
          <w:lang w:val="en-AU"/>
        </w:rPr>
        <w:t xml:space="preserve"> </w:t>
      </w:r>
      <w:r w:rsidRPr="00876C11">
        <w:rPr>
          <w:b w:val="0"/>
          <w:u w:val="none"/>
          <w:lang w:val="en-AU"/>
        </w:rPr>
        <w:t>500 ms in the integrated safety population). In the Phase III study MEK115306</w:t>
      </w:r>
      <w:r>
        <w:rPr>
          <w:b w:val="0"/>
          <w:u w:val="none"/>
          <w:lang w:val="en-AU"/>
        </w:rPr>
        <w:t>,</w:t>
      </w:r>
      <w:r w:rsidRPr="00876C11">
        <w:rPr>
          <w:b w:val="0"/>
          <w:u w:val="none"/>
          <w:lang w:val="en-AU"/>
        </w:rPr>
        <w:t xml:space="preserve"> no patients treated with trametinib</w:t>
      </w:r>
      <w:r>
        <w:rPr>
          <w:b w:val="0"/>
          <w:u w:val="none"/>
          <w:lang w:val="en-AU"/>
        </w:rPr>
        <w:t xml:space="preserve"> </w:t>
      </w:r>
      <w:r w:rsidRPr="00876C11">
        <w:rPr>
          <w:b w:val="0"/>
          <w:u w:val="none"/>
          <w:lang w:val="en-AU"/>
        </w:rPr>
        <w:t>in combination with dabrafenib had worst-case QTcB prolongation to &gt;</w:t>
      </w:r>
      <w:r>
        <w:rPr>
          <w:b w:val="0"/>
          <w:u w:val="none"/>
          <w:lang w:val="en-AU"/>
        </w:rPr>
        <w:t xml:space="preserve"> </w:t>
      </w:r>
      <w:r w:rsidRPr="00876C11">
        <w:rPr>
          <w:b w:val="0"/>
          <w:u w:val="none"/>
          <w:lang w:val="en-AU"/>
        </w:rPr>
        <w:t>500 ms; QTcB was increased more than 60</w:t>
      </w:r>
      <w:r>
        <w:rPr>
          <w:b w:val="0"/>
          <w:u w:val="none"/>
          <w:lang w:val="en-AU"/>
        </w:rPr>
        <w:t xml:space="preserve"> </w:t>
      </w:r>
      <w:r w:rsidRPr="00876C11">
        <w:rPr>
          <w:b w:val="0"/>
          <w:u w:val="none"/>
          <w:lang w:val="en-AU"/>
        </w:rPr>
        <w:t>ms from baseline in 1% (3/209) of patients. In the Phase III study MEK116513 four patients (1</w:t>
      </w:r>
      <w:r>
        <w:rPr>
          <w:b w:val="0"/>
          <w:u w:val="none"/>
          <w:lang w:val="en-AU"/>
        </w:rPr>
        <w:t xml:space="preserve"> </w:t>
      </w:r>
      <w:r w:rsidRPr="00876C11">
        <w:rPr>
          <w:b w:val="0"/>
          <w:u w:val="none"/>
          <w:lang w:val="en-AU"/>
        </w:rPr>
        <w:t>%) treated with</w:t>
      </w:r>
      <w:r>
        <w:rPr>
          <w:b w:val="0"/>
          <w:u w:val="none"/>
          <w:lang w:val="en-AU"/>
        </w:rPr>
        <w:t xml:space="preserve"> MEKINIST</w:t>
      </w:r>
      <w:r w:rsidRPr="00876C11">
        <w:rPr>
          <w:b w:val="0"/>
          <w:u w:val="none"/>
          <w:lang w:val="en-AU"/>
        </w:rPr>
        <w:t xml:space="preserve"> in combination with </w:t>
      </w:r>
      <w:r>
        <w:rPr>
          <w:b w:val="0"/>
          <w:u w:val="none"/>
          <w:lang w:val="en-AU"/>
        </w:rPr>
        <w:t>TAFINLAR</w:t>
      </w:r>
      <w:r w:rsidRPr="00876C11">
        <w:rPr>
          <w:b w:val="0"/>
          <w:u w:val="none"/>
          <w:lang w:val="en-AU"/>
        </w:rPr>
        <w:t xml:space="preserve"> had a QTcB Grade 3 increase (&gt;</w:t>
      </w:r>
      <w:r>
        <w:rPr>
          <w:b w:val="0"/>
          <w:u w:val="none"/>
          <w:lang w:val="en-AU"/>
        </w:rPr>
        <w:t xml:space="preserve"> </w:t>
      </w:r>
      <w:r w:rsidRPr="00876C11">
        <w:rPr>
          <w:b w:val="0"/>
          <w:u w:val="none"/>
          <w:lang w:val="en-AU"/>
        </w:rPr>
        <w:t>500 ms). Two of these patients had a</w:t>
      </w:r>
      <w:r>
        <w:rPr>
          <w:b w:val="0"/>
          <w:u w:val="none"/>
          <w:lang w:val="en-AU"/>
        </w:rPr>
        <w:t xml:space="preserve"> </w:t>
      </w:r>
      <w:r w:rsidRPr="00876C11">
        <w:rPr>
          <w:b w:val="0"/>
          <w:u w:val="none"/>
          <w:lang w:val="en-AU"/>
        </w:rPr>
        <w:t>QTcB Grade 3 increase (&gt;500 ms) that was also an increase &gt;</w:t>
      </w:r>
      <w:r>
        <w:rPr>
          <w:b w:val="0"/>
          <w:u w:val="none"/>
          <w:lang w:val="en-AU"/>
        </w:rPr>
        <w:t xml:space="preserve"> </w:t>
      </w:r>
      <w:r w:rsidRPr="00876C11">
        <w:rPr>
          <w:b w:val="0"/>
          <w:u w:val="none"/>
          <w:lang w:val="en-AU"/>
        </w:rPr>
        <w:t>60 ms from baseline.</w:t>
      </w:r>
      <w:r>
        <w:rPr>
          <w:b w:val="0"/>
          <w:u w:val="none"/>
          <w:lang w:val="en-AU"/>
        </w:rPr>
        <w:t xml:space="preserve"> </w:t>
      </w:r>
      <w:r w:rsidRPr="00876C11">
        <w:rPr>
          <w:b w:val="0"/>
          <w:u w:val="none"/>
          <w:lang w:val="en-AU"/>
        </w:rPr>
        <w:t xml:space="preserve">The potential effect of </w:t>
      </w:r>
      <w:r>
        <w:rPr>
          <w:b w:val="0"/>
          <w:u w:val="none"/>
          <w:lang w:val="en-AU"/>
        </w:rPr>
        <w:t>TAFINLAR</w:t>
      </w:r>
      <w:r w:rsidRPr="00876C11">
        <w:rPr>
          <w:b w:val="0"/>
          <w:u w:val="none"/>
          <w:lang w:val="en-AU"/>
        </w:rPr>
        <w:t xml:space="preserve"> on QT prolongation was assessed in a dedicated multiple </w:t>
      </w:r>
      <w:proofErr w:type="gramStart"/>
      <w:r w:rsidRPr="00876C11">
        <w:rPr>
          <w:b w:val="0"/>
          <w:u w:val="none"/>
          <w:lang w:val="en-AU"/>
        </w:rPr>
        <w:t>dose</w:t>
      </w:r>
      <w:proofErr w:type="gramEnd"/>
      <w:r w:rsidRPr="00876C11">
        <w:rPr>
          <w:b w:val="0"/>
          <w:u w:val="none"/>
          <w:lang w:val="en-AU"/>
        </w:rPr>
        <w:t xml:space="preserve"> QT study. A</w:t>
      </w:r>
      <w:r>
        <w:rPr>
          <w:b w:val="0"/>
          <w:u w:val="none"/>
          <w:lang w:val="en-AU"/>
        </w:rPr>
        <w:t xml:space="preserve"> </w:t>
      </w:r>
      <w:r w:rsidRPr="00876C11">
        <w:rPr>
          <w:b w:val="0"/>
          <w:u w:val="none"/>
          <w:lang w:val="en-AU"/>
        </w:rPr>
        <w:t>supra</w:t>
      </w:r>
      <w:r>
        <w:rPr>
          <w:b w:val="0"/>
          <w:u w:val="none"/>
          <w:lang w:val="en-AU"/>
        </w:rPr>
        <w:t xml:space="preserve"> </w:t>
      </w:r>
      <w:r w:rsidRPr="00876C11">
        <w:rPr>
          <w:b w:val="0"/>
          <w:u w:val="none"/>
          <w:lang w:val="en-AU"/>
        </w:rPr>
        <w:t xml:space="preserve">therapeutic dose of 300 mg </w:t>
      </w:r>
      <w:r>
        <w:rPr>
          <w:b w:val="0"/>
          <w:u w:val="none"/>
          <w:lang w:val="en-AU"/>
        </w:rPr>
        <w:t>TAFINLAR</w:t>
      </w:r>
      <w:r w:rsidRPr="00876C11">
        <w:rPr>
          <w:b w:val="0"/>
          <w:u w:val="none"/>
          <w:lang w:val="en-AU"/>
        </w:rPr>
        <w:t xml:space="preserve"> twice daily was administered in 32 </w:t>
      </w:r>
      <w:r w:rsidR="001C1405">
        <w:rPr>
          <w:b w:val="0"/>
          <w:u w:val="none"/>
          <w:lang w:val="en-AU"/>
        </w:rPr>
        <w:t>patient</w:t>
      </w:r>
      <w:r w:rsidRPr="00876C11">
        <w:rPr>
          <w:b w:val="0"/>
          <w:u w:val="none"/>
          <w:lang w:val="en-AU"/>
        </w:rPr>
        <w:t>s with BRAF V600 mutation</w:t>
      </w:r>
      <w:r>
        <w:rPr>
          <w:b w:val="0"/>
          <w:u w:val="none"/>
          <w:lang w:val="en-AU"/>
        </w:rPr>
        <w:t xml:space="preserve"> </w:t>
      </w:r>
      <w:r w:rsidRPr="00876C11">
        <w:rPr>
          <w:b w:val="0"/>
          <w:u w:val="none"/>
          <w:lang w:val="en-AU"/>
        </w:rPr>
        <w:t>positive</w:t>
      </w:r>
      <w:r>
        <w:rPr>
          <w:b w:val="0"/>
          <w:u w:val="none"/>
          <w:lang w:val="en-AU"/>
        </w:rPr>
        <w:t xml:space="preserve"> </w:t>
      </w:r>
      <w:r w:rsidRPr="00876C11">
        <w:rPr>
          <w:b w:val="0"/>
          <w:u w:val="none"/>
          <w:lang w:val="en-AU"/>
        </w:rPr>
        <w:t xml:space="preserve">tumours. No clinically relevant effect of </w:t>
      </w:r>
      <w:r>
        <w:rPr>
          <w:b w:val="0"/>
          <w:u w:val="none"/>
          <w:lang w:val="en-AU"/>
        </w:rPr>
        <w:t>TAFINLAR</w:t>
      </w:r>
      <w:r w:rsidRPr="00876C11">
        <w:rPr>
          <w:b w:val="0"/>
          <w:u w:val="none"/>
          <w:lang w:val="en-AU"/>
        </w:rPr>
        <w:t xml:space="preserve"> or its metabolites on the QTc interval was observed.</w:t>
      </w:r>
    </w:p>
    <w:p w14:paraId="63BD9A87" w14:textId="77777777" w:rsidR="003B7F99" w:rsidRPr="00C54309" w:rsidRDefault="003B7F99" w:rsidP="00C54309">
      <w:pPr>
        <w:pStyle w:val="Heading2"/>
        <w:ind w:left="357"/>
        <w:rPr>
          <w:b w:val="0"/>
          <w:i/>
          <w:u w:val="none"/>
        </w:rPr>
      </w:pPr>
      <w:r w:rsidRPr="00C54309">
        <w:rPr>
          <w:b w:val="0"/>
          <w:i/>
          <w:u w:val="none"/>
        </w:rPr>
        <w:t>Bradycardia</w:t>
      </w:r>
    </w:p>
    <w:p w14:paraId="7BDE2530" w14:textId="0197E7D2" w:rsidR="003B7F99" w:rsidRPr="00916D6F" w:rsidRDefault="003B7F99" w:rsidP="00C54309">
      <w:pPr>
        <w:pStyle w:val="Heading2"/>
        <w:keepNext w:val="0"/>
        <w:widowControl w:val="0"/>
        <w:ind w:left="357"/>
        <w:rPr>
          <w:b w:val="0"/>
          <w:u w:val="none"/>
          <w:lang w:val="en-AU"/>
        </w:rPr>
      </w:pPr>
      <w:r w:rsidRPr="00916D6F">
        <w:rPr>
          <w:b w:val="0"/>
          <w:u w:val="none"/>
          <w:lang w:val="en-AU"/>
        </w:rPr>
        <w:t xml:space="preserve">A dedicated cardiac study in solid tumour patients (n=30) confirmed early exploratory analyses in showing statistically significant changes in both PR interval (mean 21.68 ms increase, normal = 120 to 200) and heart rate (mean 8.12 bpm decrease) with </w:t>
      </w:r>
      <w:r>
        <w:rPr>
          <w:b w:val="0"/>
          <w:u w:val="none"/>
          <w:lang w:val="en-AU"/>
        </w:rPr>
        <w:t>MEKINIST</w:t>
      </w:r>
      <w:r w:rsidRPr="00916D6F">
        <w:rPr>
          <w:b w:val="0"/>
          <w:u w:val="none"/>
          <w:lang w:val="en-AU"/>
        </w:rPr>
        <w:t xml:space="preserve"> versus placebo. The clinical significance of this small increase in PR interval is unclear, however in a large ongoing trial (n=704), heart rate decrease to &lt;</w:t>
      </w:r>
      <w:r>
        <w:rPr>
          <w:b w:val="0"/>
          <w:u w:val="none"/>
          <w:lang w:val="en-AU"/>
        </w:rPr>
        <w:t xml:space="preserve"> </w:t>
      </w:r>
      <w:r w:rsidRPr="00916D6F">
        <w:rPr>
          <w:b w:val="0"/>
          <w:u w:val="none"/>
          <w:lang w:val="en-AU"/>
        </w:rPr>
        <w:t>60</w:t>
      </w:r>
      <w:r>
        <w:rPr>
          <w:b w:val="0"/>
          <w:u w:val="none"/>
          <w:lang w:val="en-AU"/>
        </w:rPr>
        <w:t xml:space="preserve"> </w:t>
      </w:r>
      <w:r w:rsidRPr="00916D6F">
        <w:rPr>
          <w:b w:val="0"/>
          <w:u w:val="none"/>
          <w:lang w:val="en-AU"/>
        </w:rPr>
        <w:t>bpm has been recorded in 23</w:t>
      </w:r>
      <w:r>
        <w:rPr>
          <w:b w:val="0"/>
          <w:u w:val="none"/>
          <w:lang w:val="en-AU"/>
        </w:rPr>
        <w:t xml:space="preserve"> </w:t>
      </w:r>
      <w:r w:rsidRPr="00916D6F">
        <w:rPr>
          <w:b w:val="0"/>
          <w:u w:val="none"/>
          <w:lang w:val="en-AU"/>
        </w:rPr>
        <w:t xml:space="preserve">% of 348 patients on </w:t>
      </w:r>
      <w:r>
        <w:rPr>
          <w:b w:val="0"/>
          <w:u w:val="none"/>
          <w:lang w:val="en-AU"/>
        </w:rPr>
        <w:t>MEKINIST</w:t>
      </w:r>
      <w:r w:rsidRPr="00916D6F">
        <w:rPr>
          <w:b w:val="0"/>
          <w:u w:val="none"/>
          <w:lang w:val="en-AU"/>
        </w:rPr>
        <w:t xml:space="preserve"> and </w:t>
      </w:r>
      <w:r>
        <w:rPr>
          <w:b w:val="0"/>
          <w:u w:val="none"/>
          <w:lang w:val="en-AU"/>
        </w:rPr>
        <w:t>TAFINLAR</w:t>
      </w:r>
      <w:r w:rsidRPr="00916D6F">
        <w:rPr>
          <w:b w:val="0"/>
          <w:u w:val="none"/>
          <w:lang w:val="en-AU"/>
        </w:rPr>
        <w:t xml:space="preserve"> combined therapy compared to 12</w:t>
      </w:r>
      <w:r>
        <w:rPr>
          <w:b w:val="0"/>
          <w:u w:val="none"/>
          <w:lang w:val="en-AU"/>
        </w:rPr>
        <w:t xml:space="preserve"> </w:t>
      </w:r>
      <w:r w:rsidRPr="00916D6F">
        <w:rPr>
          <w:b w:val="0"/>
          <w:u w:val="none"/>
          <w:lang w:val="en-AU"/>
        </w:rPr>
        <w:t>% of patients in the vemurafenib monotherapy control arm.</w:t>
      </w:r>
    </w:p>
    <w:p w14:paraId="1445996D" w14:textId="77777777" w:rsidR="003B7F99" w:rsidRPr="00C54309" w:rsidRDefault="003B7F99" w:rsidP="00C54309">
      <w:pPr>
        <w:pStyle w:val="Heading2"/>
        <w:ind w:left="357"/>
        <w:rPr>
          <w:b w:val="0"/>
        </w:rPr>
      </w:pPr>
      <w:r w:rsidRPr="00C54309">
        <w:rPr>
          <w:b w:val="0"/>
        </w:rPr>
        <w:t>Hepatic events</w:t>
      </w:r>
    </w:p>
    <w:p w14:paraId="4D1BAF28" w14:textId="3BA5180A" w:rsidR="003B7F99" w:rsidRPr="00F077B8" w:rsidRDefault="003B7F99" w:rsidP="00C54309">
      <w:pPr>
        <w:ind w:left="357"/>
      </w:pPr>
      <w:r>
        <w:t xml:space="preserve">Hepatic adverse events have been reported in clinical trials with dabrafenib in combination with trametinib (see </w:t>
      </w:r>
      <w:r w:rsidR="00830174">
        <w:t>s</w:t>
      </w:r>
      <w:r w:rsidR="00803F0D">
        <w:t>ection 4.</w:t>
      </w:r>
      <w:r w:rsidR="00830174">
        <w:t>8 Adverse effects (undesirable effects)</w:t>
      </w:r>
      <w:r>
        <w:t>). It is recommended that patients receiving treatment with dabrafenib in combination with trametinib have liver function monitored every four weeks for 6 months after treatment initiation with trametinib. Liver monitoring may be continued thereafter as clinically indicated. Refer to the trametinib Product Information for additional information.</w:t>
      </w:r>
    </w:p>
    <w:p w14:paraId="3A1B7317" w14:textId="77777777" w:rsidR="003B7F99" w:rsidRPr="007E1F4E" w:rsidRDefault="003B7F99" w:rsidP="00C54309">
      <w:pPr>
        <w:pStyle w:val="Heading2"/>
        <w:ind w:left="357"/>
        <w:rPr>
          <w:b w:val="0"/>
        </w:rPr>
      </w:pPr>
      <w:r>
        <w:rPr>
          <w:b w:val="0"/>
        </w:rPr>
        <w:t>Br</w:t>
      </w:r>
      <w:r w:rsidRPr="007E1F4E">
        <w:rPr>
          <w:b w:val="0"/>
        </w:rPr>
        <w:t>ain metastases</w:t>
      </w:r>
    </w:p>
    <w:p w14:paraId="4A1AFFDD" w14:textId="77777777" w:rsidR="003B7F99" w:rsidRPr="007E1F4E" w:rsidRDefault="003B7F99" w:rsidP="00C54309">
      <w:pPr>
        <w:ind w:left="357"/>
      </w:pPr>
      <w:r w:rsidRPr="007E1F4E">
        <w:t xml:space="preserve">The safety and efficacy of the combination of </w:t>
      </w:r>
      <w:r>
        <w:t>TAFINLAR</w:t>
      </w:r>
      <w:r w:rsidRPr="007E1F4E">
        <w:t xml:space="preserve"> and </w:t>
      </w:r>
      <w:r>
        <w:t xml:space="preserve">MEKINIST </w:t>
      </w:r>
      <w:r w:rsidRPr="007E1F4E">
        <w:t>has not been evaluated in patients with a</w:t>
      </w:r>
      <w:r>
        <w:t xml:space="preserve"> </w:t>
      </w:r>
      <w:r w:rsidRPr="007E1F4E">
        <w:t>BRAF V600 mutation-positive melanoma which has metastasised to the brain.</w:t>
      </w:r>
    </w:p>
    <w:p w14:paraId="08D69835" w14:textId="77777777" w:rsidR="003B7F99" w:rsidRPr="00C54309" w:rsidRDefault="003B7F99" w:rsidP="00C54309">
      <w:pPr>
        <w:pStyle w:val="Heading2"/>
        <w:ind w:left="357"/>
        <w:rPr>
          <w:b w:val="0"/>
        </w:rPr>
      </w:pPr>
      <w:r w:rsidRPr="00C54309">
        <w:rPr>
          <w:b w:val="0"/>
        </w:rPr>
        <w:lastRenderedPageBreak/>
        <w:t>Hypertension</w:t>
      </w:r>
    </w:p>
    <w:p w14:paraId="2B99D158" w14:textId="2F2B345F" w:rsidR="003B7F99" w:rsidRDefault="003B7F99" w:rsidP="00C54309">
      <w:pPr>
        <w:ind w:left="357"/>
      </w:pPr>
      <w:r w:rsidRPr="009B63C2">
        <w:t>Elevations in blood pressure have been reported in association with dabrafenib in combination with trametinib, in</w:t>
      </w:r>
      <w:r>
        <w:t xml:space="preserve"> </w:t>
      </w:r>
      <w:r w:rsidRPr="009B63C2">
        <w:t xml:space="preserve">patients with or without pre-existing hypertension (see </w:t>
      </w:r>
      <w:r w:rsidR="00957718">
        <w:t>section 4.8</w:t>
      </w:r>
      <w:r w:rsidR="0032783F" w:rsidRPr="0032783F">
        <w:t xml:space="preserve"> Adverse Effects (Undesirable Effects</w:t>
      </w:r>
      <w:r w:rsidR="00E01B03" w:rsidRPr="0032783F">
        <w:t>)</w:t>
      </w:r>
      <w:r w:rsidRPr="009B63C2">
        <w:t xml:space="preserve">). </w:t>
      </w:r>
      <w:r>
        <w:t>Also r</w:t>
      </w:r>
      <w:r w:rsidRPr="009B63C2">
        <w:t xml:space="preserve">efer to the </w:t>
      </w:r>
      <w:r>
        <w:t>MEKINIST</w:t>
      </w:r>
      <w:r w:rsidRPr="009B63C2">
        <w:t xml:space="preserve"> Product Information for additional information.</w:t>
      </w:r>
    </w:p>
    <w:p w14:paraId="4700D743" w14:textId="77777777" w:rsidR="003B7F99" w:rsidRPr="00C54309" w:rsidRDefault="003B7F99" w:rsidP="00C54309">
      <w:pPr>
        <w:pStyle w:val="Heading2"/>
        <w:ind w:left="357"/>
        <w:rPr>
          <w:b w:val="0"/>
        </w:rPr>
      </w:pPr>
      <w:r w:rsidRPr="00C54309">
        <w:rPr>
          <w:b w:val="0"/>
        </w:rPr>
        <w:t>Interstitial lung disease (ILD)/Pneumonitis</w:t>
      </w:r>
    </w:p>
    <w:p w14:paraId="064F0B52" w14:textId="77777777" w:rsidR="003B7F99" w:rsidRDefault="003B7F99" w:rsidP="00C54309">
      <w:pPr>
        <w:ind w:left="357"/>
      </w:pPr>
      <w:r>
        <w:t xml:space="preserve">Cases of pneumonitis or ILD have been reported in clinical trials with TAFINLAR in combination with MEKINIST. </w:t>
      </w:r>
      <w:r w:rsidRPr="009B63C2">
        <w:t xml:space="preserve">Refer to the trametinib Product Information for additional information. </w:t>
      </w:r>
      <w:r>
        <w:t>If TAFINLAR is being used in combination with MEKINIST, then therapy with TAFINLAR may be continued at the same dose.</w:t>
      </w:r>
    </w:p>
    <w:p w14:paraId="2172046F" w14:textId="77777777" w:rsidR="003B7F99" w:rsidRPr="00C54309" w:rsidRDefault="003B7F99" w:rsidP="00C54309">
      <w:pPr>
        <w:pStyle w:val="Heading2"/>
        <w:ind w:left="357"/>
        <w:rPr>
          <w:b w:val="0"/>
        </w:rPr>
      </w:pPr>
      <w:r w:rsidRPr="00C54309">
        <w:rPr>
          <w:b w:val="0"/>
        </w:rPr>
        <w:t>Rash</w:t>
      </w:r>
    </w:p>
    <w:p w14:paraId="2E20E048" w14:textId="77777777" w:rsidR="003B7F99" w:rsidRDefault="003B7F99" w:rsidP="00C54309">
      <w:pPr>
        <w:ind w:left="357"/>
      </w:pPr>
      <w:r>
        <w:t>Rash has been observed in about 25 % of patients in clinical studies when TAFINLAR is used in combination with MEKINIST. Also r</w:t>
      </w:r>
      <w:r w:rsidRPr="009B63C2">
        <w:t xml:space="preserve">efer to the </w:t>
      </w:r>
      <w:r>
        <w:t xml:space="preserve">MEKINIST </w:t>
      </w:r>
      <w:r w:rsidRPr="009B63C2">
        <w:t xml:space="preserve">Product Information for additional information. </w:t>
      </w:r>
    </w:p>
    <w:p w14:paraId="3E48E859" w14:textId="77777777" w:rsidR="003B7F99" w:rsidRPr="00C54309" w:rsidRDefault="003B7F99" w:rsidP="00C54309">
      <w:pPr>
        <w:pStyle w:val="Heading2"/>
        <w:ind w:left="357"/>
        <w:rPr>
          <w:b w:val="0"/>
        </w:rPr>
      </w:pPr>
      <w:r w:rsidRPr="00C54309">
        <w:rPr>
          <w:b w:val="0"/>
        </w:rPr>
        <w:t>Rhabdomyolysis</w:t>
      </w:r>
    </w:p>
    <w:p w14:paraId="0E066F08" w14:textId="31885742" w:rsidR="003B7F99" w:rsidRDefault="003B7F99" w:rsidP="00C54309">
      <w:pPr>
        <w:ind w:left="357"/>
      </w:pPr>
      <w:r>
        <w:t xml:space="preserve">Rhabdomyolysis has been reported in patients taking TAFINLAR in combination with MEKINIST (see </w:t>
      </w:r>
      <w:r w:rsidR="00957718">
        <w:t>section 4.8</w:t>
      </w:r>
      <w:r w:rsidR="0032783F" w:rsidRPr="0032783F">
        <w:t xml:space="preserve"> Adverse Effects (Undesirable Effects</w:t>
      </w:r>
      <w:r w:rsidR="00E01B03" w:rsidRPr="0032783F">
        <w:t>)</w:t>
      </w:r>
      <w:r>
        <w:t>).</w:t>
      </w:r>
      <w:r w:rsidRPr="009B63C2">
        <w:t xml:space="preserve"> </w:t>
      </w:r>
      <w:r>
        <w:t>Also r</w:t>
      </w:r>
      <w:r w:rsidRPr="009B63C2">
        <w:t xml:space="preserve">efer to the </w:t>
      </w:r>
      <w:r>
        <w:t>MEKINIST</w:t>
      </w:r>
      <w:r w:rsidRPr="009B63C2">
        <w:t xml:space="preserve"> Product Information for additional information.</w:t>
      </w:r>
    </w:p>
    <w:p w14:paraId="27DE5170" w14:textId="77777777" w:rsidR="003B7F99" w:rsidRPr="0061276F" w:rsidRDefault="003B7F99" w:rsidP="00C54309">
      <w:pPr>
        <w:pStyle w:val="Heading2"/>
        <w:ind w:left="357"/>
        <w:rPr>
          <w:b w:val="0"/>
        </w:rPr>
      </w:pPr>
      <w:r w:rsidRPr="0061276F">
        <w:rPr>
          <w:b w:val="0"/>
        </w:rPr>
        <w:t>Deep vein thrombosis (DVT)/</w:t>
      </w:r>
      <w:proofErr w:type="gramStart"/>
      <w:r w:rsidRPr="0061276F">
        <w:rPr>
          <w:b w:val="0"/>
        </w:rPr>
        <w:t>Pulmonary</w:t>
      </w:r>
      <w:proofErr w:type="gramEnd"/>
      <w:r w:rsidRPr="0061276F">
        <w:rPr>
          <w:b w:val="0"/>
        </w:rPr>
        <w:t xml:space="preserve"> embolism (PE)</w:t>
      </w:r>
    </w:p>
    <w:p w14:paraId="16E6ECC3" w14:textId="6D06959C" w:rsidR="003B7F99" w:rsidRDefault="003B7F99" w:rsidP="00C54309">
      <w:pPr>
        <w:ind w:left="357"/>
      </w:pPr>
      <w:r w:rsidRPr="0061276F">
        <w:t xml:space="preserve">Pulmonary embolism or deep vein thrombosis can occur when TAFINLAR is used in combination with </w:t>
      </w:r>
      <w:r>
        <w:t>MEKINIST</w:t>
      </w:r>
      <w:r w:rsidRPr="0061276F">
        <w:t>. If</w:t>
      </w:r>
      <w:r>
        <w:t xml:space="preserve"> </w:t>
      </w:r>
      <w:r w:rsidRPr="0061276F">
        <w:t>patients develop symptoms of pulmonary embolism or deep vein thrombosis such as shortness of breath, chest pain,</w:t>
      </w:r>
      <w:r>
        <w:t xml:space="preserve"> </w:t>
      </w:r>
      <w:r w:rsidRPr="0061276F">
        <w:t xml:space="preserve">or arm or leg swelling, they should immediately seek medical care. Permanently discontinue </w:t>
      </w:r>
      <w:r>
        <w:t>MEKINIST</w:t>
      </w:r>
      <w:r w:rsidRPr="0061276F">
        <w:t xml:space="preserve"> and</w:t>
      </w:r>
      <w:r>
        <w:t xml:space="preserve"> TAFINLAR</w:t>
      </w:r>
      <w:r w:rsidRPr="0061276F">
        <w:t xml:space="preserve"> for life-threatening pulmonary embolism.</w:t>
      </w:r>
    </w:p>
    <w:p w14:paraId="528717CA" w14:textId="213B2562" w:rsidR="00803F0D" w:rsidRPr="00774EA3" w:rsidRDefault="00803F0D" w:rsidP="00C54309">
      <w:pPr>
        <w:ind w:left="357"/>
        <w:rPr>
          <w:u w:val="single"/>
        </w:rPr>
      </w:pPr>
      <w:r w:rsidRPr="00774EA3">
        <w:rPr>
          <w:u w:val="single"/>
        </w:rPr>
        <w:t>Use in hepatic impairment</w:t>
      </w:r>
    </w:p>
    <w:p w14:paraId="7515E9CE" w14:textId="5EF9DB70" w:rsidR="00E25C61" w:rsidRPr="00774EA3" w:rsidRDefault="00E25C61" w:rsidP="00C54309">
      <w:pPr>
        <w:ind w:left="357"/>
      </w:pPr>
      <w:r w:rsidRPr="00774EA3">
        <w:t>See sections 4.2</w:t>
      </w:r>
      <w:r w:rsidR="00CC7798" w:rsidRPr="00CC7798">
        <w:t xml:space="preserve"> Dose and method of administration</w:t>
      </w:r>
      <w:r w:rsidRPr="00CC7798">
        <w:t>,</w:t>
      </w:r>
      <w:r w:rsidRPr="00774EA3">
        <w:t xml:space="preserve"> and 5.2</w:t>
      </w:r>
      <w:r w:rsidR="00830174" w:rsidRPr="00830174">
        <w:t xml:space="preserve"> Pharmacokinetic properties</w:t>
      </w:r>
      <w:r w:rsidRPr="00774EA3">
        <w:t xml:space="preserve">. </w:t>
      </w:r>
    </w:p>
    <w:p w14:paraId="1E599ACD" w14:textId="5694CF60" w:rsidR="00803F0D" w:rsidRPr="00774EA3" w:rsidRDefault="00803F0D" w:rsidP="00C54309">
      <w:pPr>
        <w:ind w:left="357"/>
        <w:rPr>
          <w:u w:val="single"/>
        </w:rPr>
      </w:pPr>
      <w:r w:rsidRPr="00774EA3">
        <w:rPr>
          <w:u w:val="single"/>
        </w:rPr>
        <w:t>Use in renal impairment</w:t>
      </w:r>
    </w:p>
    <w:p w14:paraId="25E46EBE" w14:textId="0E63B81A" w:rsidR="00B369A6" w:rsidRPr="002D0DDB" w:rsidRDefault="00B369A6" w:rsidP="00C54309">
      <w:pPr>
        <w:ind w:left="357"/>
      </w:pPr>
      <w:r w:rsidRPr="00774EA3">
        <w:t>See section</w:t>
      </w:r>
      <w:r w:rsidR="00E25C61" w:rsidRPr="00774EA3">
        <w:t>s</w:t>
      </w:r>
      <w:r w:rsidRPr="00774EA3">
        <w:t xml:space="preserve"> 4.2</w:t>
      </w:r>
      <w:r w:rsidR="00CC7798" w:rsidRPr="00CC7798">
        <w:t xml:space="preserve"> Dose and method of administration</w:t>
      </w:r>
      <w:r w:rsidRPr="00CC7798">
        <w:t>,</w:t>
      </w:r>
      <w:r w:rsidRPr="00774EA3">
        <w:t xml:space="preserve"> 4.4 </w:t>
      </w:r>
      <w:r w:rsidR="00830174">
        <w:t xml:space="preserve">Special warnings and precautions for use </w:t>
      </w:r>
      <w:r w:rsidRPr="00774EA3">
        <w:t>(</w:t>
      </w:r>
      <w:r w:rsidR="002D0DDB">
        <w:t>r</w:t>
      </w:r>
      <w:r w:rsidRPr="002D0DDB">
        <w:t>enal failure), 4.8</w:t>
      </w:r>
      <w:r w:rsidR="00830174" w:rsidRPr="00830174">
        <w:t xml:space="preserve"> Adverse Effects (Undesirable Effects)</w:t>
      </w:r>
      <w:r w:rsidRPr="002D0DDB">
        <w:t>, and 5.2</w:t>
      </w:r>
      <w:r w:rsidR="00830174" w:rsidRPr="00830174">
        <w:t xml:space="preserve"> Pharmacokinetic properties</w:t>
      </w:r>
      <w:r w:rsidRPr="002D0DDB">
        <w:t xml:space="preserve">. </w:t>
      </w:r>
    </w:p>
    <w:p w14:paraId="65C6F082" w14:textId="3B6114C3" w:rsidR="00803F0D" w:rsidRPr="00774EA3" w:rsidRDefault="00803F0D" w:rsidP="00C54309">
      <w:pPr>
        <w:ind w:left="357"/>
        <w:rPr>
          <w:u w:val="single"/>
        </w:rPr>
      </w:pPr>
      <w:r w:rsidRPr="00774EA3">
        <w:rPr>
          <w:u w:val="single"/>
        </w:rPr>
        <w:t>Use in the elderly</w:t>
      </w:r>
    </w:p>
    <w:p w14:paraId="166644C6" w14:textId="5D4C1F78" w:rsidR="00803F0D" w:rsidRPr="00774EA3" w:rsidRDefault="00803F0D" w:rsidP="00C54309">
      <w:pPr>
        <w:ind w:left="357"/>
      </w:pPr>
      <w:r w:rsidRPr="00774EA3">
        <w:t>See section</w:t>
      </w:r>
      <w:r w:rsidR="00D72430" w:rsidRPr="00774EA3">
        <w:t>s</w:t>
      </w:r>
      <w:r w:rsidRPr="00774EA3">
        <w:t xml:space="preserve"> 4.2</w:t>
      </w:r>
      <w:r w:rsidR="00CC7798" w:rsidRPr="00CC7798">
        <w:t xml:space="preserve"> Dose and method of administration</w:t>
      </w:r>
      <w:r w:rsidRPr="00CC7798">
        <w:t>,</w:t>
      </w:r>
      <w:r w:rsidRPr="00774EA3">
        <w:t xml:space="preserve"> </w:t>
      </w:r>
      <w:r w:rsidR="00D72430" w:rsidRPr="00774EA3">
        <w:t>4.</w:t>
      </w:r>
      <w:r w:rsidR="00B369A6" w:rsidRPr="00774EA3">
        <w:t>8</w:t>
      </w:r>
      <w:r w:rsidR="00830174" w:rsidRPr="00830174">
        <w:t xml:space="preserve"> Adverse Effects (Undesirable Effects)</w:t>
      </w:r>
      <w:r w:rsidR="00D72430" w:rsidRPr="00774EA3">
        <w:t>, and 5.2</w:t>
      </w:r>
      <w:r w:rsidR="00830174" w:rsidRPr="00830174">
        <w:t xml:space="preserve"> Pharmacokinetic properties</w:t>
      </w:r>
      <w:r w:rsidR="00D72430" w:rsidRPr="00774EA3">
        <w:t xml:space="preserve">. </w:t>
      </w:r>
    </w:p>
    <w:p w14:paraId="7FDB9E87" w14:textId="77777777" w:rsidR="00694BFD" w:rsidRDefault="00694BFD" w:rsidP="00C54309">
      <w:pPr>
        <w:ind w:left="357"/>
        <w:rPr>
          <w:u w:val="single"/>
        </w:rPr>
      </w:pPr>
    </w:p>
    <w:p w14:paraId="3100E9F0" w14:textId="2E54A21A" w:rsidR="00803F0D" w:rsidRPr="00774EA3" w:rsidRDefault="00830174" w:rsidP="00C54309">
      <w:pPr>
        <w:ind w:left="357"/>
        <w:rPr>
          <w:u w:val="single"/>
        </w:rPr>
      </w:pPr>
      <w:r>
        <w:rPr>
          <w:u w:val="single"/>
        </w:rPr>
        <w:t>P</w:t>
      </w:r>
      <w:r w:rsidRPr="00774EA3">
        <w:rPr>
          <w:u w:val="single"/>
        </w:rPr>
        <w:t xml:space="preserve">aediatric </w:t>
      </w:r>
      <w:r>
        <w:rPr>
          <w:u w:val="single"/>
        </w:rPr>
        <w:t>u</w:t>
      </w:r>
      <w:r w:rsidR="00803F0D" w:rsidRPr="00774EA3">
        <w:rPr>
          <w:u w:val="single"/>
        </w:rPr>
        <w:t xml:space="preserve">se </w:t>
      </w:r>
    </w:p>
    <w:p w14:paraId="41998808" w14:textId="2D5F56DE" w:rsidR="00D72430" w:rsidRPr="00774EA3" w:rsidRDefault="00D72430" w:rsidP="00C54309">
      <w:pPr>
        <w:ind w:left="357"/>
      </w:pPr>
      <w:r w:rsidRPr="00774EA3">
        <w:t>See sections 4.2</w:t>
      </w:r>
      <w:r w:rsidR="00CC7798" w:rsidRPr="00CC7798">
        <w:t xml:space="preserve"> Dose and method of administration</w:t>
      </w:r>
      <w:r w:rsidRPr="00CC7798">
        <w:t>,</w:t>
      </w:r>
      <w:r w:rsidRPr="00774EA3">
        <w:t xml:space="preserve"> 4.</w:t>
      </w:r>
      <w:r w:rsidR="00B369A6" w:rsidRPr="00774EA3">
        <w:t>8</w:t>
      </w:r>
      <w:r w:rsidR="00830174" w:rsidRPr="00830174">
        <w:t xml:space="preserve"> Adverse Effects (Undesirable Effects)</w:t>
      </w:r>
      <w:r w:rsidRPr="00774EA3">
        <w:t xml:space="preserve"> and 5.2</w:t>
      </w:r>
      <w:r w:rsidR="00830174" w:rsidRPr="00830174">
        <w:t xml:space="preserve"> Pharmacokinetic properties</w:t>
      </w:r>
      <w:r w:rsidRPr="00774EA3">
        <w:t xml:space="preserve">. </w:t>
      </w:r>
    </w:p>
    <w:p w14:paraId="30A66D0C" w14:textId="5DCE64DC" w:rsidR="00803F0D" w:rsidRPr="00774EA3" w:rsidRDefault="00803F0D" w:rsidP="00C54309">
      <w:pPr>
        <w:ind w:left="357"/>
        <w:rPr>
          <w:u w:val="single"/>
        </w:rPr>
      </w:pPr>
      <w:r w:rsidRPr="00774EA3">
        <w:rPr>
          <w:u w:val="single"/>
        </w:rPr>
        <w:t>Effects on laboratory tests</w:t>
      </w:r>
    </w:p>
    <w:p w14:paraId="4EA1C45A" w14:textId="568858E4" w:rsidR="00D87CDE" w:rsidRPr="00DC5B77" w:rsidRDefault="00F50B9D" w:rsidP="00217FCE">
      <w:pPr>
        <w:ind w:left="357"/>
      </w:pPr>
      <w:r w:rsidRPr="00F50B9D">
        <w:t>Treatment-emergent laboratory abnormalities may include any of the following:</w:t>
      </w:r>
      <w:r w:rsidR="00123E73" w:rsidRPr="00F50B9D">
        <w:t xml:space="preserve"> </w:t>
      </w:r>
      <w:r w:rsidR="00021C35" w:rsidRPr="00F50B9D">
        <w:t>hyperglycaemia</w:t>
      </w:r>
      <w:r w:rsidR="00774EA3" w:rsidRPr="00F50B9D">
        <w:t xml:space="preserve">, </w:t>
      </w:r>
      <w:r w:rsidR="00217FCE" w:rsidRPr="00382592">
        <w:t>hyperbilirubinemia</w:t>
      </w:r>
      <w:r w:rsidR="00217FCE">
        <w:t xml:space="preserve">, </w:t>
      </w:r>
      <w:r w:rsidRPr="00217FCE">
        <w:t xml:space="preserve">increased GGT, </w:t>
      </w:r>
      <w:r w:rsidR="00382592" w:rsidRPr="00217FCE">
        <w:t>increased</w:t>
      </w:r>
      <w:r w:rsidR="00382592" w:rsidRPr="00382592">
        <w:t xml:space="preserve"> ALP, increased ALT, increased AST, </w:t>
      </w:r>
      <w:r w:rsidR="00382592">
        <w:t xml:space="preserve">increased CPK, </w:t>
      </w:r>
      <w:r w:rsidRPr="00F50B9D">
        <w:t xml:space="preserve"> </w:t>
      </w:r>
      <w:r w:rsidR="00217FCE" w:rsidRPr="00F50B9D">
        <w:t>hypophosphatemia</w:t>
      </w:r>
      <w:r w:rsidR="00217FCE">
        <w:t xml:space="preserve">, </w:t>
      </w:r>
      <w:r w:rsidR="00774EA3" w:rsidRPr="00217FCE">
        <w:t>hyponatremia</w:t>
      </w:r>
      <w:r w:rsidR="002D0DDB" w:rsidRPr="00217FCE">
        <w:t xml:space="preserve">, </w:t>
      </w:r>
      <w:r w:rsidR="00217FCE">
        <w:t>s</w:t>
      </w:r>
      <w:r w:rsidR="00217FCE" w:rsidRPr="00217FCE">
        <w:t>erum albumin abnormalities</w:t>
      </w:r>
      <w:r w:rsidR="00217FCE">
        <w:t>,</w:t>
      </w:r>
      <w:r w:rsidR="00217FCE" w:rsidRPr="00217FCE">
        <w:t xml:space="preserve"> </w:t>
      </w:r>
      <w:r w:rsidR="00217FCE" w:rsidRPr="00F50B9D">
        <w:t>anaemia,</w:t>
      </w:r>
      <w:r w:rsidR="00217FCE">
        <w:t xml:space="preserve"> </w:t>
      </w:r>
      <w:r w:rsidR="00123E73" w:rsidRPr="00217FCE">
        <w:t xml:space="preserve">neutropenia, </w:t>
      </w:r>
      <w:r w:rsidR="007C054A" w:rsidRPr="00217FCE">
        <w:lastRenderedPageBreak/>
        <w:t xml:space="preserve">thrombocytopenia, </w:t>
      </w:r>
      <w:r w:rsidR="00217FCE">
        <w:t xml:space="preserve">leukopenia, and </w:t>
      </w:r>
      <w:proofErr w:type="spellStart"/>
      <w:r w:rsidR="007C054A" w:rsidRPr="00217FCE">
        <w:t>l</w:t>
      </w:r>
      <w:r w:rsidR="00123E73" w:rsidRPr="00217FCE">
        <w:t>ymphocytopenia</w:t>
      </w:r>
      <w:proofErr w:type="spellEnd"/>
      <w:r w:rsidR="00217FCE">
        <w:t xml:space="preserve">. </w:t>
      </w:r>
      <w:r w:rsidR="008A5311" w:rsidRPr="008A5311">
        <w:t>See section 4.8 Adverse Effects (Undesirable Effects)</w:t>
      </w:r>
      <w:r w:rsidR="008A5311">
        <w:t xml:space="preserve">. </w:t>
      </w:r>
    </w:p>
    <w:p w14:paraId="11374E95" w14:textId="6A63722B" w:rsidR="00F71E31" w:rsidRPr="00F71E31" w:rsidRDefault="00F71E31" w:rsidP="00F71E31">
      <w:pPr>
        <w:pStyle w:val="ListParagraph"/>
        <w:numPr>
          <w:ilvl w:val="0"/>
          <w:numId w:val="35"/>
        </w:numPr>
        <w:autoSpaceDE/>
        <w:autoSpaceDN/>
        <w:adjustRightInd/>
        <w:contextualSpacing/>
        <w:rPr>
          <w:rFonts w:ascii="Times New Roman" w:hAnsi="Times New Roman" w:cs="Times New Roman"/>
          <w:b/>
          <w:sz w:val="24"/>
          <w:szCs w:val="24"/>
        </w:rPr>
      </w:pPr>
      <w:r w:rsidRPr="00F71E31">
        <w:rPr>
          <w:rFonts w:ascii="Times New Roman" w:hAnsi="Times New Roman" w:cs="Times New Roman"/>
          <w:b/>
          <w:sz w:val="24"/>
          <w:szCs w:val="24"/>
        </w:rPr>
        <w:t>Interactions with other medicines</w:t>
      </w:r>
      <w:r w:rsidRPr="00F71E31">
        <w:t xml:space="preserve"> </w:t>
      </w:r>
      <w:r w:rsidRPr="00F71E31">
        <w:rPr>
          <w:rFonts w:ascii="Times New Roman" w:hAnsi="Times New Roman" w:cs="Times New Roman"/>
          <w:b/>
          <w:sz w:val="24"/>
          <w:szCs w:val="24"/>
        </w:rPr>
        <w:t>and other forms of interactions</w:t>
      </w:r>
    </w:p>
    <w:p w14:paraId="11CE5883" w14:textId="77777777" w:rsidR="00F71E31" w:rsidRPr="008B0ED0" w:rsidRDefault="00F71E31" w:rsidP="008B0ED0">
      <w:pPr>
        <w:autoSpaceDE/>
        <w:autoSpaceDN/>
        <w:adjustRightInd/>
        <w:ind w:left="360"/>
        <w:rPr>
          <w:i/>
          <w:u w:val="single"/>
        </w:rPr>
      </w:pPr>
      <w:r w:rsidRPr="008B0ED0">
        <w:rPr>
          <w:i/>
          <w:u w:val="single"/>
        </w:rPr>
        <w:t>In vitro evaluation of drug interaction potential</w:t>
      </w:r>
    </w:p>
    <w:p w14:paraId="34265DC7" w14:textId="77777777" w:rsidR="00F71E31" w:rsidRPr="008B0ED0" w:rsidRDefault="00F71E31" w:rsidP="00CA2602">
      <w:pPr>
        <w:pStyle w:val="Heading2"/>
        <w:keepNext w:val="0"/>
        <w:widowControl w:val="0"/>
        <w:ind w:left="357"/>
        <w:rPr>
          <w:b w:val="0"/>
        </w:rPr>
      </w:pPr>
      <w:r w:rsidRPr="008B0ED0">
        <w:rPr>
          <w:b w:val="0"/>
        </w:rPr>
        <w:t xml:space="preserve">Effect of other medicines on TAFINLAR </w:t>
      </w:r>
    </w:p>
    <w:p w14:paraId="3EE85A02" w14:textId="77777777" w:rsidR="00F71E31" w:rsidRDefault="00F71E31" w:rsidP="00CA2602">
      <w:pPr>
        <w:widowControl w:val="0"/>
        <w:ind w:left="357"/>
      </w:pPr>
      <w:r>
        <w:t>TAFINLAR</w:t>
      </w:r>
      <w:r w:rsidRPr="00254BEF">
        <w:t xml:space="preserve"> </w:t>
      </w:r>
      <w:r>
        <w:t xml:space="preserve">is a substrate of metabolising enzymes </w:t>
      </w:r>
      <w:r w:rsidRPr="00254BEF">
        <w:t>CYP2C8 and CYP3A4</w:t>
      </w:r>
      <w:r>
        <w:t xml:space="preserve">, </w:t>
      </w:r>
      <w:r w:rsidRPr="00561EE1">
        <w:t xml:space="preserve">while </w:t>
      </w:r>
      <w:r>
        <w:t xml:space="preserve">active metabolites </w:t>
      </w:r>
      <w:proofErr w:type="spellStart"/>
      <w:r w:rsidRPr="00561EE1">
        <w:t>hydroxy-dabrafenib</w:t>
      </w:r>
      <w:proofErr w:type="spellEnd"/>
      <w:r w:rsidRPr="00561EE1">
        <w:t xml:space="preserve"> and </w:t>
      </w:r>
      <w:proofErr w:type="spellStart"/>
      <w:r w:rsidRPr="00561EE1">
        <w:t>desmethyl-dabrafenib</w:t>
      </w:r>
      <w:proofErr w:type="spellEnd"/>
      <w:r w:rsidRPr="00561EE1">
        <w:t xml:space="preserve"> are CYP3A4 substrates.</w:t>
      </w:r>
      <w:r>
        <w:t xml:space="preserve"> </w:t>
      </w:r>
      <w:r w:rsidRPr="00254BEF">
        <w:t xml:space="preserve">Medicinal products that </w:t>
      </w:r>
      <w:r w:rsidRPr="00BF1F9D">
        <w:t xml:space="preserve">are strong inhibitors or inducers of CYP2C8 or CYP3A4 are likely to increase or decrease, respectively, </w:t>
      </w:r>
      <w:r>
        <w:t>TAFINLAR</w:t>
      </w:r>
      <w:r w:rsidRPr="00BF1F9D">
        <w:t xml:space="preserve"> concentrations. Alternative agents should be considered during administration with dabrafenib when possible. Use caution if strong inhibitors (e.g. ketoconazole, </w:t>
      </w:r>
      <w:proofErr w:type="spellStart"/>
      <w:r w:rsidRPr="00BF1F9D">
        <w:t>nefazodone</w:t>
      </w:r>
      <w:proofErr w:type="spellEnd"/>
      <w:r w:rsidRPr="00BF1F9D">
        <w:t>, clarithromycin, ritonavir</w:t>
      </w:r>
      <w:r>
        <w:t xml:space="preserve">, </w:t>
      </w:r>
      <w:proofErr w:type="spellStart"/>
      <w:r w:rsidRPr="00DE0839">
        <w:t>saquinavir</w:t>
      </w:r>
      <w:proofErr w:type="spellEnd"/>
      <w:r w:rsidRPr="00DE0839">
        <w:t xml:space="preserve">, </w:t>
      </w:r>
      <w:proofErr w:type="spellStart"/>
      <w:r w:rsidRPr="00DE0839">
        <w:t>telithromycin</w:t>
      </w:r>
      <w:proofErr w:type="spellEnd"/>
      <w:r w:rsidRPr="00DE0839">
        <w:t xml:space="preserve">, </w:t>
      </w:r>
      <w:proofErr w:type="spellStart"/>
      <w:r w:rsidRPr="00DE0839">
        <w:t>itraconazole</w:t>
      </w:r>
      <w:proofErr w:type="spellEnd"/>
      <w:r w:rsidRPr="00DE0839">
        <w:t xml:space="preserve">, </w:t>
      </w:r>
      <w:proofErr w:type="spellStart"/>
      <w:r w:rsidRPr="00DE0839">
        <w:t>voriconazole</w:t>
      </w:r>
      <w:proofErr w:type="spellEnd"/>
      <w:r w:rsidRPr="00DE0839">
        <w:t xml:space="preserve">, </w:t>
      </w:r>
      <w:proofErr w:type="spellStart"/>
      <w:r w:rsidRPr="00DE0839">
        <w:t>posaconazole</w:t>
      </w:r>
      <w:proofErr w:type="spellEnd"/>
      <w:r w:rsidRPr="00DE0839">
        <w:t xml:space="preserve">, </w:t>
      </w:r>
      <w:proofErr w:type="spellStart"/>
      <w:r w:rsidRPr="00DE0839">
        <w:t>atazanavir</w:t>
      </w:r>
      <w:proofErr w:type="spellEnd"/>
      <w:r>
        <w:t>, gemfibrozil</w:t>
      </w:r>
      <w:r w:rsidRPr="00BF1F9D">
        <w:t xml:space="preserve">) </w:t>
      </w:r>
      <w:r w:rsidRPr="00254BEF">
        <w:t xml:space="preserve">are </w:t>
      </w:r>
      <w:proofErr w:type="spellStart"/>
      <w:r w:rsidRPr="00254BEF">
        <w:t>coadministered</w:t>
      </w:r>
      <w:proofErr w:type="spellEnd"/>
      <w:r w:rsidRPr="00254BEF">
        <w:t xml:space="preserve"> with </w:t>
      </w:r>
      <w:r>
        <w:t>TAFINLAR</w:t>
      </w:r>
      <w:r w:rsidRPr="00254BEF">
        <w:t>.</w:t>
      </w:r>
      <w:r>
        <w:t xml:space="preserve"> Avoid </w:t>
      </w:r>
      <w:proofErr w:type="spellStart"/>
      <w:r>
        <w:t>coadministration</w:t>
      </w:r>
      <w:proofErr w:type="spellEnd"/>
      <w:r>
        <w:t xml:space="preserve"> of TAFINLAR with potent</w:t>
      </w:r>
      <w:r w:rsidRPr="00DE0839">
        <w:t xml:space="preserve"> </w:t>
      </w:r>
      <w:r w:rsidRPr="00BF1F9D">
        <w:t xml:space="preserve">inducers </w:t>
      </w:r>
      <w:r w:rsidRPr="00254BEF">
        <w:t>of CYP2C8 or CYP3A4</w:t>
      </w:r>
      <w:r>
        <w:t xml:space="preserve"> </w:t>
      </w:r>
      <w:r w:rsidRPr="00BF1F9D">
        <w:t>(e.g. rifampin, phenytoin,</w:t>
      </w:r>
      <w:r w:rsidRPr="00254BEF">
        <w:t xml:space="preserve"> carbamazepine, </w:t>
      </w:r>
      <w:r>
        <w:t>phenobarbital, St. John’s wort (</w:t>
      </w:r>
      <w:proofErr w:type="spellStart"/>
      <w:r w:rsidRPr="00CE28A0">
        <w:rPr>
          <w:i/>
        </w:rPr>
        <w:t>Hypericum</w:t>
      </w:r>
      <w:proofErr w:type="spellEnd"/>
      <w:r w:rsidRPr="00CE28A0">
        <w:rPr>
          <w:i/>
        </w:rPr>
        <w:t xml:space="preserve"> </w:t>
      </w:r>
      <w:proofErr w:type="spellStart"/>
      <w:r w:rsidRPr="00CE28A0">
        <w:rPr>
          <w:i/>
        </w:rPr>
        <w:t>perforatum</w:t>
      </w:r>
      <w:proofErr w:type="spellEnd"/>
      <w:r w:rsidRPr="00726E86">
        <w:t>)</w:t>
      </w:r>
      <w:r w:rsidRPr="00254BEF">
        <w:t>)</w:t>
      </w:r>
      <w:r>
        <w:t>.</w:t>
      </w:r>
      <w:r w:rsidRPr="00254BEF">
        <w:t xml:space="preserve"> </w:t>
      </w:r>
    </w:p>
    <w:p w14:paraId="72D1D9D6" w14:textId="77777777" w:rsidR="00F71E31" w:rsidRPr="008B0ED0" w:rsidRDefault="00F71E31" w:rsidP="008B0ED0">
      <w:pPr>
        <w:ind w:left="360"/>
        <w:rPr>
          <w:i/>
        </w:rPr>
      </w:pPr>
      <w:r w:rsidRPr="008B0ED0">
        <w:rPr>
          <w:i/>
        </w:rPr>
        <w:t xml:space="preserve">Ketoconazole </w:t>
      </w:r>
    </w:p>
    <w:p w14:paraId="779EE225" w14:textId="77777777" w:rsidR="00F71E31" w:rsidRDefault="00F71E31" w:rsidP="008B0ED0">
      <w:pPr>
        <w:ind w:left="360"/>
      </w:pPr>
      <w:r w:rsidRPr="00EA7E2D">
        <w:t xml:space="preserve">Co-administration of ketoconazole (a CYP3A4 inhibitor) </w:t>
      </w:r>
      <w:r>
        <w:t xml:space="preserve">400 mg once daily </w:t>
      </w:r>
      <w:r w:rsidRPr="00C6274F">
        <w:t xml:space="preserve">with </w:t>
      </w:r>
      <w:r>
        <w:t xml:space="preserve">TAFINLAR </w:t>
      </w:r>
      <w:r w:rsidRPr="00C6274F">
        <w:t xml:space="preserve">75 mg twice daily, </w:t>
      </w:r>
      <w:r w:rsidRPr="00EA7E2D">
        <w:t>increased the AUC of dabrafenib by 71 %. Pharmacokinetic data showed an increase in repeat dose dabrafenib Cmax (33 %) and AUC (71 %) with ketoconazole, and increases of 82 % and 68</w:t>
      </w:r>
      <w:r>
        <w:t xml:space="preserve"> </w:t>
      </w:r>
      <w:r w:rsidRPr="00EA7E2D">
        <w:t xml:space="preserve">% respectively in </w:t>
      </w:r>
      <w:proofErr w:type="spellStart"/>
      <w:r w:rsidRPr="00EA7E2D">
        <w:t>hydroxy</w:t>
      </w:r>
      <w:proofErr w:type="spellEnd"/>
      <w:r w:rsidRPr="00EA7E2D">
        <w:t xml:space="preserve">- and </w:t>
      </w:r>
      <w:proofErr w:type="spellStart"/>
      <w:r w:rsidRPr="00EA7E2D">
        <w:t>desmethyl-dabrafenib</w:t>
      </w:r>
      <w:proofErr w:type="spellEnd"/>
      <w:r w:rsidRPr="00EA7E2D">
        <w:t xml:space="preserve"> AUC with ketoconazole. A 16 % decrease in AUC was noted for carboxy-dabrafenib.</w:t>
      </w:r>
    </w:p>
    <w:p w14:paraId="2556ABF1" w14:textId="77777777" w:rsidR="00F71E31" w:rsidRPr="008B0ED0" w:rsidRDefault="00F71E31" w:rsidP="008B0ED0">
      <w:pPr>
        <w:ind w:left="360"/>
        <w:rPr>
          <w:i/>
        </w:rPr>
      </w:pPr>
      <w:r w:rsidRPr="008B0ED0">
        <w:rPr>
          <w:i/>
        </w:rPr>
        <w:t>Gemfibrozil</w:t>
      </w:r>
    </w:p>
    <w:p w14:paraId="090EF1D4" w14:textId="77777777" w:rsidR="00F71E31" w:rsidRDefault="00F71E31" w:rsidP="008B0ED0">
      <w:pPr>
        <w:ind w:left="360"/>
      </w:pPr>
      <w:proofErr w:type="spellStart"/>
      <w:r w:rsidRPr="00EA7E2D">
        <w:t>Coadministration</w:t>
      </w:r>
      <w:proofErr w:type="spellEnd"/>
      <w:r w:rsidRPr="00EA7E2D">
        <w:t xml:space="preserve"> of </w:t>
      </w:r>
      <w:r>
        <w:t>TAFINLAR</w:t>
      </w:r>
      <w:r w:rsidRPr="00EA7E2D">
        <w:t xml:space="preserve"> </w:t>
      </w:r>
      <w:r w:rsidRPr="00C6274F">
        <w:t>75 mg twice daily</w:t>
      </w:r>
      <w:r>
        <w:t xml:space="preserve"> </w:t>
      </w:r>
      <w:r w:rsidRPr="00EA7E2D">
        <w:t xml:space="preserve">and gemfibrozil (a CYP2C8 inhibitor) </w:t>
      </w:r>
      <w:r w:rsidRPr="00C6274F">
        <w:t>600 mg twice daily</w:t>
      </w:r>
      <w:r>
        <w:t xml:space="preserve"> </w:t>
      </w:r>
      <w:r w:rsidRPr="00EA7E2D">
        <w:t xml:space="preserve">resulted in an increase in repeat-dose </w:t>
      </w:r>
      <w:r>
        <w:t>TAFINLAR</w:t>
      </w:r>
      <w:r w:rsidRPr="00EA7E2D">
        <w:t xml:space="preserve"> AUC (47 %) and no clinically relevant changes were noted in the AUC of the metabolites.</w:t>
      </w:r>
    </w:p>
    <w:p w14:paraId="1D600B1D" w14:textId="77777777" w:rsidR="00F71E31" w:rsidRPr="008B0ED0" w:rsidRDefault="00F71E31" w:rsidP="008B0ED0">
      <w:pPr>
        <w:ind w:left="360"/>
        <w:rPr>
          <w:i/>
        </w:rPr>
      </w:pPr>
      <w:r w:rsidRPr="008B0ED0">
        <w:rPr>
          <w:i/>
        </w:rPr>
        <w:t>Drugs that affect gastric pH</w:t>
      </w:r>
    </w:p>
    <w:p w14:paraId="08971AC0" w14:textId="77777777" w:rsidR="00F71E31" w:rsidRPr="00254BEF" w:rsidRDefault="00F71E31" w:rsidP="008B0ED0">
      <w:pPr>
        <w:ind w:left="360"/>
      </w:pPr>
      <w:r>
        <w:t>Dabrafenib solubility is pH-dependent with decreased solubility at higher pH. Medicinal products that alter the pH of the upper GI tract (e.g. proton pump inhibitors, H2-receptor agonists, and antacids may decrease the solubility of TAFINLAR and reduce its bioavailability. However, no clinical study has been conducted to evaluate the effect of gastric pH-altering agents on the systemic exposure of TAFINLAR. Due to the theoretical risk that pH-elevating agents may decrease oral bioavailability and exposure to TAFINLAR, medicinal products that increase gastric pH should be used with caution when co-administered with TAFINLAR.</w:t>
      </w:r>
      <w:r w:rsidRPr="005F4EFA">
        <w:t xml:space="preserve"> </w:t>
      </w:r>
      <w:r>
        <w:t>The effect of these medicines on efficacy of TAFINLAR is unknown.</w:t>
      </w:r>
    </w:p>
    <w:p w14:paraId="27E9E89B" w14:textId="77777777" w:rsidR="00F71E31" w:rsidRPr="008B0ED0" w:rsidRDefault="00F71E31" w:rsidP="008B0ED0">
      <w:pPr>
        <w:pStyle w:val="Heading2"/>
        <w:ind w:left="360"/>
        <w:rPr>
          <w:b w:val="0"/>
        </w:rPr>
      </w:pPr>
      <w:r w:rsidRPr="008B0ED0">
        <w:rPr>
          <w:b w:val="0"/>
        </w:rPr>
        <w:t>Effect of TAFINLAR on other medicines</w:t>
      </w:r>
    </w:p>
    <w:p w14:paraId="538D4645" w14:textId="77777777" w:rsidR="00F71E31" w:rsidRDefault="00F71E31" w:rsidP="008B0ED0">
      <w:pPr>
        <w:ind w:left="360"/>
      </w:pPr>
      <w:r w:rsidRPr="00254BEF">
        <w:t xml:space="preserve">Dabrafenib </w:t>
      </w:r>
      <w:r>
        <w:t xml:space="preserve">is an </w:t>
      </w:r>
      <w:r w:rsidRPr="00254BEF">
        <w:t>induce</w:t>
      </w:r>
      <w:r>
        <w:t>r</w:t>
      </w:r>
      <w:r w:rsidRPr="00254BEF">
        <w:t xml:space="preserve"> </w:t>
      </w:r>
      <w:r>
        <w:t>of metabolising enzymes</w:t>
      </w:r>
      <w:r w:rsidRPr="00254BEF">
        <w:t xml:space="preserve"> CYP3A4</w:t>
      </w:r>
      <w:r w:rsidRPr="00E47C91">
        <w:t xml:space="preserve"> and CYP2C9</w:t>
      </w:r>
      <w:r w:rsidRPr="00254BEF">
        <w:t xml:space="preserve"> and may induce other enzymes including CYP2B6, CYP2C8, CYP2C19</w:t>
      </w:r>
      <w:r>
        <w:t>, UDP glucuronosyl transferase (UGT) and transporters (e.g.</w:t>
      </w:r>
      <w:r w:rsidRPr="00A22C73">
        <w:t xml:space="preserve"> P-glycoprotein [P-gp</w:t>
      </w:r>
      <w:r>
        <w:t>])</w:t>
      </w:r>
      <w:r w:rsidRPr="00254BEF">
        <w:t xml:space="preserve">. </w:t>
      </w:r>
    </w:p>
    <w:p w14:paraId="6DCD953D" w14:textId="42A1BFB2" w:rsidR="00F71E31" w:rsidRPr="00177398" w:rsidRDefault="00F71E31" w:rsidP="00086990">
      <w:pPr>
        <w:widowControl w:val="0"/>
        <w:ind w:left="357"/>
        <w:rPr>
          <w:lang w:val="en-GB"/>
        </w:rPr>
      </w:pPr>
      <w:proofErr w:type="gramStart"/>
      <w:r w:rsidRPr="00254BEF">
        <w:t xml:space="preserve">Co-administration of </w:t>
      </w:r>
      <w:r>
        <w:t>TAFINLAR</w:t>
      </w:r>
      <w:r w:rsidRPr="00254BEF">
        <w:t xml:space="preserve"> and medicinal products which are affected by the induction of these enzymes </w:t>
      </w:r>
      <w:r w:rsidRPr="00726E86">
        <w:t xml:space="preserve">or transporters </w:t>
      </w:r>
      <w:r w:rsidRPr="00254BEF">
        <w:t xml:space="preserve">such as </w:t>
      </w:r>
      <w:r w:rsidRPr="00BF1F9D">
        <w:t xml:space="preserve">hormonal contraceptives (see </w:t>
      </w:r>
      <w:r w:rsidR="00957718">
        <w:t>section 4.</w:t>
      </w:r>
      <w:r w:rsidR="00767BCC">
        <w:t>6</w:t>
      </w:r>
      <w:r w:rsidR="00830174" w:rsidRPr="00830174">
        <w:t xml:space="preserve"> Fertility, pregnancy, and </w:t>
      </w:r>
      <w:r w:rsidR="00E01B03" w:rsidRPr="00830174">
        <w:t>lactation</w:t>
      </w:r>
      <w:r w:rsidRPr="007715A7">
        <w:t>),</w:t>
      </w:r>
      <w:r w:rsidRPr="00254BEF">
        <w:t xml:space="preserve"> </w:t>
      </w:r>
      <w:r>
        <w:t>warfarin,</w:t>
      </w:r>
      <w:r w:rsidRPr="00254BEF">
        <w:t xml:space="preserve"> dexamethasone</w:t>
      </w:r>
      <w:r>
        <w:t xml:space="preserve">, antiretroviral agents, or </w:t>
      </w:r>
      <w:proofErr w:type="spellStart"/>
      <w:r>
        <w:t>immunosuppressants</w:t>
      </w:r>
      <w:proofErr w:type="spellEnd"/>
      <w:r w:rsidRPr="00254BEF">
        <w:t xml:space="preserve"> may result in decreased concentrations and loss of efficacy.</w:t>
      </w:r>
      <w:proofErr w:type="gramEnd"/>
      <w:r w:rsidRPr="00254BEF">
        <w:t xml:space="preserve"> </w:t>
      </w:r>
      <w:r w:rsidRPr="00726E86">
        <w:rPr>
          <w:color w:val="000000"/>
        </w:rPr>
        <w:t xml:space="preserve"> </w:t>
      </w:r>
      <w:r w:rsidRPr="00177398">
        <w:rPr>
          <w:lang w:val="en-GB"/>
        </w:rPr>
        <w:t xml:space="preserve">Concomitant use of </w:t>
      </w:r>
      <w:r>
        <w:rPr>
          <w:lang w:val="en-GB"/>
        </w:rPr>
        <w:t>TAFINLAR</w:t>
      </w:r>
      <w:r w:rsidRPr="00177398">
        <w:rPr>
          <w:lang w:val="en-GB"/>
        </w:rPr>
        <w:t xml:space="preserve"> with these medicinal products should generally be avoided if monitoring for efficacy and dose adjustment is not possible.  </w:t>
      </w:r>
      <w:r w:rsidRPr="005F4EFA">
        <w:rPr>
          <w:lang w:val="en-GB"/>
        </w:rPr>
        <w:t>If co-administration of these medications is necessary with</w:t>
      </w:r>
      <w:r>
        <w:rPr>
          <w:lang w:val="en-GB"/>
        </w:rPr>
        <w:t xml:space="preserve"> </w:t>
      </w:r>
      <w:r w:rsidRPr="005F4EFA">
        <w:rPr>
          <w:lang w:val="en-GB"/>
        </w:rPr>
        <w:lastRenderedPageBreak/>
        <w:t xml:space="preserve">TAFINLAR, monitor </w:t>
      </w:r>
      <w:r w:rsidR="001C1405">
        <w:rPr>
          <w:lang w:val="en-GB"/>
        </w:rPr>
        <w:t>patient</w:t>
      </w:r>
      <w:r w:rsidRPr="005F4EFA">
        <w:rPr>
          <w:lang w:val="en-GB"/>
        </w:rPr>
        <w:t>s for any potential loss of efficacy or consider substitutions of</w:t>
      </w:r>
      <w:r>
        <w:rPr>
          <w:lang w:val="en-GB"/>
        </w:rPr>
        <w:t xml:space="preserve"> </w:t>
      </w:r>
      <w:r w:rsidRPr="005F4EFA">
        <w:rPr>
          <w:lang w:val="en-GB"/>
        </w:rPr>
        <w:t>these medicinal products</w:t>
      </w:r>
      <w:r>
        <w:rPr>
          <w:lang w:val="en-GB"/>
        </w:rPr>
        <w:t>.</w:t>
      </w:r>
    </w:p>
    <w:p w14:paraId="02E32CA4" w14:textId="5243ED66" w:rsidR="00F71E31" w:rsidRDefault="00F71E31" w:rsidP="008B0ED0">
      <w:pPr>
        <w:ind w:left="360"/>
        <w:rPr>
          <w:lang w:val="en-GB"/>
        </w:rPr>
      </w:pPr>
      <w:r w:rsidRPr="00DE0839">
        <w:rPr>
          <w:lang w:val="en-GB"/>
        </w:rPr>
        <w:t xml:space="preserve">Onset of induction is likely to occur after 3 days of repeat dosing with </w:t>
      </w:r>
      <w:r>
        <w:rPr>
          <w:lang w:val="en-GB"/>
        </w:rPr>
        <w:t>TAFINLAR</w:t>
      </w:r>
      <w:r w:rsidRPr="00DE0839">
        <w:rPr>
          <w:lang w:val="en-GB"/>
        </w:rPr>
        <w:t xml:space="preserve">. Transient inhibition of CYP3A4 may be observed during the first few days of treatment. Upon discontinuation of </w:t>
      </w:r>
      <w:r>
        <w:rPr>
          <w:lang w:val="en-GB"/>
        </w:rPr>
        <w:t>TAFINLAR</w:t>
      </w:r>
      <w:r w:rsidRPr="00DE0839">
        <w:rPr>
          <w:lang w:val="en-GB"/>
        </w:rPr>
        <w:t xml:space="preserve">, concentrations of sensitive CYP3A4 substrates may increase and </w:t>
      </w:r>
      <w:r w:rsidR="001C1405">
        <w:rPr>
          <w:lang w:val="en-GB"/>
        </w:rPr>
        <w:t>patient</w:t>
      </w:r>
      <w:r w:rsidRPr="00DE0839">
        <w:rPr>
          <w:lang w:val="en-GB"/>
        </w:rPr>
        <w:t>s should be monitored for toxicity and dosage of these agents may need to be adjusted.</w:t>
      </w:r>
    </w:p>
    <w:p w14:paraId="60343D35" w14:textId="77777777" w:rsidR="00F71E31" w:rsidRPr="008B0ED0" w:rsidRDefault="00F71E31" w:rsidP="008B0ED0">
      <w:pPr>
        <w:ind w:left="360"/>
        <w:rPr>
          <w:i/>
          <w:lang w:val="en-GB"/>
        </w:rPr>
      </w:pPr>
      <w:r w:rsidRPr="008B0ED0">
        <w:rPr>
          <w:i/>
          <w:lang w:val="en-GB"/>
        </w:rPr>
        <w:t>Midazolam</w:t>
      </w:r>
    </w:p>
    <w:p w14:paraId="4F1D0BD9" w14:textId="77777777" w:rsidR="00F71E31" w:rsidRPr="002D2B91" w:rsidRDefault="00F71E31" w:rsidP="008B0ED0">
      <w:pPr>
        <w:ind w:left="360"/>
      </w:pPr>
      <w:r w:rsidRPr="002D2B91">
        <w:t>The single dose AUC of midazolam (CYP3A4 substrate)</w:t>
      </w:r>
      <w:r w:rsidRPr="00EA7E2D">
        <w:t xml:space="preserve"> was decreased by 74</w:t>
      </w:r>
      <w:r>
        <w:t xml:space="preserve"> % </w:t>
      </w:r>
      <w:r w:rsidRPr="00EA7E2D">
        <w:t xml:space="preserve">with co-administration of </w:t>
      </w:r>
      <w:r w:rsidRPr="009C366A">
        <w:t>TAFINLAR</w:t>
      </w:r>
      <w:r>
        <w:t>.</w:t>
      </w:r>
    </w:p>
    <w:p w14:paraId="285C5C66" w14:textId="77777777" w:rsidR="00F71E31" w:rsidRPr="008B0ED0" w:rsidRDefault="00F71E31" w:rsidP="00CA2602">
      <w:pPr>
        <w:keepNext/>
        <w:ind w:left="357"/>
        <w:rPr>
          <w:i/>
          <w:lang w:val="en-GB"/>
        </w:rPr>
      </w:pPr>
      <w:r w:rsidRPr="008B0ED0">
        <w:rPr>
          <w:i/>
          <w:lang w:val="en-GB"/>
        </w:rPr>
        <w:t xml:space="preserve">Warfarin </w:t>
      </w:r>
    </w:p>
    <w:p w14:paraId="7A51835A" w14:textId="77777777" w:rsidR="00F71E31" w:rsidRDefault="00F71E31" w:rsidP="008B0ED0">
      <w:pPr>
        <w:ind w:left="360"/>
        <w:rPr>
          <w:lang w:val="en-GB"/>
        </w:rPr>
      </w:pPr>
      <w:r w:rsidRPr="00EA7E2D">
        <w:rPr>
          <w:lang w:val="en-GB"/>
        </w:rPr>
        <w:t xml:space="preserve">The single dose AUC of and S-warfarin (CYP2C9 substrate) was decreased by </w:t>
      </w:r>
      <w:r>
        <w:rPr>
          <w:lang w:val="en-GB"/>
        </w:rPr>
        <w:t>3</w:t>
      </w:r>
      <w:r w:rsidRPr="00EA7E2D">
        <w:rPr>
          <w:lang w:val="en-GB"/>
        </w:rPr>
        <w:t>7</w:t>
      </w:r>
      <w:r>
        <w:rPr>
          <w:lang w:val="en-GB"/>
        </w:rPr>
        <w:t xml:space="preserve"> % </w:t>
      </w:r>
      <w:r w:rsidRPr="00EA7E2D">
        <w:rPr>
          <w:lang w:val="en-GB"/>
        </w:rPr>
        <w:t xml:space="preserve">with co-administration of </w:t>
      </w:r>
      <w:r w:rsidRPr="009C366A">
        <w:rPr>
          <w:lang w:val="en-GB"/>
        </w:rPr>
        <w:t>TAFINLAR</w:t>
      </w:r>
      <w:r>
        <w:rPr>
          <w:lang w:val="en-GB"/>
        </w:rPr>
        <w:t xml:space="preserve">. </w:t>
      </w:r>
      <w:r w:rsidRPr="00DE0839">
        <w:rPr>
          <w:lang w:val="en-GB"/>
        </w:rPr>
        <w:t xml:space="preserve">Exercise caution and additional INR (International Normalized Ratio) monitoring </w:t>
      </w:r>
      <w:r>
        <w:rPr>
          <w:lang w:val="en-GB"/>
        </w:rPr>
        <w:t xml:space="preserve">is recommended </w:t>
      </w:r>
      <w:r w:rsidRPr="00DE0839">
        <w:rPr>
          <w:lang w:val="en-GB"/>
        </w:rPr>
        <w:t xml:space="preserve">when </w:t>
      </w:r>
      <w:r>
        <w:rPr>
          <w:lang w:val="en-GB"/>
        </w:rPr>
        <w:t>TAFINLAR</w:t>
      </w:r>
      <w:r w:rsidRPr="00DE0839">
        <w:rPr>
          <w:lang w:val="en-GB"/>
        </w:rPr>
        <w:t xml:space="preserve"> is used concomitantly with warfarin</w:t>
      </w:r>
      <w:r>
        <w:rPr>
          <w:lang w:val="en-GB"/>
        </w:rPr>
        <w:t>, and at discontinuation of TAFINLAR</w:t>
      </w:r>
      <w:r w:rsidRPr="00DE0839">
        <w:rPr>
          <w:lang w:val="en-GB"/>
        </w:rPr>
        <w:t>.</w:t>
      </w:r>
    </w:p>
    <w:p w14:paraId="24290CC8" w14:textId="77777777" w:rsidR="00F71E31" w:rsidRPr="008B0ED0" w:rsidRDefault="00F71E31" w:rsidP="008B0ED0">
      <w:pPr>
        <w:ind w:left="360"/>
        <w:rPr>
          <w:i/>
          <w:lang w:val="en-GB"/>
        </w:rPr>
      </w:pPr>
      <w:r w:rsidRPr="008B0ED0">
        <w:rPr>
          <w:i/>
          <w:lang w:val="en-GB"/>
        </w:rPr>
        <w:t xml:space="preserve">Digoxin </w:t>
      </w:r>
    </w:p>
    <w:p w14:paraId="55DC1C83" w14:textId="77777777" w:rsidR="00F71E31" w:rsidRPr="00A70A0A" w:rsidRDefault="00F71E31" w:rsidP="008B0ED0">
      <w:pPr>
        <w:widowControl w:val="0"/>
        <w:ind w:left="360"/>
        <w:rPr>
          <w:lang w:val="en-GB"/>
        </w:rPr>
      </w:pPr>
      <w:r w:rsidRPr="000A1059">
        <w:rPr>
          <w:lang w:val="en-GB"/>
        </w:rPr>
        <w:t xml:space="preserve">Concomitant administration of </w:t>
      </w:r>
      <w:r w:rsidRPr="009C366A">
        <w:rPr>
          <w:lang w:val="en-GB"/>
        </w:rPr>
        <w:t xml:space="preserve">TAFINLAR </w:t>
      </w:r>
      <w:r w:rsidRPr="000A1059">
        <w:rPr>
          <w:lang w:val="en-GB"/>
        </w:rPr>
        <w:t>with digoxin may result in decreased digoxin exposure. Caution should be</w:t>
      </w:r>
      <w:r>
        <w:rPr>
          <w:lang w:val="en-GB"/>
        </w:rPr>
        <w:t xml:space="preserve"> </w:t>
      </w:r>
      <w:r w:rsidRPr="000A1059">
        <w:rPr>
          <w:lang w:val="en-GB"/>
        </w:rPr>
        <w:t>exercised and additional monitoring of digoxin is recommended when digoxin (a transporter substrate) is used</w:t>
      </w:r>
      <w:r>
        <w:rPr>
          <w:lang w:val="en-GB"/>
        </w:rPr>
        <w:t xml:space="preserve"> </w:t>
      </w:r>
      <w:r w:rsidRPr="000A1059">
        <w:rPr>
          <w:lang w:val="en-GB"/>
        </w:rPr>
        <w:t>concomitantly with TAFINLAR and a</w:t>
      </w:r>
      <w:r>
        <w:rPr>
          <w:lang w:val="en-GB"/>
        </w:rPr>
        <w:t xml:space="preserve">t discontinuation of </w:t>
      </w:r>
      <w:r w:rsidRPr="000A1059">
        <w:rPr>
          <w:lang w:val="en-GB"/>
        </w:rPr>
        <w:t>TAFINLAR</w:t>
      </w:r>
      <w:r w:rsidRPr="00DE0839">
        <w:rPr>
          <w:lang w:val="en-GB"/>
        </w:rPr>
        <w:t>.</w:t>
      </w:r>
    </w:p>
    <w:p w14:paraId="783EAED8" w14:textId="77777777" w:rsidR="00F71E31" w:rsidRPr="008B0ED0" w:rsidRDefault="00F71E31" w:rsidP="008B0ED0">
      <w:pPr>
        <w:pStyle w:val="Heading2"/>
        <w:ind w:left="360"/>
        <w:rPr>
          <w:b w:val="0"/>
        </w:rPr>
      </w:pPr>
      <w:r w:rsidRPr="008B0ED0">
        <w:rPr>
          <w:b w:val="0"/>
        </w:rPr>
        <w:t>Effects of dabrafenib on substance transport systems</w:t>
      </w:r>
    </w:p>
    <w:p w14:paraId="17C68BD5" w14:textId="77777777" w:rsidR="00F71E31" w:rsidRDefault="00F71E31" w:rsidP="008B0ED0">
      <w:pPr>
        <w:ind w:left="360"/>
      </w:pPr>
      <w:r w:rsidRPr="00726E86">
        <w:t xml:space="preserve">Dabrafenib is an </w:t>
      </w:r>
      <w:r w:rsidRPr="00CE28A0">
        <w:rPr>
          <w:i/>
        </w:rPr>
        <w:t>in vitro</w:t>
      </w:r>
      <w:r w:rsidRPr="00726E86">
        <w:t xml:space="preserve"> inhibitor of human organic anion transporting polypeptide (OATP) 1B1 (OATP1B1) and OAT</w:t>
      </w:r>
      <w:r>
        <w:t>P1B3 and clinical relevance can</w:t>
      </w:r>
      <w:r w:rsidRPr="00726E86">
        <w:t xml:space="preserve">not be excluded. Therefore caution is recommended at co-administration of </w:t>
      </w:r>
      <w:r>
        <w:t>TAFINLAR</w:t>
      </w:r>
      <w:r w:rsidRPr="00726E86">
        <w:t xml:space="preserve"> and OATB1B1 or OATP1B3 substrates such as statins.</w:t>
      </w:r>
    </w:p>
    <w:p w14:paraId="36EF2B7E" w14:textId="77777777" w:rsidR="00F71E31" w:rsidRDefault="00F71E31" w:rsidP="008B0ED0">
      <w:pPr>
        <w:ind w:left="360"/>
      </w:pPr>
      <w:r>
        <w:t xml:space="preserve">Although TAFINLAR and its metabolites, </w:t>
      </w:r>
      <w:proofErr w:type="spellStart"/>
      <w:r>
        <w:t>hydroxy-dabrafenib</w:t>
      </w:r>
      <w:proofErr w:type="spellEnd"/>
      <w:r>
        <w:t xml:space="preserve">, </w:t>
      </w:r>
      <w:proofErr w:type="spellStart"/>
      <w:r>
        <w:t>carboxy-dabrafenib</w:t>
      </w:r>
      <w:proofErr w:type="spellEnd"/>
      <w:r>
        <w:t xml:space="preserve"> and </w:t>
      </w:r>
      <w:proofErr w:type="spellStart"/>
      <w:r>
        <w:t>desmethyl-dabrafenib</w:t>
      </w:r>
      <w:proofErr w:type="spellEnd"/>
      <w:r>
        <w:t xml:space="preserve">, were inhibitors of human organic anion transporter (OAT) 1 and OAT3 in vitro, the risk of a drug-drug interaction is minimal based on clinical exposure.  TAFINLAR and desmethyl-dabrafenib were also shown to be moderate inhibitors of human breast cancer resistance protein (BCRP); however, based on clinical exposure, the risk of a drug-drug interaction is minimal. Neither TAFINLAR nor its 3 metabolites were demonstrated to be inhibitors of P-gp </w:t>
      </w:r>
      <w:r w:rsidRPr="00BB2744">
        <w:rPr>
          <w:i/>
        </w:rPr>
        <w:t>in vitro</w:t>
      </w:r>
      <w:r>
        <w:t>.</w:t>
      </w:r>
    </w:p>
    <w:p w14:paraId="106454B2" w14:textId="77777777" w:rsidR="00F71E31" w:rsidRPr="008B0ED0" w:rsidRDefault="00F71E31" w:rsidP="008B0ED0">
      <w:pPr>
        <w:pStyle w:val="Heading2"/>
        <w:ind w:left="360"/>
        <w:rPr>
          <w:b w:val="0"/>
          <w:i/>
        </w:rPr>
      </w:pPr>
      <w:r w:rsidRPr="008B0ED0">
        <w:rPr>
          <w:b w:val="0"/>
          <w:i/>
        </w:rPr>
        <w:t>Combination of TAFINLAR with MEKINIST</w:t>
      </w:r>
    </w:p>
    <w:p w14:paraId="7411F4EC" w14:textId="12F744D0" w:rsidR="00F71E31" w:rsidRDefault="00F71E31" w:rsidP="008B0ED0">
      <w:pPr>
        <w:ind w:left="360"/>
      </w:pPr>
      <w:r w:rsidRPr="00A63187">
        <w:t xml:space="preserve">Co-administration of repeat dosing </w:t>
      </w:r>
      <w:r>
        <w:t>TAFINLAR</w:t>
      </w:r>
      <w:r w:rsidRPr="00A63187">
        <w:t xml:space="preserve"> 150 mg twice daily and </w:t>
      </w:r>
      <w:r>
        <w:t>MEKINIST</w:t>
      </w:r>
      <w:r w:rsidRPr="00A63187">
        <w:t xml:space="preserve"> 2 mg once daily resulted in no clinically meaningful changes in </w:t>
      </w:r>
      <w:r>
        <w:t>TAFINLAR</w:t>
      </w:r>
      <w:r w:rsidRPr="00A63187">
        <w:t xml:space="preserve"> or trametinib C</w:t>
      </w:r>
      <w:r w:rsidRPr="00A63187">
        <w:rPr>
          <w:vertAlign w:val="subscript"/>
        </w:rPr>
        <w:t>max</w:t>
      </w:r>
      <w:r w:rsidRPr="00A63187">
        <w:t xml:space="preserve"> and A</w:t>
      </w:r>
      <w:r>
        <w:t xml:space="preserve">UC </w:t>
      </w:r>
      <w:r w:rsidRPr="00617A72">
        <w:t xml:space="preserve">(see </w:t>
      </w:r>
      <w:r w:rsidR="001C1405">
        <w:t>section 5.2</w:t>
      </w:r>
      <w:r w:rsidR="00830174" w:rsidRPr="00830174">
        <w:t xml:space="preserve"> Pharmacokinetic properties</w:t>
      </w:r>
      <w:r w:rsidR="00830174" w:rsidRPr="00830174" w:rsidDel="001C1405">
        <w:t xml:space="preserve"> </w:t>
      </w:r>
      <w:r w:rsidRPr="00617A72">
        <w:t>).</w:t>
      </w:r>
    </w:p>
    <w:p w14:paraId="6FEDEDC7" w14:textId="77777777" w:rsidR="00F71E31" w:rsidRPr="00617A72" w:rsidRDefault="00F71E31" w:rsidP="008B0ED0">
      <w:pPr>
        <w:autoSpaceDE/>
        <w:autoSpaceDN/>
        <w:adjustRightInd/>
        <w:spacing w:after="0"/>
        <w:ind w:left="360"/>
        <w:rPr>
          <w:lang w:val="en-GB"/>
        </w:rPr>
      </w:pPr>
      <w:r w:rsidRPr="00617A72">
        <w:rPr>
          <w:lang w:val="en-GB"/>
        </w:rPr>
        <w:t xml:space="preserve">See Product Information for </w:t>
      </w:r>
      <w:r>
        <w:rPr>
          <w:lang w:val="en-GB"/>
        </w:rPr>
        <w:t>MEKINIST</w:t>
      </w:r>
      <w:r w:rsidRPr="00617A72">
        <w:rPr>
          <w:lang w:val="en-GB"/>
        </w:rPr>
        <w:t xml:space="preserve"> for guidelines on drug interactions associated with </w:t>
      </w:r>
      <w:r>
        <w:rPr>
          <w:lang w:val="en-GB"/>
        </w:rPr>
        <w:t>TAFINLAR</w:t>
      </w:r>
      <w:r w:rsidRPr="00617A72">
        <w:rPr>
          <w:lang w:val="en-GB"/>
        </w:rPr>
        <w:t xml:space="preserve"> </w:t>
      </w:r>
      <w:r>
        <w:rPr>
          <w:lang w:val="en-GB"/>
        </w:rPr>
        <w:t xml:space="preserve">combination </w:t>
      </w:r>
      <w:r w:rsidRPr="00617A72">
        <w:rPr>
          <w:lang w:val="en-GB"/>
        </w:rPr>
        <w:t>therapy.</w:t>
      </w:r>
    </w:p>
    <w:p w14:paraId="2F024646" w14:textId="3ACC7472" w:rsidR="007C2AA2" w:rsidRPr="00C54309" w:rsidRDefault="007C2AA2" w:rsidP="00C54309">
      <w:pPr>
        <w:pStyle w:val="ListParagraph"/>
        <w:keepNext/>
        <w:numPr>
          <w:ilvl w:val="0"/>
          <w:numId w:val="35"/>
        </w:numPr>
        <w:autoSpaceDE/>
        <w:autoSpaceDN/>
        <w:adjustRightInd/>
        <w:spacing w:before="120" w:line="240" w:lineRule="auto"/>
        <w:ind w:left="357" w:hanging="357"/>
        <w:contextualSpacing/>
        <w:rPr>
          <w:rFonts w:ascii="Times New Roman" w:hAnsi="Times New Roman" w:cs="Times New Roman"/>
          <w:b/>
          <w:sz w:val="24"/>
          <w:szCs w:val="24"/>
        </w:rPr>
      </w:pPr>
      <w:r w:rsidRPr="00C54309">
        <w:rPr>
          <w:rFonts w:ascii="Times New Roman" w:hAnsi="Times New Roman" w:cs="Times New Roman"/>
          <w:b/>
          <w:sz w:val="24"/>
          <w:szCs w:val="24"/>
        </w:rPr>
        <w:t xml:space="preserve">Fertility, </w:t>
      </w:r>
      <w:r w:rsidR="006320DA">
        <w:rPr>
          <w:rFonts w:ascii="Times New Roman" w:hAnsi="Times New Roman" w:cs="Times New Roman"/>
          <w:b/>
          <w:sz w:val="24"/>
          <w:szCs w:val="24"/>
        </w:rPr>
        <w:t>p</w:t>
      </w:r>
      <w:r w:rsidRPr="00C54309">
        <w:rPr>
          <w:rFonts w:ascii="Times New Roman" w:hAnsi="Times New Roman" w:cs="Times New Roman"/>
          <w:b/>
          <w:sz w:val="24"/>
          <w:szCs w:val="24"/>
        </w:rPr>
        <w:t>regnancy</w:t>
      </w:r>
      <w:r w:rsidR="006320DA">
        <w:rPr>
          <w:rFonts w:ascii="Times New Roman" w:hAnsi="Times New Roman" w:cs="Times New Roman"/>
          <w:b/>
          <w:sz w:val="24"/>
          <w:szCs w:val="24"/>
        </w:rPr>
        <w:t>,</w:t>
      </w:r>
      <w:r w:rsidRPr="00C54309">
        <w:rPr>
          <w:rFonts w:ascii="Times New Roman" w:hAnsi="Times New Roman" w:cs="Times New Roman"/>
          <w:b/>
          <w:sz w:val="24"/>
          <w:szCs w:val="24"/>
        </w:rPr>
        <w:t xml:space="preserve"> </w:t>
      </w:r>
      <w:r w:rsidR="006320DA">
        <w:rPr>
          <w:rFonts w:ascii="Times New Roman" w:hAnsi="Times New Roman" w:cs="Times New Roman"/>
          <w:b/>
          <w:sz w:val="24"/>
          <w:szCs w:val="24"/>
        </w:rPr>
        <w:t>a</w:t>
      </w:r>
      <w:r w:rsidRPr="00C54309">
        <w:rPr>
          <w:rFonts w:ascii="Times New Roman" w:hAnsi="Times New Roman" w:cs="Times New Roman"/>
          <w:b/>
          <w:sz w:val="24"/>
          <w:szCs w:val="24"/>
        </w:rPr>
        <w:t xml:space="preserve">nd </w:t>
      </w:r>
      <w:r w:rsidR="006320DA">
        <w:rPr>
          <w:rFonts w:ascii="Times New Roman" w:hAnsi="Times New Roman" w:cs="Times New Roman"/>
          <w:b/>
          <w:sz w:val="24"/>
          <w:szCs w:val="24"/>
        </w:rPr>
        <w:t>l</w:t>
      </w:r>
      <w:r w:rsidRPr="00C54309">
        <w:rPr>
          <w:rFonts w:ascii="Times New Roman" w:hAnsi="Times New Roman" w:cs="Times New Roman"/>
          <w:b/>
          <w:sz w:val="24"/>
          <w:szCs w:val="24"/>
        </w:rPr>
        <w:t>actation</w:t>
      </w:r>
    </w:p>
    <w:p w14:paraId="75BDD781" w14:textId="77777777" w:rsidR="007B5986" w:rsidRPr="00A10CD7" w:rsidRDefault="007B5986" w:rsidP="00A10CD7">
      <w:pPr>
        <w:pStyle w:val="Heading2"/>
        <w:ind w:left="357"/>
        <w:rPr>
          <w:i/>
        </w:rPr>
      </w:pPr>
      <w:r w:rsidRPr="00A10CD7">
        <w:rPr>
          <w:b w:val="0"/>
          <w:i/>
        </w:rPr>
        <w:t>Effects on fertility</w:t>
      </w:r>
    </w:p>
    <w:p w14:paraId="42410FDC" w14:textId="77777777" w:rsidR="007B5986" w:rsidRPr="00A10CD7" w:rsidRDefault="007B5986" w:rsidP="00A10CD7">
      <w:pPr>
        <w:ind w:left="357"/>
        <w:rPr>
          <w:u w:val="single"/>
        </w:rPr>
      </w:pPr>
      <w:r w:rsidRPr="00A10CD7">
        <w:rPr>
          <w:u w:val="single"/>
        </w:rPr>
        <w:t xml:space="preserve">Infertility </w:t>
      </w:r>
    </w:p>
    <w:p w14:paraId="550A4DFA" w14:textId="77777777" w:rsidR="007B5986" w:rsidRPr="007B5986" w:rsidRDefault="007B5986" w:rsidP="001550EB">
      <w:pPr>
        <w:widowControl w:val="0"/>
        <w:ind w:left="357"/>
        <w:rPr>
          <w:rFonts w:eastAsia="MS Mincho"/>
        </w:rPr>
      </w:pPr>
      <w:r w:rsidRPr="00F23670">
        <w:t xml:space="preserve">There are no data in humans. TAFINLAR may impair male and female fertility as adverse effects </w:t>
      </w:r>
      <w:r w:rsidRPr="00F23670">
        <w:lastRenderedPageBreak/>
        <w:t xml:space="preserve">on male </w:t>
      </w:r>
      <w:r w:rsidRPr="00B60AE6">
        <w:t xml:space="preserve">and female reproductive organs have been seen in animals. </w:t>
      </w:r>
      <w:r w:rsidRPr="00B60AE6">
        <w:rPr>
          <w:rFonts w:eastAsia="MS Mincho"/>
        </w:rPr>
        <w:t>Male patients should be informed of the potential ri</w:t>
      </w:r>
      <w:r w:rsidRPr="007B5986">
        <w:rPr>
          <w:rFonts w:eastAsia="MS Mincho"/>
        </w:rPr>
        <w:t>sk for impaired spermatogenesis, which may be irreversible.</w:t>
      </w:r>
    </w:p>
    <w:p w14:paraId="075E4E9C" w14:textId="77777777" w:rsidR="007B5986" w:rsidRPr="007B5986" w:rsidRDefault="007B5986" w:rsidP="00A10CD7">
      <w:pPr>
        <w:ind w:left="357"/>
      </w:pPr>
      <w:r w:rsidRPr="007B5986">
        <w:t xml:space="preserve">In combined female fertility, early embryonic and embryofetal development studies in rats numbers of ovarian corpora lutea were reduced in pregnant females at 300 mg/kg/day (approximately 3 times human clinical exposure based on AUC), but there were no effects on </w:t>
      </w:r>
      <w:proofErr w:type="spellStart"/>
      <w:r w:rsidRPr="007B5986">
        <w:t>estrous</w:t>
      </w:r>
      <w:proofErr w:type="spellEnd"/>
      <w:r w:rsidRPr="007B5986">
        <w:t xml:space="preserve"> cycle, mating or fertility. </w:t>
      </w:r>
    </w:p>
    <w:p w14:paraId="47FA6188" w14:textId="77777777" w:rsidR="007B5986" w:rsidRPr="00A10CD7" w:rsidRDefault="007B5986" w:rsidP="00A10CD7">
      <w:pPr>
        <w:widowControl w:val="0"/>
        <w:autoSpaceDE/>
        <w:autoSpaceDN/>
        <w:adjustRightInd/>
        <w:ind w:left="357"/>
        <w:rPr>
          <w:u w:val="single"/>
        </w:rPr>
      </w:pPr>
      <w:r w:rsidRPr="00A10CD7">
        <w:rPr>
          <w:u w:val="single"/>
        </w:rPr>
        <w:t xml:space="preserve">Males taking TAFINLAR in combination with MEKINIST </w:t>
      </w:r>
    </w:p>
    <w:p w14:paraId="6B7C7459" w14:textId="77777777" w:rsidR="007B5986" w:rsidRPr="007B5986" w:rsidRDefault="007B5986" w:rsidP="00A10CD7">
      <w:pPr>
        <w:ind w:left="357"/>
      </w:pPr>
      <w:r w:rsidRPr="00F23670">
        <w:t xml:space="preserve">Male fertility studies with TAFINLAR have not been conducted. However, in repeat dose studies, testicular degeneration/depletion </w:t>
      </w:r>
      <w:r w:rsidRPr="00B60AE6">
        <w:t xml:space="preserve">or spermatid retention was seen in mice, </w:t>
      </w:r>
      <w:r w:rsidRPr="00B457DF">
        <w:t>rats and dogs (≥ 0.2 times the human clinical exposure based on AUC). Testicular changes in rats and dogs</w:t>
      </w:r>
      <w:r w:rsidRPr="007B5986">
        <w:t xml:space="preserve"> were still present following a 4-week recovery period.</w:t>
      </w:r>
    </w:p>
    <w:p w14:paraId="20886149" w14:textId="77777777" w:rsidR="007B5986" w:rsidRPr="00A10CD7" w:rsidRDefault="007B5986" w:rsidP="00A10CD7">
      <w:pPr>
        <w:pStyle w:val="Heading2"/>
        <w:ind w:left="357"/>
        <w:rPr>
          <w:b w:val="0"/>
          <w:i/>
        </w:rPr>
      </w:pPr>
      <w:r w:rsidRPr="00A10CD7">
        <w:rPr>
          <w:b w:val="0"/>
          <w:i/>
        </w:rPr>
        <w:t>Use in Pregnancy (Category D)</w:t>
      </w:r>
    </w:p>
    <w:p w14:paraId="2B08F72D" w14:textId="77777777" w:rsidR="007B5986" w:rsidRPr="007B5986" w:rsidRDefault="007B5986" w:rsidP="00A10CD7">
      <w:pPr>
        <w:ind w:left="357"/>
      </w:pPr>
      <w:r w:rsidRPr="00F23670">
        <w:t xml:space="preserve">TAFINLAR can cause fetal harm when administered to a pregnant woman. There are no adequate and well-controlled studies of </w:t>
      </w:r>
      <w:r w:rsidRPr="00B60AE6">
        <w:t xml:space="preserve">TAFINLAR in pregnant women. </w:t>
      </w:r>
      <w:r w:rsidRPr="00B457DF">
        <w:t xml:space="preserve">Reproductive studies in rats have shown </w:t>
      </w:r>
      <w:r w:rsidRPr="007B5986">
        <w:t xml:space="preserve">embryofetal development toxicity, including teratogenic effects. In adult female rats dosed with dabrafenib before mating and during gestation embryofetal toxicities included embryo-lethality, variation in thymic shape, and fetal ventricular septal defects at 300 mg/kg/day, and delayed skeletal development and reduced fetal body weight at ≥ 20 mg/kg/day (≥ 0.5 times human clinical exposure based on AUC). </w:t>
      </w:r>
    </w:p>
    <w:p w14:paraId="11FF4208" w14:textId="77777777" w:rsidR="007B5986" w:rsidRPr="007B5986" w:rsidRDefault="007B5986" w:rsidP="00A10CD7">
      <w:pPr>
        <w:ind w:left="357"/>
      </w:pPr>
      <w:r w:rsidRPr="007B5986">
        <w:t xml:space="preserve">TAFINLAR should not be administered to pregnant women unless the potential benefit to the mother outweighs the possible risk to the foetus. </w:t>
      </w:r>
    </w:p>
    <w:p w14:paraId="0894E7BB" w14:textId="77777777" w:rsidR="007B5986" w:rsidRPr="00A10CD7" w:rsidRDefault="007B5986" w:rsidP="00A10CD7">
      <w:pPr>
        <w:ind w:left="357"/>
        <w:rPr>
          <w:i/>
          <w:u w:val="single"/>
        </w:rPr>
      </w:pPr>
      <w:r w:rsidRPr="00A10CD7">
        <w:rPr>
          <w:i/>
          <w:u w:val="single"/>
        </w:rPr>
        <w:t>Contraception</w:t>
      </w:r>
    </w:p>
    <w:p w14:paraId="538A9499" w14:textId="2CC0DDAA" w:rsidR="007B5986" w:rsidRPr="007B5986" w:rsidRDefault="007B5986" w:rsidP="00A10CD7">
      <w:pPr>
        <w:ind w:left="357"/>
      </w:pPr>
      <w:r w:rsidRPr="00F23670">
        <w:rPr>
          <w:rStyle w:val="CSIchar"/>
          <w:shd w:val="clear" w:color="auto" w:fill="auto"/>
        </w:rPr>
        <w:t xml:space="preserve">Females of reproductive potential should be advised that animal studies have been performed showing </w:t>
      </w:r>
      <w:r w:rsidRPr="00B60AE6">
        <w:rPr>
          <w:rStyle w:val="CSIchar"/>
          <w:shd w:val="clear" w:color="auto" w:fill="auto"/>
        </w:rPr>
        <w:t xml:space="preserve">TAFINLAR to be harmful to the developing fetus. </w:t>
      </w:r>
      <w:r w:rsidRPr="00B60AE6">
        <w:t>Sexually-active females of reproductive potential are recommended to</w:t>
      </w:r>
      <w:r w:rsidRPr="007B5986">
        <w:rPr>
          <w:rStyle w:val="CSIchar"/>
          <w:shd w:val="clear" w:color="auto" w:fill="auto"/>
        </w:rPr>
        <w:t xml:space="preserve"> use effective methods of contraception during TAFINLAR therapy and for 4 weeks following discontinuation of TAFINLAR. TAFINLAR may decrease the efficacy of hormonal contraceptives and an alternate method of contraception</w:t>
      </w:r>
      <w:r w:rsidRPr="007B5986">
        <w:t xml:space="preserve"> (</w:t>
      </w:r>
      <w:r w:rsidRPr="007B5986">
        <w:rPr>
          <w:rStyle w:val="CSIchar"/>
          <w:shd w:val="clear" w:color="auto" w:fill="auto"/>
        </w:rPr>
        <w:t xml:space="preserve">methods that result in less than 1 % pregnancy rates), such as barrier methods, should be used during treatment and for four weeks after stopping treatment with TAFINLAR (see </w:t>
      </w:r>
      <w:r w:rsidR="00957718">
        <w:rPr>
          <w:rStyle w:val="CSIchar"/>
          <w:shd w:val="clear" w:color="auto" w:fill="auto"/>
        </w:rPr>
        <w:t>section 4.5</w:t>
      </w:r>
      <w:r w:rsidR="00830174" w:rsidRPr="00830174">
        <w:t xml:space="preserve"> </w:t>
      </w:r>
      <w:r w:rsidR="00830174" w:rsidRPr="00830174">
        <w:rPr>
          <w:rStyle w:val="CSIchar"/>
          <w:shd w:val="clear" w:color="auto" w:fill="auto"/>
        </w:rPr>
        <w:t>Interactions with other medicines and other forms of interactions</w:t>
      </w:r>
      <w:r w:rsidRPr="007B5986">
        <w:rPr>
          <w:rStyle w:val="CSIchar"/>
          <w:shd w:val="clear" w:color="auto" w:fill="auto"/>
        </w:rPr>
        <w:t>).</w:t>
      </w:r>
      <w:r w:rsidRPr="007B5986">
        <w:rPr>
          <w:rStyle w:val="CSIchar"/>
        </w:rPr>
        <w:t xml:space="preserve"> </w:t>
      </w:r>
      <w:r w:rsidRPr="007B5986">
        <w:t xml:space="preserve"> </w:t>
      </w:r>
      <w:r w:rsidRPr="007B5986">
        <w:rPr>
          <w:rStyle w:val="CSIchar"/>
        </w:rPr>
        <w:t xml:space="preserve"> </w:t>
      </w:r>
      <w:r w:rsidRPr="007B5986">
        <w:t xml:space="preserve"> </w:t>
      </w:r>
    </w:p>
    <w:p w14:paraId="06739D1C" w14:textId="77777777" w:rsidR="007B5986" w:rsidRPr="00B60AE6" w:rsidRDefault="007B5986" w:rsidP="00A10CD7">
      <w:pPr>
        <w:ind w:left="357"/>
        <w:rPr>
          <w:rStyle w:val="CSIchar"/>
          <w:shd w:val="clear" w:color="auto" w:fill="auto"/>
        </w:rPr>
      </w:pPr>
      <w:r w:rsidRPr="00F23670">
        <w:t xml:space="preserve">If TAFINLAR is used during pregnancy, or if the patient becomes pregnant while taking TAFINLAR, the patient should be informed of the potential hazard to the </w:t>
      </w:r>
      <w:r w:rsidRPr="00B60AE6">
        <w:t>foetus.</w:t>
      </w:r>
      <w:r w:rsidRPr="00B60AE6">
        <w:rPr>
          <w:rStyle w:val="CSIchar"/>
          <w:shd w:val="clear" w:color="auto" w:fill="auto"/>
        </w:rPr>
        <w:t xml:space="preserve"> </w:t>
      </w:r>
    </w:p>
    <w:p w14:paraId="1C5EE163" w14:textId="77777777" w:rsidR="007B5986" w:rsidRPr="00A10CD7" w:rsidRDefault="007B5986" w:rsidP="00A10CD7">
      <w:pPr>
        <w:pStyle w:val="Heading2"/>
        <w:ind w:left="357"/>
        <w:rPr>
          <w:i/>
        </w:rPr>
      </w:pPr>
      <w:r w:rsidRPr="00A10CD7">
        <w:rPr>
          <w:b w:val="0"/>
          <w:i/>
        </w:rPr>
        <w:t>Use in Lactation</w:t>
      </w:r>
    </w:p>
    <w:p w14:paraId="7EF95EDD" w14:textId="77777777" w:rsidR="007B5986" w:rsidRPr="00B457DF" w:rsidRDefault="007B5986" w:rsidP="00A10CD7">
      <w:pPr>
        <w:ind w:left="357"/>
      </w:pPr>
      <w:r w:rsidRPr="00F23670">
        <w:t xml:space="preserve">There are no data on the effect of TAFINLAR on the breast-fed child, or on the effect of TAFINLAR </w:t>
      </w:r>
      <w:r w:rsidRPr="00B60AE6">
        <w:t>on milk production. Because many drugs are excreted in human milk</w:t>
      </w:r>
      <w:r w:rsidRPr="00B457DF">
        <w:t xml:space="preserve"> and because of the potential for adverse reactions in nursing infants from </w:t>
      </w:r>
      <w:r w:rsidRPr="007B5986">
        <w:t>TAFINLAR, a nursing woman should be advised on the potential risks to the child. The developmental and health benefits of breast-feeding should be considered along with the mother’s clinical need for TAFINLAR and any potential adverse effects on the breast-fed child from TAFINLAR or from the underlying maternal condition.</w:t>
      </w:r>
    </w:p>
    <w:p w14:paraId="2B326D8F" w14:textId="7E69AE05" w:rsidR="00B52FD4" w:rsidRPr="004B121B" w:rsidRDefault="00B17A43" w:rsidP="004B121B">
      <w:pPr>
        <w:pStyle w:val="ListParagraph"/>
        <w:numPr>
          <w:ilvl w:val="0"/>
          <w:numId w:val="35"/>
        </w:numPr>
        <w:rPr>
          <w:rFonts w:ascii="Times New Roman" w:hAnsi="Times New Roman" w:cs="Times New Roman"/>
          <w:b/>
          <w:sz w:val="24"/>
          <w:szCs w:val="24"/>
        </w:rPr>
      </w:pPr>
      <w:r w:rsidRPr="004B121B">
        <w:rPr>
          <w:rFonts w:ascii="Times New Roman" w:hAnsi="Times New Roman" w:cs="Times New Roman"/>
          <w:b/>
          <w:sz w:val="24"/>
          <w:szCs w:val="24"/>
        </w:rPr>
        <w:t xml:space="preserve">Effects on </w:t>
      </w:r>
      <w:r w:rsidR="004B121B">
        <w:rPr>
          <w:rFonts w:ascii="Times New Roman" w:hAnsi="Times New Roman" w:cs="Times New Roman"/>
          <w:b/>
          <w:sz w:val="24"/>
          <w:szCs w:val="24"/>
        </w:rPr>
        <w:t>a</w:t>
      </w:r>
      <w:r w:rsidR="00B52FD4" w:rsidRPr="004B121B">
        <w:rPr>
          <w:rFonts w:ascii="Times New Roman" w:hAnsi="Times New Roman" w:cs="Times New Roman"/>
          <w:b/>
          <w:sz w:val="24"/>
          <w:szCs w:val="24"/>
        </w:rPr>
        <w:t xml:space="preserve">bility to </w:t>
      </w:r>
      <w:r w:rsidR="004B121B">
        <w:rPr>
          <w:rFonts w:ascii="Times New Roman" w:hAnsi="Times New Roman" w:cs="Times New Roman"/>
          <w:b/>
          <w:sz w:val="24"/>
          <w:szCs w:val="24"/>
        </w:rPr>
        <w:t xml:space="preserve">drive and </w:t>
      </w:r>
      <w:r w:rsidR="003B7745">
        <w:rPr>
          <w:rFonts w:ascii="Times New Roman" w:hAnsi="Times New Roman" w:cs="Times New Roman"/>
          <w:b/>
          <w:sz w:val="24"/>
          <w:szCs w:val="24"/>
        </w:rPr>
        <w:t>use machines</w:t>
      </w:r>
    </w:p>
    <w:p w14:paraId="765CF355" w14:textId="374603BB" w:rsidR="00D87CDE" w:rsidRDefault="00B52FD4" w:rsidP="001550EB">
      <w:pPr>
        <w:ind w:left="360"/>
      </w:pPr>
      <w:r w:rsidRPr="00BF1F9D">
        <w:t>There have been no studies to investigate the effect of</w:t>
      </w:r>
      <w:r>
        <w:t xml:space="preserve"> TAFINLAR</w:t>
      </w:r>
      <w:r w:rsidRPr="00BF1F9D">
        <w:t xml:space="preserve"> on driving performance or the ability to operate machinery. A detrimental effect on such activities would not be anticipated from </w:t>
      </w:r>
      <w:r w:rsidRPr="00BF1F9D">
        <w:lastRenderedPageBreak/>
        <w:t>the pharmacology of</w:t>
      </w:r>
      <w:r>
        <w:t xml:space="preserve"> TAFINLAR</w:t>
      </w:r>
      <w:r w:rsidRPr="00BF1F9D">
        <w:t>. The clinical status of the patient and the adverse event profile of</w:t>
      </w:r>
      <w:r>
        <w:t xml:space="preserve"> TAFINLAR</w:t>
      </w:r>
      <w:r w:rsidRPr="00BF1F9D">
        <w:t xml:space="preserve"> should be borne in mind when considering the patient’s ability to perform tasks that require judgment, motor and cognitive skills.</w:t>
      </w:r>
    </w:p>
    <w:p w14:paraId="542ABDDF" w14:textId="77777777" w:rsidR="00D87CDE" w:rsidRDefault="00D87CDE" w:rsidP="001550EB">
      <w:pPr>
        <w:ind w:left="360"/>
        <w:rPr>
          <w:b/>
        </w:rPr>
      </w:pPr>
    </w:p>
    <w:p w14:paraId="07264EC1" w14:textId="455A9184" w:rsidR="007C6B71" w:rsidRPr="001550EB" w:rsidRDefault="007C6B71">
      <w:pPr>
        <w:pStyle w:val="ListParagraph"/>
        <w:numPr>
          <w:ilvl w:val="0"/>
          <w:numId w:val="35"/>
        </w:numPr>
        <w:rPr>
          <w:rFonts w:ascii="Times New Roman" w:hAnsi="Times New Roman" w:cs="Times New Roman"/>
          <w:b/>
          <w:sz w:val="24"/>
          <w:szCs w:val="24"/>
        </w:rPr>
      </w:pPr>
      <w:r w:rsidRPr="001550EB">
        <w:rPr>
          <w:rFonts w:ascii="Times New Roman" w:hAnsi="Times New Roman" w:cs="Times New Roman"/>
          <w:b/>
          <w:sz w:val="24"/>
          <w:szCs w:val="24"/>
        </w:rPr>
        <w:t>Adverse effects (undesirable effects)</w:t>
      </w:r>
    </w:p>
    <w:p w14:paraId="2FA95602" w14:textId="77777777" w:rsidR="000B4520" w:rsidRPr="000B4520" w:rsidRDefault="000B4520" w:rsidP="001550EB">
      <w:pPr>
        <w:pStyle w:val="Heading2"/>
        <w:keepNext w:val="0"/>
        <w:widowControl w:val="0"/>
        <w:ind w:left="357"/>
        <w:rPr>
          <w:b w:val="0"/>
          <w:i/>
        </w:rPr>
      </w:pPr>
      <w:r w:rsidRPr="000B4520">
        <w:rPr>
          <w:b w:val="0"/>
          <w:i/>
        </w:rPr>
        <w:t>Summary of the safety profile</w:t>
      </w:r>
    </w:p>
    <w:p w14:paraId="0E5550CA" w14:textId="77777777" w:rsidR="000B4520" w:rsidRPr="000B4520" w:rsidRDefault="000B4520" w:rsidP="001550EB">
      <w:pPr>
        <w:pStyle w:val="Heading2"/>
        <w:keepNext w:val="0"/>
        <w:widowControl w:val="0"/>
        <w:ind w:left="357"/>
        <w:rPr>
          <w:b w:val="0"/>
          <w:i/>
          <w:u w:val="none"/>
        </w:rPr>
      </w:pPr>
      <w:r w:rsidRPr="000B4520">
        <w:rPr>
          <w:b w:val="0"/>
          <w:i/>
          <w:u w:val="none"/>
        </w:rPr>
        <w:t>Unresectable or metastatic melanoma</w:t>
      </w:r>
    </w:p>
    <w:p w14:paraId="7A09027D" w14:textId="77777777" w:rsidR="000B4520" w:rsidRPr="000B4520" w:rsidRDefault="000B4520" w:rsidP="001550EB">
      <w:pPr>
        <w:pStyle w:val="Heading3"/>
        <w:keepNext w:val="0"/>
        <w:widowControl w:val="0"/>
        <w:ind w:left="357"/>
        <w:rPr>
          <w:b w:val="0"/>
          <w:u w:val="single"/>
        </w:rPr>
      </w:pPr>
      <w:r w:rsidRPr="000B4520">
        <w:rPr>
          <w:b w:val="0"/>
          <w:u w:val="single"/>
        </w:rPr>
        <w:t>TAFINLAR Monotherapy</w:t>
      </w:r>
    </w:p>
    <w:p w14:paraId="46B15C96" w14:textId="77777777" w:rsidR="000B4520" w:rsidRPr="00BF1F9D" w:rsidRDefault="000B4520" w:rsidP="001550EB">
      <w:pPr>
        <w:widowControl w:val="0"/>
        <w:ind w:left="357"/>
      </w:pPr>
      <w:r w:rsidRPr="00BF1F9D">
        <w:t xml:space="preserve">Safety data were integrated from five clinical monotherapy studies and included 578 patients with </w:t>
      </w:r>
      <w:r w:rsidRPr="001032DC">
        <w:t xml:space="preserve">BRAF V600 mutant unresectable or </w:t>
      </w:r>
      <w:r w:rsidRPr="00BF1F9D">
        <w:t>melanoma. Approximately 30</w:t>
      </w:r>
      <w:r>
        <w:t xml:space="preserve"> %</w:t>
      </w:r>
      <w:r w:rsidRPr="00BF1F9D">
        <w:t xml:space="preserve"> of patients received treatment with </w:t>
      </w:r>
      <w:r>
        <w:t>TAFINLAR</w:t>
      </w:r>
      <w:r w:rsidRPr="00BF1F9D">
        <w:t xml:space="preserve"> for more than 6 months. </w:t>
      </w:r>
    </w:p>
    <w:p w14:paraId="1D39C4FB" w14:textId="77777777" w:rsidR="000B4520" w:rsidRPr="00BF1F9D" w:rsidRDefault="000B4520" w:rsidP="001550EB">
      <w:pPr>
        <w:widowControl w:val="0"/>
        <w:ind w:left="357"/>
      </w:pPr>
      <w:r w:rsidRPr="00BF1F9D">
        <w:t xml:space="preserve">In the integrated </w:t>
      </w:r>
      <w:r>
        <w:t>TAFINLAR</w:t>
      </w:r>
      <w:r w:rsidRPr="00BF1F9D">
        <w:t xml:space="preserve"> safety population, the most common (</w:t>
      </w:r>
      <w:r w:rsidRPr="00BF1F9D">
        <w:sym w:font="Symbol" w:char="F0B3"/>
      </w:r>
      <w:r w:rsidRPr="00BF1F9D">
        <w:t> 15</w:t>
      </w:r>
      <w:r>
        <w:t xml:space="preserve"> %</w:t>
      </w:r>
      <w:r w:rsidRPr="00BF1F9D">
        <w:t xml:space="preserve">) adverse reactions were hyperkeratosis, headache, pyrexia, arthralgia, fatigue, nausea, </w:t>
      </w:r>
      <w:proofErr w:type="gramStart"/>
      <w:r w:rsidRPr="00BF1F9D">
        <w:t>skin</w:t>
      </w:r>
      <w:proofErr w:type="gramEnd"/>
      <w:r w:rsidRPr="00BF1F9D">
        <w:t xml:space="preserve"> papilloma, alopecia, rash and vomiting.</w:t>
      </w:r>
      <w:r>
        <w:t xml:space="preserve"> </w:t>
      </w:r>
    </w:p>
    <w:p w14:paraId="4C468688" w14:textId="5D7AD988" w:rsidR="000B4520" w:rsidRPr="00BF1F9D" w:rsidRDefault="000B4520" w:rsidP="000B4520">
      <w:pPr>
        <w:ind w:left="360"/>
      </w:pPr>
      <w:r w:rsidRPr="00BF1F9D">
        <w:t xml:space="preserve">Adverse reactions are listed </w:t>
      </w:r>
      <w:r>
        <w:t xml:space="preserve">in Table </w:t>
      </w:r>
      <w:r w:rsidR="00C73E06">
        <w:t>3</w:t>
      </w:r>
      <w:r w:rsidRPr="00BF1F9D">
        <w:t xml:space="preserve"> by MedDRA body system organ class.</w:t>
      </w:r>
      <w:r w:rsidRPr="00B34D42">
        <w:t xml:space="preserve"> Within each system organ class, the adverse events are ranked by frequency, with the most frequent adverse events first. Within each frequency grouping, adverse events are presented in order of decreasing seriousness.</w:t>
      </w:r>
      <w:r>
        <w:t xml:space="preserve"> </w:t>
      </w:r>
      <w:r w:rsidRPr="00BF1F9D">
        <w:t xml:space="preserve">The following convention has been utilised for the classification of frequency: </w:t>
      </w:r>
    </w:p>
    <w:p w14:paraId="48A3F5D5" w14:textId="4CF81A96" w:rsidR="000B4520" w:rsidRPr="00BF1F9D" w:rsidRDefault="000B4520" w:rsidP="000B4520">
      <w:pPr>
        <w:spacing w:after="60"/>
        <w:ind w:left="1800"/>
      </w:pPr>
      <w:r w:rsidRPr="00BF1F9D">
        <w:t>Very common</w:t>
      </w:r>
      <w:r w:rsidRPr="00BF1F9D">
        <w:tab/>
      </w:r>
      <w:r w:rsidRPr="00BF1F9D">
        <w:sym w:font="Symbol" w:char="F0B3"/>
      </w:r>
      <w:r w:rsidRPr="00BF1F9D">
        <w:t xml:space="preserve"> 1 in 10</w:t>
      </w:r>
    </w:p>
    <w:p w14:paraId="551AD1D5" w14:textId="6520C0B6" w:rsidR="000B4520" w:rsidRPr="00BF1F9D" w:rsidRDefault="000B4520" w:rsidP="000B4520">
      <w:pPr>
        <w:spacing w:after="60"/>
        <w:ind w:left="1800"/>
      </w:pPr>
      <w:r w:rsidRPr="00BF1F9D">
        <w:t>Common</w:t>
      </w:r>
      <w:r w:rsidRPr="00BF1F9D">
        <w:tab/>
      </w:r>
      <w:r w:rsidRPr="00BF1F9D">
        <w:tab/>
      </w:r>
      <w:r w:rsidRPr="00BF1F9D">
        <w:sym w:font="Symbol" w:char="F0B3"/>
      </w:r>
      <w:r w:rsidRPr="00BF1F9D">
        <w:t xml:space="preserve"> 1 in 100</w:t>
      </w:r>
      <w:r w:rsidR="000C7575">
        <w:t xml:space="preserve"> and</w:t>
      </w:r>
      <w:r w:rsidRPr="00BF1F9D">
        <w:t xml:space="preserve"> &lt; 1 in 10</w:t>
      </w:r>
    </w:p>
    <w:p w14:paraId="00F0AFF9" w14:textId="42C700D0" w:rsidR="000B4520" w:rsidRDefault="000B4520" w:rsidP="000B4520">
      <w:pPr>
        <w:spacing w:after="60"/>
        <w:ind w:left="1800"/>
      </w:pPr>
      <w:proofErr w:type="gramStart"/>
      <w:r w:rsidRPr="00BF1F9D">
        <w:t>Uncommon</w:t>
      </w:r>
      <w:r w:rsidRPr="00BF1F9D">
        <w:tab/>
      </w:r>
      <w:r w:rsidRPr="00BF1F9D">
        <w:sym w:font="Symbol" w:char="F0B3"/>
      </w:r>
      <w:r w:rsidRPr="00BF1F9D">
        <w:t xml:space="preserve"> 1 in 1,000 </w:t>
      </w:r>
      <w:r w:rsidR="000C7575">
        <w:t>and</w:t>
      </w:r>
      <w:r>
        <w:t xml:space="preserve"> </w:t>
      </w:r>
      <w:r w:rsidRPr="00BF1F9D">
        <w:t>&lt; 1 in 100</w:t>
      </w:r>
      <w:r w:rsidR="000C7575">
        <w:t>.</w:t>
      </w:r>
      <w:proofErr w:type="gramEnd"/>
    </w:p>
    <w:p w14:paraId="48E59EF2" w14:textId="735EB903" w:rsidR="000C7575" w:rsidRDefault="000C7575" w:rsidP="000B4520">
      <w:pPr>
        <w:spacing w:after="60"/>
        <w:ind w:left="1800"/>
      </w:pPr>
    </w:p>
    <w:p w14:paraId="0F4DE6E0" w14:textId="5BE3546B" w:rsidR="000C7575" w:rsidRDefault="000B4520" w:rsidP="000C7575">
      <w:pPr>
        <w:pStyle w:val="Title"/>
        <w:keepNext/>
        <w:ind w:left="357"/>
      </w:pPr>
      <w:r>
        <w:t xml:space="preserve">Table </w:t>
      </w:r>
      <w:r w:rsidR="00C73E06">
        <w:t>3</w:t>
      </w:r>
      <w:r>
        <w:tab/>
      </w:r>
      <w:r w:rsidR="00235FBD">
        <w:t>Unres</w:t>
      </w:r>
      <w:r w:rsidR="000C7575">
        <w:t>e</w:t>
      </w:r>
      <w:r w:rsidR="00235FBD">
        <w:t>ctable or metastatic melanoma -</w:t>
      </w:r>
      <w:r w:rsidR="000C7575">
        <w:t xml:space="preserve"> </w:t>
      </w:r>
      <w:r w:rsidR="00235FBD">
        <w:t>a</w:t>
      </w:r>
      <w:r>
        <w:t xml:space="preserve">dverse reactions with TAFINLAR </w:t>
      </w:r>
    </w:p>
    <w:p w14:paraId="69EB6A1F" w14:textId="03A05A8D" w:rsidR="000B4520" w:rsidRDefault="000C7575" w:rsidP="000B4520">
      <w:pPr>
        <w:pStyle w:val="Title"/>
        <w:keepNext/>
        <w:spacing w:after="120"/>
        <w:ind w:left="360"/>
      </w:pPr>
      <w:r>
        <w:tab/>
      </w:r>
      <w:r>
        <w:tab/>
      </w:r>
      <w:proofErr w:type="gramStart"/>
      <w:r w:rsidR="000B4520">
        <w:t>monotherapy</w:t>
      </w:r>
      <w:proofErr w:type="gramEnd"/>
    </w:p>
    <w:tbl>
      <w:tblPr>
        <w:tblW w:w="0" w:type="auto"/>
        <w:tblInd w:w="612" w:type="dxa"/>
        <w:tblLayout w:type="fixed"/>
        <w:tblLook w:val="0000" w:firstRow="0" w:lastRow="0" w:firstColumn="0" w:lastColumn="0" w:noHBand="0" w:noVBand="0"/>
      </w:tblPr>
      <w:tblGrid>
        <w:gridCol w:w="1791"/>
        <w:gridCol w:w="52"/>
        <w:gridCol w:w="7184"/>
      </w:tblGrid>
      <w:tr w:rsidR="000B4520" w:rsidRPr="00BF1F9D" w14:paraId="1A6A5576" w14:textId="77777777" w:rsidTr="001550EB">
        <w:trPr>
          <w:cantSplit/>
          <w:trHeight w:hRule="exact" w:val="284"/>
        </w:trPr>
        <w:tc>
          <w:tcPr>
            <w:tcW w:w="9027" w:type="dxa"/>
            <w:gridSpan w:val="3"/>
            <w:tcBorders>
              <w:top w:val="single" w:sz="4" w:space="0" w:color="auto"/>
            </w:tcBorders>
            <w:shd w:val="clear" w:color="auto" w:fill="auto"/>
          </w:tcPr>
          <w:p w14:paraId="07531C1E" w14:textId="77777777" w:rsidR="000B4520" w:rsidRPr="008033AC" w:rsidRDefault="000B4520" w:rsidP="0088047D">
            <w:pPr>
              <w:pStyle w:val="Heading3"/>
              <w:rPr>
                <w:rFonts w:ascii="Arial" w:hAnsi="Arial" w:cs="Arial"/>
                <w:sz w:val="20"/>
                <w:szCs w:val="20"/>
              </w:rPr>
            </w:pPr>
            <w:r w:rsidRPr="008033AC">
              <w:rPr>
                <w:rFonts w:ascii="Arial" w:hAnsi="Arial" w:cs="Arial"/>
                <w:sz w:val="20"/>
                <w:szCs w:val="20"/>
              </w:rPr>
              <w:t>Neoplasms benign and malignant (including cysts and polyps)</w:t>
            </w:r>
          </w:p>
        </w:tc>
      </w:tr>
      <w:tr w:rsidR="000B4520" w:rsidRPr="00BF1F9D" w14:paraId="34A2CB7F" w14:textId="77777777" w:rsidTr="001550EB">
        <w:trPr>
          <w:cantSplit/>
          <w:trHeight w:hRule="exact" w:val="284"/>
        </w:trPr>
        <w:tc>
          <w:tcPr>
            <w:tcW w:w="1791" w:type="dxa"/>
            <w:shd w:val="clear" w:color="auto" w:fill="auto"/>
          </w:tcPr>
          <w:p w14:paraId="7C5D49EF" w14:textId="77777777" w:rsidR="000B4520" w:rsidRPr="008033AC" w:rsidRDefault="000B4520" w:rsidP="0088047D">
            <w:pPr>
              <w:pStyle w:val="ListParagraph"/>
              <w:rPr>
                <w:sz w:val="20"/>
                <w:szCs w:val="20"/>
              </w:rPr>
            </w:pPr>
            <w:r w:rsidRPr="008033AC">
              <w:rPr>
                <w:sz w:val="20"/>
                <w:szCs w:val="20"/>
              </w:rPr>
              <w:t>Very common</w:t>
            </w:r>
          </w:p>
        </w:tc>
        <w:tc>
          <w:tcPr>
            <w:tcW w:w="7236" w:type="dxa"/>
            <w:gridSpan w:val="2"/>
            <w:shd w:val="clear" w:color="auto" w:fill="auto"/>
          </w:tcPr>
          <w:p w14:paraId="21EA4D43" w14:textId="77777777" w:rsidR="000B4520" w:rsidRPr="008033AC" w:rsidRDefault="000B4520" w:rsidP="0088047D">
            <w:pPr>
              <w:pStyle w:val="ListParagraph"/>
              <w:rPr>
                <w:sz w:val="20"/>
                <w:szCs w:val="20"/>
              </w:rPr>
            </w:pPr>
            <w:r w:rsidRPr="008033AC">
              <w:rPr>
                <w:sz w:val="20"/>
                <w:szCs w:val="20"/>
              </w:rPr>
              <w:t>Papilloma</w:t>
            </w:r>
          </w:p>
        </w:tc>
      </w:tr>
      <w:tr w:rsidR="000B4520" w:rsidRPr="00BF1F9D" w14:paraId="04B78DA6" w14:textId="77777777" w:rsidTr="001550EB">
        <w:trPr>
          <w:cantSplit/>
          <w:trHeight w:hRule="exact" w:val="284"/>
        </w:trPr>
        <w:tc>
          <w:tcPr>
            <w:tcW w:w="1791" w:type="dxa"/>
            <w:shd w:val="clear" w:color="auto" w:fill="auto"/>
          </w:tcPr>
          <w:p w14:paraId="64659DE7" w14:textId="77777777" w:rsidR="000B4520" w:rsidRPr="008033AC" w:rsidRDefault="000B4520" w:rsidP="0088047D">
            <w:pPr>
              <w:pStyle w:val="ListParagraph"/>
              <w:rPr>
                <w:sz w:val="20"/>
                <w:szCs w:val="20"/>
              </w:rPr>
            </w:pPr>
            <w:r w:rsidRPr="008033AC">
              <w:rPr>
                <w:sz w:val="20"/>
                <w:szCs w:val="20"/>
              </w:rPr>
              <w:t>Common</w:t>
            </w:r>
          </w:p>
        </w:tc>
        <w:tc>
          <w:tcPr>
            <w:tcW w:w="7236" w:type="dxa"/>
            <w:gridSpan w:val="2"/>
            <w:shd w:val="clear" w:color="auto" w:fill="auto"/>
          </w:tcPr>
          <w:p w14:paraId="29678DCC" w14:textId="77777777" w:rsidR="000B4520" w:rsidRPr="008033AC" w:rsidRDefault="000B4520" w:rsidP="0088047D">
            <w:pPr>
              <w:pStyle w:val="ListParagraph"/>
              <w:rPr>
                <w:sz w:val="20"/>
                <w:szCs w:val="20"/>
              </w:rPr>
            </w:pPr>
            <w:proofErr w:type="spellStart"/>
            <w:r w:rsidRPr="008033AC">
              <w:rPr>
                <w:sz w:val="20"/>
                <w:szCs w:val="20"/>
              </w:rPr>
              <w:t>Acrochordon</w:t>
            </w:r>
            <w:proofErr w:type="spellEnd"/>
            <w:r w:rsidRPr="008033AC">
              <w:rPr>
                <w:sz w:val="20"/>
                <w:szCs w:val="20"/>
              </w:rPr>
              <w:t xml:space="preserve"> (skin tags), cutaneous squamous cell carcinoma (SCC) including SCC of the skin, SCC in situ (Bowen’s disease) and keratoacanthoma, seborrhoeic keratosis, basal cell carcinoma</w:t>
            </w:r>
          </w:p>
        </w:tc>
      </w:tr>
      <w:tr w:rsidR="000B4520" w:rsidRPr="00BF1F9D" w14:paraId="3D34DD49" w14:textId="77777777" w:rsidTr="001550EB">
        <w:trPr>
          <w:cantSplit/>
          <w:trHeight w:hRule="exact" w:val="284"/>
        </w:trPr>
        <w:tc>
          <w:tcPr>
            <w:tcW w:w="1791" w:type="dxa"/>
            <w:tcBorders>
              <w:bottom w:val="single" w:sz="4" w:space="0" w:color="auto"/>
            </w:tcBorders>
            <w:shd w:val="clear" w:color="auto" w:fill="auto"/>
          </w:tcPr>
          <w:p w14:paraId="10C1D82C" w14:textId="77777777" w:rsidR="000B4520" w:rsidRPr="008033AC" w:rsidRDefault="000B4520" w:rsidP="0088047D">
            <w:pPr>
              <w:pStyle w:val="ListParagraph"/>
              <w:rPr>
                <w:sz w:val="20"/>
                <w:szCs w:val="20"/>
              </w:rPr>
            </w:pPr>
            <w:r w:rsidRPr="008033AC">
              <w:rPr>
                <w:sz w:val="20"/>
                <w:szCs w:val="20"/>
              </w:rPr>
              <w:t>Uncommon</w:t>
            </w:r>
          </w:p>
        </w:tc>
        <w:tc>
          <w:tcPr>
            <w:tcW w:w="7236" w:type="dxa"/>
            <w:gridSpan w:val="2"/>
            <w:tcBorders>
              <w:bottom w:val="single" w:sz="4" w:space="0" w:color="auto"/>
            </w:tcBorders>
            <w:shd w:val="clear" w:color="auto" w:fill="auto"/>
          </w:tcPr>
          <w:p w14:paraId="778ED2AB" w14:textId="77777777" w:rsidR="000B4520" w:rsidRPr="008033AC" w:rsidRDefault="000B4520" w:rsidP="0088047D">
            <w:pPr>
              <w:pStyle w:val="ListParagraph"/>
              <w:rPr>
                <w:sz w:val="20"/>
                <w:szCs w:val="20"/>
              </w:rPr>
            </w:pPr>
            <w:r w:rsidRPr="008033AC">
              <w:rPr>
                <w:sz w:val="20"/>
                <w:szCs w:val="20"/>
              </w:rPr>
              <w:t>New primary melanoma</w:t>
            </w:r>
          </w:p>
        </w:tc>
      </w:tr>
      <w:tr w:rsidR="000B4520" w:rsidRPr="008033AC" w14:paraId="7473B5EF" w14:textId="77777777" w:rsidTr="001550EB">
        <w:trPr>
          <w:cantSplit/>
          <w:trHeight w:hRule="exact" w:val="284"/>
        </w:trPr>
        <w:tc>
          <w:tcPr>
            <w:tcW w:w="9027" w:type="dxa"/>
            <w:gridSpan w:val="3"/>
            <w:tcBorders>
              <w:top w:val="single" w:sz="4" w:space="0" w:color="auto"/>
            </w:tcBorders>
            <w:shd w:val="clear" w:color="auto" w:fill="auto"/>
          </w:tcPr>
          <w:p w14:paraId="301A1A67" w14:textId="77777777" w:rsidR="000B4520" w:rsidRPr="008033AC" w:rsidRDefault="000B4520" w:rsidP="0088047D">
            <w:pPr>
              <w:pStyle w:val="ListParagraph"/>
              <w:spacing w:before="60" w:after="60" w:line="240" w:lineRule="auto"/>
              <w:rPr>
                <w:b/>
                <w:sz w:val="20"/>
                <w:szCs w:val="20"/>
              </w:rPr>
            </w:pPr>
            <w:r w:rsidRPr="008033AC">
              <w:rPr>
                <w:b/>
                <w:sz w:val="20"/>
                <w:szCs w:val="20"/>
              </w:rPr>
              <w:t>Immune System Disorders</w:t>
            </w:r>
          </w:p>
        </w:tc>
      </w:tr>
      <w:tr w:rsidR="000B4520" w:rsidRPr="00BF1F9D" w14:paraId="0BFA155E" w14:textId="77777777" w:rsidTr="001550EB">
        <w:trPr>
          <w:cantSplit/>
          <w:trHeight w:hRule="exact" w:val="284"/>
        </w:trPr>
        <w:tc>
          <w:tcPr>
            <w:tcW w:w="1791" w:type="dxa"/>
            <w:shd w:val="clear" w:color="auto" w:fill="auto"/>
          </w:tcPr>
          <w:p w14:paraId="16178DD5" w14:textId="77777777" w:rsidR="000B4520" w:rsidRPr="008033AC" w:rsidRDefault="000B4520" w:rsidP="0088047D">
            <w:pPr>
              <w:pStyle w:val="ListParagraph"/>
              <w:spacing w:before="60" w:after="60" w:line="240" w:lineRule="auto"/>
              <w:rPr>
                <w:sz w:val="20"/>
                <w:szCs w:val="20"/>
              </w:rPr>
            </w:pPr>
            <w:r w:rsidRPr="008033AC">
              <w:rPr>
                <w:sz w:val="20"/>
                <w:szCs w:val="20"/>
              </w:rPr>
              <w:t>Uncommon</w:t>
            </w:r>
          </w:p>
        </w:tc>
        <w:tc>
          <w:tcPr>
            <w:tcW w:w="7236" w:type="dxa"/>
            <w:gridSpan w:val="2"/>
            <w:shd w:val="clear" w:color="auto" w:fill="auto"/>
          </w:tcPr>
          <w:p w14:paraId="20A8EF89" w14:textId="77777777" w:rsidR="000B4520" w:rsidRPr="008033AC" w:rsidRDefault="000B4520" w:rsidP="0088047D">
            <w:pPr>
              <w:pStyle w:val="ListParagraph"/>
              <w:spacing w:before="60" w:after="60" w:line="240" w:lineRule="auto"/>
              <w:rPr>
                <w:sz w:val="20"/>
                <w:szCs w:val="20"/>
              </w:rPr>
            </w:pPr>
            <w:r w:rsidRPr="008033AC">
              <w:rPr>
                <w:sz w:val="20"/>
                <w:szCs w:val="20"/>
              </w:rPr>
              <w:t>Hypersensitivity, panniculitis</w:t>
            </w:r>
          </w:p>
        </w:tc>
      </w:tr>
      <w:tr w:rsidR="000B4520" w:rsidRPr="008033AC" w14:paraId="21D08AF4" w14:textId="77777777" w:rsidTr="001550EB">
        <w:trPr>
          <w:cantSplit/>
          <w:trHeight w:hRule="exact" w:val="284"/>
        </w:trPr>
        <w:tc>
          <w:tcPr>
            <w:tcW w:w="9027" w:type="dxa"/>
            <w:gridSpan w:val="3"/>
            <w:tcBorders>
              <w:top w:val="single" w:sz="4" w:space="0" w:color="auto"/>
            </w:tcBorders>
            <w:shd w:val="clear" w:color="auto" w:fill="auto"/>
          </w:tcPr>
          <w:p w14:paraId="14126C47" w14:textId="77777777" w:rsidR="000B4520" w:rsidRPr="008033AC" w:rsidRDefault="000B4520" w:rsidP="0088047D">
            <w:pPr>
              <w:pStyle w:val="ListParagraph"/>
              <w:spacing w:before="60" w:after="60" w:line="240" w:lineRule="auto"/>
              <w:rPr>
                <w:b/>
                <w:sz w:val="20"/>
                <w:szCs w:val="20"/>
              </w:rPr>
            </w:pPr>
            <w:r w:rsidRPr="008033AC">
              <w:rPr>
                <w:b/>
                <w:sz w:val="20"/>
                <w:szCs w:val="20"/>
              </w:rPr>
              <w:t>Infections and infestations</w:t>
            </w:r>
          </w:p>
        </w:tc>
      </w:tr>
      <w:tr w:rsidR="000B4520" w:rsidRPr="008033AC" w14:paraId="22163D71" w14:textId="77777777" w:rsidTr="001550EB">
        <w:trPr>
          <w:cantSplit/>
          <w:trHeight w:hRule="exact" w:val="284"/>
        </w:trPr>
        <w:tc>
          <w:tcPr>
            <w:tcW w:w="1843" w:type="dxa"/>
            <w:gridSpan w:val="2"/>
            <w:shd w:val="clear" w:color="auto" w:fill="auto"/>
          </w:tcPr>
          <w:p w14:paraId="586F7E18" w14:textId="77777777" w:rsidR="000B4520" w:rsidRPr="008033AC" w:rsidRDefault="000B4520" w:rsidP="0088047D">
            <w:pPr>
              <w:pStyle w:val="listbull"/>
              <w:numPr>
                <w:ilvl w:val="0"/>
                <w:numId w:val="0"/>
              </w:numPr>
              <w:spacing w:before="60" w:after="60" w:line="240" w:lineRule="auto"/>
              <w:rPr>
                <w:rFonts w:ascii="Arial" w:hAnsi="Arial" w:cs="Arial"/>
                <w:sz w:val="20"/>
                <w:szCs w:val="20"/>
              </w:rPr>
            </w:pPr>
            <w:r w:rsidRPr="008033AC">
              <w:rPr>
                <w:rFonts w:ascii="Arial" w:hAnsi="Arial" w:cs="Arial"/>
                <w:sz w:val="20"/>
                <w:szCs w:val="20"/>
              </w:rPr>
              <w:t>Common</w:t>
            </w:r>
          </w:p>
        </w:tc>
        <w:tc>
          <w:tcPr>
            <w:tcW w:w="7184" w:type="dxa"/>
            <w:shd w:val="clear" w:color="auto" w:fill="auto"/>
          </w:tcPr>
          <w:p w14:paraId="48453530" w14:textId="77777777" w:rsidR="000B4520" w:rsidRPr="008033AC" w:rsidRDefault="000B4520" w:rsidP="0088047D">
            <w:pPr>
              <w:spacing w:before="60" w:after="60" w:line="240" w:lineRule="auto"/>
              <w:rPr>
                <w:rFonts w:ascii="Arial" w:hAnsi="Arial" w:cs="Arial"/>
                <w:sz w:val="20"/>
                <w:szCs w:val="20"/>
              </w:rPr>
            </w:pPr>
            <w:r w:rsidRPr="008033AC">
              <w:rPr>
                <w:rFonts w:ascii="Arial" w:hAnsi="Arial" w:cs="Arial"/>
                <w:sz w:val="20"/>
                <w:szCs w:val="20"/>
              </w:rPr>
              <w:t>Nasopharyngitis</w:t>
            </w:r>
          </w:p>
        </w:tc>
      </w:tr>
      <w:tr w:rsidR="000B4520" w:rsidRPr="00BF1F9D" w14:paraId="1129F546" w14:textId="77777777" w:rsidTr="001550EB">
        <w:trPr>
          <w:cantSplit/>
          <w:trHeight w:hRule="exact" w:val="284"/>
        </w:trPr>
        <w:tc>
          <w:tcPr>
            <w:tcW w:w="9027" w:type="dxa"/>
            <w:gridSpan w:val="3"/>
            <w:tcBorders>
              <w:top w:val="single" w:sz="4" w:space="0" w:color="auto"/>
            </w:tcBorders>
            <w:shd w:val="clear" w:color="auto" w:fill="auto"/>
          </w:tcPr>
          <w:p w14:paraId="4A3FEB12" w14:textId="77777777" w:rsidR="000B4520" w:rsidRPr="008033AC" w:rsidRDefault="000B4520" w:rsidP="0088047D">
            <w:pPr>
              <w:pStyle w:val="Heading3"/>
              <w:spacing w:before="60" w:after="60" w:line="240" w:lineRule="auto"/>
              <w:rPr>
                <w:rFonts w:ascii="Arial" w:hAnsi="Arial" w:cs="Arial"/>
                <w:sz w:val="20"/>
                <w:szCs w:val="20"/>
              </w:rPr>
            </w:pPr>
            <w:r w:rsidRPr="008033AC">
              <w:rPr>
                <w:rFonts w:ascii="Arial" w:hAnsi="Arial" w:cs="Arial"/>
                <w:sz w:val="20"/>
                <w:szCs w:val="20"/>
              </w:rPr>
              <w:t>Metabolism and nutrition disorders</w:t>
            </w:r>
          </w:p>
        </w:tc>
      </w:tr>
      <w:tr w:rsidR="000B4520" w:rsidRPr="00BF1F9D" w14:paraId="2C2EF743" w14:textId="77777777" w:rsidTr="001550EB">
        <w:trPr>
          <w:cantSplit/>
          <w:trHeight w:hRule="exact" w:val="284"/>
        </w:trPr>
        <w:tc>
          <w:tcPr>
            <w:tcW w:w="1791" w:type="dxa"/>
            <w:shd w:val="clear" w:color="auto" w:fill="auto"/>
          </w:tcPr>
          <w:p w14:paraId="11B328D8" w14:textId="77777777" w:rsidR="000B4520" w:rsidRPr="008033AC" w:rsidRDefault="000B4520" w:rsidP="0088047D">
            <w:pPr>
              <w:pStyle w:val="ListParagraph"/>
              <w:spacing w:before="60" w:after="60" w:line="240" w:lineRule="auto"/>
              <w:rPr>
                <w:sz w:val="20"/>
                <w:szCs w:val="20"/>
              </w:rPr>
            </w:pPr>
            <w:r w:rsidRPr="008033AC">
              <w:rPr>
                <w:sz w:val="20"/>
                <w:szCs w:val="20"/>
              </w:rPr>
              <w:t>Very common</w:t>
            </w:r>
          </w:p>
        </w:tc>
        <w:tc>
          <w:tcPr>
            <w:tcW w:w="7236" w:type="dxa"/>
            <w:gridSpan w:val="2"/>
            <w:shd w:val="clear" w:color="auto" w:fill="auto"/>
          </w:tcPr>
          <w:p w14:paraId="2132929B" w14:textId="77777777" w:rsidR="000B4520" w:rsidRPr="008033AC" w:rsidRDefault="000B4520" w:rsidP="0088047D">
            <w:pPr>
              <w:pStyle w:val="ListParagraph"/>
              <w:spacing w:before="60" w:after="60" w:line="240" w:lineRule="auto"/>
              <w:rPr>
                <w:sz w:val="20"/>
                <w:szCs w:val="20"/>
              </w:rPr>
            </w:pPr>
            <w:r w:rsidRPr="008033AC">
              <w:rPr>
                <w:sz w:val="20"/>
                <w:szCs w:val="20"/>
              </w:rPr>
              <w:t>Decreased appetite</w:t>
            </w:r>
          </w:p>
        </w:tc>
      </w:tr>
      <w:tr w:rsidR="000B4520" w:rsidRPr="00BF1F9D" w14:paraId="7441E91B" w14:textId="77777777" w:rsidTr="001550EB">
        <w:trPr>
          <w:cantSplit/>
          <w:trHeight w:hRule="exact" w:val="284"/>
        </w:trPr>
        <w:tc>
          <w:tcPr>
            <w:tcW w:w="1791" w:type="dxa"/>
            <w:tcBorders>
              <w:bottom w:val="single" w:sz="4" w:space="0" w:color="auto"/>
            </w:tcBorders>
            <w:shd w:val="clear" w:color="auto" w:fill="auto"/>
          </w:tcPr>
          <w:p w14:paraId="20D08C99" w14:textId="77777777" w:rsidR="000B4520" w:rsidRPr="008033AC" w:rsidRDefault="000B4520" w:rsidP="0088047D">
            <w:pPr>
              <w:pStyle w:val="ListParagraph"/>
              <w:spacing w:before="60" w:after="60" w:line="240" w:lineRule="auto"/>
              <w:rPr>
                <w:sz w:val="20"/>
                <w:szCs w:val="20"/>
              </w:rPr>
            </w:pPr>
            <w:r w:rsidRPr="008033AC">
              <w:rPr>
                <w:sz w:val="20"/>
                <w:szCs w:val="20"/>
              </w:rPr>
              <w:t>Common</w:t>
            </w:r>
          </w:p>
        </w:tc>
        <w:tc>
          <w:tcPr>
            <w:tcW w:w="7236" w:type="dxa"/>
            <w:gridSpan w:val="2"/>
            <w:tcBorders>
              <w:bottom w:val="single" w:sz="4" w:space="0" w:color="auto"/>
            </w:tcBorders>
            <w:shd w:val="clear" w:color="auto" w:fill="auto"/>
          </w:tcPr>
          <w:p w14:paraId="7BAE9974" w14:textId="77777777" w:rsidR="000B4520" w:rsidRPr="008033AC" w:rsidRDefault="000B4520" w:rsidP="0088047D">
            <w:pPr>
              <w:pStyle w:val="ListParagraph"/>
              <w:spacing w:before="60" w:after="60" w:line="240" w:lineRule="auto"/>
              <w:rPr>
                <w:sz w:val="20"/>
                <w:szCs w:val="20"/>
              </w:rPr>
            </w:pPr>
            <w:r w:rsidRPr="008033AC">
              <w:rPr>
                <w:sz w:val="20"/>
                <w:szCs w:val="20"/>
              </w:rPr>
              <w:t>Hypophosphataemia, hyperglycaemia</w:t>
            </w:r>
          </w:p>
        </w:tc>
      </w:tr>
      <w:tr w:rsidR="000B4520" w:rsidRPr="00BF1F9D" w14:paraId="3BA401B0" w14:textId="77777777" w:rsidTr="001550EB">
        <w:trPr>
          <w:cantSplit/>
          <w:trHeight w:hRule="exact" w:val="284"/>
        </w:trPr>
        <w:tc>
          <w:tcPr>
            <w:tcW w:w="9027" w:type="dxa"/>
            <w:gridSpan w:val="3"/>
            <w:tcBorders>
              <w:top w:val="single" w:sz="4" w:space="0" w:color="auto"/>
            </w:tcBorders>
            <w:shd w:val="clear" w:color="auto" w:fill="auto"/>
          </w:tcPr>
          <w:p w14:paraId="1F98954A" w14:textId="77777777" w:rsidR="000B4520" w:rsidRPr="008033AC" w:rsidRDefault="000B4520" w:rsidP="0088047D">
            <w:pPr>
              <w:pStyle w:val="Heading3"/>
              <w:spacing w:before="60" w:after="60" w:line="240" w:lineRule="auto"/>
              <w:rPr>
                <w:rFonts w:ascii="Arial" w:hAnsi="Arial" w:cs="Arial"/>
                <w:sz w:val="20"/>
                <w:szCs w:val="20"/>
              </w:rPr>
            </w:pPr>
            <w:r w:rsidRPr="008033AC">
              <w:rPr>
                <w:rFonts w:ascii="Arial" w:hAnsi="Arial" w:cs="Arial"/>
                <w:sz w:val="20"/>
                <w:szCs w:val="20"/>
              </w:rPr>
              <w:t>Nervous system disorders</w:t>
            </w:r>
          </w:p>
        </w:tc>
      </w:tr>
      <w:tr w:rsidR="000B4520" w:rsidRPr="00BF1F9D" w14:paraId="33EA10D3" w14:textId="77777777" w:rsidTr="001550EB">
        <w:trPr>
          <w:cantSplit/>
          <w:trHeight w:hRule="exact" w:val="284"/>
        </w:trPr>
        <w:tc>
          <w:tcPr>
            <w:tcW w:w="1791" w:type="dxa"/>
            <w:tcBorders>
              <w:bottom w:val="single" w:sz="4" w:space="0" w:color="auto"/>
            </w:tcBorders>
            <w:shd w:val="clear" w:color="auto" w:fill="auto"/>
          </w:tcPr>
          <w:p w14:paraId="1DE1938F" w14:textId="77777777" w:rsidR="000B4520" w:rsidRPr="008033AC" w:rsidRDefault="000B4520" w:rsidP="0088047D">
            <w:pPr>
              <w:pStyle w:val="ListParagraph"/>
              <w:spacing w:before="60" w:after="60" w:line="240" w:lineRule="auto"/>
              <w:rPr>
                <w:sz w:val="20"/>
                <w:szCs w:val="20"/>
              </w:rPr>
            </w:pPr>
            <w:r w:rsidRPr="008033AC">
              <w:rPr>
                <w:sz w:val="20"/>
                <w:szCs w:val="20"/>
              </w:rPr>
              <w:t>Very common</w:t>
            </w:r>
          </w:p>
        </w:tc>
        <w:tc>
          <w:tcPr>
            <w:tcW w:w="7236" w:type="dxa"/>
            <w:gridSpan w:val="2"/>
            <w:tcBorders>
              <w:bottom w:val="single" w:sz="4" w:space="0" w:color="auto"/>
            </w:tcBorders>
            <w:shd w:val="clear" w:color="auto" w:fill="auto"/>
          </w:tcPr>
          <w:p w14:paraId="71E68786" w14:textId="77777777" w:rsidR="000B4520" w:rsidRPr="008033AC" w:rsidRDefault="000B4520" w:rsidP="0088047D">
            <w:pPr>
              <w:pStyle w:val="ListParagraph"/>
              <w:spacing w:before="60" w:after="60" w:line="240" w:lineRule="auto"/>
              <w:rPr>
                <w:sz w:val="20"/>
                <w:szCs w:val="20"/>
              </w:rPr>
            </w:pPr>
            <w:r w:rsidRPr="008033AC">
              <w:rPr>
                <w:sz w:val="20"/>
                <w:szCs w:val="20"/>
              </w:rPr>
              <w:t>Headache</w:t>
            </w:r>
          </w:p>
        </w:tc>
      </w:tr>
      <w:tr w:rsidR="000B4520" w:rsidRPr="00BF1F9D" w14:paraId="108C0B0A" w14:textId="77777777" w:rsidTr="001550EB">
        <w:trPr>
          <w:cantSplit/>
          <w:trHeight w:hRule="exact" w:val="284"/>
        </w:trPr>
        <w:tc>
          <w:tcPr>
            <w:tcW w:w="9027" w:type="dxa"/>
            <w:gridSpan w:val="3"/>
            <w:tcBorders>
              <w:top w:val="single" w:sz="4" w:space="0" w:color="auto"/>
            </w:tcBorders>
            <w:shd w:val="clear" w:color="auto" w:fill="auto"/>
          </w:tcPr>
          <w:p w14:paraId="35942CEB" w14:textId="77777777" w:rsidR="000B4520" w:rsidRPr="008033AC" w:rsidRDefault="000B4520" w:rsidP="0088047D">
            <w:pPr>
              <w:pStyle w:val="Heading3"/>
              <w:spacing w:before="60" w:after="60" w:line="240" w:lineRule="auto"/>
              <w:rPr>
                <w:rFonts w:ascii="Arial" w:hAnsi="Arial" w:cs="Arial"/>
                <w:sz w:val="20"/>
                <w:szCs w:val="20"/>
              </w:rPr>
            </w:pPr>
            <w:r w:rsidRPr="008033AC">
              <w:rPr>
                <w:rFonts w:ascii="Arial" w:hAnsi="Arial" w:cs="Arial"/>
                <w:sz w:val="20"/>
                <w:szCs w:val="20"/>
              </w:rPr>
              <w:t>Eye disorders</w:t>
            </w:r>
          </w:p>
        </w:tc>
      </w:tr>
      <w:tr w:rsidR="000B4520" w:rsidRPr="00BF1F9D" w14:paraId="1F1897C7" w14:textId="77777777" w:rsidTr="001550EB">
        <w:trPr>
          <w:cantSplit/>
          <w:trHeight w:hRule="exact" w:val="284"/>
        </w:trPr>
        <w:tc>
          <w:tcPr>
            <w:tcW w:w="1791" w:type="dxa"/>
            <w:tcBorders>
              <w:bottom w:val="single" w:sz="4" w:space="0" w:color="auto"/>
            </w:tcBorders>
            <w:shd w:val="clear" w:color="auto" w:fill="auto"/>
          </w:tcPr>
          <w:p w14:paraId="6790460A" w14:textId="77777777" w:rsidR="000B4520" w:rsidRPr="008033AC" w:rsidRDefault="000B4520" w:rsidP="0088047D">
            <w:pPr>
              <w:pStyle w:val="ListParagraph"/>
              <w:spacing w:before="60" w:after="60" w:line="240" w:lineRule="auto"/>
              <w:rPr>
                <w:sz w:val="20"/>
                <w:szCs w:val="20"/>
              </w:rPr>
            </w:pPr>
            <w:r w:rsidRPr="008033AC">
              <w:rPr>
                <w:sz w:val="20"/>
                <w:szCs w:val="20"/>
              </w:rPr>
              <w:t>Uncommon</w:t>
            </w:r>
          </w:p>
        </w:tc>
        <w:tc>
          <w:tcPr>
            <w:tcW w:w="7236" w:type="dxa"/>
            <w:gridSpan w:val="2"/>
            <w:tcBorders>
              <w:bottom w:val="single" w:sz="4" w:space="0" w:color="auto"/>
            </w:tcBorders>
            <w:shd w:val="clear" w:color="auto" w:fill="auto"/>
          </w:tcPr>
          <w:p w14:paraId="24DBCB72" w14:textId="77777777" w:rsidR="000B4520" w:rsidRPr="008033AC" w:rsidRDefault="000B4520" w:rsidP="0088047D">
            <w:pPr>
              <w:pStyle w:val="ListParagraph"/>
              <w:spacing w:before="60" w:after="60" w:line="240" w:lineRule="auto"/>
              <w:rPr>
                <w:sz w:val="20"/>
                <w:szCs w:val="20"/>
              </w:rPr>
            </w:pPr>
            <w:r w:rsidRPr="008033AC">
              <w:rPr>
                <w:sz w:val="20"/>
                <w:szCs w:val="20"/>
              </w:rPr>
              <w:t>Uveitis</w:t>
            </w:r>
          </w:p>
        </w:tc>
      </w:tr>
      <w:tr w:rsidR="000B4520" w:rsidRPr="00BF1F9D" w14:paraId="05D643B7" w14:textId="77777777" w:rsidTr="001550EB">
        <w:trPr>
          <w:cantSplit/>
          <w:trHeight w:hRule="exact" w:val="284"/>
        </w:trPr>
        <w:tc>
          <w:tcPr>
            <w:tcW w:w="9027" w:type="dxa"/>
            <w:gridSpan w:val="3"/>
            <w:tcBorders>
              <w:top w:val="single" w:sz="4" w:space="0" w:color="auto"/>
            </w:tcBorders>
            <w:shd w:val="clear" w:color="auto" w:fill="auto"/>
          </w:tcPr>
          <w:p w14:paraId="0D836C16" w14:textId="77777777" w:rsidR="000B4520" w:rsidRPr="008033AC" w:rsidRDefault="000B4520" w:rsidP="0088047D">
            <w:pPr>
              <w:pStyle w:val="Heading3"/>
              <w:spacing w:before="60" w:after="60" w:line="240" w:lineRule="auto"/>
              <w:rPr>
                <w:rFonts w:ascii="Arial" w:hAnsi="Arial" w:cs="Arial"/>
                <w:sz w:val="20"/>
                <w:szCs w:val="20"/>
              </w:rPr>
            </w:pPr>
            <w:r w:rsidRPr="008033AC">
              <w:rPr>
                <w:rFonts w:ascii="Arial" w:hAnsi="Arial" w:cs="Arial"/>
                <w:sz w:val="20"/>
                <w:szCs w:val="20"/>
              </w:rPr>
              <w:t>Respiratory, thoracic and mediastinal disorders</w:t>
            </w:r>
          </w:p>
        </w:tc>
      </w:tr>
      <w:tr w:rsidR="000B4520" w:rsidRPr="00BF1F9D" w14:paraId="60849B3F" w14:textId="77777777" w:rsidTr="001550EB">
        <w:trPr>
          <w:cantSplit/>
          <w:trHeight w:hRule="exact" w:val="284"/>
        </w:trPr>
        <w:tc>
          <w:tcPr>
            <w:tcW w:w="1791" w:type="dxa"/>
            <w:tcBorders>
              <w:bottom w:val="single" w:sz="4" w:space="0" w:color="auto"/>
            </w:tcBorders>
            <w:shd w:val="clear" w:color="auto" w:fill="auto"/>
          </w:tcPr>
          <w:p w14:paraId="07F06E0B" w14:textId="77777777" w:rsidR="000B4520" w:rsidRPr="008033AC" w:rsidRDefault="000B4520" w:rsidP="0088047D">
            <w:pPr>
              <w:pStyle w:val="ListParagraph"/>
              <w:spacing w:before="60" w:after="60" w:line="240" w:lineRule="auto"/>
              <w:rPr>
                <w:sz w:val="20"/>
                <w:szCs w:val="20"/>
              </w:rPr>
            </w:pPr>
            <w:r w:rsidRPr="008033AC">
              <w:rPr>
                <w:sz w:val="20"/>
                <w:szCs w:val="20"/>
              </w:rPr>
              <w:t>Very common</w:t>
            </w:r>
          </w:p>
        </w:tc>
        <w:tc>
          <w:tcPr>
            <w:tcW w:w="7236" w:type="dxa"/>
            <w:gridSpan w:val="2"/>
            <w:tcBorders>
              <w:bottom w:val="single" w:sz="4" w:space="0" w:color="auto"/>
            </w:tcBorders>
            <w:shd w:val="clear" w:color="auto" w:fill="auto"/>
          </w:tcPr>
          <w:p w14:paraId="2DBA5611" w14:textId="77777777" w:rsidR="000B4520" w:rsidRPr="008033AC" w:rsidRDefault="000B4520" w:rsidP="0088047D">
            <w:pPr>
              <w:pStyle w:val="ListParagraph"/>
              <w:spacing w:before="60" w:after="60" w:line="240" w:lineRule="auto"/>
              <w:rPr>
                <w:sz w:val="20"/>
                <w:szCs w:val="20"/>
              </w:rPr>
            </w:pPr>
            <w:r w:rsidRPr="008033AC">
              <w:rPr>
                <w:sz w:val="20"/>
                <w:szCs w:val="20"/>
              </w:rPr>
              <w:t>Cough</w:t>
            </w:r>
          </w:p>
        </w:tc>
      </w:tr>
      <w:tr w:rsidR="000B4520" w:rsidRPr="00BF1F9D" w14:paraId="17DDE2CF" w14:textId="77777777" w:rsidTr="001550EB">
        <w:trPr>
          <w:cantSplit/>
          <w:trHeight w:hRule="exact" w:val="284"/>
        </w:trPr>
        <w:tc>
          <w:tcPr>
            <w:tcW w:w="9027" w:type="dxa"/>
            <w:gridSpan w:val="3"/>
            <w:tcBorders>
              <w:top w:val="single" w:sz="4" w:space="0" w:color="auto"/>
            </w:tcBorders>
            <w:shd w:val="clear" w:color="auto" w:fill="auto"/>
          </w:tcPr>
          <w:p w14:paraId="5A44AE41" w14:textId="77777777" w:rsidR="000B4520" w:rsidRPr="008033AC" w:rsidRDefault="000B4520" w:rsidP="0088047D">
            <w:pPr>
              <w:pStyle w:val="Heading3"/>
              <w:spacing w:before="60" w:after="60" w:line="240" w:lineRule="auto"/>
              <w:rPr>
                <w:rFonts w:ascii="Arial" w:hAnsi="Arial" w:cs="Arial"/>
                <w:sz w:val="20"/>
                <w:szCs w:val="20"/>
              </w:rPr>
            </w:pPr>
            <w:r w:rsidRPr="008033AC">
              <w:rPr>
                <w:rFonts w:ascii="Arial" w:hAnsi="Arial" w:cs="Arial"/>
                <w:sz w:val="20"/>
                <w:szCs w:val="20"/>
              </w:rPr>
              <w:t>Gastrointestinal disorders</w:t>
            </w:r>
          </w:p>
        </w:tc>
      </w:tr>
      <w:tr w:rsidR="000B4520" w:rsidRPr="00BF1F9D" w14:paraId="089628A8" w14:textId="77777777" w:rsidTr="001550EB">
        <w:trPr>
          <w:cantSplit/>
          <w:trHeight w:hRule="exact" w:val="284"/>
        </w:trPr>
        <w:tc>
          <w:tcPr>
            <w:tcW w:w="1791" w:type="dxa"/>
            <w:shd w:val="clear" w:color="auto" w:fill="auto"/>
          </w:tcPr>
          <w:p w14:paraId="3652E7F5" w14:textId="77777777" w:rsidR="000B4520" w:rsidRPr="008033AC" w:rsidRDefault="000B4520" w:rsidP="0088047D">
            <w:pPr>
              <w:pStyle w:val="ListParagraph"/>
              <w:spacing w:before="60" w:after="60" w:line="240" w:lineRule="auto"/>
              <w:rPr>
                <w:sz w:val="20"/>
                <w:szCs w:val="20"/>
              </w:rPr>
            </w:pPr>
            <w:r w:rsidRPr="008033AC">
              <w:rPr>
                <w:sz w:val="20"/>
                <w:szCs w:val="20"/>
              </w:rPr>
              <w:t>Very common</w:t>
            </w:r>
          </w:p>
        </w:tc>
        <w:tc>
          <w:tcPr>
            <w:tcW w:w="7236" w:type="dxa"/>
            <w:gridSpan w:val="2"/>
            <w:shd w:val="clear" w:color="auto" w:fill="auto"/>
          </w:tcPr>
          <w:p w14:paraId="259963CB" w14:textId="77777777" w:rsidR="000B4520" w:rsidRPr="008033AC" w:rsidRDefault="000B4520" w:rsidP="0088047D">
            <w:pPr>
              <w:pStyle w:val="ListParagraph"/>
              <w:spacing w:before="60" w:after="60" w:line="240" w:lineRule="auto"/>
              <w:rPr>
                <w:sz w:val="20"/>
                <w:szCs w:val="20"/>
              </w:rPr>
            </w:pPr>
            <w:r w:rsidRPr="008033AC">
              <w:rPr>
                <w:sz w:val="20"/>
                <w:szCs w:val="20"/>
              </w:rPr>
              <w:t>Nausea, vomiting, diarrhoea</w:t>
            </w:r>
          </w:p>
        </w:tc>
      </w:tr>
      <w:tr w:rsidR="000B4520" w:rsidRPr="00BF1F9D" w14:paraId="6AC84497" w14:textId="77777777" w:rsidTr="001550EB">
        <w:trPr>
          <w:cantSplit/>
          <w:trHeight w:hRule="exact" w:val="284"/>
        </w:trPr>
        <w:tc>
          <w:tcPr>
            <w:tcW w:w="1791" w:type="dxa"/>
            <w:shd w:val="clear" w:color="auto" w:fill="auto"/>
          </w:tcPr>
          <w:p w14:paraId="03A27A92" w14:textId="77777777" w:rsidR="000B4520" w:rsidRPr="008033AC" w:rsidRDefault="000B4520" w:rsidP="0088047D">
            <w:pPr>
              <w:pStyle w:val="ListParagraph"/>
              <w:spacing w:before="60" w:after="60" w:line="240" w:lineRule="auto"/>
              <w:rPr>
                <w:sz w:val="20"/>
                <w:szCs w:val="20"/>
              </w:rPr>
            </w:pPr>
            <w:r w:rsidRPr="008033AC">
              <w:rPr>
                <w:sz w:val="20"/>
                <w:szCs w:val="20"/>
              </w:rPr>
              <w:lastRenderedPageBreak/>
              <w:t>Common</w:t>
            </w:r>
          </w:p>
        </w:tc>
        <w:tc>
          <w:tcPr>
            <w:tcW w:w="7236" w:type="dxa"/>
            <w:gridSpan w:val="2"/>
            <w:shd w:val="clear" w:color="auto" w:fill="auto"/>
          </w:tcPr>
          <w:p w14:paraId="0B44D5BC" w14:textId="77777777" w:rsidR="000B4520" w:rsidRPr="008033AC" w:rsidRDefault="000B4520" w:rsidP="0088047D">
            <w:pPr>
              <w:pStyle w:val="ListParagraph"/>
              <w:spacing w:before="60" w:after="60" w:line="240" w:lineRule="auto"/>
              <w:rPr>
                <w:sz w:val="20"/>
                <w:szCs w:val="20"/>
              </w:rPr>
            </w:pPr>
            <w:r w:rsidRPr="008033AC">
              <w:rPr>
                <w:sz w:val="20"/>
                <w:szCs w:val="20"/>
              </w:rPr>
              <w:t>Constipation</w:t>
            </w:r>
          </w:p>
        </w:tc>
      </w:tr>
      <w:tr w:rsidR="000B4520" w:rsidRPr="00BF1F9D" w14:paraId="321A09AE" w14:textId="77777777" w:rsidTr="001550EB">
        <w:trPr>
          <w:cantSplit/>
          <w:trHeight w:hRule="exact" w:val="284"/>
        </w:trPr>
        <w:tc>
          <w:tcPr>
            <w:tcW w:w="1791" w:type="dxa"/>
            <w:tcBorders>
              <w:bottom w:val="single" w:sz="4" w:space="0" w:color="auto"/>
            </w:tcBorders>
            <w:shd w:val="clear" w:color="auto" w:fill="auto"/>
          </w:tcPr>
          <w:p w14:paraId="1FFC5702" w14:textId="77777777" w:rsidR="000B4520" w:rsidRPr="008033AC" w:rsidRDefault="000B4520" w:rsidP="0088047D">
            <w:pPr>
              <w:pStyle w:val="ListParagraph"/>
              <w:spacing w:before="60" w:after="60" w:line="240" w:lineRule="auto"/>
              <w:rPr>
                <w:sz w:val="20"/>
                <w:szCs w:val="20"/>
              </w:rPr>
            </w:pPr>
            <w:r w:rsidRPr="008033AC">
              <w:rPr>
                <w:sz w:val="20"/>
                <w:szCs w:val="20"/>
              </w:rPr>
              <w:t>Uncommon</w:t>
            </w:r>
          </w:p>
        </w:tc>
        <w:tc>
          <w:tcPr>
            <w:tcW w:w="7236" w:type="dxa"/>
            <w:gridSpan w:val="2"/>
            <w:tcBorders>
              <w:bottom w:val="single" w:sz="4" w:space="0" w:color="auto"/>
            </w:tcBorders>
            <w:shd w:val="clear" w:color="auto" w:fill="auto"/>
          </w:tcPr>
          <w:p w14:paraId="2EA2AED6" w14:textId="77777777" w:rsidR="000B4520" w:rsidRPr="008033AC" w:rsidRDefault="000B4520" w:rsidP="0088047D">
            <w:pPr>
              <w:pStyle w:val="ListParagraph"/>
              <w:spacing w:before="60" w:after="60" w:line="240" w:lineRule="auto"/>
              <w:rPr>
                <w:sz w:val="20"/>
                <w:szCs w:val="20"/>
              </w:rPr>
            </w:pPr>
            <w:r w:rsidRPr="008033AC">
              <w:rPr>
                <w:sz w:val="20"/>
                <w:szCs w:val="20"/>
              </w:rPr>
              <w:t>Pancreatitis</w:t>
            </w:r>
          </w:p>
        </w:tc>
      </w:tr>
      <w:tr w:rsidR="000B4520" w:rsidRPr="00BF1F9D" w14:paraId="0490F8BF" w14:textId="77777777" w:rsidTr="001550EB">
        <w:trPr>
          <w:cantSplit/>
          <w:trHeight w:hRule="exact" w:val="284"/>
        </w:trPr>
        <w:tc>
          <w:tcPr>
            <w:tcW w:w="9027" w:type="dxa"/>
            <w:gridSpan w:val="3"/>
            <w:tcBorders>
              <w:top w:val="single" w:sz="4" w:space="0" w:color="auto"/>
            </w:tcBorders>
            <w:shd w:val="clear" w:color="auto" w:fill="auto"/>
          </w:tcPr>
          <w:p w14:paraId="2BF22C0F" w14:textId="77777777" w:rsidR="000B4520" w:rsidRPr="008033AC" w:rsidRDefault="000B4520" w:rsidP="0088047D">
            <w:pPr>
              <w:pStyle w:val="Heading3"/>
              <w:spacing w:before="60" w:after="60" w:line="240" w:lineRule="auto"/>
              <w:rPr>
                <w:rFonts w:ascii="Arial" w:hAnsi="Arial" w:cs="Arial"/>
                <w:sz w:val="20"/>
                <w:szCs w:val="20"/>
              </w:rPr>
            </w:pPr>
            <w:r w:rsidRPr="008033AC">
              <w:rPr>
                <w:rFonts w:ascii="Arial" w:hAnsi="Arial" w:cs="Arial"/>
                <w:sz w:val="20"/>
                <w:szCs w:val="20"/>
              </w:rPr>
              <w:t>Skin and subcutaneous tissue disorders</w:t>
            </w:r>
          </w:p>
        </w:tc>
      </w:tr>
      <w:tr w:rsidR="000B4520" w:rsidRPr="00BF1F9D" w14:paraId="610F18CA" w14:textId="77777777" w:rsidTr="001550EB">
        <w:trPr>
          <w:cantSplit/>
          <w:trHeight w:hRule="exact" w:val="284"/>
        </w:trPr>
        <w:tc>
          <w:tcPr>
            <w:tcW w:w="1791" w:type="dxa"/>
            <w:shd w:val="clear" w:color="auto" w:fill="auto"/>
          </w:tcPr>
          <w:p w14:paraId="48A35AD4" w14:textId="77777777" w:rsidR="000B4520" w:rsidRPr="008033AC" w:rsidRDefault="000B4520" w:rsidP="0088047D">
            <w:pPr>
              <w:pStyle w:val="ListParagraph"/>
              <w:spacing w:before="60" w:after="60" w:line="240" w:lineRule="auto"/>
              <w:rPr>
                <w:sz w:val="20"/>
                <w:szCs w:val="20"/>
              </w:rPr>
            </w:pPr>
            <w:r w:rsidRPr="008033AC">
              <w:rPr>
                <w:sz w:val="20"/>
                <w:szCs w:val="20"/>
              </w:rPr>
              <w:t>Very common</w:t>
            </w:r>
          </w:p>
        </w:tc>
        <w:tc>
          <w:tcPr>
            <w:tcW w:w="7236" w:type="dxa"/>
            <w:gridSpan w:val="2"/>
            <w:shd w:val="clear" w:color="auto" w:fill="auto"/>
          </w:tcPr>
          <w:p w14:paraId="3DE04DA2" w14:textId="77777777" w:rsidR="000B4520" w:rsidRPr="008033AC" w:rsidRDefault="000B4520" w:rsidP="0088047D">
            <w:pPr>
              <w:pStyle w:val="ListParagraph"/>
              <w:spacing w:before="60" w:after="60" w:line="240" w:lineRule="auto"/>
              <w:jc w:val="left"/>
              <w:rPr>
                <w:sz w:val="20"/>
                <w:szCs w:val="20"/>
              </w:rPr>
            </w:pPr>
            <w:r w:rsidRPr="008033AC">
              <w:rPr>
                <w:sz w:val="20"/>
                <w:szCs w:val="20"/>
              </w:rPr>
              <w:t>Skin effects (rash, hyperkeratosis), alopecia, palmar-plantar erythrodysaesthesia syndrome</w:t>
            </w:r>
          </w:p>
        </w:tc>
      </w:tr>
      <w:tr w:rsidR="000B4520" w:rsidRPr="00BF1F9D" w14:paraId="58DA419F" w14:textId="77777777" w:rsidTr="001550EB">
        <w:trPr>
          <w:cantSplit/>
          <w:trHeight w:hRule="exact" w:val="284"/>
        </w:trPr>
        <w:tc>
          <w:tcPr>
            <w:tcW w:w="1791" w:type="dxa"/>
            <w:shd w:val="clear" w:color="auto" w:fill="auto"/>
          </w:tcPr>
          <w:p w14:paraId="1B36EE87" w14:textId="77777777" w:rsidR="000B4520" w:rsidRPr="008033AC" w:rsidRDefault="000B4520" w:rsidP="0088047D">
            <w:pPr>
              <w:pStyle w:val="ListParagraph"/>
              <w:spacing w:before="60" w:after="60" w:line="240" w:lineRule="auto"/>
              <w:rPr>
                <w:sz w:val="20"/>
                <w:szCs w:val="20"/>
              </w:rPr>
            </w:pPr>
            <w:r w:rsidRPr="008033AC">
              <w:rPr>
                <w:sz w:val="20"/>
                <w:szCs w:val="20"/>
              </w:rPr>
              <w:t>Common</w:t>
            </w:r>
          </w:p>
        </w:tc>
        <w:tc>
          <w:tcPr>
            <w:tcW w:w="7236" w:type="dxa"/>
            <w:gridSpan w:val="2"/>
            <w:shd w:val="clear" w:color="auto" w:fill="auto"/>
          </w:tcPr>
          <w:p w14:paraId="25696F29" w14:textId="77777777" w:rsidR="000B4520" w:rsidRPr="008033AC" w:rsidRDefault="000B4520" w:rsidP="0088047D">
            <w:pPr>
              <w:pStyle w:val="ListParagraph"/>
              <w:spacing w:before="60" w:after="60" w:line="240" w:lineRule="auto"/>
              <w:jc w:val="left"/>
              <w:rPr>
                <w:sz w:val="20"/>
                <w:szCs w:val="20"/>
              </w:rPr>
            </w:pPr>
            <w:r w:rsidRPr="008033AC">
              <w:rPr>
                <w:sz w:val="20"/>
                <w:szCs w:val="20"/>
              </w:rPr>
              <w:t>Skin effects (actinic keratosis, skin lesion, dry skin, erythema, pruritus)</w:t>
            </w:r>
            <w:r>
              <w:rPr>
                <w:sz w:val="20"/>
                <w:szCs w:val="20"/>
              </w:rPr>
              <w:t>, photosensitivity reaction</w:t>
            </w:r>
            <w:r>
              <w:rPr>
                <w:sz w:val="20"/>
                <w:szCs w:val="20"/>
                <w:vertAlign w:val="superscript"/>
              </w:rPr>
              <w:t>1</w:t>
            </w:r>
          </w:p>
        </w:tc>
      </w:tr>
      <w:tr w:rsidR="000B4520" w:rsidRPr="00BF1F9D" w14:paraId="0B2858AE" w14:textId="77777777" w:rsidTr="001550EB">
        <w:trPr>
          <w:cantSplit/>
          <w:trHeight w:hRule="exact" w:val="284"/>
        </w:trPr>
        <w:tc>
          <w:tcPr>
            <w:tcW w:w="1791" w:type="dxa"/>
            <w:tcBorders>
              <w:bottom w:val="single" w:sz="4" w:space="0" w:color="auto"/>
            </w:tcBorders>
            <w:shd w:val="clear" w:color="auto" w:fill="auto"/>
          </w:tcPr>
          <w:p w14:paraId="481466C6" w14:textId="77777777" w:rsidR="000B4520" w:rsidRPr="008033AC" w:rsidRDefault="000B4520" w:rsidP="0088047D">
            <w:pPr>
              <w:pStyle w:val="ListParagraph"/>
              <w:spacing w:before="60" w:after="60" w:line="240" w:lineRule="auto"/>
              <w:rPr>
                <w:sz w:val="20"/>
                <w:szCs w:val="20"/>
              </w:rPr>
            </w:pPr>
            <w:r>
              <w:rPr>
                <w:sz w:val="20"/>
                <w:szCs w:val="20"/>
              </w:rPr>
              <w:t>Uncommon</w:t>
            </w:r>
          </w:p>
        </w:tc>
        <w:tc>
          <w:tcPr>
            <w:tcW w:w="7236" w:type="dxa"/>
            <w:gridSpan w:val="2"/>
            <w:tcBorders>
              <w:bottom w:val="single" w:sz="4" w:space="0" w:color="auto"/>
            </w:tcBorders>
            <w:shd w:val="clear" w:color="auto" w:fill="auto"/>
          </w:tcPr>
          <w:p w14:paraId="51B796FD" w14:textId="77777777" w:rsidR="000B4520" w:rsidRPr="008033AC" w:rsidRDefault="000B4520" w:rsidP="0088047D">
            <w:pPr>
              <w:pStyle w:val="ListParagraph"/>
              <w:spacing w:before="60" w:after="60" w:line="240" w:lineRule="auto"/>
              <w:jc w:val="left"/>
              <w:rPr>
                <w:sz w:val="20"/>
                <w:szCs w:val="20"/>
              </w:rPr>
            </w:pPr>
            <w:r>
              <w:rPr>
                <w:sz w:val="20"/>
                <w:szCs w:val="20"/>
              </w:rPr>
              <w:t>Panniculitis</w:t>
            </w:r>
          </w:p>
        </w:tc>
      </w:tr>
      <w:tr w:rsidR="000B4520" w:rsidRPr="00BF1F9D" w14:paraId="6F657F2A" w14:textId="77777777" w:rsidTr="001550EB">
        <w:trPr>
          <w:cantSplit/>
          <w:trHeight w:hRule="exact" w:val="284"/>
        </w:trPr>
        <w:tc>
          <w:tcPr>
            <w:tcW w:w="9027" w:type="dxa"/>
            <w:gridSpan w:val="3"/>
            <w:tcBorders>
              <w:top w:val="single" w:sz="4" w:space="0" w:color="auto"/>
            </w:tcBorders>
            <w:shd w:val="clear" w:color="auto" w:fill="auto"/>
          </w:tcPr>
          <w:p w14:paraId="25DECCDA" w14:textId="77777777" w:rsidR="000B4520" w:rsidRPr="008033AC" w:rsidRDefault="000B4520" w:rsidP="0088047D">
            <w:pPr>
              <w:pStyle w:val="Heading3"/>
              <w:spacing w:before="60" w:after="60" w:line="240" w:lineRule="auto"/>
              <w:rPr>
                <w:rFonts w:ascii="Arial" w:hAnsi="Arial" w:cs="Arial"/>
                <w:sz w:val="20"/>
                <w:szCs w:val="20"/>
              </w:rPr>
            </w:pPr>
            <w:r w:rsidRPr="008033AC">
              <w:rPr>
                <w:rFonts w:ascii="Arial" w:hAnsi="Arial" w:cs="Arial"/>
                <w:sz w:val="20"/>
                <w:szCs w:val="20"/>
              </w:rPr>
              <w:t>Musculoskeletal and connective tissue disorders</w:t>
            </w:r>
          </w:p>
        </w:tc>
      </w:tr>
      <w:tr w:rsidR="000B4520" w:rsidRPr="00BF1F9D" w14:paraId="3CAB8CDE" w14:textId="77777777" w:rsidTr="001550EB">
        <w:trPr>
          <w:cantSplit/>
          <w:trHeight w:hRule="exact" w:val="284"/>
        </w:trPr>
        <w:tc>
          <w:tcPr>
            <w:tcW w:w="1791" w:type="dxa"/>
            <w:tcBorders>
              <w:bottom w:val="single" w:sz="4" w:space="0" w:color="auto"/>
            </w:tcBorders>
            <w:shd w:val="clear" w:color="auto" w:fill="auto"/>
          </w:tcPr>
          <w:p w14:paraId="23CC6266" w14:textId="77777777" w:rsidR="000B4520" w:rsidRPr="008033AC" w:rsidRDefault="000B4520" w:rsidP="0088047D">
            <w:pPr>
              <w:pStyle w:val="ListParagraph"/>
              <w:spacing w:before="60" w:after="60" w:line="240" w:lineRule="auto"/>
              <w:rPr>
                <w:sz w:val="20"/>
                <w:szCs w:val="20"/>
              </w:rPr>
            </w:pPr>
            <w:r w:rsidRPr="008033AC">
              <w:rPr>
                <w:sz w:val="20"/>
                <w:szCs w:val="20"/>
              </w:rPr>
              <w:t>Very common</w:t>
            </w:r>
          </w:p>
        </w:tc>
        <w:tc>
          <w:tcPr>
            <w:tcW w:w="7236" w:type="dxa"/>
            <w:gridSpan w:val="2"/>
            <w:tcBorders>
              <w:bottom w:val="single" w:sz="4" w:space="0" w:color="auto"/>
            </w:tcBorders>
            <w:shd w:val="clear" w:color="auto" w:fill="auto"/>
          </w:tcPr>
          <w:p w14:paraId="72E7AB82" w14:textId="77777777" w:rsidR="000B4520" w:rsidRPr="008033AC" w:rsidRDefault="000B4520" w:rsidP="0088047D">
            <w:pPr>
              <w:pStyle w:val="ListParagraph"/>
              <w:spacing w:before="60" w:after="60" w:line="240" w:lineRule="auto"/>
              <w:rPr>
                <w:sz w:val="20"/>
                <w:szCs w:val="20"/>
              </w:rPr>
            </w:pPr>
            <w:r w:rsidRPr="008033AC">
              <w:rPr>
                <w:sz w:val="20"/>
                <w:szCs w:val="20"/>
              </w:rPr>
              <w:t>Arthralgia, myalgia, pain in extremity</w:t>
            </w:r>
          </w:p>
        </w:tc>
      </w:tr>
      <w:tr w:rsidR="000B4520" w:rsidRPr="00BF1F9D" w14:paraId="0FE2E4C7" w14:textId="77777777" w:rsidTr="001550EB">
        <w:trPr>
          <w:cantSplit/>
          <w:trHeight w:hRule="exact" w:val="284"/>
        </w:trPr>
        <w:tc>
          <w:tcPr>
            <w:tcW w:w="9027" w:type="dxa"/>
            <w:gridSpan w:val="3"/>
            <w:tcBorders>
              <w:top w:val="single" w:sz="4" w:space="0" w:color="auto"/>
            </w:tcBorders>
            <w:shd w:val="clear" w:color="auto" w:fill="auto"/>
          </w:tcPr>
          <w:p w14:paraId="1C47F731" w14:textId="77777777" w:rsidR="000B4520" w:rsidRPr="008033AC" w:rsidRDefault="000B4520" w:rsidP="0088047D">
            <w:pPr>
              <w:pStyle w:val="Heading3"/>
              <w:spacing w:before="60" w:after="60" w:line="240" w:lineRule="auto"/>
              <w:rPr>
                <w:rFonts w:ascii="Arial" w:hAnsi="Arial" w:cs="Arial"/>
                <w:sz w:val="20"/>
                <w:szCs w:val="20"/>
              </w:rPr>
            </w:pPr>
            <w:r w:rsidRPr="008033AC">
              <w:rPr>
                <w:rFonts w:ascii="Arial" w:hAnsi="Arial" w:cs="Arial"/>
                <w:sz w:val="20"/>
                <w:szCs w:val="20"/>
              </w:rPr>
              <w:t>Renal disorders</w:t>
            </w:r>
          </w:p>
        </w:tc>
      </w:tr>
      <w:tr w:rsidR="000B4520" w:rsidRPr="00275518" w14:paraId="4F5B1583" w14:textId="77777777" w:rsidTr="001550EB">
        <w:trPr>
          <w:cantSplit/>
          <w:trHeight w:hRule="exact" w:val="284"/>
        </w:trPr>
        <w:tc>
          <w:tcPr>
            <w:tcW w:w="1791" w:type="dxa"/>
            <w:tcBorders>
              <w:bottom w:val="single" w:sz="4" w:space="0" w:color="auto"/>
            </w:tcBorders>
            <w:shd w:val="clear" w:color="auto" w:fill="auto"/>
          </w:tcPr>
          <w:p w14:paraId="0E6F4ED5" w14:textId="77777777" w:rsidR="000B4520" w:rsidRPr="008033AC" w:rsidRDefault="000B4520" w:rsidP="0088047D">
            <w:pPr>
              <w:pStyle w:val="ListParagraph"/>
              <w:spacing w:before="60" w:after="60" w:line="240" w:lineRule="auto"/>
              <w:rPr>
                <w:sz w:val="20"/>
                <w:szCs w:val="20"/>
              </w:rPr>
            </w:pPr>
            <w:r w:rsidRPr="008033AC">
              <w:rPr>
                <w:sz w:val="20"/>
                <w:szCs w:val="20"/>
              </w:rPr>
              <w:t>Uncommon</w:t>
            </w:r>
          </w:p>
        </w:tc>
        <w:tc>
          <w:tcPr>
            <w:tcW w:w="7236" w:type="dxa"/>
            <w:gridSpan w:val="2"/>
            <w:tcBorders>
              <w:bottom w:val="single" w:sz="4" w:space="0" w:color="auto"/>
            </w:tcBorders>
            <w:shd w:val="clear" w:color="auto" w:fill="auto"/>
          </w:tcPr>
          <w:p w14:paraId="5F2FFF1E" w14:textId="77777777" w:rsidR="000B4520" w:rsidRPr="008033AC" w:rsidRDefault="000B4520" w:rsidP="0088047D">
            <w:pPr>
              <w:pStyle w:val="ListParagraph"/>
              <w:spacing w:before="60" w:after="60" w:line="240" w:lineRule="auto"/>
              <w:rPr>
                <w:sz w:val="20"/>
                <w:szCs w:val="20"/>
                <w:lang w:val="fr-FR"/>
              </w:rPr>
            </w:pPr>
            <w:proofErr w:type="spellStart"/>
            <w:r w:rsidRPr="008033AC">
              <w:rPr>
                <w:sz w:val="20"/>
                <w:szCs w:val="20"/>
                <w:lang w:val="fr-FR"/>
              </w:rPr>
              <w:t>Renal</w:t>
            </w:r>
            <w:proofErr w:type="spellEnd"/>
            <w:r w:rsidRPr="008033AC">
              <w:rPr>
                <w:sz w:val="20"/>
                <w:szCs w:val="20"/>
                <w:lang w:val="fr-FR"/>
              </w:rPr>
              <w:t xml:space="preserve"> </w:t>
            </w:r>
            <w:proofErr w:type="spellStart"/>
            <w:r w:rsidRPr="008033AC">
              <w:rPr>
                <w:sz w:val="20"/>
                <w:szCs w:val="20"/>
                <w:lang w:val="fr-FR"/>
              </w:rPr>
              <w:t>failure</w:t>
            </w:r>
            <w:proofErr w:type="spellEnd"/>
            <w:r w:rsidRPr="008033AC">
              <w:rPr>
                <w:sz w:val="20"/>
                <w:szCs w:val="20"/>
                <w:lang w:val="fr-FR"/>
              </w:rPr>
              <w:t xml:space="preserve">, acute </w:t>
            </w:r>
            <w:proofErr w:type="spellStart"/>
            <w:r w:rsidRPr="008033AC">
              <w:rPr>
                <w:sz w:val="20"/>
                <w:szCs w:val="20"/>
                <w:lang w:val="fr-FR"/>
              </w:rPr>
              <w:t>renal</w:t>
            </w:r>
            <w:proofErr w:type="spellEnd"/>
            <w:r w:rsidRPr="008033AC">
              <w:rPr>
                <w:sz w:val="20"/>
                <w:szCs w:val="20"/>
                <w:lang w:val="fr-FR"/>
              </w:rPr>
              <w:t xml:space="preserve"> </w:t>
            </w:r>
            <w:proofErr w:type="spellStart"/>
            <w:r w:rsidRPr="008033AC">
              <w:rPr>
                <w:sz w:val="20"/>
                <w:szCs w:val="20"/>
                <w:lang w:val="fr-FR"/>
              </w:rPr>
              <w:t>failure</w:t>
            </w:r>
            <w:proofErr w:type="spellEnd"/>
            <w:r w:rsidRPr="008033AC">
              <w:rPr>
                <w:sz w:val="20"/>
                <w:szCs w:val="20"/>
                <w:lang w:val="fr-FR"/>
              </w:rPr>
              <w:t xml:space="preserve">, </w:t>
            </w:r>
            <w:proofErr w:type="spellStart"/>
            <w:r w:rsidRPr="008033AC">
              <w:rPr>
                <w:sz w:val="20"/>
                <w:szCs w:val="20"/>
                <w:lang w:val="fr-FR"/>
              </w:rPr>
              <w:t>nephritis</w:t>
            </w:r>
            <w:proofErr w:type="spellEnd"/>
          </w:p>
        </w:tc>
      </w:tr>
      <w:tr w:rsidR="000B4520" w:rsidRPr="008033AC" w14:paraId="01C007A9" w14:textId="77777777" w:rsidTr="001550EB">
        <w:trPr>
          <w:cantSplit/>
          <w:trHeight w:hRule="exact" w:val="284"/>
        </w:trPr>
        <w:tc>
          <w:tcPr>
            <w:tcW w:w="9027" w:type="dxa"/>
            <w:gridSpan w:val="3"/>
            <w:tcBorders>
              <w:top w:val="single" w:sz="4" w:space="0" w:color="auto"/>
            </w:tcBorders>
            <w:shd w:val="clear" w:color="auto" w:fill="auto"/>
          </w:tcPr>
          <w:p w14:paraId="745526D7" w14:textId="77777777" w:rsidR="000B4520" w:rsidRPr="008033AC" w:rsidRDefault="000B4520" w:rsidP="0088047D">
            <w:pPr>
              <w:pStyle w:val="Heading3"/>
              <w:spacing w:before="60" w:after="60" w:line="240" w:lineRule="auto"/>
              <w:rPr>
                <w:rFonts w:ascii="Arial" w:hAnsi="Arial" w:cs="Arial"/>
                <w:sz w:val="20"/>
                <w:szCs w:val="20"/>
              </w:rPr>
            </w:pPr>
            <w:r w:rsidRPr="008033AC">
              <w:rPr>
                <w:rFonts w:ascii="Arial" w:hAnsi="Arial" w:cs="Arial"/>
                <w:sz w:val="20"/>
                <w:szCs w:val="20"/>
              </w:rPr>
              <w:t>General disorders and administration site conditions</w:t>
            </w:r>
          </w:p>
        </w:tc>
      </w:tr>
      <w:tr w:rsidR="000B4520" w:rsidRPr="008033AC" w14:paraId="749C37AF" w14:textId="77777777" w:rsidTr="001550EB">
        <w:trPr>
          <w:cantSplit/>
          <w:trHeight w:hRule="exact" w:val="284"/>
        </w:trPr>
        <w:tc>
          <w:tcPr>
            <w:tcW w:w="1791" w:type="dxa"/>
            <w:shd w:val="clear" w:color="auto" w:fill="auto"/>
          </w:tcPr>
          <w:p w14:paraId="3EF2941E" w14:textId="77777777" w:rsidR="000B4520" w:rsidRPr="008033AC" w:rsidRDefault="000B4520" w:rsidP="0088047D">
            <w:pPr>
              <w:pStyle w:val="ListParagraph"/>
              <w:spacing w:before="60" w:after="60" w:line="240" w:lineRule="auto"/>
              <w:rPr>
                <w:sz w:val="20"/>
                <w:szCs w:val="20"/>
              </w:rPr>
            </w:pPr>
            <w:r w:rsidRPr="008033AC">
              <w:rPr>
                <w:sz w:val="20"/>
                <w:szCs w:val="20"/>
              </w:rPr>
              <w:t>Very common</w:t>
            </w:r>
          </w:p>
        </w:tc>
        <w:tc>
          <w:tcPr>
            <w:tcW w:w="7236" w:type="dxa"/>
            <w:gridSpan w:val="2"/>
            <w:shd w:val="clear" w:color="auto" w:fill="auto"/>
          </w:tcPr>
          <w:p w14:paraId="7B2925CE" w14:textId="77777777" w:rsidR="000B4520" w:rsidRPr="008033AC" w:rsidRDefault="000B4520" w:rsidP="0088047D">
            <w:pPr>
              <w:pStyle w:val="ListParagraph"/>
              <w:spacing w:before="60" w:after="60" w:line="240" w:lineRule="auto"/>
              <w:rPr>
                <w:sz w:val="20"/>
                <w:szCs w:val="20"/>
              </w:rPr>
            </w:pPr>
            <w:r w:rsidRPr="008033AC">
              <w:rPr>
                <w:sz w:val="20"/>
                <w:szCs w:val="20"/>
              </w:rPr>
              <w:t>Asthenia, chills, fatigue, pyrexia</w:t>
            </w:r>
          </w:p>
        </w:tc>
      </w:tr>
      <w:tr w:rsidR="000B4520" w:rsidRPr="002C1495" w14:paraId="58AE7D8C" w14:textId="77777777" w:rsidTr="001550EB">
        <w:trPr>
          <w:cantSplit/>
          <w:trHeight w:hRule="exact" w:val="284"/>
        </w:trPr>
        <w:tc>
          <w:tcPr>
            <w:tcW w:w="1791" w:type="dxa"/>
            <w:shd w:val="clear" w:color="auto" w:fill="auto"/>
          </w:tcPr>
          <w:p w14:paraId="28112B7D" w14:textId="77777777" w:rsidR="000B4520" w:rsidRPr="008033AC" w:rsidRDefault="000B4520" w:rsidP="0088047D">
            <w:pPr>
              <w:pStyle w:val="ListParagraph"/>
              <w:spacing w:before="60" w:after="60" w:line="240" w:lineRule="auto"/>
              <w:rPr>
                <w:sz w:val="20"/>
                <w:szCs w:val="20"/>
              </w:rPr>
            </w:pPr>
            <w:r w:rsidRPr="008033AC">
              <w:rPr>
                <w:sz w:val="20"/>
                <w:szCs w:val="20"/>
              </w:rPr>
              <w:t>Common</w:t>
            </w:r>
          </w:p>
        </w:tc>
        <w:tc>
          <w:tcPr>
            <w:tcW w:w="7236" w:type="dxa"/>
            <w:gridSpan w:val="2"/>
            <w:shd w:val="clear" w:color="auto" w:fill="auto"/>
          </w:tcPr>
          <w:p w14:paraId="35BE1814" w14:textId="77777777" w:rsidR="000B4520" w:rsidRPr="008033AC" w:rsidRDefault="000B4520" w:rsidP="0088047D">
            <w:pPr>
              <w:pStyle w:val="ListParagraph"/>
              <w:spacing w:before="60" w:after="60" w:line="240" w:lineRule="auto"/>
              <w:rPr>
                <w:sz w:val="20"/>
                <w:szCs w:val="20"/>
              </w:rPr>
            </w:pPr>
            <w:r w:rsidRPr="008033AC">
              <w:rPr>
                <w:sz w:val="20"/>
                <w:szCs w:val="20"/>
              </w:rPr>
              <w:t>Influenza-like illness</w:t>
            </w:r>
          </w:p>
        </w:tc>
      </w:tr>
      <w:tr w:rsidR="000B4520" w:rsidRPr="002C1495" w14:paraId="3460749C" w14:textId="77777777" w:rsidTr="001550EB">
        <w:trPr>
          <w:cantSplit/>
          <w:trHeight w:hRule="exact" w:val="284"/>
        </w:trPr>
        <w:tc>
          <w:tcPr>
            <w:tcW w:w="9027" w:type="dxa"/>
            <w:gridSpan w:val="3"/>
            <w:tcBorders>
              <w:top w:val="single" w:sz="4" w:space="0" w:color="auto"/>
            </w:tcBorders>
            <w:shd w:val="clear" w:color="auto" w:fill="auto"/>
          </w:tcPr>
          <w:p w14:paraId="39134C3C" w14:textId="77777777" w:rsidR="000B4520" w:rsidRPr="008033AC" w:rsidRDefault="000B4520" w:rsidP="0088047D">
            <w:pPr>
              <w:pStyle w:val="Heading3"/>
              <w:spacing w:before="60" w:after="60" w:line="240" w:lineRule="auto"/>
              <w:rPr>
                <w:rFonts w:ascii="Arial" w:hAnsi="Arial" w:cs="Arial"/>
                <w:sz w:val="20"/>
                <w:szCs w:val="20"/>
              </w:rPr>
            </w:pPr>
            <w:r w:rsidRPr="008033AC">
              <w:rPr>
                <w:rFonts w:ascii="Arial" w:hAnsi="Arial" w:cs="Arial"/>
                <w:sz w:val="20"/>
                <w:szCs w:val="20"/>
              </w:rPr>
              <w:t>Investigations</w:t>
            </w:r>
          </w:p>
        </w:tc>
      </w:tr>
      <w:tr w:rsidR="000B4520" w:rsidRPr="002C1495" w14:paraId="549FE892" w14:textId="77777777" w:rsidTr="001550EB">
        <w:trPr>
          <w:cantSplit/>
          <w:trHeight w:hRule="exact" w:val="284"/>
        </w:trPr>
        <w:tc>
          <w:tcPr>
            <w:tcW w:w="1791" w:type="dxa"/>
            <w:shd w:val="clear" w:color="auto" w:fill="auto"/>
          </w:tcPr>
          <w:p w14:paraId="73666434" w14:textId="77777777" w:rsidR="000B4520" w:rsidRPr="008033AC" w:rsidRDefault="000B4520" w:rsidP="0088047D">
            <w:pPr>
              <w:pStyle w:val="ListParagraph"/>
              <w:spacing w:before="60" w:after="60" w:line="240" w:lineRule="auto"/>
              <w:rPr>
                <w:sz w:val="20"/>
                <w:szCs w:val="20"/>
              </w:rPr>
            </w:pPr>
            <w:r w:rsidRPr="008033AC">
              <w:rPr>
                <w:sz w:val="20"/>
                <w:szCs w:val="20"/>
              </w:rPr>
              <w:t>Common</w:t>
            </w:r>
          </w:p>
        </w:tc>
        <w:tc>
          <w:tcPr>
            <w:tcW w:w="7236" w:type="dxa"/>
            <w:gridSpan w:val="2"/>
            <w:shd w:val="clear" w:color="auto" w:fill="auto"/>
          </w:tcPr>
          <w:p w14:paraId="3A1F0F6F" w14:textId="77777777" w:rsidR="000B4520" w:rsidRPr="008033AC" w:rsidRDefault="000B4520" w:rsidP="0088047D">
            <w:pPr>
              <w:pStyle w:val="ListParagraph"/>
              <w:spacing w:before="60" w:after="60" w:line="240" w:lineRule="auto"/>
              <w:rPr>
                <w:sz w:val="20"/>
                <w:szCs w:val="20"/>
              </w:rPr>
            </w:pPr>
            <w:r w:rsidRPr="008033AC">
              <w:rPr>
                <w:sz w:val="20"/>
                <w:szCs w:val="20"/>
              </w:rPr>
              <w:t>LVEF decrease</w:t>
            </w:r>
          </w:p>
        </w:tc>
      </w:tr>
      <w:tr w:rsidR="000B4520" w:rsidRPr="002C1495" w14:paraId="65882593" w14:textId="77777777" w:rsidTr="001550EB">
        <w:trPr>
          <w:cantSplit/>
          <w:trHeight w:hRule="exact" w:val="284"/>
        </w:trPr>
        <w:tc>
          <w:tcPr>
            <w:tcW w:w="1791" w:type="dxa"/>
            <w:tcBorders>
              <w:bottom w:val="single" w:sz="4" w:space="0" w:color="auto"/>
            </w:tcBorders>
            <w:shd w:val="clear" w:color="auto" w:fill="auto"/>
          </w:tcPr>
          <w:p w14:paraId="15A9FB50" w14:textId="77777777" w:rsidR="000B4520" w:rsidRPr="008033AC" w:rsidRDefault="000B4520" w:rsidP="0088047D">
            <w:pPr>
              <w:pStyle w:val="ListParagraph"/>
              <w:spacing w:before="60" w:after="60" w:line="240" w:lineRule="auto"/>
              <w:rPr>
                <w:sz w:val="20"/>
                <w:szCs w:val="20"/>
              </w:rPr>
            </w:pPr>
            <w:r w:rsidRPr="008033AC">
              <w:rPr>
                <w:sz w:val="20"/>
                <w:szCs w:val="20"/>
              </w:rPr>
              <w:t>Uncommon</w:t>
            </w:r>
          </w:p>
        </w:tc>
        <w:tc>
          <w:tcPr>
            <w:tcW w:w="7236" w:type="dxa"/>
            <w:gridSpan w:val="2"/>
            <w:tcBorders>
              <w:bottom w:val="single" w:sz="4" w:space="0" w:color="auto"/>
            </w:tcBorders>
            <w:shd w:val="clear" w:color="auto" w:fill="auto"/>
          </w:tcPr>
          <w:p w14:paraId="351AF079" w14:textId="77777777" w:rsidR="000B4520" w:rsidRPr="008033AC" w:rsidRDefault="000B4520" w:rsidP="0088047D">
            <w:pPr>
              <w:pStyle w:val="ListParagraph"/>
              <w:spacing w:before="60" w:after="60" w:line="240" w:lineRule="auto"/>
              <w:rPr>
                <w:sz w:val="20"/>
                <w:szCs w:val="20"/>
              </w:rPr>
            </w:pPr>
            <w:r w:rsidRPr="008033AC">
              <w:rPr>
                <w:sz w:val="20"/>
                <w:szCs w:val="20"/>
              </w:rPr>
              <w:t>QT prolongation</w:t>
            </w:r>
          </w:p>
        </w:tc>
      </w:tr>
    </w:tbl>
    <w:p w14:paraId="33166D84" w14:textId="77777777" w:rsidR="000B4520" w:rsidRPr="004868C8" w:rsidRDefault="000B4520" w:rsidP="000B4520">
      <w:pPr>
        <w:ind w:left="504"/>
        <w:rPr>
          <w:rFonts w:ascii="Arial" w:hAnsi="Arial" w:cs="Arial"/>
          <w:sz w:val="20"/>
          <w:szCs w:val="20"/>
        </w:rPr>
      </w:pPr>
      <w:r w:rsidRPr="004868C8">
        <w:rPr>
          <w:rFonts w:ascii="Arial" w:hAnsi="Arial" w:cs="Arial"/>
          <w:sz w:val="20"/>
          <w:szCs w:val="20"/>
          <w:vertAlign w:val="superscript"/>
        </w:rPr>
        <w:t>1</w:t>
      </w:r>
      <w:r w:rsidRPr="004868C8">
        <w:rPr>
          <w:rFonts w:ascii="Arial" w:hAnsi="Arial" w:cs="Arial"/>
          <w:sz w:val="20"/>
          <w:szCs w:val="20"/>
        </w:rPr>
        <w:t>Photosensitivity cases were also observed in post-marketing experience. All cases reported in clinical trials were Grade 1 and no dose modification was required.</w:t>
      </w:r>
    </w:p>
    <w:p w14:paraId="23CFC17E" w14:textId="27B86FF8" w:rsidR="00CA435D" w:rsidRDefault="00CA435D" w:rsidP="00CA435D">
      <w:pPr>
        <w:ind w:left="504"/>
      </w:pPr>
      <w:r>
        <w:t>Table 4</w:t>
      </w:r>
      <w:r w:rsidRPr="007F01C3">
        <w:t xml:space="preserve"> lists the very common (</w:t>
      </w:r>
      <w:r w:rsidRPr="007F01C3">
        <w:sym w:font="Symbol" w:char="F0B3"/>
      </w:r>
      <w:r>
        <w:t xml:space="preserve"> </w:t>
      </w:r>
      <w:r w:rsidRPr="007F01C3">
        <w:t>10</w:t>
      </w:r>
      <w:r>
        <w:t xml:space="preserve"> </w:t>
      </w:r>
      <w:r w:rsidRPr="007F01C3">
        <w:t xml:space="preserve">% of </w:t>
      </w:r>
      <w:r>
        <w:t>patient</w:t>
      </w:r>
      <w:r w:rsidRPr="007F01C3">
        <w:t xml:space="preserve">s) adverse events reported in the Phase III </w:t>
      </w:r>
      <w:proofErr w:type="gramStart"/>
      <w:r w:rsidRPr="007F01C3">
        <w:t>randomised,</w:t>
      </w:r>
      <w:proofErr w:type="gramEnd"/>
      <w:r w:rsidRPr="007F01C3">
        <w:t xml:space="preserve"> open-label study [BREAK-3].</w:t>
      </w:r>
    </w:p>
    <w:p w14:paraId="4B7375C1" w14:textId="77777777" w:rsidR="000B4520" w:rsidRPr="00CE28A0" w:rsidRDefault="000B4520" w:rsidP="001550EB">
      <w:pPr>
        <w:pStyle w:val="Heading2"/>
        <w:keepNext w:val="0"/>
        <w:widowControl w:val="0"/>
        <w:spacing w:after="0" w:line="240" w:lineRule="auto"/>
        <w:ind w:left="505"/>
        <w:rPr>
          <w:u w:val="none"/>
        </w:rPr>
      </w:pPr>
    </w:p>
    <w:p w14:paraId="277950B2" w14:textId="0B0F026C" w:rsidR="000B4520" w:rsidRPr="00F7461A" w:rsidRDefault="000B4520" w:rsidP="00F7461A">
      <w:pPr>
        <w:spacing w:after="0" w:line="240" w:lineRule="auto"/>
        <w:ind w:left="504"/>
        <w:rPr>
          <w:rFonts w:ascii="Arial" w:hAnsi="Arial"/>
          <w:b/>
          <w:sz w:val="22"/>
        </w:rPr>
      </w:pPr>
      <w:r w:rsidRPr="00CE28A0">
        <w:rPr>
          <w:rFonts w:ascii="Arial" w:hAnsi="Arial"/>
          <w:b/>
          <w:sz w:val="22"/>
        </w:rPr>
        <w:t xml:space="preserve">Table </w:t>
      </w:r>
      <w:r w:rsidR="00C73E06">
        <w:rPr>
          <w:rFonts w:ascii="Arial" w:hAnsi="Arial"/>
          <w:b/>
          <w:sz w:val="22"/>
        </w:rPr>
        <w:t>4</w:t>
      </w:r>
      <w:r>
        <w:rPr>
          <w:rFonts w:ascii="Arial" w:hAnsi="Arial" w:cs="Arial"/>
          <w:b/>
          <w:sz w:val="22"/>
          <w:szCs w:val="22"/>
        </w:rPr>
        <w:tab/>
      </w:r>
      <w:r w:rsidRPr="00CE28A0">
        <w:rPr>
          <w:rFonts w:ascii="Arial" w:hAnsi="Arial"/>
          <w:b/>
          <w:sz w:val="22"/>
        </w:rPr>
        <w:t xml:space="preserve">Adverse events reported </w:t>
      </w:r>
      <w:r>
        <w:rPr>
          <w:rFonts w:ascii="Arial" w:hAnsi="Arial" w:cs="Arial"/>
          <w:b/>
          <w:sz w:val="22"/>
          <w:szCs w:val="22"/>
        </w:rPr>
        <w:t>≥</w:t>
      </w:r>
      <w:r w:rsidRPr="00CE28A0">
        <w:rPr>
          <w:rFonts w:ascii="Arial" w:hAnsi="Arial"/>
          <w:b/>
          <w:sz w:val="22"/>
        </w:rPr>
        <w:t xml:space="preserve"> 10</w:t>
      </w:r>
      <w:r>
        <w:rPr>
          <w:rFonts w:ascii="Arial" w:hAnsi="Arial" w:cs="Arial"/>
          <w:b/>
          <w:sz w:val="22"/>
          <w:szCs w:val="22"/>
        </w:rPr>
        <w:t xml:space="preserve"> </w:t>
      </w:r>
      <w:r w:rsidRPr="00CE28A0">
        <w:rPr>
          <w:rFonts w:ascii="Arial" w:hAnsi="Arial"/>
          <w:b/>
          <w:sz w:val="22"/>
        </w:rPr>
        <w:t xml:space="preserve">% of </w:t>
      </w:r>
      <w:r w:rsidR="001C1405">
        <w:rPr>
          <w:rFonts w:ascii="Arial" w:hAnsi="Arial"/>
          <w:b/>
          <w:sz w:val="22"/>
        </w:rPr>
        <w:t>patient</w:t>
      </w:r>
      <w:r w:rsidRPr="00CE28A0">
        <w:rPr>
          <w:rFonts w:ascii="Arial" w:hAnsi="Arial"/>
          <w:b/>
          <w:sz w:val="22"/>
        </w:rPr>
        <w:t xml:space="preserve">s receiving </w:t>
      </w:r>
      <w:r w:rsidRPr="00FE5010">
        <w:rPr>
          <w:rFonts w:ascii="Arial" w:hAnsi="Arial" w:cs="Arial"/>
          <w:b/>
          <w:sz w:val="22"/>
          <w:szCs w:val="22"/>
        </w:rPr>
        <w:t>TAFINLAR</w:t>
      </w:r>
      <w:r w:rsidRPr="00CE28A0">
        <w:rPr>
          <w:rFonts w:ascii="Arial" w:hAnsi="Arial"/>
          <w:b/>
          <w:sz w:val="22"/>
        </w:rPr>
        <w:t xml:space="preserve"> or </w:t>
      </w:r>
      <w:proofErr w:type="spellStart"/>
      <w:r w:rsidR="00F7461A" w:rsidRPr="00F7461A">
        <w:rPr>
          <w:rFonts w:ascii="Arial" w:hAnsi="Arial"/>
          <w:b/>
          <w:sz w:val="22"/>
        </w:rPr>
        <w:t>dacarbazine</w:t>
      </w:r>
      <w:proofErr w:type="spellEnd"/>
    </w:p>
    <w:p w14:paraId="71419839" w14:textId="74D9D660" w:rsidR="00CA435D" w:rsidRDefault="000B4520" w:rsidP="000B4520">
      <w:pPr>
        <w:spacing w:after="0" w:line="240" w:lineRule="auto"/>
        <w:ind w:left="504"/>
        <w:rPr>
          <w:rFonts w:ascii="Arial" w:hAnsi="Arial"/>
          <w:b/>
          <w:sz w:val="22"/>
        </w:rPr>
      </w:pPr>
      <w:r>
        <w:rPr>
          <w:rFonts w:ascii="Arial" w:hAnsi="Arial" w:cs="Arial"/>
          <w:b/>
          <w:sz w:val="22"/>
          <w:szCs w:val="22"/>
        </w:rPr>
        <w:tab/>
      </w:r>
      <w:r>
        <w:rPr>
          <w:rFonts w:ascii="Arial" w:hAnsi="Arial" w:cs="Arial"/>
          <w:b/>
          <w:sz w:val="22"/>
          <w:szCs w:val="22"/>
        </w:rPr>
        <w:tab/>
      </w:r>
      <w:proofErr w:type="gramStart"/>
      <w:r w:rsidRPr="00CE28A0">
        <w:rPr>
          <w:rFonts w:ascii="Arial" w:hAnsi="Arial"/>
          <w:b/>
          <w:sz w:val="22"/>
        </w:rPr>
        <w:t>in</w:t>
      </w:r>
      <w:proofErr w:type="gramEnd"/>
      <w:r w:rsidRPr="00CE28A0">
        <w:rPr>
          <w:rFonts w:ascii="Arial" w:hAnsi="Arial"/>
          <w:b/>
          <w:sz w:val="22"/>
        </w:rPr>
        <w:t xml:space="preserve"> </w:t>
      </w:r>
      <w:r w:rsidR="000C7575">
        <w:rPr>
          <w:rFonts w:ascii="Arial" w:hAnsi="Arial"/>
          <w:b/>
          <w:sz w:val="22"/>
        </w:rPr>
        <w:t>u</w:t>
      </w:r>
      <w:r w:rsidR="000C7575" w:rsidRPr="000C7575">
        <w:rPr>
          <w:rFonts w:ascii="Arial" w:hAnsi="Arial"/>
          <w:b/>
          <w:sz w:val="22"/>
        </w:rPr>
        <w:t>nresectable or metastatic melanoma</w:t>
      </w:r>
      <w:r w:rsidR="000C7575">
        <w:rPr>
          <w:rFonts w:ascii="Arial" w:hAnsi="Arial"/>
          <w:b/>
          <w:sz w:val="22"/>
        </w:rPr>
        <w:t xml:space="preserve"> - </w:t>
      </w:r>
      <w:r w:rsidRPr="00CE28A0">
        <w:rPr>
          <w:rFonts w:ascii="Arial" w:hAnsi="Arial"/>
          <w:b/>
          <w:sz w:val="22"/>
        </w:rPr>
        <w:t>BREAK-3 (</w:t>
      </w:r>
      <w:r>
        <w:rPr>
          <w:rFonts w:ascii="Arial" w:hAnsi="Arial" w:cs="Arial"/>
          <w:b/>
          <w:sz w:val="22"/>
          <w:szCs w:val="22"/>
        </w:rPr>
        <w:t>s</w:t>
      </w:r>
      <w:r w:rsidRPr="00FE5010">
        <w:rPr>
          <w:rFonts w:ascii="Arial" w:hAnsi="Arial" w:cs="Arial"/>
          <w:b/>
          <w:sz w:val="22"/>
          <w:szCs w:val="22"/>
        </w:rPr>
        <w:t xml:space="preserve">afety </w:t>
      </w:r>
      <w:r>
        <w:rPr>
          <w:rFonts w:ascii="Arial" w:hAnsi="Arial" w:cs="Arial"/>
          <w:b/>
          <w:sz w:val="22"/>
          <w:szCs w:val="22"/>
        </w:rPr>
        <w:t>population</w:t>
      </w:r>
      <w:r w:rsidRPr="00CE28A0">
        <w:rPr>
          <w:rFonts w:ascii="Arial" w:hAnsi="Arial"/>
          <w:b/>
          <w:sz w:val="22"/>
        </w:rPr>
        <w:t xml:space="preserve">) by </w:t>
      </w:r>
    </w:p>
    <w:p w14:paraId="74197F7F" w14:textId="601AEFC5" w:rsidR="000B4520" w:rsidRPr="00CE28A0" w:rsidRDefault="00CA435D" w:rsidP="000B4520">
      <w:pPr>
        <w:spacing w:after="0" w:line="240" w:lineRule="auto"/>
        <w:ind w:left="504"/>
        <w:rPr>
          <w:rFonts w:ascii="Arial" w:hAnsi="Arial"/>
          <w:b/>
          <w:sz w:val="22"/>
        </w:rPr>
      </w:pPr>
      <w:r>
        <w:rPr>
          <w:rFonts w:ascii="Arial" w:hAnsi="Arial"/>
          <w:b/>
          <w:sz w:val="22"/>
        </w:rPr>
        <w:tab/>
      </w:r>
      <w:r>
        <w:rPr>
          <w:rFonts w:ascii="Arial" w:hAnsi="Arial"/>
          <w:b/>
          <w:sz w:val="22"/>
        </w:rPr>
        <w:tab/>
      </w:r>
      <w:proofErr w:type="gramStart"/>
      <w:r w:rsidR="000B4520" w:rsidRPr="00CE28A0">
        <w:rPr>
          <w:rFonts w:ascii="Arial" w:hAnsi="Arial"/>
          <w:b/>
          <w:sz w:val="22"/>
        </w:rPr>
        <w:t>maximum</w:t>
      </w:r>
      <w:proofErr w:type="gramEnd"/>
      <w:r w:rsidR="000B4520" w:rsidRPr="00CE28A0">
        <w:rPr>
          <w:rFonts w:ascii="Arial" w:hAnsi="Arial"/>
          <w:b/>
          <w:sz w:val="22"/>
        </w:rPr>
        <w:t xml:space="preserve"> grade</w:t>
      </w:r>
    </w:p>
    <w:p w14:paraId="113D2C3E" w14:textId="77777777" w:rsidR="000B4520" w:rsidRPr="00CE28A0" w:rsidRDefault="000B4520" w:rsidP="000B4520">
      <w:pPr>
        <w:spacing w:after="0" w:line="240" w:lineRule="auto"/>
        <w:ind w:left="504"/>
        <w:rPr>
          <w:rFonts w:ascii="Arial" w:hAnsi="Arial"/>
          <w:b/>
          <w:sz w:val="22"/>
        </w:rPr>
      </w:pPr>
    </w:p>
    <w:tbl>
      <w:tblPr>
        <w:tblW w:w="4635" w:type="pct"/>
        <w:tblInd w:w="612" w:type="dxa"/>
        <w:tblLook w:val="04A0" w:firstRow="1" w:lastRow="0" w:firstColumn="1" w:lastColumn="0" w:noHBand="0" w:noVBand="1"/>
      </w:tblPr>
      <w:tblGrid>
        <w:gridCol w:w="2218"/>
        <w:gridCol w:w="1386"/>
        <w:gridCol w:w="1076"/>
        <w:gridCol w:w="1076"/>
        <w:gridCol w:w="1388"/>
        <w:gridCol w:w="1076"/>
        <w:gridCol w:w="1072"/>
      </w:tblGrid>
      <w:tr w:rsidR="000B4520" w:rsidRPr="005741DD" w14:paraId="58CA38C6" w14:textId="77777777" w:rsidTr="001550EB">
        <w:trPr>
          <w:trHeight w:hRule="exact" w:val="284"/>
          <w:tblHeader/>
        </w:trPr>
        <w:tc>
          <w:tcPr>
            <w:tcW w:w="1193" w:type="pct"/>
            <w:vMerge w:val="restart"/>
            <w:tcBorders>
              <w:top w:val="single" w:sz="4" w:space="0" w:color="auto"/>
            </w:tcBorders>
            <w:shd w:val="clear" w:color="auto" w:fill="auto"/>
            <w:vAlign w:val="bottom"/>
            <w:hideMark/>
          </w:tcPr>
          <w:p w14:paraId="72D6F8CC" w14:textId="77777777" w:rsidR="000B4520" w:rsidRPr="00CE28A0" w:rsidRDefault="000B4520" w:rsidP="0088047D">
            <w:pPr>
              <w:jc w:val="center"/>
              <w:rPr>
                <w:rFonts w:ascii="Arial" w:hAnsi="Arial"/>
                <w:b/>
                <w:sz w:val="20"/>
                <w:lang w:val="en-GB"/>
              </w:rPr>
            </w:pPr>
            <w:r w:rsidRPr="00CE28A0">
              <w:rPr>
                <w:rFonts w:ascii="Arial" w:hAnsi="Arial"/>
                <w:b/>
                <w:sz w:val="20"/>
                <w:lang w:val="en-GB"/>
              </w:rPr>
              <w:br w:type="page"/>
              <w:t>Preferred term</w:t>
            </w:r>
          </w:p>
        </w:tc>
        <w:tc>
          <w:tcPr>
            <w:tcW w:w="3807" w:type="pct"/>
            <w:gridSpan w:val="6"/>
            <w:tcBorders>
              <w:top w:val="single" w:sz="4" w:space="0" w:color="auto"/>
            </w:tcBorders>
          </w:tcPr>
          <w:p w14:paraId="3C13A5BE" w14:textId="6402177C" w:rsidR="000B4520" w:rsidRPr="00CE28A0" w:rsidRDefault="000B4520" w:rsidP="0088047D">
            <w:pPr>
              <w:jc w:val="center"/>
              <w:rPr>
                <w:rFonts w:ascii="Arial" w:hAnsi="Arial"/>
                <w:b/>
                <w:sz w:val="20"/>
                <w:lang w:val="en-GB"/>
              </w:rPr>
            </w:pPr>
            <w:r w:rsidRPr="00CE28A0">
              <w:rPr>
                <w:rFonts w:ascii="Arial" w:hAnsi="Arial"/>
                <w:b/>
                <w:sz w:val="20"/>
                <w:lang w:val="en-GB"/>
              </w:rPr>
              <w:t xml:space="preserve">Number (%) of </w:t>
            </w:r>
            <w:r w:rsidR="001C1405">
              <w:rPr>
                <w:rFonts w:ascii="Arial" w:hAnsi="Arial"/>
                <w:b/>
                <w:sz w:val="20"/>
                <w:lang w:val="en-GB"/>
              </w:rPr>
              <w:t>Patient</w:t>
            </w:r>
            <w:r w:rsidRPr="00CE28A0">
              <w:rPr>
                <w:rFonts w:ascii="Arial" w:hAnsi="Arial"/>
                <w:b/>
                <w:sz w:val="20"/>
                <w:lang w:val="en-GB"/>
              </w:rPr>
              <w:t>s</w:t>
            </w:r>
          </w:p>
        </w:tc>
      </w:tr>
      <w:tr w:rsidR="000B4520" w:rsidRPr="005741DD" w14:paraId="4BE71E83" w14:textId="77777777" w:rsidTr="001550EB">
        <w:trPr>
          <w:trHeight w:hRule="exact" w:val="284"/>
          <w:tblHeader/>
        </w:trPr>
        <w:tc>
          <w:tcPr>
            <w:tcW w:w="1193" w:type="pct"/>
            <w:vMerge/>
            <w:shd w:val="clear" w:color="auto" w:fill="auto"/>
            <w:hideMark/>
          </w:tcPr>
          <w:p w14:paraId="60F0DA18" w14:textId="77777777" w:rsidR="000B4520" w:rsidRPr="00EA0A02" w:rsidRDefault="000B4520" w:rsidP="0088047D">
            <w:pPr>
              <w:rPr>
                <w:rFonts w:ascii="Arial" w:hAnsi="Arial"/>
                <w:b/>
                <w:sz w:val="20"/>
              </w:rPr>
            </w:pPr>
          </w:p>
        </w:tc>
        <w:tc>
          <w:tcPr>
            <w:tcW w:w="1904" w:type="pct"/>
            <w:gridSpan w:val="3"/>
          </w:tcPr>
          <w:p w14:paraId="12EBC694" w14:textId="77777777" w:rsidR="000B4520" w:rsidRPr="00CE28A0" w:rsidRDefault="000B4520" w:rsidP="0088047D">
            <w:pPr>
              <w:jc w:val="center"/>
              <w:rPr>
                <w:rFonts w:ascii="Arial" w:hAnsi="Arial"/>
                <w:b/>
                <w:sz w:val="20"/>
              </w:rPr>
            </w:pPr>
            <w:r>
              <w:rPr>
                <w:rFonts w:ascii="Arial" w:hAnsi="Arial" w:cs="Arial"/>
                <w:b/>
                <w:sz w:val="20"/>
                <w:szCs w:val="20"/>
                <w:lang w:val="en-GB" w:eastAsia="en-GB"/>
              </w:rPr>
              <w:t>TAFINLAR</w:t>
            </w:r>
            <w:r w:rsidRPr="00CE28A0">
              <w:rPr>
                <w:rFonts w:ascii="Arial" w:hAnsi="Arial"/>
                <w:b/>
                <w:sz w:val="20"/>
                <w:lang w:val="en-GB"/>
              </w:rPr>
              <w:t xml:space="preserve"> (N=187)</w:t>
            </w:r>
          </w:p>
        </w:tc>
        <w:tc>
          <w:tcPr>
            <w:tcW w:w="1903" w:type="pct"/>
            <w:gridSpan w:val="3"/>
            <w:shd w:val="clear" w:color="auto" w:fill="auto"/>
          </w:tcPr>
          <w:p w14:paraId="7A2DD8E7" w14:textId="77777777" w:rsidR="000B4520" w:rsidRPr="00CE28A0" w:rsidRDefault="000B4520" w:rsidP="0088047D">
            <w:pPr>
              <w:jc w:val="center"/>
              <w:rPr>
                <w:rFonts w:ascii="Arial" w:hAnsi="Arial"/>
                <w:b/>
                <w:sz w:val="20"/>
              </w:rPr>
            </w:pPr>
            <w:proofErr w:type="spellStart"/>
            <w:r w:rsidRPr="00CE28A0">
              <w:rPr>
                <w:rFonts w:ascii="Arial" w:hAnsi="Arial"/>
                <w:b/>
                <w:sz w:val="20"/>
                <w:lang w:val="en-GB"/>
              </w:rPr>
              <w:t>dacarbazine</w:t>
            </w:r>
            <w:proofErr w:type="spellEnd"/>
            <w:r w:rsidRPr="00CE28A0">
              <w:rPr>
                <w:rFonts w:ascii="Arial" w:hAnsi="Arial"/>
                <w:b/>
                <w:sz w:val="20"/>
                <w:lang w:val="en-GB"/>
              </w:rPr>
              <w:t xml:space="preserve"> (N=59)</w:t>
            </w:r>
          </w:p>
        </w:tc>
      </w:tr>
      <w:tr w:rsidR="000B4520" w:rsidRPr="005741DD" w14:paraId="1B519204" w14:textId="77777777" w:rsidTr="001550EB">
        <w:trPr>
          <w:trHeight w:hRule="exact" w:val="284"/>
          <w:tblHeader/>
        </w:trPr>
        <w:tc>
          <w:tcPr>
            <w:tcW w:w="1193" w:type="pct"/>
            <w:vMerge/>
            <w:tcBorders>
              <w:bottom w:val="single" w:sz="4" w:space="0" w:color="auto"/>
            </w:tcBorders>
            <w:shd w:val="clear" w:color="auto" w:fill="auto"/>
            <w:hideMark/>
          </w:tcPr>
          <w:p w14:paraId="7C8A6685" w14:textId="77777777" w:rsidR="000B4520" w:rsidRPr="00EA0A02" w:rsidRDefault="000B4520" w:rsidP="0088047D">
            <w:pPr>
              <w:rPr>
                <w:rFonts w:ascii="Arial" w:hAnsi="Arial"/>
                <w:b/>
                <w:sz w:val="20"/>
              </w:rPr>
            </w:pPr>
          </w:p>
        </w:tc>
        <w:tc>
          <w:tcPr>
            <w:tcW w:w="746" w:type="pct"/>
            <w:tcBorders>
              <w:bottom w:val="single" w:sz="4" w:space="0" w:color="auto"/>
            </w:tcBorders>
            <w:vAlign w:val="center"/>
          </w:tcPr>
          <w:p w14:paraId="648C01D6" w14:textId="77777777" w:rsidR="000B4520" w:rsidRPr="002117FF" w:rsidRDefault="000B4520" w:rsidP="0088047D">
            <w:pPr>
              <w:jc w:val="center"/>
              <w:rPr>
                <w:rFonts w:ascii="Arial" w:hAnsi="Arial"/>
                <w:b/>
                <w:sz w:val="20"/>
              </w:rPr>
            </w:pPr>
            <w:r w:rsidRPr="002E461E">
              <w:rPr>
                <w:rFonts w:ascii="Arial" w:hAnsi="Arial"/>
                <w:b/>
                <w:sz w:val="20"/>
                <w:lang w:val="en-GB"/>
              </w:rPr>
              <w:t>Any Grade</w:t>
            </w:r>
          </w:p>
        </w:tc>
        <w:tc>
          <w:tcPr>
            <w:tcW w:w="579" w:type="pct"/>
            <w:tcBorders>
              <w:bottom w:val="single" w:sz="4" w:space="0" w:color="auto"/>
            </w:tcBorders>
            <w:vAlign w:val="center"/>
          </w:tcPr>
          <w:p w14:paraId="6A2F62F4" w14:textId="77777777" w:rsidR="000B4520" w:rsidRPr="002117FF" w:rsidRDefault="000B4520" w:rsidP="0088047D">
            <w:pPr>
              <w:jc w:val="center"/>
              <w:rPr>
                <w:rFonts w:ascii="Arial" w:hAnsi="Arial"/>
                <w:b/>
                <w:sz w:val="20"/>
              </w:rPr>
            </w:pPr>
            <w:r w:rsidRPr="002E461E">
              <w:rPr>
                <w:rFonts w:ascii="Arial" w:hAnsi="Arial"/>
                <w:b/>
                <w:sz w:val="20"/>
                <w:lang w:val="en-GB"/>
              </w:rPr>
              <w:t>Grade 3</w:t>
            </w:r>
          </w:p>
        </w:tc>
        <w:tc>
          <w:tcPr>
            <w:tcW w:w="579" w:type="pct"/>
            <w:tcBorders>
              <w:bottom w:val="single" w:sz="4" w:space="0" w:color="auto"/>
            </w:tcBorders>
            <w:vAlign w:val="center"/>
          </w:tcPr>
          <w:p w14:paraId="36F42047" w14:textId="77777777" w:rsidR="000B4520" w:rsidRPr="002117FF" w:rsidRDefault="000B4520" w:rsidP="0088047D">
            <w:pPr>
              <w:jc w:val="center"/>
              <w:rPr>
                <w:rFonts w:ascii="Arial" w:hAnsi="Arial"/>
                <w:b/>
                <w:sz w:val="20"/>
              </w:rPr>
            </w:pPr>
            <w:r w:rsidRPr="002E461E">
              <w:rPr>
                <w:rFonts w:ascii="Arial" w:hAnsi="Arial"/>
                <w:b/>
                <w:sz w:val="20"/>
                <w:lang w:val="en-GB"/>
              </w:rPr>
              <w:t>Grade 4</w:t>
            </w:r>
          </w:p>
        </w:tc>
        <w:tc>
          <w:tcPr>
            <w:tcW w:w="747" w:type="pct"/>
            <w:tcBorders>
              <w:bottom w:val="single" w:sz="4" w:space="0" w:color="auto"/>
            </w:tcBorders>
            <w:shd w:val="clear" w:color="auto" w:fill="auto"/>
            <w:vAlign w:val="center"/>
          </w:tcPr>
          <w:p w14:paraId="4E872460" w14:textId="77777777" w:rsidR="000B4520" w:rsidRPr="002117FF" w:rsidRDefault="000B4520" w:rsidP="0088047D">
            <w:pPr>
              <w:jc w:val="center"/>
              <w:rPr>
                <w:rFonts w:ascii="Arial" w:hAnsi="Arial"/>
                <w:b/>
                <w:sz w:val="20"/>
              </w:rPr>
            </w:pPr>
            <w:r w:rsidRPr="002E461E">
              <w:rPr>
                <w:rFonts w:ascii="Arial" w:hAnsi="Arial"/>
                <w:b/>
                <w:sz w:val="20"/>
                <w:lang w:val="en-GB"/>
              </w:rPr>
              <w:t>Any Grade</w:t>
            </w:r>
          </w:p>
        </w:tc>
        <w:tc>
          <w:tcPr>
            <w:tcW w:w="579" w:type="pct"/>
            <w:tcBorders>
              <w:bottom w:val="single" w:sz="4" w:space="0" w:color="auto"/>
            </w:tcBorders>
            <w:shd w:val="clear" w:color="auto" w:fill="auto"/>
            <w:vAlign w:val="center"/>
          </w:tcPr>
          <w:p w14:paraId="318B55E3" w14:textId="77777777" w:rsidR="000B4520" w:rsidRPr="002117FF" w:rsidRDefault="000B4520" w:rsidP="0088047D">
            <w:pPr>
              <w:jc w:val="center"/>
              <w:rPr>
                <w:rFonts w:ascii="Arial" w:hAnsi="Arial"/>
                <w:b/>
                <w:sz w:val="20"/>
              </w:rPr>
            </w:pPr>
            <w:r w:rsidRPr="002E461E">
              <w:rPr>
                <w:rFonts w:ascii="Arial" w:hAnsi="Arial"/>
                <w:b/>
                <w:sz w:val="20"/>
                <w:lang w:val="en-GB"/>
              </w:rPr>
              <w:t>Grade 3</w:t>
            </w:r>
          </w:p>
        </w:tc>
        <w:tc>
          <w:tcPr>
            <w:tcW w:w="577" w:type="pct"/>
            <w:tcBorders>
              <w:bottom w:val="single" w:sz="4" w:space="0" w:color="auto"/>
            </w:tcBorders>
            <w:shd w:val="clear" w:color="auto" w:fill="auto"/>
            <w:vAlign w:val="center"/>
          </w:tcPr>
          <w:p w14:paraId="496AA53B" w14:textId="77777777" w:rsidR="000B4520" w:rsidRPr="002117FF" w:rsidRDefault="000B4520" w:rsidP="0088047D">
            <w:pPr>
              <w:jc w:val="center"/>
              <w:rPr>
                <w:rFonts w:ascii="Arial" w:hAnsi="Arial"/>
                <w:b/>
                <w:sz w:val="20"/>
              </w:rPr>
            </w:pPr>
            <w:r w:rsidRPr="002E461E">
              <w:rPr>
                <w:rFonts w:ascii="Arial" w:hAnsi="Arial"/>
                <w:b/>
                <w:sz w:val="20"/>
                <w:lang w:val="en-GB"/>
              </w:rPr>
              <w:t>Grade 4</w:t>
            </w:r>
          </w:p>
        </w:tc>
      </w:tr>
      <w:tr w:rsidR="000B4520" w:rsidRPr="007F01C3" w14:paraId="3AE41865" w14:textId="77777777" w:rsidTr="001550EB">
        <w:trPr>
          <w:trHeight w:hRule="exact" w:val="284"/>
        </w:trPr>
        <w:tc>
          <w:tcPr>
            <w:tcW w:w="1193" w:type="pct"/>
            <w:tcBorders>
              <w:top w:val="single" w:sz="4" w:space="0" w:color="auto"/>
            </w:tcBorders>
            <w:shd w:val="clear" w:color="auto" w:fill="auto"/>
            <w:hideMark/>
          </w:tcPr>
          <w:p w14:paraId="235B652B" w14:textId="77777777" w:rsidR="000B4520" w:rsidRPr="00CE28A0" w:rsidRDefault="000B4520" w:rsidP="0088047D">
            <w:pPr>
              <w:jc w:val="right"/>
              <w:rPr>
                <w:rFonts w:ascii="Arial" w:hAnsi="Arial"/>
                <w:sz w:val="20"/>
                <w:lang w:val="en-GB"/>
              </w:rPr>
            </w:pPr>
            <w:r w:rsidRPr="00CE28A0">
              <w:rPr>
                <w:rFonts w:ascii="Arial" w:hAnsi="Arial"/>
                <w:sz w:val="20"/>
                <w:lang w:val="en-GB"/>
              </w:rPr>
              <w:t>Any event</w:t>
            </w:r>
          </w:p>
        </w:tc>
        <w:tc>
          <w:tcPr>
            <w:tcW w:w="746" w:type="pct"/>
            <w:tcBorders>
              <w:top w:val="single" w:sz="4" w:space="0" w:color="auto"/>
            </w:tcBorders>
          </w:tcPr>
          <w:p w14:paraId="0444E191" w14:textId="77777777" w:rsidR="000B4520" w:rsidRPr="00CE28A0" w:rsidRDefault="000B4520" w:rsidP="0088047D">
            <w:pPr>
              <w:jc w:val="center"/>
              <w:rPr>
                <w:rFonts w:ascii="Arial" w:hAnsi="Arial"/>
                <w:sz w:val="20"/>
                <w:lang w:val="en-GB"/>
              </w:rPr>
            </w:pPr>
            <w:r w:rsidRPr="00CE28A0">
              <w:rPr>
                <w:rFonts w:ascii="Arial" w:hAnsi="Arial"/>
                <w:sz w:val="20"/>
                <w:lang w:val="en-GB"/>
              </w:rPr>
              <w:t>185 (99)</w:t>
            </w:r>
          </w:p>
        </w:tc>
        <w:tc>
          <w:tcPr>
            <w:tcW w:w="579" w:type="pct"/>
            <w:tcBorders>
              <w:top w:val="single" w:sz="4" w:space="0" w:color="auto"/>
            </w:tcBorders>
          </w:tcPr>
          <w:p w14:paraId="618E1AF7" w14:textId="77777777" w:rsidR="000B4520" w:rsidRPr="00CE28A0" w:rsidRDefault="000B4520" w:rsidP="0088047D">
            <w:pPr>
              <w:jc w:val="center"/>
              <w:rPr>
                <w:rFonts w:ascii="Arial" w:hAnsi="Arial"/>
                <w:sz w:val="20"/>
                <w:lang w:val="en-GB"/>
              </w:rPr>
            </w:pPr>
            <w:r w:rsidRPr="00CE28A0">
              <w:rPr>
                <w:rFonts w:ascii="Arial" w:hAnsi="Arial"/>
                <w:sz w:val="20"/>
                <w:lang w:val="en-GB"/>
              </w:rPr>
              <w:t>55 (29)</w:t>
            </w:r>
          </w:p>
        </w:tc>
        <w:tc>
          <w:tcPr>
            <w:tcW w:w="579" w:type="pct"/>
            <w:tcBorders>
              <w:top w:val="single" w:sz="4" w:space="0" w:color="auto"/>
            </w:tcBorders>
          </w:tcPr>
          <w:p w14:paraId="23AD64C7" w14:textId="77777777" w:rsidR="000B4520" w:rsidRPr="00CE28A0" w:rsidRDefault="000B4520" w:rsidP="0088047D">
            <w:pPr>
              <w:jc w:val="center"/>
              <w:rPr>
                <w:rFonts w:ascii="Arial" w:hAnsi="Arial"/>
                <w:sz w:val="20"/>
                <w:lang w:val="en-GB"/>
              </w:rPr>
            </w:pPr>
            <w:r w:rsidRPr="00CE28A0">
              <w:rPr>
                <w:rFonts w:ascii="Arial" w:hAnsi="Arial"/>
                <w:sz w:val="20"/>
                <w:lang w:val="en-GB"/>
              </w:rPr>
              <w:t>7 (4)</w:t>
            </w:r>
          </w:p>
        </w:tc>
        <w:tc>
          <w:tcPr>
            <w:tcW w:w="747" w:type="pct"/>
            <w:tcBorders>
              <w:top w:val="single" w:sz="4" w:space="0" w:color="auto"/>
            </w:tcBorders>
            <w:shd w:val="clear" w:color="auto" w:fill="auto"/>
            <w:hideMark/>
          </w:tcPr>
          <w:p w14:paraId="4DFFE11C" w14:textId="77777777" w:rsidR="000B4520" w:rsidRPr="00CE28A0" w:rsidRDefault="000B4520" w:rsidP="0088047D">
            <w:pPr>
              <w:jc w:val="center"/>
              <w:rPr>
                <w:rFonts w:ascii="Arial" w:hAnsi="Arial"/>
                <w:sz w:val="20"/>
                <w:lang w:val="en-GB"/>
              </w:rPr>
            </w:pPr>
            <w:r w:rsidRPr="00CE28A0">
              <w:rPr>
                <w:rFonts w:ascii="Arial" w:hAnsi="Arial"/>
                <w:sz w:val="20"/>
                <w:lang w:val="en-GB"/>
              </w:rPr>
              <w:t>54 (92)</w:t>
            </w:r>
          </w:p>
        </w:tc>
        <w:tc>
          <w:tcPr>
            <w:tcW w:w="579" w:type="pct"/>
            <w:tcBorders>
              <w:top w:val="single" w:sz="4" w:space="0" w:color="auto"/>
            </w:tcBorders>
            <w:shd w:val="clear" w:color="auto" w:fill="auto"/>
            <w:hideMark/>
          </w:tcPr>
          <w:p w14:paraId="6C6BDF90" w14:textId="77777777" w:rsidR="000B4520" w:rsidRPr="00CE28A0" w:rsidRDefault="000B4520" w:rsidP="0088047D">
            <w:pPr>
              <w:jc w:val="center"/>
              <w:rPr>
                <w:rFonts w:ascii="Arial" w:hAnsi="Arial"/>
                <w:sz w:val="20"/>
                <w:lang w:val="en-GB"/>
              </w:rPr>
            </w:pPr>
            <w:r w:rsidRPr="00CE28A0">
              <w:rPr>
                <w:rFonts w:ascii="Arial" w:hAnsi="Arial"/>
                <w:sz w:val="20"/>
                <w:lang w:val="en-GB"/>
              </w:rPr>
              <w:t>16 (27)</w:t>
            </w:r>
          </w:p>
        </w:tc>
        <w:tc>
          <w:tcPr>
            <w:tcW w:w="577" w:type="pct"/>
            <w:tcBorders>
              <w:top w:val="single" w:sz="4" w:space="0" w:color="auto"/>
            </w:tcBorders>
            <w:shd w:val="clear" w:color="auto" w:fill="auto"/>
            <w:hideMark/>
          </w:tcPr>
          <w:p w14:paraId="016C82D7" w14:textId="77777777" w:rsidR="000B4520" w:rsidRPr="00CE28A0" w:rsidRDefault="000B4520" w:rsidP="0088047D">
            <w:pPr>
              <w:jc w:val="center"/>
              <w:rPr>
                <w:rFonts w:ascii="Arial" w:hAnsi="Arial"/>
                <w:sz w:val="20"/>
                <w:lang w:val="en-GB"/>
              </w:rPr>
            </w:pPr>
            <w:r w:rsidRPr="00CE28A0">
              <w:rPr>
                <w:rFonts w:ascii="Arial" w:hAnsi="Arial"/>
                <w:sz w:val="20"/>
                <w:lang w:val="en-GB"/>
              </w:rPr>
              <w:t>8 (14)</w:t>
            </w:r>
          </w:p>
        </w:tc>
      </w:tr>
      <w:tr w:rsidR="000B4520" w:rsidRPr="007F01C3" w14:paraId="629205CF" w14:textId="77777777" w:rsidTr="001550EB">
        <w:trPr>
          <w:trHeight w:hRule="exact" w:val="284"/>
        </w:trPr>
        <w:tc>
          <w:tcPr>
            <w:tcW w:w="1193" w:type="pct"/>
            <w:shd w:val="clear" w:color="auto" w:fill="auto"/>
            <w:hideMark/>
          </w:tcPr>
          <w:p w14:paraId="5B88AD90" w14:textId="77777777" w:rsidR="000B4520" w:rsidRPr="00CE28A0" w:rsidRDefault="000B4520" w:rsidP="0088047D">
            <w:pPr>
              <w:jc w:val="right"/>
              <w:rPr>
                <w:rFonts w:ascii="Arial" w:hAnsi="Arial"/>
                <w:sz w:val="20"/>
                <w:lang w:val="en-GB"/>
              </w:rPr>
            </w:pPr>
            <w:r w:rsidRPr="00CE28A0">
              <w:rPr>
                <w:rFonts w:ascii="Arial" w:hAnsi="Arial"/>
                <w:sz w:val="20"/>
                <w:lang w:val="en-GB"/>
              </w:rPr>
              <w:t>Hyperkeratosis</w:t>
            </w:r>
          </w:p>
        </w:tc>
        <w:tc>
          <w:tcPr>
            <w:tcW w:w="746" w:type="pct"/>
          </w:tcPr>
          <w:p w14:paraId="25774E92" w14:textId="77777777" w:rsidR="000B4520" w:rsidRPr="00CE28A0" w:rsidRDefault="000B4520" w:rsidP="0088047D">
            <w:pPr>
              <w:jc w:val="center"/>
              <w:rPr>
                <w:rFonts w:ascii="Arial" w:hAnsi="Arial"/>
                <w:sz w:val="20"/>
                <w:lang w:val="en-GB"/>
              </w:rPr>
            </w:pPr>
            <w:r w:rsidRPr="00CE28A0">
              <w:rPr>
                <w:rFonts w:ascii="Arial" w:hAnsi="Arial"/>
                <w:sz w:val="20"/>
                <w:lang w:val="en-GB"/>
              </w:rPr>
              <w:t>69 (37)</w:t>
            </w:r>
          </w:p>
        </w:tc>
        <w:tc>
          <w:tcPr>
            <w:tcW w:w="579" w:type="pct"/>
          </w:tcPr>
          <w:p w14:paraId="6D0E0809" w14:textId="77777777" w:rsidR="000B4520" w:rsidRPr="00CE28A0" w:rsidRDefault="000B4520" w:rsidP="0088047D">
            <w:pPr>
              <w:jc w:val="center"/>
              <w:rPr>
                <w:rFonts w:ascii="Arial" w:hAnsi="Arial"/>
                <w:sz w:val="20"/>
                <w:lang w:val="en-GB"/>
              </w:rPr>
            </w:pPr>
            <w:r w:rsidRPr="00CE28A0">
              <w:rPr>
                <w:rFonts w:ascii="Arial" w:hAnsi="Arial"/>
                <w:sz w:val="20"/>
                <w:lang w:val="en-GB"/>
              </w:rPr>
              <w:t>1 (&lt;1)</w:t>
            </w:r>
          </w:p>
        </w:tc>
        <w:tc>
          <w:tcPr>
            <w:tcW w:w="579" w:type="pct"/>
          </w:tcPr>
          <w:p w14:paraId="4E5728AC" w14:textId="77777777" w:rsidR="000B4520" w:rsidRPr="00CE28A0" w:rsidRDefault="000B4520" w:rsidP="0088047D">
            <w:pPr>
              <w:jc w:val="center"/>
              <w:rPr>
                <w:rFonts w:ascii="Arial" w:hAnsi="Arial"/>
                <w:sz w:val="20"/>
                <w:lang w:val="en-GB"/>
              </w:rPr>
            </w:pPr>
            <w:r w:rsidRPr="00CE28A0">
              <w:rPr>
                <w:rFonts w:ascii="Arial" w:hAnsi="Arial"/>
                <w:sz w:val="20"/>
                <w:lang w:val="en-GB"/>
              </w:rPr>
              <w:t>1 (&lt;1)</w:t>
            </w:r>
          </w:p>
        </w:tc>
        <w:tc>
          <w:tcPr>
            <w:tcW w:w="747" w:type="pct"/>
            <w:shd w:val="clear" w:color="auto" w:fill="auto"/>
            <w:hideMark/>
          </w:tcPr>
          <w:p w14:paraId="00C01B71"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579" w:type="pct"/>
            <w:shd w:val="clear" w:color="auto" w:fill="auto"/>
            <w:hideMark/>
          </w:tcPr>
          <w:p w14:paraId="64E96011"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577" w:type="pct"/>
            <w:shd w:val="clear" w:color="auto" w:fill="auto"/>
            <w:hideMark/>
          </w:tcPr>
          <w:p w14:paraId="681757D9"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r>
      <w:tr w:rsidR="000B4520" w:rsidRPr="007F01C3" w14:paraId="2F590F1F" w14:textId="77777777" w:rsidTr="001550EB">
        <w:trPr>
          <w:trHeight w:hRule="exact" w:val="284"/>
        </w:trPr>
        <w:tc>
          <w:tcPr>
            <w:tcW w:w="1193" w:type="pct"/>
            <w:shd w:val="clear" w:color="auto" w:fill="auto"/>
            <w:hideMark/>
          </w:tcPr>
          <w:p w14:paraId="16F5B835" w14:textId="77777777" w:rsidR="000B4520" w:rsidRPr="00CE28A0" w:rsidRDefault="000B4520" w:rsidP="0088047D">
            <w:pPr>
              <w:jc w:val="right"/>
              <w:rPr>
                <w:rFonts w:ascii="Arial" w:hAnsi="Arial"/>
                <w:sz w:val="20"/>
                <w:lang w:val="en-GB"/>
              </w:rPr>
            </w:pPr>
            <w:r w:rsidRPr="00CE28A0">
              <w:rPr>
                <w:rFonts w:ascii="Arial" w:hAnsi="Arial"/>
                <w:sz w:val="20"/>
                <w:lang w:val="en-GB"/>
              </w:rPr>
              <w:t>Headache</w:t>
            </w:r>
          </w:p>
        </w:tc>
        <w:tc>
          <w:tcPr>
            <w:tcW w:w="746" w:type="pct"/>
          </w:tcPr>
          <w:p w14:paraId="6BA89335" w14:textId="77777777" w:rsidR="000B4520" w:rsidRPr="00CE28A0" w:rsidRDefault="000B4520" w:rsidP="0088047D">
            <w:pPr>
              <w:jc w:val="center"/>
              <w:rPr>
                <w:rFonts w:ascii="Arial" w:hAnsi="Arial"/>
                <w:sz w:val="20"/>
                <w:lang w:val="en-GB"/>
              </w:rPr>
            </w:pPr>
            <w:r w:rsidRPr="00CE28A0">
              <w:rPr>
                <w:rFonts w:ascii="Arial" w:hAnsi="Arial"/>
                <w:sz w:val="20"/>
                <w:lang w:val="en-GB"/>
              </w:rPr>
              <w:t>59 (32)</w:t>
            </w:r>
          </w:p>
        </w:tc>
        <w:tc>
          <w:tcPr>
            <w:tcW w:w="579" w:type="pct"/>
          </w:tcPr>
          <w:p w14:paraId="3D243CCF"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579" w:type="pct"/>
          </w:tcPr>
          <w:p w14:paraId="323DA20C"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747" w:type="pct"/>
            <w:shd w:val="clear" w:color="auto" w:fill="auto"/>
            <w:hideMark/>
          </w:tcPr>
          <w:p w14:paraId="017E7FD4" w14:textId="77777777" w:rsidR="000B4520" w:rsidRPr="00CE28A0" w:rsidRDefault="000B4520" w:rsidP="0088047D">
            <w:pPr>
              <w:jc w:val="center"/>
              <w:rPr>
                <w:rFonts w:ascii="Arial" w:hAnsi="Arial"/>
                <w:sz w:val="20"/>
                <w:lang w:val="en-GB"/>
              </w:rPr>
            </w:pPr>
            <w:r w:rsidRPr="00CE28A0">
              <w:rPr>
                <w:rFonts w:ascii="Arial" w:hAnsi="Arial"/>
                <w:sz w:val="20"/>
                <w:lang w:val="en-GB"/>
              </w:rPr>
              <w:t>5 (8)</w:t>
            </w:r>
          </w:p>
        </w:tc>
        <w:tc>
          <w:tcPr>
            <w:tcW w:w="579" w:type="pct"/>
            <w:shd w:val="clear" w:color="auto" w:fill="auto"/>
            <w:hideMark/>
          </w:tcPr>
          <w:p w14:paraId="6CFA96D8"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577" w:type="pct"/>
            <w:shd w:val="clear" w:color="auto" w:fill="auto"/>
            <w:hideMark/>
          </w:tcPr>
          <w:p w14:paraId="6479CA76"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r>
      <w:tr w:rsidR="000B4520" w:rsidRPr="007F01C3" w14:paraId="0294AA35" w14:textId="77777777" w:rsidTr="001550EB">
        <w:trPr>
          <w:trHeight w:hRule="exact" w:val="284"/>
        </w:trPr>
        <w:tc>
          <w:tcPr>
            <w:tcW w:w="1193" w:type="pct"/>
            <w:shd w:val="clear" w:color="auto" w:fill="auto"/>
            <w:hideMark/>
          </w:tcPr>
          <w:p w14:paraId="06A5F494" w14:textId="77777777" w:rsidR="000B4520" w:rsidRPr="00CE28A0" w:rsidRDefault="000B4520" w:rsidP="0088047D">
            <w:pPr>
              <w:jc w:val="right"/>
              <w:rPr>
                <w:rFonts w:ascii="Arial" w:hAnsi="Arial"/>
                <w:sz w:val="20"/>
                <w:lang w:val="en-GB"/>
              </w:rPr>
            </w:pPr>
            <w:r w:rsidRPr="00CE28A0">
              <w:rPr>
                <w:rFonts w:ascii="Arial" w:hAnsi="Arial"/>
                <w:sz w:val="20"/>
                <w:lang w:val="en-GB"/>
              </w:rPr>
              <w:t>Pyrexia</w:t>
            </w:r>
          </w:p>
        </w:tc>
        <w:tc>
          <w:tcPr>
            <w:tcW w:w="746" w:type="pct"/>
          </w:tcPr>
          <w:p w14:paraId="27A47CDA" w14:textId="77777777" w:rsidR="000B4520" w:rsidRPr="00CE28A0" w:rsidRDefault="000B4520" w:rsidP="0088047D">
            <w:pPr>
              <w:jc w:val="center"/>
              <w:rPr>
                <w:rFonts w:ascii="Arial" w:hAnsi="Arial"/>
                <w:sz w:val="20"/>
                <w:lang w:val="en-GB"/>
              </w:rPr>
            </w:pPr>
            <w:r w:rsidRPr="00CE28A0">
              <w:rPr>
                <w:rFonts w:ascii="Arial" w:hAnsi="Arial"/>
                <w:sz w:val="20"/>
                <w:lang w:val="en-GB"/>
              </w:rPr>
              <w:t>52 (28)</w:t>
            </w:r>
          </w:p>
        </w:tc>
        <w:tc>
          <w:tcPr>
            <w:tcW w:w="579" w:type="pct"/>
          </w:tcPr>
          <w:p w14:paraId="6C567BAD" w14:textId="77777777" w:rsidR="000B4520" w:rsidRPr="00CE28A0" w:rsidRDefault="000B4520" w:rsidP="0088047D">
            <w:pPr>
              <w:jc w:val="center"/>
              <w:rPr>
                <w:rFonts w:ascii="Arial" w:hAnsi="Arial"/>
                <w:sz w:val="20"/>
                <w:lang w:val="en-GB"/>
              </w:rPr>
            </w:pPr>
            <w:r w:rsidRPr="00CE28A0">
              <w:rPr>
                <w:rFonts w:ascii="Arial" w:hAnsi="Arial"/>
                <w:sz w:val="20"/>
                <w:lang w:val="en-GB"/>
              </w:rPr>
              <w:t>6 (3)</w:t>
            </w:r>
          </w:p>
        </w:tc>
        <w:tc>
          <w:tcPr>
            <w:tcW w:w="579" w:type="pct"/>
          </w:tcPr>
          <w:p w14:paraId="4CD39CCC"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747" w:type="pct"/>
            <w:shd w:val="clear" w:color="auto" w:fill="auto"/>
            <w:hideMark/>
          </w:tcPr>
          <w:p w14:paraId="6D332F2C" w14:textId="77777777" w:rsidR="000B4520" w:rsidRPr="00CE28A0" w:rsidRDefault="000B4520" w:rsidP="0088047D">
            <w:pPr>
              <w:jc w:val="center"/>
              <w:rPr>
                <w:rFonts w:ascii="Arial" w:hAnsi="Arial"/>
                <w:sz w:val="20"/>
                <w:lang w:val="en-GB"/>
              </w:rPr>
            </w:pPr>
            <w:r w:rsidRPr="00CE28A0">
              <w:rPr>
                <w:rFonts w:ascii="Arial" w:hAnsi="Arial"/>
                <w:sz w:val="20"/>
                <w:lang w:val="en-GB"/>
              </w:rPr>
              <w:t>6 (10)</w:t>
            </w:r>
          </w:p>
        </w:tc>
        <w:tc>
          <w:tcPr>
            <w:tcW w:w="579" w:type="pct"/>
            <w:shd w:val="clear" w:color="auto" w:fill="auto"/>
            <w:hideMark/>
          </w:tcPr>
          <w:p w14:paraId="5FA5AEDB"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577" w:type="pct"/>
            <w:shd w:val="clear" w:color="auto" w:fill="auto"/>
            <w:hideMark/>
          </w:tcPr>
          <w:p w14:paraId="7231FBC5"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r>
      <w:tr w:rsidR="000B4520" w:rsidRPr="007F01C3" w14:paraId="372AB0F3" w14:textId="77777777" w:rsidTr="001550EB">
        <w:trPr>
          <w:trHeight w:hRule="exact" w:val="284"/>
        </w:trPr>
        <w:tc>
          <w:tcPr>
            <w:tcW w:w="1193" w:type="pct"/>
            <w:shd w:val="clear" w:color="auto" w:fill="auto"/>
            <w:hideMark/>
          </w:tcPr>
          <w:p w14:paraId="1C526DA0" w14:textId="77777777" w:rsidR="000B4520" w:rsidRPr="00CE28A0" w:rsidRDefault="000B4520" w:rsidP="0088047D">
            <w:pPr>
              <w:jc w:val="right"/>
              <w:rPr>
                <w:rFonts w:ascii="Arial" w:hAnsi="Arial"/>
                <w:sz w:val="20"/>
                <w:lang w:val="en-GB"/>
              </w:rPr>
            </w:pPr>
            <w:r w:rsidRPr="00CE28A0">
              <w:rPr>
                <w:rFonts w:ascii="Arial" w:hAnsi="Arial"/>
                <w:sz w:val="20"/>
                <w:lang w:val="en-GB"/>
              </w:rPr>
              <w:t>Arthralgia</w:t>
            </w:r>
          </w:p>
        </w:tc>
        <w:tc>
          <w:tcPr>
            <w:tcW w:w="746" w:type="pct"/>
          </w:tcPr>
          <w:p w14:paraId="214459B6" w14:textId="77777777" w:rsidR="000B4520" w:rsidRPr="00CE28A0" w:rsidRDefault="000B4520" w:rsidP="0088047D">
            <w:pPr>
              <w:jc w:val="center"/>
              <w:rPr>
                <w:rFonts w:ascii="Arial" w:hAnsi="Arial"/>
                <w:sz w:val="20"/>
                <w:lang w:val="en-GB"/>
              </w:rPr>
            </w:pPr>
            <w:r w:rsidRPr="00CE28A0">
              <w:rPr>
                <w:rFonts w:ascii="Arial" w:hAnsi="Arial"/>
                <w:sz w:val="20"/>
                <w:lang w:val="en-GB"/>
              </w:rPr>
              <w:t>51 (27)</w:t>
            </w:r>
          </w:p>
        </w:tc>
        <w:tc>
          <w:tcPr>
            <w:tcW w:w="579" w:type="pct"/>
          </w:tcPr>
          <w:p w14:paraId="563269A4" w14:textId="77777777" w:rsidR="000B4520" w:rsidRPr="00CE28A0" w:rsidRDefault="000B4520" w:rsidP="0088047D">
            <w:pPr>
              <w:jc w:val="center"/>
              <w:rPr>
                <w:rFonts w:ascii="Arial" w:hAnsi="Arial"/>
                <w:sz w:val="20"/>
                <w:lang w:val="en-GB"/>
              </w:rPr>
            </w:pPr>
            <w:r w:rsidRPr="00CE28A0">
              <w:rPr>
                <w:rFonts w:ascii="Arial" w:hAnsi="Arial"/>
                <w:sz w:val="20"/>
                <w:lang w:val="en-GB"/>
              </w:rPr>
              <w:t>2 (1)</w:t>
            </w:r>
          </w:p>
        </w:tc>
        <w:tc>
          <w:tcPr>
            <w:tcW w:w="579" w:type="pct"/>
          </w:tcPr>
          <w:p w14:paraId="670BA034"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747" w:type="pct"/>
            <w:shd w:val="clear" w:color="auto" w:fill="auto"/>
            <w:hideMark/>
          </w:tcPr>
          <w:p w14:paraId="440DCCBF" w14:textId="77777777" w:rsidR="000B4520" w:rsidRPr="00CE28A0" w:rsidRDefault="000B4520" w:rsidP="0088047D">
            <w:pPr>
              <w:jc w:val="center"/>
              <w:rPr>
                <w:rFonts w:ascii="Arial" w:hAnsi="Arial"/>
                <w:sz w:val="20"/>
                <w:lang w:val="en-GB"/>
              </w:rPr>
            </w:pPr>
            <w:r w:rsidRPr="00CE28A0">
              <w:rPr>
                <w:rFonts w:ascii="Arial" w:hAnsi="Arial"/>
                <w:sz w:val="20"/>
                <w:lang w:val="en-GB"/>
              </w:rPr>
              <w:t>1 (2)</w:t>
            </w:r>
          </w:p>
        </w:tc>
        <w:tc>
          <w:tcPr>
            <w:tcW w:w="579" w:type="pct"/>
            <w:shd w:val="clear" w:color="auto" w:fill="auto"/>
            <w:hideMark/>
          </w:tcPr>
          <w:p w14:paraId="60749DC4"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577" w:type="pct"/>
            <w:shd w:val="clear" w:color="auto" w:fill="auto"/>
            <w:hideMark/>
          </w:tcPr>
          <w:p w14:paraId="74D554FF"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r>
      <w:tr w:rsidR="000B4520" w:rsidRPr="007F01C3" w14:paraId="7DE81A5F" w14:textId="77777777" w:rsidTr="001550EB">
        <w:trPr>
          <w:trHeight w:hRule="exact" w:val="284"/>
        </w:trPr>
        <w:tc>
          <w:tcPr>
            <w:tcW w:w="1193" w:type="pct"/>
            <w:shd w:val="clear" w:color="auto" w:fill="auto"/>
            <w:hideMark/>
          </w:tcPr>
          <w:p w14:paraId="7BD32CEC" w14:textId="77777777" w:rsidR="000B4520" w:rsidRPr="00CE28A0" w:rsidRDefault="000B4520" w:rsidP="0088047D">
            <w:pPr>
              <w:jc w:val="right"/>
              <w:rPr>
                <w:rFonts w:ascii="Arial" w:hAnsi="Arial"/>
                <w:sz w:val="20"/>
                <w:lang w:val="en-GB"/>
              </w:rPr>
            </w:pPr>
            <w:r w:rsidRPr="00CE28A0">
              <w:rPr>
                <w:rFonts w:ascii="Arial" w:hAnsi="Arial"/>
                <w:sz w:val="20"/>
                <w:lang w:val="en-GB"/>
              </w:rPr>
              <w:t>Skin papilloma</w:t>
            </w:r>
          </w:p>
        </w:tc>
        <w:tc>
          <w:tcPr>
            <w:tcW w:w="746" w:type="pct"/>
          </w:tcPr>
          <w:p w14:paraId="6F6F40FC" w14:textId="77777777" w:rsidR="000B4520" w:rsidRPr="00CE28A0" w:rsidRDefault="000B4520" w:rsidP="0088047D">
            <w:pPr>
              <w:jc w:val="center"/>
              <w:rPr>
                <w:rFonts w:ascii="Arial" w:hAnsi="Arial"/>
                <w:sz w:val="20"/>
                <w:lang w:val="en-GB"/>
              </w:rPr>
            </w:pPr>
            <w:r w:rsidRPr="00CE28A0">
              <w:rPr>
                <w:rFonts w:ascii="Arial" w:hAnsi="Arial"/>
                <w:sz w:val="20"/>
                <w:lang w:val="en-GB"/>
              </w:rPr>
              <w:t>45 (24)</w:t>
            </w:r>
          </w:p>
        </w:tc>
        <w:tc>
          <w:tcPr>
            <w:tcW w:w="579" w:type="pct"/>
          </w:tcPr>
          <w:p w14:paraId="1A1CE914"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579" w:type="pct"/>
          </w:tcPr>
          <w:p w14:paraId="62265C89"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747" w:type="pct"/>
            <w:shd w:val="clear" w:color="auto" w:fill="auto"/>
            <w:hideMark/>
          </w:tcPr>
          <w:p w14:paraId="74B8DD6A" w14:textId="77777777" w:rsidR="000B4520" w:rsidRPr="00CE28A0" w:rsidRDefault="000B4520" w:rsidP="0088047D">
            <w:pPr>
              <w:jc w:val="center"/>
              <w:rPr>
                <w:rFonts w:ascii="Arial" w:hAnsi="Arial"/>
                <w:sz w:val="20"/>
                <w:lang w:val="en-GB"/>
              </w:rPr>
            </w:pPr>
            <w:r w:rsidRPr="00CE28A0">
              <w:rPr>
                <w:rFonts w:ascii="Arial" w:hAnsi="Arial"/>
                <w:sz w:val="20"/>
                <w:lang w:val="en-GB"/>
              </w:rPr>
              <w:t>1 (2)</w:t>
            </w:r>
          </w:p>
        </w:tc>
        <w:tc>
          <w:tcPr>
            <w:tcW w:w="579" w:type="pct"/>
            <w:shd w:val="clear" w:color="auto" w:fill="auto"/>
            <w:hideMark/>
          </w:tcPr>
          <w:p w14:paraId="7313300E"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577" w:type="pct"/>
            <w:shd w:val="clear" w:color="auto" w:fill="auto"/>
            <w:hideMark/>
          </w:tcPr>
          <w:p w14:paraId="42276F5D"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r>
      <w:tr w:rsidR="000B4520" w:rsidRPr="007F01C3" w14:paraId="6DEBB6FC" w14:textId="77777777" w:rsidTr="001550EB">
        <w:trPr>
          <w:trHeight w:hRule="exact" w:val="284"/>
        </w:trPr>
        <w:tc>
          <w:tcPr>
            <w:tcW w:w="1193" w:type="pct"/>
            <w:shd w:val="clear" w:color="auto" w:fill="auto"/>
            <w:hideMark/>
          </w:tcPr>
          <w:p w14:paraId="4C48BBAD" w14:textId="77777777" w:rsidR="000B4520" w:rsidRPr="00CE28A0" w:rsidRDefault="000B4520" w:rsidP="0088047D">
            <w:pPr>
              <w:jc w:val="right"/>
              <w:rPr>
                <w:rFonts w:ascii="Arial" w:hAnsi="Arial"/>
                <w:sz w:val="20"/>
                <w:lang w:val="en-GB"/>
              </w:rPr>
            </w:pPr>
            <w:r w:rsidRPr="00CE28A0">
              <w:rPr>
                <w:rFonts w:ascii="Arial" w:hAnsi="Arial"/>
                <w:sz w:val="20"/>
                <w:lang w:val="en-GB"/>
              </w:rPr>
              <w:t>Alopecia</w:t>
            </w:r>
          </w:p>
        </w:tc>
        <w:tc>
          <w:tcPr>
            <w:tcW w:w="746" w:type="pct"/>
          </w:tcPr>
          <w:p w14:paraId="1D54BDC8" w14:textId="77777777" w:rsidR="000B4520" w:rsidRPr="00CE28A0" w:rsidRDefault="000B4520" w:rsidP="0088047D">
            <w:pPr>
              <w:jc w:val="center"/>
              <w:rPr>
                <w:rFonts w:ascii="Arial" w:hAnsi="Arial"/>
                <w:sz w:val="20"/>
                <w:lang w:val="en-GB"/>
              </w:rPr>
            </w:pPr>
            <w:r w:rsidRPr="00CE28A0">
              <w:rPr>
                <w:rFonts w:ascii="Arial" w:hAnsi="Arial"/>
                <w:sz w:val="20"/>
                <w:lang w:val="en-GB"/>
              </w:rPr>
              <w:t>41 (22)</w:t>
            </w:r>
          </w:p>
        </w:tc>
        <w:tc>
          <w:tcPr>
            <w:tcW w:w="579" w:type="pct"/>
          </w:tcPr>
          <w:p w14:paraId="570164A4"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579" w:type="pct"/>
          </w:tcPr>
          <w:p w14:paraId="6B7ED040"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747" w:type="pct"/>
            <w:shd w:val="clear" w:color="auto" w:fill="auto"/>
            <w:hideMark/>
          </w:tcPr>
          <w:p w14:paraId="7B081DEF" w14:textId="77777777" w:rsidR="000B4520" w:rsidRPr="00CE28A0" w:rsidRDefault="000B4520" w:rsidP="0088047D">
            <w:pPr>
              <w:jc w:val="center"/>
              <w:rPr>
                <w:rFonts w:ascii="Arial" w:hAnsi="Arial"/>
                <w:sz w:val="20"/>
                <w:lang w:val="en-GB"/>
              </w:rPr>
            </w:pPr>
            <w:r w:rsidRPr="00CE28A0">
              <w:rPr>
                <w:rFonts w:ascii="Arial" w:hAnsi="Arial"/>
                <w:sz w:val="20"/>
                <w:lang w:val="en-GB"/>
              </w:rPr>
              <w:t>1 (2)</w:t>
            </w:r>
          </w:p>
        </w:tc>
        <w:tc>
          <w:tcPr>
            <w:tcW w:w="579" w:type="pct"/>
            <w:shd w:val="clear" w:color="auto" w:fill="auto"/>
            <w:hideMark/>
          </w:tcPr>
          <w:p w14:paraId="01714F3E"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577" w:type="pct"/>
            <w:shd w:val="clear" w:color="auto" w:fill="auto"/>
            <w:hideMark/>
          </w:tcPr>
          <w:p w14:paraId="72F9A2E9"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r>
      <w:tr w:rsidR="000B4520" w:rsidRPr="007F01C3" w14:paraId="3B3A5E9D" w14:textId="77777777" w:rsidTr="001550EB">
        <w:trPr>
          <w:trHeight w:hRule="exact" w:val="284"/>
        </w:trPr>
        <w:tc>
          <w:tcPr>
            <w:tcW w:w="1193" w:type="pct"/>
            <w:shd w:val="clear" w:color="auto" w:fill="auto"/>
            <w:hideMark/>
          </w:tcPr>
          <w:p w14:paraId="06D7CDF9" w14:textId="77777777" w:rsidR="000B4520" w:rsidRPr="00CE28A0" w:rsidRDefault="000B4520" w:rsidP="0088047D">
            <w:pPr>
              <w:jc w:val="right"/>
              <w:rPr>
                <w:rFonts w:ascii="Arial" w:hAnsi="Arial"/>
                <w:sz w:val="20"/>
                <w:lang w:val="en-GB"/>
              </w:rPr>
            </w:pPr>
            <w:r w:rsidRPr="00CE28A0">
              <w:rPr>
                <w:rFonts w:ascii="Arial" w:hAnsi="Arial"/>
                <w:sz w:val="20"/>
                <w:lang w:val="en-GB"/>
              </w:rPr>
              <w:t>Palmar-plantar erythrodysaesthesia syndrome</w:t>
            </w:r>
          </w:p>
        </w:tc>
        <w:tc>
          <w:tcPr>
            <w:tcW w:w="746" w:type="pct"/>
          </w:tcPr>
          <w:p w14:paraId="200576A4" w14:textId="77777777" w:rsidR="000B4520" w:rsidRPr="00CE28A0" w:rsidRDefault="000B4520" w:rsidP="0088047D">
            <w:pPr>
              <w:jc w:val="center"/>
              <w:rPr>
                <w:rFonts w:ascii="Arial" w:hAnsi="Arial"/>
                <w:sz w:val="20"/>
                <w:lang w:val="en-GB"/>
              </w:rPr>
            </w:pPr>
            <w:r w:rsidRPr="00CE28A0">
              <w:rPr>
                <w:rFonts w:ascii="Arial" w:hAnsi="Arial"/>
                <w:sz w:val="20"/>
                <w:lang w:val="en-GB"/>
              </w:rPr>
              <w:t>37 (20)</w:t>
            </w:r>
          </w:p>
        </w:tc>
        <w:tc>
          <w:tcPr>
            <w:tcW w:w="579" w:type="pct"/>
          </w:tcPr>
          <w:p w14:paraId="0CA5395D" w14:textId="77777777" w:rsidR="000B4520" w:rsidRPr="00CE28A0" w:rsidRDefault="000B4520" w:rsidP="0088047D">
            <w:pPr>
              <w:jc w:val="center"/>
              <w:rPr>
                <w:rFonts w:ascii="Arial" w:hAnsi="Arial"/>
                <w:sz w:val="20"/>
                <w:lang w:val="en-GB"/>
              </w:rPr>
            </w:pPr>
            <w:r w:rsidRPr="00CE28A0">
              <w:rPr>
                <w:rFonts w:ascii="Arial" w:hAnsi="Arial"/>
                <w:sz w:val="20"/>
                <w:lang w:val="en-GB"/>
              </w:rPr>
              <w:t>4 (2)</w:t>
            </w:r>
          </w:p>
        </w:tc>
        <w:tc>
          <w:tcPr>
            <w:tcW w:w="579" w:type="pct"/>
          </w:tcPr>
          <w:p w14:paraId="399658B6"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747" w:type="pct"/>
            <w:shd w:val="clear" w:color="auto" w:fill="auto"/>
            <w:hideMark/>
          </w:tcPr>
          <w:p w14:paraId="57D6133C" w14:textId="77777777" w:rsidR="000B4520" w:rsidRPr="00CE28A0" w:rsidRDefault="000B4520" w:rsidP="0088047D">
            <w:pPr>
              <w:jc w:val="center"/>
              <w:rPr>
                <w:rFonts w:ascii="Arial" w:hAnsi="Arial"/>
                <w:sz w:val="20"/>
                <w:lang w:val="en-GB"/>
              </w:rPr>
            </w:pPr>
            <w:r w:rsidRPr="00CE28A0">
              <w:rPr>
                <w:rFonts w:ascii="Arial" w:hAnsi="Arial"/>
                <w:sz w:val="20"/>
                <w:lang w:val="en-GB"/>
              </w:rPr>
              <w:t>1 (2)</w:t>
            </w:r>
          </w:p>
        </w:tc>
        <w:tc>
          <w:tcPr>
            <w:tcW w:w="579" w:type="pct"/>
            <w:shd w:val="clear" w:color="auto" w:fill="auto"/>
            <w:hideMark/>
          </w:tcPr>
          <w:p w14:paraId="4AACCBD3"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577" w:type="pct"/>
            <w:shd w:val="clear" w:color="auto" w:fill="auto"/>
            <w:hideMark/>
          </w:tcPr>
          <w:p w14:paraId="62142E20"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r>
      <w:tr w:rsidR="000B4520" w:rsidRPr="007F01C3" w14:paraId="1F8765C6" w14:textId="77777777" w:rsidTr="001550EB">
        <w:trPr>
          <w:trHeight w:hRule="exact" w:val="284"/>
        </w:trPr>
        <w:tc>
          <w:tcPr>
            <w:tcW w:w="1193" w:type="pct"/>
            <w:shd w:val="clear" w:color="auto" w:fill="auto"/>
            <w:hideMark/>
          </w:tcPr>
          <w:p w14:paraId="494C7078" w14:textId="77777777" w:rsidR="000B4520" w:rsidRPr="00CE28A0" w:rsidRDefault="000B4520" w:rsidP="0088047D">
            <w:pPr>
              <w:jc w:val="right"/>
              <w:rPr>
                <w:rFonts w:ascii="Arial" w:hAnsi="Arial"/>
                <w:sz w:val="20"/>
                <w:lang w:val="en-GB"/>
              </w:rPr>
            </w:pPr>
            <w:r w:rsidRPr="00CE28A0">
              <w:rPr>
                <w:rFonts w:ascii="Arial" w:hAnsi="Arial"/>
                <w:sz w:val="20"/>
                <w:lang w:val="en-GB"/>
              </w:rPr>
              <w:t>Fatigue</w:t>
            </w:r>
          </w:p>
        </w:tc>
        <w:tc>
          <w:tcPr>
            <w:tcW w:w="746" w:type="pct"/>
          </w:tcPr>
          <w:p w14:paraId="148397B8" w14:textId="77777777" w:rsidR="000B4520" w:rsidRPr="00CE28A0" w:rsidRDefault="000B4520" w:rsidP="0088047D">
            <w:pPr>
              <w:jc w:val="center"/>
              <w:rPr>
                <w:rFonts w:ascii="Arial" w:hAnsi="Arial"/>
                <w:sz w:val="20"/>
                <w:lang w:val="en-GB"/>
              </w:rPr>
            </w:pPr>
            <w:r w:rsidRPr="00CE28A0">
              <w:rPr>
                <w:rFonts w:ascii="Arial" w:hAnsi="Arial"/>
                <w:sz w:val="20"/>
                <w:lang w:val="en-GB"/>
              </w:rPr>
              <w:t>36 (19)</w:t>
            </w:r>
          </w:p>
        </w:tc>
        <w:tc>
          <w:tcPr>
            <w:tcW w:w="579" w:type="pct"/>
          </w:tcPr>
          <w:p w14:paraId="17602571" w14:textId="77777777" w:rsidR="000B4520" w:rsidRPr="00CE28A0" w:rsidRDefault="000B4520" w:rsidP="0088047D">
            <w:pPr>
              <w:jc w:val="center"/>
              <w:rPr>
                <w:rFonts w:ascii="Arial" w:hAnsi="Arial"/>
                <w:sz w:val="20"/>
                <w:lang w:val="en-GB"/>
              </w:rPr>
            </w:pPr>
            <w:r w:rsidRPr="00CE28A0">
              <w:rPr>
                <w:rFonts w:ascii="Arial" w:hAnsi="Arial"/>
                <w:sz w:val="20"/>
                <w:lang w:val="en-GB"/>
              </w:rPr>
              <w:t>2 (1)</w:t>
            </w:r>
          </w:p>
        </w:tc>
        <w:tc>
          <w:tcPr>
            <w:tcW w:w="579" w:type="pct"/>
          </w:tcPr>
          <w:p w14:paraId="5E893159"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747" w:type="pct"/>
            <w:shd w:val="clear" w:color="auto" w:fill="auto"/>
            <w:hideMark/>
          </w:tcPr>
          <w:p w14:paraId="5037003E" w14:textId="77777777" w:rsidR="000B4520" w:rsidRPr="00CE28A0" w:rsidRDefault="000B4520" w:rsidP="0088047D">
            <w:pPr>
              <w:jc w:val="center"/>
              <w:rPr>
                <w:rFonts w:ascii="Arial" w:hAnsi="Arial"/>
                <w:sz w:val="20"/>
                <w:lang w:val="en-GB"/>
              </w:rPr>
            </w:pPr>
            <w:r w:rsidRPr="00CE28A0">
              <w:rPr>
                <w:rFonts w:ascii="Arial" w:hAnsi="Arial"/>
                <w:sz w:val="20"/>
                <w:lang w:val="en-GB"/>
              </w:rPr>
              <w:t>14 (24)</w:t>
            </w:r>
          </w:p>
        </w:tc>
        <w:tc>
          <w:tcPr>
            <w:tcW w:w="579" w:type="pct"/>
            <w:shd w:val="clear" w:color="auto" w:fill="auto"/>
            <w:hideMark/>
          </w:tcPr>
          <w:p w14:paraId="69112D5A"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577" w:type="pct"/>
            <w:shd w:val="clear" w:color="auto" w:fill="auto"/>
            <w:hideMark/>
          </w:tcPr>
          <w:p w14:paraId="5305C5F0"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r>
      <w:tr w:rsidR="000B4520" w:rsidRPr="007F01C3" w14:paraId="2FC584EC" w14:textId="77777777" w:rsidTr="001550EB">
        <w:trPr>
          <w:trHeight w:hRule="exact" w:val="284"/>
        </w:trPr>
        <w:tc>
          <w:tcPr>
            <w:tcW w:w="1193" w:type="pct"/>
            <w:shd w:val="clear" w:color="auto" w:fill="auto"/>
            <w:hideMark/>
          </w:tcPr>
          <w:p w14:paraId="285831C0" w14:textId="77777777" w:rsidR="000B4520" w:rsidRPr="00CE28A0" w:rsidRDefault="000B4520" w:rsidP="0088047D">
            <w:pPr>
              <w:jc w:val="right"/>
              <w:rPr>
                <w:rFonts w:ascii="Arial" w:hAnsi="Arial"/>
                <w:sz w:val="20"/>
                <w:lang w:val="en-GB"/>
              </w:rPr>
            </w:pPr>
            <w:r w:rsidRPr="00CE28A0">
              <w:rPr>
                <w:rFonts w:ascii="Arial" w:hAnsi="Arial"/>
                <w:sz w:val="20"/>
                <w:lang w:val="en-GB"/>
              </w:rPr>
              <w:t>Nausea</w:t>
            </w:r>
          </w:p>
        </w:tc>
        <w:tc>
          <w:tcPr>
            <w:tcW w:w="746" w:type="pct"/>
          </w:tcPr>
          <w:p w14:paraId="5A795DE7" w14:textId="77777777" w:rsidR="000B4520" w:rsidRPr="00CE28A0" w:rsidRDefault="000B4520" w:rsidP="0088047D">
            <w:pPr>
              <w:jc w:val="center"/>
              <w:rPr>
                <w:rFonts w:ascii="Arial" w:hAnsi="Arial"/>
                <w:sz w:val="20"/>
                <w:lang w:val="en-GB"/>
              </w:rPr>
            </w:pPr>
            <w:r w:rsidRPr="00CE28A0">
              <w:rPr>
                <w:rFonts w:ascii="Arial" w:hAnsi="Arial"/>
                <w:sz w:val="20"/>
                <w:lang w:val="en-GB"/>
              </w:rPr>
              <w:t>35 (19)</w:t>
            </w:r>
          </w:p>
        </w:tc>
        <w:tc>
          <w:tcPr>
            <w:tcW w:w="579" w:type="pct"/>
          </w:tcPr>
          <w:p w14:paraId="7D1447DF"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579" w:type="pct"/>
          </w:tcPr>
          <w:p w14:paraId="0E1637DE" w14:textId="77777777" w:rsidR="000B4520" w:rsidRPr="00CE28A0" w:rsidRDefault="000B4520" w:rsidP="0088047D">
            <w:pPr>
              <w:jc w:val="center"/>
              <w:rPr>
                <w:rFonts w:ascii="Arial" w:hAnsi="Arial"/>
                <w:sz w:val="20"/>
                <w:lang w:val="en-GB"/>
              </w:rPr>
            </w:pPr>
            <w:r w:rsidRPr="00CE28A0">
              <w:rPr>
                <w:rFonts w:ascii="Arial" w:hAnsi="Arial"/>
                <w:sz w:val="20"/>
                <w:lang w:val="en-GB"/>
              </w:rPr>
              <w:t>1 (&lt;1)</w:t>
            </w:r>
          </w:p>
        </w:tc>
        <w:tc>
          <w:tcPr>
            <w:tcW w:w="747" w:type="pct"/>
            <w:shd w:val="clear" w:color="auto" w:fill="auto"/>
            <w:hideMark/>
          </w:tcPr>
          <w:p w14:paraId="0569EAE3" w14:textId="77777777" w:rsidR="000B4520" w:rsidRPr="00CE28A0" w:rsidRDefault="000B4520" w:rsidP="0088047D">
            <w:pPr>
              <w:jc w:val="center"/>
              <w:rPr>
                <w:rFonts w:ascii="Arial" w:hAnsi="Arial"/>
                <w:sz w:val="20"/>
                <w:lang w:val="en-GB"/>
              </w:rPr>
            </w:pPr>
            <w:r w:rsidRPr="00CE28A0">
              <w:rPr>
                <w:rFonts w:ascii="Arial" w:hAnsi="Arial"/>
                <w:sz w:val="20"/>
                <w:lang w:val="en-GB"/>
              </w:rPr>
              <w:t>30 (51)</w:t>
            </w:r>
          </w:p>
        </w:tc>
        <w:tc>
          <w:tcPr>
            <w:tcW w:w="579" w:type="pct"/>
            <w:shd w:val="clear" w:color="auto" w:fill="auto"/>
            <w:hideMark/>
          </w:tcPr>
          <w:p w14:paraId="4B64B286"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577" w:type="pct"/>
            <w:shd w:val="clear" w:color="auto" w:fill="auto"/>
            <w:hideMark/>
          </w:tcPr>
          <w:p w14:paraId="71219106"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r>
      <w:tr w:rsidR="000B4520" w:rsidRPr="007F01C3" w14:paraId="0770174C" w14:textId="77777777" w:rsidTr="001550EB">
        <w:trPr>
          <w:trHeight w:hRule="exact" w:val="284"/>
        </w:trPr>
        <w:tc>
          <w:tcPr>
            <w:tcW w:w="1193" w:type="pct"/>
            <w:shd w:val="clear" w:color="auto" w:fill="auto"/>
            <w:hideMark/>
          </w:tcPr>
          <w:p w14:paraId="47892162" w14:textId="77777777" w:rsidR="000B4520" w:rsidRPr="002D129A" w:rsidRDefault="000B4520" w:rsidP="0088047D">
            <w:pPr>
              <w:jc w:val="right"/>
              <w:rPr>
                <w:rFonts w:ascii="Arial" w:hAnsi="Arial"/>
                <w:sz w:val="20"/>
                <w:lang w:val="en-GB"/>
              </w:rPr>
            </w:pPr>
            <w:r w:rsidRPr="002D129A">
              <w:rPr>
                <w:rFonts w:ascii="Arial" w:hAnsi="Arial"/>
                <w:sz w:val="20"/>
                <w:lang w:val="en-GB"/>
              </w:rPr>
              <w:t>Asthenia</w:t>
            </w:r>
          </w:p>
        </w:tc>
        <w:tc>
          <w:tcPr>
            <w:tcW w:w="746" w:type="pct"/>
          </w:tcPr>
          <w:p w14:paraId="72D289A9" w14:textId="77777777" w:rsidR="000B4520" w:rsidRPr="002D129A" w:rsidRDefault="000B4520" w:rsidP="0088047D">
            <w:pPr>
              <w:jc w:val="center"/>
              <w:rPr>
                <w:rFonts w:ascii="Arial" w:hAnsi="Arial"/>
                <w:sz w:val="20"/>
                <w:lang w:val="en-GB"/>
              </w:rPr>
            </w:pPr>
            <w:r w:rsidRPr="002D129A">
              <w:rPr>
                <w:rFonts w:ascii="Arial" w:hAnsi="Arial"/>
                <w:sz w:val="20"/>
                <w:lang w:val="en-GB"/>
              </w:rPr>
              <w:t>33 (18)</w:t>
            </w:r>
          </w:p>
        </w:tc>
        <w:tc>
          <w:tcPr>
            <w:tcW w:w="579" w:type="pct"/>
          </w:tcPr>
          <w:p w14:paraId="11F8092A" w14:textId="77777777" w:rsidR="000B4520" w:rsidRPr="002D129A" w:rsidRDefault="000B4520" w:rsidP="0088047D">
            <w:pPr>
              <w:jc w:val="center"/>
              <w:rPr>
                <w:rFonts w:ascii="Arial" w:hAnsi="Arial"/>
                <w:sz w:val="20"/>
                <w:lang w:val="en-GB"/>
              </w:rPr>
            </w:pPr>
            <w:r w:rsidRPr="002D129A">
              <w:rPr>
                <w:rFonts w:ascii="Arial" w:hAnsi="Arial"/>
                <w:sz w:val="20"/>
                <w:lang w:val="en-GB"/>
              </w:rPr>
              <w:t>1 (&lt;1)</w:t>
            </w:r>
          </w:p>
        </w:tc>
        <w:tc>
          <w:tcPr>
            <w:tcW w:w="579" w:type="pct"/>
          </w:tcPr>
          <w:p w14:paraId="738451F8"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747" w:type="pct"/>
            <w:shd w:val="clear" w:color="auto" w:fill="auto"/>
            <w:hideMark/>
          </w:tcPr>
          <w:p w14:paraId="36497C66" w14:textId="77777777" w:rsidR="000B4520" w:rsidRPr="002D129A" w:rsidRDefault="000B4520" w:rsidP="0088047D">
            <w:pPr>
              <w:jc w:val="center"/>
              <w:rPr>
                <w:rFonts w:ascii="Arial" w:hAnsi="Arial"/>
                <w:sz w:val="20"/>
                <w:lang w:val="en-GB"/>
              </w:rPr>
            </w:pPr>
            <w:r w:rsidRPr="002D129A">
              <w:rPr>
                <w:rFonts w:ascii="Arial" w:hAnsi="Arial"/>
                <w:sz w:val="20"/>
                <w:lang w:val="en-GB"/>
              </w:rPr>
              <w:t>9 (15)</w:t>
            </w:r>
          </w:p>
        </w:tc>
        <w:tc>
          <w:tcPr>
            <w:tcW w:w="579" w:type="pct"/>
            <w:shd w:val="clear" w:color="auto" w:fill="auto"/>
            <w:hideMark/>
          </w:tcPr>
          <w:p w14:paraId="3C361EB6" w14:textId="77777777" w:rsidR="000B4520" w:rsidRPr="002D129A" w:rsidRDefault="000B4520" w:rsidP="0088047D">
            <w:pPr>
              <w:jc w:val="center"/>
              <w:rPr>
                <w:rFonts w:ascii="Arial" w:hAnsi="Arial"/>
                <w:sz w:val="20"/>
                <w:lang w:val="en-GB"/>
              </w:rPr>
            </w:pPr>
            <w:r w:rsidRPr="002D129A">
              <w:rPr>
                <w:rFonts w:ascii="Arial" w:hAnsi="Arial"/>
                <w:sz w:val="20"/>
                <w:lang w:val="en-GB"/>
              </w:rPr>
              <w:t>1 (2)</w:t>
            </w:r>
          </w:p>
        </w:tc>
        <w:tc>
          <w:tcPr>
            <w:tcW w:w="577" w:type="pct"/>
            <w:shd w:val="clear" w:color="auto" w:fill="auto"/>
            <w:hideMark/>
          </w:tcPr>
          <w:p w14:paraId="0344F4CD"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r>
      <w:tr w:rsidR="000B4520" w:rsidRPr="007F01C3" w14:paraId="552AD08F" w14:textId="77777777" w:rsidTr="001550EB">
        <w:trPr>
          <w:trHeight w:hRule="exact" w:val="284"/>
        </w:trPr>
        <w:tc>
          <w:tcPr>
            <w:tcW w:w="1193" w:type="pct"/>
            <w:shd w:val="clear" w:color="auto" w:fill="auto"/>
            <w:hideMark/>
          </w:tcPr>
          <w:p w14:paraId="723A6246" w14:textId="77777777" w:rsidR="000B4520" w:rsidRPr="002D129A" w:rsidRDefault="000B4520" w:rsidP="0088047D">
            <w:pPr>
              <w:jc w:val="right"/>
              <w:rPr>
                <w:rFonts w:ascii="Arial" w:hAnsi="Arial"/>
                <w:sz w:val="20"/>
                <w:lang w:val="en-GB"/>
              </w:rPr>
            </w:pPr>
            <w:r w:rsidRPr="002D129A">
              <w:rPr>
                <w:rFonts w:ascii="Arial" w:hAnsi="Arial"/>
                <w:sz w:val="20"/>
                <w:lang w:val="en-GB"/>
              </w:rPr>
              <w:t>Rash</w:t>
            </w:r>
          </w:p>
        </w:tc>
        <w:tc>
          <w:tcPr>
            <w:tcW w:w="746" w:type="pct"/>
          </w:tcPr>
          <w:p w14:paraId="44D919F2" w14:textId="77777777" w:rsidR="000B4520" w:rsidRPr="002D129A" w:rsidRDefault="000B4520" w:rsidP="0088047D">
            <w:pPr>
              <w:jc w:val="center"/>
              <w:rPr>
                <w:rFonts w:ascii="Arial" w:hAnsi="Arial"/>
                <w:sz w:val="20"/>
                <w:lang w:val="en-GB"/>
              </w:rPr>
            </w:pPr>
            <w:r w:rsidRPr="002D129A">
              <w:rPr>
                <w:rFonts w:ascii="Arial" w:hAnsi="Arial"/>
                <w:sz w:val="20"/>
                <w:lang w:val="en-GB"/>
              </w:rPr>
              <w:t>31 (17)</w:t>
            </w:r>
          </w:p>
        </w:tc>
        <w:tc>
          <w:tcPr>
            <w:tcW w:w="579" w:type="pct"/>
          </w:tcPr>
          <w:p w14:paraId="57C533A7"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579" w:type="pct"/>
          </w:tcPr>
          <w:p w14:paraId="435B663C"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747" w:type="pct"/>
            <w:shd w:val="clear" w:color="auto" w:fill="auto"/>
            <w:hideMark/>
          </w:tcPr>
          <w:p w14:paraId="246DDA19"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579" w:type="pct"/>
            <w:shd w:val="clear" w:color="auto" w:fill="auto"/>
            <w:hideMark/>
          </w:tcPr>
          <w:p w14:paraId="2554C3CE"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577" w:type="pct"/>
            <w:shd w:val="clear" w:color="auto" w:fill="auto"/>
            <w:hideMark/>
          </w:tcPr>
          <w:p w14:paraId="3FE87DB1"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r>
      <w:tr w:rsidR="000B4520" w:rsidRPr="007F01C3" w14:paraId="4D1A820D" w14:textId="77777777" w:rsidTr="001550EB">
        <w:trPr>
          <w:trHeight w:hRule="exact" w:val="284"/>
        </w:trPr>
        <w:tc>
          <w:tcPr>
            <w:tcW w:w="1193" w:type="pct"/>
            <w:shd w:val="clear" w:color="auto" w:fill="auto"/>
            <w:hideMark/>
          </w:tcPr>
          <w:p w14:paraId="668FCEF2" w14:textId="77777777" w:rsidR="000B4520" w:rsidRPr="00CE28A0" w:rsidRDefault="000B4520" w:rsidP="0088047D">
            <w:pPr>
              <w:jc w:val="right"/>
              <w:rPr>
                <w:rFonts w:ascii="Arial" w:hAnsi="Arial"/>
                <w:sz w:val="20"/>
                <w:lang w:val="en-GB"/>
              </w:rPr>
            </w:pPr>
            <w:r w:rsidRPr="00CE28A0">
              <w:rPr>
                <w:rFonts w:ascii="Arial" w:hAnsi="Arial"/>
                <w:sz w:val="20"/>
                <w:lang w:val="en-GB"/>
              </w:rPr>
              <w:t>Vomiting</w:t>
            </w:r>
          </w:p>
        </w:tc>
        <w:tc>
          <w:tcPr>
            <w:tcW w:w="746" w:type="pct"/>
          </w:tcPr>
          <w:p w14:paraId="36030151" w14:textId="77777777" w:rsidR="000B4520" w:rsidRPr="00CE28A0" w:rsidRDefault="000B4520" w:rsidP="0088047D">
            <w:pPr>
              <w:jc w:val="center"/>
              <w:rPr>
                <w:rFonts w:ascii="Arial" w:hAnsi="Arial"/>
                <w:sz w:val="20"/>
                <w:lang w:val="en-GB"/>
              </w:rPr>
            </w:pPr>
            <w:r w:rsidRPr="00CE28A0">
              <w:rPr>
                <w:rFonts w:ascii="Arial" w:hAnsi="Arial"/>
                <w:sz w:val="20"/>
                <w:lang w:val="en-GB"/>
              </w:rPr>
              <w:t>23 (12)</w:t>
            </w:r>
          </w:p>
        </w:tc>
        <w:tc>
          <w:tcPr>
            <w:tcW w:w="579" w:type="pct"/>
          </w:tcPr>
          <w:p w14:paraId="2C564D61" w14:textId="77777777" w:rsidR="000B4520" w:rsidRPr="00CE28A0" w:rsidRDefault="000B4520" w:rsidP="0088047D">
            <w:pPr>
              <w:jc w:val="center"/>
              <w:rPr>
                <w:rFonts w:ascii="Arial" w:hAnsi="Arial"/>
                <w:sz w:val="20"/>
                <w:lang w:val="en-GB"/>
              </w:rPr>
            </w:pPr>
            <w:r w:rsidRPr="00CE28A0">
              <w:rPr>
                <w:rFonts w:ascii="Arial" w:hAnsi="Arial"/>
                <w:sz w:val="20"/>
                <w:lang w:val="en-GB"/>
              </w:rPr>
              <w:t>1 (&lt;1)</w:t>
            </w:r>
          </w:p>
        </w:tc>
        <w:tc>
          <w:tcPr>
            <w:tcW w:w="579" w:type="pct"/>
          </w:tcPr>
          <w:p w14:paraId="05E34A9F" w14:textId="77777777" w:rsidR="000B4520" w:rsidRPr="00CE28A0" w:rsidRDefault="000B4520" w:rsidP="0088047D">
            <w:pPr>
              <w:jc w:val="center"/>
              <w:rPr>
                <w:rFonts w:ascii="Arial" w:hAnsi="Arial"/>
                <w:sz w:val="20"/>
                <w:lang w:val="en-GB"/>
              </w:rPr>
            </w:pPr>
            <w:r w:rsidRPr="00CE28A0">
              <w:rPr>
                <w:rFonts w:ascii="Arial" w:hAnsi="Arial"/>
                <w:sz w:val="20"/>
                <w:lang w:val="en-GB"/>
              </w:rPr>
              <w:t>1 (&lt;1)</w:t>
            </w:r>
          </w:p>
        </w:tc>
        <w:tc>
          <w:tcPr>
            <w:tcW w:w="747" w:type="pct"/>
            <w:shd w:val="clear" w:color="auto" w:fill="auto"/>
            <w:hideMark/>
          </w:tcPr>
          <w:p w14:paraId="7BB27B11" w14:textId="77777777" w:rsidR="000B4520" w:rsidRPr="00CE28A0" w:rsidRDefault="000B4520" w:rsidP="0088047D">
            <w:pPr>
              <w:jc w:val="center"/>
              <w:rPr>
                <w:rFonts w:ascii="Arial" w:hAnsi="Arial"/>
                <w:sz w:val="20"/>
                <w:lang w:val="en-GB"/>
              </w:rPr>
            </w:pPr>
            <w:r w:rsidRPr="00CE28A0">
              <w:rPr>
                <w:rFonts w:ascii="Arial" w:hAnsi="Arial"/>
                <w:sz w:val="20"/>
                <w:lang w:val="en-GB"/>
              </w:rPr>
              <w:t>15 (25)</w:t>
            </w:r>
          </w:p>
        </w:tc>
        <w:tc>
          <w:tcPr>
            <w:tcW w:w="579" w:type="pct"/>
            <w:shd w:val="clear" w:color="auto" w:fill="auto"/>
            <w:hideMark/>
          </w:tcPr>
          <w:p w14:paraId="09283C0E"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577" w:type="pct"/>
            <w:shd w:val="clear" w:color="auto" w:fill="auto"/>
            <w:hideMark/>
          </w:tcPr>
          <w:p w14:paraId="6794A8BE"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r>
      <w:tr w:rsidR="000B4520" w:rsidRPr="007F01C3" w14:paraId="4E7F7A15" w14:textId="77777777" w:rsidTr="001550EB">
        <w:trPr>
          <w:trHeight w:hRule="exact" w:val="284"/>
        </w:trPr>
        <w:tc>
          <w:tcPr>
            <w:tcW w:w="1193" w:type="pct"/>
            <w:shd w:val="clear" w:color="auto" w:fill="auto"/>
            <w:hideMark/>
          </w:tcPr>
          <w:p w14:paraId="0CFBFE53" w14:textId="77777777" w:rsidR="000B4520" w:rsidRPr="00CE28A0" w:rsidRDefault="000B4520" w:rsidP="0088047D">
            <w:pPr>
              <w:jc w:val="right"/>
              <w:rPr>
                <w:rFonts w:ascii="Arial" w:hAnsi="Arial"/>
                <w:sz w:val="20"/>
                <w:lang w:val="en-GB"/>
              </w:rPr>
            </w:pPr>
            <w:r w:rsidRPr="00CE28A0">
              <w:rPr>
                <w:rFonts w:ascii="Arial" w:hAnsi="Arial"/>
                <w:sz w:val="20"/>
                <w:lang w:val="en-GB"/>
              </w:rPr>
              <w:t>Cough</w:t>
            </w:r>
          </w:p>
        </w:tc>
        <w:tc>
          <w:tcPr>
            <w:tcW w:w="746" w:type="pct"/>
          </w:tcPr>
          <w:p w14:paraId="3A586236" w14:textId="77777777" w:rsidR="000B4520" w:rsidRPr="00CE28A0" w:rsidRDefault="000B4520" w:rsidP="0088047D">
            <w:pPr>
              <w:jc w:val="center"/>
              <w:rPr>
                <w:rFonts w:ascii="Arial" w:hAnsi="Arial"/>
                <w:sz w:val="20"/>
                <w:lang w:val="en-GB"/>
              </w:rPr>
            </w:pPr>
            <w:r w:rsidRPr="00CE28A0">
              <w:rPr>
                <w:rFonts w:ascii="Arial" w:hAnsi="Arial"/>
                <w:sz w:val="20"/>
                <w:lang w:val="en-GB"/>
              </w:rPr>
              <w:t>23 (12)</w:t>
            </w:r>
          </w:p>
        </w:tc>
        <w:tc>
          <w:tcPr>
            <w:tcW w:w="579" w:type="pct"/>
          </w:tcPr>
          <w:p w14:paraId="6BBC83F6"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579" w:type="pct"/>
          </w:tcPr>
          <w:p w14:paraId="3A1F661C"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747" w:type="pct"/>
            <w:shd w:val="clear" w:color="auto" w:fill="auto"/>
            <w:hideMark/>
          </w:tcPr>
          <w:p w14:paraId="619D0FD2" w14:textId="77777777" w:rsidR="000B4520" w:rsidRPr="00CE28A0" w:rsidRDefault="000B4520" w:rsidP="0088047D">
            <w:pPr>
              <w:jc w:val="center"/>
              <w:rPr>
                <w:rFonts w:ascii="Arial" w:hAnsi="Arial"/>
                <w:sz w:val="20"/>
                <w:lang w:val="en-GB"/>
              </w:rPr>
            </w:pPr>
            <w:r w:rsidRPr="00CE28A0">
              <w:rPr>
                <w:rFonts w:ascii="Arial" w:hAnsi="Arial"/>
                <w:sz w:val="20"/>
                <w:lang w:val="en-GB"/>
              </w:rPr>
              <w:t>3 (5)</w:t>
            </w:r>
          </w:p>
        </w:tc>
        <w:tc>
          <w:tcPr>
            <w:tcW w:w="579" w:type="pct"/>
            <w:shd w:val="clear" w:color="auto" w:fill="auto"/>
            <w:hideMark/>
          </w:tcPr>
          <w:p w14:paraId="6174C859"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577" w:type="pct"/>
            <w:shd w:val="clear" w:color="auto" w:fill="auto"/>
            <w:hideMark/>
          </w:tcPr>
          <w:p w14:paraId="5836EF19"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r>
      <w:tr w:rsidR="000B4520" w:rsidRPr="007F01C3" w14:paraId="5324D587" w14:textId="77777777" w:rsidTr="001550EB">
        <w:trPr>
          <w:trHeight w:hRule="exact" w:val="284"/>
        </w:trPr>
        <w:tc>
          <w:tcPr>
            <w:tcW w:w="1193" w:type="pct"/>
            <w:shd w:val="clear" w:color="auto" w:fill="auto"/>
            <w:hideMark/>
          </w:tcPr>
          <w:p w14:paraId="0B7B55F8" w14:textId="77777777" w:rsidR="000B4520" w:rsidRPr="00CE28A0" w:rsidRDefault="000B4520" w:rsidP="0088047D">
            <w:pPr>
              <w:jc w:val="right"/>
              <w:rPr>
                <w:rFonts w:ascii="Arial" w:hAnsi="Arial"/>
                <w:sz w:val="20"/>
                <w:lang w:val="en-GB"/>
              </w:rPr>
            </w:pPr>
            <w:r w:rsidRPr="00CE28A0">
              <w:rPr>
                <w:rFonts w:ascii="Arial" w:hAnsi="Arial"/>
                <w:sz w:val="20"/>
                <w:lang w:val="en-GB"/>
              </w:rPr>
              <w:t>Back pain</w:t>
            </w:r>
          </w:p>
        </w:tc>
        <w:tc>
          <w:tcPr>
            <w:tcW w:w="746" w:type="pct"/>
          </w:tcPr>
          <w:p w14:paraId="159DB282" w14:textId="77777777" w:rsidR="000B4520" w:rsidRPr="00CE28A0" w:rsidRDefault="000B4520" w:rsidP="0088047D">
            <w:pPr>
              <w:jc w:val="center"/>
              <w:rPr>
                <w:rFonts w:ascii="Arial" w:hAnsi="Arial"/>
                <w:sz w:val="20"/>
                <w:lang w:val="en-GB"/>
              </w:rPr>
            </w:pPr>
            <w:r w:rsidRPr="00CE28A0">
              <w:rPr>
                <w:rFonts w:ascii="Arial" w:hAnsi="Arial"/>
                <w:sz w:val="20"/>
                <w:lang w:val="en-GB"/>
              </w:rPr>
              <w:t>22 (12)</w:t>
            </w:r>
          </w:p>
        </w:tc>
        <w:tc>
          <w:tcPr>
            <w:tcW w:w="579" w:type="pct"/>
          </w:tcPr>
          <w:p w14:paraId="5DD5ED88" w14:textId="77777777" w:rsidR="000B4520" w:rsidRPr="00CE28A0" w:rsidRDefault="000B4520" w:rsidP="0088047D">
            <w:pPr>
              <w:jc w:val="center"/>
              <w:rPr>
                <w:rFonts w:ascii="Arial" w:hAnsi="Arial"/>
                <w:sz w:val="20"/>
                <w:lang w:val="en-GB"/>
              </w:rPr>
            </w:pPr>
            <w:r w:rsidRPr="00CE28A0">
              <w:rPr>
                <w:rFonts w:ascii="Arial" w:hAnsi="Arial"/>
                <w:sz w:val="20"/>
                <w:lang w:val="en-GB"/>
              </w:rPr>
              <w:t>5 (3)</w:t>
            </w:r>
          </w:p>
        </w:tc>
        <w:tc>
          <w:tcPr>
            <w:tcW w:w="579" w:type="pct"/>
          </w:tcPr>
          <w:p w14:paraId="73065F1B"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747" w:type="pct"/>
            <w:shd w:val="clear" w:color="auto" w:fill="auto"/>
            <w:hideMark/>
          </w:tcPr>
          <w:p w14:paraId="567B93CE" w14:textId="77777777" w:rsidR="000B4520" w:rsidRPr="00CE28A0" w:rsidRDefault="000B4520" w:rsidP="0088047D">
            <w:pPr>
              <w:jc w:val="center"/>
              <w:rPr>
                <w:rFonts w:ascii="Arial" w:hAnsi="Arial"/>
                <w:sz w:val="20"/>
                <w:lang w:val="en-GB"/>
              </w:rPr>
            </w:pPr>
            <w:r w:rsidRPr="00CE28A0">
              <w:rPr>
                <w:rFonts w:ascii="Arial" w:hAnsi="Arial"/>
                <w:sz w:val="20"/>
                <w:lang w:val="en-GB"/>
              </w:rPr>
              <w:t>4 (7)</w:t>
            </w:r>
          </w:p>
        </w:tc>
        <w:tc>
          <w:tcPr>
            <w:tcW w:w="579" w:type="pct"/>
            <w:shd w:val="clear" w:color="auto" w:fill="auto"/>
            <w:hideMark/>
          </w:tcPr>
          <w:p w14:paraId="5DE22F8F"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c>
          <w:tcPr>
            <w:tcW w:w="577" w:type="pct"/>
            <w:shd w:val="clear" w:color="auto" w:fill="auto"/>
            <w:hideMark/>
          </w:tcPr>
          <w:p w14:paraId="4947661A" w14:textId="77777777" w:rsidR="000B4520" w:rsidRPr="00CE28A0" w:rsidRDefault="000B4520" w:rsidP="0088047D">
            <w:pPr>
              <w:jc w:val="center"/>
              <w:rPr>
                <w:rFonts w:ascii="Arial" w:hAnsi="Arial"/>
                <w:sz w:val="20"/>
                <w:lang w:val="en-GB"/>
              </w:rPr>
            </w:pPr>
            <w:r w:rsidRPr="00CE28A0">
              <w:rPr>
                <w:rFonts w:ascii="Arial" w:hAnsi="Arial"/>
                <w:sz w:val="20"/>
                <w:lang w:val="en-GB"/>
              </w:rPr>
              <w:t>0</w:t>
            </w:r>
          </w:p>
        </w:tc>
      </w:tr>
      <w:tr w:rsidR="000B4520" w:rsidRPr="007F01C3" w14:paraId="72B13518" w14:textId="77777777" w:rsidTr="001550EB">
        <w:trPr>
          <w:trHeight w:hRule="exact" w:val="284"/>
        </w:trPr>
        <w:tc>
          <w:tcPr>
            <w:tcW w:w="1193" w:type="pct"/>
            <w:shd w:val="clear" w:color="auto" w:fill="auto"/>
            <w:hideMark/>
          </w:tcPr>
          <w:p w14:paraId="47206CF7" w14:textId="77777777" w:rsidR="000B4520" w:rsidRPr="002D129A" w:rsidRDefault="000B4520" w:rsidP="0088047D">
            <w:pPr>
              <w:jc w:val="right"/>
              <w:rPr>
                <w:rFonts w:ascii="Arial" w:hAnsi="Arial"/>
                <w:sz w:val="20"/>
                <w:lang w:val="en-GB"/>
              </w:rPr>
            </w:pPr>
            <w:r w:rsidRPr="002D129A">
              <w:rPr>
                <w:rFonts w:ascii="Arial" w:hAnsi="Arial"/>
                <w:sz w:val="20"/>
                <w:lang w:val="en-GB"/>
              </w:rPr>
              <w:t>Constipation</w:t>
            </w:r>
          </w:p>
        </w:tc>
        <w:tc>
          <w:tcPr>
            <w:tcW w:w="746" w:type="pct"/>
          </w:tcPr>
          <w:p w14:paraId="4201202A" w14:textId="77777777" w:rsidR="000B4520" w:rsidRPr="002D129A" w:rsidRDefault="000B4520" w:rsidP="0088047D">
            <w:pPr>
              <w:jc w:val="center"/>
              <w:rPr>
                <w:rFonts w:ascii="Arial" w:hAnsi="Arial"/>
                <w:sz w:val="20"/>
                <w:lang w:val="en-GB"/>
              </w:rPr>
            </w:pPr>
            <w:r w:rsidRPr="002D129A">
              <w:rPr>
                <w:rFonts w:ascii="Arial" w:hAnsi="Arial"/>
                <w:sz w:val="20"/>
                <w:lang w:val="en-GB"/>
              </w:rPr>
              <w:t>21 (11)</w:t>
            </w:r>
          </w:p>
        </w:tc>
        <w:tc>
          <w:tcPr>
            <w:tcW w:w="579" w:type="pct"/>
          </w:tcPr>
          <w:p w14:paraId="403BBC55" w14:textId="77777777" w:rsidR="000B4520" w:rsidRPr="002D129A" w:rsidRDefault="000B4520" w:rsidP="0088047D">
            <w:pPr>
              <w:jc w:val="center"/>
              <w:rPr>
                <w:rFonts w:ascii="Arial" w:hAnsi="Arial"/>
                <w:sz w:val="20"/>
                <w:lang w:val="en-GB"/>
              </w:rPr>
            </w:pPr>
            <w:r w:rsidRPr="002D129A">
              <w:rPr>
                <w:rFonts w:ascii="Arial" w:hAnsi="Arial"/>
                <w:sz w:val="20"/>
                <w:lang w:val="en-GB"/>
              </w:rPr>
              <w:t>2 (1)</w:t>
            </w:r>
          </w:p>
        </w:tc>
        <w:tc>
          <w:tcPr>
            <w:tcW w:w="579" w:type="pct"/>
          </w:tcPr>
          <w:p w14:paraId="4EB4D0E2" w14:textId="77777777" w:rsidR="000B4520" w:rsidRPr="002D129A" w:rsidRDefault="000B4520" w:rsidP="0088047D">
            <w:pPr>
              <w:jc w:val="center"/>
              <w:rPr>
                <w:rFonts w:ascii="Arial" w:hAnsi="Arial"/>
                <w:sz w:val="20"/>
                <w:lang w:val="en-GB"/>
              </w:rPr>
            </w:pPr>
            <w:r w:rsidRPr="002D129A">
              <w:rPr>
                <w:rFonts w:ascii="Arial" w:hAnsi="Arial"/>
                <w:sz w:val="20"/>
                <w:lang w:val="en-GB"/>
              </w:rPr>
              <w:t>1 (&lt;1)</w:t>
            </w:r>
          </w:p>
        </w:tc>
        <w:tc>
          <w:tcPr>
            <w:tcW w:w="747" w:type="pct"/>
            <w:shd w:val="clear" w:color="auto" w:fill="auto"/>
            <w:hideMark/>
          </w:tcPr>
          <w:p w14:paraId="09BE5D4C" w14:textId="77777777" w:rsidR="000B4520" w:rsidRPr="002D129A" w:rsidRDefault="000B4520" w:rsidP="0088047D">
            <w:pPr>
              <w:jc w:val="center"/>
              <w:rPr>
                <w:rFonts w:ascii="Arial" w:hAnsi="Arial"/>
                <w:sz w:val="20"/>
                <w:lang w:val="en-GB"/>
              </w:rPr>
            </w:pPr>
            <w:r w:rsidRPr="002D129A">
              <w:rPr>
                <w:rFonts w:ascii="Arial" w:hAnsi="Arial"/>
                <w:sz w:val="20"/>
                <w:lang w:val="en-GB"/>
              </w:rPr>
              <w:t>8 (14)</w:t>
            </w:r>
          </w:p>
        </w:tc>
        <w:tc>
          <w:tcPr>
            <w:tcW w:w="579" w:type="pct"/>
            <w:shd w:val="clear" w:color="auto" w:fill="auto"/>
            <w:hideMark/>
          </w:tcPr>
          <w:p w14:paraId="670DF55D"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577" w:type="pct"/>
            <w:shd w:val="clear" w:color="auto" w:fill="auto"/>
            <w:hideMark/>
          </w:tcPr>
          <w:p w14:paraId="1D8AD8F0"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r>
      <w:tr w:rsidR="000B4520" w:rsidRPr="007F01C3" w14:paraId="12CD5F90" w14:textId="77777777" w:rsidTr="001550EB">
        <w:trPr>
          <w:trHeight w:hRule="exact" w:val="284"/>
        </w:trPr>
        <w:tc>
          <w:tcPr>
            <w:tcW w:w="1193" w:type="pct"/>
            <w:shd w:val="clear" w:color="auto" w:fill="auto"/>
            <w:hideMark/>
          </w:tcPr>
          <w:p w14:paraId="134EC59E" w14:textId="77777777" w:rsidR="000B4520" w:rsidRPr="002D129A" w:rsidRDefault="000B4520" w:rsidP="0088047D">
            <w:pPr>
              <w:jc w:val="right"/>
              <w:rPr>
                <w:rFonts w:ascii="Arial" w:hAnsi="Arial"/>
                <w:sz w:val="20"/>
                <w:lang w:val="en-GB"/>
              </w:rPr>
            </w:pPr>
            <w:r w:rsidRPr="002D129A">
              <w:rPr>
                <w:rFonts w:ascii="Arial" w:hAnsi="Arial"/>
                <w:sz w:val="20"/>
                <w:lang w:val="en-GB"/>
              </w:rPr>
              <w:t>Diarrhoea</w:t>
            </w:r>
          </w:p>
        </w:tc>
        <w:tc>
          <w:tcPr>
            <w:tcW w:w="746" w:type="pct"/>
          </w:tcPr>
          <w:p w14:paraId="50000774" w14:textId="77777777" w:rsidR="000B4520" w:rsidRPr="002D129A" w:rsidRDefault="000B4520" w:rsidP="0088047D">
            <w:pPr>
              <w:jc w:val="center"/>
              <w:rPr>
                <w:rFonts w:ascii="Arial" w:hAnsi="Arial"/>
                <w:sz w:val="20"/>
                <w:lang w:val="en-GB"/>
              </w:rPr>
            </w:pPr>
            <w:r w:rsidRPr="002D129A">
              <w:rPr>
                <w:rFonts w:ascii="Arial" w:hAnsi="Arial"/>
                <w:sz w:val="20"/>
                <w:lang w:val="en-GB"/>
              </w:rPr>
              <w:t>20 (11)</w:t>
            </w:r>
          </w:p>
        </w:tc>
        <w:tc>
          <w:tcPr>
            <w:tcW w:w="579" w:type="pct"/>
          </w:tcPr>
          <w:p w14:paraId="2C2ACACD" w14:textId="77777777" w:rsidR="000B4520" w:rsidRPr="002D129A" w:rsidRDefault="000B4520" w:rsidP="0088047D">
            <w:pPr>
              <w:jc w:val="center"/>
              <w:rPr>
                <w:rFonts w:ascii="Arial" w:hAnsi="Arial"/>
                <w:sz w:val="20"/>
                <w:lang w:val="en-GB"/>
              </w:rPr>
            </w:pPr>
            <w:r w:rsidRPr="002D129A">
              <w:rPr>
                <w:rFonts w:ascii="Arial" w:hAnsi="Arial"/>
                <w:sz w:val="20"/>
                <w:lang w:val="en-GB"/>
              </w:rPr>
              <w:t>1 (&lt;1)</w:t>
            </w:r>
          </w:p>
        </w:tc>
        <w:tc>
          <w:tcPr>
            <w:tcW w:w="579" w:type="pct"/>
          </w:tcPr>
          <w:p w14:paraId="00B2F644"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747" w:type="pct"/>
            <w:shd w:val="clear" w:color="auto" w:fill="auto"/>
            <w:hideMark/>
          </w:tcPr>
          <w:p w14:paraId="6C9E2F5F" w14:textId="77777777" w:rsidR="000B4520" w:rsidRPr="002D129A" w:rsidRDefault="000B4520" w:rsidP="0088047D">
            <w:pPr>
              <w:jc w:val="center"/>
              <w:rPr>
                <w:rFonts w:ascii="Arial" w:hAnsi="Arial"/>
                <w:sz w:val="20"/>
                <w:lang w:val="en-GB"/>
              </w:rPr>
            </w:pPr>
            <w:r w:rsidRPr="002D129A">
              <w:rPr>
                <w:rFonts w:ascii="Arial" w:hAnsi="Arial"/>
                <w:sz w:val="20"/>
                <w:lang w:val="en-GB"/>
              </w:rPr>
              <w:t>7 (12)</w:t>
            </w:r>
          </w:p>
        </w:tc>
        <w:tc>
          <w:tcPr>
            <w:tcW w:w="579" w:type="pct"/>
            <w:shd w:val="clear" w:color="auto" w:fill="auto"/>
            <w:hideMark/>
          </w:tcPr>
          <w:p w14:paraId="0B8C30D9"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577" w:type="pct"/>
            <w:shd w:val="clear" w:color="auto" w:fill="auto"/>
            <w:hideMark/>
          </w:tcPr>
          <w:p w14:paraId="1C3AB20D"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r>
      <w:tr w:rsidR="000B4520" w:rsidRPr="007F01C3" w14:paraId="1EC0C6DE" w14:textId="77777777" w:rsidTr="001550EB">
        <w:trPr>
          <w:trHeight w:hRule="exact" w:val="284"/>
        </w:trPr>
        <w:tc>
          <w:tcPr>
            <w:tcW w:w="1193" w:type="pct"/>
            <w:shd w:val="clear" w:color="auto" w:fill="auto"/>
            <w:hideMark/>
          </w:tcPr>
          <w:p w14:paraId="6BD7CBAF" w14:textId="77777777" w:rsidR="000B4520" w:rsidRPr="002D129A" w:rsidRDefault="000B4520" w:rsidP="0088047D">
            <w:pPr>
              <w:jc w:val="right"/>
              <w:rPr>
                <w:rFonts w:ascii="Arial" w:hAnsi="Arial"/>
                <w:sz w:val="20"/>
                <w:lang w:val="en-GB"/>
              </w:rPr>
            </w:pPr>
            <w:r w:rsidRPr="002D129A">
              <w:rPr>
                <w:rFonts w:ascii="Arial" w:hAnsi="Arial"/>
                <w:sz w:val="20"/>
                <w:lang w:val="en-GB"/>
              </w:rPr>
              <w:t>Myalgia</w:t>
            </w:r>
          </w:p>
        </w:tc>
        <w:tc>
          <w:tcPr>
            <w:tcW w:w="746" w:type="pct"/>
          </w:tcPr>
          <w:p w14:paraId="50ADF781" w14:textId="77777777" w:rsidR="000B4520" w:rsidRPr="002D129A" w:rsidRDefault="000B4520" w:rsidP="0088047D">
            <w:pPr>
              <w:jc w:val="center"/>
              <w:rPr>
                <w:rFonts w:ascii="Arial" w:hAnsi="Arial"/>
                <w:sz w:val="20"/>
                <w:lang w:val="en-GB"/>
              </w:rPr>
            </w:pPr>
            <w:r w:rsidRPr="002D129A">
              <w:rPr>
                <w:rFonts w:ascii="Arial" w:hAnsi="Arial"/>
                <w:sz w:val="20"/>
                <w:lang w:val="en-GB"/>
              </w:rPr>
              <w:t>20 (11)</w:t>
            </w:r>
          </w:p>
        </w:tc>
        <w:tc>
          <w:tcPr>
            <w:tcW w:w="579" w:type="pct"/>
          </w:tcPr>
          <w:p w14:paraId="3CFCDE50"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579" w:type="pct"/>
          </w:tcPr>
          <w:p w14:paraId="4BE983B8"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747" w:type="pct"/>
            <w:shd w:val="clear" w:color="auto" w:fill="auto"/>
            <w:hideMark/>
          </w:tcPr>
          <w:p w14:paraId="586F0FD2"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579" w:type="pct"/>
            <w:shd w:val="clear" w:color="auto" w:fill="auto"/>
            <w:hideMark/>
          </w:tcPr>
          <w:p w14:paraId="37BECD4C"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577" w:type="pct"/>
            <w:shd w:val="clear" w:color="auto" w:fill="auto"/>
            <w:hideMark/>
          </w:tcPr>
          <w:p w14:paraId="2DD6A691"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r>
      <w:tr w:rsidR="000B4520" w:rsidRPr="007F01C3" w14:paraId="22755E0B" w14:textId="77777777" w:rsidTr="001550EB">
        <w:trPr>
          <w:trHeight w:hRule="exact" w:val="284"/>
        </w:trPr>
        <w:tc>
          <w:tcPr>
            <w:tcW w:w="1193" w:type="pct"/>
            <w:shd w:val="clear" w:color="auto" w:fill="auto"/>
            <w:hideMark/>
          </w:tcPr>
          <w:p w14:paraId="649A0358" w14:textId="77777777" w:rsidR="000B4520" w:rsidRPr="002D129A" w:rsidRDefault="000B4520" w:rsidP="0088047D">
            <w:pPr>
              <w:jc w:val="right"/>
              <w:rPr>
                <w:rFonts w:ascii="Arial" w:hAnsi="Arial"/>
                <w:sz w:val="20"/>
                <w:lang w:val="en-GB"/>
              </w:rPr>
            </w:pPr>
            <w:r w:rsidRPr="002D129A">
              <w:rPr>
                <w:rFonts w:ascii="Arial" w:hAnsi="Arial"/>
                <w:sz w:val="20"/>
                <w:lang w:val="en-GB"/>
              </w:rPr>
              <w:t>Nasopharyngitis</w:t>
            </w:r>
          </w:p>
        </w:tc>
        <w:tc>
          <w:tcPr>
            <w:tcW w:w="746" w:type="pct"/>
          </w:tcPr>
          <w:p w14:paraId="037F38DD" w14:textId="77777777" w:rsidR="000B4520" w:rsidRPr="002D129A" w:rsidRDefault="000B4520" w:rsidP="0088047D">
            <w:pPr>
              <w:jc w:val="center"/>
              <w:rPr>
                <w:rFonts w:ascii="Arial" w:hAnsi="Arial"/>
                <w:sz w:val="20"/>
                <w:lang w:val="en-GB"/>
              </w:rPr>
            </w:pPr>
            <w:r w:rsidRPr="002D129A">
              <w:rPr>
                <w:rFonts w:ascii="Arial" w:hAnsi="Arial"/>
                <w:sz w:val="20"/>
                <w:lang w:val="en-GB"/>
              </w:rPr>
              <w:t>19 (10)</w:t>
            </w:r>
          </w:p>
        </w:tc>
        <w:tc>
          <w:tcPr>
            <w:tcW w:w="579" w:type="pct"/>
          </w:tcPr>
          <w:p w14:paraId="42B52D5C"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579" w:type="pct"/>
          </w:tcPr>
          <w:p w14:paraId="3B99E94E"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747" w:type="pct"/>
            <w:shd w:val="clear" w:color="auto" w:fill="auto"/>
            <w:hideMark/>
          </w:tcPr>
          <w:p w14:paraId="1A9828BC" w14:textId="77777777" w:rsidR="000B4520" w:rsidRPr="002D129A" w:rsidRDefault="000B4520" w:rsidP="0088047D">
            <w:pPr>
              <w:jc w:val="center"/>
              <w:rPr>
                <w:rFonts w:ascii="Arial" w:hAnsi="Arial"/>
                <w:sz w:val="20"/>
                <w:lang w:val="en-GB"/>
              </w:rPr>
            </w:pPr>
            <w:r w:rsidRPr="002D129A">
              <w:rPr>
                <w:rFonts w:ascii="Arial" w:hAnsi="Arial"/>
                <w:sz w:val="20"/>
                <w:lang w:val="en-GB"/>
              </w:rPr>
              <w:t>2 (3)</w:t>
            </w:r>
          </w:p>
        </w:tc>
        <w:tc>
          <w:tcPr>
            <w:tcW w:w="579" w:type="pct"/>
            <w:shd w:val="clear" w:color="auto" w:fill="auto"/>
            <w:hideMark/>
          </w:tcPr>
          <w:p w14:paraId="5A5F6E24"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577" w:type="pct"/>
            <w:shd w:val="clear" w:color="auto" w:fill="auto"/>
            <w:hideMark/>
          </w:tcPr>
          <w:p w14:paraId="1A113D9D"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r>
      <w:tr w:rsidR="000B4520" w:rsidRPr="007F01C3" w14:paraId="2F7AFAFA" w14:textId="77777777" w:rsidTr="001550EB">
        <w:trPr>
          <w:trHeight w:hRule="exact" w:val="284"/>
        </w:trPr>
        <w:tc>
          <w:tcPr>
            <w:tcW w:w="1193" w:type="pct"/>
            <w:shd w:val="clear" w:color="auto" w:fill="auto"/>
            <w:hideMark/>
          </w:tcPr>
          <w:p w14:paraId="0BA593B5" w14:textId="77777777" w:rsidR="000B4520" w:rsidRPr="002D129A" w:rsidRDefault="000B4520" w:rsidP="0088047D">
            <w:pPr>
              <w:jc w:val="right"/>
              <w:rPr>
                <w:rFonts w:ascii="Arial" w:hAnsi="Arial"/>
                <w:sz w:val="20"/>
                <w:lang w:val="en-GB"/>
              </w:rPr>
            </w:pPr>
            <w:r w:rsidRPr="002D129A">
              <w:rPr>
                <w:rFonts w:ascii="Arial" w:hAnsi="Arial"/>
                <w:sz w:val="20"/>
                <w:lang w:val="en-GB"/>
              </w:rPr>
              <w:lastRenderedPageBreak/>
              <w:t>Pain in extremity</w:t>
            </w:r>
          </w:p>
        </w:tc>
        <w:tc>
          <w:tcPr>
            <w:tcW w:w="746" w:type="pct"/>
          </w:tcPr>
          <w:p w14:paraId="6A2033B5" w14:textId="77777777" w:rsidR="000B4520" w:rsidRPr="002D129A" w:rsidRDefault="000B4520" w:rsidP="0088047D">
            <w:pPr>
              <w:jc w:val="center"/>
              <w:rPr>
                <w:rFonts w:ascii="Arial" w:hAnsi="Arial"/>
                <w:sz w:val="20"/>
                <w:lang w:val="en-GB"/>
              </w:rPr>
            </w:pPr>
            <w:r w:rsidRPr="002D129A">
              <w:rPr>
                <w:rFonts w:ascii="Arial" w:hAnsi="Arial"/>
                <w:sz w:val="20"/>
                <w:lang w:val="en-GB"/>
              </w:rPr>
              <w:t>16 (9)</w:t>
            </w:r>
          </w:p>
        </w:tc>
        <w:tc>
          <w:tcPr>
            <w:tcW w:w="579" w:type="pct"/>
          </w:tcPr>
          <w:p w14:paraId="706CA65B" w14:textId="77777777" w:rsidR="000B4520" w:rsidRPr="002D129A" w:rsidRDefault="000B4520" w:rsidP="0088047D">
            <w:pPr>
              <w:jc w:val="center"/>
              <w:rPr>
                <w:rFonts w:ascii="Arial" w:hAnsi="Arial"/>
                <w:sz w:val="20"/>
                <w:lang w:val="en-GB"/>
              </w:rPr>
            </w:pPr>
            <w:r w:rsidRPr="002D129A">
              <w:rPr>
                <w:rFonts w:ascii="Arial" w:hAnsi="Arial"/>
                <w:sz w:val="20"/>
                <w:lang w:val="en-GB"/>
              </w:rPr>
              <w:t>1 (&lt;1)</w:t>
            </w:r>
          </w:p>
        </w:tc>
        <w:tc>
          <w:tcPr>
            <w:tcW w:w="579" w:type="pct"/>
          </w:tcPr>
          <w:p w14:paraId="1336D7B7"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747" w:type="pct"/>
            <w:shd w:val="clear" w:color="auto" w:fill="auto"/>
            <w:hideMark/>
          </w:tcPr>
          <w:p w14:paraId="39FE3543" w14:textId="77777777" w:rsidR="000B4520" w:rsidRPr="002D129A" w:rsidRDefault="000B4520" w:rsidP="0088047D">
            <w:pPr>
              <w:jc w:val="center"/>
              <w:rPr>
                <w:rFonts w:ascii="Arial" w:hAnsi="Arial"/>
                <w:sz w:val="20"/>
                <w:lang w:val="en-GB"/>
              </w:rPr>
            </w:pPr>
            <w:r w:rsidRPr="002D129A">
              <w:rPr>
                <w:rFonts w:ascii="Arial" w:hAnsi="Arial"/>
                <w:sz w:val="20"/>
                <w:lang w:val="en-GB"/>
              </w:rPr>
              <w:t>7 (12)</w:t>
            </w:r>
          </w:p>
        </w:tc>
        <w:tc>
          <w:tcPr>
            <w:tcW w:w="579" w:type="pct"/>
            <w:shd w:val="clear" w:color="auto" w:fill="auto"/>
            <w:hideMark/>
          </w:tcPr>
          <w:p w14:paraId="684E2481"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577" w:type="pct"/>
            <w:shd w:val="clear" w:color="auto" w:fill="auto"/>
            <w:hideMark/>
          </w:tcPr>
          <w:p w14:paraId="18DB488D"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r>
      <w:tr w:rsidR="000B4520" w:rsidRPr="007F01C3" w14:paraId="54C37D8A" w14:textId="77777777" w:rsidTr="001550EB">
        <w:trPr>
          <w:trHeight w:hRule="exact" w:val="284"/>
        </w:trPr>
        <w:tc>
          <w:tcPr>
            <w:tcW w:w="1193" w:type="pct"/>
            <w:shd w:val="clear" w:color="auto" w:fill="auto"/>
            <w:hideMark/>
          </w:tcPr>
          <w:p w14:paraId="1BFB13AD" w14:textId="77777777" w:rsidR="000B4520" w:rsidRPr="002D129A" w:rsidRDefault="000B4520" w:rsidP="0088047D">
            <w:pPr>
              <w:jc w:val="right"/>
              <w:rPr>
                <w:rFonts w:ascii="Arial" w:hAnsi="Arial"/>
                <w:sz w:val="20"/>
                <w:lang w:val="en-GB"/>
              </w:rPr>
            </w:pPr>
            <w:r w:rsidRPr="002D129A">
              <w:rPr>
                <w:rFonts w:ascii="Arial" w:hAnsi="Arial"/>
                <w:sz w:val="20"/>
                <w:lang w:val="en-GB"/>
              </w:rPr>
              <w:t>Abdominal pain</w:t>
            </w:r>
          </w:p>
        </w:tc>
        <w:tc>
          <w:tcPr>
            <w:tcW w:w="746" w:type="pct"/>
          </w:tcPr>
          <w:p w14:paraId="0A2E98EF" w14:textId="77777777" w:rsidR="000B4520" w:rsidRPr="002D129A" w:rsidRDefault="000B4520" w:rsidP="0088047D">
            <w:pPr>
              <w:jc w:val="center"/>
              <w:rPr>
                <w:rFonts w:ascii="Arial" w:hAnsi="Arial"/>
                <w:sz w:val="20"/>
                <w:lang w:val="en-GB"/>
              </w:rPr>
            </w:pPr>
            <w:r w:rsidRPr="002D129A">
              <w:rPr>
                <w:rFonts w:ascii="Arial" w:hAnsi="Arial"/>
                <w:sz w:val="20"/>
                <w:lang w:val="en-GB"/>
              </w:rPr>
              <w:t>7 (4)</w:t>
            </w:r>
          </w:p>
        </w:tc>
        <w:tc>
          <w:tcPr>
            <w:tcW w:w="579" w:type="pct"/>
          </w:tcPr>
          <w:p w14:paraId="38ADCE6F" w14:textId="77777777" w:rsidR="000B4520" w:rsidRPr="002D129A" w:rsidRDefault="000B4520" w:rsidP="0088047D">
            <w:pPr>
              <w:jc w:val="center"/>
              <w:rPr>
                <w:rFonts w:ascii="Arial" w:hAnsi="Arial"/>
                <w:sz w:val="20"/>
                <w:lang w:val="en-GB"/>
              </w:rPr>
            </w:pPr>
            <w:r w:rsidRPr="002D129A">
              <w:rPr>
                <w:rFonts w:ascii="Arial" w:hAnsi="Arial"/>
                <w:sz w:val="20"/>
                <w:lang w:val="en-GB"/>
              </w:rPr>
              <w:t>1 (&lt;1)</w:t>
            </w:r>
          </w:p>
        </w:tc>
        <w:tc>
          <w:tcPr>
            <w:tcW w:w="579" w:type="pct"/>
          </w:tcPr>
          <w:p w14:paraId="7ED54858"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747" w:type="pct"/>
            <w:shd w:val="clear" w:color="auto" w:fill="auto"/>
            <w:hideMark/>
          </w:tcPr>
          <w:p w14:paraId="574557DF" w14:textId="77777777" w:rsidR="000B4520" w:rsidRPr="002D129A" w:rsidRDefault="000B4520" w:rsidP="0088047D">
            <w:pPr>
              <w:jc w:val="center"/>
              <w:rPr>
                <w:rFonts w:ascii="Arial" w:hAnsi="Arial"/>
                <w:sz w:val="20"/>
                <w:lang w:val="en-GB"/>
              </w:rPr>
            </w:pPr>
            <w:r w:rsidRPr="002D129A">
              <w:rPr>
                <w:rFonts w:ascii="Arial" w:hAnsi="Arial"/>
                <w:sz w:val="20"/>
                <w:lang w:val="en-GB"/>
              </w:rPr>
              <w:t>8 (14)</w:t>
            </w:r>
          </w:p>
        </w:tc>
        <w:tc>
          <w:tcPr>
            <w:tcW w:w="579" w:type="pct"/>
            <w:shd w:val="clear" w:color="auto" w:fill="auto"/>
            <w:hideMark/>
          </w:tcPr>
          <w:p w14:paraId="1A48E240"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577" w:type="pct"/>
            <w:shd w:val="clear" w:color="auto" w:fill="auto"/>
            <w:hideMark/>
          </w:tcPr>
          <w:p w14:paraId="791C7BBA" w14:textId="77777777" w:rsidR="000B4520" w:rsidRPr="002D129A" w:rsidRDefault="000B4520" w:rsidP="0088047D">
            <w:pPr>
              <w:jc w:val="center"/>
              <w:rPr>
                <w:rFonts w:ascii="Arial" w:hAnsi="Arial"/>
                <w:sz w:val="20"/>
                <w:lang w:val="en-GB"/>
              </w:rPr>
            </w:pPr>
            <w:r w:rsidRPr="002D129A">
              <w:rPr>
                <w:rFonts w:ascii="Arial" w:hAnsi="Arial"/>
                <w:sz w:val="20"/>
                <w:lang w:val="en-GB"/>
              </w:rPr>
              <w:t>1 (2)</w:t>
            </w:r>
          </w:p>
        </w:tc>
      </w:tr>
      <w:tr w:rsidR="000B4520" w:rsidRPr="007F01C3" w14:paraId="41EDD672" w14:textId="77777777" w:rsidTr="001550EB">
        <w:trPr>
          <w:trHeight w:hRule="exact" w:val="284"/>
        </w:trPr>
        <w:tc>
          <w:tcPr>
            <w:tcW w:w="1193" w:type="pct"/>
            <w:shd w:val="clear" w:color="auto" w:fill="auto"/>
            <w:hideMark/>
          </w:tcPr>
          <w:p w14:paraId="6AB3F16B" w14:textId="77777777" w:rsidR="000B4520" w:rsidRPr="002D129A" w:rsidRDefault="000B4520" w:rsidP="0088047D">
            <w:pPr>
              <w:jc w:val="right"/>
              <w:rPr>
                <w:rFonts w:ascii="Arial" w:hAnsi="Arial"/>
                <w:sz w:val="20"/>
                <w:lang w:val="en-GB"/>
              </w:rPr>
            </w:pPr>
            <w:r w:rsidRPr="002D129A">
              <w:rPr>
                <w:rFonts w:ascii="Arial" w:hAnsi="Arial"/>
                <w:sz w:val="20"/>
                <w:lang w:val="en-GB"/>
              </w:rPr>
              <w:t>Anaemia</w:t>
            </w:r>
          </w:p>
        </w:tc>
        <w:tc>
          <w:tcPr>
            <w:tcW w:w="746" w:type="pct"/>
          </w:tcPr>
          <w:p w14:paraId="1441915B" w14:textId="77777777" w:rsidR="000B4520" w:rsidRPr="002D129A" w:rsidRDefault="000B4520" w:rsidP="0088047D">
            <w:pPr>
              <w:jc w:val="center"/>
              <w:rPr>
                <w:rFonts w:ascii="Arial" w:hAnsi="Arial"/>
                <w:sz w:val="20"/>
                <w:lang w:val="en-GB"/>
              </w:rPr>
            </w:pPr>
            <w:r w:rsidRPr="002D129A">
              <w:rPr>
                <w:rFonts w:ascii="Arial" w:hAnsi="Arial"/>
                <w:sz w:val="20"/>
                <w:lang w:val="en-GB"/>
              </w:rPr>
              <w:t>7 (4)</w:t>
            </w:r>
          </w:p>
        </w:tc>
        <w:tc>
          <w:tcPr>
            <w:tcW w:w="579" w:type="pct"/>
          </w:tcPr>
          <w:p w14:paraId="327210B9" w14:textId="77777777" w:rsidR="000B4520" w:rsidRPr="002D129A" w:rsidRDefault="000B4520" w:rsidP="0088047D">
            <w:pPr>
              <w:jc w:val="center"/>
              <w:rPr>
                <w:rFonts w:ascii="Arial" w:hAnsi="Arial"/>
                <w:sz w:val="20"/>
                <w:lang w:val="en-GB"/>
              </w:rPr>
            </w:pPr>
            <w:r w:rsidRPr="002D129A">
              <w:rPr>
                <w:rFonts w:ascii="Arial" w:hAnsi="Arial"/>
                <w:sz w:val="20"/>
                <w:lang w:val="en-GB"/>
              </w:rPr>
              <w:t>1 (&lt;1)</w:t>
            </w:r>
          </w:p>
        </w:tc>
        <w:tc>
          <w:tcPr>
            <w:tcW w:w="579" w:type="pct"/>
          </w:tcPr>
          <w:p w14:paraId="5CF859AE"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747" w:type="pct"/>
            <w:shd w:val="clear" w:color="auto" w:fill="auto"/>
            <w:hideMark/>
          </w:tcPr>
          <w:p w14:paraId="3E954533" w14:textId="77777777" w:rsidR="000B4520" w:rsidRPr="002D129A" w:rsidRDefault="000B4520" w:rsidP="0088047D">
            <w:pPr>
              <w:jc w:val="center"/>
              <w:rPr>
                <w:rFonts w:ascii="Arial" w:hAnsi="Arial"/>
                <w:sz w:val="20"/>
                <w:lang w:val="en-GB"/>
              </w:rPr>
            </w:pPr>
            <w:r w:rsidRPr="002D129A">
              <w:rPr>
                <w:rFonts w:ascii="Arial" w:hAnsi="Arial"/>
                <w:sz w:val="20"/>
                <w:lang w:val="en-GB"/>
              </w:rPr>
              <w:t>7 (12)</w:t>
            </w:r>
          </w:p>
        </w:tc>
        <w:tc>
          <w:tcPr>
            <w:tcW w:w="579" w:type="pct"/>
            <w:shd w:val="clear" w:color="auto" w:fill="auto"/>
            <w:hideMark/>
          </w:tcPr>
          <w:p w14:paraId="7F8C78F6" w14:textId="77777777" w:rsidR="000B4520" w:rsidRPr="002D129A" w:rsidRDefault="000B4520" w:rsidP="0088047D">
            <w:pPr>
              <w:jc w:val="center"/>
              <w:rPr>
                <w:rFonts w:ascii="Arial" w:hAnsi="Arial"/>
                <w:sz w:val="20"/>
                <w:lang w:val="en-GB"/>
              </w:rPr>
            </w:pPr>
            <w:r w:rsidRPr="002D129A">
              <w:rPr>
                <w:rFonts w:ascii="Arial" w:hAnsi="Arial"/>
                <w:sz w:val="20"/>
                <w:lang w:val="en-GB"/>
              </w:rPr>
              <w:t>1 (2)</w:t>
            </w:r>
          </w:p>
        </w:tc>
        <w:tc>
          <w:tcPr>
            <w:tcW w:w="577" w:type="pct"/>
            <w:shd w:val="clear" w:color="auto" w:fill="auto"/>
            <w:hideMark/>
          </w:tcPr>
          <w:p w14:paraId="4B09617D" w14:textId="77777777" w:rsidR="000B4520" w:rsidRPr="002D129A" w:rsidRDefault="000B4520" w:rsidP="0088047D">
            <w:pPr>
              <w:jc w:val="center"/>
              <w:rPr>
                <w:rFonts w:ascii="Arial" w:hAnsi="Arial"/>
                <w:sz w:val="20"/>
                <w:lang w:val="en-GB"/>
              </w:rPr>
            </w:pPr>
            <w:r w:rsidRPr="002D129A">
              <w:rPr>
                <w:rFonts w:ascii="Arial" w:hAnsi="Arial"/>
                <w:sz w:val="20"/>
                <w:lang w:val="en-GB"/>
              </w:rPr>
              <w:t>1 (2)</w:t>
            </w:r>
          </w:p>
        </w:tc>
      </w:tr>
      <w:tr w:rsidR="000B4520" w:rsidRPr="007F01C3" w14:paraId="2C26FD99" w14:textId="77777777" w:rsidTr="001550EB">
        <w:trPr>
          <w:trHeight w:hRule="exact" w:val="284"/>
        </w:trPr>
        <w:tc>
          <w:tcPr>
            <w:tcW w:w="1193" w:type="pct"/>
            <w:shd w:val="clear" w:color="auto" w:fill="auto"/>
            <w:hideMark/>
          </w:tcPr>
          <w:p w14:paraId="5C48ABAE" w14:textId="77777777" w:rsidR="000B4520" w:rsidRPr="00284C3C" w:rsidRDefault="000B4520" w:rsidP="0088047D">
            <w:pPr>
              <w:jc w:val="right"/>
              <w:rPr>
                <w:rFonts w:ascii="Arial" w:hAnsi="Arial"/>
                <w:sz w:val="20"/>
                <w:lang w:val="en-GB"/>
              </w:rPr>
            </w:pPr>
            <w:r w:rsidRPr="00284C3C">
              <w:rPr>
                <w:rFonts w:ascii="Arial" w:hAnsi="Arial"/>
                <w:sz w:val="20"/>
                <w:lang w:val="en-GB"/>
              </w:rPr>
              <w:t>Neutropenia</w:t>
            </w:r>
          </w:p>
        </w:tc>
        <w:tc>
          <w:tcPr>
            <w:tcW w:w="746" w:type="pct"/>
          </w:tcPr>
          <w:p w14:paraId="6AEF0B00" w14:textId="77777777" w:rsidR="000B4520" w:rsidRPr="00284C3C" w:rsidRDefault="000B4520" w:rsidP="0088047D">
            <w:pPr>
              <w:jc w:val="center"/>
              <w:rPr>
                <w:rFonts w:ascii="Arial" w:hAnsi="Arial"/>
                <w:sz w:val="20"/>
                <w:lang w:val="en-GB"/>
              </w:rPr>
            </w:pPr>
            <w:r w:rsidRPr="00284C3C">
              <w:rPr>
                <w:rFonts w:ascii="Arial" w:hAnsi="Arial"/>
                <w:sz w:val="20"/>
                <w:lang w:val="en-GB"/>
              </w:rPr>
              <w:t>2 (1)</w:t>
            </w:r>
          </w:p>
        </w:tc>
        <w:tc>
          <w:tcPr>
            <w:tcW w:w="579" w:type="pct"/>
          </w:tcPr>
          <w:p w14:paraId="6F85E234" w14:textId="77777777" w:rsidR="000B4520" w:rsidRPr="00284C3C" w:rsidRDefault="000B4520" w:rsidP="0088047D">
            <w:pPr>
              <w:jc w:val="center"/>
              <w:rPr>
                <w:rFonts w:ascii="Arial" w:hAnsi="Arial"/>
                <w:sz w:val="20"/>
                <w:lang w:val="en-GB"/>
              </w:rPr>
            </w:pPr>
            <w:r w:rsidRPr="00284C3C">
              <w:rPr>
                <w:rFonts w:ascii="Arial" w:hAnsi="Arial"/>
                <w:sz w:val="20"/>
                <w:lang w:val="en-GB"/>
              </w:rPr>
              <w:t>1 (&lt;1)</w:t>
            </w:r>
          </w:p>
        </w:tc>
        <w:tc>
          <w:tcPr>
            <w:tcW w:w="579" w:type="pct"/>
          </w:tcPr>
          <w:p w14:paraId="7E43D19C" w14:textId="77777777" w:rsidR="000B4520" w:rsidRPr="00284C3C" w:rsidRDefault="000B4520" w:rsidP="0088047D">
            <w:pPr>
              <w:jc w:val="center"/>
              <w:rPr>
                <w:rFonts w:ascii="Arial" w:hAnsi="Arial"/>
                <w:sz w:val="20"/>
                <w:lang w:val="en-GB"/>
              </w:rPr>
            </w:pPr>
            <w:r w:rsidRPr="00284C3C">
              <w:rPr>
                <w:rFonts w:ascii="Arial" w:hAnsi="Arial"/>
                <w:sz w:val="20"/>
                <w:lang w:val="en-GB"/>
              </w:rPr>
              <w:t>0</w:t>
            </w:r>
          </w:p>
        </w:tc>
        <w:tc>
          <w:tcPr>
            <w:tcW w:w="747" w:type="pct"/>
            <w:shd w:val="clear" w:color="auto" w:fill="auto"/>
            <w:hideMark/>
          </w:tcPr>
          <w:p w14:paraId="0ACD3D18" w14:textId="77777777" w:rsidR="000B4520" w:rsidRPr="00284C3C" w:rsidRDefault="000B4520" w:rsidP="0088047D">
            <w:pPr>
              <w:jc w:val="center"/>
              <w:rPr>
                <w:rFonts w:ascii="Arial" w:hAnsi="Arial"/>
                <w:sz w:val="20"/>
                <w:lang w:val="en-GB"/>
              </w:rPr>
            </w:pPr>
            <w:r w:rsidRPr="00284C3C">
              <w:rPr>
                <w:rFonts w:ascii="Arial" w:hAnsi="Arial"/>
                <w:sz w:val="20"/>
                <w:lang w:val="en-GB"/>
              </w:rPr>
              <w:t>10 (17)</w:t>
            </w:r>
          </w:p>
        </w:tc>
        <w:tc>
          <w:tcPr>
            <w:tcW w:w="579" w:type="pct"/>
            <w:shd w:val="clear" w:color="auto" w:fill="auto"/>
            <w:hideMark/>
          </w:tcPr>
          <w:p w14:paraId="7EAD7916" w14:textId="77777777" w:rsidR="000B4520" w:rsidRPr="00284C3C" w:rsidRDefault="000B4520" w:rsidP="0088047D">
            <w:pPr>
              <w:jc w:val="center"/>
              <w:rPr>
                <w:rFonts w:ascii="Arial" w:hAnsi="Arial"/>
                <w:sz w:val="20"/>
                <w:lang w:val="en-GB"/>
              </w:rPr>
            </w:pPr>
            <w:r w:rsidRPr="00284C3C">
              <w:rPr>
                <w:rFonts w:ascii="Arial" w:hAnsi="Arial"/>
                <w:sz w:val="20"/>
                <w:lang w:val="en-GB"/>
              </w:rPr>
              <w:t>4 (7)</w:t>
            </w:r>
          </w:p>
        </w:tc>
        <w:tc>
          <w:tcPr>
            <w:tcW w:w="577" w:type="pct"/>
            <w:shd w:val="clear" w:color="auto" w:fill="auto"/>
            <w:hideMark/>
          </w:tcPr>
          <w:p w14:paraId="600B4A1C" w14:textId="77777777" w:rsidR="000B4520" w:rsidRPr="00284C3C" w:rsidRDefault="000B4520" w:rsidP="0088047D">
            <w:pPr>
              <w:jc w:val="center"/>
              <w:rPr>
                <w:rFonts w:ascii="Arial" w:hAnsi="Arial"/>
                <w:sz w:val="20"/>
                <w:lang w:val="en-GB"/>
              </w:rPr>
            </w:pPr>
            <w:r w:rsidRPr="00284C3C">
              <w:rPr>
                <w:rFonts w:ascii="Arial" w:hAnsi="Arial"/>
                <w:sz w:val="20"/>
                <w:lang w:val="en-GB"/>
              </w:rPr>
              <w:t>4 (7)</w:t>
            </w:r>
          </w:p>
        </w:tc>
      </w:tr>
      <w:tr w:rsidR="000B4520" w:rsidRPr="007F01C3" w14:paraId="41E5CC89" w14:textId="77777777" w:rsidTr="001550EB">
        <w:trPr>
          <w:trHeight w:hRule="exact" w:val="284"/>
        </w:trPr>
        <w:tc>
          <w:tcPr>
            <w:tcW w:w="1193" w:type="pct"/>
            <w:tcBorders>
              <w:bottom w:val="single" w:sz="4" w:space="0" w:color="auto"/>
            </w:tcBorders>
            <w:shd w:val="clear" w:color="auto" w:fill="auto"/>
            <w:hideMark/>
          </w:tcPr>
          <w:p w14:paraId="6EDB9FDC" w14:textId="77777777" w:rsidR="000B4520" w:rsidRPr="002D129A" w:rsidRDefault="000B4520" w:rsidP="0088047D">
            <w:pPr>
              <w:jc w:val="right"/>
              <w:rPr>
                <w:rFonts w:ascii="Arial" w:hAnsi="Arial"/>
                <w:sz w:val="20"/>
                <w:lang w:val="en-GB"/>
              </w:rPr>
            </w:pPr>
            <w:r w:rsidRPr="002D129A">
              <w:rPr>
                <w:rFonts w:ascii="Arial" w:hAnsi="Arial"/>
                <w:sz w:val="20"/>
                <w:lang w:val="en-GB"/>
              </w:rPr>
              <w:t>Leukopenia</w:t>
            </w:r>
          </w:p>
        </w:tc>
        <w:tc>
          <w:tcPr>
            <w:tcW w:w="746" w:type="pct"/>
            <w:tcBorders>
              <w:bottom w:val="single" w:sz="4" w:space="0" w:color="auto"/>
            </w:tcBorders>
          </w:tcPr>
          <w:p w14:paraId="7A90AD7C" w14:textId="77777777" w:rsidR="000B4520" w:rsidRPr="002D129A" w:rsidRDefault="000B4520" w:rsidP="0088047D">
            <w:pPr>
              <w:jc w:val="center"/>
              <w:rPr>
                <w:rFonts w:ascii="Arial" w:hAnsi="Arial"/>
                <w:sz w:val="20"/>
                <w:lang w:val="en-GB"/>
              </w:rPr>
            </w:pPr>
            <w:r w:rsidRPr="002D129A">
              <w:rPr>
                <w:rFonts w:ascii="Arial" w:hAnsi="Arial"/>
                <w:sz w:val="20"/>
                <w:lang w:val="en-GB"/>
              </w:rPr>
              <w:t>1 (&lt;1)</w:t>
            </w:r>
          </w:p>
        </w:tc>
        <w:tc>
          <w:tcPr>
            <w:tcW w:w="579" w:type="pct"/>
            <w:tcBorders>
              <w:bottom w:val="single" w:sz="4" w:space="0" w:color="auto"/>
            </w:tcBorders>
          </w:tcPr>
          <w:p w14:paraId="1B5C63E9"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579" w:type="pct"/>
            <w:tcBorders>
              <w:bottom w:val="single" w:sz="4" w:space="0" w:color="auto"/>
            </w:tcBorders>
          </w:tcPr>
          <w:p w14:paraId="4271B0D8"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747" w:type="pct"/>
            <w:tcBorders>
              <w:bottom w:val="single" w:sz="4" w:space="0" w:color="auto"/>
            </w:tcBorders>
            <w:shd w:val="clear" w:color="auto" w:fill="auto"/>
            <w:hideMark/>
          </w:tcPr>
          <w:p w14:paraId="1E9A2816" w14:textId="77777777" w:rsidR="000B4520" w:rsidRPr="002D129A" w:rsidRDefault="000B4520" w:rsidP="0088047D">
            <w:pPr>
              <w:jc w:val="center"/>
              <w:rPr>
                <w:rFonts w:ascii="Arial" w:hAnsi="Arial"/>
                <w:sz w:val="20"/>
                <w:lang w:val="en-GB"/>
              </w:rPr>
            </w:pPr>
            <w:r w:rsidRPr="002D129A">
              <w:rPr>
                <w:rFonts w:ascii="Arial" w:hAnsi="Arial"/>
                <w:sz w:val="20"/>
                <w:lang w:val="en-GB"/>
              </w:rPr>
              <w:t>6 (10)</w:t>
            </w:r>
          </w:p>
        </w:tc>
        <w:tc>
          <w:tcPr>
            <w:tcW w:w="579" w:type="pct"/>
            <w:tcBorders>
              <w:bottom w:val="single" w:sz="4" w:space="0" w:color="auto"/>
            </w:tcBorders>
            <w:shd w:val="clear" w:color="auto" w:fill="auto"/>
            <w:hideMark/>
          </w:tcPr>
          <w:p w14:paraId="1B0090C3" w14:textId="77777777" w:rsidR="000B4520" w:rsidRPr="002D129A" w:rsidRDefault="000B4520" w:rsidP="0088047D">
            <w:pPr>
              <w:jc w:val="center"/>
              <w:rPr>
                <w:rFonts w:ascii="Arial" w:hAnsi="Arial"/>
                <w:sz w:val="20"/>
                <w:lang w:val="en-GB"/>
              </w:rPr>
            </w:pPr>
            <w:r w:rsidRPr="002D129A">
              <w:rPr>
                <w:rFonts w:ascii="Arial" w:hAnsi="Arial"/>
                <w:sz w:val="20"/>
                <w:lang w:val="en-GB"/>
              </w:rPr>
              <w:t>2 (3)</w:t>
            </w:r>
          </w:p>
        </w:tc>
        <w:tc>
          <w:tcPr>
            <w:tcW w:w="577" w:type="pct"/>
            <w:tcBorders>
              <w:bottom w:val="single" w:sz="4" w:space="0" w:color="auto"/>
            </w:tcBorders>
            <w:shd w:val="clear" w:color="auto" w:fill="auto"/>
            <w:hideMark/>
          </w:tcPr>
          <w:p w14:paraId="7FBE483A"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r>
    </w:tbl>
    <w:p w14:paraId="032F614C" w14:textId="3F4BDE91" w:rsidR="000B4520" w:rsidRPr="002D129A" w:rsidRDefault="000B4520" w:rsidP="000B4520">
      <w:pPr>
        <w:keepNext/>
        <w:keepLines/>
        <w:spacing w:after="0" w:line="240" w:lineRule="auto"/>
        <w:ind w:left="504"/>
        <w:rPr>
          <w:rFonts w:ascii="Arial" w:hAnsi="Arial"/>
          <w:b/>
          <w:sz w:val="22"/>
        </w:rPr>
      </w:pPr>
      <w:r w:rsidRPr="002D129A">
        <w:rPr>
          <w:rFonts w:ascii="Arial" w:hAnsi="Arial"/>
          <w:b/>
          <w:sz w:val="22"/>
        </w:rPr>
        <w:t xml:space="preserve">Table </w:t>
      </w:r>
      <w:r w:rsidR="00C73E06">
        <w:rPr>
          <w:rFonts w:ascii="Arial" w:hAnsi="Arial"/>
          <w:b/>
          <w:sz w:val="22"/>
        </w:rPr>
        <w:t>5</w:t>
      </w:r>
      <w:r w:rsidRPr="002D129A">
        <w:rPr>
          <w:rFonts w:ascii="Arial" w:hAnsi="Arial"/>
          <w:b/>
          <w:sz w:val="22"/>
        </w:rPr>
        <w:tab/>
        <w:t xml:space="preserve">Incidence of Laboratory </w:t>
      </w:r>
      <w:r>
        <w:rPr>
          <w:rFonts w:ascii="Arial" w:hAnsi="Arial" w:cs="Arial"/>
          <w:b/>
          <w:sz w:val="22"/>
          <w:szCs w:val="22"/>
        </w:rPr>
        <w:t>a</w:t>
      </w:r>
      <w:r w:rsidRPr="00FE5010">
        <w:rPr>
          <w:rFonts w:ascii="Arial" w:hAnsi="Arial" w:cs="Arial"/>
          <w:b/>
          <w:sz w:val="22"/>
          <w:szCs w:val="22"/>
        </w:rPr>
        <w:t xml:space="preserve">bnormalities </w:t>
      </w:r>
      <w:r>
        <w:rPr>
          <w:rFonts w:ascii="Arial" w:hAnsi="Arial" w:cs="Arial"/>
          <w:b/>
          <w:sz w:val="22"/>
          <w:szCs w:val="22"/>
        </w:rPr>
        <w:t>i</w:t>
      </w:r>
      <w:r w:rsidRPr="00FE5010">
        <w:rPr>
          <w:rFonts w:ascii="Arial" w:hAnsi="Arial" w:cs="Arial"/>
          <w:b/>
          <w:sz w:val="22"/>
          <w:szCs w:val="22"/>
        </w:rPr>
        <w:t>ncreased</w:t>
      </w:r>
      <w:r w:rsidRPr="002D129A">
        <w:rPr>
          <w:rFonts w:ascii="Arial" w:hAnsi="Arial"/>
          <w:b/>
          <w:sz w:val="22"/>
        </w:rPr>
        <w:t xml:space="preserve"> from </w:t>
      </w:r>
      <w:r>
        <w:rPr>
          <w:rFonts w:ascii="Arial" w:hAnsi="Arial" w:cs="Arial"/>
          <w:b/>
          <w:sz w:val="22"/>
          <w:szCs w:val="22"/>
        </w:rPr>
        <w:t>b</w:t>
      </w:r>
      <w:r w:rsidRPr="00FE5010">
        <w:rPr>
          <w:rFonts w:ascii="Arial" w:hAnsi="Arial" w:cs="Arial"/>
          <w:b/>
          <w:sz w:val="22"/>
          <w:szCs w:val="22"/>
        </w:rPr>
        <w:t>aseline</w:t>
      </w:r>
      <w:r w:rsidRPr="002D129A">
        <w:rPr>
          <w:rFonts w:ascii="Arial" w:hAnsi="Arial"/>
          <w:b/>
          <w:sz w:val="22"/>
        </w:rPr>
        <w:t xml:space="preserve"> </w:t>
      </w:r>
    </w:p>
    <w:p w14:paraId="4BB45163" w14:textId="77777777" w:rsidR="000B4520" w:rsidRPr="00284C3C" w:rsidRDefault="000B4520" w:rsidP="000B4520">
      <w:pPr>
        <w:keepNext/>
        <w:keepLines/>
        <w:spacing w:after="0" w:line="240" w:lineRule="auto"/>
        <w:ind w:left="504"/>
        <w:rPr>
          <w:rFonts w:ascii="Arial" w:hAnsi="Arial"/>
          <w:b/>
          <w:sz w:val="22"/>
        </w:rPr>
      </w:pPr>
      <w:r w:rsidRPr="002D129A">
        <w:rPr>
          <w:rFonts w:ascii="Arial" w:hAnsi="Arial"/>
          <w:b/>
          <w:sz w:val="22"/>
        </w:rPr>
        <w:tab/>
      </w:r>
      <w:r w:rsidRPr="002D129A">
        <w:rPr>
          <w:rFonts w:ascii="Arial" w:hAnsi="Arial"/>
          <w:b/>
          <w:sz w:val="22"/>
        </w:rPr>
        <w:tab/>
      </w:r>
      <w:proofErr w:type="gramStart"/>
      <w:r>
        <w:rPr>
          <w:rFonts w:ascii="Arial" w:hAnsi="Arial" w:cs="Arial"/>
          <w:b/>
          <w:sz w:val="22"/>
          <w:szCs w:val="22"/>
        </w:rPr>
        <w:t>o</w:t>
      </w:r>
      <w:r w:rsidRPr="00FE5010">
        <w:rPr>
          <w:rFonts w:ascii="Arial" w:hAnsi="Arial" w:cs="Arial"/>
          <w:b/>
          <w:sz w:val="22"/>
          <w:szCs w:val="22"/>
        </w:rPr>
        <w:t>ccurring</w:t>
      </w:r>
      <w:proofErr w:type="gramEnd"/>
      <w:r w:rsidRPr="00284C3C">
        <w:rPr>
          <w:rFonts w:ascii="Arial" w:hAnsi="Arial"/>
          <w:b/>
          <w:sz w:val="22"/>
        </w:rPr>
        <w:t xml:space="preserve"> at a </w:t>
      </w:r>
      <w:r>
        <w:rPr>
          <w:rFonts w:ascii="Arial" w:hAnsi="Arial" w:cs="Arial"/>
          <w:b/>
          <w:sz w:val="22"/>
          <w:szCs w:val="22"/>
        </w:rPr>
        <w:t>higher i</w:t>
      </w:r>
      <w:r w:rsidRPr="00FE5010">
        <w:rPr>
          <w:rFonts w:ascii="Arial" w:hAnsi="Arial" w:cs="Arial"/>
          <w:b/>
          <w:sz w:val="22"/>
          <w:szCs w:val="22"/>
        </w:rPr>
        <w:t>ncidence</w:t>
      </w:r>
      <w:r w:rsidRPr="00284C3C">
        <w:rPr>
          <w:rFonts w:ascii="Arial" w:hAnsi="Arial"/>
          <w:b/>
          <w:sz w:val="22"/>
        </w:rPr>
        <w:t xml:space="preserve"> in </w:t>
      </w:r>
      <w:r>
        <w:rPr>
          <w:rFonts w:ascii="Arial" w:hAnsi="Arial" w:cs="Arial"/>
          <w:b/>
          <w:sz w:val="22"/>
          <w:szCs w:val="22"/>
        </w:rPr>
        <w:t>p</w:t>
      </w:r>
      <w:r w:rsidRPr="00FE5010">
        <w:rPr>
          <w:rFonts w:ascii="Arial" w:hAnsi="Arial" w:cs="Arial"/>
          <w:b/>
          <w:sz w:val="22"/>
          <w:szCs w:val="22"/>
        </w:rPr>
        <w:t xml:space="preserve">atients </w:t>
      </w:r>
      <w:r>
        <w:rPr>
          <w:rFonts w:ascii="Arial" w:hAnsi="Arial" w:cs="Arial"/>
          <w:b/>
          <w:sz w:val="22"/>
          <w:szCs w:val="22"/>
        </w:rPr>
        <w:t>t</w:t>
      </w:r>
      <w:r w:rsidRPr="00FE5010">
        <w:rPr>
          <w:rFonts w:ascii="Arial" w:hAnsi="Arial" w:cs="Arial"/>
          <w:b/>
          <w:sz w:val="22"/>
          <w:szCs w:val="22"/>
        </w:rPr>
        <w:t>reated</w:t>
      </w:r>
      <w:r w:rsidRPr="00284C3C">
        <w:rPr>
          <w:rFonts w:ascii="Arial" w:hAnsi="Arial"/>
          <w:b/>
          <w:sz w:val="22"/>
        </w:rPr>
        <w:t xml:space="preserve"> with </w:t>
      </w:r>
      <w:r w:rsidRPr="00FE5010">
        <w:rPr>
          <w:rFonts w:ascii="Arial" w:hAnsi="Arial" w:cs="Arial"/>
          <w:b/>
          <w:sz w:val="22"/>
          <w:szCs w:val="22"/>
        </w:rPr>
        <w:t>TAFINLAR</w:t>
      </w:r>
      <w:r w:rsidRPr="00284C3C">
        <w:rPr>
          <w:rFonts w:ascii="Arial" w:hAnsi="Arial"/>
          <w:b/>
          <w:sz w:val="22"/>
        </w:rPr>
        <w:t xml:space="preserve"> in</w:t>
      </w:r>
    </w:p>
    <w:p w14:paraId="5FA32652" w14:textId="77777777" w:rsidR="000B4520" w:rsidRPr="002D129A" w:rsidRDefault="000B4520" w:rsidP="000B4520">
      <w:pPr>
        <w:keepNext/>
        <w:keepLines/>
        <w:spacing w:after="0" w:line="240" w:lineRule="auto"/>
        <w:ind w:left="504"/>
        <w:rPr>
          <w:rFonts w:ascii="Arial" w:hAnsi="Arial"/>
          <w:b/>
          <w:sz w:val="22"/>
        </w:rPr>
      </w:pPr>
      <w:r w:rsidRPr="00284C3C">
        <w:rPr>
          <w:rFonts w:ascii="Arial" w:hAnsi="Arial"/>
          <w:b/>
          <w:sz w:val="22"/>
        </w:rPr>
        <w:tab/>
      </w:r>
      <w:r w:rsidRPr="00284C3C">
        <w:rPr>
          <w:rFonts w:ascii="Arial" w:hAnsi="Arial"/>
          <w:b/>
          <w:sz w:val="22"/>
        </w:rPr>
        <w:tab/>
        <w:t xml:space="preserve">BRF113683 [Between </w:t>
      </w:r>
      <w:r>
        <w:rPr>
          <w:rFonts w:ascii="Arial" w:hAnsi="Arial" w:cs="Arial"/>
          <w:b/>
          <w:sz w:val="22"/>
          <w:szCs w:val="22"/>
        </w:rPr>
        <w:t>arm d</w:t>
      </w:r>
      <w:r w:rsidRPr="00FE5010">
        <w:rPr>
          <w:rFonts w:ascii="Arial" w:hAnsi="Arial" w:cs="Arial"/>
          <w:b/>
          <w:sz w:val="22"/>
          <w:szCs w:val="22"/>
        </w:rPr>
        <w:t>ifference</w:t>
      </w:r>
      <w:r w:rsidRPr="002D129A">
        <w:rPr>
          <w:rFonts w:ascii="Arial" w:hAnsi="Arial"/>
          <w:b/>
          <w:sz w:val="22"/>
        </w:rPr>
        <w:t xml:space="preserve"> of ≥ 5 % (</w:t>
      </w:r>
      <w:r>
        <w:rPr>
          <w:rFonts w:ascii="Arial" w:hAnsi="Arial" w:cs="Arial"/>
          <w:b/>
          <w:sz w:val="22"/>
          <w:szCs w:val="22"/>
        </w:rPr>
        <w:t>a</w:t>
      </w:r>
      <w:r w:rsidRPr="00FE5010">
        <w:rPr>
          <w:rFonts w:ascii="Arial" w:hAnsi="Arial" w:cs="Arial"/>
          <w:b/>
          <w:sz w:val="22"/>
          <w:szCs w:val="22"/>
        </w:rPr>
        <w:t>ll</w:t>
      </w:r>
      <w:r w:rsidRPr="002D129A">
        <w:rPr>
          <w:rFonts w:ascii="Arial" w:hAnsi="Arial"/>
          <w:b/>
          <w:sz w:val="22"/>
        </w:rPr>
        <w:t xml:space="preserve"> Grades) or ≥ 2 % </w:t>
      </w:r>
    </w:p>
    <w:p w14:paraId="11020317" w14:textId="77777777" w:rsidR="000B4520" w:rsidRPr="002D129A" w:rsidRDefault="000B4520" w:rsidP="000B4520">
      <w:pPr>
        <w:keepNext/>
        <w:keepLines/>
        <w:spacing w:line="240" w:lineRule="auto"/>
        <w:ind w:left="504"/>
        <w:rPr>
          <w:rFonts w:ascii="Arial" w:hAnsi="Arial"/>
          <w:b/>
          <w:sz w:val="22"/>
        </w:rPr>
      </w:pPr>
      <w:r w:rsidRPr="002D129A">
        <w:rPr>
          <w:rFonts w:ascii="Arial" w:hAnsi="Arial"/>
          <w:b/>
          <w:sz w:val="22"/>
        </w:rPr>
        <w:tab/>
      </w:r>
      <w:r w:rsidRPr="002D129A">
        <w:rPr>
          <w:rFonts w:ascii="Arial" w:hAnsi="Arial"/>
          <w:b/>
          <w:sz w:val="22"/>
        </w:rPr>
        <w:tab/>
        <w:t>(Grades 3 or 4)]</w:t>
      </w:r>
    </w:p>
    <w:tbl>
      <w:tblPr>
        <w:tblW w:w="7288"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318"/>
        <w:gridCol w:w="1367"/>
        <w:gridCol w:w="1276"/>
        <w:gridCol w:w="1276"/>
      </w:tblGrid>
      <w:tr w:rsidR="000B4520" w14:paraId="70265F1D" w14:textId="77777777" w:rsidTr="001550EB">
        <w:trPr>
          <w:trHeight w:hRule="exact" w:val="284"/>
          <w:tblHeader/>
        </w:trPr>
        <w:tc>
          <w:tcPr>
            <w:tcW w:w="2051" w:type="dxa"/>
          </w:tcPr>
          <w:p w14:paraId="153D4108" w14:textId="77777777" w:rsidR="000B4520" w:rsidRPr="002D129A" w:rsidRDefault="000B4520" w:rsidP="0088047D">
            <w:pPr>
              <w:rPr>
                <w:rFonts w:ascii="Arial" w:hAnsi="Arial"/>
                <w:b/>
                <w:sz w:val="20"/>
                <w:lang w:val="en-GB"/>
              </w:rPr>
            </w:pPr>
          </w:p>
        </w:tc>
        <w:tc>
          <w:tcPr>
            <w:tcW w:w="2685" w:type="dxa"/>
            <w:gridSpan w:val="2"/>
          </w:tcPr>
          <w:p w14:paraId="69F481CE" w14:textId="77777777" w:rsidR="000B4520" w:rsidRPr="002D129A" w:rsidRDefault="000B4520" w:rsidP="0088047D">
            <w:pPr>
              <w:jc w:val="center"/>
              <w:rPr>
                <w:rFonts w:ascii="Arial" w:hAnsi="Arial"/>
                <w:b/>
                <w:sz w:val="20"/>
                <w:lang w:val="en-GB"/>
              </w:rPr>
            </w:pPr>
            <w:r>
              <w:rPr>
                <w:rFonts w:ascii="Arial" w:hAnsi="Arial" w:cs="Arial"/>
                <w:b/>
                <w:sz w:val="20"/>
                <w:szCs w:val="20"/>
                <w:lang w:val="en-GB" w:eastAsia="en-GB"/>
              </w:rPr>
              <w:t>TAFINLAR</w:t>
            </w:r>
            <w:r w:rsidRPr="002D129A">
              <w:rPr>
                <w:rFonts w:ascii="Arial" w:hAnsi="Arial"/>
                <w:b/>
                <w:sz w:val="20"/>
                <w:lang w:val="en-GB"/>
              </w:rPr>
              <w:t xml:space="preserve"> (n=187)</w:t>
            </w:r>
          </w:p>
        </w:tc>
        <w:tc>
          <w:tcPr>
            <w:tcW w:w="2552" w:type="dxa"/>
            <w:gridSpan w:val="2"/>
          </w:tcPr>
          <w:p w14:paraId="6424BAFD" w14:textId="77777777" w:rsidR="000B4520" w:rsidRPr="002D129A" w:rsidRDefault="000B4520" w:rsidP="0088047D">
            <w:pPr>
              <w:jc w:val="center"/>
              <w:rPr>
                <w:rFonts w:ascii="Arial" w:hAnsi="Arial"/>
                <w:b/>
                <w:sz w:val="20"/>
              </w:rPr>
            </w:pPr>
            <w:proofErr w:type="spellStart"/>
            <w:r w:rsidRPr="002D129A">
              <w:rPr>
                <w:rFonts w:ascii="Arial" w:hAnsi="Arial"/>
                <w:b/>
                <w:sz w:val="20"/>
              </w:rPr>
              <w:t>dacarbazine</w:t>
            </w:r>
            <w:proofErr w:type="spellEnd"/>
            <w:r w:rsidRPr="002D129A">
              <w:rPr>
                <w:rFonts w:ascii="Arial" w:hAnsi="Arial"/>
                <w:b/>
                <w:sz w:val="20"/>
              </w:rPr>
              <w:t xml:space="preserve"> (n=59)</w:t>
            </w:r>
          </w:p>
        </w:tc>
      </w:tr>
      <w:tr w:rsidR="000B4520" w14:paraId="71C012AB" w14:textId="77777777" w:rsidTr="001550EB">
        <w:trPr>
          <w:trHeight w:hRule="exact" w:val="284"/>
          <w:tblHeader/>
        </w:trPr>
        <w:tc>
          <w:tcPr>
            <w:tcW w:w="2051" w:type="dxa"/>
          </w:tcPr>
          <w:p w14:paraId="0B1BC842" w14:textId="77777777" w:rsidR="000B4520" w:rsidRPr="00284C3C" w:rsidRDefault="000B4520" w:rsidP="0088047D">
            <w:pPr>
              <w:rPr>
                <w:rFonts w:ascii="Arial" w:hAnsi="Arial"/>
                <w:b/>
                <w:sz w:val="20"/>
                <w:lang w:val="en-GB"/>
              </w:rPr>
            </w:pPr>
          </w:p>
        </w:tc>
        <w:tc>
          <w:tcPr>
            <w:tcW w:w="1318" w:type="dxa"/>
          </w:tcPr>
          <w:p w14:paraId="43DE5508" w14:textId="77777777" w:rsidR="000B4520" w:rsidRPr="00284C3C" w:rsidRDefault="000B4520" w:rsidP="0088047D">
            <w:pPr>
              <w:jc w:val="center"/>
              <w:rPr>
                <w:rFonts w:ascii="Arial" w:hAnsi="Arial"/>
                <w:b/>
                <w:sz w:val="20"/>
                <w:lang w:val="en-GB"/>
              </w:rPr>
            </w:pPr>
            <w:r w:rsidRPr="00284C3C">
              <w:rPr>
                <w:rFonts w:ascii="Arial" w:hAnsi="Arial"/>
                <w:b/>
                <w:sz w:val="20"/>
                <w:lang w:val="en-GB"/>
              </w:rPr>
              <w:t>All Grades (%)</w:t>
            </w:r>
          </w:p>
        </w:tc>
        <w:tc>
          <w:tcPr>
            <w:tcW w:w="1367" w:type="dxa"/>
          </w:tcPr>
          <w:p w14:paraId="4370F191" w14:textId="77777777" w:rsidR="000B4520" w:rsidRPr="00284C3C" w:rsidRDefault="000B4520" w:rsidP="0088047D">
            <w:pPr>
              <w:jc w:val="center"/>
              <w:rPr>
                <w:rFonts w:ascii="Arial" w:hAnsi="Arial"/>
                <w:b/>
                <w:sz w:val="20"/>
                <w:lang w:val="en-GB"/>
              </w:rPr>
            </w:pPr>
            <w:r w:rsidRPr="00284C3C">
              <w:rPr>
                <w:rFonts w:ascii="Arial" w:hAnsi="Arial"/>
                <w:b/>
                <w:sz w:val="20"/>
                <w:lang w:val="en-GB"/>
              </w:rPr>
              <w:t>Grades 3 and 4 (%)</w:t>
            </w:r>
          </w:p>
        </w:tc>
        <w:tc>
          <w:tcPr>
            <w:tcW w:w="1276" w:type="dxa"/>
          </w:tcPr>
          <w:p w14:paraId="5EF02376" w14:textId="77777777" w:rsidR="000B4520" w:rsidRPr="00284C3C" w:rsidRDefault="000B4520" w:rsidP="0088047D">
            <w:pPr>
              <w:jc w:val="center"/>
              <w:rPr>
                <w:rFonts w:ascii="Arial" w:hAnsi="Arial"/>
                <w:b/>
                <w:sz w:val="20"/>
                <w:lang w:val="en-GB"/>
              </w:rPr>
            </w:pPr>
            <w:r w:rsidRPr="00284C3C">
              <w:rPr>
                <w:rFonts w:ascii="Arial" w:hAnsi="Arial"/>
                <w:b/>
                <w:sz w:val="20"/>
                <w:lang w:val="en-GB"/>
              </w:rPr>
              <w:t>All Grades (%)</w:t>
            </w:r>
          </w:p>
        </w:tc>
        <w:tc>
          <w:tcPr>
            <w:tcW w:w="1276" w:type="dxa"/>
          </w:tcPr>
          <w:p w14:paraId="3D8D5343" w14:textId="77777777" w:rsidR="000B4520" w:rsidRPr="00284C3C" w:rsidRDefault="000B4520" w:rsidP="0088047D">
            <w:pPr>
              <w:jc w:val="center"/>
              <w:rPr>
                <w:rFonts w:ascii="Arial" w:hAnsi="Arial"/>
                <w:b/>
                <w:sz w:val="20"/>
                <w:lang w:val="en-GB"/>
              </w:rPr>
            </w:pPr>
            <w:r w:rsidRPr="00284C3C">
              <w:rPr>
                <w:rFonts w:ascii="Arial" w:hAnsi="Arial"/>
                <w:b/>
                <w:sz w:val="20"/>
                <w:lang w:val="en-GB"/>
              </w:rPr>
              <w:t>Grades 3 and 4 (%)</w:t>
            </w:r>
          </w:p>
        </w:tc>
      </w:tr>
      <w:tr w:rsidR="000B4520" w14:paraId="6C388E20" w14:textId="77777777" w:rsidTr="001550EB">
        <w:trPr>
          <w:trHeight w:hRule="exact" w:val="284"/>
        </w:trPr>
        <w:tc>
          <w:tcPr>
            <w:tcW w:w="2051" w:type="dxa"/>
          </w:tcPr>
          <w:p w14:paraId="70992873" w14:textId="77777777" w:rsidR="000B4520" w:rsidRPr="00284C3C" w:rsidRDefault="000B4520" w:rsidP="0088047D">
            <w:pPr>
              <w:rPr>
                <w:rFonts w:ascii="Arial" w:hAnsi="Arial"/>
                <w:sz w:val="20"/>
                <w:lang w:val="en-GB"/>
              </w:rPr>
            </w:pPr>
            <w:proofErr w:type="spellStart"/>
            <w:r w:rsidRPr="00284C3C">
              <w:rPr>
                <w:rFonts w:ascii="Arial" w:hAnsi="Arial"/>
                <w:sz w:val="20"/>
                <w:lang w:val="en-GB"/>
              </w:rPr>
              <w:t>Hyperglycemia</w:t>
            </w:r>
            <w:proofErr w:type="spellEnd"/>
          </w:p>
        </w:tc>
        <w:tc>
          <w:tcPr>
            <w:tcW w:w="1318" w:type="dxa"/>
          </w:tcPr>
          <w:p w14:paraId="3EB1A735" w14:textId="77777777" w:rsidR="000B4520" w:rsidRPr="00284C3C" w:rsidRDefault="000B4520" w:rsidP="0088047D">
            <w:pPr>
              <w:jc w:val="center"/>
              <w:rPr>
                <w:rFonts w:ascii="Arial" w:hAnsi="Arial"/>
                <w:sz w:val="20"/>
                <w:lang w:val="en-GB"/>
              </w:rPr>
            </w:pPr>
            <w:r w:rsidRPr="00284C3C">
              <w:rPr>
                <w:rFonts w:ascii="Arial" w:hAnsi="Arial"/>
                <w:sz w:val="20"/>
                <w:lang w:val="en-GB"/>
              </w:rPr>
              <w:t>50</w:t>
            </w:r>
          </w:p>
        </w:tc>
        <w:tc>
          <w:tcPr>
            <w:tcW w:w="1367" w:type="dxa"/>
          </w:tcPr>
          <w:p w14:paraId="40687797" w14:textId="77777777" w:rsidR="000B4520" w:rsidRPr="00284C3C" w:rsidRDefault="000B4520" w:rsidP="0088047D">
            <w:pPr>
              <w:jc w:val="center"/>
              <w:rPr>
                <w:rFonts w:ascii="Arial" w:hAnsi="Arial"/>
                <w:sz w:val="20"/>
                <w:lang w:val="en-GB"/>
              </w:rPr>
            </w:pPr>
            <w:r w:rsidRPr="00284C3C">
              <w:rPr>
                <w:rFonts w:ascii="Arial" w:hAnsi="Arial"/>
                <w:sz w:val="20"/>
                <w:lang w:val="en-GB"/>
              </w:rPr>
              <w:t>6</w:t>
            </w:r>
          </w:p>
        </w:tc>
        <w:tc>
          <w:tcPr>
            <w:tcW w:w="1276" w:type="dxa"/>
          </w:tcPr>
          <w:p w14:paraId="02C0C5CF" w14:textId="77777777" w:rsidR="000B4520" w:rsidRPr="00284C3C" w:rsidRDefault="000B4520" w:rsidP="0088047D">
            <w:pPr>
              <w:jc w:val="center"/>
              <w:rPr>
                <w:rFonts w:ascii="Arial" w:hAnsi="Arial"/>
                <w:sz w:val="20"/>
                <w:lang w:val="en-GB"/>
              </w:rPr>
            </w:pPr>
            <w:r w:rsidRPr="00284C3C">
              <w:rPr>
                <w:rFonts w:ascii="Arial" w:hAnsi="Arial"/>
                <w:sz w:val="20"/>
                <w:lang w:val="en-GB"/>
              </w:rPr>
              <w:t>43</w:t>
            </w:r>
          </w:p>
        </w:tc>
        <w:tc>
          <w:tcPr>
            <w:tcW w:w="1276" w:type="dxa"/>
          </w:tcPr>
          <w:p w14:paraId="38714388" w14:textId="77777777" w:rsidR="000B4520" w:rsidRPr="002D129A" w:rsidRDefault="000B4520" w:rsidP="0088047D">
            <w:pPr>
              <w:jc w:val="center"/>
              <w:rPr>
                <w:rFonts w:ascii="Arial" w:hAnsi="Arial"/>
                <w:sz w:val="20"/>
              </w:rPr>
            </w:pPr>
            <w:r w:rsidRPr="002D129A">
              <w:rPr>
                <w:rFonts w:ascii="Arial" w:hAnsi="Arial"/>
                <w:sz w:val="20"/>
              </w:rPr>
              <w:t>0</w:t>
            </w:r>
          </w:p>
        </w:tc>
      </w:tr>
      <w:tr w:rsidR="000B4520" w14:paraId="515622EB" w14:textId="77777777" w:rsidTr="001550EB">
        <w:trPr>
          <w:trHeight w:hRule="exact" w:val="284"/>
        </w:trPr>
        <w:tc>
          <w:tcPr>
            <w:tcW w:w="2051" w:type="dxa"/>
          </w:tcPr>
          <w:p w14:paraId="50B14AAC" w14:textId="77777777" w:rsidR="000B4520" w:rsidRPr="00284C3C" w:rsidRDefault="000B4520" w:rsidP="0088047D">
            <w:pPr>
              <w:rPr>
                <w:rFonts w:ascii="Arial" w:hAnsi="Arial"/>
                <w:b/>
                <w:sz w:val="20"/>
                <w:lang w:val="en-GB"/>
              </w:rPr>
            </w:pPr>
            <w:r w:rsidRPr="00284C3C">
              <w:rPr>
                <w:rFonts w:ascii="Arial" w:hAnsi="Arial"/>
                <w:sz w:val="20"/>
                <w:lang w:val="en-GB"/>
              </w:rPr>
              <w:t>Hypophosphatemia</w:t>
            </w:r>
          </w:p>
        </w:tc>
        <w:tc>
          <w:tcPr>
            <w:tcW w:w="1318" w:type="dxa"/>
          </w:tcPr>
          <w:p w14:paraId="3C8A9BCD" w14:textId="77777777" w:rsidR="000B4520" w:rsidRPr="00284C3C" w:rsidRDefault="000B4520" w:rsidP="0088047D">
            <w:pPr>
              <w:jc w:val="center"/>
              <w:rPr>
                <w:rFonts w:ascii="Arial" w:hAnsi="Arial"/>
                <w:sz w:val="20"/>
                <w:lang w:val="en-GB"/>
              </w:rPr>
            </w:pPr>
            <w:r w:rsidRPr="00284C3C">
              <w:rPr>
                <w:rFonts w:ascii="Arial" w:hAnsi="Arial"/>
                <w:sz w:val="20"/>
                <w:lang w:val="en-GB"/>
              </w:rPr>
              <w:t>37</w:t>
            </w:r>
          </w:p>
        </w:tc>
        <w:tc>
          <w:tcPr>
            <w:tcW w:w="1367" w:type="dxa"/>
          </w:tcPr>
          <w:p w14:paraId="2C87CFDB" w14:textId="77777777" w:rsidR="000B4520" w:rsidRPr="00284C3C" w:rsidRDefault="000B4520" w:rsidP="0088047D">
            <w:pPr>
              <w:jc w:val="center"/>
              <w:rPr>
                <w:rFonts w:ascii="Arial" w:hAnsi="Arial"/>
                <w:sz w:val="20"/>
                <w:lang w:val="en-GB"/>
              </w:rPr>
            </w:pPr>
            <w:r w:rsidRPr="00284C3C">
              <w:rPr>
                <w:rFonts w:ascii="Arial" w:hAnsi="Arial"/>
                <w:sz w:val="20"/>
                <w:lang w:val="en-GB"/>
              </w:rPr>
              <w:t>6*</w:t>
            </w:r>
          </w:p>
        </w:tc>
        <w:tc>
          <w:tcPr>
            <w:tcW w:w="1276" w:type="dxa"/>
          </w:tcPr>
          <w:p w14:paraId="713DC9DD" w14:textId="77777777" w:rsidR="000B4520" w:rsidRPr="00284C3C" w:rsidRDefault="000B4520" w:rsidP="0088047D">
            <w:pPr>
              <w:jc w:val="center"/>
              <w:rPr>
                <w:rFonts w:ascii="Arial" w:hAnsi="Arial"/>
                <w:sz w:val="20"/>
                <w:lang w:val="en-GB"/>
              </w:rPr>
            </w:pPr>
            <w:r w:rsidRPr="00284C3C">
              <w:rPr>
                <w:rFonts w:ascii="Arial" w:hAnsi="Arial"/>
                <w:sz w:val="20"/>
                <w:lang w:val="en-GB"/>
              </w:rPr>
              <w:t>14</w:t>
            </w:r>
          </w:p>
        </w:tc>
        <w:tc>
          <w:tcPr>
            <w:tcW w:w="1276" w:type="dxa"/>
          </w:tcPr>
          <w:p w14:paraId="6A762429" w14:textId="77777777" w:rsidR="000B4520" w:rsidRPr="00284C3C" w:rsidRDefault="000B4520" w:rsidP="0088047D">
            <w:pPr>
              <w:jc w:val="center"/>
              <w:rPr>
                <w:rFonts w:ascii="Arial" w:hAnsi="Arial"/>
                <w:sz w:val="20"/>
              </w:rPr>
            </w:pPr>
            <w:r w:rsidRPr="00284C3C">
              <w:rPr>
                <w:rFonts w:ascii="Arial" w:hAnsi="Arial"/>
                <w:sz w:val="20"/>
              </w:rPr>
              <w:t>2</w:t>
            </w:r>
          </w:p>
        </w:tc>
      </w:tr>
      <w:tr w:rsidR="000B4520" w14:paraId="6EEEC9CA" w14:textId="77777777" w:rsidTr="001550EB">
        <w:trPr>
          <w:trHeight w:hRule="exact" w:val="284"/>
        </w:trPr>
        <w:tc>
          <w:tcPr>
            <w:tcW w:w="2051" w:type="dxa"/>
          </w:tcPr>
          <w:p w14:paraId="70866C08" w14:textId="77777777" w:rsidR="000B4520" w:rsidRPr="00B13DFC" w:rsidRDefault="000B4520" w:rsidP="0088047D">
            <w:pPr>
              <w:rPr>
                <w:rFonts w:ascii="Arial" w:hAnsi="Arial" w:cs="Arial"/>
                <w:sz w:val="20"/>
                <w:szCs w:val="20"/>
                <w:lang w:val="en-GB"/>
              </w:rPr>
            </w:pPr>
            <w:r w:rsidRPr="00B13DFC">
              <w:rPr>
                <w:rFonts w:ascii="Arial" w:hAnsi="Arial" w:cs="Arial"/>
                <w:sz w:val="20"/>
                <w:szCs w:val="20"/>
                <w:lang w:val="en-GB"/>
              </w:rPr>
              <w:t>Increased Alkaline</w:t>
            </w:r>
          </w:p>
          <w:p w14:paraId="6FEB66DD" w14:textId="77777777" w:rsidR="000B4520" w:rsidRPr="002D129A" w:rsidRDefault="000B4520" w:rsidP="0088047D">
            <w:pPr>
              <w:rPr>
                <w:rFonts w:ascii="Arial" w:hAnsi="Arial"/>
                <w:b/>
                <w:sz w:val="20"/>
                <w:lang w:val="en-GB"/>
              </w:rPr>
            </w:pPr>
            <w:r w:rsidRPr="002D129A">
              <w:rPr>
                <w:rFonts w:ascii="Arial" w:hAnsi="Arial"/>
                <w:sz w:val="20"/>
                <w:lang w:val="en-GB"/>
              </w:rPr>
              <w:t>phosphatase</w:t>
            </w:r>
          </w:p>
        </w:tc>
        <w:tc>
          <w:tcPr>
            <w:tcW w:w="1318" w:type="dxa"/>
          </w:tcPr>
          <w:p w14:paraId="34D62525" w14:textId="77777777" w:rsidR="000B4520" w:rsidRPr="002D129A" w:rsidRDefault="000B4520" w:rsidP="0088047D">
            <w:pPr>
              <w:jc w:val="center"/>
              <w:rPr>
                <w:rFonts w:ascii="Arial" w:hAnsi="Arial"/>
                <w:sz w:val="20"/>
                <w:lang w:val="en-GB"/>
              </w:rPr>
            </w:pPr>
            <w:r w:rsidRPr="002D129A">
              <w:rPr>
                <w:rFonts w:ascii="Arial" w:hAnsi="Arial"/>
                <w:sz w:val="20"/>
                <w:lang w:val="en-GB"/>
              </w:rPr>
              <w:t>19</w:t>
            </w:r>
          </w:p>
        </w:tc>
        <w:tc>
          <w:tcPr>
            <w:tcW w:w="1367" w:type="dxa"/>
          </w:tcPr>
          <w:p w14:paraId="165BD5D5" w14:textId="77777777" w:rsidR="000B4520" w:rsidRPr="002D129A" w:rsidRDefault="000B4520" w:rsidP="0088047D">
            <w:pPr>
              <w:jc w:val="center"/>
              <w:rPr>
                <w:rFonts w:ascii="Arial" w:hAnsi="Arial"/>
                <w:sz w:val="20"/>
                <w:lang w:val="en-GB"/>
              </w:rPr>
            </w:pPr>
            <w:r w:rsidRPr="002D129A">
              <w:rPr>
                <w:rFonts w:ascii="Arial" w:hAnsi="Arial"/>
                <w:sz w:val="20"/>
                <w:lang w:val="en-GB"/>
              </w:rPr>
              <w:t>0</w:t>
            </w:r>
          </w:p>
        </w:tc>
        <w:tc>
          <w:tcPr>
            <w:tcW w:w="1276" w:type="dxa"/>
          </w:tcPr>
          <w:p w14:paraId="5C271A9A" w14:textId="77777777" w:rsidR="000B4520" w:rsidRPr="002D129A" w:rsidRDefault="000B4520" w:rsidP="0088047D">
            <w:pPr>
              <w:jc w:val="center"/>
              <w:rPr>
                <w:rFonts w:ascii="Arial" w:hAnsi="Arial"/>
                <w:sz w:val="20"/>
                <w:lang w:val="en-GB"/>
              </w:rPr>
            </w:pPr>
            <w:r w:rsidRPr="002D129A">
              <w:rPr>
                <w:rFonts w:ascii="Arial" w:hAnsi="Arial"/>
                <w:sz w:val="20"/>
                <w:lang w:val="en-GB"/>
              </w:rPr>
              <w:t>14</w:t>
            </w:r>
          </w:p>
        </w:tc>
        <w:tc>
          <w:tcPr>
            <w:tcW w:w="1276" w:type="dxa"/>
          </w:tcPr>
          <w:p w14:paraId="6334780F" w14:textId="77777777" w:rsidR="000B4520" w:rsidRPr="00284C3C" w:rsidRDefault="000B4520" w:rsidP="0088047D">
            <w:pPr>
              <w:jc w:val="center"/>
              <w:rPr>
                <w:rFonts w:ascii="Arial" w:hAnsi="Arial"/>
                <w:sz w:val="20"/>
              </w:rPr>
            </w:pPr>
            <w:r w:rsidRPr="00284C3C">
              <w:rPr>
                <w:rFonts w:ascii="Arial" w:hAnsi="Arial"/>
                <w:sz w:val="20"/>
              </w:rPr>
              <w:t>2</w:t>
            </w:r>
          </w:p>
        </w:tc>
      </w:tr>
      <w:tr w:rsidR="000B4520" w14:paraId="42C2C259" w14:textId="77777777" w:rsidTr="001550EB">
        <w:trPr>
          <w:trHeight w:hRule="exact" w:val="284"/>
        </w:trPr>
        <w:tc>
          <w:tcPr>
            <w:tcW w:w="2051" w:type="dxa"/>
          </w:tcPr>
          <w:p w14:paraId="59C02B44" w14:textId="77777777" w:rsidR="000B4520" w:rsidRPr="002D129A" w:rsidRDefault="000B4520" w:rsidP="0088047D">
            <w:pPr>
              <w:rPr>
                <w:rFonts w:ascii="Arial" w:hAnsi="Arial"/>
                <w:b/>
                <w:sz w:val="20"/>
                <w:lang w:val="en-GB"/>
              </w:rPr>
            </w:pPr>
            <w:r w:rsidRPr="002D129A">
              <w:rPr>
                <w:rFonts w:ascii="Arial" w:hAnsi="Arial"/>
                <w:sz w:val="20"/>
                <w:lang w:val="en-GB"/>
              </w:rPr>
              <w:t>Hyponatremia</w:t>
            </w:r>
          </w:p>
        </w:tc>
        <w:tc>
          <w:tcPr>
            <w:tcW w:w="1318" w:type="dxa"/>
          </w:tcPr>
          <w:p w14:paraId="3C48A44C" w14:textId="77777777" w:rsidR="000B4520" w:rsidRPr="002D129A" w:rsidRDefault="000B4520" w:rsidP="0088047D">
            <w:pPr>
              <w:jc w:val="center"/>
              <w:rPr>
                <w:rFonts w:ascii="Arial" w:hAnsi="Arial"/>
                <w:sz w:val="20"/>
                <w:lang w:val="en-GB"/>
              </w:rPr>
            </w:pPr>
            <w:r w:rsidRPr="002D129A">
              <w:rPr>
                <w:rFonts w:ascii="Arial" w:hAnsi="Arial"/>
                <w:sz w:val="20"/>
                <w:lang w:val="en-GB"/>
              </w:rPr>
              <w:t>8</w:t>
            </w:r>
          </w:p>
        </w:tc>
        <w:tc>
          <w:tcPr>
            <w:tcW w:w="1367" w:type="dxa"/>
          </w:tcPr>
          <w:p w14:paraId="49D3D438" w14:textId="77777777" w:rsidR="000B4520" w:rsidRPr="002D129A" w:rsidRDefault="000B4520" w:rsidP="0088047D">
            <w:pPr>
              <w:jc w:val="center"/>
              <w:rPr>
                <w:rFonts w:ascii="Arial" w:hAnsi="Arial"/>
                <w:sz w:val="20"/>
                <w:lang w:val="en-GB"/>
              </w:rPr>
            </w:pPr>
            <w:r w:rsidRPr="002D129A">
              <w:rPr>
                <w:rFonts w:ascii="Arial" w:hAnsi="Arial"/>
                <w:sz w:val="20"/>
                <w:lang w:val="en-GB"/>
              </w:rPr>
              <w:t>2</w:t>
            </w:r>
          </w:p>
        </w:tc>
        <w:tc>
          <w:tcPr>
            <w:tcW w:w="1276" w:type="dxa"/>
          </w:tcPr>
          <w:p w14:paraId="5E8155AA" w14:textId="77777777" w:rsidR="000B4520" w:rsidRPr="002D129A" w:rsidRDefault="000B4520" w:rsidP="0088047D">
            <w:pPr>
              <w:jc w:val="center"/>
              <w:rPr>
                <w:rFonts w:ascii="Arial" w:hAnsi="Arial"/>
                <w:sz w:val="20"/>
                <w:lang w:val="en-GB"/>
              </w:rPr>
            </w:pPr>
            <w:r w:rsidRPr="002D129A">
              <w:rPr>
                <w:rFonts w:ascii="Arial" w:hAnsi="Arial"/>
                <w:sz w:val="20"/>
                <w:lang w:val="en-GB"/>
              </w:rPr>
              <w:t>3</w:t>
            </w:r>
          </w:p>
        </w:tc>
        <w:tc>
          <w:tcPr>
            <w:tcW w:w="1276" w:type="dxa"/>
          </w:tcPr>
          <w:p w14:paraId="22C03520" w14:textId="77777777" w:rsidR="000B4520" w:rsidRPr="002D129A" w:rsidRDefault="000B4520" w:rsidP="0088047D">
            <w:pPr>
              <w:jc w:val="center"/>
              <w:rPr>
                <w:rFonts w:ascii="Arial" w:hAnsi="Arial"/>
                <w:sz w:val="20"/>
              </w:rPr>
            </w:pPr>
            <w:r w:rsidRPr="002D129A">
              <w:rPr>
                <w:rFonts w:ascii="Arial" w:hAnsi="Arial"/>
                <w:sz w:val="20"/>
              </w:rPr>
              <w:t>0</w:t>
            </w:r>
          </w:p>
        </w:tc>
      </w:tr>
    </w:tbl>
    <w:p w14:paraId="44A6B33D" w14:textId="77777777" w:rsidR="000B4520" w:rsidRPr="00284C3C" w:rsidRDefault="000B4520" w:rsidP="000B4520">
      <w:pPr>
        <w:ind w:left="504"/>
        <w:rPr>
          <w:rFonts w:ascii="Arial" w:hAnsi="Arial"/>
          <w:sz w:val="18"/>
        </w:rPr>
      </w:pPr>
      <w:r w:rsidRPr="00284C3C">
        <w:rPr>
          <w:rFonts w:ascii="Arial" w:hAnsi="Arial"/>
          <w:sz w:val="18"/>
        </w:rPr>
        <w:t>*Grade 4 laboratory abnormality limited to hypophosphatemia (n=1).</w:t>
      </w:r>
    </w:p>
    <w:p w14:paraId="4A36FC02" w14:textId="77777777" w:rsidR="000B4520" w:rsidRPr="002D129A" w:rsidRDefault="000B4520" w:rsidP="000B4520">
      <w:pPr>
        <w:pStyle w:val="Heading2"/>
        <w:spacing w:after="0" w:line="240" w:lineRule="auto"/>
        <w:ind w:left="504"/>
        <w:rPr>
          <w:b w:val="0"/>
        </w:rPr>
      </w:pPr>
    </w:p>
    <w:p w14:paraId="3A6EB231" w14:textId="77777777" w:rsidR="000B4520" w:rsidRPr="002D129A" w:rsidRDefault="000B4520" w:rsidP="000B4520">
      <w:pPr>
        <w:pStyle w:val="Heading2"/>
        <w:ind w:left="504"/>
        <w:rPr>
          <w:b w:val="0"/>
        </w:rPr>
      </w:pPr>
      <w:r w:rsidRPr="002D129A">
        <w:rPr>
          <w:b w:val="0"/>
        </w:rPr>
        <w:t>Description of selected adverse reactions</w:t>
      </w:r>
    </w:p>
    <w:p w14:paraId="43B6D6FF" w14:textId="77777777" w:rsidR="000B4520" w:rsidRPr="002D129A" w:rsidRDefault="000B4520" w:rsidP="000B4520">
      <w:pPr>
        <w:pStyle w:val="Heading3"/>
        <w:ind w:left="504"/>
        <w:rPr>
          <w:b w:val="0"/>
          <w:i/>
        </w:rPr>
      </w:pPr>
      <w:r w:rsidRPr="002D129A">
        <w:rPr>
          <w:b w:val="0"/>
          <w:i/>
        </w:rPr>
        <w:t>Pyrexia</w:t>
      </w:r>
    </w:p>
    <w:p w14:paraId="5862BC44" w14:textId="0852B257" w:rsidR="000B4520" w:rsidRDefault="000B4520" w:rsidP="000B4520">
      <w:pPr>
        <w:ind w:left="504"/>
      </w:pPr>
      <w:r w:rsidRPr="00F96F90">
        <w:t>Fever has been re</w:t>
      </w:r>
      <w:r>
        <w:t xml:space="preserve">ported in clinical trials </w:t>
      </w:r>
      <w:r w:rsidRPr="00D438AF">
        <w:t xml:space="preserve">with </w:t>
      </w:r>
      <w:r>
        <w:t>TAFINLAR</w:t>
      </w:r>
      <w:r w:rsidRPr="00D438AF">
        <w:t xml:space="preserve"> as monotherapy and in combination with trametinib</w:t>
      </w:r>
      <w:r>
        <w:t xml:space="preserve">. The incidence and severity of pyrexia are increased with the combination therapy. In 1 </w:t>
      </w:r>
      <w:r w:rsidRPr="00F96F90">
        <w:t>% of patients in clinical trials, serious non-infectious febrile events were identified defined as fever accompanied by severe rigors, dehydration, hypotension and/or acute renal insufficiency</w:t>
      </w:r>
      <w:r>
        <w:t xml:space="preserve"> </w:t>
      </w:r>
      <w:r w:rsidRPr="00D438AF">
        <w:t xml:space="preserve">or pre-renal origin in </w:t>
      </w:r>
      <w:r w:rsidR="001C1405">
        <w:t>patient</w:t>
      </w:r>
      <w:r w:rsidRPr="00D438AF">
        <w:t>s with normal baseline renal function</w:t>
      </w:r>
      <w:r w:rsidRPr="00F96F90">
        <w:t xml:space="preserve">. The onset of these serious non-infectious febrile events was typically within the first month of therapy. Patients with serious non-infectious febrile events responded well to dose interruption and/or dose reduction and supportive care (see </w:t>
      </w:r>
      <w:r w:rsidR="001C1405">
        <w:t>section 4.2</w:t>
      </w:r>
      <w:r w:rsidR="00CC7798" w:rsidRPr="00CC7798">
        <w:t xml:space="preserve"> Dose and method of </w:t>
      </w:r>
      <w:r w:rsidR="00E01B03" w:rsidRPr="00CC7798">
        <w:t>administration</w:t>
      </w:r>
      <w:r w:rsidRPr="00F96F90">
        <w:t>).</w:t>
      </w:r>
    </w:p>
    <w:p w14:paraId="5EDD6F6B" w14:textId="77777777" w:rsidR="000B4520" w:rsidRPr="00284C3C" w:rsidRDefault="000B4520" w:rsidP="000B4520">
      <w:pPr>
        <w:pStyle w:val="Heading3"/>
        <w:ind w:left="504"/>
        <w:rPr>
          <w:b w:val="0"/>
          <w:i/>
        </w:rPr>
      </w:pPr>
      <w:r w:rsidRPr="00284C3C">
        <w:rPr>
          <w:b w:val="0"/>
          <w:i/>
        </w:rPr>
        <w:t>Cutaneous squamous cell carcinoma</w:t>
      </w:r>
    </w:p>
    <w:p w14:paraId="7008393B" w14:textId="77777777" w:rsidR="000B4520" w:rsidRDefault="000B4520" w:rsidP="000B4520">
      <w:pPr>
        <w:widowControl w:val="0"/>
        <w:spacing w:after="0"/>
        <w:ind w:left="504"/>
        <w:rPr>
          <w:lang w:val="en-GB"/>
        </w:rPr>
      </w:pPr>
      <w:r w:rsidRPr="00253DD7">
        <w:rPr>
          <w:lang w:val="en-GB"/>
        </w:rPr>
        <w:t>Cutaneous squamous cell carcinomas (including those classified as keratoacanthoma or mixed keratoacanthoma subtype) occurred in 9</w:t>
      </w:r>
      <w:r>
        <w:rPr>
          <w:lang w:val="en-GB"/>
        </w:rPr>
        <w:t xml:space="preserve"> %</w:t>
      </w:r>
      <w:r w:rsidRPr="00253DD7">
        <w:rPr>
          <w:lang w:val="en-GB"/>
        </w:rPr>
        <w:t xml:space="preserve"> (52/578) of patients treated with </w:t>
      </w:r>
      <w:r>
        <w:rPr>
          <w:lang w:val="en-GB"/>
        </w:rPr>
        <w:t xml:space="preserve">TAFINLAR </w:t>
      </w:r>
      <w:r w:rsidRPr="00B605D6">
        <w:rPr>
          <w:lang w:val="en-GB"/>
        </w:rPr>
        <w:t>monotherapy in the integrated safety population and 3</w:t>
      </w:r>
      <w:r>
        <w:rPr>
          <w:lang w:val="en-GB"/>
        </w:rPr>
        <w:t xml:space="preserve"> </w:t>
      </w:r>
      <w:r w:rsidRPr="00B605D6">
        <w:rPr>
          <w:lang w:val="en-GB"/>
        </w:rPr>
        <w:t>%</w:t>
      </w:r>
      <w:r>
        <w:rPr>
          <w:lang w:val="en-GB"/>
        </w:rPr>
        <w:t xml:space="preserve"> </w:t>
      </w:r>
      <w:r w:rsidRPr="00B605D6">
        <w:rPr>
          <w:lang w:val="en-GB"/>
        </w:rPr>
        <w:t xml:space="preserve">of patients treated with TAFINLAR in combination with </w:t>
      </w:r>
      <w:r>
        <w:rPr>
          <w:lang w:val="en-GB"/>
        </w:rPr>
        <w:t>MEKINIST</w:t>
      </w:r>
      <w:r w:rsidRPr="00B605D6">
        <w:rPr>
          <w:lang w:val="en-GB"/>
        </w:rPr>
        <w:t xml:space="preserve"> in MEK115306</w:t>
      </w:r>
      <w:r w:rsidRPr="00253DD7">
        <w:rPr>
          <w:lang w:val="en-GB"/>
        </w:rPr>
        <w:t xml:space="preserve">. </w:t>
      </w:r>
      <w:r w:rsidRPr="00B605D6">
        <w:rPr>
          <w:lang w:val="en-GB"/>
        </w:rPr>
        <w:t xml:space="preserve">With </w:t>
      </w:r>
      <w:r>
        <w:rPr>
          <w:lang w:val="en-GB"/>
        </w:rPr>
        <w:t>TAFINLAR</w:t>
      </w:r>
      <w:r w:rsidRPr="00B605D6">
        <w:rPr>
          <w:lang w:val="en-GB"/>
        </w:rPr>
        <w:t xml:space="preserve"> monotherapy, </w:t>
      </w:r>
      <w:r>
        <w:rPr>
          <w:lang w:val="en-GB"/>
        </w:rPr>
        <w:t>a</w:t>
      </w:r>
      <w:r w:rsidRPr="00253DD7">
        <w:rPr>
          <w:lang w:val="en-GB"/>
        </w:rPr>
        <w:t>pproximately 70</w:t>
      </w:r>
      <w:r>
        <w:rPr>
          <w:lang w:val="en-GB"/>
        </w:rPr>
        <w:t xml:space="preserve"> %</w:t>
      </w:r>
      <w:r w:rsidRPr="00253DD7">
        <w:rPr>
          <w:lang w:val="en-GB"/>
        </w:rPr>
        <w:t xml:space="preserve"> of events occurred within the first 12 weeks of treatment with a median time to onset of 8 weeks. </w:t>
      </w:r>
      <w:r w:rsidRPr="00B605D6">
        <w:rPr>
          <w:lang w:val="en-GB"/>
        </w:rPr>
        <w:t xml:space="preserve">In patients who received the combination dose of </w:t>
      </w:r>
      <w:r>
        <w:rPr>
          <w:lang w:val="en-GB"/>
        </w:rPr>
        <w:t>TAFINLAR</w:t>
      </w:r>
      <w:r w:rsidRPr="00B605D6">
        <w:rPr>
          <w:lang w:val="en-GB"/>
        </w:rPr>
        <w:t xml:space="preserve"> in combination with </w:t>
      </w:r>
      <w:r>
        <w:rPr>
          <w:lang w:val="en-GB"/>
        </w:rPr>
        <w:t>MEKINIST</w:t>
      </w:r>
      <w:r w:rsidRPr="00B605D6">
        <w:rPr>
          <w:lang w:val="en-GB"/>
        </w:rPr>
        <w:t>, events occurred later with</w:t>
      </w:r>
      <w:r>
        <w:rPr>
          <w:lang w:val="en-GB"/>
        </w:rPr>
        <w:t xml:space="preserve"> </w:t>
      </w:r>
      <w:r w:rsidRPr="00B605D6">
        <w:rPr>
          <w:lang w:val="en-GB"/>
        </w:rPr>
        <w:t xml:space="preserve">the median time to onset of 22 weeks. </w:t>
      </w:r>
      <w:r w:rsidRPr="00253DD7">
        <w:rPr>
          <w:lang w:val="en-GB"/>
        </w:rPr>
        <w:t xml:space="preserve">Ninety-six percent of patients </w:t>
      </w:r>
      <w:r w:rsidRPr="00B605D6">
        <w:rPr>
          <w:lang w:val="en-GB"/>
        </w:rPr>
        <w:t xml:space="preserve">on </w:t>
      </w:r>
      <w:r>
        <w:rPr>
          <w:lang w:val="en-GB"/>
        </w:rPr>
        <w:t>TAFINLAR</w:t>
      </w:r>
      <w:r w:rsidRPr="00B605D6">
        <w:rPr>
          <w:lang w:val="en-GB"/>
        </w:rPr>
        <w:t xml:space="preserve"> monotherapy in the integrated</w:t>
      </w:r>
      <w:r>
        <w:rPr>
          <w:lang w:val="en-GB"/>
        </w:rPr>
        <w:t xml:space="preserve"> </w:t>
      </w:r>
      <w:r w:rsidRPr="00B605D6">
        <w:rPr>
          <w:lang w:val="en-GB"/>
        </w:rPr>
        <w:t>safety population and all patients on combination therapy in the Phase III studies</w:t>
      </w:r>
      <w:r w:rsidRPr="00253DD7">
        <w:rPr>
          <w:lang w:val="en-GB"/>
        </w:rPr>
        <w:t xml:space="preserve"> who developed cuSCC continued on treatment without dose modification.</w:t>
      </w:r>
    </w:p>
    <w:p w14:paraId="068872B7" w14:textId="77777777" w:rsidR="000B4520" w:rsidRPr="00284C3C" w:rsidRDefault="000B4520" w:rsidP="000B4520">
      <w:pPr>
        <w:pStyle w:val="Heading3"/>
        <w:spacing w:before="120"/>
        <w:ind w:left="504"/>
        <w:rPr>
          <w:b w:val="0"/>
          <w:i/>
        </w:rPr>
      </w:pPr>
      <w:r w:rsidRPr="00284C3C">
        <w:rPr>
          <w:b w:val="0"/>
          <w:i/>
        </w:rPr>
        <w:t>New primary melanoma</w:t>
      </w:r>
    </w:p>
    <w:p w14:paraId="3BA587B5" w14:textId="67905A0B" w:rsidR="000B4520" w:rsidRDefault="000B4520" w:rsidP="000B4520">
      <w:pPr>
        <w:ind w:left="504"/>
        <w:rPr>
          <w:lang w:val="en-GB"/>
        </w:rPr>
      </w:pPr>
      <w:r w:rsidRPr="00253DD7">
        <w:rPr>
          <w:lang w:val="en-GB"/>
        </w:rPr>
        <w:t xml:space="preserve">New primary melanomas have been reported in clinical trials with </w:t>
      </w:r>
      <w:r>
        <w:rPr>
          <w:lang w:val="en-GB"/>
        </w:rPr>
        <w:t>TAFINLAR</w:t>
      </w:r>
      <w:r w:rsidRPr="00253DD7">
        <w:rPr>
          <w:lang w:val="en-GB"/>
        </w:rPr>
        <w:t xml:space="preserve">. Cases were managed with excision and did not require treatment modification (see </w:t>
      </w:r>
      <w:r w:rsidR="001C1405">
        <w:rPr>
          <w:lang w:val="en-GB"/>
        </w:rPr>
        <w:t>section 4.4</w:t>
      </w:r>
      <w:r w:rsidR="009F5C01">
        <w:rPr>
          <w:lang w:val="en-GB"/>
        </w:rPr>
        <w:t xml:space="preserve"> Special warnings and precautions for use</w:t>
      </w:r>
      <w:r w:rsidRPr="00253DD7">
        <w:rPr>
          <w:lang w:val="en-GB"/>
        </w:rPr>
        <w:t>).</w:t>
      </w:r>
    </w:p>
    <w:p w14:paraId="5854118E" w14:textId="77777777" w:rsidR="000B4520" w:rsidRPr="00284C3C" w:rsidRDefault="000B4520" w:rsidP="000B4520">
      <w:pPr>
        <w:pStyle w:val="Heading3"/>
        <w:keepNext w:val="0"/>
        <w:widowControl w:val="0"/>
        <w:ind w:left="504"/>
        <w:rPr>
          <w:b w:val="0"/>
          <w:i/>
        </w:rPr>
      </w:pPr>
      <w:r w:rsidRPr="00284C3C">
        <w:rPr>
          <w:b w:val="0"/>
          <w:i/>
        </w:rPr>
        <w:lastRenderedPageBreak/>
        <w:t>Non-cutaneous malignancy</w:t>
      </w:r>
    </w:p>
    <w:p w14:paraId="2C325685" w14:textId="27DB38CE" w:rsidR="000B4520" w:rsidRDefault="000B4520" w:rsidP="000B4520">
      <w:pPr>
        <w:widowControl w:val="0"/>
        <w:ind w:left="504"/>
        <w:rPr>
          <w:lang w:val="en-GB"/>
        </w:rPr>
      </w:pPr>
      <w:r w:rsidRPr="00253DD7">
        <w:rPr>
          <w:bCs/>
          <w:iCs/>
          <w:lang w:val="en-GB"/>
        </w:rPr>
        <w:t xml:space="preserve">Activation </w:t>
      </w:r>
      <w:r w:rsidRPr="00253DD7">
        <w:rPr>
          <w:lang w:val="en-GB"/>
        </w:rPr>
        <w:t xml:space="preserve">of MAP-kinase signalling in BRAF wild type cells which are exposed to BRAF inhibitors may lead to increased risk of non-cutaneous </w:t>
      </w:r>
      <w:proofErr w:type="gramStart"/>
      <w:r w:rsidRPr="00253DD7">
        <w:rPr>
          <w:lang w:val="en-GB"/>
        </w:rPr>
        <w:t>malignancies,</w:t>
      </w:r>
      <w:proofErr w:type="gramEnd"/>
      <w:r w:rsidRPr="00253DD7">
        <w:rPr>
          <w:lang w:val="en-GB"/>
        </w:rPr>
        <w:t xml:space="preserve"> including those with RAS mutations (</w:t>
      </w:r>
      <w:r w:rsidRPr="00253DD7">
        <w:rPr>
          <w:bCs/>
          <w:iCs/>
          <w:lang w:val="en-GB"/>
        </w:rPr>
        <w:t xml:space="preserve">see </w:t>
      </w:r>
      <w:r w:rsidR="001C1405">
        <w:rPr>
          <w:bCs/>
          <w:iCs/>
          <w:lang w:val="en-GB"/>
        </w:rPr>
        <w:t>section 4.4</w:t>
      </w:r>
      <w:r w:rsidR="009F5C01" w:rsidRPr="009F5C01">
        <w:rPr>
          <w:lang w:val="en-GB"/>
        </w:rPr>
        <w:t xml:space="preserve"> </w:t>
      </w:r>
      <w:r w:rsidR="009F5C01">
        <w:rPr>
          <w:lang w:val="en-GB"/>
        </w:rPr>
        <w:t>Special warnings and precautions for use</w:t>
      </w:r>
      <w:r w:rsidRPr="00253DD7">
        <w:rPr>
          <w:lang w:val="en-GB"/>
        </w:rPr>
        <w:t>).</w:t>
      </w:r>
      <w:r>
        <w:rPr>
          <w:lang w:val="en-GB"/>
        </w:rPr>
        <w:t xml:space="preserve"> </w:t>
      </w:r>
      <w:r w:rsidRPr="007C3043">
        <w:rPr>
          <w:lang w:val="en-GB"/>
        </w:rPr>
        <w:t>In clinical trials</w:t>
      </w:r>
      <w:r>
        <w:rPr>
          <w:lang w:val="en-GB"/>
        </w:rPr>
        <w:t xml:space="preserve"> </w:t>
      </w:r>
      <w:r w:rsidRPr="007C3043">
        <w:rPr>
          <w:lang w:val="en-GB"/>
        </w:rPr>
        <w:t xml:space="preserve">non-cutaneous malignancies were reported in 1% (6/586) of patients with </w:t>
      </w:r>
      <w:r>
        <w:rPr>
          <w:lang w:val="en-GB"/>
        </w:rPr>
        <w:t>TAFINLAR</w:t>
      </w:r>
      <w:r w:rsidRPr="007C3043">
        <w:rPr>
          <w:lang w:val="en-GB"/>
        </w:rPr>
        <w:t xml:space="preserve"> monotherapy, and 1% (3/209) of</w:t>
      </w:r>
      <w:r>
        <w:rPr>
          <w:lang w:val="en-GB"/>
        </w:rPr>
        <w:t xml:space="preserve"> </w:t>
      </w:r>
      <w:r w:rsidRPr="007C3043">
        <w:rPr>
          <w:lang w:val="en-GB"/>
        </w:rPr>
        <w:t>patients in study MEK115306 and &lt;</w:t>
      </w:r>
      <w:r>
        <w:rPr>
          <w:lang w:val="en-GB"/>
        </w:rPr>
        <w:t xml:space="preserve"> </w:t>
      </w:r>
      <w:r w:rsidRPr="007C3043">
        <w:rPr>
          <w:lang w:val="en-GB"/>
        </w:rPr>
        <w:t>1</w:t>
      </w:r>
      <w:r>
        <w:rPr>
          <w:lang w:val="en-GB"/>
        </w:rPr>
        <w:t xml:space="preserve"> </w:t>
      </w:r>
      <w:r w:rsidRPr="007C3043">
        <w:rPr>
          <w:lang w:val="en-GB"/>
        </w:rPr>
        <w:t xml:space="preserve">% (3/350) of patients in study MEK116513 with </w:t>
      </w:r>
      <w:r>
        <w:rPr>
          <w:lang w:val="en-GB"/>
        </w:rPr>
        <w:t>TAFINLAR</w:t>
      </w:r>
      <w:r w:rsidRPr="007C3043">
        <w:rPr>
          <w:lang w:val="en-GB"/>
        </w:rPr>
        <w:t xml:space="preserve"> in combination with</w:t>
      </w:r>
      <w:r>
        <w:rPr>
          <w:lang w:val="en-GB"/>
        </w:rPr>
        <w:t xml:space="preserve"> MEKINIST</w:t>
      </w:r>
      <w:r w:rsidRPr="007C3043">
        <w:rPr>
          <w:lang w:val="en-GB"/>
        </w:rPr>
        <w:t xml:space="preserve">. </w:t>
      </w:r>
      <w:r w:rsidRPr="00253DD7">
        <w:rPr>
          <w:lang w:val="en-GB"/>
        </w:rPr>
        <w:t xml:space="preserve">Cases of RAS-driven malignancies have been seen with </w:t>
      </w:r>
      <w:r>
        <w:rPr>
          <w:lang w:val="en-GB"/>
        </w:rPr>
        <w:t>TAFINLAR</w:t>
      </w:r>
      <w:r w:rsidRPr="00253DD7">
        <w:rPr>
          <w:lang w:val="en-GB"/>
        </w:rPr>
        <w:t>. Patients should be monitored as clinically appropriate.</w:t>
      </w:r>
    </w:p>
    <w:p w14:paraId="222DEF4E" w14:textId="77777777" w:rsidR="000B4520" w:rsidRPr="00284C3C" w:rsidRDefault="000B4520" w:rsidP="000B4520">
      <w:pPr>
        <w:pStyle w:val="Heading2"/>
        <w:ind w:left="504"/>
        <w:rPr>
          <w:b w:val="0"/>
          <w:i/>
          <w:u w:val="none"/>
        </w:rPr>
      </w:pPr>
      <w:r w:rsidRPr="00BD6F1D">
        <w:rPr>
          <w:b w:val="0"/>
          <w:i/>
          <w:u w:val="none"/>
        </w:rPr>
        <w:t>TAFINLAR</w:t>
      </w:r>
      <w:r w:rsidRPr="00284C3C">
        <w:rPr>
          <w:b w:val="0"/>
          <w:i/>
          <w:u w:val="none"/>
        </w:rPr>
        <w:t xml:space="preserve"> and trametinib </w:t>
      </w:r>
      <w:r w:rsidRPr="00BD6F1D">
        <w:rPr>
          <w:b w:val="0"/>
          <w:i/>
          <w:u w:val="none"/>
        </w:rPr>
        <w:t xml:space="preserve">combination </w:t>
      </w:r>
      <w:r>
        <w:rPr>
          <w:b w:val="0"/>
          <w:i/>
          <w:u w:val="none"/>
        </w:rPr>
        <w:t>t</w:t>
      </w:r>
      <w:r w:rsidRPr="00BD6F1D">
        <w:rPr>
          <w:b w:val="0"/>
          <w:i/>
          <w:u w:val="none"/>
        </w:rPr>
        <w:t>herapy</w:t>
      </w:r>
    </w:p>
    <w:p w14:paraId="574245A5" w14:textId="201F0464" w:rsidR="000B4520" w:rsidRPr="00284C3C" w:rsidRDefault="000B4520" w:rsidP="000B4520">
      <w:pPr>
        <w:ind w:left="504"/>
      </w:pPr>
      <w:r w:rsidRPr="004A4BB0">
        <w:rPr>
          <w:lang w:val="en-GB"/>
        </w:rPr>
        <w:t>In addition to adverse reactions observed with monotherapy treatments (</w:t>
      </w:r>
      <w:r w:rsidRPr="0018431B">
        <w:rPr>
          <w:lang w:val="en-GB"/>
        </w:rPr>
        <w:t xml:space="preserve">Table </w:t>
      </w:r>
      <w:r>
        <w:rPr>
          <w:bCs/>
          <w:iCs/>
          <w:lang w:val="en-GB"/>
        </w:rPr>
        <w:t>6,</w:t>
      </w:r>
      <w:r>
        <w:rPr>
          <w:lang w:val="en-GB"/>
        </w:rPr>
        <w:t xml:space="preserve"> </w:t>
      </w:r>
      <w:r w:rsidRPr="0018431B">
        <w:rPr>
          <w:lang w:val="en-GB"/>
        </w:rPr>
        <w:t xml:space="preserve">and </w:t>
      </w:r>
      <w:r>
        <w:rPr>
          <w:lang w:val="en-GB"/>
        </w:rPr>
        <w:t>Table</w:t>
      </w:r>
      <w:r>
        <w:rPr>
          <w:bCs/>
          <w:iCs/>
          <w:lang w:val="en-GB"/>
        </w:rPr>
        <w:t xml:space="preserve"> 7), t</w:t>
      </w:r>
      <w:r w:rsidRPr="00B20483">
        <w:rPr>
          <w:bCs/>
          <w:iCs/>
          <w:lang w:val="en-GB"/>
        </w:rPr>
        <w:t xml:space="preserve">he safety of </w:t>
      </w:r>
      <w:r>
        <w:rPr>
          <w:bCs/>
          <w:iCs/>
          <w:lang w:val="en-GB"/>
        </w:rPr>
        <w:t>TAFINLAR</w:t>
      </w:r>
      <w:r w:rsidRPr="00B20483">
        <w:rPr>
          <w:bCs/>
          <w:iCs/>
          <w:lang w:val="en-GB"/>
        </w:rPr>
        <w:t xml:space="preserve"> and </w:t>
      </w:r>
      <w:r>
        <w:rPr>
          <w:bCs/>
          <w:iCs/>
          <w:lang w:val="en-GB"/>
        </w:rPr>
        <w:t>MEKINIST</w:t>
      </w:r>
      <w:r w:rsidRPr="00B20483">
        <w:rPr>
          <w:bCs/>
          <w:iCs/>
          <w:lang w:val="en-GB"/>
        </w:rPr>
        <w:t xml:space="preserve"> combination therapy has been evaluated in two randomized Phase III studies </w:t>
      </w:r>
      <w:r>
        <w:rPr>
          <w:bCs/>
          <w:iCs/>
          <w:lang w:val="en-GB"/>
        </w:rPr>
        <w:t xml:space="preserve">and one small phase II study </w:t>
      </w:r>
      <w:r w:rsidRPr="00B20483">
        <w:rPr>
          <w:bCs/>
          <w:iCs/>
          <w:lang w:val="en-GB"/>
        </w:rPr>
        <w:t xml:space="preserve">of patients with BRAF mutant unresectable or metastatic melanoma treated with </w:t>
      </w:r>
      <w:r>
        <w:rPr>
          <w:bCs/>
          <w:iCs/>
          <w:lang w:val="en-GB"/>
        </w:rPr>
        <w:t>TAFINLAR</w:t>
      </w:r>
      <w:r w:rsidRPr="00B20483">
        <w:rPr>
          <w:bCs/>
          <w:iCs/>
          <w:lang w:val="en-GB"/>
        </w:rPr>
        <w:t xml:space="preserve"> 150 mg orally twice daily and </w:t>
      </w:r>
      <w:r>
        <w:rPr>
          <w:bCs/>
          <w:iCs/>
          <w:lang w:val="en-GB"/>
        </w:rPr>
        <w:t>MEKINIST</w:t>
      </w:r>
      <w:r w:rsidRPr="00B20483">
        <w:rPr>
          <w:bCs/>
          <w:iCs/>
          <w:lang w:val="en-GB"/>
        </w:rPr>
        <w:t xml:space="preserve"> 2 mg orally once daily</w:t>
      </w:r>
      <w:r>
        <w:rPr>
          <w:bCs/>
          <w:iCs/>
          <w:lang w:val="en-GB"/>
        </w:rPr>
        <w:t xml:space="preserve"> </w:t>
      </w:r>
      <w:r w:rsidRPr="00B20483">
        <w:rPr>
          <w:bCs/>
          <w:iCs/>
          <w:lang w:val="en-GB"/>
        </w:rPr>
        <w:t xml:space="preserve">(see </w:t>
      </w:r>
      <w:r w:rsidR="001C1405">
        <w:rPr>
          <w:bCs/>
          <w:iCs/>
          <w:lang w:val="en-GB"/>
        </w:rPr>
        <w:t xml:space="preserve">section 5.1- </w:t>
      </w:r>
      <w:r w:rsidR="001C1405" w:rsidRPr="00B20483">
        <w:rPr>
          <w:bCs/>
          <w:iCs/>
          <w:lang w:val="en-GB"/>
        </w:rPr>
        <w:t xml:space="preserve">Clinical </w:t>
      </w:r>
      <w:r w:rsidR="00830174">
        <w:rPr>
          <w:bCs/>
          <w:iCs/>
          <w:lang w:val="en-GB"/>
        </w:rPr>
        <w:t>t</w:t>
      </w:r>
      <w:r w:rsidR="001C1405" w:rsidRPr="00B20483">
        <w:rPr>
          <w:bCs/>
          <w:iCs/>
          <w:lang w:val="en-GB"/>
        </w:rPr>
        <w:t>rials</w:t>
      </w:r>
      <w:r w:rsidRPr="00B20483">
        <w:rPr>
          <w:bCs/>
          <w:iCs/>
          <w:lang w:val="en-GB"/>
        </w:rPr>
        <w:t xml:space="preserve">). </w:t>
      </w:r>
      <w:r>
        <w:rPr>
          <w:bCs/>
          <w:iCs/>
          <w:lang w:val="en-GB"/>
        </w:rPr>
        <w:t xml:space="preserve">The following tables </w:t>
      </w:r>
      <w:r w:rsidRPr="00FE5010">
        <w:rPr>
          <w:bCs/>
          <w:iCs/>
          <w:lang w:val="en-GB"/>
        </w:rPr>
        <w:t>list</w:t>
      </w:r>
      <w:r w:rsidRPr="004A4BB0">
        <w:rPr>
          <w:lang w:val="en-GB"/>
        </w:rPr>
        <w:t xml:space="preserve"> adverse reactions which are specific to</w:t>
      </w:r>
      <w:r>
        <w:rPr>
          <w:bCs/>
          <w:iCs/>
          <w:lang w:val="en-GB"/>
        </w:rPr>
        <w:t xml:space="preserve"> </w:t>
      </w:r>
      <w:r w:rsidRPr="00FE5010">
        <w:rPr>
          <w:bCs/>
          <w:iCs/>
          <w:lang w:val="en-GB"/>
        </w:rPr>
        <w:t>TAFINLAR</w:t>
      </w:r>
      <w:r w:rsidRPr="004A4BB0">
        <w:rPr>
          <w:lang w:val="en-GB"/>
        </w:rPr>
        <w:t xml:space="preserve"> in combination with</w:t>
      </w:r>
      <w:r>
        <w:rPr>
          <w:lang w:val="en-GB"/>
        </w:rPr>
        <w:t xml:space="preserve"> </w:t>
      </w:r>
      <w:r>
        <w:rPr>
          <w:bCs/>
          <w:iCs/>
          <w:lang w:val="en-GB"/>
        </w:rPr>
        <w:t>MEKINIST</w:t>
      </w:r>
      <w:r w:rsidRPr="00FE5010">
        <w:rPr>
          <w:bCs/>
          <w:iCs/>
          <w:lang w:val="en-GB"/>
        </w:rPr>
        <w:t>.</w:t>
      </w:r>
      <w:r w:rsidRPr="00284C3C">
        <w:t xml:space="preserve"> </w:t>
      </w:r>
    </w:p>
    <w:p w14:paraId="2476C1A1" w14:textId="60F823BA" w:rsidR="000B4520" w:rsidRPr="00284C3C" w:rsidRDefault="000B4520" w:rsidP="000B4520">
      <w:pPr>
        <w:ind w:left="504"/>
        <w:rPr>
          <w:lang w:val="en-GB"/>
        </w:rPr>
      </w:pPr>
      <w:r w:rsidRPr="00284C3C">
        <w:t>The following convention has been utilised for the classification of frequency</w:t>
      </w:r>
      <w:r>
        <w:t xml:space="preserve">. </w:t>
      </w:r>
      <w:r>
        <w:rPr>
          <w:bCs/>
          <w:iCs/>
          <w:lang w:val="en-GB"/>
        </w:rPr>
        <w:t xml:space="preserve">In Table </w:t>
      </w:r>
      <w:r w:rsidR="00C73E06">
        <w:rPr>
          <w:bCs/>
          <w:iCs/>
          <w:lang w:val="en-GB"/>
        </w:rPr>
        <w:t>5</w:t>
      </w:r>
      <w:r>
        <w:rPr>
          <w:bCs/>
          <w:iCs/>
          <w:lang w:val="en-GB"/>
        </w:rPr>
        <w:t xml:space="preserve">, there were 55 </w:t>
      </w:r>
      <w:r w:rsidRPr="00FE5010">
        <w:rPr>
          <w:bCs/>
          <w:iCs/>
          <w:lang w:val="en-GB"/>
        </w:rPr>
        <w:t>patient</w:t>
      </w:r>
      <w:r>
        <w:rPr>
          <w:bCs/>
          <w:iCs/>
          <w:lang w:val="en-GB"/>
        </w:rPr>
        <w:t xml:space="preserve">s in the study and hence </w:t>
      </w:r>
      <w:r w:rsidRPr="00284C3C">
        <w:rPr>
          <w:lang w:val="en-GB"/>
        </w:rPr>
        <w:t xml:space="preserve">the frequencies of uncommon or rare events could not be </w:t>
      </w:r>
      <w:r>
        <w:rPr>
          <w:bCs/>
          <w:iCs/>
          <w:lang w:val="en-GB"/>
        </w:rPr>
        <w:t>calculated</w:t>
      </w:r>
      <w:r w:rsidRPr="00284C3C">
        <w:rPr>
          <w:lang w:val="en-GB"/>
        </w:rPr>
        <w:t>.</w:t>
      </w:r>
    </w:p>
    <w:p w14:paraId="7AEF0C89" w14:textId="2A7F87A4" w:rsidR="000B4520" w:rsidRPr="00332A46" w:rsidRDefault="000B4520" w:rsidP="000C7575">
      <w:pPr>
        <w:pStyle w:val="Default"/>
        <w:ind w:left="2160"/>
        <w:rPr>
          <w:color w:val="auto"/>
        </w:rPr>
      </w:pPr>
      <w:r w:rsidRPr="00332A46">
        <w:rPr>
          <w:color w:val="auto"/>
        </w:rPr>
        <w:t xml:space="preserve">Very common: </w:t>
      </w:r>
      <w:r w:rsidR="00CF7664">
        <w:rPr>
          <w:color w:val="auto"/>
        </w:rPr>
        <w:tab/>
      </w:r>
      <w:r w:rsidRPr="00332A46">
        <w:rPr>
          <w:color w:val="auto"/>
        </w:rPr>
        <w:t xml:space="preserve">≥ 1 in 10 </w:t>
      </w:r>
    </w:p>
    <w:p w14:paraId="3FC0D5D0" w14:textId="798355B9" w:rsidR="000B4520" w:rsidRPr="00332A46" w:rsidRDefault="000B4520" w:rsidP="000C7575">
      <w:pPr>
        <w:pStyle w:val="Default"/>
        <w:ind w:left="2160"/>
        <w:rPr>
          <w:color w:val="auto"/>
        </w:rPr>
      </w:pPr>
      <w:r w:rsidRPr="00332A46">
        <w:rPr>
          <w:color w:val="auto"/>
        </w:rPr>
        <w:t xml:space="preserve">Common: </w:t>
      </w:r>
      <w:r>
        <w:rPr>
          <w:color w:val="auto"/>
        </w:rPr>
        <w:tab/>
      </w:r>
      <w:r w:rsidR="00CF7664">
        <w:rPr>
          <w:color w:val="auto"/>
        </w:rPr>
        <w:tab/>
      </w:r>
      <w:r w:rsidRPr="00332A46">
        <w:rPr>
          <w:color w:val="auto"/>
        </w:rPr>
        <w:t>≥ 1 in 100 and &lt; 1 in</w:t>
      </w:r>
      <w:r>
        <w:rPr>
          <w:color w:val="auto"/>
        </w:rPr>
        <w:t xml:space="preserve"> </w:t>
      </w:r>
      <w:r w:rsidRPr="00332A46">
        <w:rPr>
          <w:color w:val="auto"/>
        </w:rPr>
        <w:t xml:space="preserve">10 </w:t>
      </w:r>
    </w:p>
    <w:p w14:paraId="63D751B8" w14:textId="3E7C8E6C" w:rsidR="000B4520" w:rsidRPr="00332A46" w:rsidRDefault="000B4520" w:rsidP="000C7575">
      <w:pPr>
        <w:ind w:left="2160"/>
      </w:pPr>
      <w:r w:rsidRPr="00332A46">
        <w:t>Uncommon</w:t>
      </w:r>
      <w:r>
        <w:t>:</w:t>
      </w:r>
      <w:r w:rsidRPr="00332A46">
        <w:t xml:space="preserve"> </w:t>
      </w:r>
      <w:r>
        <w:tab/>
      </w:r>
      <w:r w:rsidR="00CF7664">
        <w:tab/>
      </w:r>
      <w:r w:rsidRPr="00332A46">
        <w:t xml:space="preserve">≥ 1 in 1,000 and &lt; 1 in 100 </w:t>
      </w:r>
    </w:p>
    <w:p w14:paraId="5666F2C8" w14:textId="77777777" w:rsidR="000B4520" w:rsidRPr="00332A46" w:rsidRDefault="000B4520" w:rsidP="000B4520">
      <w:pPr>
        <w:ind w:left="504"/>
        <w:rPr>
          <w:bCs/>
          <w:iCs/>
          <w:lang w:val="en-GB"/>
        </w:rPr>
      </w:pPr>
      <w:r>
        <w:rPr>
          <w:lang w:val="en-GB"/>
        </w:rPr>
        <w:t xml:space="preserve">The </w:t>
      </w:r>
      <w:r w:rsidRPr="00332A46">
        <w:rPr>
          <w:bCs/>
          <w:iCs/>
          <w:lang w:val="en-GB"/>
        </w:rPr>
        <w:t xml:space="preserve">most </w:t>
      </w:r>
      <w:r>
        <w:rPr>
          <w:lang w:val="en-GB"/>
        </w:rPr>
        <w:t xml:space="preserve">common adverse </w:t>
      </w:r>
      <w:r w:rsidRPr="00332A46">
        <w:rPr>
          <w:bCs/>
          <w:iCs/>
          <w:lang w:val="en-GB"/>
        </w:rPr>
        <w:t xml:space="preserve">reactions (≥ 20 %) for TAFINLAR and </w:t>
      </w:r>
      <w:r>
        <w:rPr>
          <w:bCs/>
          <w:iCs/>
          <w:lang w:val="en-GB"/>
        </w:rPr>
        <w:t>MEKINIST</w:t>
      </w:r>
      <w:r w:rsidRPr="00332A46">
        <w:rPr>
          <w:bCs/>
          <w:iCs/>
          <w:lang w:val="en-GB"/>
        </w:rPr>
        <w:t xml:space="preserve"> </w:t>
      </w:r>
      <w:r w:rsidRPr="00537BD1">
        <w:rPr>
          <w:lang w:val="en-GB"/>
        </w:rPr>
        <w:t xml:space="preserve">combination </w:t>
      </w:r>
      <w:r w:rsidRPr="00332A46">
        <w:rPr>
          <w:bCs/>
          <w:iCs/>
          <w:lang w:val="en-GB"/>
        </w:rPr>
        <w:t>therapy include pyrexia, fatigue, nausea, headache, chills, diarrhoea, rash, arthralgia, hypertension, vomiting,</w:t>
      </w:r>
      <w:r w:rsidRPr="00332A46">
        <w:t xml:space="preserve"> </w:t>
      </w:r>
      <w:r w:rsidRPr="00332A46">
        <w:rPr>
          <w:bCs/>
          <w:iCs/>
          <w:lang w:val="en-GB"/>
        </w:rPr>
        <w:t xml:space="preserve">peripheral oedema, and cough. </w:t>
      </w:r>
    </w:p>
    <w:p w14:paraId="467CD4EC" w14:textId="77777777" w:rsidR="000B4520" w:rsidRDefault="000B4520" w:rsidP="000B4520">
      <w:pPr>
        <w:spacing w:after="0" w:line="240" w:lineRule="auto"/>
        <w:ind w:left="504"/>
        <w:rPr>
          <w:rFonts w:ascii="Arial" w:hAnsi="Arial" w:cs="Arial"/>
          <w:b/>
          <w:lang w:val="en-GB"/>
        </w:rPr>
      </w:pPr>
    </w:p>
    <w:p w14:paraId="3E013BA6" w14:textId="4B709495" w:rsidR="000B4520" w:rsidRDefault="000B4520" w:rsidP="000B4520">
      <w:pPr>
        <w:keepNext/>
        <w:keepLines/>
        <w:spacing w:after="0" w:line="240" w:lineRule="auto"/>
        <w:ind w:left="504"/>
        <w:rPr>
          <w:rFonts w:ascii="Arial" w:hAnsi="Arial" w:cs="Arial"/>
          <w:b/>
          <w:lang w:val="en-GB"/>
        </w:rPr>
      </w:pPr>
      <w:r w:rsidRPr="00284C3C">
        <w:rPr>
          <w:rFonts w:ascii="Arial" w:hAnsi="Arial"/>
          <w:b/>
          <w:lang w:val="en-GB"/>
        </w:rPr>
        <w:t xml:space="preserve">Table </w:t>
      </w:r>
      <w:r w:rsidR="00C73E06">
        <w:rPr>
          <w:rFonts w:ascii="Arial" w:hAnsi="Arial"/>
          <w:b/>
          <w:lang w:val="en-GB"/>
        </w:rPr>
        <w:t>6</w:t>
      </w:r>
      <w:r w:rsidRPr="004D0C8C">
        <w:rPr>
          <w:rFonts w:ascii="Arial" w:hAnsi="Arial" w:cs="Arial"/>
          <w:b/>
          <w:lang w:val="en-GB"/>
        </w:rPr>
        <w:t xml:space="preserve"> </w:t>
      </w:r>
      <w:r w:rsidRPr="004D0C8C">
        <w:rPr>
          <w:rFonts w:ascii="Arial" w:hAnsi="Arial" w:cs="Arial"/>
          <w:b/>
          <w:lang w:val="en-GB"/>
        </w:rPr>
        <w:tab/>
      </w:r>
      <w:r w:rsidRPr="00FE5E1C">
        <w:rPr>
          <w:rFonts w:ascii="Arial" w:hAnsi="Arial" w:cs="Arial"/>
          <w:b/>
          <w:lang w:val="en-GB"/>
        </w:rPr>
        <w:t>Study MEK115306 (COMBI-d)</w:t>
      </w:r>
      <w:r>
        <w:rPr>
          <w:rFonts w:ascii="Arial" w:hAnsi="Arial" w:cs="Arial"/>
          <w:b/>
          <w:lang w:val="en-GB"/>
        </w:rPr>
        <w:t xml:space="preserve"> - </w:t>
      </w:r>
      <w:r w:rsidRPr="00284C3C">
        <w:rPr>
          <w:rFonts w:ascii="Arial" w:hAnsi="Arial"/>
          <w:b/>
          <w:lang w:val="en-GB"/>
        </w:rPr>
        <w:t xml:space="preserve">Adverse </w:t>
      </w:r>
      <w:r>
        <w:rPr>
          <w:rFonts w:ascii="Arial" w:hAnsi="Arial" w:cs="Arial"/>
          <w:b/>
          <w:lang w:val="en-GB"/>
        </w:rPr>
        <w:t>e</w:t>
      </w:r>
      <w:r w:rsidRPr="004D0C8C">
        <w:rPr>
          <w:rFonts w:ascii="Arial" w:hAnsi="Arial" w:cs="Arial"/>
          <w:b/>
          <w:lang w:val="en-GB"/>
        </w:rPr>
        <w:t xml:space="preserve">vents </w:t>
      </w:r>
      <w:r>
        <w:rPr>
          <w:rFonts w:ascii="Arial" w:hAnsi="Arial" w:cs="Arial"/>
          <w:b/>
          <w:lang w:val="en-GB"/>
        </w:rPr>
        <w:t>o</w:t>
      </w:r>
      <w:r w:rsidRPr="004D0C8C">
        <w:rPr>
          <w:rFonts w:ascii="Arial" w:hAnsi="Arial" w:cs="Arial"/>
          <w:b/>
          <w:lang w:val="en-GB"/>
        </w:rPr>
        <w:t>ccurring</w:t>
      </w:r>
      <w:r w:rsidRPr="00284C3C">
        <w:rPr>
          <w:rFonts w:ascii="Arial" w:hAnsi="Arial"/>
          <w:b/>
          <w:lang w:val="en-GB"/>
        </w:rPr>
        <w:t xml:space="preserve"> in </w:t>
      </w:r>
      <w:r w:rsidRPr="00284C3C">
        <w:rPr>
          <w:rFonts w:ascii="Arial" w:hAnsi="Arial"/>
          <w:b/>
          <w:lang w:val="en-GB"/>
        </w:rPr>
        <w:sym w:font="Symbol" w:char="F0B3"/>
      </w:r>
      <w:r w:rsidRPr="00284C3C">
        <w:rPr>
          <w:rFonts w:ascii="Arial" w:hAnsi="Arial"/>
          <w:b/>
          <w:lang w:val="en-GB"/>
        </w:rPr>
        <w:t xml:space="preserve"> 10 % </w:t>
      </w:r>
    </w:p>
    <w:p w14:paraId="60749C42" w14:textId="77777777" w:rsidR="00021C35" w:rsidRDefault="000B4520" w:rsidP="00B25C5B">
      <w:pPr>
        <w:keepNext/>
        <w:keepLines/>
        <w:spacing w:after="0" w:line="240" w:lineRule="auto"/>
        <w:ind w:left="504"/>
        <w:rPr>
          <w:rFonts w:ascii="Arial" w:hAnsi="Arial"/>
          <w:b/>
          <w:lang w:val="en-GB"/>
        </w:rPr>
      </w:pPr>
      <w:r>
        <w:rPr>
          <w:rFonts w:ascii="Arial" w:hAnsi="Arial" w:cs="Arial"/>
          <w:b/>
          <w:lang w:val="en-GB"/>
        </w:rPr>
        <w:tab/>
      </w:r>
      <w:r>
        <w:rPr>
          <w:rFonts w:ascii="Arial" w:hAnsi="Arial" w:cs="Arial"/>
          <w:b/>
          <w:lang w:val="en-GB"/>
        </w:rPr>
        <w:tab/>
      </w:r>
      <w:r w:rsidRPr="00284C3C">
        <w:rPr>
          <w:rFonts w:ascii="Arial" w:hAnsi="Arial"/>
          <w:b/>
          <w:lang w:val="en-GB"/>
        </w:rPr>
        <w:t>(</w:t>
      </w:r>
      <w:proofErr w:type="gramStart"/>
      <w:r w:rsidRPr="00284C3C">
        <w:rPr>
          <w:rFonts w:ascii="Arial" w:hAnsi="Arial"/>
          <w:b/>
          <w:lang w:val="en-GB"/>
        </w:rPr>
        <w:t>all</w:t>
      </w:r>
      <w:proofErr w:type="gramEnd"/>
      <w:r w:rsidRPr="00284C3C">
        <w:rPr>
          <w:rFonts w:ascii="Arial" w:hAnsi="Arial"/>
          <w:b/>
          <w:lang w:val="en-GB"/>
        </w:rPr>
        <w:t xml:space="preserve"> grades) or ≥ 2 % (</w:t>
      </w:r>
      <w:r>
        <w:rPr>
          <w:rFonts w:ascii="Arial" w:hAnsi="Arial" w:cs="Arial"/>
          <w:b/>
          <w:lang w:val="en-GB"/>
        </w:rPr>
        <w:t>g</w:t>
      </w:r>
      <w:r w:rsidRPr="004D0C8C">
        <w:rPr>
          <w:rFonts w:ascii="Arial" w:hAnsi="Arial" w:cs="Arial"/>
          <w:b/>
          <w:lang w:val="en-GB"/>
        </w:rPr>
        <w:t>rades</w:t>
      </w:r>
      <w:r w:rsidRPr="00284C3C">
        <w:rPr>
          <w:rFonts w:ascii="Arial" w:hAnsi="Arial"/>
          <w:b/>
          <w:lang w:val="en-GB"/>
        </w:rPr>
        <w:t xml:space="preserve"> 3 or 4) </w:t>
      </w:r>
      <w:r w:rsidR="00B25C5B">
        <w:rPr>
          <w:rFonts w:ascii="Arial" w:hAnsi="Arial"/>
          <w:b/>
          <w:lang w:val="en-GB"/>
        </w:rPr>
        <w:t>in u</w:t>
      </w:r>
      <w:r w:rsidR="00B25C5B" w:rsidRPr="00B25C5B">
        <w:rPr>
          <w:rFonts w:ascii="Arial" w:hAnsi="Arial"/>
          <w:b/>
          <w:lang w:val="en-GB"/>
        </w:rPr>
        <w:t>nresectable or metastatic</w:t>
      </w:r>
    </w:p>
    <w:p w14:paraId="505A27F2" w14:textId="69513F85" w:rsidR="000B4520" w:rsidRPr="00B25C5B" w:rsidRDefault="00B25C5B" w:rsidP="000E1437">
      <w:pPr>
        <w:keepNext/>
        <w:keepLines/>
        <w:spacing w:after="0" w:line="240" w:lineRule="auto"/>
        <w:ind w:left="1224" w:firstLine="216"/>
        <w:rPr>
          <w:rFonts w:ascii="Arial" w:hAnsi="Arial"/>
          <w:b/>
          <w:lang w:val="en-GB"/>
        </w:rPr>
      </w:pPr>
      <w:proofErr w:type="gramStart"/>
      <w:r>
        <w:rPr>
          <w:rFonts w:ascii="Arial" w:hAnsi="Arial"/>
          <w:b/>
          <w:lang w:val="en-GB"/>
        </w:rPr>
        <w:t>m</w:t>
      </w:r>
      <w:r w:rsidRPr="00B25C5B">
        <w:rPr>
          <w:rFonts w:ascii="Arial" w:hAnsi="Arial"/>
          <w:b/>
          <w:lang w:val="en-GB"/>
        </w:rPr>
        <w:t>elanoma</w:t>
      </w:r>
      <w:proofErr w:type="gramEnd"/>
    </w:p>
    <w:p w14:paraId="2DBB442F" w14:textId="77777777" w:rsidR="000B4520" w:rsidRPr="004D0C8C" w:rsidRDefault="000B4520" w:rsidP="000B4520">
      <w:pPr>
        <w:keepNext/>
        <w:keepLines/>
        <w:spacing w:after="0" w:line="240" w:lineRule="auto"/>
        <w:ind w:left="504"/>
        <w:rPr>
          <w:rFonts w:ascii="Arial" w:hAnsi="Arial" w:cs="Arial"/>
          <w:b/>
          <w:lang w:val="en-GB"/>
        </w:rPr>
      </w:pPr>
    </w:p>
    <w:tbl>
      <w:tblPr>
        <w:tblW w:w="8755"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418"/>
        <w:gridCol w:w="1843"/>
        <w:gridCol w:w="1417"/>
        <w:gridCol w:w="1701"/>
      </w:tblGrid>
      <w:tr w:rsidR="000B4520" w:rsidRPr="00E353DB" w14:paraId="4C847FEE" w14:textId="77777777" w:rsidTr="001550EB">
        <w:trPr>
          <w:trHeight w:hRule="exact" w:val="284"/>
          <w:tblHeader/>
        </w:trPr>
        <w:tc>
          <w:tcPr>
            <w:tcW w:w="2376" w:type="dxa"/>
            <w:vMerge w:val="restart"/>
            <w:tcBorders>
              <w:top w:val="single" w:sz="4" w:space="0" w:color="auto"/>
              <w:left w:val="nil"/>
              <w:right w:val="nil"/>
            </w:tcBorders>
            <w:shd w:val="clear" w:color="auto" w:fill="auto"/>
          </w:tcPr>
          <w:p w14:paraId="04338DAE" w14:textId="77777777" w:rsidR="000B4520" w:rsidRPr="004D0C8C" w:rsidRDefault="000B4520" w:rsidP="0088047D">
            <w:pPr>
              <w:autoSpaceDE/>
              <w:autoSpaceDN/>
              <w:adjustRightInd/>
              <w:rPr>
                <w:rFonts w:ascii="Arial" w:hAnsi="Arial" w:cs="Arial"/>
                <w:sz w:val="22"/>
                <w:szCs w:val="22"/>
                <w:lang w:val="en-US"/>
              </w:rPr>
            </w:pPr>
          </w:p>
        </w:tc>
        <w:tc>
          <w:tcPr>
            <w:tcW w:w="3261" w:type="dxa"/>
            <w:gridSpan w:val="2"/>
            <w:tcBorders>
              <w:top w:val="single" w:sz="4" w:space="0" w:color="auto"/>
              <w:left w:val="nil"/>
              <w:bottom w:val="nil"/>
              <w:right w:val="nil"/>
            </w:tcBorders>
            <w:shd w:val="clear" w:color="auto" w:fill="auto"/>
          </w:tcPr>
          <w:p w14:paraId="48CEEE14" w14:textId="77777777" w:rsidR="000B4520" w:rsidRPr="004D0C8C" w:rsidRDefault="000B4520" w:rsidP="0088047D">
            <w:pPr>
              <w:spacing w:after="0" w:line="240" w:lineRule="auto"/>
              <w:jc w:val="center"/>
              <w:rPr>
                <w:rFonts w:ascii="Arial" w:hAnsi="Arial" w:cs="Arial"/>
                <w:b/>
                <w:bCs/>
                <w:sz w:val="22"/>
                <w:szCs w:val="22"/>
                <w:lang w:val="en-US" w:eastAsia="en-US"/>
              </w:rPr>
            </w:pPr>
            <w:r>
              <w:rPr>
                <w:rFonts w:ascii="Arial" w:hAnsi="Arial" w:cs="Arial"/>
                <w:b/>
                <w:bCs/>
                <w:sz w:val="22"/>
                <w:szCs w:val="22"/>
                <w:lang w:val="en-US" w:eastAsia="en-US"/>
              </w:rPr>
              <w:t>TAFINLAR</w:t>
            </w:r>
            <w:r w:rsidRPr="004D0C8C">
              <w:rPr>
                <w:rFonts w:ascii="Arial" w:hAnsi="Arial" w:cs="Arial"/>
                <w:b/>
                <w:bCs/>
                <w:sz w:val="22"/>
                <w:szCs w:val="22"/>
                <w:lang w:val="en-US" w:eastAsia="en-US"/>
              </w:rPr>
              <w:t xml:space="preserve"> 150 mg BID + Mekinist 2 mg QD combination </w:t>
            </w:r>
          </w:p>
          <w:p w14:paraId="45905300" w14:textId="77777777" w:rsidR="000B4520" w:rsidRPr="004D0C8C" w:rsidRDefault="000B4520" w:rsidP="0088047D">
            <w:pPr>
              <w:spacing w:after="0" w:line="240" w:lineRule="auto"/>
              <w:jc w:val="center"/>
              <w:rPr>
                <w:rFonts w:ascii="Arial" w:hAnsi="Arial" w:cs="Arial"/>
                <w:b/>
                <w:sz w:val="22"/>
                <w:szCs w:val="22"/>
                <w:lang w:val="en-US"/>
              </w:rPr>
            </w:pPr>
            <w:r w:rsidRPr="004D0C8C">
              <w:rPr>
                <w:rFonts w:ascii="Arial" w:hAnsi="Arial" w:cs="Arial"/>
                <w:b/>
                <w:bCs/>
                <w:sz w:val="22"/>
                <w:szCs w:val="22"/>
                <w:lang w:val="en-US" w:eastAsia="en-US"/>
              </w:rPr>
              <w:t>(N = 209)</w:t>
            </w:r>
          </w:p>
        </w:tc>
        <w:tc>
          <w:tcPr>
            <w:tcW w:w="3118" w:type="dxa"/>
            <w:gridSpan w:val="2"/>
            <w:tcBorders>
              <w:top w:val="single" w:sz="4" w:space="0" w:color="auto"/>
              <w:left w:val="nil"/>
              <w:bottom w:val="nil"/>
              <w:right w:val="nil"/>
            </w:tcBorders>
            <w:shd w:val="clear" w:color="auto" w:fill="auto"/>
          </w:tcPr>
          <w:p w14:paraId="4CCD09C1" w14:textId="77777777" w:rsidR="000B4520" w:rsidRPr="004D0C8C" w:rsidRDefault="000B4520" w:rsidP="0088047D">
            <w:pPr>
              <w:spacing w:after="0" w:line="240" w:lineRule="auto"/>
              <w:jc w:val="center"/>
              <w:rPr>
                <w:rFonts w:ascii="Arial" w:hAnsi="Arial" w:cs="Arial"/>
                <w:b/>
                <w:bCs/>
                <w:sz w:val="22"/>
                <w:szCs w:val="22"/>
                <w:lang w:val="en-US" w:eastAsia="en-US"/>
              </w:rPr>
            </w:pPr>
            <w:r>
              <w:rPr>
                <w:rFonts w:ascii="Arial" w:hAnsi="Arial" w:cs="Arial"/>
                <w:b/>
                <w:bCs/>
                <w:sz w:val="22"/>
                <w:szCs w:val="22"/>
                <w:lang w:val="en-US" w:eastAsia="en-US"/>
              </w:rPr>
              <w:t>TAFINLAR</w:t>
            </w:r>
            <w:r w:rsidRPr="004D0C8C">
              <w:rPr>
                <w:rFonts w:ascii="Arial" w:hAnsi="Arial" w:cs="Arial"/>
                <w:b/>
                <w:bCs/>
                <w:sz w:val="22"/>
                <w:szCs w:val="22"/>
                <w:lang w:val="en-US" w:eastAsia="en-US"/>
              </w:rPr>
              <w:t xml:space="preserve"> 150 mg BID + placebo </w:t>
            </w:r>
          </w:p>
          <w:p w14:paraId="70FC1A63" w14:textId="77777777" w:rsidR="000B4520" w:rsidRPr="004D0C8C" w:rsidRDefault="000B4520" w:rsidP="0088047D">
            <w:pPr>
              <w:spacing w:after="0" w:line="240" w:lineRule="auto"/>
              <w:jc w:val="center"/>
              <w:rPr>
                <w:rFonts w:ascii="Arial" w:hAnsi="Arial" w:cs="Arial"/>
                <w:b/>
                <w:bCs/>
                <w:sz w:val="22"/>
                <w:szCs w:val="22"/>
                <w:lang w:val="en-US" w:eastAsia="en-US"/>
              </w:rPr>
            </w:pPr>
          </w:p>
          <w:p w14:paraId="128D29AD" w14:textId="77777777" w:rsidR="000B4520" w:rsidRPr="004D0C8C" w:rsidRDefault="000B4520" w:rsidP="0088047D">
            <w:pPr>
              <w:spacing w:after="0" w:line="240" w:lineRule="auto"/>
              <w:jc w:val="center"/>
              <w:rPr>
                <w:rFonts w:ascii="Arial" w:hAnsi="Arial" w:cs="Arial"/>
                <w:b/>
                <w:sz w:val="22"/>
                <w:szCs w:val="22"/>
                <w:lang w:val="en-US"/>
              </w:rPr>
            </w:pPr>
            <w:r w:rsidRPr="004D0C8C">
              <w:rPr>
                <w:rFonts w:ascii="Arial" w:hAnsi="Arial" w:cs="Arial"/>
                <w:b/>
                <w:bCs/>
                <w:sz w:val="22"/>
                <w:szCs w:val="22"/>
                <w:lang w:val="en-US" w:eastAsia="en-US"/>
              </w:rPr>
              <w:t>(N = 211)</w:t>
            </w:r>
          </w:p>
        </w:tc>
      </w:tr>
      <w:tr w:rsidR="000B4520" w:rsidRPr="00066D30" w14:paraId="6A9B042D" w14:textId="77777777" w:rsidTr="001550EB">
        <w:trPr>
          <w:trHeight w:hRule="exact" w:val="284"/>
          <w:tblHeader/>
        </w:trPr>
        <w:tc>
          <w:tcPr>
            <w:tcW w:w="2376" w:type="dxa"/>
            <w:vMerge/>
            <w:tcBorders>
              <w:left w:val="nil"/>
              <w:bottom w:val="single" w:sz="4" w:space="0" w:color="auto"/>
              <w:right w:val="nil"/>
            </w:tcBorders>
            <w:shd w:val="clear" w:color="auto" w:fill="auto"/>
          </w:tcPr>
          <w:p w14:paraId="122C9C24" w14:textId="77777777" w:rsidR="000B4520" w:rsidRPr="00EA0A02" w:rsidRDefault="000B4520" w:rsidP="0088047D">
            <w:pPr>
              <w:autoSpaceDE/>
              <w:autoSpaceDN/>
              <w:adjustRightInd/>
              <w:rPr>
                <w:rFonts w:ascii="Arial" w:hAnsi="Arial"/>
                <w:sz w:val="22"/>
                <w:lang w:val="en-US"/>
              </w:rPr>
            </w:pPr>
          </w:p>
        </w:tc>
        <w:tc>
          <w:tcPr>
            <w:tcW w:w="1418" w:type="dxa"/>
            <w:tcBorders>
              <w:top w:val="nil"/>
              <w:left w:val="nil"/>
              <w:bottom w:val="single" w:sz="4" w:space="0" w:color="auto"/>
              <w:right w:val="nil"/>
            </w:tcBorders>
            <w:shd w:val="clear" w:color="auto" w:fill="auto"/>
          </w:tcPr>
          <w:p w14:paraId="546EB9EA" w14:textId="77777777" w:rsidR="000B4520" w:rsidRPr="00537ACF" w:rsidRDefault="000B4520" w:rsidP="0088047D">
            <w:pPr>
              <w:spacing w:after="0" w:line="240" w:lineRule="auto"/>
              <w:jc w:val="center"/>
              <w:rPr>
                <w:rFonts w:ascii="Arial" w:hAnsi="Arial"/>
                <w:b/>
                <w:sz w:val="22"/>
                <w:lang w:val="en-US"/>
              </w:rPr>
            </w:pPr>
            <w:r w:rsidRPr="00537ACF">
              <w:rPr>
                <w:rFonts w:ascii="Arial" w:hAnsi="Arial"/>
                <w:b/>
                <w:sz w:val="22"/>
                <w:lang w:val="en-US"/>
              </w:rPr>
              <w:t>All grades (%)</w:t>
            </w:r>
          </w:p>
        </w:tc>
        <w:tc>
          <w:tcPr>
            <w:tcW w:w="1843" w:type="dxa"/>
            <w:tcBorders>
              <w:top w:val="nil"/>
              <w:left w:val="nil"/>
              <w:bottom w:val="single" w:sz="4" w:space="0" w:color="auto"/>
              <w:right w:val="nil"/>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1627"/>
            </w:tblGrid>
            <w:tr w:rsidR="000B4520" w:rsidRPr="00066D30" w14:paraId="28CCF9E5" w14:textId="77777777" w:rsidTr="0088047D">
              <w:trPr>
                <w:trHeight w:val="295"/>
              </w:trPr>
              <w:tc>
                <w:tcPr>
                  <w:tcW w:w="0" w:type="auto"/>
                </w:tcPr>
                <w:p w14:paraId="36DF1F9F" w14:textId="77777777" w:rsidR="000B4520" w:rsidRPr="00537ACF" w:rsidRDefault="000B4520" w:rsidP="0088047D">
                  <w:pPr>
                    <w:spacing w:after="0" w:line="240" w:lineRule="auto"/>
                    <w:jc w:val="center"/>
                    <w:rPr>
                      <w:rFonts w:ascii="Arial" w:hAnsi="Arial"/>
                      <w:b/>
                      <w:sz w:val="22"/>
                      <w:lang w:val="en-US"/>
                    </w:rPr>
                  </w:pPr>
                  <w:proofErr w:type="gramStart"/>
                  <w:r w:rsidRPr="00537ACF">
                    <w:rPr>
                      <w:rFonts w:ascii="Arial" w:hAnsi="Arial"/>
                      <w:b/>
                      <w:sz w:val="22"/>
                      <w:lang w:val="en-US"/>
                    </w:rPr>
                    <w:t>grades</w:t>
                  </w:r>
                  <w:proofErr w:type="gramEnd"/>
                  <w:r w:rsidRPr="00537ACF">
                    <w:rPr>
                      <w:rFonts w:ascii="Arial" w:hAnsi="Arial"/>
                      <w:b/>
                      <w:sz w:val="22"/>
                      <w:lang w:val="en-US"/>
                    </w:rPr>
                    <w:t xml:space="preserve"> 3 &amp; 4 (%)</w:t>
                  </w:r>
                </w:p>
              </w:tc>
            </w:tr>
          </w:tbl>
          <w:p w14:paraId="5A9B8594" w14:textId="77777777" w:rsidR="000B4520" w:rsidRPr="00284C3C" w:rsidRDefault="000B4520" w:rsidP="0088047D">
            <w:pPr>
              <w:autoSpaceDE/>
              <w:autoSpaceDN/>
              <w:adjustRightInd/>
              <w:rPr>
                <w:rFonts w:ascii="Arial" w:hAnsi="Arial"/>
                <w:b/>
                <w:sz w:val="22"/>
                <w:lang w:val="en-US"/>
              </w:rPr>
            </w:pPr>
          </w:p>
        </w:tc>
        <w:tc>
          <w:tcPr>
            <w:tcW w:w="1417" w:type="dxa"/>
            <w:tcBorders>
              <w:top w:val="nil"/>
              <w:left w:val="nil"/>
              <w:bottom w:val="single" w:sz="4" w:space="0" w:color="auto"/>
              <w:right w:val="nil"/>
            </w:tcBorders>
            <w:shd w:val="clear" w:color="auto" w:fill="auto"/>
          </w:tcPr>
          <w:p w14:paraId="1B60723C" w14:textId="77777777" w:rsidR="000B4520" w:rsidRPr="00284C3C" w:rsidRDefault="000B4520" w:rsidP="0088047D">
            <w:pPr>
              <w:spacing w:after="0" w:line="240" w:lineRule="auto"/>
              <w:jc w:val="center"/>
              <w:rPr>
                <w:rFonts w:ascii="Arial" w:hAnsi="Arial"/>
                <w:b/>
                <w:sz w:val="22"/>
                <w:lang w:val="en-US"/>
              </w:rPr>
            </w:pPr>
            <w:r w:rsidRPr="00284C3C">
              <w:rPr>
                <w:rFonts w:ascii="Arial" w:hAnsi="Arial"/>
                <w:b/>
                <w:sz w:val="22"/>
                <w:lang w:val="en-US"/>
              </w:rPr>
              <w:t>All grades (%)</w:t>
            </w:r>
          </w:p>
        </w:tc>
        <w:tc>
          <w:tcPr>
            <w:tcW w:w="1701" w:type="dxa"/>
            <w:tcBorders>
              <w:top w:val="nil"/>
              <w:left w:val="nil"/>
              <w:bottom w:val="single" w:sz="4" w:space="0" w:color="auto"/>
              <w:right w:val="nil"/>
            </w:tcBorders>
            <w:shd w:val="clear" w:color="auto" w:fill="auto"/>
          </w:tcPr>
          <w:p w14:paraId="5E0B17C0" w14:textId="77777777" w:rsidR="000B4520" w:rsidRPr="00284C3C" w:rsidRDefault="000B4520" w:rsidP="0088047D">
            <w:pPr>
              <w:spacing w:after="0" w:line="240" w:lineRule="auto"/>
              <w:jc w:val="center"/>
              <w:rPr>
                <w:rFonts w:ascii="Arial" w:hAnsi="Arial"/>
                <w:b/>
                <w:sz w:val="22"/>
                <w:lang w:val="en-US"/>
              </w:rPr>
            </w:pPr>
            <w:proofErr w:type="gramStart"/>
            <w:r w:rsidRPr="00284C3C">
              <w:rPr>
                <w:rFonts w:ascii="Arial" w:hAnsi="Arial"/>
                <w:b/>
                <w:sz w:val="22"/>
                <w:lang w:val="en-US"/>
              </w:rPr>
              <w:t>grades</w:t>
            </w:r>
            <w:proofErr w:type="gramEnd"/>
            <w:r w:rsidRPr="00284C3C">
              <w:rPr>
                <w:rFonts w:ascii="Arial" w:hAnsi="Arial"/>
                <w:b/>
                <w:sz w:val="22"/>
                <w:lang w:val="en-US"/>
              </w:rPr>
              <w:t xml:space="preserve"> 3 &amp; 4 (%)</w:t>
            </w:r>
          </w:p>
        </w:tc>
      </w:tr>
      <w:tr w:rsidR="000B4520" w:rsidRPr="00066D30" w14:paraId="0162BA71" w14:textId="77777777" w:rsidTr="001550EB">
        <w:trPr>
          <w:trHeight w:hRule="exact" w:val="284"/>
        </w:trPr>
        <w:tc>
          <w:tcPr>
            <w:tcW w:w="8755" w:type="dxa"/>
            <w:gridSpan w:val="5"/>
            <w:tcBorders>
              <w:top w:val="single" w:sz="4" w:space="0" w:color="auto"/>
              <w:left w:val="nil"/>
              <w:bottom w:val="nil"/>
              <w:right w:val="nil"/>
            </w:tcBorders>
            <w:shd w:val="clear" w:color="auto" w:fill="auto"/>
          </w:tcPr>
          <w:p w14:paraId="57FC33F9" w14:textId="77777777" w:rsidR="000B4520" w:rsidRPr="00284C3C" w:rsidRDefault="000B4520" w:rsidP="0088047D">
            <w:pPr>
              <w:autoSpaceDE/>
              <w:autoSpaceDN/>
              <w:adjustRightInd/>
              <w:rPr>
                <w:rFonts w:ascii="Arial" w:hAnsi="Arial"/>
                <w:b/>
                <w:sz w:val="22"/>
                <w:lang w:val="en-US"/>
              </w:rPr>
            </w:pPr>
            <w:r w:rsidRPr="00284C3C">
              <w:rPr>
                <w:rFonts w:ascii="Arial" w:hAnsi="Arial"/>
                <w:b/>
                <w:sz w:val="22"/>
                <w:lang w:val="en-US"/>
              </w:rPr>
              <w:t>Neoplasms benign and malignant (including cysts and polyps)</w:t>
            </w:r>
          </w:p>
        </w:tc>
      </w:tr>
      <w:tr w:rsidR="000B4520" w:rsidRPr="00066D30" w14:paraId="4B7F9A89" w14:textId="77777777" w:rsidTr="001550EB">
        <w:trPr>
          <w:trHeight w:hRule="exact" w:val="284"/>
        </w:trPr>
        <w:tc>
          <w:tcPr>
            <w:tcW w:w="2376" w:type="dxa"/>
            <w:tcBorders>
              <w:top w:val="nil"/>
              <w:left w:val="nil"/>
              <w:bottom w:val="nil"/>
              <w:right w:val="nil"/>
            </w:tcBorders>
            <w:shd w:val="clear" w:color="auto" w:fill="auto"/>
          </w:tcPr>
          <w:p w14:paraId="43973281"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Skin papilloma</w:t>
            </w:r>
          </w:p>
        </w:tc>
        <w:tc>
          <w:tcPr>
            <w:tcW w:w="1418" w:type="dxa"/>
            <w:tcBorders>
              <w:top w:val="nil"/>
              <w:left w:val="nil"/>
              <w:bottom w:val="nil"/>
              <w:right w:val="nil"/>
            </w:tcBorders>
            <w:shd w:val="clear" w:color="auto" w:fill="auto"/>
          </w:tcPr>
          <w:p w14:paraId="1A795436"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w:t>
            </w:r>
          </w:p>
        </w:tc>
        <w:tc>
          <w:tcPr>
            <w:tcW w:w="1843" w:type="dxa"/>
            <w:tcBorders>
              <w:top w:val="nil"/>
              <w:left w:val="nil"/>
              <w:bottom w:val="nil"/>
              <w:right w:val="nil"/>
            </w:tcBorders>
            <w:shd w:val="clear" w:color="auto" w:fill="auto"/>
          </w:tcPr>
          <w:p w14:paraId="3BA05649"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c>
          <w:tcPr>
            <w:tcW w:w="1417" w:type="dxa"/>
            <w:tcBorders>
              <w:top w:val="nil"/>
              <w:left w:val="nil"/>
              <w:bottom w:val="nil"/>
              <w:right w:val="nil"/>
            </w:tcBorders>
            <w:shd w:val="clear" w:color="auto" w:fill="auto"/>
          </w:tcPr>
          <w:p w14:paraId="111B10FA"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21</w:t>
            </w:r>
          </w:p>
        </w:tc>
        <w:tc>
          <w:tcPr>
            <w:tcW w:w="1701" w:type="dxa"/>
            <w:tcBorders>
              <w:top w:val="nil"/>
              <w:left w:val="nil"/>
              <w:bottom w:val="nil"/>
              <w:right w:val="nil"/>
            </w:tcBorders>
            <w:shd w:val="clear" w:color="auto" w:fill="auto"/>
          </w:tcPr>
          <w:p w14:paraId="56671438"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r>
      <w:tr w:rsidR="000B4520" w:rsidRPr="00066D30" w14:paraId="03688172" w14:textId="77777777" w:rsidTr="001550EB">
        <w:trPr>
          <w:trHeight w:hRule="exact" w:val="284"/>
        </w:trPr>
        <w:tc>
          <w:tcPr>
            <w:tcW w:w="2376" w:type="dxa"/>
            <w:tcBorders>
              <w:top w:val="nil"/>
              <w:left w:val="nil"/>
              <w:bottom w:val="nil"/>
              <w:right w:val="nil"/>
            </w:tcBorders>
            <w:shd w:val="clear" w:color="auto" w:fill="auto"/>
          </w:tcPr>
          <w:p w14:paraId="79584CB6"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Squamous cell carcinoma</w:t>
            </w:r>
          </w:p>
        </w:tc>
        <w:tc>
          <w:tcPr>
            <w:tcW w:w="1418" w:type="dxa"/>
            <w:tcBorders>
              <w:top w:val="nil"/>
              <w:left w:val="nil"/>
              <w:bottom w:val="nil"/>
              <w:right w:val="nil"/>
            </w:tcBorders>
            <w:shd w:val="clear" w:color="auto" w:fill="auto"/>
          </w:tcPr>
          <w:p w14:paraId="4B83E53E"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c>
          <w:tcPr>
            <w:tcW w:w="1843" w:type="dxa"/>
            <w:tcBorders>
              <w:top w:val="nil"/>
              <w:left w:val="nil"/>
              <w:bottom w:val="nil"/>
              <w:right w:val="nil"/>
            </w:tcBorders>
            <w:shd w:val="clear" w:color="auto" w:fill="auto"/>
          </w:tcPr>
          <w:p w14:paraId="1DFE5092"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c>
          <w:tcPr>
            <w:tcW w:w="1417" w:type="dxa"/>
            <w:tcBorders>
              <w:top w:val="nil"/>
              <w:left w:val="nil"/>
              <w:bottom w:val="nil"/>
              <w:right w:val="nil"/>
            </w:tcBorders>
            <w:shd w:val="clear" w:color="auto" w:fill="auto"/>
          </w:tcPr>
          <w:p w14:paraId="4065AABC"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4</w:t>
            </w:r>
          </w:p>
        </w:tc>
        <w:tc>
          <w:tcPr>
            <w:tcW w:w="1701" w:type="dxa"/>
            <w:tcBorders>
              <w:top w:val="nil"/>
              <w:left w:val="nil"/>
              <w:bottom w:val="nil"/>
              <w:right w:val="nil"/>
            </w:tcBorders>
            <w:shd w:val="clear" w:color="auto" w:fill="auto"/>
          </w:tcPr>
          <w:p w14:paraId="1753C2E5"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w:t>
            </w:r>
          </w:p>
        </w:tc>
      </w:tr>
      <w:tr w:rsidR="000B4520" w:rsidRPr="00066D30" w14:paraId="3312666C" w14:textId="77777777" w:rsidTr="001550EB">
        <w:trPr>
          <w:trHeight w:hRule="exact" w:val="284"/>
        </w:trPr>
        <w:tc>
          <w:tcPr>
            <w:tcW w:w="2376" w:type="dxa"/>
            <w:tcBorders>
              <w:top w:val="nil"/>
              <w:left w:val="nil"/>
              <w:bottom w:val="single" w:sz="4" w:space="0" w:color="auto"/>
              <w:right w:val="nil"/>
            </w:tcBorders>
            <w:shd w:val="clear" w:color="auto" w:fill="auto"/>
          </w:tcPr>
          <w:p w14:paraId="5B3A9302"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Squamous cell carcinoma of skin</w:t>
            </w:r>
          </w:p>
        </w:tc>
        <w:tc>
          <w:tcPr>
            <w:tcW w:w="1418" w:type="dxa"/>
            <w:tcBorders>
              <w:top w:val="nil"/>
              <w:left w:val="nil"/>
              <w:bottom w:val="single" w:sz="4" w:space="0" w:color="auto"/>
              <w:right w:val="nil"/>
            </w:tcBorders>
            <w:shd w:val="clear" w:color="auto" w:fill="auto"/>
          </w:tcPr>
          <w:p w14:paraId="71268E16" w14:textId="77777777" w:rsidR="000B4520" w:rsidRPr="00066D30" w:rsidRDefault="000B4520" w:rsidP="0088047D">
            <w:pPr>
              <w:autoSpaceDE/>
              <w:autoSpaceDN/>
              <w:adjustRightInd/>
              <w:jc w:val="center"/>
              <w:rPr>
                <w:rFonts w:ascii="Arial" w:hAnsi="Arial" w:cs="Arial"/>
                <w:sz w:val="22"/>
                <w:szCs w:val="22"/>
                <w:lang w:val="en-US"/>
              </w:rPr>
            </w:pPr>
            <w:r w:rsidRPr="00284C3C">
              <w:rPr>
                <w:rFonts w:ascii="Arial" w:hAnsi="Arial"/>
                <w:sz w:val="22"/>
                <w:lang w:val="en-US"/>
              </w:rPr>
              <w:t>&lt;1</w:t>
            </w:r>
          </w:p>
        </w:tc>
        <w:tc>
          <w:tcPr>
            <w:tcW w:w="1843" w:type="dxa"/>
            <w:tcBorders>
              <w:top w:val="nil"/>
              <w:left w:val="nil"/>
              <w:bottom w:val="single" w:sz="4" w:space="0" w:color="auto"/>
              <w:right w:val="nil"/>
            </w:tcBorders>
            <w:shd w:val="clear" w:color="auto" w:fill="auto"/>
          </w:tcPr>
          <w:p w14:paraId="6F25E471" w14:textId="77777777" w:rsidR="000B4520" w:rsidRPr="00066D30" w:rsidRDefault="000B4520" w:rsidP="0088047D">
            <w:pPr>
              <w:autoSpaceDE/>
              <w:autoSpaceDN/>
              <w:adjustRightInd/>
              <w:jc w:val="center"/>
              <w:rPr>
                <w:rFonts w:ascii="Arial" w:hAnsi="Arial" w:cs="Arial"/>
                <w:sz w:val="22"/>
                <w:szCs w:val="22"/>
                <w:lang w:val="en-US"/>
              </w:rPr>
            </w:pPr>
            <w:r w:rsidRPr="00284C3C">
              <w:rPr>
                <w:rFonts w:ascii="Arial" w:hAnsi="Arial"/>
                <w:sz w:val="22"/>
                <w:lang w:val="en-US"/>
              </w:rPr>
              <w:t>&lt;1</w:t>
            </w:r>
          </w:p>
        </w:tc>
        <w:tc>
          <w:tcPr>
            <w:tcW w:w="1417" w:type="dxa"/>
            <w:tcBorders>
              <w:top w:val="nil"/>
              <w:left w:val="nil"/>
              <w:bottom w:val="single" w:sz="4" w:space="0" w:color="auto"/>
              <w:right w:val="nil"/>
            </w:tcBorders>
            <w:shd w:val="clear" w:color="auto" w:fill="auto"/>
          </w:tcPr>
          <w:p w14:paraId="1BB9A609"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5</w:t>
            </w:r>
          </w:p>
        </w:tc>
        <w:tc>
          <w:tcPr>
            <w:tcW w:w="1701" w:type="dxa"/>
            <w:tcBorders>
              <w:top w:val="nil"/>
              <w:left w:val="nil"/>
              <w:bottom w:val="single" w:sz="4" w:space="0" w:color="auto"/>
              <w:right w:val="nil"/>
            </w:tcBorders>
            <w:shd w:val="clear" w:color="auto" w:fill="auto"/>
          </w:tcPr>
          <w:p w14:paraId="3C2358CC"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w:t>
            </w:r>
          </w:p>
        </w:tc>
      </w:tr>
      <w:tr w:rsidR="000B4520" w:rsidRPr="00066D30" w14:paraId="0B701410" w14:textId="77777777" w:rsidTr="001550EB">
        <w:trPr>
          <w:trHeight w:hRule="exact" w:val="284"/>
        </w:trPr>
        <w:tc>
          <w:tcPr>
            <w:tcW w:w="8755" w:type="dxa"/>
            <w:gridSpan w:val="5"/>
            <w:tcBorders>
              <w:top w:val="single" w:sz="4" w:space="0" w:color="auto"/>
              <w:left w:val="nil"/>
              <w:bottom w:val="nil"/>
              <w:right w:val="nil"/>
            </w:tcBorders>
            <w:shd w:val="clear" w:color="auto" w:fill="auto"/>
          </w:tcPr>
          <w:p w14:paraId="63F00EAE" w14:textId="77777777" w:rsidR="000B4520" w:rsidRPr="00066D30" w:rsidRDefault="000B4520" w:rsidP="0088047D">
            <w:pPr>
              <w:autoSpaceDE/>
              <w:autoSpaceDN/>
              <w:adjustRightInd/>
              <w:rPr>
                <w:rFonts w:ascii="Arial" w:hAnsi="Arial" w:cs="Arial"/>
                <w:b/>
                <w:sz w:val="22"/>
                <w:szCs w:val="22"/>
                <w:lang w:val="en-US"/>
              </w:rPr>
            </w:pPr>
            <w:r w:rsidRPr="00284C3C">
              <w:rPr>
                <w:rFonts w:ascii="Arial" w:hAnsi="Arial"/>
                <w:b/>
                <w:sz w:val="22"/>
                <w:lang w:val="en-US"/>
              </w:rPr>
              <w:t>Metabolism and nutritional disorders</w:t>
            </w:r>
          </w:p>
        </w:tc>
      </w:tr>
      <w:tr w:rsidR="000B4520" w:rsidRPr="005741DD" w14:paraId="61654793" w14:textId="77777777" w:rsidTr="001550EB">
        <w:trPr>
          <w:trHeight w:hRule="exact" w:val="284"/>
        </w:trPr>
        <w:tc>
          <w:tcPr>
            <w:tcW w:w="2376" w:type="dxa"/>
            <w:tcBorders>
              <w:top w:val="nil"/>
              <w:left w:val="nil"/>
              <w:bottom w:val="nil"/>
              <w:right w:val="nil"/>
            </w:tcBorders>
            <w:shd w:val="clear" w:color="auto" w:fill="auto"/>
          </w:tcPr>
          <w:p w14:paraId="65BE5E09"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Decreased appetite</w:t>
            </w:r>
          </w:p>
        </w:tc>
        <w:tc>
          <w:tcPr>
            <w:tcW w:w="1418" w:type="dxa"/>
            <w:tcBorders>
              <w:top w:val="nil"/>
              <w:left w:val="nil"/>
              <w:bottom w:val="nil"/>
              <w:right w:val="nil"/>
            </w:tcBorders>
            <w:shd w:val="clear" w:color="auto" w:fill="auto"/>
          </w:tcPr>
          <w:p w14:paraId="532A7043"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11</w:t>
            </w:r>
          </w:p>
        </w:tc>
        <w:tc>
          <w:tcPr>
            <w:tcW w:w="1843" w:type="dxa"/>
            <w:tcBorders>
              <w:top w:val="nil"/>
              <w:left w:val="nil"/>
              <w:bottom w:val="nil"/>
              <w:right w:val="nil"/>
            </w:tcBorders>
            <w:shd w:val="clear" w:color="auto" w:fill="auto"/>
          </w:tcPr>
          <w:p w14:paraId="1E2190E2"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c>
          <w:tcPr>
            <w:tcW w:w="1417" w:type="dxa"/>
            <w:tcBorders>
              <w:top w:val="nil"/>
              <w:left w:val="nil"/>
              <w:bottom w:val="nil"/>
              <w:right w:val="nil"/>
            </w:tcBorders>
            <w:shd w:val="clear" w:color="auto" w:fill="auto"/>
          </w:tcPr>
          <w:p w14:paraId="08C00014"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12</w:t>
            </w:r>
          </w:p>
        </w:tc>
        <w:tc>
          <w:tcPr>
            <w:tcW w:w="1701" w:type="dxa"/>
            <w:tcBorders>
              <w:top w:val="nil"/>
              <w:left w:val="nil"/>
              <w:bottom w:val="nil"/>
              <w:right w:val="nil"/>
            </w:tcBorders>
            <w:shd w:val="clear" w:color="auto" w:fill="auto"/>
          </w:tcPr>
          <w:p w14:paraId="48CFA7CD"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r>
      <w:tr w:rsidR="000B4520" w:rsidRPr="00066D30" w14:paraId="6931DA37" w14:textId="77777777" w:rsidTr="001550EB">
        <w:trPr>
          <w:trHeight w:hRule="exact" w:val="284"/>
        </w:trPr>
        <w:tc>
          <w:tcPr>
            <w:tcW w:w="2376" w:type="dxa"/>
            <w:tcBorders>
              <w:top w:val="nil"/>
              <w:left w:val="nil"/>
              <w:bottom w:val="nil"/>
              <w:right w:val="nil"/>
            </w:tcBorders>
            <w:shd w:val="clear" w:color="auto" w:fill="auto"/>
          </w:tcPr>
          <w:p w14:paraId="0577C605"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rPr>
              <w:t>Hyperglycaemia</w:t>
            </w:r>
          </w:p>
        </w:tc>
        <w:tc>
          <w:tcPr>
            <w:tcW w:w="1418" w:type="dxa"/>
            <w:tcBorders>
              <w:top w:val="nil"/>
              <w:left w:val="nil"/>
              <w:bottom w:val="nil"/>
              <w:right w:val="nil"/>
            </w:tcBorders>
            <w:shd w:val="clear" w:color="auto" w:fill="auto"/>
          </w:tcPr>
          <w:p w14:paraId="5EF46BB5"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3</w:t>
            </w:r>
          </w:p>
        </w:tc>
        <w:tc>
          <w:tcPr>
            <w:tcW w:w="1843" w:type="dxa"/>
            <w:tcBorders>
              <w:top w:val="nil"/>
              <w:left w:val="nil"/>
              <w:bottom w:val="nil"/>
              <w:right w:val="nil"/>
            </w:tcBorders>
            <w:shd w:val="clear" w:color="auto" w:fill="auto"/>
          </w:tcPr>
          <w:p w14:paraId="61D4D9F1"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w:t>
            </w:r>
          </w:p>
        </w:tc>
        <w:tc>
          <w:tcPr>
            <w:tcW w:w="1417" w:type="dxa"/>
            <w:tcBorders>
              <w:top w:val="nil"/>
              <w:left w:val="nil"/>
              <w:bottom w:val="nil"/>
              <w:right w:val="nil"/>
            </w:tcBorders>
            <w:shd w:val="clear" w:color="auto" w:fill="auto"/>
          </w:tcPr>
          <w:p w14:paraId="3DB9CE90"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c>
          <w:tcPr>
            <w:tcW w:w="1701" w:type="dxa"/>
            <w:tcBorders>
              <w:top w:val="nil"/>
              <w:left w:val="nil"/>
              <w:bottom w:val="nil"/>
              <w:right w:val="nil"/>
            </w:tcBorders>
            <w:shd w:val="clear" w:color="auto" w:fill="auto"/>
          </w:tcPr>
          <w:p w14:paraId="1C364641"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r>
      <w:tr w:rsidR="000B4520" w:rsidRPr="00066D30" w14:paraId="71A87744" w14:textId="77777777" w:rsidTr="001550EB">
        <w:trPr>
          <w:trHeight w:hRule="exact" w:val="284"/>
        </w:trPr>
        <w:tc>
          <w:tcPr>
            <w:tcW w:w="2376" w:type="dxa"/>
            <w:tcBorders>
              <w:top w:val="nil"/>
              <w:left w:val="nil"/>
              <w:bottom w:val="single" w:sz="4" w:space="0" w:color="auto"/>
              <w:right w:val="nil"/>
            </w:tcBorders>
            <w:shd w:val="clear" w:color="auto" w:fill="auto"/>
          </w:tcPr>
          <w:p w14:paraId="388D6F6F"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Hypophosphatemia</w:t>
            </w:r>
          </w:p>
        </w:tc>
        <w:tc>
          <w:tcPr>
            <w:tcW w:w="1418" w:type="dxa"/>
            <w:tcBorders>
              <w:top w:val="nil"/>
              <w:left w:val="nil"/>
              <w:bottom w:val="single" w:sz="4" w:space="0" w:color="auto"/>
              <w:right w:val="nil"/>
            </w:tcBorders>
            <w:shd w:val="clear" w:color="auto" w:fill="auto"/>
          </w:tcPr>
          <w:p w14:paraId="24F8CE0B"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w:t>
            </w:r>
          </w:p>
        </w:tc>
        <w:tc>
          <w:tcPr>
            <w:tcW w:w="1843" w:type="dxa"/>
            <w:tcBorders>
              <w:top w:val="nil"/>
              <w:left w:val="nil"/>
              <w:bottom w:val="single" w:sz="4" w:space="0" w:color="auto"/>
              <w:right w:val="nil"/>
            </w:tcBorders>
            <w:shd w:val="clear" w:color="auto" w:fill="auto"/>
          </w:tcPr>
          <w:p w14:paraId="780531DE"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w:t>
            </w:r>
          </w:p>
        </w:tc>
        <w:tc>
          <w:tcPr>
            <w:tcW w:w="1417" w:type="dxa"/>
            <w:tcBorders>
              <w:top w:val="nil"/>
              <w:left w:val="nil"/>
              <w:bottom w:val="single" w:sz="4" w:space="0" w:color="auto"/>
              <w:right w:val="nil"/>
            </w:tcBorders>
            <w:shd w:val="clear" w:color="auto" w:fill="auto"/>
          </w:tcPr>
          <w:p w14:paraId="7A57027D"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w:t>
            </w:r>
          </w:p>
        </w:tc>
        <w:tc>
          <w:tcPr>
            <w:tcW w:w="1701" w:type="dxa"/>
            <w:tcBorders>
              <w:top w:val="nil"/>
              <w:left w:val="nil"/>
              <w:bottom w:val="single" w:sz="4" w:space="0" w:color="auto"/>
              <w:right w:val="nil"/>
            </w:tcBorders>
            <w:shd w:val="clear" w:color="auto" w:fill="auto"/>
          </w:tcPr>
          <w:p w14:paraId="77076487"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w:t>
            </w:r>
          </w:p>
        </w:tc>
      </w:tr>
      <w:tr w:rsidR="000B4520" w:rsidRPr="00066D30" w14:paraId="47EE0B46" w14:textId="77777777" w:rsidTr="001550EB">
        <w:trPr>
          <w:trHeight w:hRule="exact" w:val="284"/>
        </w:trPr>
        <w:tc>
          <w:tcPr>
            <w:tcW w:w="8755" w:type="dxa"/>
            <w:gridSpan w:val="5"/>
            <w:tcBorders>
              <w:top w:val="single" w:sz="4" w:space="0" w:color="auto"/>
              <w:left w:val="nil"/>
              <w:bottom w:val="nil"/>
              <w:right w:val="nil"/>
            </w:tcBorders>
            <w:shd w:val="clear" w:color="auto" w:fill="auto"/>
          </w:tcPr>
          <w:p w14:paraId="66F45F04" w14:textId="77777777" w:rsidR="000B4520" w:rsidRPr="00284C3C" w:rsidRDefault="000B4520" w:rsidP="0088047D">
            <w:pPr>
              <w:autoSpaceDE/>
              <w:autoSpaceDN/>
              <w:adjustRightInd/>
              <w:jc w:val="left"/>
              <w:rPr>
                <w:rFonts w:ascii="Arial" w:hAnsi="Arial"/>
                <w:b/>
                <w:sz w:val="22"/>
                <w:lang w:val="en-US"/>
              </w:rPr>
            </w:pPr>
            <w:r w:rsidRPr="00284C3C">
              <w:rPr>
                <w:rFonts w:ascii="Arial" w:hAnsi="Arial"/>
                <w:b/>
                <w:sz w:val="22"/>
                <w:lang w:val="en-US"/>
              </w:rPr>
              <w:t>Nervous system disorders</w:t>
            </w:r>
          </w:p>
        </w:tc>
      </w:tr>
      <w:tr w:rsidR="000B4520" w:rsidRPr="00066D30" w14:paraId="61D630D1" w14:textId="77777777" w:rsidTr="001550EB">
        <w:trPr>
          <w:trHeight w:hRule="exact" w:val="284"/>
        </w:trPr>
        <w:tc>
          <w:tcPr>
            <w:tcW w:w="2376" w:type="dxa"/>
            <w:tcBorders>
              <w:top w:val="nil"/>
              <w:left w:val="nil"/>
              <w:bottom w:val="nil"/>
              <w:right w:val="nil"/>
            </w:tcBorders>
            <w:shd w:val="clear" w:color="auto" w:fill="auto"/>
          </w:tcPr>
          <w:p w14:paraId="123348B6"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Headache</w:t>
            </w:r>
          </w:p>
        </w:tc>
        <w:tc>
          <w:tcPr>
            <w:tcW w:w="1418" w:type="dxa"/>
            <w:tcBorders>
              <w:top w:val="nil"/>
              <w:left w:val="nil"/>
              <w:bottom w:val="nil"/>
              <w:right w:val="nil"/>
            </w:tcBorders>
            <w:shd w:val="clear" w:color="auto" w:fill="auto"/>
          </w:tcPr>
          <w:p w14:paraId="54791E25"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30</w:t>
            </w:r>
          </w:p>
        </w:tc>
        <w:tc>
          <w:tcPr>
            <w:tcW w:w="1843" w:type="dxa"/>
            <w:tcBorders>
              <w:top w:val="nil"/>
              <w:left w:val="nil"/>
              <w:bottom w:val="nil"/>
              <w:right w:val="nil"/>
            </w:tcBorders>
            <w:shd w:val="clear" w:color="auto" w:fill="auto"/>
          </w:tcPr>
          <w:p w14:paraId="45865BD7"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c>
          <w:tcPr>
            <w:tcW w:w="1417" w:type="dxa"/>
            <w:tcBorders>
              <w:top w:val="nil"/>
              <w:left w:val="nil"/>
              <w:bottom w:val="nil"/>
              <w:right w:val="nil"/>
            </w:tcBorders>
            <w:shd w:val="clear" w:color="auto" w:fill="auto"/>
          </w:tcPr>
          <w:p w14:paraId="4E7E1E3F"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29</w:t>
            </w:r>
          </w:p>
        </w:tc>
        <w:tc>
          <w:tcPr>
            <w:tcW w:w="1701" w:type="dxa"/>
            <w:tcBorders>
              <w:top w:val="nil"/>
              <w:left w:val="nil"/>
              <w:bottom w:val="nil"/>
              <w:right w:val="nil"/>
            </w:tcBorders>
            <w:shd w:val="clear" w:color="auto" w:fill="auto"/>
          </w:tcPr>
          <w:p w14:paraId="575B3A3E"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w:t>
            </w:r>
          </w:p>
        </w:tc>
      </w:tr>
      <w:tr w:rsidR="000B4520" w:rsidRPr="00066D30" w14:paraId="0F87AC2E" w14:textId="77777777" w:rsidTr="001550EB">
        <w:trPr>
          <w:trHeight w:hRule="exact" w:val="284"/>
        </w:trPr>
        <w:tc>
          <w:tcPr>
            <w:tcW w:w="2376" w:type="dxa"/>
            <w:tcBorders>
              <w:top w:val="nil"/>
              <w:left w:val="nil"/>
              <w:bottom w:val="single" w:sz="4" w:space="0" w:color="auto"/>
              <w:right w:val="nil"/>
            </w:tcBorders>
            <w:shd w:val="clear" w:color="auto" w:fill="auto"/>
          </w:tcPr>
          <w:p w14:paraId="711BA906"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Dizziness</w:t>
            </w:r>
          </w:p>
        </w:tc>
        <w:tc>
          <w:tcPr>
            <w:tcW w:w="1418" w:type="dxa"/>
            <w:tcBorders>
              <w:top w:val="nil"/>
              <w:left w:val="nil"/>
              <w:bottom w:val="single" w:sz="4" w:space="0" w:color="auto"/>
              <w:right w:val="nil"/>
            </w:tcBorders>
            <w:shd w:val="clear" w:color="auto" w:fill="auto"/>
          </w:tcPr>
          <w:p w14:paraId="4D3048FC"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10</w:t>
            </w:r>
          </w:p>
        </w:tc>
        <w:tc>
          <w:tcPr>
            <w:tcW w:w="1843" w:type="dxa"/>
            <w:tcBorders>
              <w:top w:val="nil"/>
              <w:left w:val="nil"/>
              <w:bottom w:val="single" w:sz="4" w:space="0" w:color="auto"/>
              <w:right w:val="nil"/>
            </w:tcBorders>
            <w:shd w:val="clear" w:color="auto" w:fill="auto"/>
          </w:tcPr>
          <w:p w14:paraId="506CC47C"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c>
          <w:tcPr>
            <w:tcW w:w="1417" w:type="dxa"/>
            <w:tcBorders>
              <w:top w:val="nil"/>
              <w:left w:val="nil"/>
              <w:bottom w:val="single" w:sz="4" w:space="0" w:color="auto"/>
              <w:right w:val="nil"/>
            </w:tcBorders>
            <w:shd w:val="clear" w:color="auto" w:fill="auto"/>
          </w:tcPr>
          <w:p w14:paraId="77BABA2F"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6</w:t>
            </w:r>
          </w:p>
        </w:tc>
        <w:tc>
          <w:tcPr>
            <w:tcW w:w="1701" w:type="dxa"/>
            <w:tcBorders>
              <w:top w:val="nil"/>
              <w:left w:val="nil"/>
              <w:bottom w:val="single" w:sz="4" w:space="0" w:color="auto"/>
              <w:right w:val="nil"/>
            </w:tcBorders>
            <w:shd w:val="clear" w:color="auto" w:fill="auto"/>
          </w:tcPr>
          <w:p w14:paraId="5185A7EA"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r>
      <w:tr w:rsidR="000B4520" w:rsidRPr="00066D30" w14:paraId="08C8ACAD" w14:textId="77777777" w:rsidTr="001550EB">
        <w:trPr>
          <w:trHeight w:hRule="exact" w:val="284"/>
        </w:trPr>
        <w:tc>
          <w:tcPr>
            <w:tcW w:w="8755" w:type="dxa"/>
            <w:gridSpan w:val="5"/>
            <w:tcBorders>
              <w:top w:val="single" w:sz="4" w:space="0" w:color="auto"/>
              <w:left w:val="nil"/>
              <w:bottom w:val="nil"/>
              <w:right w:val="nil"/>
            </w:tcBorders>
            <w:shd w:val="clear" w:color="auto" w:fill="auto"/>
          </w:tcPr>
          <w:p w14:paraId="62E510F7" w14:textId="77777777" w:rsidR="000B4520" w:rsidRPr="00066D30" w:rsidRDefault="000B4520" w:rsidP="0088047D">
            <w:pPr>
              <w:autoSpaceDE/>
              <w:autoSpaceDN/>
              <w:adjustRightInd/>
              <w:jc w:val="left"/>
              <w:rPr>
                <w:rFonts w:ascii="Arial" w:hAnsi="Arial" w:cs="Arial"/>
                <w:b/>
                <w:sz w:val="22"/>
                <w:szCs w:val="22"/>
                <w:lang w:val="en-US"/>
              </w:rPr>
            </w:pPr>
            <w:r w:rsidRPr="00284C3C">
              <w:rPr>
                <w:rFonts w:ascii="Arial" w:hAnsi="Arial"/>
                <w:b/>
                <w:sz w:val="22"/>
                <w:lang w:val="en-US"/>
              </w:rPr>
              <w:t>Respiratory, thoracic, and mediastinal disorders</w:t>
            </w:r>
          </w:p>
        </w:tc>
      </w:tr>
      <w:tr w:rsidR="000B4520" w:rsidRPr="00066D30" w14:paraId="545399A6" w14:textId="77777777" w:rsidTr="001550EB">
        <w:trPr>
          <w:trHeight w:hRule="exact" w:val="284"/>
        </w:trPr>
        <w:tc>
          <w:tcPr>
            <w:tcW w:w="2376" w:type="dxa"/>
            <w:tcBorders>
              <w:top w:val="nil"/>
              <w:left w:val="nil"/>
              <w:bottom w:val="nil"/>
              <w:right w:val="nil"/>
            </w:tcBorders>
            <w:shd w:val="clear" w:color="auto" w:fill="auto"/>
          </w:tcPr>
          <w:p w14:paraId="15950D44"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Cough</w:t>
            </w:r>
          </w:p>
        </w:tc>
        <w:tc>
          <w:tcPr>
            <w:tcW w:w="1418" w:type="dxa"/>
            <w:tcBorders>
              <w:top w:val="nil"/>
              <w:left w:val="nil"/>
              <w:bottom w:val="nil"/>
              <w:right w:val="nil"/>
            </w:tcBorders>
            <w:shd w:val="clear" w:color="auto" w:fill="auto"/>
          </w:tcPr>
          <w:p w14:paraId="122AA7D2"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16</w:t>
            </w:r>
          </w:p>
        </w:tc>
        <w:tc>
          <w:tcPr>
            <w:tcW w:w="1843" w:type="dxa"/>
            <w:tcBorders>
              <w:top w:val="nil"/>
              <w:left w:val="nil"/>
              <w:bottom w:val="nil"/>
              <w:right w:val="nil"/>
            </w:tcBorders>
            <w:shd w:val="clear" w:color="auto" w:fill="auto"/>
          </w:tcPr>
          <w:p w14:paraId="0974ED06"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c>
          <w:tcPr>
            <w:tcW w:w="1417" w:type="dxa"/>
            <w:tcBorders>
              <w:top w:val="nil"/>
              <w:left w:val="nil"/>
              <w:bottom w:val="nil"/>
              <w:right w:val="nil"/>
            </w:tcBorders>
            <w:shd w:val="clear" w:color="auto" w:fill="auto"/>
          </w:tcPr>
          <w:p w14:paraId="65B5A877"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17</w:t>
            </w:r>
          </w:p>
        </w:tc>
        <w:tc>
          <w:tcPr>
            <w:tcW w:w="1701" w:type="dxa"/>
            <w:tcBorders>
              <w:top w:val="nil"/>
              <w:left w:val="nil"/>
              <w:bottom w:val="nil"/>
              <w:right w:val="nil"/>
            </w:tcBorders>
            <w:shd w:val="clear" w:color="auto" w:fill="auto"/>
          </w:tcPr>
          <w:p w14:paraId="050CBA4C"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r>
      <w:tr w:rsidR="000B4520" w:rsidRPr="00066D30" w14:paraId="371BCB94" w14:textId="77777777" w:rsidTr="001550EB">
        <w:trPr>
          <w:trHeight w:hRule="exact" w:val="284"/>
        </w:trPr>
        <w:tc>
          <w:tcPr>
            <w:tcW w:w="2376" w:type="dxa"/>
            <w:tcBorders>
              <w:top w:val="nil"/>
              <w:left w:val="nil"/>
              <w:bottom w:val="single" w:sz="4" w:space="0" w:color="auto"/>
              <w:right w:val="nil"/>
            </w:tcBorders>
            <w:shd w:val="clear" w:color="auto" w:fill="auto"/>
          </w:tcPr>
          <w:p w14:paraId="263A5D4F"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lastRenderedPageBreak/>
              <w:t>Dyspnea</w:t>
            </w:r>
          </w:p>
        </w:tc>
        <w:tc>
          <w:tcPr>
            <w:tcW w:w="1418" w:type="dxa"/>
            <w:tcBorders>
              <w:top w:val="nil"/>
              <w:left w:val="nil"/>
              <w:bottom w:val="single" w:sz="4" w:space="0" w:color="auto"/>
              <w:right w:val="nil"/>
            </w:tcBorders>
            <w:shd w:val="clear" w:color="auto" w:fill="auto"/>
          </w:tcPr>
          <w:p w14:paraId="281A57AC"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6</w:t>
            </w:r>
          </w:p>
        </w:tc>
        <w:tc>
          <w:tcPr>
            <w:tcW w:w="1843" w:type="dxa"/>
            <w:tcBorders>
              <w:top w:val="nil"/>
              <w:left w:val="nil"/>
              <w:bottom w:val="single" w:sz="4" w:space="0" w:color="auto"/>
              <w:right w:val="nil"/>
            </w:tcBorders>
            <w:shd w:val="clear" w:color="auto" w:fill="auto"/>
          </w:tcPr>
          <w:p w14:paraId="15A22F43"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c>
          <w:tcPr>
            <w:tcW w:w="1417" w:type="dxa"/>
            <w:tcBorders>
              <w:top w:val="nil"/>
              <w:left w:val="nil"/>
              <w:bottom w:val="single" w:sz="4" w:space="0" w:color="auto"/>
              <w:right w:val="nil"/>
            </w:tcBorders>
            <w:shd w:val="clear" w:color="auto" w:fill="auto"/>
          </w:tcPr>
          <w:p w14:paraId="09FBE5A6"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9</w:t>
            </w:r>
          </w:p>
        </w:tc>
        <w:tc>
          <w:tcPr>
            <w:tcW w:w="1701" w:type="dxa"/>
            <w:tcBorders>
              <w:top w:val="nil"/>
              <w:left w:val="nil"/>
              <w:bottom w:val="single" w:sz="4" w:space="0" w:color="auto"/>
              <w:right w:val="nil"/>
            </w:tcBorders>
            <w:shd w:val="clear" w:color="auto" w:fill="auto"/>
          </w:tcPr>
          <w:p w14:paraId="1FA5CFA6"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w:t>
            </w:r>
          </w:p>
        </w:tc>
      </w:tr>
      <w:tr w:rsidR="000B4520" w:rsidRPr="00066D30" w14:paraId="6537C0E8" w14:textId="77777777" w:rsidTr="001550EB">
        <w:trPr>
          <w:trHeight w:hRule="exact" w:val="284"/>
        </w:trPr>
        <w:tc>
          <w:tcPr>
            <w:tcW w:w="8755" w:type="dxa"/>
            <w:gridSpan w:val="5"/>
            <w:tcBorders>
              <w:top w:val="single" w:sz="4" w:space="0" w:color="auto"/>
              <w:left w:val="nil"/>
              <w:bottom w:val="nil"/>
              <w:right w:val="nil"/>
            </w:tcBorders>
            <w:shd w:val="clear" w:color="auto" w:fill="auto"/>
          </w:tcPr>
          <w:p w14:paraId="405DB00D" w14:textId="77777777" w:rsidR="000B4520" w:rsidRPr="00066D30" w:rsidRDefault="000B4520" w:rsidP="0088047D">
            <w:pPr>
              <w:autoSpaceDE/>
              <w:autoSpaceDN/>
              <w:adjustRightInd/>
              <w:jc w:val="left"/>
              <w:rPr>
                <w:rFonts w:ascii="Arial" w:hAnsi="Arial" w:cs="Arial"/>
                <w:b/>
                <w:sz w:val="22"/>
                <w:szCs w:val="22"/>
                <w:lang w:val="en-US"/>
              </w:rPr>
            </w:pPr>
            <w:r w:rsidRPr="00284C3C">
              <w:rPr>
                <w:rFonts w:ascii="Arial" w:hAnsi="Arial"/>
                <w:b/>
                <w:sz w:val="22"/>
                <w:lang w:val="en-US"/>
              </w:rPr>
              <w:t>Gastrointestinal disorders</w:t>
            </w:r>
          </w:p>
        </w:tc>
      </w:tr>
      <w:tr w:rsidR="000B4520" w:rsidRPr="00066D30" w14:paraId="4D89CF0C" w14:textId="77777777" w:rsidTr="001550EB">
        <w:trPr>
          <w:trHeight w:hRule="exact" w:val="284"/>
        </w:trPr>
        <w:tc>
          <w:tcPr>
            <w:tcW w:w="2376" w:type="dxa"/>
            <w:tcBorders>
              <w:top w:val="nil"/>
              <w:left w:val="nil"/>
              <w:bottom w:val="nil"/>
              <w:right w:val="nil"/>
            </w:tcBorders>
            <w:shd w:val="clear" w:color="auto" w:fill="auto"/>
          </w:tcPr>
          <w:p w14:paraId="26F06A7C"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Nausea</w:t>
            </w:r>
          </w:p>
        </w:tc>
        <w:tc>
          <w:tcPr>
            <w:tcW w:w="1418" w:type="dxa"/>
            <w:tcBorders>
              <w:top w:val="nil"/>
              <w:left w:val="nil"/>
              <w:bottom w:val="nil"/>
              <w:right w:val="nil"/>
            </w:tcBorders>
            <w:shd w:val="clear" w:color="auto" w:fill="auto"/>
          </w:tcPr>
          <w:p w14:paraId="7031E798"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30</w:t>
            </w:r>
          </w:p>
        </w:tc>
        <w:tc>
          <w:tcPr>
            <w:tcW w:w="1843" w:type="dxa"/>
            <w:tcBorders>
              <w:top w:val="nil"/>
              <w:left w:val="nil"/>
              <w:bottom w:val="nil"/>
              <w:right w:val="nil"/>
            </w:tcBorders>
            <w:shd w:val="clear" w:color="auto" w:fill="auto"/>
          </w:tcPr>
          <w:p w14:paraId="458E962C"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c>
          <w:tcPr>
            <w:tcW w:w="1417" w:type="dxa"/>
            <w:tcBorders>
              <w:top w:val="nil"/>
              <w:left w:val="nil"/>
              <w:bottom w:val="nil"/>
              <w:right w:val="nil"/>
            </w:tcBorders>
            <w:shd w:val="clear" w:color="auto" w:fill="auto"/>
          </w:tcPr>
          <w:p w14:paraId="0A23FBD1"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26</w:t>
            </w:r>
          </w:p>
        </w:tc>
        <w:tc>
          <w:tcPr>
            <w:tcW w:w="1701" w:type="dxa"/>
            <w:tcBorders>
              <w:top w:val="nil"/>
              <w:left w:val="nil"/>
              <w:bottom w:val="nil"/>
              <w:right w:val="nil"/>
            </w:tcBorders>
            <w:shd w:val="clear" w:color="auto" w:fill="auto"/>
          </w:tcPr>
          <w:p w14:paraId="21802EA2"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w:t>
            </w:r>
          </w:p>
        </w:tc>
      </w:tr>
      <w:tr w:rsidR="000B4520" w:rsidRPr="00066D30" w14:paraId="486C1FA6" w14:textId="77777777" w:rsidTr="001550EB">
        <w:trPr>
          <w:trHeight w:hRule="exact" w:val="284"/>
        </w:trPr>
        <w:tc>
          <w:tcPr>
            <w:tcW w:w="2376" w:type="dxa"/>
            <w:tcBorders>
              <w:top w:val="nil"/>
              <w:left w:val="nil"/>
              <w:bottom w:val="nil"/>
              <w:right w:val="nil"/>
            </w:tcBorders>
            <w:shd w:val="clear" w:color="auto" w:fill="auto"/>
          </w:tcPr>
          <w:p w14:paraId="3AD8E32A"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Diarrhoea</w:t>
            </w:r>
          </w:p>
        </w:tc>
        <w:tc>
          <w:tcPr>
            <w:tcW w:w="1418" w:type="dxa"/>
            <w:tcBorders>
              <w:top w:val="nil"/>
              <w:left w:val="nil"/>
              <w:bottom w:val="nil"/>
              <w:right w:val="nil"/>
            </w:tcBorders>
            <w:shd w:val="clear" w:color="auto" w:fill="auto"/>
          </w:tcPr>
          <w:p w14:paraId="2D8F9A00"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24</w:t>
            </w:r>
          </w:p>
        </w:tc>
        <w:tc>
          <w:tcPr>
            <w:tcW w:w="1843" w:type="dxa"/>
            <w:tcBorders>
              <w:top w:val="nil"/>
              <w:left w:val="nil"/>
              <w:bottom w:val="nil"/>
              <w:right w:val="nil"/>
            </w:tcBorders>
            <w:shd w:val="clear" w:color="auto" w:fill="auto"/>
          </w:tcPr>
          <w:p w14:paraId="7913C05F"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c>
          <w:tcPr>
            <w:tcW w:w="1417" w:type="dxa"/>
            <w:tcBorders>
              <w:top w:val="nil"/>
              <w:left w:val="nil"/>
              <w:bottom w:val="nil"/>
              <w:right w:val="nil"/>
            </w:tcBorders>
            <w:shd w:val="clear" w:color="auto" w:fill="auto"/>
          </w:tcPr>
          <w:p w14:paraId="05C7FC91"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14</w:t>
            </w:r>
          </w:p>
        </w:tc>
        <w:tc>
          <w:tcPr>
            <w:tcW w:w="1701" w:type="dxa"/>
            <w:tcBorders>
              <w:top w:val="nil"/>
              <w:left w:val="nil"/>
              <w:bottom w:val="nil"/>
              <w:right w:val="nil"/>
            </w:tcBorders>
            <w:shd w:val="clear" w:color="auto" w:fill="auto"/>
          </w:tcPr>
          <w:p w14:paraId="64310A7C"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r>
      <w:tr w:rsidR="000B4520" w:rsidRPr="00066D30" w14:paraId="73989D3F" w14:textId="77777777" w:rsidTr="001550EB">
        <w:trPr>
          <w:trHeight w:hRule="exact" w:val="284"/>
        </w:trPr>
        <w:tc>
          <w:tcPr>
            <w:tcW w:w="2376" w:type="dxa"/>
            <w:tcBorders>
              <w:top w:val="nil"/>
              <w:left w:val="nil"/>
              <w:bottom w:val="nil"/>
              <w:right w:val="nil"/>
            </w:tcBorders>
            <w:shd w:val="clear" w:color="auto" w:fill="auto"/>
          </w:tcPr>
          <w:p w14:paraId="7706ECA8"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Vomiting</w:t>
            </w:r>
          </w:p>
        </w:tc>
        <w:tc>
          <w:tcPr>
            <w:tcW w:w="1418" w:type="dxa"/>
            <w:tcBorders>
              <w:top w:val="nil"/>
              <w:left w:val="nil"/>
              <w:bottom w:val="nil"/>
              <w:right w:val="nil"/>
            </w:tcBorders>
            <w:shd w:val="clear" w:color="auto" w:fill="auto"/>
          </w:tcPr>
          <w:p w14:paraId="5FB1E290"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20</w:t>
            </w:r>
          </w:p>
        </w:tc>
        <w:tc>
          <w:tcPr>
            <w:tcW w:w="1843" w:type="dxa"/>
            <w:tcBorders>
              <w:top w:val="nil"/>
              <w:left w:val="nil"/>
              <w:bottom w:val="nil"/>
              <w:right w:val="nil"/>
            </w:tcBorders>
            <w:shd w:val="clear" w:color="auto" w:fill="auto"/>
          </w:tcPr>
          <w:p w14:paraId="464DA021"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c>
          <w:tcPr>
            <w:tcW w:w="1417" w:type="dxa"/>
            <w:tcBorders>
              <w:top w:val="nil"/>
              <w:left w:val="nil"/>
              <w:bottom w:val="nil"/>
              <w:right w:val="nil"/>
            </w:tcBorders>
            <w:shd w:val="clear" w:color="auto" w:fill="auto"/>
          </w:tcPr>
          <w:p w14:paraId="2B04E875"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14</w:t>
            </w:r>
          </w:p>
        </w:tc>
        <w:tc>
          <w:tcPr>
            <w:tcW w:w="1701" w:type="dxa"/>
            <w:tcBorders>
              <w:top w:val="nil"/>
              <w:left w:val="nil"/>
              <w:bottom w:val="nil"/>
              <w:right w:val="nil"/>
            </w:tcBorders>
            <w:shd w:val="clear" w:color="auto" w:fill="auto"/>
          </w:tcPr>
          <w:p w14:paraId="76569B81"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r>
      <w:tr w:rsidR="000B4520" w:rsidRPr="00066D30" w14:paraId="0A1E6739" w14:textId="77777777" w:rsidTr="001550EB">
        <w:trPr>
          <w:trHeight w:hRule="exact" w:val="284"/>
        </w:trPr>
        <w:tc>
          <w:tcPr>
            <w:tcW w:w="2376" w:type="dxa"/>
            <w:tcBorders>
              <w:top w:val="nil"/>
              <w:left w:val="nil"/>
              <w:bottom w:val="nil"/>
              <w:right w:val="nil"/>
            </w:tcBorders>
            <w:shd w:val="clear" w:color="auto" w:fill="auto"/>
          </w:tcPr>
          <w:p w14:paraId="40D55D9E"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Constipation</w:t>
            </w:r>
          </w:p>
        </w:tc>
        <w:tc>
          <w:tcPr>
            <w:tcW w:w="1418" w:type="dxa"/>
            <w:tcBorders>
              <w:top w:val="nil"/>
              <w:left w:val="nil"/>
              <w:bottom w:val="nil"/>
              <w:right w:val="nil"/>
            </w:tcBorders>
            <w:shd w:val="clear" w:color="auto" w:fill="auto"/>
          </w:tcPr>
          <w:p w14:paraId="5475473F"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11</w:t>
            </w:r>
          </w:p>
        </w:tc>
        <w:tc>
          <w:tcPr>
            <w:tcW w:w="1843" w:type="dxa"/>
            <w:tcBorders>
              <w:top w:val="nil"/>
              <w:left w:val="nil"/>
              <w:bottom w:val="nil"/>
              <w:right w:val="nil"/>
            </w:tcBorders>
            <w:shd w:val="clear" w:color="auto" w:fill="auto"/>
          </w:tcPr>
          <w:p w14:paraId="323B155A" w14:textId="77777777" w:rsidR="000B4520" w:rsidRPr="00284C3C" w:rsidRDefault="000B4520" w:rsidP="0088047D">
            <w:pPr>
              <w:autoSpaceDE/>
              <w:autoSpaceDN/>
              <w:adjustRightInd/>
              <w:jc w:val="center"/>
              <w:rPr>
                <w:rFonts w:ascii="Arial" w:hAnsi="Arial"/>
                <w:sz w:val="22"/>
              </w:rPr>
            </w:pPr>
            <w:r w:rsidRPr="00284C3C">
              <w:rPr>
                <w:rFonts w:ascii="Arial" w:hAnsi="Arial"/>
                <w:sz w:val="22"/>
              </w:rPr>
              <w:t>&lt;1</w:t>
            </w:r>
          </w:p>
        </w:tc>
        <w:tc>
          <w:tcPr>
            <w:tcW w:w="1417" w:type="dxa"/>
            <w:tcBorders>
              <w:top w:val="nil"/>
              <w:left w:val="nil"/>
              <w:bottom w:val="nil"/>
              <w:right w:val="nil"/>
            </w:tcBorders>
            <w:shd w:val="clear" w:color="auto" w:fill="auto"/>
          </w:tcPr>
          <w:p w14:paraId="1FAEF2E4"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9</w:t>
            </w:r>
          </w:p>
        </w:tc>
        <w:tc>
          <w:tcPr>
            <w:tcW w:w="1701" w:type="dxa"/>
            <w:tcBorders>
              <w:top w:val="nil"/>
              <w:left w:val="nil"/>
              <w:bottom w:val="nil"/>
              <w:right w:val="nil"/>
            </w:tcBorders>
            <w:shd w:val="clear" w:color="auto" w:fill="auto"/>
          </w:tcPr>
          <w:p w14:paraId="15A8DC76"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r>
      <w:tr w:rsidR="000B4520" w:rsidRPr="00066D30" w14:paraId="3B11621F" w14:textId="77777777" w:rsidTr="001550EB">
        <w:trPr>
          <w:trHeight w:hRule="exact" w:val="284"/>
        </w:trPr>
        <w:tc>
          <w:tcPr>
            <w:tcW w:w="2376" w:type="dxa"/>
            <w:tcBorders>
              <w:top w:val="nil"/>
              <w:left w:val="nil"/>
              <w:bottom w:val="single" w:sz="4" w:space="0" w:color="auto"/>
              <w:right w:val="nil"/>
            </w:tcBorders>
            <w:shd w:val="clear" w:color="auto" w:fill="auto"/>
          </w:tcPr>
          <w:p w14:paraId="4B6AACB4"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Abdominal pain</w:t>
            </w:r>
          </w:p>
        </w:tc>
        <w:tc>
          <w:tcPr>
            <w:tcW w:w="1418" w:type="dxa"/>
            <w:tcBorders>
              <w:top w:val="nil"/>
              <w:left w:val="nil"/>
              <w:bottom w:val="single" w:sz="4" w:space="0" w:color="auto"/>
              <w:right w:val="nil"/>
            </w:tcBorders>
            <w:shd w:val="clear" w:color="auto" w:fill="auto"/>
          </w:tcPr>
          <w:p w14:paraId="56705BAB"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11</w:t>
            </w:r>
          </w:p>
        </w:tc>
        <w:tc>
          <w:tcPr>
            <w:tcW w:w="1843" w:type="dxa"/>
            <w:tcBorders>
              <w:top w:val="nil"/>
              <w:left w:val="nil"/>
              <w:bottom w:val="single" w:sz="4" w:space="0" w:color="auto"/>
              <w:right w:val="nil"/>
            </w:tcBorders>
            <w:shd w:val="clear" w:color="auto" w:fill="auto"/>
          </w:tcPr>
          <w:p w14:paraId="2F7986A4" w14:textId="77777777" w:rsidR="000B4520" w:rsidRPr="00284C3C" w:rsidRDefault="000B4520" w:rsidP="0088047D">
            <w:pPr>
              <w:autoSpaceDE/>
              <w:autoSpaceDN/>
              <w:adjustRightInd/>
              <w:jc w:val="center"/>
              <w:rPr>
                <w:rFonts w:ascii="Arial" w:hAnsi="Arial"/>
                <w:sz w:val="22"/>
              </w:rPr>
            </w:pPr>
            <w:r w:rsidRPr="00284C3C">
              <w:rPr>
                <w:rFonts w:ascii="Arial" w:hAnsi="Arial"/>
                <w:sz w:val="22"/>
              </w:rPr>
              <w:t>&lt;1</w:t>
            </w:r>
          </w:p>
        </w:tc>
        <w:tc>
          <w:tcPr>
            <w:tcW w:w="1417" w:type="dxa"/>
            <w:tcBorders>
              <w:top w:val="nil"/>
              <w:left w:val="nil"/>
              <w:bottom w:val="single" w:sz="4" w:space="0" w:color="auto"/>
              <w:right w:val="nil"/>
            </w:tcBorders>
            <w:shd w:val="clear" w:color="auto" w:fill="auto"/>
          </w:tcPr>
          <w:p w14:paraId="642EFB0C"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7</w:t>
            </w:r>
          </w:p>
        </w:tc>
        <w:tc>
          <w:tcPr>
            <w:tcW w:w="1701" w:type="dxa"/>
            <w:tcBorders>
              <w:top w:val="nil"/>
              <w:left w:val="nil"/>
              <w:bottom w:val="single" w:sz="4" w:space="0" w:color="auto"/>
              <w:right w:val="nil"/>
            </w:tcBorders>
            <w:shd w:val="clear" w:color="auto" w:fill="auto"/>
          </w:tcPr>
          <w:p w14:paraId="7961E169"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w:t>
            </w:r>
          </w:p>
        </w:tc>
      </w:tr>
      <w:tr w:rsidR="000B4520" w:rsidRPr="00066D30" w14:paraId="5A492E84" w14:textId="77777777" w:rsidTr="001550EB">
        <w:trPr>
          <w:trHeight w:hRule="exact" w:val="284"/>
        </w:trPr>
        <w:tc>
          <w:tcPr>
            <w:tcW w:w="8755" w:type="dxa"/>
            <w:gridSpan w:val="5"/>
            <w:tcBorders>
              <w:top w:val="single" w:sz="4" w:space="0" w:color="auto"/>
              <w:left w:val="nil"/>
              <w:bottom w:val="nil"/>
              <w:right w:val="nil"/>
            </w:tcBorders>
            <w:shd w:val="clear" w:color="auto" w:fill="auto"/>
          </w:tcPr>
          <w:p w14:paraId="24EE052C" w14:textId="77777777" w:rsidR="000B4520" w:rsidRPr="00066D30" w:rsidRDefault="000B4520" w:rsidP="0088047D">
            <w:pPr>
              <w:autoSpaceDE/>
              <w:autoSpaceDN/>
              <w:adjustRightInd/>
              <w:jc w:val="left"/>
              <w:rPr>
                <w:rFonts w:ascii="Arial" w:hAnsi="Arial" w:cs="Arial"/>
                <w:b/>
                <w:sz w:val="22"/>
                <w:szCs w:val="22"/>
                <w:lang w:val="en-US"/>
              </w:rPr>
            </w:pPr>
            <w:r w:rsidRPr="00284C3C">
              <w:rPr>
                <w:rFonts w:ascii="Arial" w:hAnsi="Arial"/>
                <w:b/>
                <w:sz w:val="22"/>
                <w:lang w:val="en-US"/>
              </w:rPr>
              <w:t>Skin and subcutaneous tissue disorders</w:t>
            </w:r>
          </w:p>
        </w:tc>
      </w:tr>
      <w:tr w:rsidR="000B4520" w:rsidRPr="00066D30" w14:paraId="13ED94FF" w14:textId="77777777" w:rsidTr="001550EB">
        <w:trPr>
          <w:trHeight w:hRule="exact" w:val="284"/>
        </w:trPr>
        <w:tc>
          <w:tcPr>
            <w:tcW w:w="2376" w:type="dxa"/>
            <w:tcBorders>
              <w:top w:val="nil"/>
              <w:left w:val="nil"/>
              <w:bottom w:val="nil"/>
              <w:right w:val="nil"/>
            </w:tcBorders>
            <w:shd w:val="clear" w:color="auto" w:fill="auto"/>
          </w:tcPr>
          <w:p w14:paraId="448A6D5F"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Rash</w:t>
            </w:r>
          </w:p>
        </w:tc>
        <w:tc>
          <w:tcPr>
            <w:tcW w:w="1418" w:type="dxa"/>
            <w:tcBorders>
              <w:top w:val="nil"/>
              <w:left w:val="nil"/>
              <w:bottom w:val="nil"/>
              <w:right w:val="nil"/>
            </w:tcBorders>
            <w:shd w:val="clear" w:color="auto" w:fill="auto"/>
          </w:tcPr>
          <w:p w14:paraId="0D92B32D"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23</w:t>
            </w:r>
          </w:p>
        </w:tc>
        <w:tc>
          <w:tcPr>
            <w:tcW w:w="1843" w:type="dxa"/>
            <w:tcBorders>
              <w:top w:val="nil"/>
              <w:left w:val="nil"/>
              <w:bottom w:val="nil"/>
              <w:right w:val="nil"/>
            </w:tcBorders>
            <w:shd w:val="clear" w:color="auto" w:fill="auto"/>
          </w:tcPr>
          <w:p w14:paraId="4FF07AC5"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c>
          <w:tcPr>
            <w:tcW w:w="1417" w:type="dxa"/>
            <w:tcBorders>
              <w:top w:val="nil"/>
              <w:left w:val="nil"/>
              <w:bottom w:val="nil"/>
              <w:right w:val="nil"/>
            </w:tcBorders>
            <w:shd w:val="clear" w:color="auto" w:fill="auto"/>
          </w:tcPr>
          <w:p w14:paraId="57A2C4F6"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22</w:t>
            </w:r>
          </w:p>
        </w:tc>
        <w:tc>
          <w:tcPr>
            <w:tcW w:w="1701" w:type="dxa"/>
            <w:tcBorders>
              <w:top w:val="nil"/>
              <w:left w:val="nil"/>
              <w:bottom w:val="nil"/>
              <w:right w:val="nil"/>
            </w:tcBorders>
            <w:shd w:val="clear" w:color="auto" w:fill="auto"/>
          </w:tcPr>
          <w:p w14:paraId="1A6AF2B4"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r>
      <w:tr w:rsidR="000B4520" w:rsidRPr="00066D30" w14:paraId="6CEA6023" w14:textId="77777777" w:rsidTr="001550EB">
        <w:trPr>
          <w:trHeight w:hRule="exact" w:val="284"/>
        </w:trPr>
        <w:tc>
          <w:tcPr>
            <w:tcW w:w="2376" w:type="dxa"/>
            <w:tcBorders>
              <w:top w:val="nil"/>
              <w:left w:val="nil"/>
              <w:bottom w:val="nil"/>
              <w:right w:val="nil"/>
            </w:tcBorders>
            <w:shd w:val="clear" w:color="auto" w:fill="auto"/>
          </w:tcPr>
          <w:p w14:paraId="1C79B78E"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Dry skin</w:t>
            </w:r>
          </w:p>
        </w:tc>
        <w:tc>
          <w:tcPr>
            <w:tcW w:w="1418" w:type="dxa"/>
            <w:tcBorders>
              <w:top w:val="nil"/>
              <w:left w:val="nil"/>
              <w:bottom w:val="nil"/>
              <w:right w:val="nil"/>
            </w:tcBorders>
            <w:shd w:val="clear" w:color="auto" w:fill="auto"/>
          </w:tcPr>
          <w:p w14:paraId="04838FEA"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9</w:t>
            </w:r>
          </w:p>
        </w:tc>
        <w:tc>
          <w:tcPr>
            <w:tcW w:w="1843" w:type="dxa"/>
            <w:tcBorders>
              <w:top w:val="nil"/>
              <w:left w:val="nil"/>
              <w:bottom w:val="nil"/>
              <w:right w:val="nil"/>
            </w:tcBorders>
            <w:shd w:val="clear" w:color="auto" w:fill="auto"/>
          </w:tcPr>
          <w:p w14:paraId="4634C8DE"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c>
          <w:tcPr>
            <w:tcW w:w="1417" w:type="dxa"/>
            <w:tcBorders>
              <w:top w:val="nil"/>
              <w:left w:val="nil"/>
              <w:bottom w:val="nil"/>
              <w:right w:val="nil"/>
            </w:tcBorders>
            <w:shd w:val="clear" w:color="auto" w:fill="auto"/>
          </w:tcPr>
          <w:p w14:paraId="720AC3B6"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13</w:t>
            </w:r>
          </w:p>
        </w:tc>
        <w:tc>
          <w:tcPr>
            <w:tcW w:w="1701" w:type="dxa"/>
            <w:tcBorders>
              <w:top w:val="nil"/>
              <w:left w:val="nil"/>
              <w:bottom w:val="nil"/>
              <w:right w:val="nil"/>
            </w:tcBorders>
            <w:shd w:val="clear" w:color="auto" w:fill="auto"/>
          </w:tcPr>
          <w:p w14:paraId="22031FDF"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r>
      <w:tr w:rsidR="000B4520" w:rsidRPr="00066D30" w14:paraId="5BB3EAE0" w14:textId="77777777" w:rsidTr="001550EB">
        <w:trPr>
          <w:trHeight w:hRule="exact" w:val="284"/>
        </w:trPr>
        <w:tc>
          <w:tcPr>
            <w:tcW w:w="2376" w:type="dxa"/>
            <w:tcBorders>
              <w:top w:val="nil"/>
              <w:left w:val="nil"/>
              <w:bottom w:val="nil"/>
              <w:right w:val="nil"/>
            </w:tcBorders>
            <w:shd w:val="clear" w:color="auto" w:fill="auto"/>
          </w:tcPr>
          <w:p w14:paraId="76770C68"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Hyperkeratosis</w:t>
            </w:r>
          </w:p>
        </w:tc>
        <w:tc>
          <w:tcPr>
            <w:tcW w:w="1418" w:type="dxa"/>
            <w:tcBorders>
              <w:top w:val="nil"/>
              <w:left w:val="nil"/>
              <w:bottom w:val="nil"/>
              <w:right w:val="nil"/>
            </w:tcBorders>
            <w:shd w:val="clear" w:color="auto" w:fill="auto"/>
          </w:tcPr>
          <w:p w14:paraId="5023EEFC"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3</w:t>
            </w:r>
          </w:p>
        </w:tc>
        <w:tc>
          <w:tcPr>
            <w:tcW w:w="1843" w:type="dxa"/>
            <w:tcBorders>
              <w:top w:val="nil"/>
              <w:left w:val="nil"/>
              <w:bottom w:val="nil"/>
              <w:right w:val="nil"/>
            </w:tcBorders>
            <w:shd w:val="clear" w:color="auto" w:fill="auto"/>
          </w:tcPr>
          <w:p w14:paraId="0D942778"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c>
          <w:tcPr>
            <w:tcW w:w="1417" w:type="dxa"/>
            <w:tcBorders>
              <w:top w:val="nil"/>
              <w:left w:val="nil"/>
              <w:bottom w:val="nil"/>
              <w:right w:val="nil"/>
            </w:tcBorders>
            <w:shd w:val="clear" w:color="auto" w:fill="auto"/>
          </w:tcPr>
          <w:p w14:paraId="07BAEBFB"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32</w:t>
            </w:r>
          </w:p>
        </w:tc>
        <w:tc>
          <w:tcPr>
            <w:tcW w:w="1701" w:type="dxa"/>
            <w:tcBorders>
              <w:top w:val="nil"/>
              <w:left w:val="nil"/>
              <w:bottom w:val="nil"/>
              <w:right w:val="nil"/>
            </w:tcBorders>
            <w:shd w:val="clear" w:color="auto" w:fill="auto"/>
          </w:tcPr>
          <w:p w14:paraId="28FBB74E"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r>
      <w:tr w:rsidR="000B4520" w:rsidRPr="00066D30" w14:paraId="2F89A36D" w14:textId="77777777" w:rsidTr="001550EB">
        <w:trPr>
          <w:trHeight w:hRule="exact" w:val="284"/>
        </w:trPr>
        <w:tc>
          <w:tcPr>
            <w:tcW w:w="2376" w:type="dxa"/>
            <w:tcBorders>
              <w:top w:val="nil"/>
              <w:left w:val="nil"/>
              <w:bottom w:val="nil"/>
              <w:right w:val="nil"/>
            </w:tcBorders>
            <w:shd w:val="clear" w:color="auto" w:fill="auto"/>
          </w:tcPr>
          <w:p w14:paraId="20466E6A"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Pruritus</w:t>
            </w:r>
          </w:p>
        </w:tc>
        <w:tc>
          <w:tcPr>
            <w:tcW w:w="1418" w:type="dxa"/>
            <w:tcBorders>
              <w:top w:val="nil"/>
              <w:left w:val="nil"/>
              <w:bottom w:val="nil"/>
              <w:right w:val="nil"/>
            </w:tcBorders>
            <w:shd w:val="clear" w:color="auto" w:fill="auto"/>
          </w:tcPr>
          <w:p w14:paraId="4906A695"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8</w:t>
            </w:r>
          </w:p>
        </w:tc>
        <w:tc>
          <w:tcPr>
            <w:tcW w:w="1843" w:type="dxa"/>
            <w:tcBorders>
              <w:top w:val="nil"/>
              <w:left w:val="nil"/>
              <w:bottom w:val="nil"/>
              <w:right w:val="nil"/>
            </w:tcBorders>
            <w:shd w:val="clear" w:color="auto" w:fill="auto"/>
          </w:tcPr>
          <w:p w14:paraId="1F31864F"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c>
          <w:tcPr>
            <w:tcW w:w="1417" w:type="dxa"/>
            <w:tcBorders>
              <w:top w:val="nil"/>
              <w:left w:val="nil"/>
              <w:bottom w:val="nil"/>
              <w:right w:val="nil"/>
            </w:tcBorders>
            <w:shd w:val="clear" w:color="auto" w:fill="auto"/>
          </w:tcPr>
          <w:p w14:paraId="49FA58EB"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12</w:t>
            </w:r>
          </w:p>
        </w:tc>
        <w:tc>
          <w:tcPr>
            <w:tcW w:w="1701" w:type="dxa"/>
            <w:tcBorders>
              <w:top w:val="nil"/>
              <w:left w:val="nil"/>
              <w:bottom w:val="nil"/>
              <w:right w:val="nil"/>
            </w:tcBorders>
            <w:shd w:val="clear" w:color="auto" w:fill="auto"/>
          </w:tcPr>
          <w:p w14:paraId="24320F82"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r>
      <w:tr w:rsidR="000B4520" w:rsidRPr="00066D30" w14:paraId="25075661" w14:textId="77777777" w:rsidTr="001550EB">
        <w:trPr>
          <w:trHeight w:hRule="exact" w:val="284"/>
        </w:trPr>
        <w:tc>
          <w:tcPr>
            <w:tcW w:w="2376" w:type="dxa"/>
            <w:tcBorders>
              <w:top w:val="nil"/>
              <w:left w:val="nil"/>
              <w:bottom w:val="nil"/>
              <w:right w:val="nil"/>
            </w:tcBorders>
            <w:shd w:val="clear" w:color="auto" w:fill="auto"/>
          </w:tcPr>
          <w:p w14:paraId="4E4F6516"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Alopecia</w:t>
            </w:r>
          </w:p>
        </w:tc>
        <w:tc>
          <w:tcPr>
            <w:tcW w:w="1418" w:type="dxa"/>
            <w:tcBorders>
              <w:top w:val="nil"/>
              <w:left w:val="nil"/>
              <w:bottom w:val="nil"/>
              <w:right w:val="nil"/>
            </w:tcBorders>
            <w:shd w:val="clear" w:color="auto" w:fill="auto"/>
          </w:tcPr>
          <w:p w14:paraId="56E5EAB0"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7</w:t>
            </w:r>
          </w:p>
        </w:tc>
        <w:tc>
          <w:tcPr>
            <w:tcW w:w="1843" w:type="dxa"/>
            <w:tcBorders>
              <w:top w:val="nil"/>
              <w:left w:val="nil"/>
              <w:bottom w:val="nil"/>
              <w:right w:val="nil"/>
            </w:tcBorders>
            <w:shd w:val="clear" w:color="auto" w:fill="auto"/>
          </w:tcPr>
          <w:p w14:paraId="4D6938C7"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c>
          <w:tcPr>
            <w:tcW w:w="1417" w:type="dxa"/>
            <w:tcBorders>
              <w:top w:val="nil"/>
              <w:left w:val="nil"/>
              <w:bottom w:val="nil"/>
              <w:right w:val="nil"/>
            </w:tcBorders>
            <w:shd w:val="clear" w:color="auto" w:fill="auto"/>
          </w:tcPr>
          <w:p w14:paraId="58B41823"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26</w:t>
            </w:r>
          </w:p>
        </w:tc>
        <w:tc>
          <w:tcPr>
            <w:tcW w:w="1701" w:type="dxa"/>
            <w:tcBorders>
              <w:top w:val="nil"/>
              <w:left w:val="nil"/>
              <w:bottom w:val="nil"/>
              <w:right w:val="nil"/>
            </w:tcBorders>
            <w:shd w:val="clear" w:color="auto" w:fill="auto"/>
          </w:tcPr>
          <w:p w14:paraId="100EDB7F"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r>
      <w:tr w:rsidR="000B4520" w:rsidRPr="00066D30" w14:paraId="1173B9D5" w14:textId="77777777" w:rsidTr="001550EB">
        <w:trPr>
          <w:trHeight w:hRule="exact" w:val="284"/>
        </w:trPr>
        <w:tc>
          <w:tcPr>
            <w:tcW w:w="2376" w:type="dxa"/>
            <w:tcBorders>
              <w:top w:val="nil"/>
              <w:left w:val="nil"/>
              <w:bottom w:val="nil"/>
              <w:right w:val="nil"/>
            </w:tcBorders>
            <w:shd w:val="clear" w:color="auto" w:fill="auto"/>
          </w:tcPr>
          <w:p w14:paraId="25898668" w14:textId="77777777" w:rsidR="000B4520" w:rsidRPr="00284C3C" w:rsidRDefault="000B4520" w:rsidP="0088047D">
            <w:pPr>
              <w:autoSpaceDE/>
              <w:autoSpaceDN/>
              <w:adjustRightInd/>
              <w:jc w:val="right"/>
              <w:rPr>
                <w:rFonts w:ascii="Arial" w:hAnsi="Arial"/>
                <w:sz w:val="22"/>
                <w:lang w:val="en-US"/>
              </w:rPr>
            </w:pPr>
            <w:proofErr w:type="spellStart"/>
            <w:r w:rsidRPr="00284C3C">
              <w:rPr>
                <w:rFonts w:ascii="Arial" w:hAnsi="Arial"/>
                <w:sz w:val="22"/>
                <w:lang w:val="en-US"/>
              </w:rPr>
              <w:t>PPE</w:t>
            </w:r>
            <w:r w:rsidRPr="00284C3C">
              <w:rPr>
                <w:rFonts w:ascii="Arial" w:hAnsi="Arial"/>
                <w:sz w:val="22"/>
                <w:vertAlign w:val="superscript"/>
                <w:lang w:val="en-US"/>
              </w:rPr>
              <w:t>a</w:t>
            </w:r>
            <w:proofErr w:type="spellEnd"/>
          </w:p>
        </w:tc>
        <w:tc>
          <w:tcPr>
            <w:tcW w:w="1418" w:type="dxa"/>
            <w:tcBorders>
              <w:top w:val="nil"/>
              <w:left w:val="nil"/>
              <w:bottom w:val="nil"/>
              <w:right w:val="nil"/>
            </w:tcBorders>
            <w:shd w:val="clear" w:color="auto" w:fill="auto"/>
          </w:tcPr>
          <w:p w14:paraId="27F5FBFB"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4</w:t>
            </w:r>
          </w:p>
        </w:tc>
        <w:tc>
          <w:tcPr>
            <w:tcW w:w="1843" w:type="dxa"/>
            <w:tcBorders>
              <w:top w:val="nil"/>
              <w:left w:val="nil"/>
              <w:bottom w:val="nil"/>
              <w:right w:val="nil"/>
            </w:tcBorders>
            <w:shd w:val="clear" w:color="auto" w:fill="auto"/>
          </w:tcPr>
          <w:p w14:paraId="22D08881"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c>
          <w:tcPr>
            <w:tcW w:w="1417" w:type="dxa"/>
            <w:tcBorders>
              <w:top w:val="nil"/>
              <w:left w:val="nil"/>
              <w:bottom w:val="nil"/>
              <w:right w:val="nil"/>
            </w:tcBorders>
            <w:shd w:val="clear" w:color="auto" w:fill="auto"/>
          </w:tcPr>
          <w:p w14:paraId="351178CF"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18</w:t>
            </w:r>
          </w:p>
        </w:tc>
        <w:tc>
          <w:tcPr>
            <w:tcW w:w="1701" w:type="dxa"/>
            <w:tcBorders>
              <w:top w:val="nil"/>
              <w:left w:val="nil"/>
              <w:bottom w:val="nil"/>
              <w:right w:val="nil"/>
            </w:tcBorders>
            <w:shd w:val="clear" w:color="auto" w:fill="auto"/>
          </w:tcPr>
          <w:p w14:paraId="7A545CA9"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r>
      <w:tr w:rsidR="000B4520" w:rsidRPr="00066D30" w14:paraId="6DD8C81B" w14:textId="77777777" w:rsidTr="001550EB">
        <w:trPr>
          <w:trHeight w:hRule="exact" w:val="284"/>
        </w:trPr>
        <w:tc>
          <w:tcPr>
            <w:tcW w:w="2376" w:type="dxa"/>
            <w:tcBorders>
              <w:top w:val="nil"/>
              <w:left w:val="nil"/>
              <w:bottom w:val="single" w:sz="4" w:space="0" w:color="auto"/>
              <w:right w:val="nil"/>
            </w:tcBorders>
            <w:shd w:val="clear" w:color="auto" w:fill="auto"/>
          </w:tcPr>
          <w:p w14:paraId="1FACCC5D"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 xml:space="preserve">Palmoplantar keratoderma </w:t>
            </w:r>
          </w:p>
        </w:tc>
        <w:tc>
          <w:tcPr>
            <w:tcW w:w="1418" w:type="dxa"/>
            <w:tcBorders>
              <w:top w:val="nil"/>
              <w:left w:val="nil"/>
              <w:bottom w:val="single" w:sz="4" w:space="0" w:color="auto"/>
              <w:right w:val="nil"/>
            </w:tcBorders>
            <w:shd w:val="clear" w:color="auto" w:fill="auto"/>
          </w:tcPr>
          <w:p w14:paraId="4328D72A"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c>
          <w:tcPr>
            <w:tcW w:w="1843" w:type="dxa"/>
            <w:tcBorders>
              <w:top w:val="nil"/>
              <w:left w:val="nil"/>
              <w:bottom w:val="single" w:sz="4" w:space="0" w:color="auto"/>
              <w:right w:val="nil"/>
            </w:tcBorders>
            <w:shd w:val="clear" w:color="auto" w:fill="auto"/>
          </w:tcPr>
          <w:p w14:paraId="10D335C3"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c>
          <w:tcPr>
            <w:tcW w:w="1417" w:type="dxa"/>
            <w:tcBorders>
              <w:top w:val="nil"/>
              <w:left w:val="nil"/>
              <w:bottom w:val="single" w:sz="4" w:space="0" w:color="auto"/>
              <w:right w:val="nil"/>
            </w:tcBorders>
            <w:shd w:val="clear" w:color="auto" w:fill="auto"/>
          </w:tcPr>
          <w:p w14:paraId="11C2229B"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11</w:t>
            </w:r>
          </w:p>
        </w:tc>
        <w:tc>
          <w:tcPr>
            <w:tcW w:w="1701" w:type="dxa"/>
            <w:tcBorders>
              <w:top w:val="nil"/>
              <w:left w:val="nil"/>
              <w:bottom w:val="single" w:sz="4" w:space="0" w:color="auto"/>
              <w:right w:val="nil"/>
            </w:tcBorders>
            <w:shd w:val="clear" w:color="auto" w:fill="auto"/>
          </w:tcPr>
          <w:p w14:paraId="5FB64097"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r>
      <w:tr w:rsidR="000B4520" w:rsidRPr="00066D30" w14:paraId="76DE9722" w14:textId="77777777" w:rsidTr="001550EB">
        <w:trPr>
          <w:trHeight w:hRule="exact" w:val="284"/>
        </w:trPr>
        <w:tc>
          <w:tcPr>
            <w:tcW w:w="8755" w:type="dxa"/>
            <w:gridSpan w:val="5"/>
            <w:tcBorders>
              <w:top w:val="single" w:sz="4" w:space="0" w:color="auto"/>
              <w:left w:val="nil"/>
              <w:bottom w:val="nil"/>
              <w:right w:val="nil"/>
            </w:tcBorders>
            <w:shd w:val="clear" w:color="auto" w:fill="auto"/>
          </w:tcPr>
          <w:p w14:paraId="30819930" w14:textId="77777777" w:rsidR="000B4520" w:rsidRPr="00066D30" w:rsidRDefault="000B4520" w:rsidP="0088047D">
            <w:pPr>
              <w:autoSpaceDE/>
              <w:autoSpaceDN/>
              <w:adjustRightInd/>
              <w:jc w:val="left"/>
              <w:rPr>
                <w:rFonts w:ascii="Arial" w:hAnsi="Arial" w:cs="Arial"/>
                <w:b/>
                <w:sz w:val="22"/>
                <w:szCs w:val="22"/>
                <w:lang w:val="en-US"/>
              </w:rPr>
            </w:pPr>
            <w:r w:rsidRPr="00284C3C">
              <w:rPr>
                <w:rFonts w:ascii="Arial" w:hAnsi="Arial"/>
                <w:b/>
                <w:sz w:val="22"/>
                <w:lang w:val="en-US"/>
              </w:rPr>
              <w:t>Musculoskeletal, connective tissue and bone disorders</w:t>
            </w:r>
          </w:p>
        </w:tc>
      </w:tr>
      <w:tr w:rsidR="000B4520" w:rsidRPr="00066D30" w14:paraId="37597FFD" w14:textId="77777777" w:rsidTr="001550EB">
        <w:trPr>
          <w:trHeight w:hRule="exact" w:val="284"/>
        </w:trPr>
        <w:tc>
          <w:tcPr>
            <w:tcW w:w="2376" w:type="dxa"/>
            <w:tcBorders>
              <w:top w:val="nil"/>
              <w:left w:val="nil"/>
              <w:bottom w:val="nil"/>
              <w:right w:val="nil"/>
            </w:tcBorders>
            <w:shd w:val="clear" w:color="auto" w:fill="auto"/>
          </w:tcPr>
          <w:p w14:paraId="5458E53E"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Arthralgia</w:t>
            </w:r>
          </w:p>
        </w:tc>
        <w:tc>
          <w:tcPr>
            <w:tcW w:w="1418" w:type="dxa"/>
            <w:tcBorders>
              <w:top w:val="nil"/>
              <w:left w:val="nil"/>
              <w:bottom w:val="nil"/>
              <w:right w:val="nil"/>
            </w:tcBorders>
            <w:shd w:val="clear" w:color="auto" w:fill="auto"/>
          </w:tcPr>
          <w:p w14:paraId="715F58F5"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24</w:t>
            </w:r>
          </w:p>
        </w:tc>
        <w:tc>
          <w:tcPr>
            <w:tcW w:w="1843" w:type="dxa"/>
            <w:tcBorders>
              <w:top w:val="nil"/>
              <w:left w:val="nil"/>
              <w:bottom w:val="nil"/>
              <w:right w:val="nil"/>
            </w:tcBorders>
            <w:shd w:val="clear" w:color="auto" w:fill="auto"/>
          </w:tcPr>
          <w:p w14:paraId="71E49C3F"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c>
          <w:tcPr>
            <w:tcW w:w="1417" w:type="dxa"/>
            <w:tcBorders>
              <w:top w:val="nil"/>
              <w:left w:val="nil"/>
              <w:bottom w:val="nil"/>
              <w:right w:val="nil"/>
            </w:tcBorders>
            <w:shd w:val="clear" w:color="auto" w:fill="auto"/>
          </w:tcPr>
          <w:p w14:paraId="6A4B16CB"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27</w:t>
            </w:r>
          </w:p>
        </w:tc>
        <w:tc>
          <w:tcPr>
            <w:tcW w:w="1701" w:type="dxa"/>
            <w:tcBorders>
              <w:top w:val="nil"/>
              <w:left w:val="nil"/>
              <w:bottom w:val="nil"/>
              <w:right w:val="nil"/>
            </w:tcBorders>
            <w:shd w:val="clear" w:color="auto" w:fill="auto"/>
          </w:tcPr>
          <w:p w14:paraId="5DB657F7"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r>
      <w:tr w:rsidR="000B4520" w:rsidRPr="00066D30" w14:paraId="5A66BDDE" w14:textId="77777777" w:rsidTr="001550EB">
        <w:trPr>
          <w:trHeight w:hRule="exact" w:val="284"/>
        </w:trPr>
        <w:tc>
          <w:tcPr>
            <w:tcW w:w="2376" w:type="dxa"/>
            <w:tcBorders>
              <w:top w:val="nil"/>
              <w:left w:val="nil"/>
              <w:bottom w:val="nil"/>
              <w:right w:val="nil"/>
            </w:tcBorders>
            <w:shd w:val="clear" w:color="auto" w:fill="auto"/>
          </w:tcPr>
          <w:p w14:paraId="7F8FDDE7"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Pain in extremity</w:t>
            </w:r>
          </w:p>
        </w:tc>
        <w:tc>
          <w:tcPr>
            <w:tcW w:w="1418" w:type="dxa"/>
            <w:tcBorders>
              <w:top w:val="nil"/>
              <w:left w:val="nil"/>
              <w:bottom w:val="nil"/>
              <w:right w:val="nil"/>
            </w:tcBorders>
            <w:shd w:val="clear" w:color="auto" w:fill="auto"/>
          </w:tcPr>
          <w:p w14:paraId="4D40F4AF"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14</w:t>
            </w:r>
          </w:p>
        </w:tc>
        <w:tc>
          <w:tcPr>
            <w:tcW w:w="1843" w:type="dxa"/>
            <w:tcBorders>
              <w:top w:val="nil"/>
              <w:left w:val="nil"/>
              <w:bottom w:val="nil"/>
              <w:right w:val="nil"/>
            </w:tcBorders>
            <w:shd w:val="clear" w:color="auto" w:fill="auto"/>
          </w:tcPr>
          <w:p w14:paraId="4FF7AA86"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w:t>
            </w:r>
          </w:p>
        </w:tc>
        <w:tc>
          <w:tcPr>
            <w:tcW w:w="1417" w:type="dxa"/>
            <w:tcBorders>
              <w:top w:val="nil"/>
              <w:left w:val="nil"/>
              <w:bottom w:val="nil"/>
              <w:right w:val="nil"/>
            </w:tcBorders>
            <w:shd w:val="clear" w:color="auto" w:fill="auto"/>
          </w:tcPr>
          <w:p w14:paraId="6B55C56C"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16</w:t>
            </w:r>
          </w:p>
        </w:tc>
        <w:tc>
          <w:tcPr>
            <w:tcW w:w="1701" w:type="dxa"/>
            <w:tcBorders>
              <w:top w:val="nil"/>
              <w:left w:val="nil"/>
              <w:bottom w:val="nil"/>
              <w:right w:val="nil"/>
            </w:tcBorders>
            <w:shd w:val="clear" w:color="auto" w:fill="auto"/>
          </w:tcPr>
          <w:p w14:paraId="5483ABE8"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r>
      <w:tr w:rsidR="000B4520" w:rsidRPr="00066D30" w14:paraId="3D6F31D1" w14:textId="77777777" w:rsidTr="001550EB">
        <w:trPr>
          <w:trHeight w:hRule="exact" w:val="284"/>
        </w:trPr>
        <w:tc>
          <w:tcPr>
            <w:tcW w:w="2376" w:type="dxa"/>
            <w:tcBorders>
              <w:top w:val="nil"/>
              <w:left w:val="nil"/>
              <w:bottom w:val="single" w:sz="4" w:space="0" w:color="auto"/>
              <w:right w:val="nil"/>
            </w:tcBorders>
            <w:shd w:val="clear" w:color="auto" w:fill="auto"/>
          </w:tcPr>
          <w:p w14:paraId="328EDEA4"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Myalgia</w:t>
            </w:r>
          </w:p>
        </w:tc>
        <w:tc>
          <w:tcPr>
            <w:tcW w:w="1418" w:type="dxa"/>
            <w:tcBorders>
              <w:top w:val="nil"/>
              <w:left w:val="nil"/>
              <w:bottom w:val="single" w:sz="4" w:space="0" w:color="auto"/>
              <w:right w:val="nil"/>
            </w:tcBorders>
            <w:shd w:val="clear" w:color="auto" w:fill="auto"/>
          </w:tcPr>
          <w:p w14:paraId="2E00101F"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11</w:t>
            </w:r>
          </w:p>
        </w:tc>
        <w:tc>
          <w:tcPr>
            <w:tcW w:w="1843" w:type="dxa"/>
            <w:tcBorders>
              <w:top w:val="nil"/>
              <w:left w:val="nil"/>
              <w:bottom w:val="single" w:sz="4" w:space="0" w:color="auto"/>
              <w:right w:val="nil"/>
            </w:tcBorders>
            <w:shd w:val="clear" w:color="auto" w:fill="auto"/>
          </w:tcPr>
          <w:p w14:paraId="5377473B"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c>
          <w:tcPr>
            <w:tcW w:w="1417" w:type="dxa"/>
            <w:tcBorders>
              <w:top w:val="nil"/>
              <w:left w:val="nil"/>
              <w:bottom w:val="single" w:sz="4" w:space="0" w:color="auto"/>
              <w:right w:val="nil"/>
            </w:tcBorders>
            <w:shd w:val="clear" w:color="auto" w:fill="auto"/>
          </w:tcPr>
          <w:p w14:paraId="21F497B3"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11</w:t>
            </w:r>
          </w:p>
        </w:tc>
        <w:tc>
          <w:tcPr>
            <w:tcW w:w="1701" w:type="dxa"/>
            <w:tcBorders>
              <w:top w:val="nil"/>
              <w:left w:val="nil"/>
              <w:bottom w:val="single" w:sz="4" w:space="0" w:color="auto"/>
              <w:right w:val="nil"/>
            </w:tcBorders>
            <w:shd w:val="clear" w:color="auto" w:fill="auto"/>
          </w:tcPr>
          <w:p w14:paraId="3F6C6BC5"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r>
      <w:tr w:rsidR="000B4520" w:rsidRPr="00066D30" w14:paraId="6CA1D6E5" w14:textId="77777777" w:rsidTr="001550EB">
        <w:trPr>
          <w:trHeight w:hRule="exact" w:val="284"/>
        </w:trPr>
        <w:tc>
          <w:tcPr>
            <w:tcW w:w="8755" w:type="dxa"/>
            <w:gridSpan w:val="5"/>
            <w:tcBorders>
              <w:top w:val="single" w:sz="4" w:space="0" w:color="auto"/>
              <w:left w:val="nil"/>
              <w:bottom w:val="nil"/>
              <w:right w:val="nil"/>
            </w:tcBorders>
            <w:shd w:val="clear" w:color="auto" w:fill="auto"/>
          </w:tcPr>
          <w:p w14:paraId="6DD7032D" w14:textId="77777777" w:rsidR="000B4520" w:rsidRPr="00284C3C" w:rsidRDefault="000B4520" w:rsidP="0088047D">
            <w:pPr>
              <w:autoSpaceDE/>
              <w:autoSpaceDN/>
              <w:adjustRightInd/>
              <w:jc w:val="left"/>
              <w:rPr>
                <w:rFonts w:ascii="Arial" w:hAnsi="Arial"/>
                <w:b/>
                <w:sz w:val="22"/>
                <w:lang w:val="en-US"/>
              </w:rPr>
            </w:pPr>
            <w:r w:rsidRPr="00284C3C">
              <w:rPr>
                <w:rFonts w:ascii="Arial" w:hAnsi="Arial"/>
                <w:b/>
                <w:sz w:val="22"/>
                <w:lang w:val="en-US"/>
              </w:rPr>
              <w:t>General disorders and administrative site conditions</w:t>
            </w:r>
          </w:p>
        </w:tc>
      </w:tr>
      <w:tr w:rsidR="000B4520" w:rsidRPr="00066D30" w14:paraId="09E11013" w14:textId="77777777" w:rsidTr="001550EB">
        <w:trPr>
          <w:trHeight w:hRule="exact" w:val="284"/>
        </w:trPr>
        <w:tc>
          <w:tcPr>
            <w:tcW w:w="2376" w:type="dxa"/>
            <w:tcBorders>
              <w:top w:val="nil"/>
              <w:left w:val="nil"/>
              <w:bottom w:val="nil"/>
              <w:right w:val="nil"/>
            </w:tcBorders>
            <w:shd w:val="clear" w:color="auto" w:fill="auto"/>
          </w:tcPr>
          <w:p w14:paraId="17BE11A5"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Pyrexia</w:t>
            </w:r>
          </w:p>
        </w:tc>
        <w:tc>
          <w:tcPr>
            <w:tcW w:w="1418" w:type="dxa"/>
            <w:tcBorders>
              <w:top w:val="nil"/>
              <w:left w:val="nil"/>
              <w:bottom w:val="nil"/>
              <w:right w:val="nil"/>
            </w:tcBorders>
            <w:shd w:val="clear" w:color="auto" w:fill="auto"/>
          </w:tcPr>
          <w:p w14:paraId="71B7A38E"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51</w:t>
            </w:r>
          </w:p>
        </w:tc>
        <w:tc>
          <w:tcPr>
            <w:tcW w:w="1843" w:type="dxa"/>
            <w:tcBorders>
              <w:top w:val="nil"/>
              <w:left w:val="nil"/>
              <w:bottom w:val="nil"/>
              <w:right w:val="nil"/>
            </w:tcBorders>
            <w:shd w:val="clear" w:color="auto" w:fill="auto"/>
          </w:tcPr>
          <w:p w14:paraId="2D0A7CC4"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6</w:t>
            </w:r>
          </w:p>
        </w:tc>
        <w:tc>
          <w:tcPr>
            <w:tcW w:w="1417" w:type="dxa"/>
            <w:tcBorders>
              <w:top w:val="nil"/>
              <w:left w:val="nil"/>
              <w:bottom w:val="nil"/>
              <w:right w:val="nil"/>
            </w:tcBorders>
            <w:shd w:val="clear" w:color="auto" w:fill="auto"/>
          </w:tcPr>
          <w:p w14:paraId="0661408D"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28</w:t>
            </w:r>
          </w:p>
        </w:tc>
        <w:tc>
          <w:tcPr>
            <w:tcW w:w="1701" w:type="dxa"/>
            <w:tcBorders>
              <w:top w:val="nil"/>
              <w:left w:val="nil"/>
              <w:bottom w:val="nil"/>
              <w:right w:val="nil"/>
            </w:tcBorders>
            <w:shd w:val="clear" w:color="auto" w:fill="auto"/>
          </w:tcPr>
          <w:p w14:paraId="5BF6106D"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w:t>
            </w:r>
          </w:p>
        </w:tc>
      </w:tr>
      <w:tr w:rsidR="000B4520" w:rsidRPr="00066D30" w14:paraId="23887C58" w14:textId="77777777" w:rsidTr="001550EB">
        <w:trPr>
          <w:trHeight w:hRule="exact" w:val="284"/>
        </w:trPr>
        <w:tc>
          <w:tcPr>
            <w:tcW w:w="2376" w:type="dxa"/>
            <w:tcBorders>
              <w:top w:val="nil"/>
              <w:left w:val="nil"/>
              <w:bottom w:val="nil"/>
              <w:right w:val="nil"/>
            </w:tcBorders>
            <w:shd w:val="clear" w:color="auto" w:fill="auto"/>
          </w:tcPr>
          <w:p w14:paraId="1A3260A7"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Fatigue</w:t>
            </w:r>
          </w:p>
        </w:tc>
        <w:tc>
          <w:tcPr>
            <w:tcW w:w="1418" w:type="dxa"/>
            <w:tcBorders>
              <w:top w:val="nil"/>
              <w:left w:val="nil"/>
              <w:bottom w:val="nil"/>
              <w:right w:val="nil"/>
            </w:tcBorders>
            <w:shd w:val="clear" w:color="auto" w:fill="auto"/>
          </w:tcPr>
          <w:p w14:paraId="19B29F8B"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35</w:t>
            </w:r>
          </w:p>
        </w:tc>
        <w:tc>
          <w:tcPr>
            <w:tcW w:w="1843" w:type="dxa"/>
            <w:tcBorders>
              <w:top w:val="nil"/>
              <w:left w:val="nil"/>
              <w:bottom w:val="nil"/>
              <w:right w:val="nil"/>
            </w:tcBorders>
            <w:shd w:val="clear" w:color="auto" w:fill="auto"/>
          </w:tcPr>
          <w:p w14:paraId="749F45CD"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w:t>
            </w:r>
          </w:p>
        </w:tc>
        <w:tc>
          <w:tcPr>
            <w:tcW w:w="1417" w:type="dxa"/>
            <w:tcBorders>
              <w:top w:val="nil"/>
              <w:left w:val="nil"/>
              <w:bottom w:val="nil"/>
              <w:right w:val="nil"/>
            </w:tcBorders>
            <w:shd w:val="clear" w:color="auto" w:fill="auto"/>
          </w:tcPr>
          <w:p w14:paraId="1D45AD0E"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35</w:t>
            </w:r>
          </w:p>
        </w:tc>
        <w:tc>
          <w:tcPr>
            <w:tcW w:w="1701" w:type="dxa"/>
            <w:tcBorders>
              <w:top w:val="nil"/>
              <w:left w:val="nil"/>
              <w:bottom w:val="nil"/>
              <w:right w:val="nil"/>
            </w:tcBorders>
            <w:shd w:val="clear" w:color="auto" w:fill="auto"/>
          </w:tcPr>
          <w:p w14:paraId="150CB500"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r>
      <w:tr w:rsidR="000B4520" w:rsidRPr="00066D30" w14:paraId="27F4C245" w14:textId="77777777" w:rsidTr="001550EB">
        <w:trPr>
          <w:trHeight w:hRule="exact" w:val="284"/>
        </w:trPr>
        <w:tc>
          <w:tcPr>
            <w:tcW w:w="2376" w:type="dxa"/>
            <w:tcBorders>
              <w:top w:val="nil"/>
              <w:left w:val="nil"/>
              <w:bottom w:val="nil"/>
              <w:right w:val="nil"/>
            </w:tcBorders>
            <w:shd w:val="clear" w:color="auto" w:fill="auto"/>
          </w:tcPr>
          <w:p w14:paraId="4617106A"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Chills</w:t>
            </w:r>
          </w:p>
        </w:tc>
        <w:tc>
          <w:tcPr>
            <w:tcW w:w="1418" w:type="dxa"/>
            <w:tcBorders>
              <w:top w:val="nil"/>
              <w:left w:val="nil"/>
              <w:bottom w:val="nil"/>
              <w:right w:val="nil"/>
            </w:tcBorders>
            <w:shd w:val="clear" w:color="auto" w:fill="auto"/>
          </w:tcPr>
          <w:p w14:paraId="7DDD812E"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30</w:t>
            </w:r>
          </w:p>
        </w:tc>
        <w:tc>
          <w:tcPr>
            <w:tcW w:w="1843" w:type="dxa"/>
            <w:tcBorders>
              <w:top w:val="nil"/>
              <w:left w:val="nil"/>
              <w:bottom w:val="nil"/>
              <w:right w:val="nil"/>
            </w:tcBorders>
            <w:shd w:val="clear" w:color="auto" w:fill="auto"/>
          </w:tcPr>
          <w:p w14:paraId="35B1B746"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c>
          <w:tcPr>
            <w:tcW w:w="1417" w:type="dxa"/>
            <w:tcBorders>
              <w:top w:val="nil"/>
              <w:left w:val="nil"/>
              <w:bottom w:val="nil"/>
              <w:right w:val="nil"/>
            </w:tcBorders>
            <w:shd w:val="clear" w:color="auto" w:fill="auto"/>
          </w:tcPr>
          <w:p w14:paraId="7DD0D21E"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16</w:t>
            </w:r>
          </w:p>
        </w:tc>
        <w:tc>
          <w:tcPr>
            <w:tcW w:w="1701" w:type="dxa"/>
            <w:tcBorders>
              <w:top w:val="nil"/>
              <w:left w:val="nil"/>
              <w:bottom w:val="nil"/>
              <w:right w:val="nil"/>
            </w:tcBorders>
            <w:shd w:val="clear" w:color="auto" w:fill="auto"/>
          </w:tcPr>
          <w:p w14:paraId="4F19B2FF"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r>
      <w:tr w:rsidR="000B4520" w:rsidRPr="00066D30" w14:paraId="0758BE6E" w14:textId="77777777" w:rsidTr="001550EB">
        <w:trPr>
          <w:trHeight w:hRule="exact" w:val="284"/>
        </w:trPr>
        <w:tc>
          <w:tcPr>
            <w:tcW w:w="2376" w:type="dxa"/>
            <w:tcBorders>
              <w:top w:val="nil"/>
              <w:left w:val="nil"/>
              <w:bottom w:val="nil"/>
              <w:right w:val="nil"/>
            </w:tcBorders>
            <w:shd w:val="clear" w:color="auto" w:fill="auto"/>
          </w:tcPr>
          <w:p w14:paraId="73CD9E8A"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Asthenia</w:t>
            </w:r>
          </w:p>
        </w:tc>
        <w:tc>
          <w:tcPr>
            <w:tcW w:w="1418" w:type="dxa"/>
            <w:tcBorders>
              <w:top w:val="nil"/>
              <w:left w:val="nil"/>
              <w:bottom w:val="nil"/>
              <w:right w:val="nil"/>
            </w:tcBorders>
            <w:shd w:val="clear" w:color="auto" w:fill="auto"/>
          </w:tcPr>
          <w:p w14:paraId="32480D4B"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10</w:t>
            </w:r>
          </w:p>
        </w:tc>
        <w:tc>
          <w:tcPr>
            <w:tcW w:w="1843" w:type="dxa"/>
            <w:tcBorders>
              <w:top w:val="nil"/>
              <w:left w:val="nil"/>
              <w:bottom w:val="nil"/>
              <w:right w:val="nil"/>
            </w:tcBorders>
            <w:shd w:val="clear" w:color="auto" w:fill="auto"/>
          </w:tcPr>
          <w:p w14:paraId="1132C526"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c>
          <w:tcPr>
            <w:tcW w:w="1417" w:type="dxa"/>
            <w:tcBorders>
              <w:top w:val="nil"/>
              <w:left w:val="nil"/>
              <w:bottom w:val="nil"/>
              <w:right w:val="nil"/>
            </w:tcBorders>
            <w:shd w:val="clear" w:color="auto" w:fill="auto"/>
          </w:tcPr>
          <w:p w14:paraId="63C2008B"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13</w:t>
            </w:r>
          </w:p>
        </w:tc>
        <w:tc>
          <w:tcPr>
            <w:tcW w:w="1701" w:type="dxa"/>
            <w:tcBorders>
              <w:top w:val="nil"/>
              <w:left w:val="nil"/>
              <w:bottom w:val="nil"/>
              <w:right w:val="nil"/>
            </w:tcBorders>
            <w:shd w:val="clear" w:color="auto" w:fill="auto"/>
          </w:tcPr>
          <w:p w14:paraId="249BC81D"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r>
      <w:tr w:rsidR="000B4520" w:rsidRPr="00066D30" w14:paraId="33926202" w14:textId="77777777" w:rsidTr="001550EB">
        <w:trPr>
          <w:trHeight w:hRule="exact" w:val="284"/>
        </w:trPr>
        <w:tc>
          <w:tcPr>
            <w:tcW w:w="2376" w:type="dxa"/>
            <w:tcBorders>
              <w:top w:val="nil"/>
              <w:left w:val="nil"/>
              <w:bottom w:val="single" w:sz="4" w:space="0" w:color="auto"/>
              <w:right w:val="nil"/>
            </w:tcBorders>
            <w:shd w:val="clear" w:color="auto" w:fill="auto"/>
          </w:tcPr>
          <w:p w14:paraId="728E36C8"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Edema peripheral</w:t>
            </w:r>
          </w:p>
        </w:tc>
        <w:tc>
          <w:tcPr>
            <w:tcW w:w="1418" w:type="dxa"/>
            <w:tcBorders>
              <w:top w:val="nil"/>
              <w:left w:val="nil"/>
              <w:bottom w:val="single" w:sz="4" w:space="0" w:color="auto"/>
              <w:right w:val="nil"/>
            </w:tcBorders>
            <w:shd w:val="clear" w:color="auto" w:fill="auto"/>
          </w:tcPr>
          <w:p w14:paraId="54D89908"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14</w:t>
            </w:r>
          </w:p>
        </w:tc>
        <w:tc>
          <w:tcPr>
            <w:tcW w:w="1843" w:type="dxa"/>
            <w:tcBorders>
              <w:top w:val="nil"/>
              <w:left w:val="nil"/>
              <w:bottom w:val="single" w:sz="4" w:space="0" w:color="auto"/>
              <w:right w:val="nil"/>
            </w:tcBorders>
            <w:shd w:val="clear" w:color="auto" w:fill="auto"/>
          </w:tcPr>
          <w:p w14:paraId="1473A3D9"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c>
          <w:tcPr>
            <w:tcW w:w="1417" w:type="dxa"/>
            <w:tcBorders>
              <w:top w:val="nil"/>
              <w:left w:val="nil"/>
              <w:bottom w:val="single" w:sz="4" w:space="0" w:color="auto"/>
              <w:right w:val="nil"/>
            </w:tcBorders>
            <w:shd w:val="clear" w:color="auto" w:fill="auto"/>
          </w:tcPr>
          <w:p w14:paraId="33616A70"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5</w:t>
            </w:r>
          </w:p>
        </w:tc>
        <w:tc>
          <w:tcPr>
            <w:tcW w:w="1701" w:type="dxa"/>
            <w:tcBorders>
              <w:top w:val="nil"/>
              <w:left w:val="nil"/>
              <w:bottom w:val="single" w:sz="4" w:space="0" w:color="auto"/>
              <w:right w:val="nil"/>
            </w:tcBorders>
            <w:shd w:val="clear" w:color="auto" w:fill="auto"/>
          </w:tcPr>
          <w:p w14:paraId="3B3D23C7"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r>
      <w:tr w:rsidR="000B4520" w:rsidRPr="00066D30" w14:paraId="11324836" w14:textId="77777777" w:rsidTr="001550EB">
        <w:trPr>
          <w:trHeight w:hRule="exact" w:val="284"/>
        </w:trPr>
        <w:tc>
          <w:tcPr>
            <w:tcW w:w="8755" w:type="dxa"/>
            <w:gridSpan w:val="5"/>
            <w:tcBorders>
              <w:top w:val="single" w:sz="4" w:space="0" w:color="auto"/>
              <w:left w:val="nil"/>
              <w:bottom w:val="nil"/>
              <w:right w:val="nil"/>
            </w:tcBorders>
            <w:shd w:val="clear" w:color="auto" w:fill="auto"/>
          </w:tcPr>
          <w:p w14:paraId="11C6C2F7" w14:textId="77777777" w:rsidR="000B4520" w:rsidRPr="00284C3C" w:rsidRDefault="000B4520" w:rsidP="0088047D">
            <w:pPr>
              <w:autoSpaceDE/>
              <w:autoSpaceDN/>
              <w:adjustRightInd/>
              <w:jc w:val="left"/>
              <w:rPr>
                <w:rFonts w:ascii="Arial" w:hAnsi="Arial"/>
                <w:b/>
                <w:sz w:val="22"/>
                <w:lang w:val="en-US"/>
              </w:rPr>
            </w:pPr>
            <w:r w:rsidRPr="00284C3C">
              <w:rPr>
                <w:rFonts w:ascii="Arial" w:hAnsi="Arial"/>
                <w:b/>
                <w:sz w:val="22"/>
                <w:lang w:val="en-US"/>
              </w:rPr>
              <w:t>Infections and infestations</w:t>
            </w:r>
          </w:p>
        </w:tc>
      </w:tr>
      <w:tr w:rsidR="000B4520" w:rsidRPr="00066D30" w14:paraId="082055D8" w14:textId="77777777" w:rsidTr="001550EB">
        <w:trPr>
          <w:trHeight w:hRule="exact" w:val="284"/>
        </w:trPr>
        <w:tc>
          <w:tcPr>
            <w:tcW w:w="2376" w:type="dxa"/>
            <w:tcBorders>
              <w:top w:val="nil"/>
              <w:left w:val="nil"/>
              <w:bottom w:val="single" w:sz="4" w:space="0" w:color="auto"/>
              <w:right w:val="nil"/>
            </w:tcBorders>
            <w:shd w:val="clear" w:color="auto" w:fill="auto"/>
          </w:tcPr>
          <w:p w14:paraId="51090839"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Nasopharyngitis</w:t>
            </w:r>
          </w:p>
        </w:tc>
        <w:tc>
          <w:tcPr>
            <w:tcW w:w="1418" w:type="dxa"/>
            <w:tcBorders>
              <w:top w:val="nil"/>
              <w:left w:val="nil"/>
              <w:bottom w:val="single" w:sz="4" w:space="0" w:color="auto"/>
              <w:right w:val="nil"/>
            </w:tcBorders>
            <w:shd w:val="clear" w:color="auto" w:fill="auto"/>
          </w:tcPr>
          <w:p w14:paraId="628D4CEB"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10</w:t>
            </w:r>
          </w:p>
        </w:tc>
        <w:tc>
          <w:tcPr>
            <w:tcW w:w="1843" w:type="dxa"/>
            <w:tcBorders>
              <w:top w:val="nil"/>
              <w:left w:val="nil"/>
              <w:bottom w:val="single" w:sz="4" w:space="0" w:color="auto"/>
              <w:right w:val="nil"/>
            </w:tcBorders>
            <w:shd w:val="clear" w:color="auto" w:fill="auto"/>
          </w:tcPr>
          <w:p w14:paraId="61CCC7E2"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c>
          <w:tcPr>
            <w:tcW w:w="1417" w:type="dxa"/>
            <w:tcBorders>
              <w:top w:val="nil"/>
              <w:left w:val="nil"/>
              <w:bottom w:val="single" w:sz="4" w:space="0" w:color="auto"/>
              <w:right w:val="nil"/>
            </w:tcBorders>
            <w:shd w:val="clear" w:color="auto" w:fill="auto"/>
          </w:tcPr>
          <w:p w14:paraId="081D1441"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7</w:t>
            </w:r>
          </w:p>
        </w:tc>
        <w:tc>
          <w:tcPr>
            <w:tcW w:w="1701" w:type="dxa"/>
            <w:tcBorders>
              <w:top w:val="nil"/>
              <w:left w:val="nil"/>
              <w:bottom w:val="single" w:sz="4" w:space="0" w:color="auto"/>
              <w:right w:val="nil"/>
            </w:tcBorders>
            <w:shd w:val="clear" w:color="auto" w:fill="auto"/>
          </w:tcPr>
          <w:p w14:paraId="5E9EAB59"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r>
      <w:tr w:rsidR="000B4520" w:rsidRPr="00066D30" w14:paraId="55F502B0" w14:textId="77777777" w:rsidTr="001550EB">
        <w:trPr>
          <w:trHeight w:hRule="exact" w:val="284"/>
        </w:trPr>
        <w:tc>
          <w:tcPr>
            <w:tcW w:w="8755" w:type="dxa"/>
            <w:gridSpan w:val="5"/>
            <w:tcBorders>
              <w:top w:val="single" w:sz="4" w:space="0" w:color="auto"/>
              <w:left w:val="nil"/>
              <w:bottom w:val="nil"/>
              <w:right w:val="nil"/>
            </w:tcBorders>
            <w:shd w:val="clear" w:color="auto" w:fill="auto"/>
          </w:tcPr>
          <w:p w14:paraId="5B89F125" w14:textId="77777777" w:rsidR="000B4520" w:rsidRPr="00284C3C" w:rsidRDefault="000B4520" w:rsidP="0088047D">
            <w:pPr>
              <w:autoSpaceDE/>
              <w:autoSpaceDN/>
              <w:adjustRightInd/>
              <w:jc w:val="left"/>
              <w:rPr>
                <w:rFonts w:ascii="Arial" w:hAnsi="Arial"/>
                <w:b/>
                <w:sz w:val="22"/>
                <w:lang w:val="en-US"/>
              </w:rPr>
            </w:pPr>
            <w:r w:rsidRPr="00284C3C">
              <w:rPr>
                <w:rFonts w:ascii="Arial" w:hAnsi="Arial"/>
                <w:b/>
                <w:sz w:val="22"/>
                <w:lang w:val="en-US"/>
              </w:rPr>
              <w:t>Vascular disorders</w:t>
            </w:r>
          </w:p>
        </w:tc>
      </w:tr>
      <w:tr w:rsidR="000B4520" w:rsidRPr="00066D30" w14:paraId="1FC1931B" w14:textId="77777777" w:rsidTr="001550EB">
        <w:trPr>
          <w:trHeight w:hRule="exact" w:val="284"/>
        </w:trPr>
        <w:tc>
          <w:tcPr>
            <w:tcW w:w="2376" w:type="dxa"/>
            <w:tcBorders>
              <w:top w:val="nil"/>
              <w:left w:val="nil"/>
              <w:bottom w:val="nil"/>
              <w:right w:val="nil"/>
            </w:tcBorders>
            <w:shd w:val="clear" w:color="auto" w:fill="auto"/>
          </w:tcPr>
          <w:p w14:paraId="33750982"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Hypertension</w:t>
            </w:r>
          </w:p>
        </w:tc>
        <w:tc>
          <w:tcPr>
            <w:tcW w:w="1418" w:type="dxa"/>
            <w:tcBorders>
              <w:top w:val="nil"/>
              <w:left w:val="nil"/>
              <w:bottom w:val="nil"/>
              <w:right w:val="nil"/>
            </w:tcBorders>
            <w:shd w:val="clear" w:color="auto" w:fill="auto"/>
          </w:tcPr>
          <w:p w14:paraId="2BFA8576"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22</w:t>
            </w:r>
          </w:p>
        </w:tc>
        <w:tc>
          <w:tcPr>
            <w:tcW w:w="1843" w:type="dxa"/>
            <w:tcBorders>
              <w:top w:val="nil"/>
              <w:left w:val="nil"/>
              <w:bottom w:val="nil"/>
              <w:right w:val="nil"/>
            </w:tcBorders>
            <w:shd w:val="clear" w:color="auto" w:fill="auto"/>
          </w:tcPr>
          <w:p w14:paraId="44DED36A"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4</w:t>
            </w:r>
          </w:p>
        </w:tc>
        <w:tc>
          <w:tcPr>
            <w:tcW w:w="1417" w:type="dxa"/>
            <w:tcBorders>
              <w:top w:val="nil"/>
              <w:left w:val="nil"/>
              <w:bottom w:val="nil"/>
              <w:right w:val="nil"/>
            </w:tcBorders>
            <w:shd w:val="clear" w:color="auto" w:fill="auto"/>
          </w:tcPr>
          <w:p w14:paraId="3361514A"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14</w:t>
            </w:r>
          </w:p>
        </w:tc>
        <w:tc>
          <w:tcPr>
            <w:tcW w:w="1701" w:type="dxa"/>
            <w:tcBorders>
              <w:top w:val="nil"/>
              <w:left w:val="nil"/>
              <w:bottom w:val="nil"/>
              <w:right w:val="nil"/>
            </w:tcBorders>
            <w:shd w:val="clear" w:color="auto" w:fill="auto"/>
          </w:tcPr>
          <w:p w14:paraId="37785E2C"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5</w:t>
            </w:r>
          </w:p>
        </w:tc>
      </w:tr>
      <w:tr w:rsidR="000B4520" w:rsidRPr="00066D30" w14:paraId="39E06C03" w14:textId="77777777" w:rsidTr="001550EB">
        <w:trPr>
          <w:trHeight w:hRule="exact" w:val="284"/>
        </w:trPr>
        <w:tc>
          <w:tcPr>
            <w:tcW w:w="2376" w:type="dxa"/>
            <w:tcBorders>
              <w:top w:val="nil"/>
              <w:left w:val="nil"/>
              <w:bottom w:val="single" w:sz="4" w:space="0" w:color="auto"/>
              <w:right w:val="nil"/>
            </w:tcBorders>
            <w:shd w:val="clear" w:color="auto" w:fill="auto"/>
          </w:tcPr>
          <w:p w14:paraId="60353378"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Hypotension</w:t>
            </w:r>
          </w:p>
        </w:tc>
        <w:tc>
          <w:tcPr>
            <w:tcW w:w="1418" w:type="dxa"/>
            <w:tcBorders>
              <w:top w:val="nil"/>
              <w:left w:val="nil"/>
              <w:bottom w:val="single" w:sz="4" w:space="0" w:color="auto"/>
              <w:right w:val="nil"/>
            </w:tcBorders>
            <w:shd w:val="clear" w:color="auto" w:fill="auto"/>
          </w:tcPr>
          <w:p w14:paraId="7404796D"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6</w:t>
            </w:r>
          </w:p>
        </w:tc>
        <w:tc>
          <w:tcPr>
            <w:tcW w:w="1843" w:type="dxa"/>
            <w:tcBorders>
              <w:top w:val="nil"/>
              <w:left w:val="nil"/>
              <w:bottom w:val="single" w:sz="4" w:space="0" w:color="auto"/>
              <w:right w:val="nil"/>
            </w:tcBorders>
            <w:shd w:val="clear" w:color="auto" w:fill="auto"/>
          </w:tcPr>
          <w:p w14:paraId="6AB34DF2"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w:t>
            </w:r>
          </w:p>
        </w:tc>
        <w:tc>
          <w:tcPr>
            <w:tcW w:w="1417" w:type="dxa"/>
            <w:tcBorders>
              <w:top w:val="nil"/>
              <w:left w:val="nil"/>
              <w:bottom w:val="single" w:sz="4" w:space="0" w:color="auto"/>
              <w:right w:val="nil"/>
            </w:tcBorders>
            <w:shd w:val="clear" w:color="auto" w:fill="auto"/>
          </w:tcPr>
          <w:p w14:paraId="7BC226C9"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3</w:t>
            </w:r>
          </w:p>
        </w:tc>
        <w:tc>
          <w:tcPr>
            <w:tcW w:w="1701" w:type="dxa"/>
            <w:tcBorders>
              <w:top w:val="nil"/>
              <w:left w:val="nil"/>
              <w:bottom w:val="single" w:sz="4" w:space="0" w:color="auto"/>
              <w:right w:val="nil"/>
            </w:tcBorders>
            <w:shd w:val="clear" w:color="auto" w:fill="auto"/>
          </w:tcPr>
          <w:p w14:paraId="6256E01C"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r>
      <w:tr w:rsidR="000B4520" w:rsidRPr="00066D30" w14:paraId="1C04923B" w14:textId="77777777" w:rsidTr="001550EB">
        <w:trPr>
          <w:trHeight w:hRule="exact" w:val="284"/>
        </w:trPr>
        <w:tc>
          <w:tcPr>
            <w:tcW w:w="8755" w:type="dxa"/>
            <w:gridSpan w:val="5"/>
            <w:tcBorders>
              <w:top w:val="single" w:sz="4" w:space="0" w:color="auto"/>
              <w:left w:val="nil"/>
              <w:bottom w:val="nil"/>
              <w:right w:val="nil"/>
            </w:tcBorders>
            <w:shd w:val="clear" w:color="auto" w:fill="auto"/>
          </w:tcPr>
          <w:p w14:paraId="719C80C2" w14:textId="77777777" w:rsidR="000B4520" w:rsidRPr="00284C3C" w:rsidRDefault="000B4520" w:rsidP="0088047D">
            <w:pPr>
              <w:autoSpaceDE/>
              <w:autoSpaceDN/>
              <w:adjustRightInd/>
              <w:jc w:val="left"/>
              <w:rPr>
                <w:rFonts w:ascii="Arial" w:hAnsi="Arial"/>
                <w:sz w:val="22"/>
                <w:lang w:val="en-US"/>
              </w:rPr>
            </w:pPr>
            <w:r w:rsidRPr="00284C3C">
              <w:rPr>
                <w:rFonts w:ascii="Arial" w:hAnsi="Arial"/>
                <w:b/>
                <w:sz w:val="22"/>
                <w:lang w:val="en-US"/>
              </w:rPr>
              <w:t>Blood and Lymphatic System Disorders</w:t>
            </w:r>
          </w:p>
        </w:tc>
      </w:tr>
      <w:tr w:rsidR="000B4520" w:rsidRPr="00066D30" w14:paraId="5008E71C" w14:textId="77777777" w:rsidTr="001550EB">
        <w:trPr>
          <w:trHeight w:hRule="exact" w:val="284"/>
        </w:trPr>
        <w:tc>
          <w:tcPr>
            <w:tcW w:w="2376" w:type="dxa"/>
            <w:tcBorders>
              <w:top w:val="nil"/>
              <w:left w:val="nil"/>
              <w:bottom w:val="nil"/>
              <w:right w:val="nil"/>
            </w:tcBorders>
            <w:shd w:val="clear" w:color="auto" w:fill="auto"/>
          </w:tcPr>
          <w:p w14:paraId="766AAFBB"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Neutropenia</w:t>
            </w:r>
          </w:p>
        </w:tc>
        <w:tc>
          <w:tcPr>
            <w:tcW w:w="1418" w:type="dxa"/>
            <w:tcBorders>
              <w:top w:val="nil"/>
              <w:left w:val="nil"/>
              <w:bottom w:val="nil"/>
              <w:right w:val="nil"/>
            </w:tcBorders>
            <w:shd w:val="clear" w:color="auto" w:fill="auto"/>
          </w:tcPr>
          <w:p w14:paraId="75E49204"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9</w:t>
            </w:r>
          </w:p>
        </w:tc>
        <w:tc>
          <w:tcPr>
            <w:tcW w:w="1843" w:type="dxa"/>
            <w:tcBorders>
              <w:top w:val="nil"/>
              <w:left w:val="nil"/>
              <w:bottom w:val="nil"/>
              <w:right w:val="nil"/>
            </w:tcBorders>
            <w:shd w:val="clear" w:color="auto" w:fill="auto"/>
          </w:tcPr>
          <w:p w14:paraId="5CC291AC"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3</w:t>
            </w:r>
          </w:p>
        </w:tc>
        <w:tc>
          <w:tcPr>
            <w:tcW w:w="1417" w:type="dxa"/>
            <w:tcBorders>
              <w:top w:val="nil"/>
              <w:left w:val="nil"/>
              <w:bottom w:val="nil"/>
              <w:right w:val="nil"/>
            </w:tcBorders>
            <w:shd w:val="clear" w:color="auto" w:fill="auto"/>
          </w:tcPr>
          <w:p w14:paraId="2F5B54D1"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c>
          <w:tcPr>
            <w:tcW w:w="1701" w:type="dxa"/>
            <w:tcBorders>
              <w:top w:val="nil"/>
              <w:left w:val="nil"/>
              <w:bottom w:val="nil"/>
              <w:right w:val="nil"/>
            </w:tcBorders>
            <w:shd w:val="clear" w:color="auto" w:fill="auto"/>
          </w:tcPr>
          <w:p w14:paraId="5DD1ADE4"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0</w:t>
            </w:r>
          </w:p>
        </w:tc>
      </w:tr>
      <w:tr w:rsidR="000B4520" w:rsidRPr="00066D30" w14:paraId="1AEE7AAE" w14:textId="77777777" w:rsidTr="001550EB">
        <w:trPr>
          <w:trHeight w:hRule="exact" w:val="284"/>
        </w:trPr>
        <w:tc>
          <w:tcPr>
            <w:tcW w:w="2376" w:type="dxa"/>
            <w:tcBorders>
              <w:top w:val="nil"/>
              <w:left w:val="nil"/>
              <w:bottom w:val="single" w:sz="4" w:space="0" w:color="auto"/>
              <w:right w:val="nil"/>
            </w:tcBorders>
            <w:shd w:val="clear" w:color="auto" w:fill="auto"/>
          </w:tcPr>
          <w:p w14:paraId="0096EA81"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Anemia</w:t>
            </w:r>
          </w:p>
        </w:tc>
        <w:tc>
          <w:tcPr>
            <w:tcW w:w="1418" w:type="dxa"/>
            <w:tcBorders>
              <w:top w:val="nil"/>
              <w:left w:val="nil"/>
              <w:bottom w:val="single" w:sz="4" w:space="0" w:color="auto"/>
              <w:right w:val="nil"/>
            </w:tcBorders>
            <w:shd w:val="clear" w:color="auto" w:fill="auto"/>
          </w:tcPr>
          <w:p w14:paraId="38AEF55C"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6</w:t>
            </w:r>
          </w:p>
        </w:tc>
        <w:tc>
          <w:tcPr>
            <w:tcW w:w="1843" w:type="dxa"/>
            <w:tcBorders>
              <w:top w:val="nil"/>
              <w:left w:val="nil"/>
              <w:bottom w:val="single" w:sz="4" w:space="0" w:color="auto"/>
              <w:right w:val="nil"/>
            </w:tcBorders>
            <w:shd w:val="clear" w:color="auto" w:fill="auto"/>
          </w:tcPr>
          <w:p w14:paraId="2B07A17E"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w:t>
            </w:r>
          </w:p>
        </w:tc>
        <w:tc>
          <w:tcPr>
            <w:tcW w:w="1417" w:type="dxa"/>
            <w:tcBorders>
              <w:top w:val="nil"/>
              <w:left w:val="nil"/>
              <w:bottom w:val="single" w:sz="4" w:space="0" w:color="auto"/>
              <w:right w:val="nil"/>
            </w:tcBorders>
            <w:shd w:val="clear" w:color="auto" w:fill="auto"/>
          </w:tcPr>
          <w:p w14:paraId="5ECB2042"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7</w:t>
            </w:r>
          </w:p>
        </w:tc>
        <w:tc>
          <w:tcPr>
            <w:tcW w:w="1701" w:type="dxa"/>
            <w:tcBorders>
              <w:top w:val="nil"/>
              <w:left w:val="nil"/>
              <w:bottom w:val="single" w:sz="4" w:space="0" w:color="auto"/>
              <w:right w:val="nil"/>
            </w:tcBorders>
            <w:shd w:val="clear" w:color="auto" w:fill="auto"/>
          </w:tcPr>
          <w:p w14:paraId="31A17ABD"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3</w:t>
            </w:r>
          </w:p>
        </w:tc>
      </w:tr>
      <w:tr w:rsidR="000B4520" w:rsidRPr="00066D30" w14:paraId="77F346F2" w14:textId="77777777" w:rsidTr="001550EB">
        <w:trPr>
          <w:trHeight w:hRule="exact" w:val="284"/>
        </w:trPr>
        <w:tc>
          <w:tcPr>
            <w:tcW w:w="8755" w:type="dxa"/>
            <w:gridSpan w:val="5"/>
            <w:tcBorders>
              <w:top w:val="single" w:sz="4" w:space="0" w:color="auto"/>
              <w:left w:val="nil"/>
              <w:bottom w:val="nil"/>
              <w:right w:val="nil"/>
            </w:tcBorders>
            <w:shd w:val="clear" w:color="auto" w:fill="auto"/>
          </w:tcPr>
          <w:p w14:paraId="49E52CC4" w14:textId="77777777" w:rsidR="000B4520" w:rsidRPr="00284C3C" w:rsidRDefault="000B4520" w:rsidP="0088047D">
            <w:pPr>
              <w:autoSpaceDE/>
              <w:autoSpaceDN/>
              <w:adjustRightInd/>
              <w:jc w:val="left"/>
              <w:rPr>
                <w:rFonts w:ascii="Arial" w:hAnsi="Arial"/>
                <w:sz w:val="22"/>
                <w:lang w:val="en-US"/>
              </w:rPr>
            </w:pPr>
            <w:r w:rsidRPr="00284C3C">
              <w:rPr>
                <w:rFonts w:ascii="Arial" w:hAnsi="Arial"/>
                <w:b/>
                <w:sz w:val="22"/>
                <w:lang w:val="en-US"/>
              </w:rPr>
              <w:t>Investigations</w:t>
            </w:r>
          </w:p>
        </w:tc>
      </w:tr>
      <w:tr w:rsidR="000B4520" w:rsidRPr="00066D30" w14:paraId="3F66427A" w14:textId="77777777" w:rsidTr="001550EB">
        <w:trPr>
          <w:trHeight w:hRule="exact" w:val="284"/>
        </w:trPr>
        <w:tc>
          <w:tcPr>
            <w:tcW w:w="2376" w:type="dxa"/>
            <w:tcBorders>
              <w:top w:val="nil"/>
              <w:left w:val="nil"/>
              <w:bottom w:val="nil"/>
              <w:right w:val="nil"/>
            </w:tcBorders>
            <w:shd w:val="clear" w:color="auto" w:fill="auto"/>
          </w:tcPr>
          <w:p w14:paraId="4AF5B9C2"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ALT increased</w:t>
            </w:r>
          </w:p>
        </w:tc>
        <w:tc>
          <w:tcPr>
            <w:tcW w:w="1418" w:type="dxa"/>
            <w:tcBorders>
              <w:top w:val="nil"/>
              <w:left w:val="nil"/>
              <w:bottom w:val="nil"/>
              <w:right w:val="nil"/>
            </w:tcBorders>
            <w:shd w:val="clear" w:color="auto" w:fill="auto"/>
          </w:tcPr>
          <w:p w14:paraId="4FE42D74"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11</w:t>
            </w:r>
          </w:p>
        </w:tc>
        <w:tc>
          <w:tcPr>
            <w:tcW w:w="1843" w:type="dxa"/>
            <w:tcBorders>
              <w:top w:val="nil"/>
              <w:left w:val="nil"/>
              <w:bottom w:val="nil"/>
              <w:right w:val="nil"/>
            </w:tcBorders>
            <w:shd w:val="clear" w:color="auto" w:fill="auto"/>
          </w:tcPr>
          <w:p w14:paraId="7FB09D25"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w:t>
            </w:r>
          </w:p>
        </w:tc>
        <w:tc>
          <w:tcPr>
            <w:tcW w:w="1417" w:type="dxa"/>
            <w:tcBorders>
              <w:top w:val="nil"/>
              <w:left w:val="nil"/>
              <w:bottom w:val="nil"/>
              <w:right w:val="nil"/>
            </w:tcBorders>
            <w:shd w:val="clear" w:color="auto" w:fill="auto"/>
          </w:tcPr>
          <w:p w14:paraId="358984C3"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5</w:t>
            </w:r>
          </w:p>
        </w:tc>
        <w:tc>
          <w:tcPr>
            <w:tcW w:w="1701" w:type="dxa"/>
            <w:tcBorders>
              <w:top w:val="nil"/>
              <w:left w:val="nil"/>
              <w:bottom w:val="nil"/>
              <w:right w:val="nil"/>
            </w:tcBorders>
            <w:shd w:val="clear" w:color="auto" w:fill="auto"/>
          </w:tcPr>
          <w:p w14:paraId="77B6EB1A"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r>
      <w:tr w:rsidR="000B4520" w:rsidRPr="00066D30" w14:paraId="06475DCB" w14:textId="77777777" w:rsidTr="001550EB">
        <w:trPr>
          <w:trHeight w:hRule="exact" w:val="284"/>
        </w:trPr>
        <w:tc>
          <w:tcPr>
            <w:tcW w:w="2376" w:type="dxa"/>
            <w:tcBorders>
              <w:top w:val="nil"/>
              <w:left w:val="nil"/>
              <w:bottom w:val="nil"/>
              <w:right w:val="nil"/>
            </w:tcBorders>
            <w:shd w:val="clear" w:color="auto" w:fill="auto"/>
          </w:tcPr>
          <w:p w14:paraId="511109E0"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AST increased</w:t>
            </w:r>
          </w:p>
        </w:tc>
        <w:tc>
          <w:tcPr>
            <w:tcW w:w="1418" w:type="dxa"/>
            <w:tcBorders>
              <w:top w:val="nil"/>
              <w:left w:val="nil"/>
              <w:bottom w:val="nil"/>
              <w:right w:val="nil"/>
            </w:tcBorders>
            <w:shd w:val="clear" w:color="auto" w:fill="auto"/>
          </w:tcPr>
          <w:p w14:paraId="15B4C220"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11</w:t>
            </w:r>
          </w:p>
        </w:tc>
        <w:tc>
          <w:tcPr>
            <w:tcW w:w="1843" w:type="dxa"/>
            <w:tcBorders>
              <w:top w:val="nil"/>
              <w:left w:val="nil"/>
              <w:bottom w:val="nil"/>
              <w:right w:val="nil"/>
            </w:tcBorders>
            <w:shd w:val="clear" w:color="auto" w:fill="auto"/>
          </w:tcPr>
          <w:p w14:paraId="528800BE"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3</w:t>
            </w:r>
          </w:p>
        </w:tc>
        <w:tc>
          <w:tcPr>
            <w:tcW w:w="1417" w:type="dxa"/>
            <w:tcBorders>
              <w:top w:val="nil"/>
              <w:left w:val="nil"/>
              <w:bottom w:val="nil"/>
              <w:right w:val="nil"/>
            </w:tcBorders>
            <w:shd w:val="clear" w:color="auto" w:fill="auto"/>
          </w:tcPr>
          <w:p w14:paraId="46915EED"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3</w:t>
            </w:r>
          </w:p>
        </w:tc>
        <w:tc>
          <w:tcPr>
            <w:tcW w:w="1701" w:type="dxa"/>
            <w:tcBorders>
              <w:top w:val="nil"/>
              <w:left w:val="nil"/>
              <w:bottom w:val="nil"/>
              <w:right w:val="nil"/>
            </w:tcBorders>
            <w:shd w:val="clear" w:color="auto" w:fill="auto"/>
          </w:tcPr>
          <w:p w14:paraId="51F38522"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&lt;1</w:t>
            </w:r>
          </w:p>
        </w:tc>
      </w:tr>
      <w:tr w:rsidR="000B4520" w:rsidRPr="00066D30" w14:paraId="519BDEDD" w14:textId="77777777" w:rsidTr="001550EB">
        <w:trPr>
          <w:trHeight w:hRule="exact" w:val="284"/>
        </w:trPr>
        <w:tc>
          <w:tcPr>
            <w:tcW w:w="2376" w:type="dxa"/>
            <w:tcBorders>
              <w:top w:val="nil"/>
              <w:left w:val="nil"/>
              <w:bottom w:val="single" w:sz="4" w:space="0" w:color="auto"/>
              <w:right w:val="nil"/>
            </w:tcBorders>
            <w:shd w:val="clear" w:color="auto" w:fill="auto"/>
          </w:tcPr>
          <w:p w14:paraId="7AE5F28F" w14:textId="77777777" w:rsidR="000B4520" w:rsidRPr="00284C3C" w:rsidRDefault="000B4520" w:rsidP="0088047D">
            <w:pPr>
              <w:autoSpaceDE/>
              <w:autoSpaceDN/>
              <w:adjustRightInd/>
              <w:jc w:val="right"/>
              <w:rPr>
                <w:rFonts w:ascii="Arial" w:hAnsi="Arial"/>
                <w:sz w:val="22"/>
                <w:lang w:val="en-US"/>
              </w:rPr>
            </w:pPr>
            <w:r w:rsidRPr="00284C3C">
              <w:rPr>
                <w:rFonts w:ascii="Arial" w:hAnsi="Arial"/>
                <w:sz w:val="22"/>
                <w:lang w:val="en-US"/>
              </w:rPr>
              <w:t>Lymphocyte count decrease</w:t>
            </w:r>
          </w:p>
        </w:tc>
        <w:tc>
          <w:tcPr>
            <w:tcW w:w="1418" w:type="dxa"/>
            <w:tcBorders>
              <w:top w:val="nil"/>
              <w:left w:val="nil"/>
              <w:bottom w:val="single" w:sz="4" w:space="0" w:color="auto"/>
              <w:right w:val="nil"/>
            </w:tcBorders>
            <w:shd w:val="clear" w:color="auto" w:fill="auto"/>
          </w:tcPr>
          <w:p w14:paraId="62975288"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w:t>
            </w:r>
          </w:p>
        </w:tc>
        <w:tc>
          <w:tcPr>
            <w:tcW w:w="1843" w:type="dxa"/>
            <w:tcBorders>
              <w:top w:val="nil"/>
              <w:left w:val="nil"/>
              <w:bottom w:val="single" w:sz="4" w:space="0" w:color="auto"/>
              <w:right w:val="nil"/>
            </w:tcBorders>
            <w:shd w:val="clear" w:color="auto" w:fill="auto"/>
          </w:tcPr>
          <w:p w14:paraId="62460B8A"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2</w:t>
            </w:r>
          </w:p>
        </w:tc>
        <w:tc>
          <w:tcPr>
            <w:tcW w:w="1417" w:type="dxa"/>
            <w:tcBorders>
              <w:top w:val="nil"/>
              <w:left w:val="nil"/>
              <w:bottom w:val="single" w:sz="4" w:space="0" w:color="auto"/>
              <w:right w:val="nil"/>
            </w:tcBorders>
            <w:shd w:val="clear" w:color="auto" w:fill="auto"/>
          </w:tcPr>
          <w:p w14:paraId="343588B2"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w:t>
            </w:r>
          </w:p>
        </w:tc>
        <w:tc>
          <w:tcPr>
            <w:tcW w:w="1701" w:type="dxa"/>
            <w:tcBorders>
              <w:top w:val="nil"/>
              <w:left w:val="nil"/>
              <w:bottom w:val="single" w:sz="4" w:space="0" w:color="auto"/>
              <w:right w:val="nil"/>
            </w:tcBorders>
            <w:shd w:val="clear" w:color="auto" w:fill="auto"/>
          </w:tcPr>
          <w:p w14:paraId="04C9ED29" w14:textId="77777777" w:rsidR="000B4520" w:rsidRPr="00284C3C" w:rsidRDefault="000B4520" w:rsidP="0088047D">
            <w:pPr>
              <w:autoSpaceDE/>
              <w:autoSpaceDN/>
              <w:adjustRightInd/>
              <w:jc w:val="center"/>
              <w:rPr>
                <w:rFonts w:ascii="Arial" w:hAnsi="Arial"/>
                <w:sz w:val="22"/>
                <w:lang w:val="en-US"/>
              </w:rPr>
            </w:pPr>
            <w:r w:rsidRPr="00284C3C">
              <w:rPr>
                <w:rFonts w:ascii="Arial" w:hAnsi="Arial"/>
                <w:sz w:val="22"/>
                <w:lang w:val="en-US"/>
              </w:rPr>
              <w:t>1</w:t>
            </w:r>
          </w:p>
        </w:tc>
      </w:tr>
    </w:tbl>
    <w:p w14:paraId="63C19B20" w14:textId="77777777" w:rsidR="000B4520" w:rsidRPr="00BD3B05" w:rsidRDefault="000B4520" w:rsidP="000B4520">
      <w:pPr>
        <w:ind w:left="504"/>
        <w:rPr>
          <w:rFonts w:ascii="Arial" w:eastAsia="Calibri" w:hAnsi="Arial" w:cs="Arial"/>
          <w:sz w:val="16"/>
          <w:szCs w:val="16"/>
          <w:lang w:val="es-ES"/>
        </w:rPr>
      </w:pPr>
      <w:proofErr w:type="gramStart"/>
      <w:r w:rsidRPr="00BD3B05">
        <w:rPr>
          <w:rFonts w:ascii="Arial" w:eastAsia="Calibri" w:hAnsi="Arial" w:cs="Arial"/>
          <w:sz w:val="16"/>
          <w:szCs w:val="16"/>
          <w:vertAlign w:val="superscript"/>
          <w:lang w:val="es-ES"/>
        </w:rPr>
        <w:t>a</w:t>
      </w:r>
      <w:proofErr w:type="gramEnd"/>
      <w:r w:rsidRPr="00BD3B05">
        <w:rPr>
          <w:rFonts w:ascii="Arial" w:eastAsia="Calibri" w:hAnsi="Arial" w:cs="Arial"/>
          <w:sz w:val="16"/>
          <w:szCs w:val="16"/>
          <w:lang w:val="es-ES"/>
        </w:rPr>
        <w:t xml:space="preserve"> PPE = Palmar-plantar </w:t>
      </w:r>
      <w:proofErr w:type="spellStart"/>
      <w:r w:rsidRPr="00BD3B05">
        <w:rPr>
          <w:rFonts w:ascii="Arial" w:eastAsia="Calibri" w:hAnsi="Arial" w:cs="Arial"/>
          <w:sz w:val="16"/>
          <w:szCs w:val="16"/>
          <w:lang w:val="es-ES"/>
        </w:rPr>
        <w:t>erythrodysesthesia</w:t>
      </w:r>
      <w:proofErr w:type="spellEnd"/>
      <w:r w:rsidRPr="00BD3B05">
        <w:rPr>
          <w:rFonts w:ascii="Arial" w:eastAsia="Calibri" w:hAnsi="Arial" w:cs="Arial"/>
          <w:sz w:val="16"/>
          <w:szCs w:val="16"/>
          <w:lang w:val="es-ES"/>
        </w:rPr>
        <w:t>.</w:t>
      </w:r>
    </w:p>
    <w:p w14:paraId="15690879" w14:textId="77777777" w:rsidR="000B4520" w:rsidRPr="00BD3B05" w:rsidRDefault="000B4520" w:rsidP="000B4520">
      <w:pPr>
        <w:keepNext/>
        <w:spacing w:after="0" w:line="240" w:lineRule="auto"/>
        <w:ind w:left="504"/>
        <w:rPr>
          <w:rFonts w:ascii="Arial" w:hAnsi="Arial" w:cs="Arial"/>
          <w:b/>
          <w:sz w:val="22"/>
          <w:szCs w:val="22"/>
          <w:lang w:val="es-ES"/>
        </w:rPr>
      </w:pPr>
    </w:p>
    <w:p w14:paraId="5CF1CA1D" w14:textId="765D9119" w:rsidR="000B4520" w:rsidRDefault="000B4520" w:rsidP="00676700">
      <w:pPr>
        <w:keepNext/>
        <w:spacing w:after="0" w:line="240" w:lineRule="auto"/>
        <w:ind w:left="504"/>
        <w:rPr>
          <w:rFonts w:ascii="Arial" w:hAnsi="Arial"/>
          <w:b/>
          <w:lang w:val="en-US"/>
        </w:rPr>
      </w:pPr>
      <w:r w:rsidRPr="00284C3C">
        <w:rPr>
          <w:rFonts w:ascii="Arial" w:hAnsi="Arial"/>
          <w:b/>
          <w:lang w:val="en-US"/>
        </w:rPr>
        <w:t xml:space="preserve">Table </w:t>
      </w:r>
      <w:r w:rsidR="00C73E06">
        <w:rPr>
          <w:rFonts w:ascii="Arial" w:hAnsi="Arial"/>
          <w:b/>
          <w:lang w:val="en-US"/>
        </w:rPr>
        <w:t>7</w:t>
      </w:r>
      <w:r w:rsidRPr="00284C3C">
        <w:rPr>
          <w:rFonts w:ascii="Arial" w:hAnsi="Arial"/>
          <w:b/>
          <w:lang w:val="en-US"/>
        </w:rPr>
        <w:t xml:space="preserve"> </w:t>
      </w:r>
      <w:r w:rsidRPr="00284C3C">
        <w:rPr>
          <w:rFonts w:ascii="Arial" w:hAnsi="Arial"/>
          <w:b/>
          <w:lang w:val="en-US"/>
        </w:rPr>
        <w:tab/>
      </w:r>
      <w:r w:rsidR="002D0DDB">
        <w:rPr>
          <w:rFonts w:ascii="Arial" w:hAnsi="Arial"/>
          <w:b/>
          <w:lang w:val="en-US"/>
        </w:rPr>
        <w:tab/>
      </w:r>
      <w:r w:rsidRPr="004D0C8C">
        <w:rPr>
          <w:rFonts w:ascii="Arial" w:hAnsi="Arial" w:cs="Arial"/>
          <w:b/>
          <w:lang w:val="en-GB"/>
        </w:rPr>
        <w:t xml:space="preserve">Study MEK115306 (COMBI-d) - </w:t>
      </w:r>
      <w:r w:rsidRPr="00284C3C">
        <w:rPr>
          <w:rFonts w:ascii="Arial" w:hAnsi="Arial"/>
          <w:b/>
          <w:lang w:val="en-US"/>
        </w:rPr>
        <w:t xml:space="preserve">Treatment emergent </w:t>
      </w:r>
      <w:r w:rsidRPr="004D0C8C">
        <w:rPr>
          <w:rFonts w:ascii="Arial" w:hAnsi="Arial" w:cs="Arial"/>
          <w:b/>
          <w:lang w:val="en-US"/>
        </w:rPr>
        <w:t>Liver function</w:t>
      </w:r>
      <w:r w:rsidR="002D0DDB">
        <w:rPr>
          <w:rFonts w:ascii="Arial" w:hAnsi="Arial" w:cs="Arial"/>
          <w:b/>
          <w:lang w:val="en-US"/>
        </w:rPr>
        <w:t xml:space="preserve"> </w:t>
      </w:r>
      <w:r w:rsidR="002D0DDB">
        <w:rPr>
          <w:rFonts w:ascii="Arial" w:hAnsi="Arial" w:cs="Arial"/>
          <w:b/>
          <w:lang w:val="en-US"/>
        </w:rPr>
        <w:tab/>
      </w:r>
      <w:r w:rsidR="002D0DDB">
        <w:rPr>
          <w:rFonts w:ascii="Arial" w:hAnsi="Arial" w:cs="Arial"/>
          <w:b/>
          <w:lang w:val="en-US"/>
        </w:rPr>
        <w:tab/>
      </w:r>
      <w:r w:rsidR="002D0DDB">
        <w:rPr>
          <w:rFonts w:ascii="Arial" w:hAnsi="Arial" w:cs="Arial"/>
          <w:b/>
          <w:lang w:val="en-US"/>
        </w:rPr>
        <w:tab/>
      </w:r>
      <w:r w:rsidRPr="002D0DDB">
        <w:rPr>
          <w:rFonts w:ascii="Arial" w:hAnsi="Arial"/>
          <w:b/>
          <w:lang w:val="en-US"/>
        </w:rPr>
        <w:t xml:space="preserve">test abnormalities (worst case on therapy) occurring in patients </w:t>
      </w:r>
    </w:p>
    <w:p w14:paraId="42E3A010" w14:textId="7E945295" w:rsidR="000B4520" w:rsidRPr="00284C3C" w:rsidRDefault="002D0DDB" w:rsidP="00676700">
      <w:pPr>
        <w:keepNext/>
        <w:spacing w:after="0" w:line="240" w:lineRule="auto"/>
        <w:ind w:left="504"/>
        <w:rPr>
          <w:rFonts w:ascii="Arial" w:hAnsi="Arial"/>
          <w:b/>
          <w:lang w:val="en-US"/>
        </w:rPr>
      </w:pPr>
      <w:r>
        <w:rPr>
          <w:rFonts w:ascii="Arial" w:hAnsi="Arial"/>
          <w:b/>
          <w:lang w:val="en-US"/>
        </w:rPr>
        <w:tab/>
      </w:r>
      <w:r>
        <w:rPr>
          <w:rFonts w:ascii="Arial" w:hAnsi="Arial"/>
          <w:b/>
          <w:lang w:val="en-US"/>
        </w:rPr>
        <w:tab/>
      </w:r>
      <w:r>
        <w:rPr>
          <w:rFonts w:ascii="Arial" w:hAnsi="Arial"/>
          <w:b/>
          <w:lang w:val="en-US"/>
        </w:rPr>
        <w:tab/>
      </w:r>
      <w:proofErr w:type="gramStart"/>
      <w:r w:rsidR="000B4520" w:rsidRPr="002D0DDB">
        <w:rPr>
          <w:rFonts w:ascii="Arial" w:hAnsi="Arial"/>
          <w:b/>
          <w:lang w:val="en-US"/>
        </w:rPr>
        <w:t>treated</w:t>
      </w:r>
      <w:proofErr w:type="gramEnd"/>
      <w:r w:rsidR="000B4520" w:rsidRPr="002D0DDB">
        <w:rPr>
          <w:rFonts w:ascii="Arial" w:hAnsi="Arial"/>
          <w:b/>
          <w:lang w:val="en-US"/>
        </w:rPr>
        <w:t xml:space="preserve"> with TAFINLAR in combination with MEKINIST</w:t>
      </w:r>
      <w:r w:rsidR="000B4520" w:rsidRPr="00284C3C">
        <w:rPr>
          <w:rFonts w:ascii="Arial" w:hAnsi="Arial"/>
          <w:b/>
          <w:lang w:val="en-US"/>
        </w:rPr>
        <w:t xml:space="preserve"> or placebo</w:t>
      </w:r>
    </w:p>
    <w:p w14:paraId="31806460" w14:textId="77777777" w:rsidR="000B4520" w:rsidRPr="00216F1C" w:rsidRDefault="000B4520" w:rsidP="000B4520">
      <w:pPr>
        <w:keepNext/>
        <w:spacing w:after="0" w:line="240" w:lineRule="auto"/>
        <w:ind w:left="504"/>
        <w:rPr>
          <w:rFonts w:ascii="Arial" w:hAnsi="Arial" w:cs="Arial"/>
          <w:b/>
          <w:color w:val="FF0000"/>
          <w:sz w:val="22"/>
          <w:szCs w:val="22"/>
          <w:lang w:val="en-US"/>
        </w:rPr>
      </w:pPr>
    </w:p>
    <w:tbl>
      <w:tblPr>
        <w:tblW w:w="4850" w:type="pct"/>
        <w:jc w:val="center"/>
        <w:tblLayout w:type="fixed"/>
        <w:tblCellMar>
          <w:left w:w="0" w:type="dxa"/>
          <w:right w:w="0" w:type="dxa"/>
        </w:tblCellMar>
        <w:tblLook w:val="04A0" w:firstRow="1" w:lastRow="0" w:firstColumn="1" w:lastColumn="0" w:noHBand="0" w:noVBand="1"/>
      </w:tblPr>
      <w:tblGrid>
        <w:gridCol w:w="1544"/>
        <w:gridCol w:w="1552"/>
        <w:gridCol w:w="1227"/>
        <w:gridCol w:w="1261"/>
        <w:gridCol w:w="1556"/>
        <w:gridCol w:w="1244"/>
        <w:gridCol w:w="1244"/>
      </w:tblGrid>
      <w:tr w:rsidR="000B4520" w:rsidRPr="00482743" w14:paraId="331F9DB8" w14:textId="77777777" w:rsidTr="001550EB">
        <w:trPr>
          <w:trHeight w:hRule="exact" w:val="284"/>
          <w:tblHeader/>
          <w:jc w:val="center"/>
        </w:trPr>
        <w:tc>
          <w:tcPr>
            <w:tcW w:w="80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5977332" w14:textId="77777777" w:rsidR="000B4520" w:rsidRPr="00284C3C" w:rsidRDefault="000B4520" w:rsidP="0088047D">
            <w:pPr>
              <w:jc w:val="center"/>
              <w:rPr>
                <w:rFonts w:ascii="Arial" w:hAnsi="Arial"/>
                <w:b/>
                <w:sz w:val="20"/>
              </w:rPr>
            </w:pPr>
            <w:r w:rsidRPr="00284C3C">
              <w:rPr>
                <w:rFonts w:ascii="Arial" w:hAnsi="Arial"/>
                <w:b/>
                <w:sz w:val="20"/>
              </w:rPr>
              <w:t>Test</w:t>
            </w:r>
          </w:p>
          <w:p w14:paraId="3E2B011B" w14:textId="77777777" w:rsidR="000B4520" w:rsidRPr="00284C3C" w:rsidRDefault="000B4520" w:rsidP="0088047D">
            <w:pPr>
              <w:jc w:val="center"/>
              <w:rPr>
                <w:rFonts w:ascii="Arial" w:eastAsia="Calibri" w:hAnsi="Arial"/>
                <w:b/>
                <w:sz w:val="20"/>
              </w:rPr>
            </w:pPr>
          </w:p>
        </w:tc>
        <w:tc>
          <w:tcPr>
            <w:tcW w:w="2098" w:type="pct"/>
            <w:gridSpan w:val="3"/>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D64EA4" w14:textId="77777777" w:rsidR="000B4520" w:rsidRPr="00284C3C" w:rsidRDefault="000B4520" w:rsidP="0088047D">
            <w:pPr>
              <w:jc w:val="center"/>
              <w:rPr>
                <w:rFonts w:ascii="Arial" w:eastAsia="Calibri" w:hAnsi="Arial"/>
                <w:b/>
                <w:sz w:val="20"/>
              </w:rPr>
            </w:pPr>
            <w:r w:rsidRPr="00FF7EB2">
              <w:rPr>
                <w:rFonts w:ascii="Arial" w:hAnsi="Arial" w:cs="Arial"/>
                <w:b/>
                <w:sz w:val="20"/>
                <w:szCs w:val="20"/>
              </w:rPr>
              <w:t>TAFINLAR</w:t>
            </w:r>
            <w:r w:rsidRPr="00284C3C">
              <w:rPr>
                <w:rFonts w:ascii="Arial" w:hAnsi="Arial"/>
                <w:b/>
                <w:sz w:val="20"/>
              </w:rPr>
              <w:t xml:space="preserve"> 150 mg BID plus placebo (N = 211)</w:t>
            </w:r>
          </w:p>
        </w:tc>
        <w:tc>
          <w:tcPr>
            <w:tcW w:w="2100" w:type="pct"/>
            <w:gridSpan w:val="3"/>
            <w:tcBorders>
              <w:top w:val="single" w:sz="8" w:space="0" w:color="auto"/>
              <w:left w:val="nil"/>
              <w:bottom w:val="single" w:sz="4" w:space="0" w:color="auto"/>
              <w:right w:val="single" w:sz="8" w:space="0" w:color="auto"/>
            </w:tcBorders>
          </w:tcPr>
          <w:p w14:paraId="42939749" w14:textId="77777777" w:rsidR="000B4520" w:rsidRPr="00284C3C" w:rsidRDefault="000B4520" w:rsidP="0088047D">
            <w:pPr>
              <w:jc w:val="center"/>
              <w:rPr>
                <w:rFonts w:ascii="Arial" w:eastAsia="Calibri" w:hAnsi="Arial"/>
                <w:b/>
                <w:sz w:val="20"/>
              </w:rPr>
            </w:pPr>
            <w:r w:rsidRPr="00FF7EB2">
              <w:rPr>
                <w:rFonts w:ascii="Arial" w:hAnsi="Arial" w:cs="Arial"/>
                <w:b/>
                <w:sz w:val="20"/>
                <w:szCs w:val="20"/>
              </w:rPr>
              <w:t>TAFINLAR</w:t>
            </w:r>
            <w:r w:rsidRPr="00284C3C">
              <w:rPr>
                <w:rFonts w:ascii="Arial" w:hAnsi="Arial"/>
                <w:b/>
                <w:sz w:val="20"/>
              </w:rPr>
              <w:t xml:space="preserve"> 150 mg BID </w:t>
            </w:r>
            <w:r w:rsidRPr="00FF7EB2">
              <w:rPr>
                <w:rFonts w:ascii="Arial" w:hAnsi="Arial" w:cs="Arial"/>
                <w:b/>
                <w:sz w:val="20"/>
                <w:szCs w:val="20"/>
              </w:rPr>
              <w:t xml:space="preserve">+ </w:t>
            </w:r>
            <w:r>
              <w:rPr>
                <w:rFonts w:ascii="Arial" w:hAnsi="Arial" w:cs="Arial"/>
                <w:b/>
                <w:sz w:val="20"/>
                <w:szCs w:val="20"/>
              </w:rPr>
              <w:t>MEKINIST</w:t>
            </w:r>
            <w:r w:rsidRPr="00FF7EB2">
              <w:rPr>
                <w:rFonts w:ascii="Arial" w:hAnsi="Arial" w:cs="Arial"/>
                <w:b/>
                <w:sz w:val="20"/>
                <w:szCs w:val="20"/>
              </w:rPr>
              <w:t> 2 mg</w:t>
            </w:r>
            <w:r w:rsidRPr="00284C3C">
              <w:rPr>
                <w:rFonts w:ascii="Arial" w:hAnsi="Arial"/>
                <w:b/>
                <w:sz w:val="20"/>
              </w:rPr>
              <w:t xml:space="preserve"> QD </w:t>
            </w:r>
            <w:r w:rsidRPr="00FF7EB2">
              <w:rPr>
                <w:rFonts w:ascii="Arial" w:hAnsi="Arial" w:cs="Arial"/>
                <w:b/>
                <w:sz w:val="20"/>
                <w:szCs w:val="20"/>
              </w:rPr>
              <w:t>combination</w:t>
            </w:r>
            <w:r w:rsidRPr="00284C3C">
              <w:rPr>
                <w:rFonts w:ascii="Arial" w:hAnsi="Arial"/>
                <w:b/>
                <w:sz w:val="20"/>
              </w:rPr>
              <w:t xml:space="preserve"> (N = 209)</w:t>
            </w:r>
          </w:p>
        </w:tc>
      </w:tr>
      <w:tr w:rsidR="000B4520" w:rsidRPr="00482743" w14:paraId="346FD3E8" w14:textId="77777777" w:rsidTr="001550EB">
        <w:trPr>
          <w:trHeight w:hRule="exact" w:val="284"/>
          <w:tblHeader/>
          <w:jc w:val="center"/>
        </w:trPr>
        <w:tc>
          <w:tcPr>
            <w:tcW w:w="802" w:type="pct"/>
            <w:vMerge/>
            <w:tcBorders>
              <w:top w:val="single" w:sz="8" w:space="0" w:color="auto"/>
              <w:left w:val="single" w:sz="8" w:space="0" w:color="auto"/>
              <w:bottom w:val="single" w:sz="8" w:space="0" w:color="auto"/>
              <w:right w:val="single" w:sz="8" w:space="0" w:color="auto"/>
            </w:tcBorders>
            <w:vAlign w:val="center"/>
            <w:hideMark/>
          </w:tcPr>
          <w:p w14:paraId="5EF25949" w14:textId="77777777" w:rsidR="000B4520" w:rsidRPr="00EA0A02" w:rsidRDefault="000B4520" w:rsidP="0088047D">
            <w:pPr>
              <w:jc w:val="center"/>
              <w:rPr>
                <w:rFonts w:ascii="Arial" w:eastAsia="Calibri" w:hAnsi="Arial"/>
                <w:b/>
                <w:sz w:val="20"/>
              </w:rPr>
            </w:pPr>
          </w:p>
        </w:tc>
        <w:tc>
          <w:tcPr>
            <w:tcW w:w="8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2581D44" w14:textId="77777777" w:rsidR="000B4520" w:rsidRPr="00EA0A02" w:rsidRDefault="000B4520" w:rsidP="0088047D">
            <w:pPr>
              <w:jc w:val="center"/>
              <w:rPr>
                <w:rFonts w:ascii="Arial" w:eastAsia="Calibri" w:hAnsi="Arial"/>
                <w:b/>
                <w:sz w:val="20"/>
              </w:rPr>
            </w:pPr>
            <w:r w:rsidRPr="00EA0A02">
              <w:rPr>
                <w:rFonts w:ascii="Arial" w:hAnsi="Arial"/>
                <w:b/>
                <w:sz w:val="20"/>
              </w:rPr>
              <w:t xml:space="preserve">All </w:t>
            </w:r>
            <w:proofErr w:type="spellStart"/>
            <w:r w:rsidRPr="00EA0A02">
              <w:rPr>
                <w:rFonts w:ascii="Arial" w:hAnsi="Arial"/>
                <w:b/>
                <w:sz w:val="20"/>
              </w:rPr>
              <w:t>Grades</w:t>
            </w:r>
            <w:r w:rsidRPr="00EA0A02">
              <w:rPr>
                <w:rFonts w:ascii="Arial" w:hAnsi="Arial"/>
                <w:b/>
                <w:sz w:val="20"/>
                <w:vertAlign w:val="superscript"/>
              </w:rPr>
              <w:t>a</w:t>
            </w:r>
            <w:proofErr w:type="spellEnd"/>
          </w:p>
        </w:tc>
        <w:tc>
          <w:tcPr>
            <w:tcW w:w="63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6761B7" w14:textId="77777777" w:rsidR="000B4520" w:rsidRPr="00EA0A02" w:rsidRDefault="000B4520" w:rsidP="0088047D">
            <w:pPr>
              <w:jc w:val="center"/>
              <w:rPr>
                <w:rFonts w:ascii="Arial" w:eastAsia="Calibri" w:hAnsi="Arial"/>
                <w:b/>
                <w:sz w:val="20"/>
              </w:rPr>
            </w:pPr>
            <w:r w:rsidRPr="00EA0A02">
              <w:rPr>
                <w:rFonts w:ascii="Arial" w:hAnsi="Arial"/>
                <w:b/>
                <w:sz w:val="20"/>
              </w:rPr>
              <w:t>Grade 3</w:t>
            </w:r>
          </w:p>
        </w:tc>
        <w:tc>
          <w:tcPr>
            <w:tcW w:w="6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1C832B" w14:textId="77777777" w:rsidR="000B4520" w:rsidRPr="00EA0A02" w:rsidRDefault="000B4520" w:rsidP="0088047D">
            <w:pPr>
              <w:jc w:val="center"/>
              <w:rPr>
                <w:rFonts w:ascii="Arial" w:eastAsia="Calibri" w:hAnsi="Arial"/>
                <w:b/>
                <w:sz w:val="20"/>
              </w:rPr>
            </w:pPr>
            <w:r w:rsidRPr="00EA0A02">
              <w:rPr>
                <w:rFonts w:ascii="Arial" w:hAnsi="Arial"/>
                <w:b/>
                <w:sz w:val="20"/>
              </w:rPr>
              <w:t>Grade 4</w:t>
            </w:r>
          </w:p>
        </w:tc>
        <w:tc>
          <w:tcPr>
            <w:tcW w:w="80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E0F2B8" w14:textId="77777777" w:rsidR="000B4520" w:rsidRPr="00EA0A02" w:rsidRDefault="000B4520" w:rsidP="0088047D">
            <w:pPr>
              <w:jc w:val="center"/>
              <w:rPr>
                <w:rFonts w:ascii="Arial" w:eastAsia="Calibri" w:hAnsi="Arial"/>
                <w:b/>
                <w:sz w:val="20"/>
              </w:rPr>
            </w:pPr>
            <w:r w:rsidRPr="00EA0A02">
              <w:rPr>
                <w:rFonts w:ascii="Arial" w:hAnsi="Arial"/>
                <w:b/>
                <w:sz w:val="20"/>
              </w:rPr>
              <w:t xml:space="preserve">All </w:t>
            </w:r>
            <w:proofErr w:type="spellStart"/>
            <w:r w:rsidRPr="00EA0A02">
              <w:rPr>
                <w:rFonts w:ascii="Arial" w:hAnsi="Arial"/>
                <w:b/>
                <w:sz w:val="20"/>
              </w:rPr>
              <w:t>Grades</w:t>
            </w:r>
            <w:r w:rsidRPr="00EA0A02">
              <w:rPr>
                <w:rFonts w:ascii="Arial" w:hAnsi="Arial"/>
                <w:b/>
                <w:sz w:val="20"/>
                <w:vertAlign w:val="superscript"/>
              </w:rPr>
              <w:t>a</w:t>
            </w:r>
            <w:proofErr w:type="spellEnd"/>
          </w:p>
        </w:tc>
        <w:tc>
          <w:tcPr>
            <w:tcW w:w="6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ECC5E7B" w14:textId="77777777" w:rsidR="000B4520" w:rsidRPr="00EA0A02" w:rsidRDefault="000B4520" w:rsidP="0088047D">
            <w:pPr>
              <w:jc w:val="center"/>
              <w:rPr>
                <w:rFonts w:ascii="Arial" w:eastAsia="Calibri" w:hAnsi="Arial"/>
                <w:b/>
                <w:sz w:val="20"/>
              </w:rPr>
            </w:pPr>
            <w:r w:rsidRPr="00EA0A02">
              <w:rPr>
                <w:rFonts w:ascii="Arial" w:hAnsi="Arial"/>
                <w:b/>
                <w:sz w:val="20"/>
              </w:rPr>
              <w:t>Grade 3</w:t>
            </w:r>
          </w:p>
        </w:tc>
        <w:tc>
          <w:tcPr>
            <w:tcW w:w="6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513BCC" w14:textId="77777777" w:rsidR="000B4520" w:rsidRPr="00EA0A02" w:rsidRDefault="000B4520" w:rsidP="0088047D">
            <w:pPr>
              <w:jc w:val="center"/>
              <w:rPr>
                <w:rFonts w:ascii="Arial" w:eastAsia="Calibri" w:hAnsi="Arial"/>
                <w:b/>
                <w:sz w:val="20"/>
              </w:rPr>
            </w:pPr>
            <w:r w:rsidRPr="00EA0A02">
              <w:rPr>
                <w:rFonts w:ascii="Arial" w:hAnsi="Arial"/>
                <w:b/>
                <w:sz w:val="20"/>
              </w:rPr>
              <w:t>Grade 4</w:t>
            </w:r>
          </w:p>
        </w:tc>
      </w:tr>
      <w:tr w:rsidR="000B4520" w:rsidRPr="00233F34" w14:paraId="6281FE1F" w14:textId="77777777" w:rsidTr="00220835">
        <w:trPr>
          <w:trHeight w:hRule="exact" w:val="589"/>
          <w:jc w:val="center"/>
        </w:trPr>
        <w:tc>
          <w:tcPr>
            <w:tcW w:w="8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213A1B" w14:textId="77777777" w:rsidR="000B4520" w:rsidRPr="00284C3C" w:rsidRDefault="000B4520" w:rsidP="0088047D">
            <w:pPr>
              <w:jc w:val="center"/>
              <w:rPr>
                <w:rFonts w:ascii="Arial" w:eastAsia="Calibri" w:hAnsi="Arial"/>
                <w:sz w:val="20"/>
              </w:rPr>
            </w:pPr>
            <w:r w:rsidRPr="00284C3C">
              <w:rPr>
                <w:rFonts w:ascii="Arial" w:hAnsi="Arial"/>
                <w:sz w:val="20"/>
              </w:rPr>
              <w:lastRenderedPageBreak/>
              <w:t>Increased ALP</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14:paraId="32BEFAF2" w14:textId="77777777" w:rsidR="000B4520" w:rsidRPr="00284C3C" w:rsidRDefault="000B4520" w:rsidP="0088047D">
            <w:pPr>
              <w:jc w:val="center"/>
              <w:rPr>
                <w:rFonts w:ascii="Arial" w:eastAsia="Calibri" w:hAnsi="Arial"/>
                <w:sz w:val="20"/>
              </w:rPr>
            </w:pPr>
            <w:r w:rsidRPr="00284C3C">
              <w:rPr>
                <w:rFonts w:ascii="Arial" w:hAnsi="Arial"/>
                <w:sz w:val="20"/>
              </w:rPr>
              <w:t>20</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14:paraId="63ADE749" w14:textId="77777777" w:rsidR="000B4520" w:rsidRPr="00284C3C" w:rsidRDefault="000B4520" w:rsidP="0088047D">
            <w:pPr>
              <w:jc w:val="center"/>
              <w:rPr>
                <w:rFonts w:ascii="Arial" w:eastAsia="Calibri" w:hAnsi="Arial"/>
                <w:sz w:val="20"/>
              </w:rPr>
            </w:pPr>
            <w:r w:rsidRPr="00284C3C">
              <w:rPr>
                <w:rFonts w:ascii="Arial" w:hAnsi="Arial"/>
                <w:sz w:val="20"/>
              </w:rPr>
              <w:t>&lt;1</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218EBF67" w14:textId="77777777" w:rsidR="000B4520" w:rsidRPr="00284C3C" w:rsidRDefault="000B4520" w:rsidP="0088047D">
            <w:pPr>
              <w:jc w:val="center"/>
              <w:rPr>
                <w:rFonts w:ascii="Arial" w:eastAsia="Calibri" w:hAnsi="Arial"/>
                <w:sz w:val="20"/>
              </w:rPr>
            </w:pPr>
            <w:r w:rsidRPr="00284C3C">
              <w:rPr>
                <w:rFonts w:ascii="Arial" w:hAnsi="Arial"/>
                <w:sz w:val="20"/>
              </w:rPr>
              <w:t>0</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7C518AC3" w14:textId="77777777" w:rsidR="000B4520" w:rsidRPr="00284C3C" w:rsidRDefault="000B4520" w:rsidP="0088047D">
            <w:pPr>
              <w:jc w:val="center"/>
              <w:rPr>
                <w:rFonts w:ascii="Arial" w:eastAsia="Calibri" w:hAnsi="Arial"/>
                <w:sz w:val="20"/>
              </w:rPr>
            </w:pPr>
            <w:r w:rsidRPr="00284C3C">
              <w:rPr>
                <w:rFonts w:ascii="Arial" w:hAnsi="Arial"/>
                <w:sz w:val="20"/>
              </w:rPr>
              <w:t>45</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5F454B75" w14:textId="77777777" w:rsidR="000B4520" w:rsidRPr="00284C3C" w:rsidRDefault="000B4520" w:rsidP="0088047D">
            <w:pPr>
              <w:jc w:val="center"/>
              <w:rPr>
                <w:rFonts w:ascii="Arial" w:eastAsia="Calibri" w:hAnsi="Arial"/>
                <w:sz w:val="20"/>
              </w:rPr>
            </w:pPr>
            <w:r w:rsidRPr="00284C3C">
              <w:rPr>
                <w:rFonts w:ascii="Arial" w:hAnsi="Arial"/>
                <w:sz w:val="20"/>
              </w:rPr>
              <w:t>&lt;1</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006CA1A6" w14:textId="77777777" w:rsidR="000B4520" w:rsidRPr="00284C3C" w:rsidRDefault="000B4520" w:rsidP="0088047D">
            <w:pPr>
              <w:jc w:val="center"/>
              <w:rPr>
                <w:rFonts w:ascii="Arial" w:eastAsia="Calibri" w:hAnsi="Arial"/>
                <w:sz w:val="20"/>
              </w:rPr>
            </w:pPr>
            <w:r w:rsidRPr="00284C3C">
              <w:rPr>
                <w:rFonts w:ascii="Arial" w:hAnsi="Arial"/>
                <w:sz w:val="20"/>
              </w:rPr>
              <w:t>0</w:t>
            </w:r>
          </w:p>
        </w:tc>
      </w:tr>
      <w:tr w:rsidR="000B4520" w:rsidRPr="00233F34" w14:paraId="0A93662F" w14:textId="77777777" w:rsidTr="00220835">
        <w:trPr>
          <w:trHeight w:hRule="exact" w:val="569"/>
          <w:jc w:val="center"/>
        </w:trPr>
        <w:tc>
          <w:tcPr>
            <w:tcW w:w="8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FEDA88" w14:textId="77777777" w:rsidR="000B4520" w:rsidRPr="00284C3C" w:rsidRDefault="000B4520" w:rsidP="0088047D">
            <w:pPr>
              <w:jc w:val="center"/>
              <w:rPr>
                <w:rFonts w:ascii="Arial" w:eastAsia="Calibri" w:hAnsi="Arial"/>
                <w:sz w:val="20"/>
              </w:rPr>
            </w:pPr>
            <w:r w:rsidRPr="00284C3C">
              <w:rPr>
                <w:rFonts w:ascii="Arial" w:hAnsi="Arial"/>
                <w:sz w:val="20"/>
              </w:rPr>
              <w:t>Increased AST</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14:paraId="5F126E98" w14:textId="77777777" w:rsidR="000B4520" w:rsidRPr="00284C3C" w:rsidRDefault="000B4520" w:rsidP="0088047D">
            <w:pPr>
              <w:jc w:val="center"/>
              <w:rPr>
                <w:rFonts w:ascii="Arial" w:eastAsia="Calibri" w:hAnsi="Arial"/>
                <w:sz w:val="20"/>
              </w:rPr>
            </w:pPr>
            <w:r w:rsidRPr="00284C3C">
              <w:rPr>
                <w:rFonts w:ascii="Arial" w:hAnsi="Arial"/>
                <w:sz w:val="20"/>
              </w:rPr>
              <w:t>17</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14:paraId="6129993B" w14:textId="77777777" w:rsidR="000B4520" w:rsidRPr="00284C3C" w:rsidRDefault="000B4520" w:rsidP="0088047D">
            <w:pPr>
              <w:jc w:val="center"/>
              <w:rPr>
                <w:rFonts w:ascii="Arial" w:eastAsia="Calibri" w:hAnsi="Arial"/>
                <w:sz w:val="20"/>
              </w:rPr>
            </w:pPr>
            <w:r w:rsidRPr="00284C3C">
              <w:rPr>
                <w:rFonts w:ascii="Arial" w:hAnsi="Arial"/>
                <w:sz w:val="20"/>
              </w:rPr>
              <w:t>&lt;1</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13E84860" w14:textId="77777777" w:rsidR="000B4520" w:rsidRPr="00284C3C" w:rsidRDefault="000B4520" w:rsidP="0088047D">
            <w:pPr>
              <w:jc w:val="center"/>
              <w:rPr>
                <w:rFonts w:ascii="Arial" w:eastAsia="Calibri" w:hAnsi="Arial"/>
                <w:sz w:val="20"/>
              </w:rPr>
            </w:pPr>
            <w:r w:rsidRPr="00284C3C">
              <w:rPr>
                <w:rFonts w:ascii="Arial" w:hAnsi="Arial"/>
                <w:sz w:val="20"/>
              </w:rPr>
              <w:t>0</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512D397B" w14:textId="77777777" w:rsidR="000B4520" w:rsidRPr="00284C3C" w:rsidRDefault="000B4520" w:rsidP="0088047D">
            <w:pPr>
              <w:jc w:val="center"/>
              <w:rPr>
                <w:rFonts w:ascii="Arial" w:eastAsia="Calibri" w:hAnsi="Arial"/>
                <w:sz w:val="20"/>
              </w:rPr>
            </w:pPr>
            <w:r w:rsidRPr="00284C3C">
              <w:rPr>
                <w:rFonts w:ascii="Arial" w:hAnsi="Arial"/>
                <w:sz w:val="20"/>
              </w:rPr>
              <w:t>53</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4F02FCC6" w14:textId="77777777" w:rsidR="000B4520" w:rsidRPr="00284C3C" w:rsidRDefault="000B4520" w:rsidP="0088047D">
            <w:pPr>
              <w:jc w:val="center"/>
              <w:rPr>
                <w:rFonts w:ascii="Arial" w:eastAsia="Calibri" w:hAnsi="Arial"/>
                <w:sz w:val="20"/>
              </w:rPr>
            </w:pPr>
            <w:r w:rsidRPr="00284C3C">
              <w:rPr>
                <w:rFonts w:ascii="Arial" w:hAnsi="Arial"/>
                <w:sz w:val="20"/>
              </w:rPr>
              <w:t>2</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40A810A5" w14:textId="77777777" w:rsidR="000B4520" w:rsidRPr="00284C3C" w:rsidRDefault="000B4520" w:rsidP="0088047D">
            <w:pPr>
              <w:jc w:val="center"/>
              <w:rPr>
                <w:rFonts w:ascii="Arial" w:eastAsia="Calibri" w:hAnsi="Arial"/>
                <w:sz w:val="20"/>
              </w:rPr>
            </w:pPr>
            <w:r w:rsidRPr="00284C3C">
              <w:rPr>
                <w:rFonts w:ascii="Arial" w:hAnsi="Arial"/>
                <w:sz w:val="20"/>
              </w:rPr>
              <w:t>&lt;1</w:t>
            </w:r>
          </w:p>
        </w:tc>
      </w:tr>
      <w:tr w:rsidR="000B4520" w:rsidRPr="00233F34" w14:paraId="66CB3AE2" w14:textId="77777777" w:rsidTr="001550EB">
        <w:trPr>
          <w:trHeight w:hRule="exact" w:val="284"/>
          <w:jc w:val="center"/>
        </w:trPr>
        <w:tc>
          <w:tcPr>
            <w:tcW w:w="8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C3BD30" w14:textId="77777777" w:rsidR="000B4520" w:rsidRPr="00284C3C" w:rsidRDefault="000B4520" w:rsidP="0088047D">
            <w:pPr>
              <w:jc w:val="center"/>
              <w:rPr>
                <w:rFonts w:ascii="Arial" w:eastAsia="Calibri" w:hAnsi="Arial"/>
                <w:sz w:val="20"/>
              </w:rPr>
            </w:pPr>
            <w:r w:rsidRPr="00284C3C">
              <w:rPr>
                <w:rFonts w:ascii="Arial" w:hAnsi="Arial"/>
                <w:sz w:val="20"/>
              </w:rPr>
              <w:t>Increased ALT</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14:paraId="173DC969" w14:textId="77777777" w:rsidR="000B4520" w:rsidRPr="00284C3C" w:rsidRDefault="000B4520" w:rsidP="0088047D">
            <w:pPr>
              <w:jc w:val="center"/>
              <w:rPr>
                <w:rFonts w:ascii="Arial" w:eastAsia="Calibri" w:hAnsi="Arial"/>
                <w:sz w:val="20"/>
              </w:rPr>
            </w:pPr>
            <w:r w:rsidRPr="00284C3C">
              <w:rPr>
                <w:rFonts w:ascii="Arial" w:hAnsi="Arial"/>
                <w:sz w:val="20"/>
              </w:rPr>
              <w:t>25</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14:paraId="386474FF" w14:textId="77777777" w:rsidR="000B4520" w:rsidRPr="00284C3C" w:rsidRDefault="000B4520" w:rsidP="0088047D">
            <w:pPr>
              <w:jc w:val="center"/>
              <w:rPr>
                <w:rFonts w:ascii="Arial" w:eastAsia="Calibri" w:hAnsi="Arial"/>
                <w:sz w:val="20"/>
              </w:rPr>
            </w:pPr>
            <w:r w:rsidRPr="00284C3C">
              <w:rPr>
                <w:rFonts w:ascii="Arial" w:hAnsi="Arial"/>
                <w:sz w:val="20"/>
              </w:rPr>
              <w:t>&lt;1</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00E928CB" w14:textId="77777777" w:rsidR="000B4520" w:rsidRPr="00284C3C" w:rsidRDefault="000B4520" w:rsidP="0088047D">
            <w:pPr>
              <w:jc w:val="center"/>
              <w:rPr>
                <w:rFonts w:ascii="Arial" w:eastAsia="Calibri" w:hAnsi="Arial"/>
                <w:sz w:val="20"/>
              </w:rPr>
            </w:pPr>
            <w:r w:rsidRPr="00284C3C">
              <w:rPr>
                <w:rFonts w:ascii="Arial" w:hAnsi="Arial"/>
                <w:sz w:val="20"/>
              </w:rPr>
              <w:t>0</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0BCE922C" w14:textId="77777777" w:rsidR="000B4520" w:rsidRPr="00284C3C" w:rsidRDefault="000B4520" w:rsidP="0088047D">
            <w:pPr>
              <w:jc w:val="center"/>
              <w:rPr>
                <w:rFonts w:ascii="Arial" w:eastAsia="Calibri" w:hAnsi="Arial"/>
                <w:sz w:val="20"/>
              </w:rPr>
            </w:pPr>
            <w:r w:rsidRPr="00284C3C">
              <w:rPr>
                <w:rFonts w:ascii="Arial" w:hAnsi="Arial"/>
                <w:sz w:val="20"/>
              </w:rPr>
              <w:t>38</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0ECA4BB9" w14:textId="77777777" w:rsidR="000B4520" w:rsidRPr="00284C3C" w:rsidRDefault="000B4520" w:rsidP="0088047D">
            <w:pPr>
              <w:jc w:val="center"/>
              <w:rPr>
                <w:rFonts w:ascii="Arial" w:eastAsia="Calibri" w:hAnsi="Arial"/>
                <w:sz w:val="20"/>
              </w:rPr>
            </w:pPr>
            <w:r w:rsidRPr="00284C3C">
              <w:rPr>
                <w:rFonts w:ascii="Arial" w:hAnsi="Arial"/>
                <w:sz w:val="20"/>
              </w:rPr>
              <w:t>24</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01C7BDDB" w14:textId="77777777" w:rsidR="000B4520" w:rsidRPr="00284C3C" w:rsidRDefault="000B4520" w:rsidP="0088047D">
            <w:pPr>
              <w:jc w:val="center"/>
              <w:rPr>
                <w:rFonts w:ascii="Arial" w:eastAsia="Calibri" w:hAnsi="Arial"/>
                <w:sz w:val="20"/>
              </w:rPr>
            </w:pPr>
            <w:r w:rsidRPr="00284C3C">
              <w:rPr>
                <w:rFonts w:ascii="Arial" w:hAnsi="Arial"/>
                <w:sz w:val="20"/>
              </w:rPr>
              <w:t>&lt;1</w:t>
            </w:r>
          </w:p>
        </w:tc>
      </w:tr>
      <w:tr w:rsidR="000B4520" w:rsidRPr="00233F34" w14:paraId="56A1007D" w14:textId="77777777" w:rsidTr="009C01F4">
        <w:trPr>
          <w:trHeight w:hRule="exact" w:val="851"/>
          <w:jc w:val="center"/>
        </w:trPr>
        <w:tc>
          <w:tcPr>
            <w:tcW w:w="8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9EDAC4" w14:textId="1B310A8D" w:rsidR="000B4520" w:rsidRPr="00284C3C" w:rsidRDefault="000826C7" w:rsidP="0088047D">
            <w:pPr>
              <w:jc w:val="center"/>
              <w:rPr>
                <w:rFonts w:ascii="Arial" w:eastAsia="Calibri" w:hAnsi="Arial"/>
                <w:sz w:val="20"/>
              </w:rPr>
            </w:pPr>
            <w:r w:rsidRPr="00FF7EB2">
              <w:rPr>
                <w:rFonts w:ascii="Arial" w:hAnsi="Arial" w:cs="Arial"/>
                <w:sz w:val="20"/>
                <w:szCs w:val="20"/>
              </w:rPr>
              <w:t>Hyperbilirubinemia</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14:paraId="723B5E27" w14:textId="77777777" w:rsidR="000B4520" w:rsidRPr="00284C3C" w:rsidRDefault="000B4520" w:rsidP="0088047D">
            <w:pPr>
              <w:jc w:val="center"/>
              <w:rPr>
                <w:rFonts w:ascii="Arial" w:eastAsia="Calibri" w:hAnsi="Arial"/>
                <w:sz w:val="20"/>
              </w:rPr>
            </w:pPr>
            <w:r w:rsidRPr="00284C3C">
              <w:rPr>
                <w:rFonts w:ascii="Arial" w:hAnsi="Arial"/>
                <w:sz w:val="20"/>
              </w:rPr>
              <w:t>2</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14:paraId="6A97ECE9" w14:textId="77777777" w:rsidR="000B4520" w:rsidRPr="00284C3C" w:rsidRDefault="000B4520" w:rsidP="0088047D">
            <w:pPr>
              <w:jc w:val="center"/>
              <w:rPr>
                <w:rFonts w:ascii="Arial" w:eastAsia="Calibri" w:hAnsi="Arial"/>
                <w:sz w:val="20"/>
              </w:rPr>
            </w:pPr>
            <w:r w:rsidRPr="00284C3C">
              <w:rPr>
                <w:rFonts w:ascii="Arial" w:hAnsi="Arial"/>
                <w:sz w:val="20"/>
              </w:rPr>
              <w:t>0</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61689277" w14:textId="77777777" w:rsidR="000B4520" w:rsidRPr="00284C3C" w:rsidRDefault="000B4520" w:rsidP="0088047D">
            <w:pPr>
              <w:jc w:val="center"/>
              <w:rPr>
                <w:rFonts w:ascii="Arial" w:eastAsia="Calibri" w:hAnsi="Arial"/>
                <w:sz w:val="20"/>
              </w:rPr>
            </w:pPr>
            <w:r w:rsidRPr="00284C3C">
              <w:rPr>
                <w:rFonts w:ascii="Arial" w:hAnsi="Arial"/>
                <w:sz w:val="20"/>
              </w:rPr>
              <w:t>0</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03C7C7AF" w14:textId="77777777" w:rsidR="000B4520" w:rsidRPr="00284C3C" w:rsidRDefault="000B4520" w:rsidP="0088047D">
            <w:pPr>
              <w:jc w:val="center"/>
              <w:rPr>
                <w:rFonts w:ascii="Arial" w:eastAsia="Calibri" w:hAnsi="Arial"/>
                <w:sz w:val="20"/>
              </w:rPr>
            </w:pPr>
            <w:r w:rsidRPr="00284C3C">
              <w:rPr>
                <w:rFonts w:ascii="Arial" w:hAnsi="Arial"/>
                <w:sz w:val="20"/>
              </w:rPr>
              <w:t>4</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22443FFF" w14:textId="77777777" w:rsidR="000B4520" w:rsidRPr="00284C3C" w:rsidRDefault="000B4520" w:rsidP="0088047D">
            <w:pPr>
              <w:jc w:val="center"/>
              <w:rPr>
                <w:rFonts w:ascii="Arial" w:eastAsia="Calibri" w:hAnsi="Arial"/>
                <w:sz w:val="20"/>
              </w:rPr>
            </w:pPr>
            <w:r w:rsidRPr="00284C3C">
              <w:rPr>
                <w:rFonts w:ascii="Arial" w:hAnsi="Arial"/>
                <w:sz w:val="20"/>
              </w:rPr>
              <w:t>&lt;1</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2F57CEB0" w14:textId="77777777" w:rsidR="000B4520" w:rsidRPr="00284C3C" w:rsidRDefault="000B4520" w:rsidP="0088047D">
            <w:pPr>
              <w:jc w:val="center"/>
              <w:rPr>
                <w:rFonts w:ascii="Arial" w:eastAsia="Calibri" w:hAnsi="Arial"/>
                <w:sz w:val="20"/>
              </w:rPr>
            </w:pPr>
            <w:r w:rsidRPr="00284C3C">
              <w:rPr>
                <w:rFonts w:ascii="Arial" w:hAnsi="Arial"/>
                <w:sz w:val="20"/>
              </w:rPr>
              <w:t>&lt;1</w:t>
            </w:r>
          </w:p>
        </w:tc>
      </w:tr>
    </w:tbl>
    <w:p w14:paraId="799CB158" w14:textId="77777777" w:rsidR="000B4520" w:rsidRDefault="000B4520" w:rsidP="000B4520">
      <w:pPr>
        <w:keepNext/>
        <w:spacing w:after="0" w:line="240" w:lineRule="auto"/>
        <w:ind w:left="504"/>
        <w:rPr>
          <w:rFonts w:ascii="Arial" w:eastAsia="Calibri" w:hAnsi="Arial" w:cs="Arial"/>
          <w:sz w:val="16"/>
          <w:szCs w:val="16"/>
          <w:lang w:val="en-US"/>
        </w:rPr>
      </w:pPr>
      <w:r>
        <w:rPr>
          <w:rFonts w:ascii="Arial" w:eastAsia="Calibri" w:hAnsi="Arial" w:cs="Arial"/>
          <w:sz w:val="16"/>
          <w:szCs w:val="16"/>
          <w:lang w:val="en-US"/>
        </w:rPr>
        <w:t xml:space="preserve">ALP = </w:t>
      </w:r>
      <w:r w:rsidRPr="00FE4DC4">
        <w:rPr>
          <w:rFonts w:ascii="Arial" w:eastAsia="Calibri" w:hAnsi="Arial" w:cs="Arial"/>
          <w:sz w:val="16"/>
          <w:szCs w:val="16"/>
          <w:lang w:val="en-US"/>
        </w:rPr>
        <w:t>Alkaline phosphatase</w:t>
      </w:r>
      <w:r>
        <w:rPr>
          <w:rFonts w:ascii="Arial" w:eastAsia="Calibri" w:hAnsi="Arial" w:cs="Arial"/>
          <w:sz w:val="16"/>
          <w:szCs w:val="16"/>
          <w:lang w:val="en-US"/>
        </w:rPr>
        <w:t>;</w:t>
      </w:r>
      <w:r w:rsidRPr="00570C21">
        <w:rPr>
          <w:rFonts w:ascii="Arial" w:eastAsia="Calibri" w:hAnsi="Arial" w:cs="Arial"/>
          <w:sz w:val="16"/>
          <w:szCs w:val="16"/>
          <w:vertAlign w:val="superscript"/>
          <w:lang w:val="en-US"/>
        </w:rPr>
        <w:t xml:space="preserve"> </w:t>
      </w:r>
      <w:r w:rsidRPr="00193DE9">
        <w:rPr>
          <w:rFonts w:ascii="Arial" w:eastAsia="Calibri" w:hAnsi="Arial" w:cs="Arial"/>
          <w:sz w:val="16"/>
          <w:szCs w:val="16"/>
          <w:lang w:val="en-US"/>
        </w:rPr>
        <w:t xml:space="preserve">AST = </w:t>
      </w:r>
      <w:r w:rsidRPr="00383B5A">
        <w:rPr>
          <w:rFonts w:ascii="Arial" w:eastAsia="Calibri" w:hAnsi="Arial" w:cs="Arial"/>
          <w:sz w:val="16"/>
          <w:szCs w:val="16"/>
          <w:lang w:val="en-US"/>
        </w:rPr>
        <w:t>Aspartate Aminotransferase</w:t>
      </w:r>
      <w:r w:rsidRPr="00193DE9">
        <w:rPr>
          <w:rFonts w:ascii="Arial" w:eastAsia="Calibri" w:hAnsi="Arial" w:cs="Arial"/>
          <w:sz w:val="16"/>
          <w:szCs w:val="16"/>
          <w:lang w:val="en-US"/>
        </w:rPr>
        <w:t>; ALT =</w:t>
      </w:r>
      <w:r w:rsidRPr="00383B5A">
        <w:t xml:space="preserve"> </w:t>
      </w:r>
      <w:r w:rsidRPr="00383B5A">
        <w:rPr>
          <w:rFonts w:ascii="Arial" w:eastAsia="Calibri" w:hAnsi="Arial" w:cs="Arial"/>
          <w:sz w:val="16"/>
          <w:szCs w:val="16"/>
          <w:lang w:val="en-US"/>
        </w:rPr>
        <w:t>Alanine Aminotransferase</w:t>
      </w:r>
    </w:p>
    <w:p w14:paraId="0B4C796E" w14:textId="77777777" w:rsidR="000B4520" w:rsidRPr="007D1404" w:rsidRDefault="000B4520" w:rsidP="000B4520">
      <w:pPr>
        <w:spacing w:after="0" w:line="240" w:lineRule="auto"/>
        <w:ind w:left="504"/>
        <w:rPr>
          <w:lang w:val="en-GB"/>
        </w:rPr>
      </w:pPr>
    </w:p>
    <w:p w14:paraId="785D63C9" w14:textId="77777777" w:rsidR="00D87CDE" w:rsidRDefault="00D87CDE" w:rsidP="000B4520">
      <w:pPr>
        <w:spacing w:after="0" w:line="240" w:lineRule="auto"/>
        <w:ind w:left="504"/>
        <w:rPr>
          <w:rFonts w:ascii="Arial" w:hAnsi="Arial"/>
          <w:b/>
          <w:lang w:val="en-GB"/>
        </w:rPr>
      </w:pPr>
    </w:p>
    <w:p w14:paraId="7AC26F92" w14:textId="77777777" w:rsidR="00D87CDE" w:rsidRDefault="00D87CDE" w:rsidP="000B4520">
      <w:pPr>
        <w:spacing w:after="0" w:line="240" w:lineRule="auto"/>
        <w:ind w:left="504"/>
        <w:rPr>
          <w:rFonts w:ascii="Arial" w:hAnsi="Arial"/>
          <w:b/>
          <w:lang w:val="en-GB"/>
        </w:rPr>
      </w:pPr>
    </w:p>
    <w:p w14:paraId="3575476E" w14:textId="77777777" w:rsidR="00D87CDE" w:rsidRDefault="00D87CDE" w:rsidP="000B4520">
      <w:pPr>
        <w:spacing w:after="0" w:line="240" w:lineRule="auto"/>
        <w:ind w:left="504"/>
        <w:rPr>
          <w:rFonts w:ascii="Arial" w:hAnsi="Arial"/>
          <w:b/>
          <w:lang w:val="en-GB"/>
        </w:rPr>
      </w:pPr>
    </w:p>
    <w:p w14:paraId="6D6D6CFE" w14:textId="77777777" w:rsidR="00D87CDE" w:rsidRDefault="00D87CDE" w:rsidP="000B4520">
      <w:pPr>
        <w:spacing w:after="0" w:line="240" w:lineRule="auto"/>
        <w:ind w:left="504"/>
        <w:rPr>
          <w:rFonts w:ascii="Arial" w:hAnsi="Arial"/>
          <w:b/>
          <w:lang w:val="en-GB"/>
        </w:rPr>
      </w:pPr>
    </w:p>
    <w:p w14:paraId="0D4B62B0" w14:textId="77777777" w:rsidR="00D87CDE" w:rsidRDefault="00D87CDE" w:rsidP="000B4520">
      <w:pPr>
        <w:spacing w:after="0" w:line="240" w:lineRule="auto"/>
        <w:ind w:left="504"/>
        <w:rPr>
          <w:rFonts w:ascii="Arial" w:hAnsi="Arial"/>
          <w:b/>
          <w:lang w:val="en-GB"/>
        </w:rPr>
      </w:pPr>
    </w:p>
    <w:p w14:paraId="736CB63F" w14:textId="77777777" w:rsidR="00D87CDE" w:rsidRDefault="00D87CDE" w:rsidP="000B4520">
      <w:pPr>
        <w:spacing w:after="0" w:line="240" w:lineRule="auto"/>
        <w:ind w:left="504"/>
        <w:rPr>
          <w:rFonts w:ascii="Arial" w:hAnsi="Arial"/>
          <w:b/>
          <w:lang w:val="en-GB"/>
        </w:rPr>
      </w:pPr>
    </w:p>
    <w:p w14:paraId="0FDB1933" w14:textId="436E96C5" w:rsidR="000B4520" w:rsidRDefault="000B4520" w:rsidP="000B4520">
      <w:pPr>
        <w:spacing w:after="0" w:line="240" w:lineRule="auto"/>
        <w:ind w:left="504"/>
        <w:rPr>
          <w:rFonts w:ascii="Arial" w:hAnsi="Arial" w:cs="Arial"/>
          <w:b/>
          <w:lang w:val="en-GB"/>
        </w:rPr>
      </w:pPr>
      <w:r w:rsidRPr="00284C3C">
        <w:rPr>
          <w:rFonts w:ascii="Arial" w:hAnsi="Arial"/>
          <w:b/>
          <w:lang w:val="en-GB"/>
        </w:rPr>
        <w:t xml:space="preserve">Table </w:t>
      </w:r>
      <w:r w:rsidR="00C73E06">
        <w:rPr>
          <w:rFonts w:ascii="Arial" w:hAnsi="Arial"/>
          <w:b/>
          <w:lang w:val="en-GB"/>
        </w:rPr>
        <w:t>8</w:t>
      </w:r>
      <w:r>
        <w:rPr>
          <w:rFonts w:ascii="Arial" w:hAnsi="Arial" w:cs="Arial"/>
          <w:b/>
          <w:lang w:val="en-GB"/>
        </w:rPr>
        <w:tab/>
      </w:r>
      <w:r w:rsidRPr="00A83524">
        <w:rPr>
          <w:rFonts w:ascii="Arial" w:hAnsi="Arial" w:cs="Arial"/>
          <w:b/>
          <w:lang w:val="en-GB"/>
        </w:rPr>
        <w:t xml:space="preserve">Adverse reactions for </w:t>
      </w:r>
      <w:r>
        <w:rPr>
          <w:rFonts w:ascii="Arial" w:hAnsi="Arial" w:cs="Arial"/>
          <w:b/>
          <w:lang w:val="en-GB"/>
        </w:rPr>
        <w:t>TAFINLAR in combination with MEKINIST</w:t>
      </w:r>
      <w:r w:rsidRPr="00A83524">
        <w:rPr>
          <w:rFonts w:ascii="Arial" w:hAnsi="Arial" w:cs="Arial"/>
          <w:b/>
          <w:lang w:val="en-GB"/>
        </w:rPr>
        <w:t xml:space="preserve"> in </w:t>
      </w:r>
      <w:r>
        <w:rPr>
          <w:rFonts w:ascii="Arial" w:hAnsi="Arial" w:cs="Arial"/>
          <w:b/>
          <w:lang w:val="en-GB"/>
        </w:rPr>
        <w:t xml:space="preserve"> </w:t>
      </w:r>
      <w:r>
        <w:rPr>
          <w:rFonts w:ascii="Arial" w:hAnsi="Arial" w:cs="Arial"/>
          <w:b/>
          <w:lang w:val="en-GB"/>
        </w:rPr>
        <w:tab/>
      </w:r>
      <w:r>
        <w:rPr>
          <w:rFonts w:ascii="Arial" w:hAnsi="Arial" w:cs="Arial"/>
          <w:b/>
          <w:lang w:val="en-GB"/>
        </w:rPr>
        <w:tab/>
      </w:r>
      <w:r>
        <w:rPr>
          <w:rFonts w:ascii="Arial" w:hAnsi="Arial" w:cs="Arial"/>
          <w:b/>
          <w:lang w:val="en-GB"/>
        </w:rPr>
        <w:tab/>
        <w:t xml:space="preserve">melanoma </w:t>
      </w:r>
      <w:r w:rsidRPr="004D0C8C">
        <w:rPr>
          <w:rFonts w:ascii="Arial" w:hAnsi="Arial" w:cs="Arial"/>
          <w:b/>
          <w:lang w:val="en-GB"/>
        </w:rPr>
        <w:t>randomized Phase III stud</w:t>
      </w:r>
      <w:r>
        <w:rPr>
          <w:rFonts w:ascii="Arial" w:hAnsi="Arial" w:cs="Arial"/>
          <w:b/>
          <w:lang w:val="en-GB"/>
        </w:rPr>
        <w:t xml:space="preserve">ies </w:t>
      </w:r>
      <w:r w:rsidRPr="004D0C8C">
        <w:rPr>
          <w:rFonts w:ascii="Arial" w:hAnsi="Arial" w:cs="Arial"/>
          <w:b/>
          <w:lang w:val="en-GB"/>
        </w:rPr>
        <w:t xml:space="preserve">MEK115306 (COMBI-d), </w:t>
      </w:r>
    </w:p>
    <w:p w14:paraId="636281C2" w14:textId="77777777" w:rsidR="000B4520" w:rsidRDefault="000B4520" w:rsidP="003A212F">
      <w:pPr>
        <w:spacing w:after="0" w:line="240" w:lineRule="auto"/>
        <w:ind w:left="1440"/>
        <w:rPr>
          <w:rFonts w:ascii="Arial" w:hAnsi="Arial" w:cs="Arial"/>
          <w:b/>
          <w:lang w:val="en-GB"/>
        </w:rPr>
      </w:pPr>
      <w:proofErr w:type="gramStart"/>
      <w:r>
        <w:rPr>
          <w:rFonts w:ascii="Arial" w:hAnsi="Arial" w:cs="Arial"/>
          <w:b/>
          <w:lang w:val="en-GB"/>
        </w:rPr>
        <w:t>a</w:t>
      </w:r>
      <w:r w:rsidRPr="004D0C8C">
        <w:rPr>
          <w:rFonts w:ascii="Arial" w:hAnsi="Arial" w:cs="Arial"/>
          <w:b/>
          <w:lang w:val="en-GB"/>
        </w:rPr>
        <w:t>nd</w:t>
      </w:r>
      <w:proofErr w:type="gramEnd"/>
      <w:r w:rsidRPr="004D0C8C">
        <w:rPr>
          <w:rFonts w:ascii="Arial" w:hAnsi="Arial" w:cs="Arial"/>
          <w:b/>
          <w:lang w:val="en-GB"/>
        </w:rPr>
        <w:t xml:space="preserve"> integrated safety data </w:t>
      </w:r>
      <w:r>
        <w:rPr>
          <w:rFonts w:ascii="Arial" w:hAnsi="Arial" w:cs="Arial"/>
          <w:b/>
          <w:lang w:val="en-GB"/>
        </w:rPr>
        <w:t xml:space="preserve">(ISD) </w:t>
      </w:r>
      <w:r w:rsidRPr="004D0C8C">
        <w:rPr>
          <w:rFonts w:ascii="Arial" w:hAnsi="Arial" w:cs="Arial"/>
          <w:b/>
          <w:lang w:val="en-GB"/>
        </w:rPr>
        <w:t xml:space="preserve">from MEK115306 and MEK116513 </w:t>
      </w:r>
    </w:p>
    <w:p w14:paraId="5518CD36" w14:textId="77777777" w:rsidR="000B4520" w:rsidRDefault="000B4520" w:rsidP="003A212F">
      <w:pPr>
        <w:spacing w:after="0" w:line="240" w:lineRule="auto"/>
        <w:ind w:left="1440"/>
        <w:rPr>
          <w:rFonts w:ascii="Arial" w:hAnsi="Arial" w:cs="Arial"/>
          <w:b/>
          <w:lang w:val="en-GB"/>
        </w:rPr>
      </w:pPr>
      <w:r w:rsidRPr="004D0C8C">
        <w:rPr>
          <w:rFonts w:ascii="Arial" w:hAnsi="Arial" w:cs="Arial"/>
          <w:b/>
          <w:lang w:val="en-GB"/>
        </w:rPr>
        <w:t xml:space="preserve">(COMBI-v) </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690"/>
        <w:gridCol w:w="101"/>
        <w:gridCol w:w="2029"/>
        <w:gridCol w:w="6"/>
      </w:tblGrid>
      <w:tr w:rsidR="000B4520" w:rsidRPr="005124EA" w14:paraId="4233BCBA" w14:textId="77777777" w:rsidTr="001550EB">
        <w:trPr>
          <w:gridAfter w:val="1"/>
          <w:wAfter w:w="6" w:type="dxa"/>
          <w:trHeight w:hRule="exact" w:val="284"/>
          <w:tblHeader/>
        </w:trPr>
        <w:tc>
          <w:tcPr>
            <w:tcW w:w="5245" w:type="dxa"/>
            <w:tcBorders>
              <w:top w:val="single" w:sz="4" w:space="0" w:color="auto"/>
              <w:left w:val="nil"/>
              <w:bottom w:val="nil"/>
              <w:right w:val="nil"/>
            </w:tcBorders>
            <w:shd w:val="clear" w:color="auto" w:fill="auto"/>
          </w:tcPr>
          <w:p w14:paraId="33857360" w14:textId="77777777" w:rsidR="000B4520" w:rsidRPr="00162040" w:rsidRDefault="000B4520" w:rsidP="0088047D">
            <w:pPr>
              <w:pStyle w:val="tabletextNS"/>
              <w:rPr>
                <w:rFonts w:ascii="Arial" w:hAnsi="Arial" w:cs="Arial"/>
                <w:sz w:val="20"/>
                <w:szCs w:val="20"/>
              </w:rPr>
            </w:pPr>
          </w:p>
        </w:tc>
        <w:tc>
          <w:tcPr>
            <w:tcW w:w="3820" w:type="dxa"/>
            <w:gridSpan w:val="3"/>
            <w:tcBorders>
              <w:top w:val="single" w:sz="4" w:space="0" w:color="auto"/>
              <w:left w:val="nil"/>
              <w:bottom w:val="nil"/>
              <w:right w:val="nil"/>
            </w:tcBorders>
            <w:shd w:val="clear" w:color="auto" w:fill="auto"/>
          </w:tcPr>
          <w:p w14:paraId="21A7ECCA" w14:textId="77777777" w:rsidR="000B4520" w:rsidRPr="00162040" w:rsidRDefault="000B4520" w:rsidP="0088047D">
            <w:pPr>
              <w:pStyle w:val="tabletextNS"/>
              <w:jc w:val="center"/>
              <w:rPr>
                <w:rFonts w:ascii="Arial" w:hAnsi="Arial" w:cs="Arial"/>
                <w:b/>
                <w:sz w:val="20"/>
                <w:szCs w:val="20"/>
              </w:rPr>
            </w:pPr>
            <w:r w:rsidRPr="00162040">
              <w:rPr>
                <w:rFonts w:ascii="Arial" w:hAnsi="Arial" w:cs="Arial"/>
                <w:b/>
                <w:sz w:val="20"/>
                <w:szCs w:val="20"/>
              </w:rPr>
              <w:t>Frequency category</w:t>
            </w:r>
          </w:p>
        </w:tc>
      </w:tr>
      <w:tr w:rsidR="000B4520" w:rsidRPr="00275518" w14:paraId="5BC7D020" w14:textId="77777777" w:rsidTr="001550EB">
        <w:trPr>
          <w:gridAfter w:val="1"/>
          <w:wAfter w:w="6" w:type="dxa"/>
          <w:trHeight w:hRule="exact" w:val="284"/>
          <w:tblHeader/>
        </w:trPr>
        <w:tc>
          <w:tcPr>
            <w:tcW w:w="5245" w:type="dxa"/>
            <w:tcBorders>
              <w:top w:val="nil"/>
              <w:left w:val="nil"/>
              <w:bottom w:val="single" w:sz="4" w:space="0" w:color="auto"/>
              <w:right w:val="nil"/>
            </w:tcBorders>
            <w:shd w:val="clear" w:color="auto" w:fill="auto"/>
          </w:tcPr>
          <w:p w14:paraId="55DC0003" w14:textId="77777777" w:rsidR="000B4520" w:rsidRPr="00162040" w:rsidRDefault="000B4520" w:rsidP="0088047D">
            <w:pPr>
              <w:pStyle w:val="tabletextNS"/>
              <w:rPr>
                <w:rFonts w:ascii="Arial" w:hAnsi="Arial" w:cs="Arial"/>
                <w:sz w:val="20"/>
                <w:szCs w:val="20"/>
              </w:rPr>
            </w:pPr>
          </w:p>
        </w:tc>
        <w:tc>
          <w:tcPr>
            <w:tcW w:w="1791" w:type="dxa"/>
            <w:gridSpan w:val="2"/>
            <w:tcBorders>
              <w:top w:val="nil"/>
              <w:left w:val="nil"/>
              <w:bottom w:val="single" w:sz="4" w:space="0" w:color="auto"/>
              <w:right w:val="nil"/>
            </w:tcBorders>
            <w:shd w:val="clear" w:color="auto" w:fill="auto"/>
          </w:tcPr>
          <w:p w14:paraId="73F96820" w14:textId="77777777" w:rsidR="000B4520" w:rsidRPr="00162040" w:rsidRDefault="000B4520" w:rsidP="0088047D">
            <w:pPr>
              <w:pStyle w:val="tabletextNS"/>
              <w:jc w:val="center"/>
              <w:rPr>
                <w:rFonts w:ascii="Arial" w:hAnsi="Arial" w:cs="Arial"/>
                <w:sz w:val="20"/>
                <w:szCs w:val="20"/>
              </w:rPr>
            </w:pPr>
            <w:r w:rsidRPr="00162040">
              <w:rPr>
                <w:rFonts w:ascii="Arial" w:hAnsi="Arial" w:cs="Arial"/>
                <w:b/>
                <w:sz w:val="20"/>
                <w:szCs w:val="20"/>
              </w:rPr>
              <w:t>COMBI-d n=209</w:t>
            </w:r>
          </w:p>
        </w:tc>
        <w:tc>
          <w:tcPr>
            <w:tcW w:w="2029" w:type="dxa"/>
            <w:tcBorders>
              <w:top w:val="nil"/>
              <w:left w:val="nil"/>
              <w:bottom w:val="single" w:sz="4" w:space="0" w:color="auto"/>
              <w:right w:val="nil"/>
            </w:tcBorders>
            <w:shd w:val="clear" w:color="auto" w:fill="auto"/>
          </w:tcPr>
          <w:p w14:paraId="421C8930" w14:textId="77777777" w:rsidR="000B4520" w:rsidRPr="00162040" w:rsidRDefault="000B4520" w:rsidP="0088047D">
            <w:pPr>
              <w:pStyle w:val="tabletextNS"/>
              <w:jc w:val="center"/>
              <w:rPr>
                <w:rFonts w:ascii="Arial" w:hAnsi="Arial" w:cs="Arial"/>
                <w:sz w:val="20"/>
                <w:szCs w:val="20"/>
                <w:lang w:val="fr-FR"/>
              </w:rPr>
            </w:pPr>
            <w:r w:rsidRPr="00275518">
              <w:rPr>
                <w:rFonts w:ascii="Arial" w:hAnsi="Arial" w:cs="Arial"/>
                <w:b/>
                <w:sz w:val="20"/>
                <w:szCs w:val="20"/>
                <w:lang w:val="fr-FR"/>
              </w:rPr>
              <w:t>COMBI-d &amp; COMBI-</w:t>
            </w:r>
            <w:proofErr w:type="gramStart"/>
            <w:r w:rsidRPr="00275518">
              <w:rPr>
                <w:rFonts w:ascii="Arial" w:hAnsi="Arial" w:cs="Arial"/>
                <w:b/>
                <w:sz w:val="20"/>
                <w:szCs w:val="20"/>
                <w:lang w:val="fr-FR"/>
              </w:rPr>
              <w:t xml:space="preserve">v  </w:t>
            </w:r>
            <w:r w:rsidRPr="00162040">
              <w:rPr>
                <w:rFonts w:ascii="Arial" w:hAnsi="Arial" w:cs="Arial"/>
                <w:b/>
                <w:sz w:val="20"/>
                <w:szCs w:val="20"/>
                <w:lang w:val="fr-FR"/>
              </w:rPr>
              <w:t>n</w:t>
            </w:r>
            <w:proofErr w:type="gramEnd"/>
            <w:r w:rsidRPr="00162040">
              <w:rPr>
                <w:rFonts w:ascii="Arial" w:hAnsi="Arial" w:cs="Arial"/>
                <w:b/>
                <w:sz w:val="20"/>
                <w:szCs w:val="20"/>
                <w:lang w:val="fr-FR"/>
              </w:rPr>
              <w:t>=559</w:t>
            </w:r>
          </w:p>
        </w:tc>
      </w:tr>
      <w:tr w:rsidR="000B4520" w:rsidRPr="005124EA" w14:paraId="55E7ABD6" w14:textId="77777777" w:rsidTr="001550EB">
        <w:trPr>
          <w:trHeight w:hRule="exact" w:val="284"/>
        </w:trPr>
        <w:tc>
          <w:tcPr>
            <w:tcW w:w="9071" w:type="dxa"/>
            <w:gridSpan w:val="5"/>
            <w:tcBorders>
              <w:top w:val="nil"/>
              <w:left w:val="nil"/>
              <w:bottom w:val="nil"/>
              <w:right w:val="nil"/>
            </w:tcBorders>
            <w:shd w:val="clear" w:color="auto" w:fill="auto"/>
          </w:tcPr>
          <w:p w14:paraId="1B8845BA" w14:textId="77777777" w:rsidR="000B4520" w:rsidRPr="00162040" w:rsidRDefault="000B4520" w:rsidP="0088047D">
            <w:pPr>
              <w:pStyle w:val="tabletextNS"/>
              <w:jc w:val="left"/>
              <w:rPr>
                <w:rFonts w:ascii="Arial" w:hAnsi="Arial" w:cs="Arial"/>
                <w:sz w:val="20"/>
                <w:szCs w:val="20"/>
              </w:rPr>
            </w:pPr>
            <w:r w:rsidRPr="00162040">
              <w:rPr>
                <w:rFonts w:ascii="Arial" w:hAnsi="Arial" w:cs="Arial"/>
                <w:b/>
                <w:sz w:val="20"/>
                <w:szCs w:val="20"/>
              </w:rPr>
              <w:t>Infections and Infestations</w:t>
            </w:r>
          </w:p>
        </w:tc>
      </w:tr>
      <w:tr w:rsidR="000B4520" w:rsidRPr="005124EA" w14:paraId="4E498EDF" w14:textId="77777777" w:rsidTr="001550EB">
        <w:trPr>
          <w:trHeight w:hRule="exact" w:val="284"/>
        </w:trPr>
        <w:tc>
          <w:tcPr>
            <w:tcW w:w="5245" w:type="dxa"/>
            <w:tcBorders>
              <w:top w:val="nil"/>
              <w:left w:val="nil"/>
              <w:bottom w:val="nil"/>
              <w:right w:val="nil"/>
            </w:tcBorders>
            <w:shd w:val="clear" w:color="auto" w:fill="auto"/>
            <w:hideMark/>
          </w:tcPr>
          <w:p w14:paraId="33B82495"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Urinary tract infection</w:t>
            </w:r>
          </w:p>
        </w:tc>
        <w:tc>
          <w:tcPr>
            <w:tcW w:w="1791" w:type="dxa"/>
            <w:gridSpan w:val="2"/>
            <w:tcBorders>
              <w:top w:val="nil"/>
              <w:left w:val="nil"/>
              <w:bottom w:val="nil"/>
              <w:right w:val="nil"/>
            </w:tcBorders>
            <w:shd w:val="clear" w:color="auto" w:fill="auto"/>
          </w:tcPr>
          <w:p w14:paraId="3A603AED"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Very common</w:t>
            </w:r>
          </w:p>
        </w:tc>
        <w:tc>
          <w:tcPr>
            <w:tcW w:w="2035" w:type="dxa"/>
            <w:gridSpan w:val="2"/>
            <w:tcBorders>
              <w:top w:val="nil"/>
              <w:left w:val="nil"/>
              <w:bottom w:val="nil"/>
              <w:right w:val="nil"/>
            </w:tcBorders>
            <w:shd w:val="clear" w:color="auto" w:fill="auto"/>
          </w:tcPr>
          <w:p w14:paraId="18C164ED"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r>
      <w:tr w:rsidR="000B4520" w:rsidRPr="005124EA" w14:paraId="490F4AD1" w14:textId="77777777" w:rsidTr="001550EB">
        <w:trPr>
          <w:trHeight w:hRule="exact" w:val="284"/>
        </w:trPr>
        <w:tc>
          <w:tcPr>
            <w:tcW w:w="5245" w:type="dxa"/>
            <w:tcBorders>
              <w:top w:val="nil"/>
              <w:left w:val="nil"/>
              <w:bottom w:val="nil"/>
              <w:right w:val="nil"/>
            </w:tcBorders>
            <w:shd w:val="clear" w:color="auto" w:fill="auto"/>
            <w:hideMark/>
          </w:tcPr>
          <w:p w14:paraId="76FAD261"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Nasopharyngitis</w:t>
            </w:r>
          </w:p>
        </w:tc>
        <w:tc>
          <w:tcPr>
            <w:tcW w:w="1791" w:type="dxa"/>
            <w:gridSpan w:val="2"/>
            <w:tcBorders>
              <w:top w:val="nil"/>
              <w:left w:val="nil"/>
              <w:bottom w:val="nil"/>
              <w:right w:val="nil"/>
            </w:tcBorders>
            <w:shd w:val="clear" w:color="auto" w:fill="auto"/>
          </w:tcPr>
          <w:p w14:paraId="0F65DD7C"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Very common</w:t>
            </w:r>
          </w:p>
        </w:tc>
        <w:tc>
          <w:tcPr>
            <w:tcW w:w="2035" w:type="dxa"/>
            <w:gridSpan w:val="2"/>
            <w:tcBorders>
              <w:top w:val="nil"/>
              <w:left w:val="nil"/>
              <w:bottom w:val="nil"/>
              <w:right w:val="nil"/>
            </w:tcBorders>
            <w:shd w:val="clear" w:color="auto" w:fill="auto"/>
          </w:tcPr>
          <w:p w14:paraId="51EE9678"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Very common</w:t>
            </w:r>
          </w:p>
        </w:tc>
      </w:tr>
      <w:tr w:rsidR="000B4520" w:rsidRPr="005124EA" w14:paraId="038855E3" w14:textId="77777777" w:rsidTr="001550EB">
        <w:trPr>
          <w:trHeight w:hRule="exact" w:val="284"/>
        </w:trPr>
        <w:tc>
          <w:tcPr>
            <w:tcW w:w="5245" w:type="dxa"/>
            <w:tcBorders>
              <w:top w:val="nil"/>
              <w:left w:val="nil"/>
              <w:bottom w:val="nil"/>
              <w:right w:val="nil"/>
            </w:tcBorders>
            <w:shd w:val="clear" w:color="auto" w:fill="auto"/>
            <w:hideMark/>
          </w:tcPr>
          <w:p w14:paraId="6AB609DE"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Cellulitis</w:t>
            </w:r>
          </w:p>
        </w:tc>
        <w:tc>
          <w:tcPr>
            <w:tcW w:w="1791" w:type="dxa"/>
            <w:gridSpan w:val="2"/>
            <w:tcBorders>
              <w:top w:val="nil"/>
              <w:left w:val="nil"/>
              <w:bottom w:val="nil"/>
              <w:right w:val="nil"/>
            </w:tcBorders>
            <w:shd w:val="clear" w:color="auto" w:fill="auto"/>
          </w:tcPr>
          <w:p w14:paraId="64A57099"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c>
          <w:tcPr>
            <w:tcW w:w="2035" w:type="dxa"/>
            <w:gridSpan w:val="2"/>
            <w:tcBorders>
              <w:top w:val="nil"/>
              <w:left w:val="nil"/>
              <w:bottom w:val="nil"/>
              <w:right w:val="nil"/>
            </w:tcBorders>
            <w:shd w:val="clear" w:color="auto" w:fill="auto"/>
          </w:tcPr>
          <w:p w14:paraId="39DD8D73"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r>
      <w:tr w:rsidR="000B4520" w:rsidRPr="005124EA" w14:paraId="4FEFAA7B" w14:textId="77777777" w:rsidTr="001550EB">
        <w:trPr>
          <w:trHeight w:hRule="exact" w:val="284"/>
        </w:trPr>
        <w:tc>
          <w:tcPr>
            <w:tcW w:w="5245" w:type="dxa"/>
            <w:tcBorders>
              <w:top w:val="nil"/>
              <w:left w:val="nil"/>
              <w:bottom w:val="nil"/>
              <w:right w:val="nil"/>
            </w:tcBorders>
            <w:shd w:val="clear" w:color="auto" w:fill="auto"/>
            <w:hideMark/>
          </w:tcPr>
          <w:p w14:paraId="2053A887"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Folliculitis</w:t>
            </w:r>
          </w:p>
        </w:tc>
        <w:tc>
          <w:tcPr>
            <w:tcW w:w="1791" w:type="dxa"/>
            <w:gridSpan w:val="2"/>
            <w:tcBorders>
              <w:top w:val="nil"/>
              <w:left w:val="nil"/>
              <w:bottom w:val="nil"/>
              <w:right w:val="nil"/>
            </w:tcBorders>
            <w:shd w:val="clear" w:color="auto" w:fill="auto"/>
          </w:tcPr>
          <w:p w14:paraId="44750C53"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c>
          <w:tcPr>
            <w:tcW w:w="2035" w:type="dxa"/>
            <w:gridSpan w:val="2"/>
            <w:tcBorders>
              <w:top w:val="nil"/>
              <w:left w:val="nil"/>
              <w:bottom w:val="nil"/>
              <w:right w:val="nil"/>
            </w:tcBorders>
            <w:shd w:val="clear" w:color="auto" w:fill="auto"/>
          </w:tcPr>
          <w:p w14:paraId="5966985A"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r>
      <w:tr w:rsidR="000B4520" w:rsidRPr="005124EA" w14:paraId="5B3A982E" w14:textId="77777777" w:rsidTr="001550EB">
        <w:trPr>
          <w:trHeight w:hRule="exact" w:val="284"/>
        </w:trPr>
        <w:tc>
          <w:tcPr>
            <w:tcW w:w="5245" w:type="dxa"/>
            <w:tcBorders>
              <w:top w:val="nil"/>
              <w:left w:val="nil"/>
              <w:bottom w:val="nil"/>
              <w:right w:val="nil"/>
            </w:tcBorders>
            <w:shd w:val="clear" w:color="auto" w:fill="auto"/>
            <w:hideMark/>
          </w:tcPr>
          <w:p w14:paraId="386C1F34"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Paronychia</w:t>
            </w:r>
          </w:p>
        </w:tc>
        <w:tc>
          <w:tcPr>
            <w:tcW w:w="1791" w:type="dxa"/>
            <w:gridSpan w:val="2"/>
            <w:tcBorders>
              <w:top w:val="nil"/>
              <w:left w:val="nil"/>
              <w:bottom w:val="nil"/>
              <w:right w:val="nil"/>
            </w:tcBorders>
            <w:shd w:val="clear" w:color="auto" w:fill="auto"/>
          </w:tcPr>
          <w:p w14:paraId="26F5E4A9"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c>
          <w:tcPr>
            <w:tcW w:w="2035" w:type="dxa"/>
            <w:gridSpan w:val="2"/>
            <w:tcBorders>
              <w:top w:val="nil"/>
              <w:left w:val="nil"/>
              <w:bottom w:val="nil"/>
              <w:right w:val="nil"/>
            </w:tcBorders>
            <w:shd w:val="clear" w:color="auto" w:fill="auto"/>
          </w:tcPr>
          <w:p w14:paraId="4251E7E8"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r>
      <w:tr w:rsidR="000B4520" w:rsidRPr="005124EA" w14:paraId="77F892EA" w14:textId="77777777" w:rsidTr="001550EB">
        <w:trPr>
          <w:trHeight w:hRule="exact" w:val="284"/>
        </w:trPr>
        <w:tc>
          <w:tcPr>
            <w:tcW w:w="5245" w:type="dxa"/>
            <w:tcBorders>
              <w:top w:val="nil"/>
              <w:left w:val="nil"/>
              <w:bottom w:val="single" w:sz="4" w:space="0" w:color="auto"/>
              <w:right w:val="nil"/>
            </w:tcBorders>
            <w:shd w:val="clear" w:color="auto" w:fill="auto"/>
            <w:hideMark/>
          </w:tcPr>
          <w:p w14:paraId="71ED01F0"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Rash pustular</w:t>
            </w:r>
          </w:p>
        </w:tc>
        <w:tc>
          <w:tcPr>
            <w:tcW w:w="1791" w:type="dxa"/>
            <w:gridSpan w:val="2"/>
            <w:tcBorders>
              <w:top w:val="nil"/>
              <w:left w:val="nil"/>
              <w:bottom w:val="single" w:sz="4" w:space="0" w:color="auto"/>
              <w:right w:val="nil"/>
            </w:tcBorders>
            <w:shd w:val="clear" w:color="auto" w:fill="auto"/>
          </w:tcPr>
          <w:p w14:paraId="2C703D3D"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c>
          <w:tcPr>
            <w:tcW w:w="2035" w:type="dxa"/>
            <w:gridSpan w:val="2"/>
            <w:tcBorders>
              <w:top w:val="nil"/>
              <w:left w:val="nil"/>
              <w:bottom w:val="single" w:sz="4" w:space="0" w:color="auto"/>
              <w:right w:val="nil"/>
            </w:tcBorders>
            <w:shd w:val="clear" w:color="auto" w:fill="auto"/>
          </w:tcPr>
          <w:p w14:paraId="68EA1A1C"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r>
      <w:tr w:rsidR="000B4520" w:rsidRPr="005124EA" w14:paraId="3EF21BCD" w14:textId="77777777" w:rsidTr="001550EB">
        <w:trPr>
          <w:trHeight w:hRule="exact" w:val="284"/>
        </w:trPr>
        <w:tc>
          <w:tcPr>
            <w:tcW w:w="9071" w:type="dxa"/>
            <w:gridSpan w:val="5"/>
            <w:tcBorders>
              <w:top w:val="single" w:sz="4" w:space="0" w:color="auto"/>
              <w:left w:val="nil"/>
              <w:bottom w:val="nil"/>
              <w:right w:val="nil"/>
            </w:tcBorders>
            <w:shd w:val="clear" w:color="auto" w:fill="auto"/>
            <w:hideMark/>
          </w:tcPr>
          <w:p w14:paraId="162906AF" w14:textId="77777777" w:rsidR="000B4520" w:rsidRPr="00162040" w:rsidRDefault="000B4520" w:rsidP="0088047D">
            <w:pPr>
              <w:pStyle w:val="tabletextNS"/>
              <w:rPr>
                <w:rFonts w:ascii="Arial" w:hAnsi="Arial" w:cs="Arial"/>
                <w:b/>
                <w:sz w:val="20"/>
                <w:szCs w:val="20"/>
              </w:rPr>
            </w:pPr>
            <w:r w:rsidRPr="00162040">
              <w:rPr>
                <w:rFonts w:ascii="Arial" w:hAnsi="Arial" w:cs="Arial"/>
                <w:b/>
                <w:sz w:val="20"/>
                <w:szCs w:val="20"/>
              </w:rPr>
              <w:t>Neoplasms benign, malignant and unspecified (including cysts and polyps)</w:t>
            </w:r>
          </w:p>
        </w:tc>
      </w:tr>
      <w:tr w:rsidR="000B4520" w:rsidRPr="005124EA" w14:paraId="4F470900" w14:textId="77777777" w:rsidTr="001550EB">
        <w:trPr>
          <w:trHeight w:hRule="exact" w:val="284"/>
        </w:trPr>
        <w:tc>
          <w:tcPr>
            <w:tcW w:w="5245" w:type="dxa"/>
            <w:tcBorders>
              <w:top w:val="nil"/>
              <w:left w:val="nil"/>
              <w:bottom w:val="nil"/>
              <w:right w:val="nil"/>
            </w:tcBorders>
            <w:shd w:val="clear" w:color="auto" w:fill="auto"/>
            <w:hideMark/>
          </w:tcPr>
          <w:p w14:paraId="69215219" w14:textId="77777777" w:rsidR="000B4520" w:rsidRPr="00162040" w:rsidRDefault="000B4520" w:rsidP="0088047D">
            <w:pPr>
              <w:pStyle w:val="tabletextNS"/>
              <w:jc w:val="left"/>
              <w:rPr>
                <w:rFonts w:ascii="Arial" w:hAnsi="Arial" w:cs="Arial"/>
                <w:sz w:val="20"/>
                <w:szCs w:val="20"/>
              </w:rPr>
            </w:pPr>
            <w:r w:rsidRPr="00162040">
              <w:rPr>
                <w:rFonts w:ascii="Arial" w:hAnsi="Arial" w:cs="Arial"/>
                <w:sz w:val="20"/>
                <w:szCs w:val="20"/>
              </w:rPr>
              <w:t>Cutaneous squamous cell carcinoma(SCC) including SCC of the skin, SCC in situ (Bowen’s disease) and keratoacanthoma</w:t>
            </w:r>
          </w:p>
        </w:tc>
        <w:tc>
          <w:tcPr>
            <w:tcW w:w="1791" w:type="dxa"/>
            <w:gridSpan w:val="2"/>
            <w:tcBorders>
              <w:top w:val="nil"/>
              <w:left w:val="nil"/>
              <w:bottom w:val="nil"/>
              <w:right w:val="nil"/>
            </w:tcBorders>
            <w:shd w:val="clear" w:color="auto" w:fill="auto"/>
          </w:tcPr>
          <w:p w14:paraId="3E5785FD"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c>
          <w:tcPr>
            <w:tcW w:w="2035" w:type="dxa"/>
            <w:gridSpan w:val="2"/>
            <w:tcBorders>
              <w:top w:val="nil"/>
              <w:left w:val="nil"/>
              <w:bottom w:val="nil"/>
              <w:right w:val="nil"/>
            </w:tcBorders>
            <w:shd w:val="clear" w:color="auto" w:fill="auto"/>
          </w:tcPr>
          <w:p w14:paraId="3EBC0CE2"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r>
      <w:tr w:rsidR="000B4520" w:rsidRPr="005124EA" w14:paraId="39499973" w14:textId="77777777" w:rsidTr="001550EB">
        <w:trPr>
          <w:trHeight w:hRule="exact" w:val="284"/>
        </w:trPr>
        <w:tc>
          <w:tcPr>
            <w:tcW w:w="5245" w:type="dxa"/>
            <w:tcBorders>
              <w:top w:val="nil"/>
              <w:left w:val="nil"/>
              <w:bottom w:val="nil"/>
              <w:right w:val="nil"/>
            </w:tcBorders>
            <w:shd w:val="clear" w:color="auto" w:fill="auto"/>
            <w:hideMark/>
          </w:tcPr>
          <w:p w14:paraId="7331291A"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Papilloma including skin papilloma</w:t>
            </w:r>
          </w:p>
        </w:tc>
        <w:tc>
          <w:tcPr>
            <w:tcW w:w="1791" w:type="dxa"/>
            <w:gridSpan w:val="2"/>
            <w:tcBorders>
              <w:top w:val="nil"/>
              <w:left w:val="nil"/>
              <w:bottom w:val="nil"/>
              <w:right w:val="nil"/>
            </w:tcBorders>
            <w:shd w:val="clear" w:color="auto" w:fill="auto"/>
          </w:tcPr>
          <w:p w14:paraId="4002BE0F"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c>
          <w:tcPr>
            <w:tcW w:w="2035" w:type="dxa"/>
            <w:gridSpan w:val="2"/>
            <w:tcBorders>
              <w:top w:val="nil"/>
              <w:left w:val="nil"/>
              <w:bottom w:val="nil"/>
              <w:right w:val="nil"/>
            </w:tcBorders>
            <w:shd w:val="clear" w:color="auto" w:fill="auto"/>
          </w:tcPr>
          <w:p w14:paraId="444229C7"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r>
      <w:tr w:rsidR="000B4520" w:rsidRPr="005124EA" w14:paraId="43C5DB6A" w14:textId="77777777" w:rsidTr="001550EB">
        <w:trPr>
          <w:trHeight w:hRule="exact" w:val="284"/>
        </w:trPr>
        <w:tc>
          <w:tcPr>
            <w:tcW w:w="5245" w:type="dxa"/>
            <w:tcBorders>
              <w:top w:val="nil"/>
              <w:left w:val="nil"/>
              <w:bottom w:val="nil"/>
              <w:right w:val="nil"/>
            </w:tcBorders>
            <w:shd w:val="clear" w:color="auto" w:fill="auto"/>
            <w:hideMark/>
          </w:tcPr>
          <w:p w14:paraId="5790A8AB"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Seborrhoeic keratosis</w:t>
            </w:r>
          </w:p>
        </w:tc>
        <w:tc>
          <w:tcPr>
            <w:tcW w:w="1791" w:type="dxa"/>
            <w:gridSpan w:val="2"/>
            <w:tcBorders>
              <w:top w:val="nil"/>
              <w:left w:val="nil"/>
              <w:bottom w:val="nil"/>
              <w:right w:val="nil"/>
            </w:tcBorders>
            <w:shd w:val="clear" w:color="auto" w:fill="auto"/>
          </w:tcPr>
          <w:p w14:paraId="63A3846E"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c>
          <w:tcPr>
            <w:tcW w:w="2035" w:type="dxa"/>
            <w:gridSpan w:val="2"/>
            <w:tcBorders>
              <w:top w:val="nil"/>
              <w:left w:val="nil"/>
              <w:bottom w:val="nil"/>
              <w:right w:val="nil"/>
            </w:tcBorders>
            <w:shd w:val="clear" w:color="auto" w:fill="auto"/>
          </w:tcPr>
          <w:p w14:paraId="131C67C6"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r>
      <w:tr w:rsidR="000B4520" w:rsidRPr="005124EA" w14:paraId="2ADD5E5E" w14:textId="77777777" w:rsidTr="001550EB">
        <w:trPr>
          <w:trHeight w:hRule="exact" w:val="284"/>
        </w:trPr>
        <w:tc>
          <w:tcPr>
            <w:tcW w:w="5245" w:type="dxa"/>
            <w:tcBorders>
              <w:top w:val="nil"/>
              <w:left w:val="nil"/>
              <w:bottom w:val="nil"/>
              <w:right w:val="nil"/>
            </w:tcBorders>
            <w:shd w:val="clear" w:color="auto" w:fill="auto"/>
            <w:hideMark/>
          </w:tcPr>
          <w:p w14:paraId="187F4C19" w14:textId="77777777" w:rsidR="000B4520" w:rsidRPr="00162040" w:rsidRDefault="000B4520" w:rsidP="0088047D">
            <w:pPr>
              <w:pStyle w:val="tabletextNS"/>
              <w:rPr>
                <w:rFonts w:ascii="Arial" w:hAnsi="Arial" w:cs="Arial"/>
                <w:sz w:val="20"/>
                <w:szCs w:val="20"/>
              </w:rPr>
            </w:pPr>
            <w:proofErr w:type="spellStart"/>
            <w:r w:rsidRPr="00162040">
              <w:rPr>
                <w:rFonts w:ascii="Arial" w:hAnsi="Arial" w:cs="Arial"/>
                <w:sz w:val="20"/>
                <w:szCs w:val="20"/>
              </w:rPr>
              <w:t>Acrochordon</w:t>
            </w:r>
            <w:proofErr w:type="spellEnd"/>
            <w:r w:rsidRPr="00162040">
              <w:rPr>
                <w:rFonts w:ascii="Arial" w:hAnsi="Arial" w:cs="Arial"/>
                <w:sz w:val="20"/>
                <w:szCs w:val="20"/>
              </w:rPr>
              <w:t xml:space="preserve"> (skin tags)</w:t>
            </w:r>
          </w:p>
        </w:tc>
        <w:tc>
          <w:tcPr>
            <w:tcW w:w="1791" w:type="dxa"/>
            <w:gridSpan w:val="2"/>
            <w:tcBorders>
              <w:top w:val="nil"/>
              <w:left w:val="nil"/>
              <w:bottom w:val="nil"/>
              <w:right w:val="nil"/>
            </w:tcBorders>
            <w:shd w:val="clear" w:color="auto" w:fill="auto"/>
          </w:tcPr>
          <w:p w14:paraId="669725B5"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c>
          <w:tcPr>
            <w:tcW w:w="2035" w:type="dxa"/>
            <w:gridSpan w:val="2"/>
            <w:tcBorders>
              <w:top w:val="nil"/>
              <w:left w:val="nil"/>
              <w:bottom w:val="nil"/>
              <w:right w:val="nil"/>
            </w:tcBorders>
            <w:shd w:val="clear" w:color="auto" w:fill="auto"/>
          </w:tcPr>
          <w:p w14:paraId="4F8E8DA9"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Uncommon</w:t>
            </w:r>
          </w:p>
        </w:tc>
      </w:tr>
      <w:tr w:rsidR="000B4520" w:rsidRPr="005124EA" w14:paraId="00BE93F1" w14:textId="77777777" w:rsidTr="001550EB">
        <w:trPr>
          <w:trHeight w:hRule="exact" w:val="284"/>
        </w:trPr>
        <w:tc>
          <w:tcPr>
            <w:tcW w:w="5245" w:type="dxa"/>
            <w:tcBorders>
              <w:top w:val="nil"/>
              <w:left w:val="nil"/>
              <w:bottom w:val="single" w:sz="4" w:space="0" w:color="auto"/>
              <w:right w:val="nil"/>
            </w:tcBorders>
            <w:shd w:val="clear" w:color="auto" w:fill="auto"/>
            <w:hideMark/>
          </w:tcPr>
          <w:p w14:paraId="097A0B0D"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New primary melanoma</w:t>
            </w:r>
          </w:p>
        </w:tc>
        <w:tc>
          <w:tcPr>
            <w:tcW w:w="1791" w:type="dxa"/>
            <w:gridSpan w:val="2"/>
            <w:tcBorders>
              <w:top w:val="nil"/>
              <w:left w:val="nil"/>
              <w:bottom w:val="single" w:sz="4" w:space="0" w:color="auto"/>
              <w:right w:val="nil"/>
            </w:tcBorders>
            <w:shd w:val="clear" w:color="auto" w:fill="auto"/>
          </w:tcPr>
          <w:p w14:paraId="2A06AF77"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Uncommon</w:t>
            </w:r>
          </w:p>
        </w:tc>
        <w:tc>
          <w:tcPr>
            <w:tcW w:w="2035" w:type="dxa"/>
            <w:gridSpan w:val="2"/>
            <w:tcBorders>
              <w:top w:val="nil"/>
              <w:left w:val="nil"/>
              <w:bottom w:val="single" w:sz="4" w:space="0" w:color="auto"/>
              <w:right w:val="nil"/>
            </w:tcBorders>
            <w:shd w:val="clear" w:color="auto" w:fill="auto"/>
          </w:tcPr>
          <w:p w14:paraId="5D86357B"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Uncommon</w:t>
            </w:r>
          </w:p>
        </w:tc>
      </w:tr>
      <w:tr w:rsidR="000B4520" w:rsidRPr="005124EA" w14:paraId="302BF3E4" w14:textId="77777777" w:rsidTr="001550EB">
        <w:trPr>
          <w:trHeight w:hRule="exact" w:val="284"/>
        </w:trPr>
        <w:tc>
          <w:tcPr>
            <w:tcW w:w="9071" w:type="dxa"/>
            <w:gridSpan w:val="5"/>
            <w:tcBorders>
              <w:top w:val="single" w:sz="4" w:space="0" w:color="auto"/>
              <w:left w:val="nil"/>
              <w:bottom w:val="nil"/>
              <w:right w:val="nil"/>
            </w:tcBorders>
            <w:shd w:val="clear" w:color="auto" w:fill="auto"/>
            <w:hideMark/>
          </w:tcPr>
          <w:p w14:paraId="2A3E3960" w14:textId="77777777" w:rsidR="000B4520" w:rsidRPr="00162040" w:rsidRDefault="000B4520" w:rsidP="0088047D">
            <w:pPr>
              <w:pStyle w:val="tabletextNS"/>
              <w:rPr>
                <w:rFonts w:ascii="Arial" w:hAnsi="Arial" w:cs="Arial"/>
                <w:b/>
                <w:sz w:val="20"/>
                <w:szCs w:val="20"/>
              </w:rPr>
            </w:pPr>
            <w:r w:rsidRPr="00162040">
              <w:rPr>
                <w:rFonts w:ascii="Arial" w:hAnsi="Arial" w:cs="Arial"/>
                <w:b/>
                <w:sz w:val="20"/>
                <w:szCs w:val="20"/>
              </w:rPr>
              <w:t>Blood and lymphatic system disorders</w:t>
            </w:r>
          </w:p>
        </w:tc>
      </w:tr>
      <w:tr w:rsidR="000B4520" w:rsidRPr="005124EA" w14:paraId="574FC2ED" w14:textId="77777777" w:rsidTr="001550EB">
        <w:trPr>
          <w:trHeight w:hRule="exact" w:val="284"/>
        </w:trPr>
        <w:tc>
          <w:tcPr>
            <w:tcW w:w="5245" w:type="dxa"/>
            <w:tcBorders>
              <w:top w:val="nil"/>
              <w:left w:val="nil"/>
              <w:bottom w:val="nil"/>
              <w:right w:val="nil"/>
            </w:tcBorders>
            <w:shd w:val="clear" w:color="auto" w:fill="auto"/>
            <w:hideMark/>
          </w:tcPr>
          <w:p w14:paraId="213832E8"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Neutropenia</w:t>
            </w:r>
          </w:p>
        </w:tc>
        <w:tc>
          <w:tcPr>
            <w:tcW w:w="1791" w:type="dxa"/>
            <w:gridSpan w:val="2"/>
            <w:tcBorders>
              <w:top w:val="nil"/>
              <w:left w:val="nil"/>
              <w:bottom w:val="nil"/>
              <w:right w:val="nil"/>
            </w:tcBorders>
            <w:shd w:val="clear" w:color="auto" w:fill="auto"/>
            <w:hideMark/>
          </w:tcPr>
          <w:p w14:paraId="0405AB8A"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Very common</w:t>
            </w:r>
          </w:p>
        </w:tc>
        <w:tc>
          <w:tcPr>
            <w:tcW w:w="2035" w:type="dxa"/>
            <w:gridSpan w:val="2"/>
            <w:tcBorders>
              <w:top w:val="nil"/>
              <w:left w:val="nil"/>
              <w:bottom w:val="nil"/>
              <w:right w:val="nil"/>
            </w:tcBorders>
            <w:shd w:val="clear" w:color="auto" w:fill="auto"/>
            <w:hideMark/>
          </w:tcPr>
          <w:p w14:paraId="68928045"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r>
      <w:tr w:rsidR="000B4520" w:rsidRPr="005124EA" w14:paraId="4205403F" w14:textId="77777777" w:rsidTr="001550EB">
        <w:trPr>
          <w:trHeight w:hRule="exact" w:val="284"/>
        </w:trPr>
        <w:tc>
          <w:tcPr>
            <w:tcW w:w="5245" w:type="dxa"/>
            <w:tcBorders>
              <w:top w:val="nil"/>
              <w:left w:val="nil"/>
              <w:bottom w:val="nil"/>
              <w:right w:val="nil"/>
            </w:tcBorders>
            <w:shd w:val="clear" w:color="auto" w:fill="auto"/>
            <w:hideMark/>
          </w:tcPr>
          <w:p w14:paraId="29F5D6D0"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Anaemia</w:t>
            </w:r>
          </w:p>
        </w:tc>
        <w:tc>
          <w:tcPr>
            <w:tcW w:w="1791" w:type="dxa"/>
            <w:gridSpan w:val="2"/>
            <w:tcBorders>
              <w:top w:val="nil"/>
              <w:left w:val="nil"/>
              <w:bottom w:val="nil"/>
              <w:right w:val="nil"/>
            </w:tcBorders>
            <w:shd w:val="clear" w:color="auto" w:fill="auto"/>
            <w:hideMark/>
          </w:tcPr>
          <w:p w14:paraId="573EC5CC"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c>
          <w:tcPr>
            <w:tcW w:w="2035" w:type="dxa"/>
            <w:gridSpan w:val="2"/>
            <w:tcBorders>
              <w:top w:val="nil"/>
              <w:left w:val="nil"/>
              <w:bottom w:val="nil"/>
              <w:right w:val="nil"/>
            </w:tcBorders>
            <w:shd w:val="clear" w:color="auto" w:fill="auto"/>
            <w:hideMark/>
          </w:tcPr>
          <w:p w14:paraId="1E3713F4"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r>
      <w:tr w:rsidR="000B4520" w:rsidRPr="005124EA" w14:paraId="2AD2D240" w14:textId="77777777" w:rsidTr="001550EB">
        <w:trPr>
          <w:trHeight w:hRule="exact" w:val="284"/>
        </w:trPr>
        <w:tc>
          <w:tcPr>
            <w:tcW w:w="5245" w:type="dxa"/>
            <w:tcBorders>
              <w:top w:val="nil"/>
              <w:left w:val="nil"/>
              <w:bottom w:val="nil"/>
              <w:right w:val="nil"/>
            </w:tcBorders>
            <w:shd w:val="clear" w:color="auto" w:fill="auto"/>
            <w:hideMark/>
          </w:tcPr>
          <w:p w14:paraId="5E7E8B19"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Thrombocytopenia</w:t>
            </w:r>
          </w:p>
        </w:tc>
        <w:tc>
          <w:tcPr>
            <w:tcW w:w="1791" w:type="dxa"/>
            <w:gridSpan w:val="2"/>
            <w:tcBorders>
              <w:top w:val="nil"/>
              <w:left w:val="nil"/>
              <w:bottom w:val="nil"/>
              <w:right w:val="nil"/>
            </w:tcBorders>
            <w:shd w:val="clear" w:color="auto" w:fill="auto"/>
            <w:hideMark/>
          </w:tcPr>
          <w:p w14:paraId="37AB3299"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c>
          <w:tcPr>
            <w:tcW w:w="2035" w:type="dxa"/>
            <w:gridSpan w:val="2"/>
            <w:tcBorders>
              <w:top w:val="nil"/>
              <w:left w:val="nil"/>
              <w:bottom w:val="nil"/>
              <w:right w:val="nil"/>
            </w:tcBorders>
            <w:shd w:val="clear" w:color="auto" w:fill="auto"/>
            <w:hideMark/>
          </w:tcPr>
          <w:p w14:paraId="3DC0DC5E"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r>
      <w:tr w:rsidR="000B4520" w:rsidRPr="005124EA" w14:paraId="45723526" w14:textId="77777777" w:rsidTr="001550EB">
        <w:trPr>
          <w:trHeight w:hRule="exact" w:val="284"/>
        </w:trPr>
        <w:tc>
          <w:tcPr>
            <w:tcW w:w="5245" w:type="dxa"/>
            <w:tcBorders>
              <w:top w:val="nil"/>
              <w:left w:val="nil"/>
              <w:bottom w:val="single" w:sz="4" w:space="0" w:color="auto"/>
              <w:right w:val="nil"/>
            </w:tcBorders>
            <w:shd w:val="clear" w:color="auto" w:fill="auto"/>
            <w:hideMark/>
          </w:tcPr>
          <w:p w14:paraId="74D89B64"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Leukopenia</w:t>
            </w:r>
          </w:p>
        </w:tc>
        <w:tc>
          <w:tcPr>
            <w:tcW w:w="1791" w:type="dxa"/>
            <w:gridSpan w:val="2"/>
            <w:tcBorders>
              <w:top w:val="nil"/>
              <w:left w:val="nil"/>
              <w:bottom w:val="single" w:sz="4" w:space="0" w:color="auto"/>
              <w:right w:val="nil"/>
            </w:tcBorders>
            <w:shd w:val="clear" w:color="auto" w:fill="auto"/>
            <w:hideMark/>
          </w:tcPr>
          <w:p w14:paraId="34CE49BC"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c>
          <w:tcPr>
            <w:tcW w:w="2035" w:type="dxa"/>
            <w:gridSpan w:val="2"/>
            <w:tcBorders>
              <w:top w:val="nil"/>
              <w:left w:val="nil"/>
              <w:bottom w:val="single" w:sz="4" w:space="0" w:color="auto"/>
              <w:right w:val="nil"/>
            </w:tcBorders>
            <w:shd w:val="clear" w:color="auto" w:fill="auto"/>
            <w:hideMark/>
          </w:tcPr>
          <w:p w14:paraId="68EF7541"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r>
      <w:tr w:rsidR="000B4520" w:rsidRPr="005124EA" w14:paraId="165BD014" w14:textId="77777777" w:rsidTr="001550EB">
        <w:trPr>
          <w:trHeight w:hRule="exact" w:val="284"/>
        </w:trPr>
        <w:tc>
          <w:tcPr>
            <w:tcW w:w="9071" w:type="dxa"/>
            <w:gridSpan w:val="5"/>
            <w:tcBorders>
              <w:top w:val="single" w:sz="4" w:space="0" w:color="auto"/>
              <w:left w:val="nil"/>
              <w:bottom w:val="nil"/>
              <w:right w:val="nil"/>
            </w:tcBorders>
            <w:shd w:val="clear" w:color="auto" w:fill="auto"/>
            <w:hideMark/>
          </w:tcPr>
          <w:p w14:paraId="496DDA48" w14:textId="77777777" w:rsidR="000B4520" w:rsidRPr="00162040" w:rsidRDefault="000B4520" w:rsidP="0088047D">
            <w:pPr>
              <w:pStyle w:val="tabletextNS"/>
              <w:rPr>
                <w:rFonts w:ascii="Arial" w:hAnsi="Arial" w:cs="Arial"/>
                <w:b/>
                <w:sz w:val="20"/>
                <w:szCs w:val="20"/>
              </w:rPr>
            </w:pPr>
            <w:r w:rsidRPr="00162040">
              <w:rPr>
                <w:rFonts w:ascii="Arial" w:hAnsi="Arial" w:cs="Arial"/>
                <w:b/>
                <w:sz w:val="20"/>
                <w:szCs w:val="20"/>
              </w:rPr>
              <w:t>Immune system disorders</w:t>
            </w:r>
          </w:p>
        </w:tc>
      </w:tr>
      <w:tr w:rsidR="000B4520" w:rsidRPr="005124EA" w14:paraId="702526BA" w14:textId="77777777" w:rsidTr="001550EB">
        <w:trPr>
          <w:trHeight w:hRule="exact" w:val="284"/>
        </w:trPr>
        <w:tc>
          <w:tcPr>
            <w:tcW w:w="5245" w:type="dxa"/>
            <w:tcBorders>
              <w:top w:val="nil"/>
              <w:left w:val="nil"/>
              <w:bottom w:val="nil"/>
              <w:right w:val="nil"/>
            </w:tcBorders>
            <w:shd w:val="clear" w:color="auto" w:fill="auto"/>
            <w:hideMark/>
          </w:tcPr>
          <w:p w14:paraId="5B4A5386"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Hypersensitivity</w:t>
            </w:r>
          </w:p>
        </w:tc>
        <w:tc>
          <w:tcPr>
            <w:tcW w:w="1791" w:type="dxa"/>
            <w:gridSpan w:val="2"/>
            <w:tcBorders>
              <w:top w:val="nil"/>
              <w:left w:val="nil"/>
              <w:bottom w:val="nil"/>
              <w:right w:val="nil"/>
            </w:tcBorders>
            <w:shd w:val="clear" w:color="auto" w:fill="auto"/>
            <w:hideMark/>
          </w:tcPr>
          <w:p w14:paraId="4D7327BA"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Uncommon</w:t>
            </w:r>
          </w:p>
        </w:tc>
        <w:tc>
          <w:tcPr>
            <w:tcW w:w="2035" w:type="dxa"/>
            <w:gridSpan w:val="2"/>
            <w:tcBorders>
              <w:top w:val="nil"/>
              <w:left w:val="nil"/>
              <w:bottom w:val="nil"/>
              <w:right w:val="nil"/>
            </w:tcBorders>
            <w:shd w:val="clear" w:color="auto" w:fill="auto"/>
            <w:hideMark/>
          </w:tcPr>
          <w:p w14:paraId="55C7E190"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Uncommon</w:t>
            </w:r>
          </w:p>
        </w:tc>
      </w:tr>
      <w:tr w:rsidR="000B4520" w:rsidRPr="005124EA" w14:paraId="5EBDD205" w14:textId="77777777" w:rsidTr="001550EB">
        <w:trPr>
          <w:trHeight w:hRule="exact" w:val="284"/>
        </w:trPr>
        <w:tc>
          <w:tcPr>
            <w:tcW w:w="9071" w:type="dxa"/>
            <w:gridSpan w:val="5"/>
            <w:tcBorders>
              <w:top w:val="single" w:sz="4" w:space="0" w:color="auto"/>
              <w:left w:val="nil"/>
              <w:bottom w:val="nil"/>
              <w:right w:val="nil"/>
            </w:tcBorders>
            <w:shd w:val="clear" w:color="auto" w:fill="auto"/>
            <w:hideMark/>
          </w:tcPr>
          <w:p w14:paraId="5C4BB078" w14:textId="77777777" w:rsidR="000B4520" w:rsidRPr="00162040" w:rsidRDefault="000B4520" w:rsidP="0088047D">
            <w:pPr>
              <w:pStyle w:val="tabletextNS"/>
              <w:rPr>
                <w:rFonts w:ascii="Arial" w:hAnsi="Arial" w:cs="Arial"/>
                <w:b/>
                <w:sz w:val="20"/>
                <w:szCs w:val="20"/>
              </w:rPr>
            </w:pPr>
            <w:r w:rsidRPr="00162040">
              <w:rPr>
                <w:rFonts w:ascii="Arial" w:hAnsi="Arial" w:cs="Arial"/>
                <w:b/>
                <w:sz w:val="20"/>
                <w:szCs w:val="20"/>
              </w:rPr>
              <w:t>Metabolic and nutrition disorders</w:t>
            </w:r>
          </w:p>
        </w:tc>
      </w:tr>
      <w:tr w:rsidR="000B4520" w:rsidRPr="005124EA" w14:paraId="7A9F7D4F" w14:textId="77777777" w:rsidTr="001550EB">
        <w:trPr>
          <w:trHeight w:hRule="exact" w:val="284"/>
        </w:trPr>
        <w:tc>
          <w:tcPr>
            <w:tcW w:w="5245" w:type="dxa"/>
            <w:tcBorders>
              <w:top w:val="nil"/>
              <w:left w:val="nil"/>
              <w:bottom w:val="nil"/>
              <w:right w:val="nil"/>
            </w:tcBorders>
            <w:shd w:val="clear" w:color="auto" w:fill="auto"/>
            <w:hideMark/>
          </w:tcPr>
          <w:p w14:paraId="332EEF45"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Decreased appetite</w:t>
            </w:r>
          </w:p>
        </w:tc>
        <w:tc>
          <w:tcPr>
            <w:tcW w:w="1791" w:type="dxa"/>
            <w:gridSpan w:val="2"/>
            <w:tcBorders>
              <w:top w:val="nil"/>
              <w:left w:val="nil"/>
              <w:bottom w:val="nil"/>
              <w:right w:val="nil"/>
            </w:tcBorders>
            <w:shd w:val="clear" w:color="auto" w:fill="auto"/>
            <w:hideMark/>
          </w:tcPr>
          <w:p w14:paraId="2A9E01A9"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Very common</w:t>
            </w:r>
          </w:p>
        </w:tc>
        <w:tc>
          <w:tcPr>
            <w:tcW w:w="2035" w:type="dxa"/>
            <w:gridSpan w:val="2"/>
            <w:tcBorders>
              <w:top w:val="nil"/>
              <w:left w:val="nil"/>
              <w:bottom w:val="nil"/>
              <w:right w:val="nil"/>
            </w:tcBorders>
            <w:shd w:val="clear" w:color="auto" w:fill="auto"/>
            <w:hideMark/>
          </w:tcPr>
          <w:p w14:paraId="0AB270D6"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Very common</w:t>
            </w:r>
          </w:p>
        </w:tc>
      </w:tr>
      <w:tr w:rsidR="000B4520" w:rsidRPr="005124EA" w14:paraId="1014390D" w14:textId="77777777" w:rsidTr="001550EB">
        <w:trPr>
          <w:trHeight w:hRule="exact" w:val="284"/>
        </w:trPr>
        <w:tc>
          <w:tcPr>
            <w:tcW w:w="5245" w:type="dxa"/>
            <w:tcBorders>
              <w:top w:val="nil"/>
              <w:left w:val="nil"/>
              <w:bottom w:val="nil"/>
              <w:right w:val="nil"/>
            </w:tcBorders>
            <w:shd w:val="clear" w:color="auto" w:fill="auto"/>
            <w:hideMark/>
          </w:tcPr>
          <w:p w14:paraId="5397290C"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 xml:space="preserve">Dehydration </w:t>
            </w:r>
          </w:p>
        </w:tc>
        <w:tc>
          <w:tcPr>
            <w:tcW w:w="1791" w:type="dxa"/>
            <w:gridSpan w:val="2"/>
            <w:tcBorders>
              <w:top w:val="nil"/>
              <w:left w:val="nil"/>
              <w:bottom w:val="nil"/>
              <w:right w:val="nil"/>
            </w:tcBorders>
            <w:shd w:val="clear" w:color="auto" w:fill="auto"/>
            <w:hideMark/>
          </w:tcPr>
          <w:p w14:paraId="690E9A2F"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c>
          <w:tcPr>
            <w:tcW w:w="2035" w:type="dxa"/>
            <w:gridSpan w:val="2"/>
            <w:tcBorders>
              <w:top w:val="nil"/>
              <w:left w:val="nil"/>
              <w:bottom w:val="nil"/>
              <w:right w:val="nil"/>
            </w:tcBorders>
            <w:shd w:val="clear" w:color="auto" w:fill="auto"/>
            <w:hideMark/>
          </w:tcPr>
          <w:p w14:paraId="703DDB55"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r>
      <w:tr w:rsidR="000B4520" w:rsidRPr="005124EA" w14:paraId="60597F52" w14:textId="77777777" w:rsidTr="001550EB">
        <w:trPr>
          <w:trHeight w:hRule="exact" w:val="284"/>
        </w:trPr>
        <w:tc>
          <w:tcPr>
            <w:tcW w:w="5245" w:type="dxa"/>
            <w:tcBorders>
              <w:top w:val="nil"/>
              <w:left w:val="nil"/>
              <w:bottom w:val="nil"/>
              <w:right w:val="nil"/>
            </w:tcBorders>
            <w:shd w:val="clear" w:color="auto" w:fill="auto"/>
            <w:hideMark/>
          </w:tcPr>
          <w:p w14:paraId="72DD7439" w14:textId="77777777" w:rsidR="000B4520" w:rsidRPr="00162040" w:rsidRDefault="000B4520" w:rsidP="0088047D">
            <w:pPr>
              <w:pStyle w:val="tabletextNS"/>
              <w:rPr>
                <w:rFonts w:ascii="Arial" w:hAnsi="Arial" w:cs="Arial"/>
                <w:sz w:val="20"/>
                <w:szCs w:val="20"/>
              </w:rPr>
            </w:pPr>
            <w:proofErr w:type="spellStart"/>
            <w:r w:rsidRPr="00162040">
              <w:rPr>
                <w:rFonts w:ascii="Arial" w:hAnsi="Arial" w:cs="Arial"/>
                <w:sz w:val="20"/>
                <w:szCs w:val="20"/>
              </w:rPr>
              <w:t>Hyperglycemia</w:t>
            </w:r>
            <w:proofErr w:type="spellEnd"/>
            <w:r w:rsidRPr="00162040">
              <w:rPr>
                <w:rFonts w:ascii="Arial" w:hAnsi="Arial" w:cs="Arial"/>
                <w:sz w:val="20"/>
                <w:szCs w:val="20"/>
              </w:rPr>
              <w:t xml:space="preserve"> </w:t>
            </w:r>
          </w:p>
        </w:tc>
        <w:tc>
          <w:tcPr>
            <w:tcW w:w="1791" w:type="dxa"/>
            <w:gridSpan w:val="2"/>
            <w:tcBorders>
              <w:top w:val="nil"/>
              <w:left w:val="nil"/>
              <w:bottom w:val="nil"/>
              <w:right w:val="nil"/>
            </w:tcBorders>
            <w:shd w:val="clear" w:color="auto" w:fill="auto"/>
            <w:hideMark/>
          </w:tcPr>
          <w:p w14:paraId="34C09A01"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c>
          <w:tcPr>
            <w:tcW w:w="2035" w:type="dxa"/>
            <w:gridSpan w:val="2"/>
            <w:tcBorders>
              <w:top w:val="nil"/>
              <w:left w:val="nil"/>
              <w:bottom w:val="nil"/>
              <w:right w:val="nil"/>
            </w:tcBorders>
            <w:shd w:val="clear" w:color="auto" w:fill="auto"/>
            <w:hideMark/>
          </w:tcPr>
          <w:p w14:paraId="5BE0F666"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r>
      <w:tr w:rsidR="000B4520" w:rsidRPr="005124EA" w14:paraId="483101E8" w14:textId="77777777" w:rsidTr="001550EB">
        <w:trPr>
          <w:trHeight w:hRule="exact" w:val="284"/>
        </w:trPr>
        <w:tc>
          <w:tcPr>
            <w:tcW w:w="5245" w:type="dxa"/>
            <w:tcBorders>
              <w:top w:val="nil"/>
              <w:left w:val="nil"/>
              <w:bottom w:val="nil"/>
              <w:right w:val="nil"/>
            </w:tcBorders>
            <w:shd w:val="clear" w:color="auto" w:fill="auto"/>
            <w:hideMark/>
          </w:tcPr>
          <w:p w14:paraId="64764594"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lastRenderedPageBreak/>
              <w:t>Hyponatraemia</w:t>
            </w:r>
          </w:p>
        </w:tc>
        <w:tc>
          <w:tcPr>
            <w:tcW w:w="1791" w:type="dxa"/>
            <w:gridSpan w:val="2"/>
            <w:tcBorders>
              <w:top w:val="nil"/>
              <w:left w:val="nil"/>
              <w:bottom w:val="nil"/>
              <w:right w:val="nil"/>
            </w:tcBorders>
            <w:shd w:val="clear" w:color="auto" w:fill="auto"/>
            <w:hideMark/>
          </w:tcPr>
          <w:p w14:paraId="285821F9"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c>
          <w:tcPr>
            <w:tcW w:w="2035" w:type="dxa"/>
            <w:gridSpan w:val="2"/>
            <w:tcBorders>
              <w:top w:val="nil"/>
              <w:left w:val="nil"/>
              <w:bottom w:val="nil"/>
              <w:right w:val="nil"/>
            </w:tcBorders>
            <w:shd w:val="clear" w:color="auto" w:fill="auto"/>
            <w:hideMark/>
          </w:tcPr>
          <w:p w14:paraId="581C13D0"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r>
      <w:tr w:rsidR="000B4520" w:rsidRPr="005124EA" w14:paraId="161432B1" w14:textId="77777777" w:rsidTr="001550EB">
        <w:trPr>
          <w:trHeight w:hRule="exact" w:val="284"/>
        </w:trPr>
        <w:tc>
          <w:tcPr>
            <w:tcW w:w="5245" w:type="dxa"/>
            <w:tcBorders>
              <w:top w:val="nil"/>
              <w:left w:val="nil"/>
              <w:bottom w:val="single" w:sz="4" w:space="0" w:color="auto"/>
              <w:right w:val="nil"/>
            </w:tcBorders>
            <w:shd w:val="clear" w:color="auto" w:fill="auto"/>
          </w:tcPr>
          <w:p w14:paraId="1B22F7FA"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Hypophosphataemia</w:t>
            </w:r>
          </w:p>
        </w:tc>
        <w:tc>
          <w:tcPr>
            <w:tcW w:w="1791" w:type="dxa"/>
            <w:gridSpan w:val="2"/>
            <w:tcBorders>
              <w:top w:val="nil"/>
              <w:left w:val="nil"/>
              <w:bottom w:val="single" w:sz="4" w:space="0" w:color="auto"/>
              <w:right w:val="nil"/>
            </w:tcBorders>
            <w:shd w:val="clear" w:color="auto" w:fill="auto"/>
          </w:tcPr>
          <w:p w14:paraId="278FEB5E"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c>
          <w:tcPr>
            <w:tcW w:w="2035" w:type="dxa"/>
            <w:gridSpan w:val="2"/>
            <w:tcBorders>
              <w:top w:val="nil"/>
              <w:left w:val="nil"/>
              <w:bottom w:val="single" w:sz="4" w:space="0" w:color="auto"/>
              <w:right w:val="nil"/>
            </w:tcBorders>
            <w:shd w:val="clear" w:color="auto" w:fill="auto"/>
          </w:tcPr>
          <w:p w14:paraId="57453BCE"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r>
      <w:tr w:rsidR="000B4520" w:rsidRPr="005124EA" w14:paraId="5A743AA2" w14:textId="77777777" w:rsidTr="001550EB">
        <w:trPr>
          <w:trHeight w:hRule="exact" w:val="284"/>
        </w:trPr>
        <w:tc>
          <w:tcPr>
            <w:tcW w:w="9071" w:type="dxa"/>
            <w:gridSpan w:val="5"/>
            <w:tcBorders>
              <w:top w:val="single" w:sz="4" w:space="0" w:color="auto"/>
              <w:left w:val="nil"/>
              <w:bottom w:val="nil"/>
              <w:right w:val="nil"/>
            </w:tcBorders>
            <w:shd w:val="clear" w:color="auto" w:fill="auto"/>
            <w:hideMark/>
          </w:tcPr>
          <w:p w14:paraId="1FE97683" w14:textId="77777777" w:rsidR="000B4520" w:rsidRPr="00D80F8A" w:rsidRDefault="000B4520" w:rsidP="0088047D">
            <w:pPr>
              <w:pStyle w:val="tabletextNS"/>
              <w:rPr>
                <w:rFonts w:ascii="Arial" w:hAnsi="Arial" w:cs="Arial"/>
                <w:b/>
                <w:sz w:val="20"/>
                <w:szCs w:val="20"/>
              </w:rPr>
            </w:pPr>
            <w:r w:rsidRPr="00D80F8A">
              <w:rPr>
                <w:rFonts w:ascii="Arial" w:hAnsi="Arial" w:cs="Arial"/>
                <w:b/>
                <w:sz w:val="20"/>
                <w:szCs w:val="20"/>
              </w:rPr>
              <w:t>Nervous system disorders</w:t>
            </w:r>
          </w:p>
        </w:tc>
      </w:tr>
      <w:tr w:rsidR="000B4520" w:rsidRPr="005124EA" w14:paraId="59D2CED8" w14:textId="77777777" w:rsidTr="001550EB">
        <w:trPr>
          <w:trHeight w:hRule="exact" w:val="284"/>
        </w:trPr>
        <w:tc>
          <w:tcPr>
            <w:tcW w:w="5245" w:type="dxa"/>
            <w:tcBorders>
              <w:top w:val="nil"/>
              <w:left w:val="nil"/>
              <w:bottom w:val="nil"/>
              <w:right w:val="nil"/>
            </w:tcBorders>
            <w:shd w:val="clear" w:color="auto" w:fill="auto"/>
            <w:hideMark/>
          </w:tcPr>
          <w:p w14:paraId="37FA37C9"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Headache</w:t>
            </w:r>
          </w:p>
        </w:tc>
        <w:tc>
          <w:tcPr>
            <w:tcW w:w="1791" w:type="dxa"/>
            <w:gridSpan w:val="2"/>
            <w:tcBorders>
              <w:top w:val="nil"/>
              <w:left w:val="nil"/>
              <w:bottom w:val="nil"/>
              <w:right w:val="nil"/>
            </w:tcBorders>
            <w:shd w:val="clear" w:color="auto" w:fill="auto"/>
            <w:hideMark/>
          </w:tcPr>
          <w:p w14:paraId="153AF92E"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c>
          <w:tcPr>
            <w:tcW w:w="2035" w:type="dxa"/>
            <w:gridSpan w:val="2"/>
            <w:tcBorders>
              <w:top w:val="nil"/>
              <w:left w:val="nil"/>
              <w:bottom w:val="nil"/>
              <w:right w:val="nil"/>
            </w:tcBorders>
            <w:shd w:val="clear" w:color="auto" w:fill="auto"/>
            <w:hideMark/>
          </w:tcPr>
          <w:p w14:paraId="1276276A"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r>
      <w:tr w:rsidR="000B4520" w:rsidRPr="005124EA" w14:paraId="48C4E3B2" w14:textId="77777777" w:rsidTr="001550EB">
        <w:trPr>
          <w:trHeight w:hRule="exact" w:val="284"/>
        </w:trPr>
        <w:tc>
          <w:tcPr>
            <w:tcW w:w="5245" w:type="dxa"/>
            <w:tcBorders>
              <w:top w:val="nil"/>
              <w:left w:val="nil"/>
              <w:bottom w:val="single" w:sz="4" w:space="0" w:color="auto"/>
              <w:right w:val="nil"/>
            </w:tcBorders>
            <w:shd w:val="clear" w:color="auto" w:fill="auto"/>
            <w:hideMark/>
          </w:tcPr>
          <w:p w14:paraId="07561D4C"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Dizziness</w:t>
            </w:r>
          </w:p>
        </w:tc>
        <w:tc>
          <w:tcPr>
            <w:tcW w:w="1791" w:type="dxa"/>
            <w:gridSpan w:val="2"/>
            <w:tcBorders>
              <w:top w:val="nil"/>
              <w:left w:val="nil"/>
              <w:bottom w:val="single" w:sz="4" w:space="0" w:color="auto"/>
              <w:right w:val="nil"/>
            </w:tcBorders>
            <w:shd w:val="clear" w:color="auto" w:fill="auto"/>
            <w:hideMark/>
          </w:tcPr>
          <w:p w14:paraId="0DAEA482"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c>
          <w:tcPr>
            <w:tcW w:w="2035" w:type="dxa"/>
            <w:gridSpan w:val="2"/>
            <w:tcBorders>
              <w:top w:val="nil"/>
              <w:left w:val="nil"/>
              <w:bottom w:val="single" w:sz="4" w:space="0" w:color="auto"/>
              <w:right w:val="nil"/>
            </w:tcBorders>
            <w:shd w:val="clear" w:color="auto" w:fill="auto"/>
            <w:hideMark/>
          </w:tcPr>
          <w:p w14:paraId="7FE9D608"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r>
      <w:tr w:rsidR="000B4520" w:rsidRPr="005124EA" w14:paraId="331F7D6E" w14:textId="77777777" w:rsidTr="001550EB">
        <w:trPr>
          <w:trHeight w:hRule="exact" w:val="284"/>
        </w:trPr>
        <w:tc>
          <w:tcPr>
            <w:tcW w:w="9071" w:type="dxa"/>
            <w:gridSpan w:val="5"/>
            <w:tcBorders>
              <w:top w:val="single" w:sz="4" w:space="0" w:color="auto"/>
              <w:left w:val="nil"/>
              <w:bottom w:val="nil"/>
              <w:right w:val="nil"/>
            </w:tcBorders>
            <w:shd w:val="clear" w:color="auto" w:fill="auto"/>
            <w:hideMark/>
          </w:tcPr>
          <w:p w14:paraId="446007FE" w14:textId="77777777" w:rsidR="000B4520" w:rsidRPr="00413838" w:rsidRDefault="000B4520" w:rsidP="0088047D">
            <w:pPr>
              <w:pStyle w:val="tabletextNS"/>
              <w:jc w:val="left"/>
              <w:rPr>
                <w:rFonts w:ascii="Arial" w:hAnsi="Arial" w:cs="Arial"/>
                <w:b/>
                <w:sz w:val="20"/>
                <w:szCs w:val="20"/>
              </w:rPr>
            </w:pPr>
            <w:r w:rsidRPr="00413838">
              <w:rPr>
                <w:rFonts w:ascii="Arial" w:hAnsi="Arial" w:cs="Arial"/>
                <w:b/>
                <w:sz w:val="20"/>
                <w:szCs w:val="20"/>
              </w:rPr>
              <w:t>Eye disorders</w:t>
            </w:r>
          </w:p>
        </w:tc>
      </w:tr>
      <w:tr w:rsidR="000B4520" w:rsidRPr="005124EA" w14:paraId="4EFEF868" w14:textId="77777777" w:rsidTr="001550EB">
        <w:trPr>
          <w:trHeight w:hRule="exact" w:val="284"/>
        </w:trPr>
        <w:tc>
          <w:tcPr>
            <w:tcW w:w="5245" w:type="dxa"/>
            <w:tcBorders>
              <w:top w:val="nil"/>
              <w:left w:val="nil"/>
              <w:bottom w:val="nil"/>
              <w:right w:val="nil"/>
            </w:tcBorders>
            <w:shd w:val="clear" w:color="auto" w:fill="auto"/>
            <w:hideMark/>
          </w:tcPr>
          <w:p w14:paraId="5A1BBCDA"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Vision blurred</w:t>
            </w:r>
          </w:p>
        </w:tc>
        <w:tc>
          <w:tcPr>
            <w:tcW w:w="1791" w:type="dxa"/>
            <w:gridSpan w:val="2"/>
            <w:tcBorders>
              <w:top w:val="nil"/>
              <w:left w:val="nil"/>
              <w:bottom w:val="nil"/>
              <w:right w:val="nil"/>
            </w:tcBorders>
            <w:shd w:val="clear" w:color="auto" w:fill="auto"/>
          </w:tcPr>
          <w:p w14:paraId="7528D381"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Common</w:t>
            </w:r>
          </w:p>
        </w:tc>
        <w:tc>
          <w:tcPr>
            <w:tcW w:w="2035" w:type="dxa"/>
            <w:gridSpan w:val="2"/>
            <w:tcBorders>
              <w:top w:val="nil"/>
              <w:left w:val="nil"/>
              <w:bottom w:val="nil"/>
              <w:right w:val="nil"/>
            </w:tcBorders>
            <w:shd w:val="clear" w:color="auto" w:fill="auto"/>
          </w:tcPr>
          <w:p w14:paraId="3A46F3AD"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Common</w:t>
            </w:r>
          </w:p>
        </w:tc>
      </w:tr>
      <w:tr w:rsidR="000B4520" w:rsidRPr="005124EA" w14:paraId="70A15E97" w14:textId="77777777" w:rsidTr="001550EB">
        <w:trPr>
          <w:trHeight w:hRule="exact" w:val="284"/>
        </w:trPr>
        <w:tc>
          <w:tcPr>
            <w:tcW w:w="5245" w:type="dxa"/>
            <w:tcBorders>
              <w:top w:val="nil"/>
              <w:left w:val="nil"/>
              <w:bottom w:val="nil"/>
              <w:right w:val="nil"/>
            </w:tcBorders>
            <w:shd w:val="clear" w:color="auto" w:fill="auto"/>
            <w:hideMark/>
          </w:tcPr>
          <w:p w14:paraId="268C8F57"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Visual impairment</w:t>
            </w:r>
          </w:p>
        </w:tc>
        <w:tc>
          <w:tcPr>
            <w:tcW w:w="1791" w:type="dxa"/>
            <w:gridSpan w:val="2"/>
            <w:tcBorders>
              <w:top w:val="nil"/>
              <w:left w:val="nil"/>
              <w:bottom w:val="nil"/>
              <w:right w:val="nil"/>
            </w:tcBorders>
            <w:shd w:val="clear" w:color="auto" w:fill="auto"/>
          </w:tcPr>
          <w:p w14:paraId="7963C31C"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Common</w:t>
            </w:r>
          </w:p>
        </w:tc>
        <w:tc>
          <w:tcPr>
            <w:tcW w:w="2035" w:type="dxa"/>
            <w:gridSpan w:val="2"/>
            <w:tcBorders>
              <w:top w:val="nil"/>
              <w:left w:val="nil"/>
              <w:bottom w:val="nil"/>
              <w:right w:val="nil"/>
            </w:tcBorders>
            <w:shd w:val="clear" w:color="auto" w:fill="auto"/>
          </w:tcPr>
          <w:p w14:paraId="03410675"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Common</w:t>
            </w:r>
          </w:p>
        </w:tc>
      </w:tr>
      <w:tr w:rsidR="000B4520" w:rsidRPr="005124EA" w14:paraId="07DA37CD" w14:textId="77777777" w:rsidTr="001550EB">
        <w:trPr>
          <w:trHeight w:hRule="exact" w:val="284"/>
        </w:trPr>
        <w:tc>
          <w:tcPr>
            <w:tcW w:w="5245" w:type="dxa"/>
            <w:tcBorders>
              <w:top w:val="nil"/>
              <w:left w:val="nil"/>
              <w:bottom w:val="nil"/>
              <w:right w:val="nil"/>
            </w:tcBorders>
            <w:shd w:val="clear" w:color="auto" w:fill="auto"/>
            <w:hideMark/>
          </w:tcPr>
          <w:p w14:paraId="79B6A783"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Chorioretinopathy</w:t>
            </w:r>
          </w:p>
        </w:tc>
        <w:tc>
          <w:tcPr>
            <w:tcW w:w="1791" w:type="dxa"/>
            <w:gridSpan w:val="2"/>
            <w:tcBorders>
              <w:top w:val="nil"/>
              <w:left w:val="nil"/>
              <w:bottom w:val="nil"/>
              <w:right w:val="nil"/>
            </w:tcBorders>
            <w:shd w:val="clear" w:color="auto" w:fill="auto"/>
          </w:tcPr>
          <w:p w14:paraId="6F4549A5"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c>
          <w:tcPr>
            <w:tcW w:w="2035" w:type="dxa"/>
            <w:gridSpan w:val="2"/>
            <w:tcBorders>
              <w:top w:val="nil"/>
              <w:left w:val="nil"/>
              <w:bottom w:val="nil"/>
              <w:right w:val="nil"/>
            </w:tcBorders>
            <w:shd w:val="clear" w:color="auto" w:fill="auto"/>
          </w:tcPr>
          <w:p w14:paraId="50271EED"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r>
      <w:tr w:rsidR="000B4520" w:rsidRPr="005124EA" w14:paraId="1F130BDC" w14:textId="77777777" w:rsidTr="001550EB">
        <w:trPr>
          <w:trHeight w:hRule="exact" w:val="284"/>
        </w:trPr>
        <w:tc>
          <w:tcPr>
            <w:tcW w:w="5245" w:type="dxa"/>
            <w:tcBorders>
              <w:top w:val="nil"/>
              <w:left w:val="nil"/>
              <w:bottom w:val="nil"/>
              <w:right w:val="nil"/>
            </w:tcBorders>
            <w:shd w:val="clear" w:color="auto" w:fill="auto"/>
            <w:hideMark/>
          </w:tcPr>
          <w:p w14:paraId="599B74CF"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Uveitis</w:t>
            </w:r>
          </w:p>
        </w:tc>
        <w:tc>
          <w:tcPr>
            <w:tcW w:w="1791" w:type="dxa"/>
            <w:gridSpan w:val="2"/>
            <w:tcBorders>
              <w:top w:val="nil"/>
              <w:left w:val="nil"/>
              <w:bottom w:val="nil"/>
              <w:right w:val="nil"/>
            </w:tcBorders>
            <w:shd w:val="clear" w:color="auto" w:fill="auto"/>
          </w:tcPr>
          <w:p w14:paraId="3BDD1206"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c>
          <w:tcPr>
            <w:tcW w:w="2035" w:type="dxa"/>
            <w:gridSpan w:val="2"/>
            <w:tcBorders>
              <w:top w:val="nil"/>
              <w:left w:val="nil"/>
              <w:bottom w:val="nil"/>
              <w:right w:val="nil"/>
            </w:tcBorders>
            <w:shd w:val="clear" w:color="auto" w:fill="auto"/>
          </w:tcPr>
          <w:p w14:paraId="2B094E71"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r>
      <w:tr w:rsidR="000B4520" w:rsidRPr="005124EA" w14:paraId="4B489343" w14:textId="77777777" w:rsidTr="001550EB">
        <w:trPr>
          <w:trHeight w:hRule="exact" w:val="284"/>
        </w:trPr>
        <w:tc>
          <w:tcPr>
            <w:tcW w:w="5245" w:type="dxa"/>
            <w:tcBorders>
              <w:top w:val="nil"/>
              <w:left w:val="nil"/>
              <w:bottom w:val="nil"/>
              <w:right w:val="nil"/>
            </w:tcBorders>
            <w:shd w:val="clear" w:color="auto" w:fill="auto"/>
            <w:hideMark/>
          </w:tcPr>
          <w:p w14:paraId="38BAC359"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 xml:space="preserve">Retinal detachment </w:t>
            </w:r>
          </w:p>
        </w:tc>
        <w:tc>
          <w:tcPr>
            <w:tcW w:w="1791" w:type="dxa"/>
            <w:gridSpan w:val="2"/>
            <w:tcBorders>
              <w:top w:val="nil"/>
              <w:left w:val="nil"/>
              <w:bottom w:val="nil"/>
              <w:right w:val="nil"/>
            </w:tcBorders>
            <w:shd w:val="clear" w:color="auto" w:fill="auto"/>
          </w:tcPr>
          <w:p w14:paraId="6FE511A9"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c>
          <w:tcPr>
            <w:tcW w:w="2035" w:type="dxa"/>
            <w:gridSpan w:val="2"/>
            <w:tcBorders>
              <w:top w:val="nil"/>
              <w:left w:val="nil"/>
              <w:bottom w:val="nil"/>
              <w:right w:val="nil"/>
            </w:tcBorders>
            <w:shd w:val="clear" w:color="auto" w:fill="auto"/>
          </w:tcPr>
          <w:p w14:paraId="41E3628D"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r>
      <w:tr w:rsidR="000B4520" w:rsidRPr="005124EA" w14:paraId="557B3FE7" w14:textId="77777777" w:rsidTr="001550EB">
        <w:trPr>
          <w:trHeight w:hRule="exact" w:val="284"/>
        </w:trPr>
        <w:tc>
          <w:tcPr>
            <w:tcW w:w="5245" w:type="dxa"/>
            <w:tcBorders>
              <w:top w:val="nil"/>
              <w:left w:val="nil"/>
              <w:bottom w:val="single" w:sz="4" w:space="0" w:color="auto"/>
              <w:right w:val="nil"/>
            </w:tcBorders>
            <w:shd w:val="clear" w:color="auto" w:fill="auto"/>
            <w:hideMark/>
          </w:tcPr>
          <w:p w14:paraId="3A465B97"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Periorbital oedema</w:t>
            </w:r>
          </w:p>
        </w:tc>
        <w:tc>
          <w:tcPr>
            <w:tcW w:w="1791" w:type="dxa"/>
            <w:gridSpan w:val="2"/>
            <w:tcBorders>
              <w:top w:val="nil"/>
              <w:left w:val="nil"/>
              <w:bottom w:val="single" w:sz="4" w:space="0" w:color="auto"/>
              <w:right w:val="nil"/>
            </w:tcBorders>
            <w:shd w:val="clear" w:color="auto" w:fill="auto"/>
          </w:tcPr>
          <w:p w14:paraId="38347910"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c>
          <w:tcPr>
            <w:tcW w:w="2035" w:type="dxa"/>
            <w:gridSpan w:val="2"/>
            <w:tcBorders>
              <w:top w:val="nil"/>
              <w:left w:val="nil"/>
              <w:bottom w:val="single" w:sz="4" w:space="0" w:color="auto"/>
              <w:right w:val="nil"/>
            </w:tcBorders>
            <w:shd w:val="clear" w:color="auto" w:fill="auto"/>
          </w:tcPr>
          <w:p w14:paraId="5015200C"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r>
      <w:tr w:rsidR="000B4520" w:rsidRPr="00381915" w14:paraId="2664931A" w14:textId="77777777" w:rsidTr="001550EB">
        <w:trPr>
          <w:trHeight w:hRule="exact" w:val="284"/>
        </w:trPr>
        <w:tc>
          <w:tcPr>
            <w:tcW w:w="9071" w:type="dxa"/>
            <w:gridSpan w:val="5"/>
            <w:tcBorders>
              <w:top w:val="single" w:sz="4" w:space="0" w:color="auto"/>
              <w:left w:val="nil"/>
              <w:bottom w:val="nil"/>
              <w:right w:val="nil"/>
            </w:tcBorders>
            <w:shd w:val="clear" w:color="auto" w:fill="auto"/>
          </w:tcPr>
          <w:p w14:paraId="744F6F0F" w14:textId="77777777" w:rsidR="000B4520" w:rsidRPr="00413838" w:rsidRDefault="000B4520" w:rsidP="0088047D">
            <w:pPr>
              <w:pStyle w:val="tabletextNS"/>
              <w:rPr>
                <w:rFonts w:ascii="Arial" w:hAnsi="Arial" w:cs="Arial"/>
                <w:b/>
                <w:sz w:val="20"/>
                <w:szCs w:val="20"/>
              </w:rPr>
            </w:pPr>
            <w:r w:rsidRPr="00413838">
              <w:rPr>
                <w:rFonts w:ascii="Arial" w:hAnsi="Arial" w:cs="Arial"/>
                <w:b/>
                <w:sz w:val="20"/>
                <w:szCs w:val="20"/>
              </w:rPr>
              <w:t>Cardiac disorders</w:t>
            </w:r>
          </w:p>
        </w:tc>
      </w:tr>
      <w:tr w:rsidR="000B4520" w:rsidRPr="00381915" w14:paraId="6AE29687" w14:textId="77777777" w:rsidTr="001550EB">
        <w:trPr>
          <w:trHeight w:hRule="exact" w:val="284"/>
        </w:trPr>
        <w:tc>
          <w:tcPr>
            <w:tcW w:w="5245" w:type="dxa"/>
            <w:tcBorders>
              <w:top w:val="nil"/>
              <w:left w:val="nil"/>
              <w:bottom w:val="nil"/>
              <w:right w:val="nil"/>
            </w:tcBorders>
            <w:shd w:val="clear" w:color="auto" w:fill="auto"/>
          </w:tcPr>
          <w:p w14:paraId="7B6C21A3"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Ejection fraction decreased</w:t>
            </w:r>
          </w:p>
        </w:tc>
        <w:tc>
          <w:tcPr>
            <w:tcW w:w="1791" w:type="dxa"/>
            <w:gridSpan w:val="2"/>
            <w:tcBorders>
              <w:top w:val="nil"/>
              <w:left w:val="nil"/>
              <w:bottom w:val="nil"/>
              <w:right w:val="nil"/>
            </w:tcBorders>
            <w:shd w:val="clear" w:color="auto" w:fill="auto"/>
          </w:tcPr>
          <w:p w14:paraId="7E535835"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Common</w:t>
            </w:r>
          </w:p>
        </w:tc>
        <w:tc>
          <w:tcPr>
            <w:tcW w:w="2035" w:type="dxa"/>
            <w:gridSpan w:val="2"/>
            <w:tcBorders>
              <w:top w:val="nil"/>
              <w:left w:val="nil"/>
              <w:bottom w:val="nil"/>
              <w:right w:val="nil"/>
            </w:tcBorders>
            <w:shd w:val="clear" w:color="auto" w:fill="auto"/>
          </w:tcPr>
          <w:p w14:paraId="5E6BDBF8"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Common</w:t>
            </w:r>
          </w:p>
        </w:tc>
      </w:tr>
      <w:tr w:rsidR="000B4520" w:rsidRPr="00381915" w14:paraId="6481A250" w14:textId="77777777" w:rsidTr="001550EB">
        <w:trPr>
          <w:trHeight w:hRule="exact" w:val="284"/>
        </w:trPr>
        <w:tc>
          <w:tcPr>
            <w:tcW w:w="5245" w:type="dxa"/>
            <w:tcBorders>
              <w:top w:val="nil"/>
              <w:left w:val="nil"/>
              <w:bottom w:val="nil"/>
              <w:right w:val="nil"/>
            </w:tcBorders>
            <w:shd w:val="clear" w:color="auto" w:fill="auto"/>
          </w:tcPr>
          <w:p w14:paraId="11B5A64B"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Left ventricular dysfunction</w:t>
            </w:r>
          </w:p>
        </w:tc>
        <w:tc>
          <w:tcPr>
            <w:tcW w:w="1791" w:type="dxa"/>
            <w:gridSpan w:val="2"/>
            <w:tcBorders>
              <w:top w:val="nil"/>
              <w:left w:val="nil"/>
              <w:bottom w:val="nil"/>
              <w:right w:val="nil"/>
            </w:tcBorders>
            <w:shd w:val="clear" w:color="auto" w:fill="auto"/>
          </w:tcPr>
          <w:p w14:paraId="00B9386F"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NR</w:t>
            </w:r>
          </w:p>
        </w:tc>
        <w:tc>
          <w:tcPr>
            <w:tcW w:w="2035" w:type="dxa"/>
            <w:gridSpan w:val="2"/>
            <w:tcBorders>
              <w:top w:val="nil"/>
              <w:left w:val="nil"/>
              <w:bottom w:val="nil"/>
              <w:right w:val="nil"/>
            </w:tcBorders>
            <w:shd w:val="clear" w:color="auto" w:fill="auto"/>
          </w:tcPr>
          <w:p w14:paraId="5CB69BBE"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r>
      <w:tr w:rsidR="000B4520" w:rsidRPr="00381915" w14:paraId="58CA5A5C" w14:textId="77777777" w:rsidTr="001550EB">
        <w:trPr>
          <w:trHeight w:hRule="exact" w:val="284"/>
        </w:trPr>
        <w:tc>
          <w:tcPr>
            <w:tcW w:w="5245" w:type="dxa"/>
            <w:tcBorders>
              <w:top w:val="nil"/>
              <w:left w:val="nil"/>
              <w:bottom w:val="nil"/>
              <w:right w:val="nil"/>
            </w:tcBorders>
            <w:shd w:val="clear" w:color="auto" w:fill="auto"/>
          </w:tcPr>
          <w:p w14:paraId="5C3CB7A5"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Cardiac failure</w:t>
            </w:r>
          </w:p>
        </w:tc>
        <w:tc>
          <w:tcPr>
            <w:tcW w:w="1791" w:type="dxa"/>
            <w:gridSpan w:val="2"/>
            <w:tcBorders>
              <w:top w:val="nil"/>
              <w:left w:val="nil"/>
              <w:bottom w:val="nil"/>
              <w:right w:val="nil"/>
            </w:tcBorders>
            <w:shd w:val="clear" w:color="auto" w:fill="auto"/>
          </w:tcPr>
          <w:p w14:paraId="205E13F4"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NR</w:t>
            </w:r>
          </w:p>
        </w:tc>
        <w:tc>
          <w:tcPr>
            <w:tcW w:w="2035" w:type="dxa"/>
            <w:gridSpan w:val="2"/>
            <w:tcBorders>
              <w:top w:val="nil"/>
              <w:left w:val="nil"/>
              <w:bottom w:val="nil"/>
              <w:right w:val="nil"/>
            </w:tcBorders>
            <w:shd w:val="clear" w:color="auto" w:fill="auto"/>
          </w:tcPr>
          <w:p w14:paraId="54303767"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r>
      <w:tr w:rsidR="000B4520" w:rsidRPr="00381915" w14:paraId="7B84C46E" w14:textId="77777777" w:rsidTr="001550EB">
        <w:trPr>
          <w:trHeight w:hRule="exact" w:val="284"/>
        </w:trPr>
        <w:tc>
          <w:tcPr>
            <w:tcW w:w="5245" w:type="dxa"/>
            <w:tcBorders>
              <w:top w:val="nil"/>
              <w:left w:val="nil"/>
              <w:bottom w:val="single" w:sz="4" w:space="0" w:color="auto"/>
              <w:right w:val="nil"/>
            </w:tcBorders>
            <w:shd w:val="clear" w:color="auto" w:fill="auto"/>
          </w:tcPr>
          <w:p w14:paraId="65F9637F"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 xml:space="preserve">Bradycardia </w:t>
            </w:r>
          </w:p>
        </w:tc>
        <w:tc>
          <w:tcPr>
            <w:tcW w:w="1791" w:type="dxa"/>
            <w:gridSpan w:val="2"/>
            <w:tcBorders>
              <w:top w:val="nil"/>
              <w:left w:val="nil"/>
              <w:bottom w:val="single" w:sz="4" w:space="0" w:color="auto"/>
              <w:right w:val="nil"/>
            </w:tcBorders>
            <w:shd w:val="clear" w:color="auto" w:fill="auto"/>
          </w:tcPr>
          <w:p w14:paraId="2B6AE471"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Common</w:t>
            </w:r>
          </w:p>
        </w:tc>
        <w:tc>
          <w:tcPr>
            <w:tcW w:w="2035" w:type="dxa"/>
            <w:gridSpan w:val="2"/>
            <w:tcBorders>
              <w:top w:val="nil"/>
              <w:left w:val="nil"/>
              <w:bottom w:val="single" w:sz="4" w:space="0" w:color="auto"/>
              <w:right w:val="nil"/>
            </w:tcBorders>
            <w:shd w:val="clear" w:color="auto" w:fill="auto"/>
          </w:tcPr>
          <w:p w14:paraId="3ECA8CB5"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Common</w:t>
            </w:r>
          </w:p>
        </w:tc>
      </w:tr>
      <w:tr w:rsidR="000B4520" w:rsidRPr="005124EA" w14:paraId="123CC055" w14:textId="77777777" w:rsidTr="001550EB">
        <w:trPr>
          <w:trHeight w:hRule="exact" w:val="284"/>
        </w:trPr>
        <w:tc>
          <w:tcPr>
            <w:tcW w:w="9071" w:type="dxa"/>
            <w:gridSpan w:val="5"/>
            <w:tcBorders>
              <w:top w:val="single" w:sz="4" w:space="0" w:color="auto"/>
              <w:left w:val="nil"/>
              <w:bottom w:val="nil"/>
              <w:right w:val="nil"/>
            </w:tcBorders>
            <w:shd w:val="clear" w:color="auto" w:fill="auto"/>
            <w:hideMark/>
          </w:tcPr>
          <w:p w14:paraId="2F70B782" w14:textId="77777777" w:rsidR="000B4520" w:rsidRPr="00413838" w:rsidRDefault="000B4520" w:rsidP="0088047D">
            <w:pPr>
              <w:pStyle w:val="tabletextNS"/>
              <w:rPr>
                <w:rFonts w:ascii="Arial" w:hAnsi="Arial" w:cs="Arial"/>
                <w:b/>
                <w:sz w:val="20"/>
                <w:szCs w:val="20"/>
              </w:rPr>
            </w:pPr>
            <w:r w:rsidRPr="00413838">
              <w:rPr>
                <w:rFonts w:ascii="Arial" w:hAnsi="Arial" w:cs="Arial"/>
                <w:b/>
                <w:sz w:val="20"/>
                <w:szCs w:val="20"/>
              </w:rPr>
              <w:t>Vascular disorders</w:t>
            </w:r>
          </w:p>
        </w:tc>
      </w:tr>
      <w:tr w:rsidR="000B4520" w:rsidRPr="005124EA" w14:paraId="2E605817" w14:textId="77777777" w:rsidTr="001550EB">
        <w:trPr>
          <w:trHeight w:hRule="exact" w:val="284"/>
        </w:trPr>
        <w:tc>
          <w:tcPr>
            <w:tcW w:w="5245" w:type="dxa"/>
            <w:tcBorders>
              <w:top w:val="nil"/>
              <w:left w:val="nil"/>
              <w:bottom w:val="nil"/>
              <w:right w:val="nil"/>
            </w:tcBorders>
            <w:shd w:val="clear" w:color="auto" w:fill="auto"/>
            <w:hideMark/>
          </w:tcPr>
          <w:p w14:paraId="3FAB4902"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Hypertension</w:t>
            </w:r>
          </w:p>
        </w:tc>
        <w:tc>
          <w:tcPr>
            <w:tcW w:w="1791" w:type="dxa"/>
            <w:gridSpan w:val="2"/>
            <w:tcBorders>
              <w:top w:val="nil"/>
              <w:left w:val="nil"/>
              <w:bottom w:val="nil"/>
              <w:right w:val="nil"/>
            </w:tcBorders>
            <w:shd w:val="clear" w:color="auto" w:fill="auto"/>
            <w:hideMark/>
          </w:tcPr>
          <w:p w14:paraId="291C9A2F"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c>
          <w:tcPr>
            <w:tcW w:w="2035" w:type="dxa"/>
            <w:gridSpan w:val="2"/>
            <w:tcBorders>
              <w:top w:val="nil"/>
              <w:left w:val="nil"/>
              <w:bottom w:val="nil"/>
              <w:right w:val="nil"/>
            </w:tcBorders>
            <w:shd w:val="clear" w:color="auto" w:fill="auto"/>
            <w:hideMark/>
          </w:tcPr>
          <w:p w14:paraId="4953C95A"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r>
      <w:tr w:rsidR="000B4520" w:rsidRPr="005124EA" w14:paraId="1E8C7593" w14:textId="77777777" w:rsidTr="001550EB">
        <w:trPr>
          <w:trHeight w:hRule="exact" w:val="284"/>
        </w:trPr>
        <w:tc>
          <w:tcPr>
            <w:tcW w:w="5245" w:type="dxa"/>
            <w:tcBorders>
              <w:top w:val="nil"/>
              <w:left w:val="nil"/>
              <w:bottom w:val="nil"/>
              <w:right w:val="nil"/>
            </w:tcBorders>
            <w:shd w:val="clear" w:color="auto" w:fill="auto"/>
            <w:hideMark/>
          </w:tcPr>
          <w:p w14:paraId="41202E64"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Haemorrhage</w:t>
            </w:r>
            <w:r w:rsidRPr="00413838">
              <w:rPr>
                <w:rFonts w:ascii="Arial" w:hAnsi="Arial" w:cs="Arial"/>
                <w:sz w:val="20"/>
                <w:szCs w:val="20"/>
                <w:vertAlign w:val="superscript"/>
              </w:rPr>
              <w:t>1</w:t>
            </w:r>
          </w:p>
        </w:tc>
        <w:tc>
          <w:tcPr>
            <w:tcW w:w="1791" w:type="dxa"/>
            <w:gridSpan w:val="2"/>
            <w:tcBorders>
              <w:top w:val="nil"/>
              <w:left w:val="nil"/>
              <w:bottom w:val="nil"/>
              <w:right w:val="nil"/>
            </w:tcBorders>
            <w:shd w:val="clear" w:color="auto" w:fill="auto"/>
            <w:hideMark/>
          </w:tcPr>
          <w:p w14:paraId="0AA08979"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c>
          <w:tcPr>
            <w:tcW w:w="2035" w:type="dxa"/>
            <w:gridSpan w:val="2"/>
            <w:tcBorders>
              <w:top w:val="nil"/>
              <w:left w:val="nil"/>
              <w:bottom w:val="nil"/>
              <w:right w:val="nil"/>
            </w:tcBorders>
            <w:shd w:val="clear" w:color="auto" w:fill="auto"/>
            <w:hideMark/>
          </w:tcPr>
          <w:p w14:paraId="4BC6A3F3"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r>
      <w:tr w:rsidR="000B4520" w:rsidRPr="005124EA" w14:paraId="6ECFA2E2" w14:textId="77777777" w:rsidTr="001550EB">
        <w:trPr>
          <w:trHeight w:hRule="exact" w:val="284"/>
        </w:trPr>
        <w:tc>
          <w:tcPr>
            <w:tcW w:w="5245" w:type="dxa"/>
            <w:tcBorders>
              <w:top w:val="nil"/>
              <w:left w:val="nil"/>
              <w:bottom w:val="nil"/>
              <w:right w:val="nil"/>
            </w:tcBorders>
            <w:shd w:val="clear" w:color="auto" w:fill="auto"/>
            <w:hideMark/>
          </w:tcPr>
          <w:p w14:paraId="0D874925"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Hypotension</w:t>
            </w:r>
          </w:p>
        </w:tc>
        <w:tc>
          <w:tcPr>
            <w:tcW w:w="1791" w:type="dxa"/>
            <w:gridSpan w:val="2"/>
            <w:tcBorders>
              <w:top w:val="nil"/>
              <w:left w:val="nil"/>
              <w:bottom w:val="nil"/>
              <w:right w:val="nil"/>
            </w:tcBorders>
            <w:shd w:val="clear" w:color="auto" w:fill="auto"/>
            <w:hideMark/>
          </w:tcPr>
          <w:p w14:paraId="1A0DC186"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Common</w:t>
            </w:r>
          </w:p>
        </w:tc>
        <w:tc>
          <w:tcPr>
            <w:tcW w:w="2035" w:type="dxa"/>
            <w:gridSpan w:val="2"/>
            <w:tcBorders>
              <w:top w:val="nil"/>
              <w:left w:val="nil"/>
              <w:bottom w:val="nil"/>
              <w:right w:val="nil"/>
            </w:tcBorders>
            <w:shd w:val="clear" w:color="auto" w:fill="auto"/>
            <w:hideMark/>
          </w:tcPr>
          <w:p w14:paraId="1CC5E42F"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Common</w:t>
            </w:r>
          </w:p>
        </w:tc>
      </w:tr>
      <w:tr w:rsidR="000B4520" w:rsidRPr="005124EA" w14:paraId="10D91541" w14:textId="77777777" w:rsidTr="001550EB">
        <w:trPr>
          <w:trHeight w:hRule="exact" w:val="284"/>
        </w:trPr>
        <w:tc>
          <w:tcPr>
            <w:tcW w:w="5245" w:type="dxa"/>
            <w:tcBorders>
              <w:top w:val="nil"/>
              <w:left w:val="nil"/>
              <w:bottom w:val="single" w:sz="4" w:space="0" w:color="auto"/>
              <w:right w:val="nil"/>
            </w:tcBorders>
            <w:shd w:val="clear" w:color="auto" w:fill="auto"/>
            <w:hideMark/>
          </w:tcPr>
          <w:p w14:paraId="2EA8A0B4"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Lymphoedema</w:t>
            </w:r>
          </w:p>
        </w:tc>
        <w:tc>
          <w:tcPr>
            <w:tcW w:w="1791" w:type="dxa"/>
            <w:gridSpan w:val="2"/>
            <w:tcBorders>
              <w:top w:val="nil"/>
              <w:left w:val="nil"/>
              <w:bottom w:val="single" w:sz="4" w:space="0" w:color="auto"/>
              <w:right w:val="nil"/>
            </w:tcBorders>
            <w:shd w:val="clear" w:color="auto" w:fill="auto"/>
            <w:hideMark/>
          </w:tcPr>
          <w:p w14:paraId="1629E2C0"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c>
          <w:tcPr>
            <w:tcW w:w="2035" w:type="dxa"/>
            <w:gridSpan w:val="2"/>
            <w:tcBorders>
              <w:top w:val="nil"/>
              <w:left w:val="nil"/>
              <w:bottom w:val="single" w:sz="4" w:space="0" w:color="auto"/>
              <w:right w:val="nil"/>
            </w:tcBorders>
            <w:shd w:val="clear" w:color="auto" w:fill="auto"/>
            <w:hideMark/>
          </w:tcPr>
          <w:p w14:paraId="5FEC8C8E"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Common</w:t>
            </w:r>
          </w:p>
        </w:tc>
      </w:tr>
      <w:tr w:rsidR="000B4520" w:rsidRPr="005124EA" w14:paraId="741789AF" w14:textId="77777777" w:rsidTr="001550EB">
        <w:trPr>
          <w:trHeight w:hRule="exact" w:val="284"/>
        </w:trPr>
        <w:tc>
          <w:tcPr>
            <w:tcW w:w="9071" w:type="dxa"/>
            <w:gridSpan w:val="5"/>
            <w:tcBorders>
              <w:top w:val="single" w:sz="4" w:space="0" w:color="auto"/>
              <w:left w:val="nil"/>
              <w:bottom w:val="nil"/>
              <w:right w:val="nil"/>
            </w:tcBorders>
            <w:shd w:val="clear" w:color="auto" w:fill="auto"/>
            <w:hideMark/>
          </w:tcPr>
          <w:p w14:paraId="73112724" w14:textId="77777777" w:rsidR="000B4520" w:rsidRPr="00413838" w:rsidRDefault="000B4520" w:rsidP="0088047D">
            <w:pPr>
              <w:pStyle w:val="tabletextNS"/>
              <w:jc w:val="left"/>
              <w:rPr>
                <w:rFonts w:ascii="Arial" w:hAnsi="Arial" w:cs="Arial"/>
                <w:b/>
                <w:sz w:val="20"/>
                <w:szCs w:val="20"/>
              </w:rPr>
            </w:pPr>
            <w:r w:rsidRPr="00413838">
              <w:rPr>
                <w:rFonts w:ascii="Arial" w:hAnsi="Arial" w:cs="Arial"/>
                <w:b/>
                <w:sz w:val="20"/>
                <w:szCs w:val="20"/>
              </w:rPr>
              <w:t>Respiratory, thoracic and mediastinal disorders</w:t>
            </w:r>
          </w:p>
        </w:tc>
      </w:tr>
      <w:tr w:rsidR="000B4520" w:rsidRPr="005124EA" w14:paraId="79E6C319" w14:textId="77777777" w:rsidTr="001550EB">
        <w:trPr>
          <w:trHeight w:hRule="exact" w:val="284"/>
        </w:trPr>
        <w:tc>
          <w:tcPr>
            <w:tcW w:w="5245" w:type="dxa"/>
            <w:tcBorders>
              <w:top w:val="nil"/>
              <w:left w:val="nil"/>
              <w:bottom w:val="nil"/>
              <w:right w:val="nil"/>
            </w:tcBorders>
            <w:shd w:val="clear" w:color="auto" w:fill="auto"/>
            <w:hideMark/>
          </w:tcPr>
          <w:p w14:paraId="4609F749"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Cough</w:t>
            </w:r>
          </w:p>
        </w:tc>
        <w:tc>
          <w:tcPr>
            <w:tcW w:w="1791" w:type="dxa"/>
            <w:gridSpan w:val="2"/>
            <w:tcBorders>
              <w:top w:val="nil"/>
              <w:left w:val="nil"/>
              <w:bottom w:val="nil"/>
              <w:right w:val="nil"/>
            </w:tcBorders>
            <w:shd w:val="clear" w:color="auto" w:fill="auto"/>
            <w:hideMark/>
          </w:tcPr>
          <w:p w14:paraId="076076FA"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c>
          <w:tcPr>
            <w:tcW w:w="2035" w:type="dxa"/>
            <w:gridSpan w:val="2"/>
            <w:tcBorders>
              <w:top w:val="nil"/>
              <w:left w:val="nil"/>
              <w:bottom w:val="nil"/>
              <w:right w:val="nil"/>
            </w:tcBorders>
            <w:shd w:val="clear" w:color="auto" w:fill="auto"/>
            <w:hideMark/>
          </w:tcPr>
          <w:p w14:paraId="1AC104ED"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r>
      <w:tr w:rsidR="000B4520" w:rsidRPr="005124EA" w14:paraId="19D6B0BA" w14:textId="77777777" w:rsidTr="001550EB">
        <w:trPr>
          <w:trHeight w:hRule="exact" w:val="284"/>
        </w:trPr>
        <w:tc>
          <w:tcPr>
            <w:tcW w:w="5245" w:type="dxa"/>
            <w:tcBorders>
              <w:top w:val="nil"/>
              <w:left w:val="nil"/>
              <w:bottom w:val="nil"/>
              <w:right w:val="nil"/>
            </w:tcBorders>
            <w:shd w:val="clear" w:color="auto" w:fill="auto"/>
            <w:hideMark/>
          </w:tcPr>
          <w:p w14:paraId="24D78F78"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Dyspnoea</w:t>
            </w:r>
          </w:p>
        </w:tc>
        <w:tc>
          <w:tcPr>
            <w:tcW w:w="1791" w:type="dxa"/>
            <w:gridSpan w:val="2"/>
            <w:tcBorders>
              <w:top w:val="nil"/>
              <w:left w:val="nil"/>
              <w:bottom w:val="nil"/>
              <w:right w:val="nil"/>
            </w:tcBorders>
            <w:shd w:val="clear" w:color="auto" w:fill="auto"/>
            <w:hideMark/>
          </w:tcPr>
          <w:p w14:paraId="7CA7ABF5"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Common</w:t>
            </w:r>
          </w:p>
        </w:tc>
        <w:tc>
          <w:tcPr>
            <w:tcW w:w="2035" w:type="dxa"/>
            <w:gridSpan w:val="2"/>
            <w:tcBorders>
              <w:top w:val="nil"/>
              <w:left w:val="nil"/>
              <w:bottom w:val="nil"/>
              <w:right w:val="nil"/>
            </w:tcBorders>
            <w:shd w:val="clear" w:color="auto" w:fill="auto"/>
            <w:hideMark/>
          </w:tcPr>
          <w:p w14:paraId="477CCD24"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Common</w:t>
            </w:r>
          </w:p>
        </w:tc>
      </w:tr>
      <w:tr w:rsidR="000B4520" w:rsidRPr="005124EA" w14:paraId="1B2F3F22" w14:textId="77777777" w:rsidTr="001550EB">
        <w:trPr>
          <w:trHeight w:hRule="exact" w:val="284"/>
        </w:trPr>
        <w:tc>
          <w:tcPr>
            <w:tcW w:w="5245" w:type="dxa"/>
            <w:tcBorders>
              <w:top w:val="nil"/>
              <w:left w:val="nil"/>
              <w:bottom w:val="nil"/>
              <w:right w:val="nil"/>
            </w:tcBorders>
            <w:shd w:val="clear" w:color="auto" w:fill="auto"/>
            <w:hideMark/>
          </w:tcPr>
          <w:p w14:paraId="5C469075"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Pneumonitis</w:t>
            </w:r>
          </w:p>
        </w:tc>
        <w:tc>
          <w:tcPr>
            <w:tcW w:w="1791" w:type="dxa"/>
            <w:gridSpan w:val="2"/>
            <w:tcBorders>
              <w:top w:val="nil"/>
              <w:left w:val="nil"/>
              <w:bottom w:val="nil"/>
              <w:right w:val="nil"/>
            </w:tcBorders>
            <w:shd w:val="clear" w:color="auto" w:fill="auto"/>
            <w:hideMark/>
          </w:tcPr>
          <w:p w14:paraId="1A20BDE2"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c>
          <w:tcPr>
            <w:tcW w:w="2035" w:type="dxa"/>
            <w:gridSpan w:val="2"/>
            <w:tcBorders>
              <w:top w:val="nil"/>
              <w:left w:val="nil"/>
              <w:bottom w:val="nil"/>
              <w:right w:val="nil"/>
            </w:tcBorders>
            <w:shd w:val="clear" w:color="auto" w:fill="auto"/>
            <w:hideMark/>
          </w:tcPr>
          <w:p w14:paraId="752157B9"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r>
      <w:tr w:rsidR="000B4520" w:rsidRPr="005124EA" w14:paraId="1F719A92" w14:textId="77777777" w:rsidTr="001550EB">
        <w:trPr>
          <w:trHeight w:hRule="exact" w:val="284"/>
        </w:trPr>
        <w:tc>
          <w:tcPr>
            <w:tcW w:w="5245" w:type="dxa"/>
            <w:tcBorders>
              <w:top w:val="nil"/>
              <w:left w:val="nil"/>
              <w:bottom w:val="single" w:sz="4" w:space="0" w:color="auto"/>
              <w:right w:val="nil"/>
            </w:tcBorders>
            <w:shd w:val="clear" w:color="auto" w:fill="auto"/>
          </w:tcPr>
          <w:p w14:paraId="7E95B69E"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Interstitial lung disease</w:t>
            </w:r>
          </w:p>
        </w:tc>
        <w:tc>
          <w:tcPr>
            <w:tcW w:w="1791" w:type="dxa"/>
            <w:gridSpan w:val="2"/>
            <w:tcBorders>
              <w:top w:val="nil"/>
              <w:left w:val="nil"/>
              <w:bottom w:val="single" w:sz="4" w:space="0" w:color="auto"/>
              <w:right w:val="nil"/>
            </w:tcBorders>
            <w:shd w:val="clear" w:color="auto" w:fill="auto"/>
          </w:tcPr>
          <w:p w14:paraId="508BBF3D"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NR</w:t>
            </w:r>
          </w:p>
        </w:tc>
        <w:tc>
          <w:tcPr>
            <w:tcW w:w="2035" w:type="dxa"/>
            <w:gridSpan w:val="2"/>
            <w:tcBorders>
              <w:top w:val="nil"/>
              <w:left w:val="nil"/>
              <w:bottom w:val="single" w:sz="4" w:space="0" w:color="auto"/>
              <w:right w:val="nil"/>
            </w:tcBorders>
            <w:shd w:val="clear" w:color="auto" w:fill="auto"/>
          </w:tcPr>
          <w:p w14:paraId="1C345A1C"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r>
      <w:tr w:rsidR="000B4520" w:rsidRPr="005124EA" w14:paraId="128E4DF3" w14:textId="77777777" w:rsidTr="001550EB">
        <w:trPr>
          <w:trHeight w:hRule="exact" w:val="284"/>
        </w:trPr>
        <w:tc>
          <w:tcPr>
            <w:tcW w:w="9071" w:type="dxa"/>
            <w:gridSpan w:val="5"/>
            <w:tcBorders>
              <w:top w:val="single" w:sz="4" w:space="0" w:color="auto"/>
              <w:left w:val="nil"/>
              <w:bottom w:val="nil"/>
              <w:right w:val="nil"/>
            </w:tcBorders>
            <w:shd w:val="clear" w:color="auto" w:fill="auto"/>
            <w:hideMark/>
          </w:tcPr>
          <w:p w14:paraId="6443A7EE" w14:textId="77777777" w:rsidR="000B4520" w:rsidRPr="00413838" w:rsidRDefault="000B4520" w:rsidP="0088047D">
            <w:pPr>
              <w:pStyle w:val="tabletextNS"/>
              <w:jc w:val="left"/>
              <w:rPr>
                <w:rFonts w:ascii="Arial" w:hAnsi="Arial" w:cs="Arial"/>
                <w:b/>
                <w:sz w:val="20"/>
                <w:szCs w:val="20"/>
              </w:rPr>
            </w:pPr>
            <w:r w:rsidRPr="00413838">
              <w:rPr>
                <w:rFonts w:ascii="Arial" w:hAnsi="Arial" w:cs="Arial"/>
                <w:b/>
                <w:sz w:val="20"/>
                <w:szCs w:val="20"/>
              </w:rPr>
              <w:t>Gastrointestinal disorders</w:t>
            </w:r>
          </w:p>
        </w:tc>
      </w:tr>
      <w:tr w:rsidR="000B4520" w:rsidRPr="005124EA" w14:paraId="5A8EBD38" w14:textId="77777777" w:rsidTr="001550EB">
        <w:trPr>
          <w:trHeight w:hRule="exact" w:val="284"/>
        </w:trPr>
        <w:tc>
          <w:tcPr>
            <w:tcW w:w="5245" w:type="dxa"/>
            <w:tcBorders>
              <w:top w:val="nil"/>
              <w:left w:val="nil"/>
              <w:bottom w:val="nil"/>
              <w:right w:val="nil"/>
            </w:tcBorders>
            <w:shd w:val="clear" w:color="auto" w:fill="auto"/>
            <w:hideMark/>
          </w:tcPr>
          <w:p w14:paraId="785119BF"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Abdominal pain</w:t>
            </w:r>
          </w:p>
        </w:tc>
        <w:tc>
          <w:tcPr>
            <w:tcW w:w="1791" w:type="dxa"/>
            <w:gridSpan w:val="2"/>
            <w:tcBorders>
              <w:top w:val="nil"/>
              <w:left w:val="nil"/>
              <w:bottom w:val="nil"/>
              <w:right w:val="nil"/>
            </w:tcBorders>
            <w:shd w:val="clear" w:color="auto" w:fill="auto"/>
            <w:hideMark/>
          </w:tcPr>
          <w:p w14:paraId="5A55B69C"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c>
          <w:tcPr>
            <w:tcW w:w="2035" w:type="dxa"/>
            <w:gridSpan w:val="2"/>
            <w:tcBorders>
              <w:top w:val="nil"/>
              <w:left w:val="nil"/>
              <w:bottom w:val="nil"/>
              <w:right w:val="nil"/>
            </w:tcBorders>
            <w:shd w:val="clear" w:color="auto" w:fill="auto"/>
            <w:hideMark/>
          </w:tcPr>
          <w:p w14:paraId="254B7330"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r>
      <w:tr w:rsidR="000B4520" w:rsidRPr="005124EA" w14:paraId="535C24F9" w14:textId="77777777" w:rsidTr="001550EB">
        <w:trPr>
          <w:trHeight w:hRule="exact" w:val="284"/>
        </w:trPr>
        <w:tc>
          <w:tcPr>
            <w:tcW w:w="5245" w:type="dxa"/>
            <w:tcBorders>
              <w:top w:val="nil"/>
              <w:left w:val="nil"/>
              <w:bottom w:val="nil"/>
              <w:right w:val="nil"/>
            </w:tcBorders>
            <w:shd w:val="clear" w:color="auto" w:fill="auto"/>
            <w:hideMark/>
          </w:tcPr>
          <w:p w14:paraId="30FE03CE"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Constipation</w:t>
            </w:r>
          </w:p>
        </w:tc>
        <w:tc>
          <w:tcPr>
            <w:tcW w:w="1791" w:type="dxa"/>
            <w:gridSpan w:val="2"/>
            <w:tcBorders>
              <w:top w:val="nil"/>
              <w:left w:val="nil"/>
              <w:bottom w:val="nil"/>
              <w:right w:val="nil"/>
            </w:tcBorders>
            <w:shd w:val="clear" w:color="auto" w:fill="auto"/>
            <w:hideMark/>
          </w:tcPr>
          <w:p w14:paraId="1BE4D659"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c>
          <w:tcPr>
            <w:tcW w:w="2035" w:type="dxa"/>
            <w:gridSpan w:val="2"/>
            <w:tcBorders>
              <w:top w:val="nil"/>
              <w:left w:val="nil"/>
              <w:bottom w:val="nil"/>
              <w:right w:val="nil"/>
            </w:tcBorders>
            <w:shd w:val="clear" w:color="auto" w:fill="auto"/>
            <w:hideMark/>
          </w:tcPr>
          <w:p w14:paraId="34FFC603"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r>
      <w:tr w:rsidR="000B4520" w:rsidRPr="005124EA" w14:paraId="58FFADE3" w14:textId="77777777" w:rsidTr="001550EB">
        <w:trPr>
          <w:trHeight w:hRule="exact" w:val="284"/>
        </w:trPr>
        <w:tc>
          <w:tcPr>
            <w:tcW w:w="5245" w:type="dxa"/>
            <w:tcBorders>
              <w:top w:val="nil"/>
              <w:left w:val="nil"/>
              <w:bottom w:val="nil"/>
              <w:right w:val="nil"/>
            </w:tcBorders>
            <w:shd w:val="clear" w:color="auto" w:fill="auto"/>
            <w:hideMark/>
          </w:tcPr>
          <w:p w14:paraId="11035407"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Diarrhoea</w:t>
            </w:r>
          </w:p>
        </w:tc>
        <w:tc>
          <w:tcPr>
            <w:tcW w:w="1791" w:type="dxa"/>
            <w:gridSpan w:val="2"/>
            <w:tcBorders>
              <w:top w:val="nil"/>
              <w:left w:val="nil"/>
              <w:bottom w:val="nil"/>
              <w:right w:val="nil"/>
            </w:tcBorders>
            <w:shd w:val="clear" w:color="auto" w:fill="auto"/>
            <w:hideMark/>
          </w:tcPr>
          <w:p w14:paraId="47BB55C7"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c>
          <w:tcPr>
            <w:tcW w:w="2035" w:type="dxa"/>
            <w:gridSpan w:val="2"/>
            <w:tcBorders>
              <w:top w:val="nil"/>
              <w:left w:val="nil"/>
              <w:bottom w:val="nil"/>
              <w:right w:val="nil"/>
            </w:tcBorders>
            <w:shd w:val="clear" w:color="auto" w:fill="auto"/>
            <w:hideMark/>
          </w:tcPr>
          <w:p w14:paraId="78D686D6"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r>
      <w:tr w:rsidR="000B4520" w:rsidRPr="005124EA" w14:paraId="1FC841BF" w14:textId="77777777" w:rsidTr="001550EB">
        <w:trPr>
          <w:trHeight w:hRule="exact" w:val="284"/>
        </w:trPr>
        <w:tc>
          <w:tcPr>
            <w:tcW w:w="5245" w:type="dxa"/>
            <w:tcBorders>
              <w:top w:val="nil"/>
              <w:left w:val="nil"/>
              <w:bottom w:val="nil"/>
              <w:right w:val="nil"/>
            </w:tcBorders>
            <w:shd w:val="clear" w:color="auto" w:fill="auto"/>
            <w:hideMark/>
          </w:tcPr>
          <w:p w14:paraId="63BEB7E7"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Nausea</w:t>
            </w:r>
          </w:p>
        </w:tc>
        <w:tc>
          <w:tcPr>
            <w:tcW w:w="1791" w:type="dxa"/>
            <w:gridSpan w:val="2"/>
            <w:tcBorders>
              <w:top w:val="nil"/>
              <w:left w:val="nil"/>
              <w:bottom w:val="nil"/>
              <w:right w:val="nil"/>
            </w:tcBorders>
            <w:shd w:val="clear" w:color="auto" w:fill="auto"/>
            <w:hideMark/>
          </w:tcPr>
          <w:p w14:paraId="26A1FBFA"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c>
          <w:tcPr>
            <w:tcW w:w="2035" w:type="dxa"/>
            <w:gridSpan w:val="2"/>
            <w:tcBorders>
              <w:top w:val="nil"/>
              <w:left w:val="nil"/>
              <w:bottom w:val="nil"/>
              <w:right w:val="nil"/>
            </w:tcBorders>
            <w:shd w:val="clear" w:color="auto" w:fill="auto"/>
            <w:hideMark/>
          </w:tcPr>
          <w:p w14:paraId="2F4C5E3E"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r>
      <w:tr w:rsidR="000B4520" w:rsidRPr="005124EA" w14:paraId="60A3B043" w14:textId="77777777" w:rsidTr="001550EB">
        <w:trPr>
          <w:trHeight w:hRule="exact" w:val="284"/>
        </w:trPr>
        <w:tc>
          <w:tcPr>
            <w:tcW w:w="5245" w:type="dxa"/>
            <w:tcBorders>
              <w:top w:val="nil"/>
              <w:left w:val="nil"/>
              <w:bottom w:val="nil"/>
              <w:right w:val="nil"/>
            </w:tcBorders>
            <w:shd w:val="clear" w:color="auto" w:fill="auto"/>
            <w:hideMark/>
          </w:tcPr>
          <w:p w14:paraId="608F1254"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Vomiting</w:t>
            </w:r>
          </w:p>
        </w:tc>
        <w:tc>
          <w:tcPr>
            <w:tcW w:w="1791" w:type="dxa"/>
            <w:gridSpan w:val="2"/>
            <w:tcBorders>
              <w:top w:val="nil"/>
              <w:left w:val="nil"/>
              <w:bottom w:val="nil"/>
              <w:right w:val="nil"/>
            </w:tcBorders>
            <w:shd w:val="clear" w:color="auto" w:fill="auto"/>
            <w:hideMark/>
          </w:tcPr>
          <w:p w14:paraId="6BBF0777"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c>
          <w:tcPr>
            <w:tcW w:w="2035" w:type="dxa"/>
            <w:gridSpan w:val="2"/>
            <w:tcBorders>
              <w:top w:val="nil"/>
              <w:left w:val="nil"/>
              <w:bottom w:val="nil"/>
              <w:right w:val="nil"/>
            </w:tcBorders>
            <w:shd w:val="clear" w:color="auto" w:fill="auto"/>
            <w:hideMark/>
          </w:tcPr>
          <w:p w14:paraId="1A8E501A"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r>
      <w:tr w:rsidR="000B4520" w:rsidRPr="005124EA" w14:paraId="1BFAB489" w14:textId="77777777" w:rsidTr="001550EB">
        <w:trPr>
          <w:trHeight w:hRule="exact" w:val="284"/>
        </w:trPr>
        <w:tc>
          <w:tcPr>
            <w:tcW w:w="5245" w:type="dxa"/>
            <w:tcBorders>
              <w:top w:val="nil"/>
              <w:left w:val="nil"/>
              <w:bottom w:val="nil"/>
              <w:right w:val="nil"/>
            </w:tcBorders>
            <w:shd w:val="clear" w:color="auto" w:fill="auto"/>
            <w:hideMark/>
          </w:tcPr>
          <w:p w14:paraId="02ADEABD"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Dry mouth</w:t>
            </w:r>
          </w:p>
        </w:tc>
        <w:tc>
          <w:tcPr>
            <w:tcW w:w="1791" w:type="dxa"/>
            <w:gridSpan w:val="2"/>
            <w:tcBorders>
              <w:top w:val="nil"/>
              <w:left w:val="nil"/>
              <w:bottom w:val="nil"/>
              <w:right w:val="nil"/>
            </w:tcBorders>
            <w:shd w:val="clear" w:color="auto" w:fill="auto"/>
            <w:hideMark/>
          </w:tcPr>
          <w:p w14:paraId="6512F374"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Common</w:t>
            </w:r>
          </w:p>
        </w:tc>
        <w:tc>
          <w:tcPr>
            <w:tcW w:w="2035" w:type="dxa"/>
            <w:gridSpan w:val="2"/>
            <w:tcBorders>
              <w:top w:val="nil"/>
              <w:left w:val="nil"/>
              <w:bottom w:val="nil"/>
              <w:right w:val="nil"/>
            </w:tcBorders>
            <w:shd w:val="clear" w:color="auto" w:fill="auto"/>
            <w:hideMark/>
          </w:tcPr>
          <w:p w14:paraId="23129C16"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Common</w:t>
            </w:r>
          </w:p>
        </w:tc>
      </w:tr>
      <w:tr w:rsidR="000B4520" w:rsidRPr="005124EA" w14:paraId="60031F0E" w14:textId="77777777" w:rsidTr="001550EB">
        <w:trPr>
          <w:trHeight w:hRule="exact" w:val="284"/>
        </w:trPr>
        <w:tc>
          <w:tcPr>
            <w:tcW w:w="5245" w:type="dxa"/>
            <w:tcBorders>
              <w:top w:val="nil"/>
              <w:left w:val="nil"/>
              <w:bottom w:val="nil"/>
              <w:right w:val="nil"/>
            </w:tcBorders>
            <w:shd w:val="clear" w:color="auto" w:fill="auto"/>
            <w:hideMark/>
          </w:tcPr>
          <w:p w14:paraId="7BECBC9D"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Stomatitis</w:t>
            </w:r>
          </w:p>
        </w:tc>
        <w:tc>
          <w:tcPr>
            <w:tcW w:w="1791" w:type="dxa"/>
            <w:gridSpan w:val="2"/>
            <w:tcBorders>
              <w:top w:val="nil"/>
              <w:left w:val="nil"/>
              <w:bottom w:val="nil"/>
              <w:right w:val="nil"/>
            </w:tcBorders>
            <w:shd w:val="clear" w:color="auto" w:fill="auto"/>
            <w:hideMark/>
          </w:tcPr>
          <w:p w14:paraId="440CD2DD"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Common</w:t>
            </w:r>
          </w:p>
        </w:tc>
        <w:tc>
          <w:tcPr>
            <w:tcW w:w="2035" w:type="dxa"/>
            <w:gridSpan w:val="2"/>
            <w:tcBorders>
              <w:top w:val="nil"/>
              <w:left w:val="nil"/>
              <w:bottom w:val="nil"/>
              <w:right w:val="nil"/>
            </w:tcBorders>
            <w:shd w:val="clear" w:color="auto" w:fill="auto"/>
            <w:hideMark/>
          </w:tcPr>
          <w:p w14:paraId="3B023DA1"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Common</w:t>
            </w:r>
          </w:p>
        </w:tc>
      </w:tr>
      <w:tr w:rsidR="000B4520" w:rsidRPr="005124EA" w14:paraId="40CAFE52" w14:textId="77777777" w:rsidTr="001550EB">
        <w:trPr>
          <w:trHeight w:hRule="exact" w:val="284"/>
        </w:trPr>
        <w:tc>
          <w:tcPr>
            <w:tcW w:w="5245" w:type="dxa"/>
            <w:tcBorders>
              <w:top w:val="nil"/>
              <w:left w:val="nil"/>
              <w:bottom w:val="single" w:sz="4" w:space="0" w:color="auto"/>
              <w:right w:val="nil"/>
            </w:tcBorders>
            <w:shd w:val="clear" w:color="auto" w:fill="auto"/>
            <w:hideMark/>
          </w:tcPr>
          <w:p w14:paraId="72CB468E"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Pancreatitis</w:t>
            </w:r>
          </w:p>
        </w:tc>
        <w:tc>
          <w:tcPr>
            <w:tcW w:w="1791" w:type="dxa"/>
            <w:gridSpan w:val="2"/>
            <w:tcBorders>
              <w:top w:val="nil"/>
              <w:left w:val="nil"/>
              <w:bottom w:val="single" w:sz="4" w:space="0" w:color="auto"/>
              <w:right w:val="nil"/>
            </w:tcBorders>
            <w:shd w:val="clear" w:color="auto" w:fill="auto"/>
            <w:hideMark/>
          </w:tcPr>
          <w:p w14:paraId="7B5EBA0E"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c>
          <w:tcPr>
            <w:tcW w:w="2035" w:type="dxa"/>
            <w:gridSpan w:val="2"/>
            <w:tcBorders>
              <w:top w:val="nil"/>
              <w:left w:val="nil"/>
              <w:bottom w:val="single" w:sz="4" w:space="0" w:color="auto"/>
              <w:right w:val="nil"/>
            </w:tcBorders>
            <w:shd w:val="clear" w:color="auto" w:fill="auto"/>
            <w:hideMark/>
          </w:tcPr>
          <w:p w14:paraId="7C14B0AE"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r>
      <w:tr w:rsidR="000B4520" w:rsidRPr="005124EA" w14:paraId="6A243C67" w14:textId="77777777" w:rsidTr="001550EB">
        <w:trPr>
          <w:trHeight w:hRule="exact" w:val="284"/>
        </w:trPr>
        <w:tc>
          <w:tcPr>
            <w:tcW w:w="9071" w:type="dxa"/>
            <w:gridSpan w:val="5"/>
            <w:tcBorders>
              <w:top w:val="single" w:sz="4" w:space="0" w:color="auto"/>
              <w:left w:val="nil"/>
              <w:bottom w:val="nil"/>
              <w:right w:val="nil"/>
            </w:tcBorders>
            <w:shd w:val="clear" w:color="auto" w:fill="auto"/>
          </w:tcPr>
          <w:p w14:paraId="468B540C" w14:textId="77777777" w:rsidR="000B4520" w:rsidRPr="00D80F8A" w:rsidRDefault="000B4520" w:rsidP="0088047D">
            <w:pPr>
              <w:pStyle w:val="tabletextNS"/>
              <w:jc w:val="left"/>
              <w:rPr>
                <w:rFonts w:ascii="Arial" w:hAnsi="Arial" w:cs="Arial"/>
                <w:b/>
                <w:sz w:val="20"/>
                <w:szCs w:val="20"/>
              </w:rPr>
            </w:pPr>
            <w:r w:rsidRPr="00D80F8A">
              <w:rPr>
                <w:rFonts w:ascii="Arial" w:hAnsi="Arial" w:cs="Arial"/>
                <w:b/>
                <w:sz w:val="20"/>
                <w:szCs w:val="20"/>
              </w:rPr>
              <w:t>Investigations</w:t>
            </w:r>
          </w:p>
        </w:tc>
      </w:tr>
      <w:tr w:rsidR="000B4520" w:rsidRPr="005124EA" w14:paraId="4761B600" w14:textId="77777777" w:rsidTr="001550EB">
        <w:trPr>
          <w:trHeight w:hRule="exact" w:val="284"/>
        </w:trPr>
        <w:tc>
          <w:tcPr>
            <w:tcW w:w="5245" w:type="dxa"/>
            <w:tcBorders>
              <w:top w:val="nil"/>
              <w:left w:val="nil"/>
              <w:bottom w:val="nil"/>
              <w:right w:val="nil"/>
            </w:tcBorders>
            <w:shd w:val="clear" w:color="auto" w:fill="auto"/>
          </w:tcPr>
          <w:p w14:paraId="0B2E38C7"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Alanine aminotransferase increased</w:t>
            </w:r>
          </w:p>
        </w:tc>
        <w:tc>
          <w:tcPr>
            <w:tcW w:w="1791" w:type="dxa"/>
            <w:gridSpan w:val="2"/>
            <w:tcBorders>
              <w:top w:val="nil"/>
              <w:left w:val="nil"/>
              <w:bottom w:val="nil"/>
              <w:right w:val="nil"/>
            </w:tcBorders>
            <w:shd w:val="clear" w:color="auto" w:fill="auto"/>
          </w:tcPr>
          <w:p w14:paraId="0744D95A"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c>
          <w:tcPr>
            <w:tcW w:w="2035" w:type="dxa"/>
            <w:gridSpan w:val="2"/>
            <w:tcBorders>
              <w:top w:val="nil"/>
              <w:left w:val="nil"/>
              <w:bottom w:val="nil"/>
              <w:right w:val="nil"/>
            </w:tcBorders>
            <w:shd w:val="clear" w:color="auto" w:fill="auto"/>
          </w:tcPr>
          <w:p w14:paraId="775307DE"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r>
      <w:tr w:rsidR="000B4520" w:rsidRPr="005124EA" w14:paraId="31E617C7" w14:textId="77777777" w:rsidTr="001550EB">
        <w:trPr>
          <w:trHeight w:hRule="exact" w:val="284"/>
        </w:trPr>
        <w:tc>
          <w:tcPr>
            <w:tcW w:w="5245" w:type="dxa"/>
            <w:tcBorders>
              <w:top w:val="nil"/>
              <w:left w:val="nil"/>
              <w:bottom w:val="nil"/>
              <w:right w:val="nil"/>
            </w:tcBorders>
            <w:shd w:val="clear" w:color="auto" w:fill="auto"/>
          </w:tcPr>
          <w:p w14:paraId="0A8FFCA3"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Aspartate aminotransferase increased</w:t>
            </w:r>
          </w:p>
        </w:tc>
        <w:tc>
          <w:tcPr>
            <w:tcW w:w="1791" w:type="dxa"/>
            <w:gridSpan w:val="2"/>
            <w:tcBorders>
              <w:top w:val="nil"/>
              <w:left w:val="nil"/>
              <w:bottom w:val="nil"/>
              <w:right w:val="nil"/>
            </w:tcBorders>
            <w:shd w:val="clear" w:color="auto" w:fill="auto"/>
          </w:tcPr>
          <w:p w14:paraId="50DBBC80"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c>
          <w:tcPr>
            <w:tcW w:w="2035" w:type="dxa"/>
            <w:gridSpan w:val="2"/>
            <w:tcBorders>
              <w:top w:val="nil"/>
              <w:left w:val="nil"/>
              <w:bottom w:val="nil"/>
              <w:right w:val="nil"/>
            </w:tcBorders>
            <w:shd w:val="clear" w:color="auto" w:fill="auto"/>
          </w:tcPr>
          <w:p w14:paraId="18DB58B0"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r>
      <w:tr w:rsidR="000B4520" w:rsidRPr="005124EA" w14:paraId="43A6161F" w14:textId="77777777" w:rsidTr="001550EB">
        <w:trPr>
          <w:trHeight w:hRule="exact" w:val="284"/>
        </w:trPr>
        <w:tc>
          <w:tcPr>
            <w:tcW w:w="5245" w:type="dxa"/>
            <w:tcBorders>
              <w:top w:val="nil"/>
              <w:left w:val="nil"/>
              <w:bottom w:val="nil"/>
              <w:right w:val="nil"/>
            </w:tcBorders>
            <w:shd w:val="clear" w:color="auto" w:fill="auto"/>
          </w:tcPr>
          <w:p w14:paraId="632AFDD7"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Blood alkaline phosphatase increased</w:t>
            </w:r>
          </w:p>
        </w:tc>
        <w:tc>
          <w:tcPr>
            <w:tcW w:w="1791" w:type="dxa"/>
            <w:gridSpan w:val="2"/>
            <w:tcBorders>
              <w:top w:val="nil"/>
              <w:left w:val="nil"/>
              <w:bottom w:val="nil"/>
              <w:right w:val="nil"/>
            </w:tcBorders>
            <w:shd w:val="clear" w:color="auto" w:fill="auto"/>
          </w:tcPr>
          <w:p w14:paraId="03590510"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c>
          <w:tcPr>
            <w:tcW w:w="2035" w:type="dxa"/>
            <w:gridSpan w:val="2"/>
            <w:tcBorders>
              <w:top w:val="nil"/>
              <w:left w:val="nil"/>
              <w:bottom w:val="nil"/>
              <w:right w:val="nil"/>
            </w:tcBorders>
            <w:shd w:val="clear" w:color="auto" w:fill="auto"/>
          </w:tcPr>
          <w:p w14:paraId="0923F621"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r>
      <w:tr w:rsidR="000B4520" w:rsidRPr="005124EA" w14:paraId="6B137EBA" w14:textId="77777777" w:rsidTr="001550EB">
        <w:trPr>
          <w:trHeight w:hRule="exact" w:val="284"/>
        </w:trPr>
        <w:tc>
          <w:tcPr>
            <w:tcW w:w="5245" w:type="dxa"/>
            <w:tcBorders>
              <w:top w:val="nil"/>
              <w:left w:val="nil"/>
              <w:bottom w:val="single" w:sz="4" w:space="0" w:color="auto"/>
              <w:right w:val="nil"/>
            </w:tcBorders>
            <w:shd w:val="clear" w:color="auto" w:fill="auto"/>
          </w:tcPr>
          <w:p w14:paraId="55AB7DB3"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Gamma-glutamyltransferase increased</w:t>
            </w:r>
          </w:p>
        </w:tc>
        <w:tc>
          <w:tcPr>
            <w:tcW w:w="1791" w:type="dxa"/>
            <w:gridSpan w:val="2"/>
            <w:tcBorders>
              <w:top w:val="nil"/>
              <w:left w:val="nil"/>
              <w:bottom w:val="single" w:sz="4" w:space="0" w:color="auto"/>
              <w:right w:val="nil"/>
            </w:tcBorders>
            <w:shd w:val="clear" w:color="auto" w:fill="auto"/>
          </w:tcPr>
          <w:p w14:paraId="2F021F15"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c>
          <w:tcPr>
            <w:tcW w:w="2035" w:type="dxa"/>
            <w:gridSpan w:val="2"/>
            <w:tcBorders>
              <w:top w:val="nil"/>
              <w:left w:val="nil"/>
              <w:bottom w:val="single" w:sz="4" w:space="0" w:color="auto"/>
              <w:right w:val="nil"/>
            </w:tcBorders>
            <w:shd w:val="clear" w:color="auto" w:fill="auto"/>
          </w:tcPr>
          <w:p w14:paraId="7F6F4769"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r>
      <w:tr w:rsidR="000B4520" w:rsidRPr="005124EA" w14:paraId="01DBF568" w14:textId="77777777" w:rsidTr="001550EB">
        <w:trPr>
          <w:trHeight w:hRule="exact" w:val="284"/>
        </w:trPr>
        <w:tc>
          <w:tcPr>
            <w:tcW w:w="9071" w:type="dxa"/>
            <w:gridSpan w:val="5"/>
            <w:tcBorders>
              <w:top w:val="single" w:sz="4" w:space="0" w:color="auto"/>
              <w:left w:val="nil"/>
              <w:bottom w:val="nil"/>
              <w:right w:val="nil"/>
            </w:tcBorders>
            <w:shd w:val="clear" w:color="auto" w:fill="auto"/>
            <w:hideMark/>
          </w:tcPr>
          <w:p w14:paraId="65F1A1E0" w14:textId="77777777" w:rsidR="000B4520" w:rsidRPr="00D80F8A" w:rsidRDefault="000B4520" w:rsidP="0088047D">
            <w:pPr>
              <w:pStyle w:val="tabletextNS"/>
              <w:jc w:val="left"/>
              <w:rPr>
                <w:rFonts w:ascii="Arial" w:hAnsi="Arial" w:cs="Arial"/>
                <w:b/>
                <w:sz w:val="20"/>
                <w:szCs w:val="20"/>
              </w:rPr>
            </w:pPr>
            <w:r w:rsidRPr="00D80F8A">
              <w:rPr>
                <w:rFonts w:ascii="Arial" w:hAnsi="Arial" w:cs="Arial"/>
                <w:b/>
                <w:sz w:val="20"/>
                <w:szCs w:val="20"/>
              </w:rPr>
              <w:t>Skin and subcutaneous tissue disorders</w:t>
            </w:r>
          </w:p>
        </w:tc>
      </w:tr>
      <w:tr w:rsidR="000B4520" w:rsidRPr="005124EA" w14:paraId="7BB18DD6" w14:textId="77777777" w:rsidTr="001550EB">
        <w:trPr>
          <w:trHeight w:hRule="exact" w:val="284"/>
        </w:trPr>
        <w:tc>
          <w:tcPr>
            <w:tcW w:w="5245" w:type="dxa"/>
            <w:tcBorders>
              <w:top w:val="nil"/>
              <w:left w:val="nil"/>
              <w:bottom w:val="nil"/>
              <w:right w:val="nil"/>
            </w:tcBorders>
            <w:shd w:val="clear" w:color="auto" w:fill="auto"/>
            <w:hideMark/>
          </w:tcPr>
          <w:p w14:paraId="6E6240E3"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Dry skin</w:t>
            </w:r>
          </w:p>
        </w:tc>
        <w:tc>
          <w:tcPr>
            <w:tcW w:w="1791" w:type="dxa"/>
            <w:gridSpan w:val="2"/>
            <w:tcBorders>
              <w:top w:val="nil"/>
              <w:left w:val="nil"/>
              <w:bottom w:val="nil"/>
              <w:right w:val="nil"/>
            </w:tcBorders>
            <w:shd w:val="clear" w:color="auto" w:fill="auto"/>
            <w:hideMark/>
          </w:tcPr>
          <w:p w14:paraId="4A6047D1"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c>
          <w:tcPr>
            <w:tcW w:w="2035" w:type="dxa"/>
            <w:gridSpan w:val="2"/>
            <w:tcBorders>
              <w:top w:val="nil"/>
              <w:left w:val="nil"/>
              <w:bottom w:val="nil"/>
              <w:right w:val="nil"/>
            </w:tcBorders>
            <w:shd w:val="clear" w:color="auto" w:fill="auto"/>
            <w:hideMark/>
          </w:tcPr>
          <w:p w14:paraId="6AAFF75D"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r>
      <w:tr w:rsidR="000B4520" w:rsidRPr="005124EA" w14:paraId="0A2BD99B" w14:textId="77777777" w:rsidTr="001550EB">
        <w:trPr>
          <w:trHeight w:hRule="exact" w:val="284"/>
        </w:trPr>
        <w:tc>
          <w:tcPr>
            <w:tcW w:w="5245" w:type="dxa"/>
            <w:tcBorders>
              <w:top w:val="nil"/>
              <w:left w:val="nil"/>
              <w:bottom w:val="nil"/>
              <w:right w:val="nil"/>
            </w:tcBorders>
            <w:shd w:val="clear" w:color="auto" w:fill="auto"/>
            <w:hideMark/>
          </w:tcPr>
          <w:p w14:paraId="659B4FE3"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Pruritus</w:t>
            </w:r>
          </w:p>
        </w:tc>
        <w:tc>
          <w:tcPr>
            <w:tcW w:w="1791" w:type="dxa"/>
            <w:gridSpan w:val="2"/>
            <w:tcBorders>
              <w:top w:val="nil"/>
              <w:left w:val="nil"/>
              <w:bottom w:val="nil"/>
              <w:right w:val="nil"/>
            </w:tcBorders>
            <w:shd w:val="clear" w:color="auto" w:fill="auto"/>
            <w:hideMark/>
          </w:tcPr>
          <w:p w14:paraId="1254AF21"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c>
          <w:tcPr>
            <w:tcW w:w="2035" w:type="dxa"/>
            <w:gridSpan w:val="2"/>
            <w:tcBorders>
              <w:top w:val="nil"/>
              <w:left w:val="nil"/>
              <w:bottom w:val="nil"/>
              <w:right w:val="nil"/>
            </w:tcBorders>
            <w:shd w:val="clear" w:color="auto" w:fill="auto"/>
            <w:hideMark/>
          </w:tcPr>
          <w:p w14:paraId="55CF3B89"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r>
      <w:tr w:rsidR="000B4520" w:rsidRPr="005124EA" w14:paraId="2BED5657" w14:textId="77777777" w:rsidTr="001550EB">
        <w:trPr>
          <w:trHeight w:hRule="exact" w:val="284"/>
        </w:trPr>
        <w:tc>
          <w:tcPr>
            <w:tcW w:w="5245" w:type="dxa"/>
            <w:tcBorders>
              <w:top w:val="nil"/>
              <w:left w:val="nil"/>
              <w:bottom w:val="nil"/>
              <w:right w:val="nil"/>
            </w:tcBorders>
            <w:shd w:val="clear" w:color="auto" w:fill="auto"/>
            <w:hideMark/>
          </w:tcPr>
          <w:p w14:paraId="4F47B2D3"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Rash</w:t>
            </w:r>
          </w:p>
        </w:tc>
        <w:tc>
          <w:tcPr>
            <w:tcW w:w="1690" w:type="dxa"/>
            <w:tcBorders>
              <w:top w:val="nil"/>
              <w:left w:val="nil"/>
              <w:bottom w:val="nil"/>
              <w:right w:val="nil"/>
            </w:tcBorders>
            <w:shd w:val="clear" w:color="auto" w:fill="auto"/>
            <w:hideMark/>
          </w:tcPr>
          <w:p w14:paraId="0CA4263E"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c>
          <w:tcPr>
            <w:tcW w:w="2136" w:type="dxa"/>
            <w:gridSpan w:val="3"/>
            <w:tcBorders>
              <w:top w:val="nil"/>
              <w:left w:val="nil"/>
              <w:bottom w:val="nil"/>
              <w:right w:val="nil"/>
            </w:tcBorders>
            <w:shd w:val="clear" w:color="auto" w:fill="auto"/>
            <w:hideMark/>
          </w:tcPr>
          <w:p w14:paraId="105BC6FB"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r>
      <w:tr w:rsidR="000B4520" w:rsidRPr="00682B74" w14:paraId="21644E46" w14:textId="77777777" w:rsidTr="001550EB">
        <w:trPr>
          <w:trHeight w:hRule="exact" w:val="284"/>
        </w:trPr>
        <w:tc>
          <w:tcPr>
            <w:tcW w:w="5245" w:type="dxa"/>
            <w:tcBorders>
              <w:top w:val="nil"/>
              <w:left w:val="nil"/>
              <w:bottom w:val="nil"/>
              <w:right w:val="nil"/>
            </w:tcBorders>
            <w:shd w:val="clear" w:color="auto" w:fill="auto"/>
            <w:hideMark/>
          </w:tcPr>
          <w:p w14:paraId="4B160233"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lastRenderedPageBreak/>
              <w:t>Dermatitis acneiform</w:t>
            </w:r>
          </w:p>
        </w:tc>
        <w:tc>
          <w:tcPr>
            <w:tcW w:w="1690" w:type="dxa"/>
            <w:tcBorders>
              <w:top w:val="nil"/>
              <w:left w:val="nil"/>
              <w:bottom w:val="nil"/>
              <w:right w:val="nil"/>
            </w:tcBorders>
            <w:shd w:val="clear" w:color="auto" w:fill="auto"/>
            <w:hideMark/>
          </w:tcPr>
          <w:p w14:paraId="265F3A04"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c>
          <w:tcPr>
            <w:tcW w:w="2136" w:type="dxa"/>
            <w:gridSpan w:val="3"/>
            <w:tcBorders>
              <w:top w:val="nil"/>
              <w:left w:val="nil"/>
              <w:bottom w:val="nil"/>
              <w:right w:val="nil"/>
            </w:tcBorders>
            <w:shd w:val="clear" w:color="auto" w:fill="auto"/>
            <w:hideMark/>
          </w:tcPr>
          <w:p w14:paraId="2E417CFA"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r>
      <w:tr w:rsidR="000B4520" w:rsidRPr="00682B74" w14:paraId="0D8A6CD4" w14:textId="77777777" w:rsidTr="001550EB">
        <w:trPr>
          <w:trHeight w:hRule="exact" w:val="284"/>
        </w:trPr>
        <w:tc>
          <w:tcPr>
            <w:tcW w:w="5245" w:type="dxa"/>
            <w:tcBorders>
              <w:top w:val="nil"/>
              <w:left w:val="nil"/>
              <w:bottom w:val="nil"/>
              <w:right w:val="nil"/>
            </w:tcBorders>
            <w:shd w:val="clear" w:color="auto" w:fill="auto"/>
            <w:hideMark/>
          </w:tcPr>
          <w:p w14:paraId="201BA9E6"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Erythema</w:t>
            </w:r>
          </w:p>
        </w:tc>
        <w:tc>
          <w:tcPr>
            <w:tcW w:w="1690" w:type="dxa"/>
            <w:tcBorders>
              <w:top w:val="nil"/>
              <w:left w:val="nil"/>
              <w:bottom w:val="nil"/>
              <w:right w:val="nil"/>
            </w:tcBorders>
            <w:shd w:val="clear" w:color="auto" w:fill="auto"/>
            <w:hideMark/>
          </w:tcPr>
          <w:p w14:paraId="6051A78E"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c>
          <w:tcPr>
            <w:tcW w:w="2136" w:type="dxa"/>
            <w:gridSpan w:val="3"/>
            <w:tcBorders>
              <w:top w:val="nil"/>
              <w:left w:val="nil"/>
              <w:bottom w:val="nil"/>
              <w:right w:val="nil"/>
            </w:tcBorders>
            <w:shd w:val="clear" w:color="auto" w:fill="auto"/>
            <w:hideMark/>
          </w:tcPr>
          <w:p w14:paraId="3795EBF8"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r>
      <w:tr w:rsidR="000B4520" w:rsidRPr="00682B74" w14:paraId="046C4988" w14:textId="77777777" w:rsidTr="001550EB">
        <w:trPr>
          <w:trHeight w:hRule="exact" w:val="284"/>
        </w:trPr>
        <w:tc>
          <w:tcPr>
            <w:tcW w:w="5245" w:type="dxa"/>
            <w:tcBorders>
              <w:top w:val="nil"/>
              <w:left w:val="nil"/>
              <w:bottom w:val="nil"/>
              <w:right w:val="nil"/>
            </w:tcBorders>
            <w:shd w:val="clear" w:color="auto" w:fill="auto"/>
            <w:hideMark/>
          </w:tcPr>
          <w:p w14:paraId="127DAB6E"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Actinic keratosis</w:t>
            </w:r>
          </w:p>
        </w:tc>
        <w:tc>
          <w:tcPr>
            <w:tcW w:w="1690" w:type="dxa"/>
            <w:tcBorders>
              <w:top w:val="nil"/>
              <w:left w:val="nil"/>
              <w:bottom w:val="nil"/>
              <w:right w:val="nil"/>
            </w:tcBorders>
            <w:shd w:val="clear" w:color="auto" w:fill="auto"/>
            <w:hideMark/>
          </w:tcPr>
          <w:p w14:paraId="7A264717"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c>
          <w:tcPr>
            <w:tcW w:w="2136" w:type="dxa"/>
            <w:gridSpan w:val="3"/>
            <w:tcBorders>
              <w:top w:val="nil"/>
              <w:left w:val="nil"/>
              <w:bottom w:val="nil"/>
              <w:right w:val="nil"/>
            </w:tcBorders>
            <w:shd w:val="clear" w:color="auto" w:fill="auto"/>
            <w:hideMark/>
          </w:tcPr>
          <w:p w14:paraId="29823D09"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r>
      <w:tr w:rsidR="000B4520" w:rsidRPr="00682B74" w14:paraId="1B8A220C" w14:textId="77777777" w:rsidTr="001550EB">
        <w:trPr>
          <w:trHeight w:hRule="exact" w:val="284"/>
        </w:trPr>
        <w:tc>
          <w:tcPr>
            <w:tcW w:w="5245" w:type="dxa"/>
            <w:tcBorders>
              <w:top w:val="nil"/>
              <w:left w:val="nil"/>
              <w:bottom w:val="nil"/>
              <w:right w:val="nil"/>
            </w:tcBorders>
            <w:shd w:val="clear" w:color="auto" w:fill="auto"/>
            <w:hideMark/>
          </w:tcPr>
          <w:p w14:paraId="494D8FEB"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Night sweats</w:t>
            </w:r>
          </w:p>
        </w:tc>
        <w:tc>
          <w:tcPr>
            <w:tcW w:w="1690" w:type="dxa"/>
            <w:tcBorders>
              <w:top w:val="nil"/>
              <w:left w:val="nil"/>
              <w:bottom w:val="nil"/>
              <w:right w:val="nil"/>
            </w:tcBorders>
            <w:shd w:val="clear" w:color="auto" w:fill="auto"/>
            <w:hideMark/>
          </w:tcPr>
          <w:p w14:paraId="3F96F5F9"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c>
          <w:tcPr>
            <w:tcW w:w="2136" w:type="dxa"/>
            <w:gridSpan w:val="3"/>
            <w:tcBorders>
              <w:top w:val="nil"/>
              <w:left w:val="nil"/>
              <w:bottom w:val="nil"/>
              <w:right w:val="nil"/>
            </w:tcBorders>
            <w:shd w:val="clear" w:color="auto" w:fill="auto"/>
            <w:hideMark/>
          </w:tcPr>
          <w:p w14:paraId="1D6735DD"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r>
      <w:tr w:rsidR="000B4520" w:rsidRPr="00682B74" w14:paraId="73A5B42B" w14:textId="77777777" w:rsidTr="001550EB">
        <w:trPr>
          <w:trHeight w:hRule="exact" w:val="284"/>
        </w:trPr>
        <w:tc>
          <w:tcPr>
            <w:tcW w:w="5245" w:type="dxa"/>
            <w:tcBorders>
              <w:top w:val="nil"/>
              <w:left w:val="nil"/>
              <w:bottom w:val="nil"/>
              <w:right w:val="nil"/>
            </w:tcBorders>
            <w:shd w:val="clear" w:color="auto" w:fill="auto"/>
            <w:hideMark/>
          </w:tcPr>
          <w:p w14:paraId="1D48FA22"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Hyperkeratosis</w:t>
            </w:r>
          </w:p>
        </w:tc>
        <w:tc>
          <w:tcPr>
            <w:tcW w:w="1690" w:type="dxa"/>
            <w:tcBorders>
              <w:top w:val="nil"/>
              <w:left w:val="nil"/>
              <w:bottom w:val="nil"/>
              <w:right w:val="nil"/>
            </w:tcBorders>
            <w:shd w:val="clear" w:color="auto" w:fill="auto"/>
            <w:hideMark/>
          </w:tcPr>
          <w:p w14:paraId="13B0A0AD"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c>
          <w:tcPr>
            <w:tcW w:w="2136" w:type="dxa"/>
            <w:gridSpan w:val="3"/>
            <w:tcBorders>
              <w:top w:val="nil"/>
              <w:left w:val="nil"/>
              <w:bottom w:val="nil"/>
              <w:right w:val="nil"/>
            </w:tcBorders>
            <w:shd w:val="clear" w:color="auto" w:fill="auto"/>
            <w:hideMark/>
          </w:tcPr>
          <w:p w14:paraId="7A10DAC5"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r>
      <w:tr w:rsidR="000B4520" w:rsidRPr="00682B74" w14:paraId="3E19F1E9" w14:textId="77777777" w:rsidTr="001550EB">
        <w:trPr>
          <w:trHeight w:hRule="exact" w:val="284"/>
        </w:trPr>
        <w:tc>
          <w:tcPr>
            <w:tcW w:w="5245" w:type="dxa"/>
            <w:tcBorders>
              <w:top w:val="nil"/>
              <w:left w:val="nil"/>
              <w:bottom w:val="nil"/>
              <w:right w:val="nil"/>
            </w:tcBorders>
            <w:shd w:val="clear" w:color="auto" w:fill="auto"/>
            <w:hideMark/>
          </w:tcPr>
          <w:p w14:paraId="36FDD886"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Alopecia</w:t>
            </w:r>
          </w:p>
        </w:tc>
        <w:tc>
          <w:tcPr>
            <w:tcW w:w="1690" w:type="dxa"/>
            <w:tcBorders>
              <w:top w:val="nil"/>
              <w:left w:val="nil"/>
              <w:bottom w:val="nil"/>
              <w:right w:val="nil"/>
            </w:tcBorders>
            <w:shd w:val="clear" w:color="auto" w:fill="auto"/>
            <w:hideMark/>
          </w:tcPr>
          <w:p w14:paraId="43684CBE"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c>
          <w:tcPr>
            <w:tcW w:w="2136" w:type="dxa"/>
            <w:gridSpan w:val="3"/>
            <w:tcBorders>
              <w:top w:val="nil"/>
              <w:left w:val="nil"/>
              <w:bottom w:val="nil"/>
              <w:right w:val="nil"/>
            </w:tcBorders>
            <w:shd w:val="clear" w:color="auto" w:fill="auto"/>
            <w:hideMark/>
          </w:tcPr>
          <w:p w14:paraId="1354FA7B"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r>
      <w:tr w:rsidR="000B4520" w:rsidRPr="00682B74" w14:paraId="6F87E619" w14:textId="77777777" w:rsidTr="001550EB">
        <w:trPr>
          <w:trHeight w:hRule="exact" w:val="284"/>
        </w:trPr>
        <w:tc>
          <w:tcPr>
            <w:tcW w:w="5245" w:type="dxa"/>
            <w:tcBorders>
              <w:top w:val="nil"/>
              <w:left w:val="nil"/>
              <w:bottom w:val="nil"/>
              <w:right w:val="nil"/>
            </w:tcBorders>
            <w:shd w:val="clear" w:color="auto" w:fill="auto"/>
            <w:hideMark/>
          </w:tcPr>
          <w:p w14:paraId="04625E73"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Palmar-plantar erythrodysaesthesia syndrome</w:t>
            </w:r>
          </w:p>
        </w:tc>
        <w:tc>
          <w:tcPr>
            <w:tcW w:w="1690" w:type="dxa"/>
            <w:tcBorders>
              <w:top w:val="nil"/>
              <w:left w:val="nil"/>
              <w:bottom w:val="nil"/>
              <w:right w:val="nil"/>
            </w:tcBorders>
            <w:shd w:val="clear" w:color="auto" w:fill="auto"/>
            <w:hideMark/>
          </w:tcPr>
          <w:p w14:paraId="4CCE1D58"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c>
          <w:tcPr>
            <w:tcW w:w="2136" w:type="dxa"/>
            <w:gridSpan w:val="3"/>
            <w:tcBorders>
              <w:top w:val="nil"/>
              <w:left w:val="nil"/>
              <w:bottom w:val="nil"/>
              <w:right w:val="nil"/>
            </w:tcBorders>
            <w:shd w:val="clear" w:color="auto" w:fill="auto"/>
            <w:hideMark/>
          </w:tcPr>
          <w:p w14:paraId="1A48A252"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r>
      <w:tr w:rsidR="000B4520" w:rsidRPr="00682B74" w14:paraId="60BDFC6C" w14:textId="77777777" w:rsidTr="001550EB">
        <w:trPr>
          <w:trHeight w:hRule="exact" w:val="284"/>
        </w:trPr>
        <w:tc>
          <w:tcPr>
            <w:tcW w:w="5245" w:type="dxa"/>
            <w:tcBorders>
              <w:top w:val="nil"/>
              <w:left w:val="nil"/>
              <w:bottom w:val="nil"/>
              <w:right w:val="nil"/>
            </w:tcBorders>
            <w:shd w:val="clear" w:color="auto" w:fill="auto"/>
            <w:hideMark/>
          </w:tcPr>
          <w:p w14:paraId="4B9343C5"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Skin lesion</w:t>
            </w:r>
          </w:p>
        </w:tc>
        <w:tc>
          <w:tcPr>
            <w:tcW w:w="1690" w:type="dxa"/>
            <w:tcBorders>
              <w:top w:val="nil"/>
              <w:left w:val="nil"/>
              <w:bottom w:val="nil"/>
              <w:right w:val="nil"/>
            </w:tcBorders>
            <w:shd w:val="clear" w:color="auto" w:fill="auto"/>
            <w:hideMark/>
          </w:tcPr>
          <w:p w14:paraId="6B9BAB9D"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c>
          <w:tcPr>
            <w:tcW w:w="2136" w:type="dxa"/>
            <w:gridSpan w:val="3"/>
            <w:tcBorders>
              <w:top w:val="nil"/>
              <w:left w:val="nil"/>
              <w:bottom w:val="nil"/>
              <w:right w:val="nil"/>
            </w:tcBorders>
            <w:shd w:val="clear" w:color="auto" w:fill="auto"/>
            <w:hideMark/>
          </w:tcPr>
          <w:p w14:paraId="4E139813"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r>
      <w:tr w:rsidR="000B4520" w:rsidRPr="00682B74" w14:paraId="27DCD0C5" w14:textId="77777777" w:rsidTr="001550EB">
        <w:trPr>
          <w:trHeight w:hRule="exact" w:val="284"/>
        </w:trPr>
        <w:tc>
          <w:tcPr>
            <w:tcW w:w="5245" w:type="dxa"/>
            <w:tcBorders>
              <w:top w:val="nil"/>
              <w:left w:val="nil"/>
              <w:bottom w:val="nil"/>
              <w:right w:val="nil"/>
            </w:tcBorders>
            <w:shd w:val="clear" w:color="auto" w:fill="auto"/>
            <w:hideMark/>
          </w:tcPr>
          <w:p w14:paraId="7389AE2C"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Hyperhidrosis</w:t>
            </w:r>
          </w:p>
        </w:tc>
        <w:tc>
          <w:tcPr>
            <w:tcW w:w="1690" w:type="dxa"/>
            <w:tcBorders>
              <w:top w:val="nil"/>
              <w:left w:val="nil"/>
              <w:bottom w:val="nil"/>
              <w:right w:val="nil"/>
            </w:tcBorders>
            <w:shd w:val="clear" w:color="auto" w:fill="auto"/>
            <w:hideMark/>
          </w:tcPr>
          <w:p w14:paraId="03EBC041"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c>
          <w:tcPr>
            <w:tcW w:w="2136" w:type="dxa"/>
            <w:gridSpan w:val="3"/>
            <w:tcBorders>
              <w:top w:val="nil"/>
              <w:left w:val="nil"/>
              <w:bottom w:val="nil"/>
              <w:right w:val="nil"/>
            </w:tcBorders>
            <w:shd w:val="clear" w:color="auto" w:fill="auto"/>
            <w:hideMark/>
          </w:tcPr>
          <w:p w14:paraId="063B313E"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r>
      <w:tr w:rsidR="000B4520" w:rsidRPr="00682B74" w14:paraId="5FA3D11C" w14:textId="77777777" w:rsidTr="001550EB">
        <w:trPr>
          <w:trHeight w:hRule="exact" w:val="284"/>
        </w:trPr>
        <w:tc>
          <w:tcPr>
            <w:tcW w:w="5245" w:type="dxa"/>
            <w:tcBorders>
              <w:top w:val="nil"/>
              <w:left w:val="nil"/>
              <w:bottom w:val="nil"/>
              <w:right w:val="nil"/>
            </w:tcBorders>
            <w:shd w:val="clear" w:color="auto" w:fill="auto"/>
            <w:hideMark/>
          </w:tcPr>
          <w:p w14:paraId="5D41E6B6"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Skin fissures</w:t>
            </w:r>
          </w:p>
        </w:tc>
        <w:tc>
          <w:tcPr>
            <w:tcW w:w="1690" w:type="dxa"/>
            <w:tcBorders>
              <w:top w:val="nil"/>
              <w:left w:val="nil"/>
              <w:bottom w:val="nil"/>
              <w:right w:val="nil"/>
            </w:tcBorders>
            <w:shd w:val="clear" w:color="auto" w:fill="auto"/>
            <w:hideMark/>
          </w:tcPr>
          <w:p w14:paraId="443CC974"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c>
          <w:tcPr>
            <w:tcW w:w="2136" w:type="dxa"/>
            <w:gridSpan w:val="3"/>
            <w:tcBorders>
              <w:top w:val="nil"/>
              <w:left w:val="nil"/>
              <w:bottom w:val="nil"/>
              <w:right w:val="nil"/>
            </w:tcBorders>
            <w:shd w:val="clear" w:color="auto" w:fill="auto"/>
            <w:hideMark/>
          </w:tcPr>
          <w:p w14:paraId="6B095236"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r>
      <w:tr w:rsidR="000B4520" w:rsidRPr="00682B74" w14:paraId="321F8DEF" w14:textId="77777777" w:rsidTr="001550EB">
        <w:trPr>
          <w:trHeight w:hRule="exact" w:val="284"/>
        </w:trPr>
        <w:tc>
          <w:tcPr>
            <w:tcW w:w="5245" w:type="dxa"/>
            <w:tcBorders>
              <w:top w:val="nil"/>
              <w:left w:val="nil"/>
              <w:bottom w:val="nil"/>
              <w:right w:val="nil"/>
            </w:tcBorders>
            <w:shd w:val="clear" w:color="auto" w:fill="auto"/>
            <w:hideMark/>
          </w:tcPr>
          <w:p w14:paraId="2A9A03CD"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Panniculitis</w:t>
            </w:r>
          </w:p>
        </w:tc>
        <w:tc>
          <w:tcPr>
            <w:tcW w:w="1690" w:type="dxa"/>
            <w:tcBorders>
              <w:top w:val="nil"/>
              <w:left w:val="nil"/>
              <w:bottom w:val="nil"/>
              <w:right w:val="nil"/>
            </w:tcBorders>
            <w:shd w:val="clear" w:color="auto" w:fill="auto"/>
            <w:hideMark/>
          </w:tcPr>
          <w:p w14:paraId="7190A723"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c>
          <w:tcPr>
            <w:tcW w:w="2136" w:type="dxa"/>
            <w:gridSpan w:val="3"/>
            <w:tcBorders>
              <w:top w:val="nil"/>
              <w:left w:val="nil"/>
              <w:bottom w:val="nil"/>
              <w:right w:val="nil"/>
            </w:tcBorders>
            <w:shd w:val="clear" w:color="auto" w:fill="auto"/>
            <w:hideMark/>
          </w:tcPr>
          <w:p w14:paraId="5568D77C"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r>
      <w:tr w:rsidR="000B4520" w:rsidRPr="00682B74" w14:paraId="185E83D2" w14:textId="77777777" w:rsidTr="001550EB">
        <w:trPr>
          <w:trHeight w:hRule="exact" w:val="284"/>
        </w:trPr>
        <w:tc>
          <w:tcPr>
            <w:tcW w:w="5245" w:type="dxa"/>
            <w:tcBorders>
              <w:top w:val="nil"/>
              <w:left w:val="nil"/>
              <w:bottom w:val="nil"/>
              <w:right w:val="nil"/>
            </w:tcBorders>
            <w:shd w:val="clear" w:color="auto" w:fill="auto"/>
          </w:tcPr>
          <w:p w14:paraId="7F94D426"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Photosensitivity reaction</w:t>
            </w:r>
            <w:r w:rsidRPr="00D80F8A">
              <w:rPr>
                <w:rFonts w:ascii="Arial" w:hAnsi="Arial" w:cs="Arial"/>
                <w:sz w:val="20"/>
                <w:szCs w:val="20"/>
                <w:vertAlign w:val="superscript"/>
              </w:rPr>
              <w:t>2</w:t>
            </w:r>
          </w:p>
        </w:tc>
        <w:tc>
          <w:tcPr>
            <w:tcW w:w="1690" w:type="dxa"/>
            <w:tcBorders>
              <w:top w:val="nil"/>
              <w:left w:val="nil"/>
              <w:bottom w:val="nil"/>
              <w:right w:val="nil"/>
            </w:tcBorders>
            <w:shd w:val="clear" w:color="auto" w:fill="auto"/>
          </w:tcPr>
          <w:p w14:paraId="0B9BBD34"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c>
          <w:tcPr>
            <w:tcW w:w="2136" w:type="dxa"/>
            <w:gridSpan w:val="3"/>
            <w:tcBorders>
              <w:top w:val="nil"/>
              <w:left w:val="nil"/>
              <w:bottom w:val="nil"/>
              <w:right w:val="nil"/>
            </w:tcBorders>
            <w:shd w:val="clear" w:color="auto" w:fill="auto"/>
          </w:tcPr>
          <w:p w14:paraId="70B6300E"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r>
      <w:tr w:rsidR="000B4520" w:rsidRPr="00803688" w14:paraId="319187B3" w14:textId="77777777" w:rsidTr="001550EB">
        <w:trPr>
          <w:trHeight w:hRule="exact" w:val="284"/>
        </w:trPr>
        <w:tc>
          <w:tcPr>
            <w:tcW w:w="9071" w:type="dxa"/>
            <w:gridSpan w:val="5"/>
            <w:tcBorders>
              <w:top w:val="single" w:sz="4" w:space="0" w:color="auto"/>
              <w:left w:val="nil"/>
              <w:bottom w:val="nil"/>
              <w:right w:val="nil"/>
            </w:tcBorders>
            <w:shd w:val="clear" w:color="auto" w:fill="auto"/>
            <w:hideMark/>
          </w:tcPr>
          <w:p w14:paraId="7CF3D724" w14:textId="77777777" w:rsidR="000B4520" w:rsidRPr="00D80F8A" w:rsidRDefault="000B4520" w:rsidP="0088047D">
            <w:pPr>
              <w:pStyle w:val="tabletextNS"/>
              <w:jc w:val="left"/>
              <w:rPr>
                <w:rFonts w:ascii="Arial" w:hAnsi="Arial" w:cs="Arial"/>
                <w:b/>
                <w:sz w:val="20"/>
                <w:szCs w:val="20"/>
              </w:rPr>
            </w:pPr>
            <w:r w:rsidRPr="00D80F8A">
              <w:rPr>
                <w:rFonts w:ascii="Arial" w:hAnsi="Arial" w:cs="Arial"/>
                <w:b/>
                <w:sz w:val="20"/>
                <w:szCs w:val="20"/>
              </w:rPr>
              <w:t>Musculoskeletal and connective tissue disorders</w:t>
            </w:r>
          </w:p>
        </w:tc>
      </w:tr>
      <w:tr w:rsidR="000B4520" w:rsidRPr="00682B74" w14:paraId="2686EB7E" w14:textId="77777777" w:rsidTr="001550EB">
        <w:trPr>
          <w:trHeight w:hRule="exact" w:val="284"/>
        </w:trPr>
        <w:tc>
          <w:tcPr>
            <w:tcW w:w="5245" w:type="dxa"/>
            <w:tcBorders>
              <w:top w:val="nil"/>
              <w:left w:val="nil"/>
              <w:bottom w:val="nil"/>
              <w:right w:val="nil"/>
            </w:tcBorders>
            <w:shd w:val="clear" w:color="auto" w:fill="auto"/>
            <w:hideMark/>
          </w:tcPr>
          <w:p w14:paraId="370FAF2D"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Arthralgia</w:t>
            </w:r>
          </w:p>
        </w:tc>
        <w:tc>
          <w:tcPr>
            <w:tcW w:w="1690" w:type="dxa"/>
            <w:tcBorders>
              <w:top w:val="nil"/>
              <w:left w:val="nil"/>
              <w:bottom w:val="nil"/>
              <w:right w:val="nil"/>
            </w:tcBorders>
            <w:shd w:val="clear" w:color="auto" w:fill="auto"/>
            <w:hideMark/>
          </w:tcPr>
          <w:p w14:paraId="6FC02052"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c>
          <w:tcPr>
            <w:tcW w:w="2136" w:type="dxa"/>
            <w:gridSpan w:val="3"/>
            <w:tcBorders>
              <w:top w:val="nil"/>
              <w:left w:val="nil"/>
              <w:bottom w:val="nil"/>
              <w:right w:val="nil"/>
            </w:tcBorders>
            <w:shd w:val="clear" w:color="auto" w:fill="auto"/>
            <w:hideMark/>
          </w:tcPr>
          <w:p w14:paraId="38A4D4DD"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r>
      <w:tr w:rsidR="000B4520" w:rsidRPr="00682B74" w14:paraId="387E40E8" w14:textId="77777777" w:rsidTr="001550EB">
        <w:trPr>
          <w:trHeight w:hRule="exact" w:val="284"/>
        </w:trPr>
        <w:tc>
          <w:tcPr>
            <w:tcW w:w="5245" w:type="dxa"/>
            <w:tcBorders>
              <w:top w:val="nil"/>
              <w:left w:val="nil"/>
              <w:bottom w:val="nil"/>
              <w:right w:val="nil"/>
            </w:tcBorders>
            <w:shd w:val="clear" w:color="auto" w:fill="auto"/>
            <w:hideMark/>
          </w:tcPr>
          <w:p w14:paraId="21050602"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Myalgia</w:t>
            </w:r>
          </w:p>
        </w:tc>
        <w:tc>
          <w:tcPr>
            <w:tcW w:w="1690" w:type="dxa"/>
            <w:tcBorders>
              <w:top w:val="nil"/>
              <w:left w:val="nil"/>
              <w:bottom w:val="nil"/>
              <w:right w:val="nil"/>
            </w:tcBorders>
            <w:shd w:val="clear" w:color="auto" w:fill="auto"/>
            <w:hideMark/>
          </w:tcPr>
          <w:p w14:paraId="58C44E45"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c>
          <w:tcPr>
            <w:tcW w:w="2136" w:type="dxa"/>
            <w:gridSpan w:val="3"/>
            <w:tcBorders>
              <w:top w:val="nil"/>
              <w:left w:val="nil"/>
              <w:bottom w:val="nil"/>
              <w:right w:val="nil"/>
            </w:tcBorders>
            <w:shd w:val="clear" w:color="auto" w:fill="auto"/>
            <w:hideMark/>
          </w:tcPr>
          <w:p w14:paraId="7DFB9B35"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r>
      <w:tr w:rsidR="000B4520" w:rsidRPr="00682B74" w14:paraId="77875DA2" w14:textId="77777777" w:rsidTr="001550EB">
        <w:trPr>
          <w:trHeight w:hRule="exact" w:val="284"/>
        </w:trPr>
        <w:tc>
          <w:tcPr>
            <w:tcW w:w="5245" w:type="dxa"/>
            <w:tcBorders>
              <w:top w:val="nil"/>
              <w:left w:val="nil"/>
              <w:bottom w:val="nil"/>
              <w:right w:val="nil"/>
            </w:tcBorders>
            <w:shd w:val="clear" w:color="auto" w:fill="auto"/>
            <w:hideMark/>
          </w:tcPr>
          <w:p w14:paraId="5E8CD979"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Pain in extremity</w:t>
            </w:r>
          </w:p>
        </w:tc>
        <w:tc>
          <w:tcPr>
            <w:tcW w:w="1690" w:type="dxa"/>
            <w:tcBorders>
              <w:top w:val="nil"/>
              <w:left w:val="nil"/>
              <w:bottom w:val="nil"/>
              <w:right w:val="nil"/>
            </w:tcBorders>
            <w:shd w:val="clear" w:color="auto" w:fill="auto"/>
            <w:hideMark/>
          </w:tcPr>
          <w:p w14:paraId="5C7FE4F3"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c>
          <w:tcPr>
            <w:tcW w:w="2136" w:type="dxa"/>
            <w:gridSpan w:val="3"/>
            <w:tcBorders>
              <w:top w:val="nil"/>
              <w:left w:val="nil"/>
              <w:bottom w:val="nil"/>
              <w:right w:val="nil"/>
            </w:tcBorders>
            <w:shd w:val="clear" w:color="auto" w:fill="auto"/>
            <w:hideMark/>
          </w:tcPr>
          <w:p w14:paraId="317F30FE"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Very common</w:t>
            </w:r>
          </w:p>
        </w:tc>
      </w:tr>
      <w:tr w:rsidR="000B4520" w:rsidRPr="00682B74" w14:paraId="5B047F9B" w14:textId="77777777" w:rsidTr="001550EB">
        <w:trPr>
          <w:trHeight w:hRule="exact" w:val="284"/>
        </w:trPr>
        <w:tc>
          <w:tcPr>
            <w:tcW w:w="5245" w:type="dxa"/>
            <w:tcBorders>
              <w:top w:val="nil"/>
              <w:left w:val="nil"/>
              <w:bottom w:val="nil"/>
              <w:right w:val="nil"/>
            </w:tcBorders>
            <w:shd w:val="clear" w:color="auto" w:fill="auto"/>
            <w:hideMark/>
          </w:tcPr>
          <w:p w14:paraId="1F1FF622"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Muscle spasms</w:t>
            </w:r>
          </w:p>
        </w:tc>
        <w:tc>
          <w:tcPr>
            <w:tcW w:w="1690" w:type="dxa"/>
            <w:tcBorders>
              <w:top w:val="nil"/>
              <w:left w:val="nil"/>
              <w:bottom w:val="nil"/>
              <w:right w:val="nil"/>
            </w:tcBorders>
            <w:shd w:val="clear" w:color="auto" w:fill="auto"/>
            <w:hideMark/>
          </w:tcPr>
          <w:p w14:paraId="28322795"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c>
          <w:tcPr>
            <w:tcW w:w="2136" w:type="dxa"/>
            <w:gridSpan w:val="3"/>
            <w:tcBorders>
              <w:top w:val="nil"/>
              <w:left w:val="nil"/>
              <w:bottom w:val="nil"/>
              <w:right w:val="nil"/>
            </w:tcBorders>
            <w:shd w:val="clear" w:color="auto" w:fill="auto"/>
            <w:hideMark/>
          </w:tcPr>
          <w:p w14:paraId="27253F92"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r>
      <w:tr w:rsidR="000B4520" w:rsidRPr="00682B74" w14:paraId="196AD951" w14:textId="77777777" w:rsidTr="001550EB">
        <w:trPr>
          <w:trHeight w:hRule="exact" w:val="284"/>
        </w:trPr>
        <w:tc>
          <w:tcPr>
            <w:tcW w:w="5245" w:type="dxa"/>
            <w:tcBorders>
              <w:top w:val="nil"/>
              <w:left w:val="nil"/>
              <w:bottom w:val="nil"/>
              <w:right w:val="nil"/>
            </w:tcBorders>
            <w:shd w:val="clear" w:color="auto" w:fill="auto"/>
            <w:hideMark/>
          </w:tcPr>
          <w:p w14:paraId="56A046A8" w14:textId="77777777" w:rsidR="000B4520" w:rsidRPr="00D80F8A" w:rsidRDefault="000B4520" w:rsidP="0088047D">
            <w:pPr>
              <w:pStyle w:val="tabletextNS"/>
              <w:rPr>
                <w:rFonts w:ascii="Arial" w:hAnsi="Arial" w:cs="Arial"/>
                <w:sz w:val="20"/>
                <w:szCs w:val="20"/>
              </w:rPr>
            </w:pPr>
            <w:r w:rsidRPr="00D80F8A">
              <w:rPr>
                <w:rFonts w:ascii="Arial" w:hAnsi="Arial" w:cs="Arial"/>
                <w:sz w:val="20"/>
                <w:szCs w:val="20"/>
              </w:rPr>
              <w:t>Blood creatine phosphokinase increased</w:t>
            </w:r>
          </w:p>
        </w:tc>
        <w:tc>
          <w:tcPr>
            <w:tcW w:w="1690" w:type="dxa"/>
            <w:tcBorders>
              <w:top w:val="nil"/>
              <w:left w:val="nil"/>
              <w:bottom w:val="nil"/>
              <w:right w:val="nil"/>
            </w:tcBorders>
            <w:shd w:val="clear" w:color="auto" w:fill="auto"/>
            <w:hideMark/>
          </w:tcPr>
          <w:p w14:paraId="5DC383B4"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c>
          <w:tcPr>
            <w:tcW w:w="2136" w:type="dxa"/>
            <w:gridSpan w:val="3"/>
            <w:tcBorders>
              <w:top w:val="nil"/>
              <w:left w:val="nil"/>
              <w:bottom w:val="nil"/>
              <w:right w:val="nil"/>
            </w:tcBorders>
            <w:shd w:val="clear" w:color="auto" w:fill="auto"/>
            <w:hideMark/>
          </w:tcPr>
          <w:p w14:paraId="30A08714" w14:textId="77777777" w:rsidR="000B4520" w:rsidRPr="00D80F8A" w:rsidRDefault="000B4520" w:rsidP="0088047D">
            <w:pPr>
              <w:pStyle w:val="tabletextNS"/>
              <w:jc w:val="center"/>
              <w:rPr>
                <w:rFonts w:ascii="Arial" w:hAnsi="Arial" w:cs="Arial"/>
                <w:sz w:val="20"/>
                <w:szCs w:val="20"/>
              </w:rPr>
            </w:pPr>
            <w:r w:rsidRPr="00D80F8A">
              <w:rPr>
                <w:rFonts w:ascii="Arial" w:hAnsi="Arial" w:cs="Arial"/>
                <w:sz w:val="20"/>
                <w:szCs w:val="20"/>
              </w:rPr>
              <w:t>Common</w:t>
            </w:r>
          </w:p>
        </w:tc>
      </w:tr>
      <w:tr w:rsidR="000B4520" w:rsidRPr="00682B74" w14:paraId="40C6409B" w14:textId="77777777" w:rsidTr="001550EB">
        <w:trPr>
          <w:trHeight w:hRule="exact" w:val="284"/>
        </w:trPr>
        <w:tc>
          <w:tcPr>
            <w:tcW w:w="5245" w:type="dxa"/>
            <w:tcBorders>
              <w:top w:val="nil"/>
              <w:left w:val="nil"/>
              <w:bottom w:val="single" w:sz="4" w:space="0" w:color="auto"/>
              <w:right w:val="nil"/>
            </w:tcBorders>
            <w:shd w:val="clear" w:color="auto" w:fill="auto"/>
          </w:tcPr>
          <w:p w14:paraId="331FC41B"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Rhabdomyolysis</w:t>
            </w:r>
          </w:p>
        </w:tc>
        <w:tc>
          <w:tcPr>
            <w:tcW w:w="1690" w:type="dxa"/>
            <w:tcBorders>
              <w:top w:val="nil"/>
              <w:left w:val="nil"/>
              <w:bottom w:val="single" w:sz="4" w:space="0" w:color="auto"/>
              <w:right w:val="nil"/>
            </w:tcBorders>
            <w:shd w:val="clear" w:color="auto" w:fill="auto"/>
          </w:tcPr>
          <w:p w14:paraId="64B304D1"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NR</w:t>
            </w:r>
          </w:p>
        </w:tc>
        <w:tc>
          <w:tcPr>
            <w:tcW w:w="2136" w:type="dxa"/>
            <w:gridSpan w:val="3"/>
            <w:tcBorders>
              <w:top w:val="nil"/>
              <w:left w:val="nil"/>
              <w:bottom w:val="single" w:sz="4" w:space="0" w:color="auto"/>
              <w:right w:val="nil"/>
            </w:tcBorders>
            <w:shd w:val="clear" w:color="auto" w:fill="auto"/>
          </w:tcPr>
          <w:p w14:paraId="42CCAAEE"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r>
      <w:tr w:rsidR="000B4520" w:rsidRPr="00803688" w14:paraId="4AF428A4" w14:textId="77777777" w:rsidTr="001550EB">
        <w:trPr>
          <w:trHeight w:hRule="exact" w:val="284"/>
        </w:trPr>
        <w:tc>
          <w:tcPr>
            <w:tcW w:w="9071" w:type="dxa"/>
            <w:gridSpan w:val="5"/>
            <w:tcBorders>
              <w:top w:val="single" w:sz="4" w:space="0" w:color="auto"/>
              <w:left w:val="nil"/>
              <w:bottom w:val="nil"/>
              <w:right w:val="nil"/>
            </w:tcBorders>
            <w:shd w:val="clear" w:color="auto" w:fill="auto"/>
            <w:hideMark/>
          </w:tcPr>
          <w:p w14:paraId="10A9537A" w14:textId="77777777" w:rsidR="000B4520" w:rsidRPr="00413838" w:rsidRDefault="000B4520" w:rsidP="0088047D">
            <w:pPr>
              <w:pStyle w:val="tabletextNS"/>
              <w:jc w:val="left"/>
              <w:rPr>
                <w:rFonts w:ascii="Arial" w:hAnsi="Arial" w:cs="Arial"/>
                <w:b/>
                <w:sz w:val="20"/>
                <w:szCs w:val="20"/>
              </w:rPr>
            </w:pPr>
            <w:r w:rsidRPr="00413838">
              <w:rPr>
                <w:rFonts w:ascii="Arial" w:hAnsi="Arial" w:cs="Arial"/>
                <w:b/>
                <w:sz w:val="20"/>
                <w:szCs w:val="20"/>
              </w:rPr>
              <w:t>Renal disorders</w:t>
            </w:r>
          </w:p>
        </w:tc>
      </w:tr>
      <w:tr w:rsidR="000B4520" w:rsidRPr="00682B74" w14:paraId="70266A2C" w14:textId="77777777" w:rsidTr="001550EB">
        <w:trPr>
          <w:trHeight w:hRule="exact" w:val="284"/>
        </w:trPr>
        <w:tc>
          <w:tcPr>
            <w:tcW w:w="5245" w:type="dxa"/>
            <w:tcBorders>
              <w:top w:val="nil"/>
              <w:left w:val="nil"/>
              <w:bottom w:val="nil"/>
              <w:right w:val="nil"/>
            </w:tcBorders>
            <w:shd w:val="clear" w:color="auto" w:fill="auto"/>
            <w:hideMark/>
          </w:tcPr>
          <w:p w14:paraId="13C7F3B2"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Renal failure</w:t>
            </w:r>
          </w:p>
        </w:tc>
        <w:tc>
          <w:tcPr>
            <w:tcW w:w="1690" w:type="dxa"/>
            <w:tcBorders>
              <w:top w:val="nil"/>
              <w:left w:val="nil"/>
              <w:bottom w:val="nil"/>
              <w:right w:val="nil"/>
            </w:tcBorders>
            <w:shd w:val="clear" w:color="auto" w:fill="auto"/>
          </w:tcPr>
          <w:p w14:paraId="78DCBE84"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c>
          <w:tcPr>
            <w:tcW w:w="2136" w:type="dxa"/>
            <w:gridSpan w:val="3"/>
            <w:tcBorders>
              <w:top w:val="nil"/>
              <w:left w:val="nil"/>
              <w:bottom w:val="nil"/>
              <w:right w:val="nil"/>
            </w:tcBorders>
            <w:shd w:val="clear" w:color="auto" w:fill="auto"/>
          </w:tcPr>
          <w:p w14:paraId="4785B966"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Common</w:t>
            </w:r>
          </w:p>
        </w:tc>
      </w:tr>
      <w:tr w:rsidR="000B4520" w:rsidRPr="00682B74" w14:paraId="31F94D79" w14:textId="77777777" w:rsidTr="001550EB">
        <w:trPr>
          <w:trHeight w:hRule="exact" w:val="284"/>
        </w:trPr>
        <w:tc>
          <w:tcPr>
            <w:tcW w:w="5245" w:type="dxa"/>
            <w:tcBorders>
              <w:top w:val="nil"/>
              <w:left w:val="nil"/>
              <w:bottom w:val="nil"/>
              <w:right w:val="nil"/>
            </w:tcBorders>
            <w:shd w:val="clear" w:color="auto" w:fill="auto"/>
            <w:hideMark/>
          </w:tcPr>
          <w:p w14:paraId="0CC41E50"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Nephritis</w:t>
            </w:r>
          </w:p>
        </w:tc>
        <w:tc>
          <w:tcPr>
            <w:tcW w:w="1690" w:type="dxa"/>
            <w:tcBorders>
              <w:top w:val="nil"/>
              <w:left w:val="nil"/>
              <w:bottom w:val="nil"/>
              <w:right w:val="nil"/>
            </w:tcBorders>
            <w:shd w:val="clear" w:color="auto" w:fill="auto"/>
          </w:tcPr>
          <w:p w14:paraId="5ACB8E25"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c>
          <w:tcPr>
            <w:tcW w:w="2136" w:type="dxa"/>
            <w:gridSpan w:val="3"/>
            <w:tcBorders>
              <w:top w:val="nil"/>
              <w:left w:val="nil"/>
              <w:bottom w:val="nil"/>
              <w:right w:val="nil"/>
            </w:tcBorders>
            <w:shd w:val="clear" w:color="auto" w:fill="auto"/>
          </w:tcPr>
          <w:p w14:paraId="4E190C4A"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r>
      <w:tr w:rsidR="000B4520" w:rsidRPr="00682B74" w14:paraId="48A2CA6C" w14:textId="77777777" w:rsidTr="001550EB">
        <w:trPr>
          <w:trHeight w:hRule="exact" w:val="284"/>
        </w:trPr>
        <w:tc>
          <w:tcPr>
            <w:tcW w:w="5245" w:type="dxa"/>
            <w:tcBorders>
              <w:top w:val="nil"/>
              <w:left w:val="nil"/>
              <w:bottom w:val="single" w:sz="4" w:space="0" w:color="auto"/>
              <w:right w:val="nil"/>
            </w:tcBorders>
            <w:shd w:val="clear" w:color="auto" w:fill="auto"/>
            <w:hideMark/>
          </w:tcPr>
          <w:p w14:paraId="441DE596"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Renal failure acute</w:t>
            </w:r>
          </w:p>
        </w:tc>
        <w:tc>
          <w:tcPr>
            <w:tcW w:w="1690" w:type="dxa"/>
            <w:tcBorders>
              <w:top w:val="nil"/>
              <w:left w:val="nil"/>
              <w:bottom w:val="single" w:sz="4" w:space="0" w:color="auto"/>
              <w:right w:val="nil"/>
            </w:tcBorders>
            <w:shd w:val="clear" w:color="auto" w:fill="auto"/>
          </w:tcPr>
          <w:p w14:paraId="49FD8209"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NR</w:t>
            </w:r>
          </w:p>
        </w:tc>
        <w:tc>
          <w:tcPr>
            <w:tcW w:w="2136" w:type="dxa"/>
            <w:gridSpan w:val="3"/>
            <w:tcBorders>
              <w:top w:val="nil"/>
              <w:left w:val="nil"/>
              <w:bottom w:val="single" w:sz="4" w:space="0" w:color="auto"/>
              <w:right w:val="nil"/>
            </w:tcBorders>
            <w:shd w:val="clear" w:color="auto" w:fill="auto"/>
          </w:tcPr>
          <w:p w14:paraId="1D72653E"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Uncommon</w:t>
            </w:r>
          </w:p>
        </w:tc>
      </w:tr>
      <w:tr w:rsidR="000B4520" w:rsidRPr="00803688" w14:paraId="326E57DC" w14:textId="77777777" w:rsidTr="001550EB">
        <w:trPr>
          <w:trHeight w:hRule="exact" w:val="284"/>
        </w:trPr>
        <w:tc>
          <w:tcPr>
            <w:tcW w:w="9071" w:type="dxa"/>
            <w:gridSpan w:val="5"/>
            <w:tcBorders>
              <w:top w:val="single" w:sz="4" w:space="0" w:color="auto"/>
              <w:left w:val="nil"/>
              <w:bottom w:val="nil"/>
              <w:right w:val="nil"/>
            </w:tcBorders>
            <w:shd w:val="clear" w:color="auto" w:fill="auto"/>
            <w:hideMark/>
          </w:tcPr>
          <w:p w14:paraId="283C7557" w14:textId="77777777" w:rsidR="000B4520" w:rsidRPr="00413838" w:rsidRDefault="000B4520" w:rsidP="0088047D">
            <w:pPr>
              <w:pStyle w:val="tabletextNS"/>
              <w:jc w:val="left"/>
              <w:rPr>
                <w:rFonts w:ascii="Arial" w:hAnsi="Arial" w:cs="Arial"/>
                <w:b/>
                <w:sz w:val="20"/>
                <w:szCs w:val="20"/>
              </w:rPr>
            </w:pPr>
            <w:r w:rsidRPr="00413838">
              <w:rPr>
                <w:rFonts w:ascii="Arial" w:hAnsi="Arial" w:cs="Arial"/>
                <w:b/>
                <w:sz w:val="20"/>
                <w:szCs w:val="20"/>
              </w:rPr>
              <w:t>General disorders and administration site disorders</w:t>
            </w:r>
          </w:p>
        </w:tc>
      </w:tr>
      <w:tr w:rsidR="000B4520" w:rsidRPr="00682B74" w14:paraId="5490D7C7" w14:textId="77777777" w:rsidTr="001550EB">
        <w:trPr>
          <w:trHeight w:hRule="exact" w:val="284"/>
        </w:trPr>
        <w:tc>
          <w:tcPr>
            <w:tcW w:w="5245" w:type="dxa"/>
            <w:tcBorders>
              <w:top w:val="nil"/>
              <w:left w:val="nil"/>
              <w:bottom w:val="nil"/>
              <w:right w:val="nil"/>
            </w:tcBorders>
            <w:shd w:val="clear" w:color="auto" w:fill="auto"/>
            <w:hideMark/>
          </w:tcPr>
          <w:p w14:paraId="4E2D50D0"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Fatigue</w:t>
            </w:r>
          </w:p>
        </w:tc>
        <w:tc>
          <w:tcPr>
            <w:tcW w:w="1690" w:type="dxa"/>
            <w:tcBorders>
              <w:top w:val="nil"/>
              <w:left w:val="nil"/>
              <w:bottom w:val="nil"/>
              <w:right w:val="nil"/>
            </w:tcBorders>
            <w:shd w:val="clear" w:color="auto" w:fill="auto"/>
            <w:hideMark/>
          </w:tcPr>
          <w:p w14:paraId="3B8216C0"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c>
          <w:tcPr>
            <w:tcW w:w="2136" w:type="dxa"/>
            <w:gridSpan w:val="3"/>
            <w:tcBorders>
              <w:top w:val="nil"/>
              <w:left w:val="nil"/>
              <w:bottom w:val="nil"/>
              <w:right w:val="nil"/>
            </w:tcBorders>
            <w:shd w:val="clear" w:color="auto" w:fill="auto"/>
            <w:hideMark/>
          </w:tcPr>
          <w:p w14:paraId="08AF9FC4"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r>
      <w:tr w:rsidR="000B4520" w:rsidRPr="00682B74" w14:paraId="06E35217" w14:textId="77777777" w:rsidTr="001550EB">
        <w:trPr>
          <w:trHeight w:hRule="exact" w:val="284"/>
        </w:trPr>
        <w:tc>
          <w:tcPr>
            <w:tcW w:w="5245" w:type="dxa"/>
            <w:tcBorders>
              <w:top w:val="nil"/>
              <w:left w:val="nil"/>
              <w:bottom w:val="nil"/>
              <w:right w:val="nil"/>
            </w:tcBorders>
            <w:shd w:val="clear" w:color="auto" w:fill="auto"/>
            <w:hideMark/>
          </w:tcPr>
          <w:p w14:paraId="53B2C243"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Oedema peripheral</w:t>
            </w:r>
          </w:p>
        </w:tc>
        <w:tc>
          <w:tcPr>
            <w:tcW w:w="1690" w:type="dxa"/>
            <w:tcBorders>
              <w:top w:val="nil"/>
              <w:left w:val="nil"/>
              <w:bottom w:val="nil"/>
              <w:right w:val="nil"/>
            </w:tcBorders>
            <w:shd w:val="clear" w:color="auto" w:fill="auto"/>
            <w:hideMark/>
          </w:tcPr>
          <w:p w14:paraId="0BD35D6F"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c>
          <w:tcPr>
            <w:tcW w:w="2136" w:type="dxa"/>
            <w:gridSpan w:val="3"/>
            <w:tcBorders>
              <w:top w:val="nil"/>
              <w:left w:val="nil"/>
              <w:bottom w:val="nil"/>
              <w:right w:val="nil"/>
            </w:tcBorders>
            <w:shd w:val="clear" w:color="auto" w:fill="auto"/>
            <w:hideMark/>
          </w:tcPr>
          <w:p w14:paraId="46B41DAD"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r>
      <w:tr w:rsidR="000B4520" w:rsidRPr="00682B74" w14:paraId="57131931" w14:textId="77777777" w:rsidTr="001550EB">
        <w:trPr>
          <w:trHeight w:hRule="exact" w:val="284"/>
        </w:trPr>
        <w:tc>
          <w:tcPr>
            <w:tcW w:w="5245" w:type="dxa"/>
            <w:tcBorders>
              <w:top w:val="nil"/>
              <w:left w:val="nil"/>
              <w:bottom w:val="nil"/>
              <w:right w:val="nil"/>
            </w:tcBorders>
            <w:shd w:val="clear" w:color="auto" w:fill="auto"/>
            <w:hideMark/>
          </w:tcPr>
          <w:p w14:paraId="59D0E078" w14:textId="77777777" w:rsidR="000B4520" w:rsidRPr="00413838" w:rsidRDefault="000B4520" w:rsidP="0088047D">
            <w:pPr>
              <w:pStyle w:val="tabletextNS"/>
              <w:rPr>
                <w:rFonts w:ascii="Arial" w:hAnsi="Arial" w:cs="Arial"/>
                <w:sz w:val="20"/>
                <w:szCs w:val="20"/>
              </w:rPr>
            </w:pPr>
            <w:r w:rsidRPr="00413838">
              <w:rPr>
                <w:rFonts w:ascii="Arial" w:hAnsi="Arial" w:cs="Arial"/>
                <w:sz w:val="20"/>
                <w:szCs w:val="20"/>
              </w:rPr>
              <w:t>Pyrexia</w:t>
            </w:r>
          </w:p>
        </w:tc>
        <w:tc>
          <w:tcPr>
            <w:tcW w:w="1690" w:type="dxa"/>
            <w:tcBorders>
              <w:top w:val="nil"/>
              <w:left w:val="nil"/>
              <w:bottom w:val="nil"/>
              <w:right w:val="nil"/>
            </w:tcBorders>
            <w:shd w:val="clear" w:color="auto" w:fill="auto"/>
            <w:hideMark/>
          </w:tcPr>
          <w:p w14:paraId="3D404A90"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c>
          <w:tcPr>
            <w:tcW w:w="2136" w:type="dxa"/>
            <w:gridSpan w:val="3"/>
            <w:tcBorders>
              <w:top w:val="nil"/>
              <w:left w:val="nil"/>
              <w:bottom w:val="nil"/>
              <w:right w:val="nil"/>
            </w:tcBorders>
            <w:shd w:val="clear" w:color="auto" w:fill="auto"/>
            <w:hideMark/>
          </w:tcPr>
          <w:p w14:paraId="66795086" w14:textId="77777777" w:rsidR="000B4520" w:rsidRPr="00413838" w:rsidRDefault="000B4520" w:rsidP="0088047D">
            <w:pPr>
              <w:pStyle w:val="tabletextNS"/>
              <w:jc w:val="center"/>
              <w:rPr>
                <w:rFonts w:ascii="Arial" w:hAnsi="Arial" w:cs="Arial"/>
                <w:sz w:val="20"/>
                <w:szCs w:val="20"/>
              </w:rPr>
            </w:pPr>
            <w:r w:rsidRPr="00413838">
              <w:rPr>
                <w:rFonts w:ascii="Arial" w:hAnsi="Arial" w:cs="Arial"/>
                <w:sz w:val="20"/>
                <w:szCs w:val="20"/>
              </w:rPr>
              <w:t>Very common</w:t>
            </w:r>
          </w:p>
        </w:tc>
      </w:tr>
      <w:tr w:rsidR="000B4520" w:rsidRPr="00682B74" w14:paraId="1E091BA5" w14:textId="77777777" w:rsidTr="001550EB">
        <w:trPr>
          <w:trHeight w:hRule="exact" w:val="284"/>
        </w:trPr>
        <w:tc>
          <w:tcPr>
            <w:tcW w:w="5245" w:type="dxa"/>
            <w:tcBorders>
              <w:top w:val="nil"/>
              <w:left w:val="nil"/>
              <w:bottom w:val="nil"/>
              <w:right w:val="nil"/>
            </w:tcBorders>
            <w:shd w:val="clear" w:color="auto" w:fill="auto"/>
            <w:hideMark/>
          </w:tcPr>
          <w:p w14:paraId="12BA57F4"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Chills</w:t>
            </w:r>
          </w:p>
        </w:tc>
        <w:tc>
          <w:tcPr>
            <w:tcW w:w="1690" w:type="dxa"/>
            <w:tcBorders>
              <w:top w:val="nil"/>
              <w:left w:val="nil"/>
              <w:bottom w:val="nil"/>
              <w:right w:val="nil"/>
            </w:tcBorders>
            <w:shd w:val="clear" w:color="auto" w:fill="auto"/>
            <w:hideMark/>
          </w:tcPr>
          <w:p w14:paraId="11CCD561"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Very common</w:t>
            </w:r>
          </w:p>
        </w:tc>
        <w:tc>
          <w:tcPr>
            <w:tcW w:w="2136" w:type="dxa"/>
            <w:gridSpan w:val="3"/>
            <w:tcBorders>
              <w:top w:val="nil"/>
              <w:left w:val="nil"/>
              <w:bottom w:val="nil"/>
              <w:right w:val="nil"/>
            </w:tcBorders>
            <w:shd w:val="clear" w:color="auto" w:fill="auto"/>
            <w:hideMark/>
          </w:tcPr>
          <w:p w14:paraId="7A22A461"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Very common</w:t>
            </w:r>
          </w:p>
        </w:tc>
      </w:tr>
      <w:tr w:rsidR="000B4520" w:rsidRPr="00682B74" w14:paraId="3375EE60" w14:textId="77777777" w:rsidTr="001550EB">
        <w:trPr>
          <w:trHeight w:hRule="exact" w:val="284"/>
        </w:trPr>
        <w:tc>
          <w:tcPr>
            <w:tcW w:w="5245" w:type="dxa"/>
            <w:tcBorders>
              <w:top w:val="nil"/>
              <w:left w:val="nil"/>
              <w:bottom w:val="nil"/>
              <w:right w:val="nil"/>
            </w:tcBorders>
            <w:shd w:val="clear" w:color="auto" w:fill="auto"/>
            <w:hideMark/>
          </w:tcPr>
          <w:p w14:paraId="5E764CE6"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Asthenia</w:t>
            </w:r>
          </w:p>
        </w:tc>
        <w:tc>
          <w:tcPr>
            <w:tcW w:w="1690" w:type="dxa"/>
            <w:tcBorders>
              <w:top w:val="nil"/>
              <w:left w:val="nil"/>
              <w:bottom w:val="nil"/>
              <w:right w:val="nil"/>
            </w:tcBorders>
            <w:shd w:val="clear" w:color="auto" w:fill="auto"/>
            <w:hideMark/>
          </w:tcPr>
          <w:p w14:paraId="7B710A17"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Very common</w:t>
            </w:r>
          </w:p>
        </w:tc>
        <w:tc>
          <w:tcPr>
            <w:tcW w:w="2136" w:type="dxa"/>
            <w:gridSpan w:val="3"/>
            <w:tcBorders>
              <w:top w:val="nil"/>
              <w:left w:val="nil"/>
              <w:bottom w:val="nil"/>
              <w:right w:val="nil"/>
            </w:tcBorders>
            <w:shd w:val="clear" w:color="auto" w:fill="auto"/>
            <w:hideMark/>
          </w:tcPr>
          <w:p w14:paraId="3A9CFBD5"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Very common</w:t>
            </w:r>
          </w:p>
        </w:tc>
      </w:tr>
      <w:tr w:rsidR="000B4520" w:rsidRPr="00682B74" w14:paraId="76E199A2" w14:textId="77777777" w:rsidTr="001550EB">
        <w:trPr>
          <w:trHeight w:hRule="exact" w:val="284"/>
        </w:trPr>
        <w:tc>
          <w:tcPr>
            <w:tcW w:w="5245" w:type="dxa"/>
            <w:tcBorders>
              <w:top w:val="nil"/>
              <w:left w:val="nil"/>
              <w:bottom w:val="nil"/>
              <w:right w:val="nil"/>
            </w:tcBorders>
            <w:shd w:val="clear" w:color="auto" w:fill="auto"/>
            <w:hideMark/>
          </w:tcPr>
          <w:p w14:paraId="4E46A41A"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Mucosal inflammation</w:t>
            </w:r>
          </w:p>
        </w:tc>
        <w:tc>
          <w:tcPr>
            <w:tcW w:w="1690" w:type="dxa"/>
            <w:tcBorders>
              <w:top w:val="nil"/>
              <w:left w:val="nil"/>
              <w:bottom w:val="nil"/>
              <w:right w:val="nil"/>
            </w:tcBorders>
            <w:shd w:val="clear" w:color="auto" w:fill="auto"/>
            <w:hideMark/>
          </w:tcPr>
          <w:p w14:paraId="07126160"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c>
          <w:tcPr>
            <w:tcW w:w="2136" w:type="dxa"/>
            <w:gridSpan w:val="3"/>
            <w:tcBorders>
              <w:top w:val="nil"/>
              <w:left w:val="nil"/>
              <w:bottom w:val="nil"/>
              <w:right w:val="nil"/>
            </w:tcBorders>
            <w:shd w:val="clear" w:color="auto" w:fill="auto"/>
            <w:hideMark/>
          </w:tcPr>
          <w:p w14:paraId="672E50E0"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r>
      <w:tr w:rsidR="000B4520" w:rsidRPr="00682B74" w14:paraId="1472976A" w14:textId="77777777" w:rsidTr="001550EB">
        <w:trPr>
          <w:trHeight w:hRule="exact" w:val="284"/>
        </w:trPr>
        <w:tc>
          <w:tcPr>
            <w:tcW w:w="5245" w:type="dxa"/>
            <w:tcBorders>
              <w:top w:val="nil"/>
              <w:left w:val="nil"/>
              <w:bottom w:val="nil"/>
              <w:right w:val="nil"/>
            </w:tcBorders>
            <w:shd w:val="clear" w:color="auto" w:fill="auto"/>
            <w:hideMark/>
          </w:tcPr>
          <w:p w14:paraId="47CFCA25"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Influenza-like illness</w:t>
            </w:r>
          </w:p>
        </w:tc>
        <w:tc>
          <w:tcPr>
            <w:tcW w:w="1690" w:type="dxa"/>
            <w:tcBorders>
              <w:top w:val="nil"/>
              <w:left w:val="nil"/>
              <w:bottom w:val="nil"/>
              <w:right w:val="nil"/>
            </w:tcBorders>
            <w:shd w:val="clear" w:color="auto" w:fill="auto"/>
            <w:hideMark/>
          </w:tcPr>
          <w:p w14:paraId="098AD5AC"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c>
          <w:tcPr>
            <w:tcW w:w="2136" w:type="dxa"/>
            <w:gridSpan w:val="3"/>
            <w:tcBorders>
              <w:top w:val="nil"/>
              <w:left w:val="nil"/>
              <w:bottom w:val="nil"/>
              <w:right w:val="nil"/>
            </w:tcBorders>
            <w:shd w:val="clear" w:color="auto" w:fill="auto"/>
            <w:hideMark/>
          </w:tcPr>
          <w:p w14:paraId="2E33CE00"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r>
      <w:tr w:rsidR="000B4520" w:rsidRPr="00682B74" w14:paraId="14431BF0" w14:textId="77777777" w:rsidTr="001550EB">
        <w:trPr>
          <w:trHeight w:hRule="exact" w:val="284"/>
        </w:trPr>
        <w:tc>
          <w:tcPr>
            <w:tcW w:w="5245" w:type="dxa"/>
            <w:tcBorders>
              <w:top w:val="nil"/>
              <w:left w:val="nil"/>
              <w:bottom w:val="single" w:sz="4" w:space="0" w:color="auto"/>
              <w:right w:val="nil"/>
            </w:tcBorders>
            <w:shd w:val="clear" w:color="auto" w:fill="auto"/>
            <w:hideMark/>
          </w:tcPr>
          <w:p w14:paraId="0B2786F1" w14:textId="77777777" w:rsidR="000B4520" w:rsidRPr="00162040" w:rsidRDefault="000B4520" w:rsidP="0088047D">
            <w:pPr>
              <w:pStyle w:val="tabletextNS"/>
              <w:rPr>
                <w:rFonts w:ascii="Arial" w:hAnsi="Arial" w:cs="Arial"/>
                <w:sz w:val="20"/>
                <w:szCs w:val="20"/>
              </w:rPr>
            </w:pPr>
            <w:r w:rsidRPr="00162040">
              <w:rPr>
                <w:rFonts w:ascii="Arial" w:hAnsi="Arial" w:cs="Arial"/>
                <w:sz w:val="20"/>
                <w:szCs w:val="20"/>
              </w:rPr>
              <w:t>Face oedema</w:t>
            </w:r>
          </w:p>
        </w:tc>
        <w:tc>
          <w:tcPr>
            <w:tcW w:w="1690" w:type="dxa"/>
            <w:tcBorders>
              <w:top w:val="nil"/>
              <w:left w:val="nil"/>
              <w:bottom w:val="single" w:sz="4" w:space="0" w:color="auto"/>
              <w:right w:val="nil"/>
            </w:tcBorders>
            <w:shd w:val="clear" w:color="auto" w:fill="auto"/>
            <w:hideMark/>
          </w:tcPr>
          <w:p w14:paraId="06707F54"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c>
          <w:tcPr>
            <w:tcW w:w="2136" w:type="dxa"/>
            <w:gridSpan w:val="3"/>
            <w:tcBorders>
              <w:top w:val="nil"/>
              <w:left w:val="nil"/>
              <w:bottom w:val="single" w:sz="4" w:space="0" w:color="auto"/>
              <w:right w:val="nil"/>
            </w:tcBorders>
            <w:shd w:val="clear" w:color="auto" w:fill="auto"/>
            <w:hideMark/>
          </w:tcPr>
          <w:p w14:paraId="24D180B3" w14:textId="77777777" w:rsidR="000B4520" w:rsidRPr="00162040" w:rsidRDefault="000B4520" w:rsidP="0088047D">
            <w:pPr>
              <w:pStyle w:val="tabletextNS"/>
              <w:jc w:val="center"/>
              <w:rPr>
                <w:rFonts w:ascii="Arial" w:hAnsi="Arial" w:cs="Arial"/>
                <w:sz w:val="20"/>
                <w:szCs w:val="20"/>
              </w:rPr>
            </w:pPr>
            <w:r w:rsidRPr="00162040">
              <w:rPr>
                <w:rFonts w:ascii="Arial" w:hAnsi="Arial" w:cs="Arial"/>
                <w:sz w:val="20"/>
                <w:szCs w:val="20"/>
              </w:rPr>
              <w:t>Common</w:t>
            </w:r>
          </w:p>
        </w:tc>
      </w:tr>
    </w:tbl>
    <w:p w14:paraId="6D936F8C" w14:textId="77777777" w:rsidR="000B4520" w:rsidRDefault="000B4520" w:rsidP="000B4520">
      <w:pPr>
        <w:pStyle w:val="Heading3"/>
        <w:ind w:left="504"/>
        <w:rPr>
          <w:rFonts w:ascii="Arial" w:eastAsia="Calibri" w:hAnsi="Arial" w:cs="Arial"/>
          <w:b w:val="0"/>
          <w:sz w:val="16"/>
          <w:szCs w:val="16"/>
        </w:rPr>
      </w:pPr>
      <w:r w:rsidRPr="00BB158E">
        <w:rPr>
          <w:rFonts w:ascii="Arial" w:eastAsia="Calibri" w:hAnsi="Arial" w:cs="Arial"/>
          <w:b w:val="0"/>
          <w:sz w:val="16"/>
          <w:szCs w:val="16"/>
        </w:rPr>
        <w:t xml:space="preserve">NR= Not reported; </w:t>
      </w:r>
    </w:p>
    <w:p w14:paraId="4C2B31E3" w14:textId="77777777" w:rsidR="000B4520" w:rsidRDefault="000B4520" w:rsidP="000B4520">
      <w:pPr>
        <w:pStyle w:val="Heading3"/>
        <w:ind w:left="504"/>
      </w:pPr>
      <w:r w:rsidRPr="00BB158E">
        <w:rPr>
          <w:rFonts w:ascii="Arial" w:eastAsia="Calibri" w:hAnsi="Arial" w:cs="Arial"/>
          <w:b w:val="0"/>
          <w:sz w:val="16"/>
          <w:szCs w:val="16"/>
          <w:vertAlign w:val="superscript"/>
        </w:rPr>
        <w:t>1</w:t>
      </w:r>
      <w:r w:rsidRPr="00BB158E">
        <w:rPr>
          <w:rFonts w:ascii="Arial" w:eastAsia="Calibri" w:hAnsi="Arial" w:cs="Arial"/>
          <w:b w:val="0"/>
          <w:sz w:val="16"/>
          <w:szCs w:val="16"/>
        </w:rPr>
        <w:t>the majority of bleeding</w:t>
      </w:r>
      <w:r w:rsidRPr="00284C3C">
        <w:rPr>
          <w:rFonts w:ascii="Arial" w:eastAsia="Calibri" w:hAnsi="Arial"/>
          <w:b w:val="0"/>
          <w:sz w:val="16"/>
        </w:rPr>
        <w:t xml:space="preserve"> events were </w:t>
      </w:r>
      <w:r w:rsidRPr="00BB158E">
        <w:rPr>
          <w:rFonts w:ascii="Arial" w:eastAsia="Calibri" w:hAnsi="Arial" w:cs="Arial"/>
          <w:b w:val="0"/>
          <w:sz w:val="16"/>
          <w:szCs w:val="16"/>
        </w:rPr>
        <w:t xml:space="preserve">mild. Major events, defined as symptomatic bleeding in a critical area or organ, and fatal intracranial </w:t>
      </w:r>
      <w:proofErr w:type="spellStart"/>
      <w:r w:rsidRPr="00BB158E">
        <w:rPr>
          <w:rFonts w:ascii="Arial" w:eastAsia="Calibri" w:hAnsi="Arial" w:cs="Arial"/>
          <w:b w:val="0"/>
          <w:sz w:val="16"/>
          <w:szCs w:val="16"/>
        </w:rPr>
        <w:t>haemorrhages</w:t>
      </w:r>
      <w:proofErr w:type="spellEnd"/>
      <w:r w:rsidRPr="00BB158E">
        <w:rPr>
          <w:rFonts w:ascii="Arial" w:eastAsia="Calibri" w:hAnsi="Arial" w:cs="Arial"/>
          <w:b w:val="0"/>
          <w:sz w:val="16"/>
          <w:szCs w:val="16"/>
        </w:rPr>
        <w:t xml:space="preserve"> have been reported.</w:t>
      </w:r>
      <w:r w:rsidRPr="000D310B">
        <w:t xml:space="preserve"> </w:t>
      </w:r>
    </w:p>
    <w:p w14:paraId="3025BE30" w14:textId="77777777" w:rsidR="000B4520" w:rsidRPr="00284C3C" w:rsidRDefault="000B4520" w:rsidP="000B4520">
      <w:pPr>
        <w:pStyle w:val="Heading3"/>
        <w:ind w:left="504"/>
        <w:rPr>
          <w:rFonts w:ascii="Arial" w:eastAsia="Calibri" w:hAnsi="Arial"/>
          <w:b w:val="0"/>
          <w:sz w:val="16"/>
        </w:rPr>
      </w:pPr>
      <w:r w:rsidRPr="000D310B">
        <w:rPr>
          <w:rFonts w:ascii="Arial" w:eastAsia="Calibri" w:hAnsi="Arial" w:cs="Arial"/>
          <w:b w:val="0"/>
          <w:sz w:val="16"/>
          <w:szCs w:val="16"/>
          <w:vertAlign w:val="superscript"/>
        </w:rPr>
        <w:t>2</w:t>
      </w:r>
      <w:r>
        <w:rPr>
          <w:rFonts w:ascii="Arial" w:eastAsia="Calibri" w:hAnsi="Arial" w:cs="Arial"/>
          <w:b w:val="0"/>
          <w:sz w:val="16"/>
          <w:szCs w:val="16"/>
        </w:rPr>
        <w:t xml:space="preserve"> P</w:t>
      </w:r>
      <w:r w:rsidRPr="000D310B">
        <w:rPr>
          <w:rFonts w:ascii="Arial" w:eastAsia="Calibri" w:hAnsi="Arial" w:cs="Arial"/>
          <w:b w:val="0"/>
          <w:sz w:val="16"/>
          <w:szCs w:val="16"/>
        </w:rPr>
        <w:t>hotosensitivity cases were also observed in post-marketing experience. All cases reported in clinical trials were Grade 1 and no dose modification was required.</w:t>
      </w:r>
      <w:r w:rsidRPr="00BB158E">
        <w:rPr>
          <w:rFonts w:ascii="Arial" w:eastAsia="Calibri" w:hAnsi="Arial" w:cs="Arial"/>
          <w:b w:val="0"/>
          <w:sz w:val="16"/>
          <w:szCs w:val="16"/>
        </w:rPr>
        <w:t xml:space="preserve"> </w:t>
      </w:r>
    </w:p>
    <w:p w14:paraId="32FE006B" w14:textId="77777777" w:rsidR="000B4520" w:rsidRPr="001550EB" w:rsidRDefault="000B4520" w:rsidP="000B4520">
      <w:pPr>
        <w:spacing w:after="0"/>
        <w:ind w:left="504"/>
        <w:rPr>
          <w:sz w:val="20"/>
          <w:szCs w:val="20"/>
          <w:lang w:val="en-US"/>
        </w:rPr>
      </w:pPr>
    </w:p>
    <w:p w14:paraId="5562DF90" w14:textId="049ACB5A" w:rsidR="000B4520" w:rsidRDefault="000B4520" w:rsidP="000B4520">
      <w:pPr>
        <w:spacing w:after="0" w:line="240" w:lineRule="auto"/>
        <w:ind w:left="504"/>
      </w:pPr>
      <w:r w:rsidRPr="00FE5010">
        <w:rPr>
          <w:rFonts w:ascii="Arial" w:hAnsi="Arial" w:cs="Arial"/>
          <w:b/>
          <w:sz w:val="22"/>
          <w:szCs w:val="22"/>
        </w:rPr>
        <w:t xml:space="preserve">Table </w:t>
      </w:r>
      <w:r w:rsidR="00C73E06">
        <w:rPr>
          <w:rFonts w:ascii="Arial" w:hAnsi="Arial" w:cs="Arial"/>
          <w:b/>
          <w:sz w:val="22"/>
          <w:szCs w:val="22"/>
        </w:rPr>
        <w:t>9</w:t>
      </w:r>
      <w:r w:rsidRPr="00FE5010">
        <w:rPr>
          <w:rFonts w:ascii="Arial" w:hAnsi="Arial" w:cs="Arial"/>
          <w:b/>
          <w:sz w:val="22"/>
          <w:szCs w:val="22"/>
        </w:rPr>
        <w:tab/>
        <w:t xml:space="preserve">Adverse reactions specific for TAFINLAR in combination with </w:t>
      </w:r>
      <w:r>
        <w:rPr>
          <w:rFonts w:ascii="Arial" w:hAnsi="Arial" w:cs="Arial"/>
          <w:b/>
          <w:sz w:val="22"/>
          <w:szCs w:val="22"/>
        </w:rPr>
        <w:t>MEKINIST</w:t>
      </w:r>
      <w:r w:rsidRPr="00283A2E">
        <w:t xml:space="preserve"> </w:t>
      </w:r>
    </w:p>
    <w:p w14:paraId="4D277738" w14:textId="77777777" w:rsidR="000B4520" w:rsidRDefault="000B4520" w:rsidP="000B4520">
      <w:pPr>
        <w:spacing w:after="0" w:line="240" w:lineRule="auto"/>
        <w:ind w:left="504"/>
        <w:rPr>
          <w:rFonts w:ascii="Arial" w:hAnsi="Arial" w:cs="Arial"/>
          <w:b/>
          <w:sz w:val="22"/>
          <w:szCs w:val="22"/>
        </w:rPr>
      </w:pPr>
      <w:r>
        <w:tab/>
      </w:r>
      <w:r>
        <w:tab/>
      </w:r>
      <w:proofErr w:type="gramStart"/>
      <w:r w:rsidRPr="00283A2E">
        <w:rPr>
          <w:rFonts w:ascii="Arial" w:hAnsi="Arial" w:cs="Arial"/>
          <w:b/>
          <w:sz w:val="22"/>
          <w:szCs w:val="22"/>
        </w:rPr>
        <w:t>in</w:t>
      </w:r>
      <w:proofErr w:type="gramEnd"/>
      <w:r w:rsidRPr="00283A2E">
        <w:rPr>
          <w:rFonts w:ascii="Arial" w:hAnsi="Arial" w:cs="Arial"/>
          <w:b/>
          <w:sz w:val="22"/>
          <w:szCs w:val="22"/>
        </w:rPr>
        <w:t xml:space="preserve"> Part C of </w:t>
      </w:r>
      <w:r>
        <w:rPr>
          <w:rFonts w:ascii="Arial" w:hAnsi="Arial" w:cs="Arial"/>
          <w:b/>
          <w:sz w:val="22"/>
          <w:szCs w:val="22"/>
        </w:rPr>
        <w:t xml:space="preserve">Phase II </w:t>
      </w:r>
      <w:r w:rsidRPr="00283A2E">
        <w:rPr>
          <w:rFonts w:ascii="Arial" w:hAnsi="Arial" w:cs="Arial"/>
          <w:b/>
          <w:sz w:val="22"/>
          <w:szCs w:val="22"/>
        </w:rPr>
        <w:t>study BRF113220</w:t>
      </w:r>
      <w:r>
        <w:rPr>
          <w:rFonts w:ascii="Arial" w:hAnsi="Arial" w:cs="Arial"/>
          <w:b/>
          <w:sz w:val="22"/>
          <w:szCs w:val="22"/>
        </w:rPr>
        <w:t xml:space="preserve"> (n=55) </w:t>
      </w:r>
      <w:r w:rsidRPr="00283A2E">
        <w:rPr>
          <w:rFonts w:ascii="Arial" w:hAnsi="Arial" w:cs="Arial"/>
          <w:b/>
          <w:sz w:val="22"/>
          <w:szCs w:val="22"/>
        </w:rPr>
        <w:t>(data cut-off 31 May 2012)</w:t>
      </w:r>
    </w:p>
    <w:p w14:paraId="7E158C5C" w14:textId="77777777" w:rsidR="000B4520" w:rsidRPr="00FA01AF" w:rsidRDefault="000B4520" w:rsidP="000B4520">
      <w:pPr>
        <w:spacing w:after="0" w:line="240" w:lineRule="auto"/>
        <w:ind w:left="504"/>
        <w:rPr>
          <w:rFonts w:ascii="Arial" w:hAnsi="Arial" w:cs="Arial"/>
          <w:b/>
          <w:sz w:val="16"/>
          <w:szCs w:val="16"/>
        </w:rPr>
      </w:pPr>
    </w:p>
    <w:tbl>
      <w:tblPr>
        <w:tblW w:w="0" w:type="auto"/>
        <w:tblInd w:w="612" w:type="dxa"/>
        <w:tblCellMar>
          <w:left w:w="0" w:type="dxa"/>
          <w:right w:w="0" w:type="dxa"/>
        </w:tblCellMar>
        <w:tblLook w:val="04A0" w:firstRow="1" w:lastRow="0" w:firstColumn="1" w:lastColumn="0" w:noHBand="0" w:noVBand="1"/>
      </w:tblPr>
      <w:tblGrid>
        <w:gridCol w:w="1800"/>
        <w:gridCol w:w="6839"/>
      </w:tblGrid>
      <w:tr w:rsidR="000B4520" w:rsidRPr="009C6D5C" w14:paraId="4AA349EF" w14:textId="77777777" w:rsidTr="001550EB">
        <w:trPr>
          <w:cantSplit/>
          <w:trHeight w:hRule="exact" w:val="284"/>
        </w:trPr>
        <w:tc>
          <w:tcPr>
            <w:tcW w:w="8639" w:type="dxa"/>
            <w:gridSpan w:val="2"/>
            <w:tcBorders>
              <w:top w:val="single" w:sz="4" w:space="0" w:color="auto"/>
            </w:tcBorders>
            <w:tcMar>
              <w:top w:w="0" w:type="dxa"/>
              <w:left w:w="108" w:type="dxa"/>
              <w:bottom w:w="0" w:type="dxa"/>
              <w:right w:w="108" w:type="dxa"/>
            </w:tcMar>
            <w:hideMark/>
          </w:tcPr>
          <w:p w14:paraId="1BB6B0A4" w14:textId="77777777" w:rsidR="000B4520" w:rsidRPr="009C6D5C" w:rsidRDefault="000B4520" w:rsidP="0088047D">
            <w:pPr>
              <w:rPr>
                <w:rFonts w:ascii="Arial" w:hAnsi="Arial" w:cs="Arial"/>
                <w:b/>
                <w:sz w:val="20"/>
                <w:szCs w:val="20"/>
                <w:lang w:val="en-GB"/>
              </w:rPr>
            </w:pPr>
            <w:r w:rsidRPr="009C6D5C">
              <w:rPr>
                <w:rFonts w:ascii="Arial" w:hAnsi="Arial" w:cs="Arial"/>
                <w:b/>
                <w:sz w:val="20"/>
                <w:szCs w:val="20"/>
                <w:lang w:val="en-GB"/>
              </w:rPr>
              <w:t>Infections and infestations</w:t>
            </w:r>
          </w:p>
        </w:tc>
      </w:tr>
      <w:tr w:rsidR="000B4520" w:rsidRPr="0018431B" w14:paraId="1609320C" w14:textId="77777777" w:rsidTr="001550EB">
        <w:trPr>
          <w:cantSplit/>
          <w:trHeight w:hRule="exact" w:val="284"/>
        </w:trPr>
        <w:tc>
          <w:tcPr>
            <w:tcW w:w="1800" w:type="dxa"/>
            <w:tcBorders>
              <w:top w:val="nil"/>
              <w:bottom w:val="single" w:sz="4" w:space="0" w:color="auto"/>
            </w:tcBorders>
            <w:tcMar>
              <w:top w:w="0" w:type="dxa"/>
              <w:left w:w="108" w:type="dxa"/>
              <w:bottom w:w="0" w:type="dxa"/>
              <w:right w:w="108" w:type="dxa"/>
            </w:tcMar>
            <w:hideMark/>
          </w:tcPr>
          <w:p w14:paraId="7558452A"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Very common</w:t>
            </w:r>
          </w:p>
        </w:tc>
        <w:tc>
          <w:tcPr>
            <w:tcW w:w="6839" w:type="dxa"/>
            <w:tcBorders>
              <w:top w:val="nil"/>
              <w:bottom w:val="single" w:sz="4" w:space="0" w:color="auto"/>
            </w:tcBorders>
          </w:tcPr>
          <w:p w14:paraId="56625950"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Urinary tract infection</w:t>
            </w:r>
          </w:p>
        </w:tc>
      </w:tr>
      <w:tr w:rsidR="000B4520" w:rsidRPr="009C6D5C" w14:paraId="7F587B47" w14:textId="77777777" w:rsidTr="001550EB">
        <w:trPr>
          <w:cantSplit/>
          <w:trHeight w:hRule="exact" w:val="284"/>
        </w:trPr>
        <w:tc>
          <w:tcPr>
            <w:tcW w:w="8639" w:type="dxa"/>
            <w:gridSpan w:val="2"/>
            <w:tcBorders>
              <w:top w:val="single" w:sz="4" w:space="0" w:color="auto"/>
            </w:tcBorders>
            <w:tcMar>
              <w:top w:w="0" w:type="dxa"/>
              <w:left w:w="108" w:type="dxa"/>
              <w:bottom w:w="0" w:type="dxa"/>
              <w:right w:w="108" w:type="dxa"/>
            </w:tcMar>
            <w:hideMark/>
          </w:tcPr>
          <w:p w14:paraId="79D1C3FB" w14:textId="77777777" w:rsidR="000B4520" w:rsidRPr="009C6D5C" w:rsidRDefault="000B4520" w:rsidP="0088047D">
            <w:pPr>
              <w:rPr>
                <w:rFonts w:ascii="Arial" w:hAnsi="Arial" w:cs="Arial"/>
                <w:b/>
                <w:sz w:val="20"/>
                <w:szCs w:val="20"/>
                <w:lang w:val="en-GB"/>
              </w:rPr>
            </w:pPr>
            <w:r w:rsidRPr="009C6D5C">
              <w:rPr>
                <w:rFonts w:ascii="Arial" w:hAnsi="Arial" w:cs="Arial"/>
                <w:b/>
                <w:sz w:val="20"/>
                <w:szCs w:val="20"/>
                <w:lang w:val="en-GB"/>
              </w:rPr>
              <w:t>Blood and lymphatic system disorders</w:t>
            </w:r>
          </w:p>
        </w:tc>
      </w:tr>
      <w:tr w:rsidR="000B4520" w:rsidRPr="0018431B" w14:paraId="1D23F5F4" w14:textId="77777777" w:rsidTr="001550EB">
        <w:trPr>
          <w:cantSplit/>
          <w:trHeight w:hRule="exact" w:val="284"/>
        </w:trPr>
        <w:tc>
          <w:tcPr>
            <w:tcW w:w="1800" w:type="dxa"/>
            <w:tcBorders>
              <w:top w:val="nil"/>
            </w:tcBorders>
            <w:tcMar>
              <w:top w:w="0" w:type="dxa"/>
              <w:left w:w="108" w:type="dxa"/>
              <w:bottom w:w="0" w:type="dxa"/>
              <w:right w:w="108" w:type="dxa"/>
            </w:tcMar>
          </w:tcPr>
          <w:p w14:paraId="007E3FD1"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Very common</w:t>
            </w:r>
          </w:p>
        </w:tc>
        <w:tc>
          <w:tcPr>
            <w:tcW w:w="6839" w:type="dxa"/>
            <w:tcBorders>
              <w:top w:val="nil"/>
            </w:tcBorders>
          </w:tcPr>
          <w:p w14:paraId="0662F37F"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Neutropenia</w:t>
            </w:r>
          </w:p>
        </w:tc>
      </w:tr>
      <w:tr w:rsidR="000B4520" w:rsidRPr="0018431B" w14:paraId="78458C05" w14:textId="77777777" w:rsidTr="001550EB">
        <w:trPr>
          <w:cantSplit/>
          <w:trHeight w:hRule="exact" w:val="284"/>
        </w:trPr>
        <w:tc>
          <w:tcPr>
            <w:tcW w:w="1800" w:type="dxa"/>
            <w:tcBorders>
              <w:top w:val="nil"/>
              <w:bottom w:val="single" w:sz="4" w:space="0" w:color="auto"/>
            </w:tcBorders>
            <w:tcMar>
              <w:top w:w="0" w:type="dxa"/>
              <w:left w:w="108" w:type="dxa"/>
              <w:bottom w:w="0" w:type="dxa"/>
              <w:right w:w="108" w:type="dxa"/>
            </w:tcMar>
          </w:tcPr>
          <w:p w14:paraId="079F5410"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Common</w:t>
            </w:r>
          </w:p>
        </w:tc>
        <w:tc>
          <w:tcPr>
            <w:tcW w:w="6839" w:type="dxa"/>
            <w:tcBorders>
              <w:top w:val="nil"/>
              <w:bottom w:val="single" w:sz="4" w:space="0" w:color="auto"/>
            </w:tcBorders>
          </w:tcPr>
          <w:p w14:paraId="0668A9C5"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Thrombocytopenia</w:t>
            </w:r>
          </w:p>
        </w:tc>
      </w:tr>
      <w:tr w:rsidR="000B4520" w:rsidRPr="009C6D5C" w14:paraId="323A47D8" w14:textId="77777777" w:rsidTr="001550EB">
        <w:trPr>
          <w:cantSplit/>
          <w:trHeight w:hRule="exact" w:val="284"/>
        </w:trPr>
        <w:tc>
          <w:tcPr>
            <w:tcW w:w="8639" w:type="dxa"/>
            <w:gridSpan w:val="2"/>
            <w:tcBorders>
              <w:top w:val="single" w:sz="4" w:space="0" w:color="auto"/>
            </w:tcBorders>
            <w:tcMar>
              <w:top w:w="0" w:type="dxa"/>
              <w:left w:w="108" w:type="dxa"/>
              <w:bottom w:w="0" w:type="dxa"/>
              <w:right w:w="108" w:type="dxa"/>
            </w:tcMar>
            <w:hideMark/>
          </w:tcPr>
          <w:p w14:paraId="1F198CC6" w14:textId="77777777" w:rsidR="000B4520" w:rsidRPr="009C6D5C" w:rsidRDefault="000B4520" w:rsidP="0088047D">
            <w:pPr>
              <w:rPr>
                <w:rFonts w:ascii="Arial" w:hAnsi="Arial" w:cs="Arial"/>
                <w:b/>
                <w:sz w:val="20"/>
                <w:szCs w:val="20"/>
                <w:lang w:val="en-GB"/>
              </w:rPr>
            </w:pPr>
            <w:r w:rsidRPr="009C6D5C">
              <w:rPr>
                <w:rFonts w:ascii="Arial" w:hAnsi="Arial" w:cs="Arial"/>
                <w:b/>
                <w:sz w:val="20"/>
                <w:szCs w:val="20"/>
                <w:lang w:val="en-GB"/>
              </w:rPr>
              <w:lastRenderedPageBreak/>
              <w:t>Metabolism and nutrition disorders</w:t>
            </w:r>
          </w:p>
        </w:tc>
      </w:tr>
      <w:tr w:rsidR="000B4520" w:rsidRPr="0018431B" w14:paraId="49EDA64B" w14:textId="77777777" w:rsidTr="001550EB">
        <w:trPr>
          <w:cantSplit/>
          <w:trHeight w:hRule="exact" w:val="284"/>
        </w:trPr>
        <w:tc>
          <w:tcPr>
            <w:tcW w:w="1800" w:type="dxa"/>
            <w:tcBorders>
              <w:top w:val="nil"/>
              <w:bottom w:val="single" w:sz="4" w:space="0" w:color="auto"/>
            </w:tcBorders>
            <w:tcMar>
              <w:top w:w="0" w:type="dxa"/>
              <w:left w:w="108" w:type="dxa"/>
              <w:bottom w:w="0" w:type="dxa"/>
              <w:right w:w="108" w:type="dxa"/>
            </w:tcMar>
            <w:hideMark/>
          </w:tcPr>
          <w:p w14:paraId="00E300FD"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Common</w:t>
            </w:r>
          </w:p>
        </w:tc>
        <w:tc>
          <w:tcPr>
            <w:tcW w:w="6839" w:type="dxa"/>
            <w:tcBorders>
              <w:top w:val="nil"/>
              <w:bottom w:val="single" w:sz="4" w:space="0" w:color="auto"/>
            </w:tcBorders>
          </w:tcPr>
          <w:p w14:paraId="1FA9A362"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Hyponatraemia</w:t>
            </w:r>
          </w:p>
        </w:tc>
      </w:tr>
      <w:tr w:rsidR="000B4520" w:rsidRPr="009C6D5C" w14:paraId="5D9DF2F1" w14:textId="77777777" w:rsidTr="001550EB">
        <w:trPr>
          <w:cantSplit/>
          <w:trHeight w:hRule="exact" w:val="284"/>
        </w:trPr>
        <w:tc>
          <w:tcPr>
            <w:tcW w:w="8639" w:type="dxa"/>
            <w:gridSpan w:val="2"/>
            <w:tcBorders>
              <w:top w:val="single" w:sz="4" w:space="0" w:color="auto"/>
            </w:tcBorders>
            <w:tcMar>
              <w:top w:w="0" w:type="dxa"/>
              <w:left w:w="108" w:type="dxa"/>
              <w:bottom w:w="0" w:type="dxa"/>
              <w:right w:w="108" w:type="dxa"/>
            </w:tcMar>
            <w:hideMark/>
          </w:tcPr>
          <w:p w14:paraId="3D11595C" w14:textId="77777777" w:rsidR="000B4520" w:rsidRPr="009C6D5C" w:rsidRDefault="000B4520" w:rsidP="0088047D">
            <w:pPr>
              <w:rPr>
                <w:rFonts w:ascii="Arial" w:hAnsi="Arial" w:cs="Arial"/>
                <w:b/>
                <w:sz w:val="20"/>
                <w:szCs w:val="20"/>
                <w:lang w:val="en-GB"/>
              </w:rPr>
            </w:pPr>
            <w:r w:rsidRPr="009C6D5C">
              <w:rPr>
                <w:rFonts w:ascii="Arial" w:hAnsi="Arial" w:cs="Arial"/>
                <w:b/>
                <w:sz w:val="20"/>
                <w:szCs w:val="20"/>
                <w:lang w:val="en-GB"/>
              </w:rPr>
              <w:t>Nervous system disorders</w:t>
            </w:r>
          </w:p>
        </w:tc>
      </w:tr>
      <w:tr w:rsidR="000B4520" w:rsidRPr="0018431B" w14:paraId="6D462E83" w14:textId="77777777" w:rsidTr="001550EB">
        <w:trPr>
          <w:cantSplit/>
          <w:trHeight w:hRule="exact" w:val="284"/>
        </w:trPr>
        <w:tc>
          <w:tcPr>
            <w:tcW w:w="1800" w:type="dxa"/>
            <w:tcBorders>
              <w:top w:val="nil"/>
              <w:bottom w:val="single" w:sz="4" w:space="0" w:color="auto"/>
            </w:tcBorders>
            <w:tcMar>
              <w:top w:w="0" w:type="dxa"/>
              <w:left w:w="108" w:type="dxa"/>
              <w:bottom w:w="0" w:type="dxa"/>
              <w:right w:w="108" w:type="dxa"/>
            </w:tcMar>
            <w:hideMark/>
          </w:tcPr>
          <w:p w14:paraId="0F7DDD32"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Very common</w:t>
            </w:r>
          </w:p>
        </w:tc>
        <w:tc>
          <w:tcPr>
            <w:tcW w:w="6839" w:type="dxa"/>
            <w:tcBorders>
              <w:top w:val="nil"/>
              <w:bottom w:val="single" w:sz="4" w:space="0" w:color="auto"/>
            </w:tcBorders>
          </w:tcPr>
          <w:p w14:paraId="6A9B923D"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Dizziness</w:t>
            </w:r>
          </w:p>
        </w:tc>
      </w:tr>
      <w:tr w:rsidR="000B4520" w:rsidRPr="009C6D5C" w14:paraId="371970AD" w14:textId="77777777" w:rsidTr="001550EB">
        <w:trPr>
          <w:cantSplit/>
          <w:trHeight w:hRule="exact" w:val="284"/>
        </w:trPr>
        <w:tc>
          <w:tcPr>
            <w:tcW w:w="8639" w:type="dxa"/>
            <w:gridSpan w:val="2"/>
            <w:tcBorders>
              <w:top w:val="single" w:sz="4" w:space="0" w:color="auto"/>
            </w:tcBorders>
            <w:tcMar>
              <w:top w:w="0" w:type="dxa"/>
              <w:left w:w="108" w:type="dxa"/>
              <w:bottom w:w="0" w:type="dxa"/>
              <w:right w:w="108" w:type="dxa"/>
            </w:tcMar>
            <w:hideMark/>
          </w:tcPr>
          <w:p w14:paraId="38733733" w14:textId="77777777" w:rsidR="000B4520" w:rsidRPr="009C6D5C" w:rsidRDefault="000B4520" w:rsidP="0088047D">
            <w:pPr>
              <w:rPr>
                <w:rFonts w:ascii="Arial" w:hAnsi="Arial" w:cs="Arial"/>
                <w:b/>
                <w:sz w:val="20"/>
                <w:szCs w:val="20"/>
                <w:lang w:val="en-GB"/>
              </w:rPr>
            </w:pPr>
            <w:r w:rsidRPr="009C6D5C">
              <w:rPr>
                <w:rFonts w:ascii="Arial" w:hAnsi="Arial" w:cs="Arial"/>
                <w:b/>
                <w:sz w:val="20"/>
                <w:szCs w:val="20"/>
                <w:lang w:val="en-GB"/>
              </w:rPr>
              <w:t>Vascular disorders</w:t>
            </w:r>
          </w:p>
        </w:tc>
      </w:tr>
      <w:tr w:rsidR="000B4520" w:rsidRPr="0018431B" w14:paraId="4263B2EA" w14:textId="77777777" w:rsidTr="001550EB">
        <w:trPr>
          <w:cantSplit/>
          <w:trHeight w:hRule="exact" w:val="284"/>
        </w:trPr>
        <w:tc>
          <w:tcPr>
            <w:tcW w:w="1800" w:type="dxa"/>
            <w:tcBorders>
              <w:top w:val="nil"/>
            </w:tcBorders>
            <w:tcMar>
              <w:top w:w="0" w:type="dxa"/>
              <w:left w:w="108" w:type="dxa"/>
              <w:bottom w:w="0" w:type="dxa"/>
              <w:right w:w="108" w:type="dxa"/>
            </w:tcMar>
          </w:tcPr>
          <w:p w14:paraId="66046BD2" w14:textId="77777777" w:rsidR="000B4520" w:rsidRPr="001E13C3" w:rsidRDefault="000B4520" w:rsidP="0088047D">
            <w:pPr>
              <w:rPr>
                <w:rFonts w:ascii="Arial" w:hAnsi="Arial" w:cs="Arial"/>
                <w:sz w:val="20"/>
                <w:szCs w:val="20"/>
              </w:rPr>
            </w:pPr>
            <w:r w:rsidRPr="009C6D5C">
              <w:rPr>
                <w:rFonts w:ascii="Arial" w:hAnsi="Arial" w:cs="Arial"/>
                <w:sz w:val="20"/>
                <w:szCs w:val="20"/>
                <w:lang w:val="en-GB"/>
              </w:rPr>
              <w:t>Very Common</w:t>
            </w:r>
          </w:p>
        </w:tc>
        <w:tc>
          <w:tcPr>
            <w:tcW w:w="6839" w:type="dxa"/>
            <w:tcBorders>
              <w:top w:val="nil"/>
            </w:tcBorders>
            <w:tcMar>
              <w:top w:w="0" w:type="dxa"/>
              <w:left w:w="108" w:type="dxa"/>
              <w:bottom w:w="0" w:type="dxa"/>
              <w:right w:w="108" w:type="dxa"/>
            </w:tcMar>
          </w:tcPr>
          <w:p w14:paraId="52A9425C" w14:textId="77777777" w:rsidR="000B4520" w:rsidRPr="009C6D5C" w:rsidRDefault="000B4520" w:rsidP="0088047D">
            <w:pPr>
              <w:rPr>
                <w:rFonts w:ascii="Arial" w:hAnsi="Arial" w:cs="Arial"/>
                <w:sz w:val="20"/>
                <w:szCs w:val="20"/>
                <w:lang w:val="en-GB"/>
              </w:rPr>
            </w:pPr>
            <w:proofErr w:type="spellStart"/>
            <w:r w:rsidRPr="001E13C3">
              <w:rPr>
                <w:rFonts w:ascii="Arial" w:hAnsi="Arial" w:cs="Arial"/>
                <w:sz w:val="20"/>
                <w:szCs w:val="20"/>
              </w:rPr>
              <w:t>Haemorrhage</w:t>
            </w:r>
            <w:r w:rsidRPr="001E13C3">
              <w:rPr>
                <w:rFonts w:ascii="Arial" w:hAnsi="Arial" w:cs="Arial"/>
                <w:sz w:val="20"/>
                <w:szCs w:val="20"/>
                <w:vertAlign w:val="superscript"/>
              </w:rPr>
              <w:t>a</w:t>
            </w:r>
            <w:proofErr w:type="spellEnd"/>
          </w:p>
        </w:tc>
      </w:tr>
      <w:tr w:rsidR="000B4520" w:rsidRPr="0018431B" w14:paraId="705B3081" w14:textId="77777777" w:rsidTr="001550EB">
        <w:trPr>
          <w:cantSplit/>
          <w:trHeight w:hRule="exact" w:val="284"/>
        </w:trPr>
        <w:tc>
          <w:tcPr>
            <w:tcW w:w="1800" w:type="dxa"/>
            <w:tcBorders>
              <w:top w:val="nil"/>
              <w:bottom w:val="single" w:sz="4" w:space="0" w:color="auto"/>
            </w:tcBorders>
            <w:tcMar>
              <w:top w:w="0" w:type="dxa"/>
              <w:left w:w="108" w:type="dxa"/>
              <w:bottom w:w="0" w:type="dxa"/>
              <w:right w:w="108" w:type="dxa"/>
            </w:tcMar>
          </w:tcPr>
          <w:p w14:paraId="05D39FA4"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Common</w:t>
            </w:r>
          </w:p>
        </w:tc>
        <w:tc>
          <w:tcPr>
            <w:tcW w:w="6839" w:type="dxa"/>
            <w:tcBorders>
              <w:top w:val="nil"/>
              <w:bottom w:val="single" w:sz="4" w:space="0" w:color="auto"/>
            </w:tcBorders>
            <w:tcMar>
              <w:top w:w="0" w:type="dxa"/>
              <w:left w:w="108" w:type="dxa"/>
              <w:bottom w:w="0" w:type="dxa"/>
              <w:right w:w="108" w:type="dxa"/>
            </w:tcMar>
          </w:tcPr>
          <w:p w14:paraId="22A007E2"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Hypotension</w:t>
            </w:r>
          </w:p>
        </w:tc>
      </w:tr>
      <w:tr w:rsidR="000B4520" w:rsidRPr="009C6D5C" w14:paraId="1D0D47FF" w14:textId="77777777" w:rsidTr="001550EB">
        <w:trPr>
          <w:cantSplit/>
          <w:trHeight w:hRule="exact" w:val="284"/>
        </w:trPr>
        <w:tc>
          <w:tcPr>
            <w:tcW w:w="8639" w:type="dxa"/>
            <w:gridSpan w:val="2"/>
            <w:tcBorders>
              <w:top w:val="single" w:sz="4" w:space="0" w:color="auto"/>
            </w:tcBorders>
            <w:tcMar>
              <w:top w:w="0" w:type="dxa"/>
              <w:left w:w="108" w:type="dxa"/>
              <w:bottom w:w="0" w:type="dxa"/>
              <w:right w:w="108" w:type="dxa"/>
            </w:tcMar>
            <w:hideMark/>
          </w:tcPr>
          <w:p w14:paraId="7560C909" w14:textId="77777777" w:rsidR="000B4520" w:rsidRPr="009C6D5C" w:rsidRDefault="000B4520" w:rsidP="0088047D">
            <w:pPr>
              <w:rPr>
                <w:rFonts w:ascii="Arial" w:hAnsi="Arial" w:cs="Arial"/>
                <w:b/>
                <w:sz w:val="20"/>
                <w:szCs w:val="20"/>
                <w:lang w:val="en-GB"/>
              </w:rPr>
            </w:pPr>
            <w:r w:rsidRPr="009C6D5C">
              <w:rPr>
                <w:rFonts w:ascii="Arial" w:hAnsi="Arial" w:cs="Arial"/>
                <w:b/>
                <w:sz w:val="20"/>
                <w:szCs w:val="20"/>
                <w:lang w:val="en-GB"/>
              </w:rPr>
              <w:t>Hepatobiliary disorders</w:t>
            </w:r>
          </w:p>
        </w:tc>
      </w:tr>
      <w:tr w:rsidR="000B4520" w:rsidRPr="0018431B" w14:paraId="73D20905" w14:textId="77777777" w:rsidTr="001550EB">
        <w:trPr>
          <w:cantSplit/>
          <w:trHeight w:hRule="exact" w:val="284"/>
        </w:trPr>
        <w:tc>
          <w:tcPr>
            <w:tcW w:w="1800" w:type="dxa"/>
            <w:tcBorders>
              <w:top w:val="nil"/>
              <w:bottom w:val="single" w:sz="4" w:space="0" w:color="auto"/>
            </w:tcBorders>
            <w:tcMar>
              <w:top w:w="0" w:type="dxa"/>
              <w:left w:w="108" w:type="dxa"/>
              <w:bottom w:w="0" w:type="dxa"/>
              <w:right w:w="108" w:type="dxa"/>
            </w:tcMar>
            <w:hideMark/>
          </w:tcPr>
          <w:p w14:paraId="218FC081"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Common</w:t>
            </w:r>
          </w:p>
        </w:tc>
        <w:tc>
          <w:tcPr>
            <w:tcW w:w="6839" w:type="dxa"/>
            <w:tcBorders>
              <w:top w:val="nil"/>
              <w:bottom w:val="single" w:sz="4" w:space="0" w:color="auto"/>
            </w:tcBorders>
          </w:tcPr>
          <w:p w14:paraId="22D8D78D"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Gamma-glutamyl</w:t>
            </w:r>
            <w:r>
              <w:rPr>
                <w:rFonts w:ascii="Arial" w:hAnsi="Arial" w:cs="Arial"/>
                <w:sz w:val="20"/>
                <w:szCs w:val="20"/>
                <w:lang w:val="en-GB"/>
              </w:rPr>
              <w:t xml:space="preserve"> </w:t>
            </w:r>
            <w:r w:rsidRPr="009C6D5C">
              <w:rPr>
                <w:rFonts w:ascii="Arial" w:hAnsi="Arial" w:cs="Arial"/>
                <w:sz w:val="20"/>
                <w:szCs w:val="20"/>
                <w:lang w:val="en-GB"/>
              </w:rPr>
              <w:t>transferase increased</w:t>
            </w:r>
          </w:p>
        </w:tc>
      </w:tr>
      <w:tr w:rsidR="000B4520" w:rsidRPr="009C6D5C" w14:paraId="3225B676" w14:textId="77777777" w:rsidTr="001550EB">
        <w:trPr>
          <w:cantSplit/>
          <w:trHeight w:hRule="exact" w:val="284"/>
        </w:trPr>
        <w:tc>
          <w:tcPr>
            <w:tcW w:w="8639" w:type="dxa"/>
            <w:gridSpan w:val="2"/>
            <w:tcBorders>
              <w:top w:val="single" w:sz="4" w:space="0" w:color="auto"/>
            </w:tcBorders>
            <w:tcMar>
              <w:top w:w="0" w:type="dxa"/>
              <w:left w:w="108" w:type="dxa"/>
              <w:bottom w:w="0" w:type="dxa"/>
              <w:right w:w="108" w:type="dxa"/>
            </w:tcMar>
            <w:hideMark/>
          </w:tcPr>
          <w:p w14:paraId="5BB10BFC" w14:textId="77777777" w:rsidR="000B4520" w:rsidRPr="009C6D5C" w:rsidRDefault="000B4520" w:rsidP="0088047D">
            <w:pPr>
              <w:rPr>
                <w:rFonts w:ascii="Arial" w:hAnsi="Arial" w:cs="Arial"/>
                <w:b/>
                <w:sz w:val="20"/>
                <w:szCs w:val="20"/>
                <w:lang w:val="en-GB"/>
              </w:rPr>
            </w:pPr>
            <w:r w:rsidRPr="009C6D5C">
              <w:rPr>
                <w:rFonts w:ascii="Arial" w:hAnsi="Arial" w:cs="Arial"/>
                <w:b/>
                <w:sz w:val="20"/>
                <w:szCs w:val="20"/>
                <w:lang w:val="en-GB"/>
              </w:rPr>
              <w:t>Skin and subcutaneous tissue disorders</w:t>
            </w:r>
          </w:p>
        </w:tc>
      </w:tr>
      <w:tr w:rsidR="000B4520" w:rsidRPr="0018431B" w14:paraId="386CA82C" w14:textId="77777777" w:rsidTr="001550EB">
        <w:trPr>
          <w:cantSplit/>
          <w:trHeight w:hRule="exact" w:val="284"/>
        </w:trPr>
        <w:tc>
          <w:tcPr>
            <w:tcW w:w="1800" w:type="dxa"/>
            <w:tcBorders>
              <w:top w:val="nil"/>
            </w:tcBorders>
            <w:tcMar>
              <w:top w:w="0" w:type="dxa"/>
              <w:left w:w="108" w:type="dxa"/>
              <w:bottom w:w="0" w:type="dxa"/>
              <w:right w:w="108" w:type="dxa"/>
            </w:tcMar>
          </w:tcPr>
          <w:p w14:paraId="6BD5A6A1"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Very common</w:t>
            </w:r>
          </w:p>
        </w:tc>
        <w:tc>
          <w:tcPr>
            <w:tcW w:w="6839" w:type="dxa"/>
            <w:tcBorders>
              <w:top w:val="nil"/>
            </w:tcBorders>
            <w:tcMar>
              <w:top w:w="0" w:type="dxa"/>
              <w:left w:w="108" w:type="dxa"/>
              <w:bottom w:w="0" w:type="dxa"/>
              <w:right w:w="108" w:type="dxa"/>
            </w:tcMar>
          </w:tcPr>
          <w:p w14:paraId="7E665F8D"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Night sweats</w:t>
            </w:r>
          </w:p>
        </w:tc>
      </w:tr>
      <w:tr w:rsidR="000B4520" w:rsidRPr="0018431B" w14:paraId="05C6ADC3" w14:textId="77777777" w:rsidTr="001550EB">
        <w:trPr>
          <w:cantSplit/>
          <w:trHeight w:hRule="exact" w:val="284"/>
        </w:trPr>
        <w:tc>
          <w:tcPr>
            <w:tcW w:w="1800" w:type="dxa"/>
            <w:tcBorders>
              <w:top w:val="nil"/>
              <w:bottom w:val="single" w:sz="4" w:space="0" w:color="auto"/>
            </w:tcBorders>
            <w:tcMar>
              <w:top w:w="0" w:type="dxa"/>
              <w:left w:w="108" w:type="dxa"/>
              <w:bottom w:w="0" w:type="dxa"/>
              <w:right w:w="108" w:type="dxa"/>
            </w:tcMar>
          </w:tcPr>
          <w:p w14:paraId="3B7C74E1"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Common</w:t>
            </w:r>
          </w:p>
        </w:tc>
        <w:tc>
          <w:tcPr>
            <w:tcW w:w="6839" w:type="dxa"/>
            <w:tcBorders>
              <w:top w:val="nil"/>
              <w:bottom w:val="single" w:sz="4" w:space="0" w:color="auto"/>
            </w:tcBorders>
            <w:tcMar>
              <w:top w:w="0" w:type="dxa"/>
              <w:left w:w="108" w:type="dxa"/>
              <w:bottom w:w="0" w:type="dxa"/>
              <w:right w:w="108" w:type="dxa"/>
            </w:tcMar>
          </w:tcPr>
          <w:p w14:paraId="309CADDC"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Hyperhidrosis</w:t>
            </w:r>
          </w:p>
        </w:tc>
      </w:tr>
      <w:tr w:rsidR="000B4520" w:rsidRPr="009C6D5C" w14:paraId="7C60229A" w14:textId="77777777" w:rsidTr="001550EB">
        <w:trPr>
          <w:cantSplit/>
          <w:trHeight w:hRule="exact" w:val="284"/>
        </w:trPr>
        <w:tc>
          <w:tcPr>
            <w:tcW w:w="8639" w:type="dxa"/>
            <w:gridSpan w:val="2"/>
            <w:tcBorders>
              <w:top w:val="single" w:sz="4" w:space="0" w:color="auto"/>
            </w:tcBorders>
            <w:tcMar>
              <w:top w:w="0" w:type="dxa"/>
              <w:left w:w="108" w:type="dxa"/>
              <w:bottom w:w="0" w:type="dxa"/>
              <w:right w:w="108" w:type="dxa"/>
            </w:tcMar>
            <w:hideMark/>
          </w:tcPr>
          <w:p w14:paraId="3204C757" w14:textId="77777777" w:rsidR="000B4520" w:rsidRPr="009C6D5C" w:rsidRDefault="000B4520" w:rsidP="0088047D">
            <w:pPr>
              <w:rPr>
                <w:rFonts w:ascii="Arial" w:hAnsi="Arial" w:cs="Arial"/>
                <w:b/>
                <w:sz w:val="20"/>
                <w:szCs w:val="20"/>
                <w:lang w:val="en-GB"/>
              </w:rPr>
            </w:pPr>
            <w:r w:rsidRPr="009C6D5C">
              <w:rPr>
                <w:rFonts w:ascii="Arial" w:hAnsi="Arial" w:cs="Arial"/>
                <w:b/>
                <w:sz w:val="20"/>
                <w:szCs w:val="20"/>
                <w:lang w:val="en-GB"/>
              </w:rPr>
              <w:t>Musculoskeletal and connective tissue disorders</w:t>
            </w:r>
          </w:p>
        </w:tc>
      </w:tr>
      <w:tr w:rsidR="000B4520" w:rsidRPr="0018431B" w14:paraId="7F33B3C9" w14:textId="77777777" w:rsidTr="001550EB">
        <w:trPr>
          <w:cantSplit/>
          <w:trHeight w:hRule="exact" w:val="284"/>
        </w:trPr>
        <w:tc>
          <w:tcPr>
            <w:tcW w:w="1800" w:type="dxa"/>
            <w:tcBorders>
              <w:top w:val="nil"/>
            </w:tcBorders>
            <w:tcMar>
              <w:top w:w="0" w:type="dxa"/>
              <w:left w:w="108" w:type="dxa"/>
              <w:bottom w:w="0" w:type="dxa"/>
              <w:right w:w="108" w:type="dxa"/>
            </w:tcMar>
            <w:hideMark/>
          </w:tcPr>
          <w:p w14:paraId="0F1C7186"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Very Common</w:t>
            </w:r>
          </w:p>
        </w:tc>
        <w:tc>
          <w:tcPr>
            <w:tcW w:w="6839" w:type="dxa"/>
            <w:tcBorders>
              <w:top w:val="nil"/>
            </w:tcBorders>
          </w:tcPr>
          <w:p w14:paraId="513BD3A8"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Muscle spasms</w:t>
            </w:r>
          </w:p>
        </w:tc>
      </w:tr>
      <w:tr w:rsidR="000B4520" w:rsidRPr="0018431B" w14:paraId="796278EB" w14:textId="77777777" w:rsidTr="001550EB">
        <w:trPr>
          <w:cantSplit/>
          <w:trHeight w:hRule="exact" w:val="284"/>
        </w:trPr>
        <w:tc>
          <w:tcPr>
            <w:tcW w:w="1800" w:type="dxa"/>
            <w:tcBorders>
              <w:bottom w:val="single" w:sz="4" w:space="0" w:color="auto"/>
            </w:tcBorders>
            <w:tcMar>
              <w:top w:w="0" w:type="dxa"/>
              <w:left w:w="108" w:type="dxa"/>
              <w:bottom w:w="0" w:type="dxa"/>
              <w:right w:w="108" w:type="dxa"/>
            </w:tcMar>
          </w:tcPr>
          <w:p w14:paraId="7D852B77" w14:textId="77777777" w:rsidR="000B4520" w:rsidRPr="009C6D5C" w:rsidRDefault="000B4520" w:rsidP="0088047D">
            <w:pPr>
              <w:rPr>
                <w:rFonts w:ascii="Arial" w:hAnsi="Arial" w:cs="Arial"/>
                <w:sz w:val="20"/>
                <w:szCs w:val="20"/>
                <w:lang w:val="en-GB"/>
              </w:rPr>
            </w:pPr>
            <w:r w:rsidRPr="009C6D5C">
              <w:rPr>
                <w:rFonts w:ascii="Arial" w:hAnsi="Arial" w:cs="Arial"/>
                <w:sz w:val="20"/>
                <w:szCs w:val="20"/>
                <w:lang w:val="en-GB"/>
              </w:rPr>
              <w:t>Common</w:t>
            </w:r>
          </w:p>
        </w:tc>
        <w:tc>
          <w:tcPr>
            <w:tcW w:w="6839" w:type="dxa"/>
            <w:tcBorders>
              <w:bottom w:val="single" w:sz="4" w:space="0" w:color="auto"/>
            </w:tcBorders>
          </w:tcPr>
          <w:p w14:paraId="78E16166" w14:textId="77777777" w:rsidR="000B4520" w:rsidRPr="009C6D5C" w:rsidRDefault="000B4520" w:rsidP="0088047D">
            <w:pPr>
              <w:rPr>
                <w:rFonts w:ascii="Arial" w:hAnsi="Arial" w:cs="Arial"/>
                <w:bCs/>
                <w:sz w:val="20"/>
                <w:szCs w:val="20"/>
                <w:lang w:val="en-GB"/>
              </w:rPr>
            </w:pPr>
            <w:r w:rsidRPr="009C6D5C">
              <w:rPr>
                <w:rFonts w:ascii="Arial" w:hAnsi="Arial" w:cs="Arial"/>
                <w:sz w:val="20"/>
                <w:szCs w:val="20"/>
                <w:lang w:val="en-GB"/>
              </w:rPr>
              <w:t>Rhabdomyolysis</w:t>
            </w:r>
          </w:p>
        </w:tc>
      </w:tr>
    </w:tbl>
    <w:p w14:paraId="46904326" w14:textId="34FFBDF9" w:rsidR="00985856" w:rsidRDefault="00985856" w:rsidP="00985856">
      <w:pPr>
        <w:spacing w:after="0" w:line="240" w:lineRule="auto"/>
        <w:ind w:left="360"/>
        <w:rPr>
          <w:rFonts w:ascii="Arial" w:hAnsi="Arial" w:cs="Arial"/>
          <w:sz w:val="18"/>
          <w:szCs w:val="18"/>
        </w:rPr>
      </w:pPr>
      <w:proofErr w:type="gramStart"/>
      <w:r w:rsidRPr="009C6D5C">
        <w:rPr>
          <w:rFonts w:ascii="Arial" w:hAnsi="Arial" w:cs="Arial"/>
          <w:bCs/>
          <w:sz w:val="18"/>
          <w:szCs w:val="18"/>
          <w:vertAlign w:val="superscript"/>
          <w:lang w:val="en-GB"/>
        </w:rPr>
        <w:t>a</w:t>
      </w:r>
      <w:r w:rsidRPr="009C6D5C">
        <w:rPr>
          <w:rFonts w:ascii="Arial" w:hAnsi="Arial" w:cs="Arial"/>
          <w:sz w:val="18"/>
          <w:szCs w:val="18"/>
        </w:rPr>
        <w:t>Events</w:t>
      </w:r>
      <w:proofErr w:type="gramEnd"/>
      <w:r w:rsidRPr="009C6D5C">
        <w:rPr>
          <w:rFonts w:ascii="Arial" w:hAnsi="Arial" w:cs="Arial"/>
          <w:sz w:val="18"/>
          <w:szCs w:val="18"/>
        </w:rPr>
        <w:t xml:space="preserve"> include: brain stem haemorrhage, cerebral haemorrhage, gastric haemorrhage, epistaxis, gingival haemorrhage, haematuria, vaginal haemorrhage, haemorrhage intracranial, eye haemorrhage, and vitreous haemorrhage</w:t>
      </w:r>
    </w:p>
    <w:p w14:paraId="5227C4D6" w14:textId="59B37673" w:rsidR="00B25C5B" w:rsidRDefault="00B25C5B" w:rsidP="00985856">
      <w:pPr>
        <w:spacing w:after="0" w:line="240" w:lineRule="auto"/>
        <w:ind w:left="360"/>
        <w:rPr>
          <w:rFonts w:ascii="Arial" w:hAnsi="Arial" w:cs="Arial"/>
          <w:sz w:val="18"/>
          <w:szCs w:val="18"/>
        </w:rPr>
      </w:pPr>
    </w:p>
    <w:p w14:paraId="1171FC62" w14:textId="21F402B6" w:rsidR="00B25C5B" w:rsidRPr="00676700" w:rsidRDefault="00B25C5B" w:rsidP="00B25C5B">
      <w:pPr>
        <w:pStyle w:val="Text"/>
        <w:ind w:left="360"/>
        <w:rPr>
          <w:i/>
          <w:lang w:eastAsia="en-GB"/>
        </w:rPr>
      </w:pPr>
      <w:r w:rsidRPr="00676700">
        <w:rPr>
          <w:i/>
          <w:lang w:eastAsia="en-GB"/>
        </w:rPr>
        <w:t>Adjuvant treatment of melanoma</w:t>
      </w:r>
    </w:p>
    <w:p w14:paraId="5CEC07F4" w14:textId="77777777" w:rsidR="00B25C5B" w:rsidRPr="00676700" w:rsidRDefault="00B25C5B" w:rsidP="00B25C5B">
      <w:pPr>
        <w:pStyle w:val="Text"/>
        <w:ind w:left="360"/>
        <w:rPr>
          <w:u w:val="single"/>
          <w:lang w:eastAsia="en-GB"/>
        </w:rPr>
      </w:pPr>
      <w:r w:rsidRPr="00676700">
        <w:rPr>
          <w:u w:val="single"/>
          <w:lang w:eastAsia="en-GB"/>
        </w:rPr>
        <w:t>Tafinlar in combination with Mekinist</w:t>
      </w:r>
    </w:p>
    <w:p w14:paraId="65F9F900" w14:textId="37C2A5BB" w:rsidR="00B25C5B" w:rsidRPr="00B25C5B" w:rsidRDefault="00B25C5B" w:rsidP="00B25C5B">
      <w:pPr>
        <w:pStyle w:val="Text"/>
        <w:ind w:left="360"/>
        <w:rPr>
          <w:lang w:eastAsia="en-GB"/>
        </w:rPr>
      </w:pPr>
      <w:r w:rsidRPr="00B25C5B">
        <w:rPr>
          <w:lang w:eastAsia="en-GB"/>
        </w:rPr>
        <w:t xml:space="preserve">The safety of Tafinlar in combination with Mekinist was evaluated in a Phase III, randomized, double-blind study of Tafinlar in combination with Mekinist versus two placebos in the adjuvant treatment of Stage III BRAF V600 mutation-positive melanoma after surgical resection (see section </w:t>
      </w:r>
      <w:r w:rsidR="001C1405">
        <w:rPr>
          <w:lang w:eastAsia="en-GB"/>
        </w:rPr>
        <w:t>5.1</w:t>
      </w:r>
      <w:r w:rsidR="00830174" w:rsidRPr="00830174">
        <w:t xml:space="preserve"> </w:t>
      </w:r>
      <w:r w:rsidR="00830174" w:rsidRPr="00830174">
        <w:rPr>
          <w:lang w:eastAsia="en-GB"/>
        </w:rPr>
        <w:t>Pharmacodynamic properties</w:t>
      </w:r>
      <w:r w:rsidRPr="00B25C5B">
        <w:rPr>
          <w:lang w:eastAsia="en-GB"/>
        </w:rPr>
        <w:t>).</w:t>
      </w:r>
    </w:p>
    <w:p w14:paraId="41D25B47" w14:textId="1F3BEE43" w:rsidR="00B25C5B" w:rsidRPr="00B25C5B" w:rsidRDefault="00B25C5B" w:rsidP="00B25C5B">
      <w:pPr>
        <w:pStyle w:val="Text"/>
        <w:ind w:left="360"/>
        <w:rPr>
          <w:lang w:eastAsia="en-GB"/>
        </w:rPr>
      </w:pPr>
      <w:r w:rsidRPr="00B25C5B">
        <w:rPr>
          <w:lang w:eastAsia="en-GB"/>
        </w:rPr>
        <w:t>In the Tafinlar 150 mg twice daily and Mekinist 2 mg once daily arm, the most common adverse reactions (≥</w:t>
      </w:r>
      <w:r w:rsidR="00CF7664">
        <w:rPr>
          <w:lang w:eastAsia="en-GB"/>
        </w:rPr>
        <w:t xml:space="preserve"> </w:t>
      </w:r>
      <w:r w:rsidRPr="00B25C5B">
        <w:rPr>
          <w:lang w:eastAsia="en-GB"/>
        </w:rPr>
        <w:t>20%) were pyrexia, fatigue, nausea, headache, rash, chills, diarrhea, vomiting, arthralgia, and myalgia.</w:t>
      </w:r>
    </w:p>
    <w:p w14:paraId="3E048A4F" w14:textId="6DC8A0F8" w:rsidR="00B25C5B" w:rsidRPr="00B25C5B" w:rsidRDefault="00B25C5B" w:rsidP="00B25C5B">
      <w:pPr>
        <w:pStyle w:val="Text"/>
        <w:ind w:left="360"/>
        <w:rPr>
          <w:lang w:eastAsia="en-GB"/>
        </w:rPr>
      </w:pPr>
      <w:r w:rsidRPr="00B25C5B">
        <w:rPr>
          <w:lang w:eastAsia="en-GB"/>
        </w:rPr>
        <w:t xml:space="preserve">Table </w:t>
      </w:r>
      <w:r w:rsidR="00C73E06">
        <w:rPr>
          <w:lang w:eastAsia="en-GB"/>
        </w:rPr>
        <w:t>10</w:t>
      </w:r>
      <w:r w:rsidRPr="00B25C5B">
        <w:rPr>
          <w:lang w:eastAsia="en-GB"/>
        </w:rPr>
        <w:t xml:space="preserve"> lists the adverse drug reactions in study BRF115532 (COMBI-AD) occurring at an incidence ≥</w:t>
      </w:r>
      <w:r w:rsidR="00CF7664">
        <w:rPr>
          <w:lang w:eastAsia="en-GB"/>
        </w:rPr>
        <w:t xml:space="preserve"> </w:t>
      </w:r>
      <w:r w:rsidRPr="00B25C5B">
        <w:rPr>
          <w:lang w:eastAsia="en-GB"/>
        </w:rPr>
        <w:t>10% for all grade adverse reactions or at an incidence ≥</w:t>
      </w:r>
      <w:r w:rsidR="00CF7664">
        <w:rPr>
          <w:lang w:eastAsia="en-GB"/>
        </w:rPr>
        <w:t xml:space="preserve"> </w:t>
      </w:r>
      <w:r w:rsidRPr="00B25C5B">
        <w:rPr>
          <w:lang w:eastAsia="en-GB"/>
        </w:rPr>
        <w:t>2% for Grade 3 and Grade 4 adverse drugs reactions or adverse events that are medically significant in the Tafinlar in combination with Mekinist arm.</w:t>
      </w:r>
    </w:p>
    <w:p w14:paraId="06AADAC4" w14:textId="57D13851" w:rsidR="00CF7664" w:rsidRDefault="00B25C5B" w:rsidP="00B25C5B">
      <w:pPr>
        <w:pStyle w:val="Text"/>
        <w:ind w:left="360"/>
        <w:rPr>
          <w:lang w:eastAsia="en-GB"/>
        </w:rPr>
      </w:pPr>
      <w:r w:rsidRPr="00B25C5B">
        <w:rPr>
          <w:lang w:eastAsia="en-GB"/>
        </w:rPr>
        <w:t xml:space="preserve">Adverse drug reactions are listed by MedDRA system organ class. Within each system organ class, the adverse drug reactions are ranked by frequency, with the most frequent adverse drug reactions first. In addition, the corresponding frequency category for each adverse drug reaction is based on the following convention (CIOMS III): </w:t>
      </w:r>
    </w:p>
    <w:p w14:paraId="106A72A4" w14:textId="77777777" w:rsidR="00CF7664" w:rsidRDefault="00CF7664" w:rsidP="000C7575">
      <w:pPr>
        <w:pStyle w:val="Text"/>
        <w:spacing w:before="0"/>
        <w:ind w:left="357"/>
        <w:rPr>
          <w:lang w:eastAsia="en-GB"/>
        </w:rPr>
      </w:pPr>
    </w:p>
    <w:p w14:paraId="2988A892" w14:textId="5C0F909C" w:rsidR="00CF7664" w:rsidRDefault="00CF7664" w:rsidP="000C7575">
      <w:pPr>
        <w:pStyle w:val="Text"/>
        <w:spacing w:before="0"/>
        <w:ind w:left="720" w:firstLine="720"/>
        <w:rPr>
          <w:lang w:eastAsia="en-GB"/>
        </w:rPr>
      </w:pPr>
      <w:r>
        <w:rPr>
          <w:lang w:eastAsia="en-GB"/>
        </w:rPr>
        <w:t>V</w:t>
      </w:r>
      <w:r w:rsidR="00B25C5B" w:rsidRPr="00B25C5B">
        <w:rPr>
          <w:lang w:eastAsia="en-GB"/>
        </w:rPr>
        <w:t>ery common</w:t>
      </w:r>
      <w:r>
        <w:rPr>
          <w:lang w:eastAsia="en-GB"/>
        </w:rPr>
        <w:t>:</w:t>
      </w:r>
      <w:r>
        <w:rPr>
          <w:lang w:eastAsia="en-GB"/>
        </w:rPr>
        <w:tab/>
      </w:r>
      <w:r w:rsidR="00B25C5B" w:rsidRPr="00B25C5B">
        <w:rPr>
          <w:lang w:eastAsia="en-GB"/>
        </w:rPr>
        <w:t>≥1/10)</w:t>
      </w:r>
    </w:p>
    <w:p w14:paraId="3C4A23A2" w14:textId="602C13A9" w:rsidR="00CF7664" w:rsidRDefault="00CF7664" w:rsidP="000C7575">
      <w:pPr>
        <w:pStyle w:val="Text"/>
        <w:spacing w:before="0"/>
        <w:ind w:left="720" w:firstLine="720"/>
        <w:rPr>
          <w:lang w:eastAsia="en-GB"/>
        </w:rPr>
      </w:pPr>
      <w:r>
        <w:rPr>
          <w:lang w:eastAsia="en-GB"/>
        </w:rPr>
        <w:t>C</w:t>
      </w:r>
      <w:r w:rsidR="00B25C5B" w:rsidRPr="00B25C5B">
        <w:rPr>
          <w:lang w:eastAsia="en-GB"/>
        </w:rPr>
        <w:t>ommon</w:t>
      </w:r>
      <w:r>
        <w:rPr>
          <w:lang w:eastAsia="en-GB"/>
        </w:rPr>
        <w:t>:</w:t>
      </w:r>
      <w:r w:rsidR="00B25C5B" w:rsidRPr="00B25C5B">
        <w:rPr>
          <w:lang w:eastAsia="en-GB"/>
        </w:rPr>
        <w:t xml:space="preserve"> </w:t>
      </w:r>
      <w:r>
        <w:rPr>
          <w:lang w:eastAsia="en-GB"/>
        </w:rPr>
        <w:tab/>
      </w:r>
      <w:r>
        <w:rPr>
          <w:lang w:eastAsia="en-GB"/>
        </w:rPr>
        <w:tab/>
      </w:r>
      <w:r w:rsidR="00B25C5B" w:rsidRPr="00B25C5B">
        <w:rPr>
          <w:lang w:eastAsia="en-GB"/>
        </w:rPr>
        <w:t xml:space="preserve">≥1/100 </w:t>
      </w:r>
      <w:r>
        <w:rPr>
          <w:lang w:eastAsia="en-GB"/>
        </w:rPr>
        <w:t xml:space="preserve">and </w:t>
      </w:r>
      <w:r w:rsidR="00B25C5B" w:rsidRPr="00B25C5B">
        <w:rPr>
          <w:lang w:eastAsia="en-GB"/>
        </w:rPr>
        <w:t>&lt;1/10</w:t>
      </w:r>
    </w:p>
    <w:p w14:paraId="5F7CAEED" w14:textId="349BDB46" w:rsidR="00CF7664" w:rsidRDefault="00CF7664" w:rsidP="000C7575">
      <w:pPr>
        <w:pStyle w:val="Text"/>
        <w:spacing w:before="0"/>
        <w:ind w:left="720" w:firstLine="720"/>
        <w:rPr>
          <w:lang w:eastAsia="en-GB"/>
        </w:rPr>
      </w:pPr>
      <w:r>
        <w:rPr>
          <w:lang w:eastAsia="en-GB"/>
        </w:rPr>
        <w:t>U</w:t>
      </w:r>
      <w:r w:rsidR="00B25C5B" w:rsidRPr="00B25C5B">
        <w:rPr>
          <w:lang w:eastAsia="en-GB"/>
        </w:rPr>
        <w:t>ncommon</w:t>
      </w:r>
      <w:r>
        <w:rPr>
          <w:lang w:eastAsia="en-GB"/>
        </w:rPr>
        <w:t>:</w:t>
      </w:r>
      <w:r w:rsidR="00B25C5B" w:rsidRPr="00B25C5B">
        <w:rPr>
          <w:lang w:eastAsia="en-GB"/>
        </w:rPr>
        <w:t xml:space="preserve"> </w:t>
      </w:r>
      <w:r>
        <w:rPr>
          <w:lang w:eastAsia="en-GB"/>
        </w:rPr>
        <w:tab/>
      </w:r>
      <w:r>
        <w:rPr>
          <w:lang w:eastAsia="en-GB"/>
        </w:rPr>
        <w:tab/>
      </w:r>
      <w:r w:rsidR="00B25C5B" w:rsidRPr="00B25C5B">
        <w:rPr>
          <w:lang w:eastAsia="en-GB"/>
        </w:rPr>
        <w:t>≥1/1,000</w:t>
      </w:r>
      <w:r>
        <w:rPr>
          <w:lang w:eastAsia="en-GB"/>
        </w:rPr>
        <w:t xml:space="preserve"> and </w:t>
      </w:r>
      <w:r w:rsidR="00B25C5B" w:rsidRPr="00B25C5B">
        <w:rPr>
          <w:lang w:eastAsia="en-GB"/>
        </w:rPr>
        <w:t>&lt;1/100</w:t>
      </w:r>
    </w:p>
    <w:p w14:paraId="0259C25B" w14:textId="6440ACCC" w:rsidR="00CF7664" w:rsidRDefault="00CF7664" w:rsidP="000C7575">
      <w:pPr>
        <w:pStyle w:val="Text"/>
        <w:spacing w:before="0"/>
        <w:ind w:left="720" w:firstLine="720"/>
        <w:rPr>
          <w:lang w:eastAsia="en-GB"/>
        </w:rPr>
      </w:pPr>
      <w:r>
        <w:rPr>
          <w:lang w:eastAsia="en-GB"/>
        </w:rPr>
        <w:t>R</w:t>
      </w:r>
      <w:r w:rsidR="00B25C5B" w:rsidRPr="00B25C5B">
        <w:rPr>
          <w:lang w:eastAsia="en-GB"/>
        </w:rPr>
        <w:t>are</w:t>
      </w:r>
      <w:r>
        <w:rPr>
          <w:lang w:eastAsia="en-GB"/>
        </w:rPr>
        <w:t>:</w:t>
      </w:r>
      <w:r>
        <w:rPr>
          <w:lang w:eastAsia="en-GB"/>
        </w:rPr>
        <w:tab/>
      </w:r>
      <w:r>
        <w:rPr>
          <w:lang w:eastAsia="en-GB"/>
        </w:rPr>
        <w:tab/>
      </w:r>
      <w:r>
        <w:rPr>
          <w:lang w:eastAsia="en-GB"/>
        </w:rPr>
        <w:tab/>
      </w:r>
      <w:r w:rsidR="00B25C5B" w:rsidRPr="00B25C5B">
        <w:rPr>
          <w:lang w:eastAsia="en-GB"/>
        </w:rPr>
        <w:t xml:space="preserve">≥1/10,000 </w:t>
      </w:r>
      <w:r>
        <w:rPr>
          <w:lang w:eastAsia="en-GB"/>
        </w:rPr>
        <w:t xml:space="preserve">and </w:t>
      </w:r>
      <w:r w:rsidR="00B25C5B" w:rsidRPr="00B25C5B">
        <w:rPr>
          <w:lang w:eastAsia="en-GB"/>
        </w:rPr>
        <w:t>&lt;1/1,000</w:t>
      </w:r>
    </w:p>
    <w:p w14:paraId="54D3F3FD" w14:textId="240463D3" w:rsidR="00B25C5B" w:rsidRDefault="00CF7664" w:rsidP="000C7575">
      <w:pPr>
        <w:pStyle w:val="Text"/>
        <w:spacing w:before="0"/>
        <w:ind w:left="720" w:firstLine="720"/>
        <w:rPr>
          <w:lang w:eastAsia="en-GB"/>
        </w:rPr>
      </w:pPr>
      <w:proofErr w:type="gramStart"/>
      <w:r>
        <w:rPr>
          <w:lang w:eastAsia="en-GB"/>
        </w:rPr>
        <w:t>V</w:t>
      </w:r>
      <w:r w:rsidR="00B25C5B" w:rsidRPr="00B25C5B">
        <w:rPr>
          <w:lang w:eastAsia="en-GB"/>
        </w:rPr>
        <w:t>ery rare</w:t>
      </w:r>
      <w:r>
        <w:rPr>
          <w:lang w:eastAsia="en-GB"/>
        </w:rPr>
        <w:tab/>
      </w:r>
      <w:r>
        <w:rPr>
          <w:lang w:eastAsia="en-GB"/>
        </w:rPr>
        <w:tab/>
      </w:r>
      <w:r w:rsidR="00B25C5B" w:rsidRPr="00B25C5B">
        <w:rPr>
          <w:lang w:eastAsia="en-GB"/>
        </w:rPr>
        <w:t>&lt;1/10,000.</w:t>
      </w:r>
      <w:proofErr w:type="gramEnd"/>
    </w:p>
    <w:p w14:paraId="46734B74" w14:textId="5CC10489" w:rsidR="00684775" w:rsidRPr="00B25C5B" w:rsidRDefault="00B25C5B" w:rsidP="000C7575">
      <w:pPr>
        <w:keepNext/>
        <w:keepLines/>
        <w:autoSpaceDE/>
        <w:autoSpaceDN/>
        <w:adjustRightInd/>
        <w:spacing w:before="240" w:after="60" w:line="240" w:lineRule="auto"/>
        <w:ind w:left="2061" w:hanging="1701"/>
        <w:jc w:val="left"/>
        <w:outlineLvl w:val="5"/>
        <w:rPr>
          <w:rFonts w:ascii="Arial" w:eastAsia="MS Gothic" w:hAnsi="Arial" w:cs="Arial"/>
          <w:b/>
          <w:sz w:val="22"/>
          <w:szCs w:val="20"/>
          <w:lang w:val="en-US" w:eastAsia="en-GB"/>
        </w:rPr>
      </w:pPr>
      <w:bookmarkStart w:id="1" w:name="_Toc493603621"/>
      <w:bookmarkStart w:id="2" w:name="_Toc494231738"/>
      <w:bookmarkStart w:id="3" w:name="_Toc494233124"/>
      <w:bookmarkStart w:id="4" w:name="_Toc495011549"/>
      <w:bookmarkStart w:id="5" w:name="_Toc495651881"/>
      <w:bookmarkStart w:id="6" w:name="_Toc497816509"/>
      <w:r w:rsidRPr="00B25C5B">
        <w:rPr>
          <w:rFonts w:ascii="Arial" w:eastAsia="MS Gothic" w:hAnsi="Arial" w:cs="Arial"/>
          <w:b/>
          <w:sz w:val="22"/>
          <w:szCs w:val="20"/>
          <w:lang w:val="en-US" w:eastAsia="en-GB"/>
        </w:rPr>
        <w:lastRenderedPageBreak/>
        <w:t xml:space="preserve">Table </w:t>
      </w:r>
      <w:r w:rsidR="00C73E06">
        <w:rPr>
          <w:rFonts w:ascii="Arial" w:eastAsia="MS Gothic" w:hAnsi="Arial" w:cs="Arial"/>
          <w:b/>
          <w:sz w:val="22"/>
          <w:szCs w:val="20"/>
          <w:lang w:val="en-US" w:eastAsia="en-GB"/>
        </w:rPr>
        <w:t>10</w:t>
      </w:r>
      <w:r w:rsidRPr="00B25C5B">
        <w:rPr>
          <w:rFonts w:ascii="Arial" w:eastAsia="MS Gothic" w:hAnsi="Arial" w:cs="Arial"/>
          <w:b/>
          <w:sz w:val="22"/>
          <w:szCs w:val="20"/>
          <w:lang w:val="en-US" w:eastAsia="en-GB"/>
        </w:rPr>
        <w:tab/>
        <w:t>Adjuvant treatment of melanoma - Adverse drug reactions for Tafinlar in combination with Mekinist vs. placebo</w:t>
      </w:r>
      <w:bookmarkEnd w:id="1"/>
      <w:bookmarkEnd w:id="2"/>
      <w:bookmarkEnd w:id="3"/>
      <w:bookmarkEnd w:id="4"/>
      <w:bookmarkEnd w:id="5"/>
      <w:bookmarkEnd w:id="6"/>
      <w:r w:rsidR="00684775">
        <w:rPr>
          <w:rFonts w:ascii="Arial" w:eastAsia="MS Gothic" w:hAnsi="Arial" w:cs="Arial"/>
          <w:b/>
          <w:sz w:val="22"/>
          <w:szCs w:val="20"/>
          <w:lang w:val="en-US" w:eastAsia="en-GB"/>
        </w:rPr>
        <w:t xml:space="preserve"> (Study </w:t>
      </w:r>
      <w:r w:rsidR="00684775" w:rsidRPr="00684775">
        <w:rPr>
          <w:rFonts w:ascii="Arial" w:eastAsia="MS Gothic" w:hAnsi="Arial" w:cs="Arial"/>
          <w:b/>
          <w:sz w:val="22"/>
          <w:szCs w:val="20"/>
          <w:lang w:val="en-US" w:eastAsia="en-GB"/>
        </w:rPr>
        <w:t xml:space="preserve">BRF115532 </w:t>
      </w:r>
      <w:r w:rsidR="00684775">
        <w:rPr>
          <w:rFonts w:ascii="Arial" w:eastAsia="MS Gothic" w:hAnsi="Arial" w:cs="Arial"/>
          <w:b/>
          <w:sz w:val="22"/>
          <w:szCs w:val="20"/>
          <w:lang w:val="en-US" w:eastAsia="en-GB"/>
        </w:rPr>
        <w:t>[</w:t>
      </w:r>
      <w:r w:rsidR="00684775" w:rsidRPr="00684775">
        <w:rPr>
          <w:rFonts w:ascii="Arial" w:eastAsia="MS Gothic" w:hAnsi="Arial" w:cs="Arial"/>
          <w:b/>
          <w:sz w:val="22"/>
          <w:szCs w:val="20"/>
          <w:lang w:val="en-US" w:eastAsia="en-GB"/>
        </w:rPr>
        <w:t>COMBI-AD</w:t>
      </w:r>
      <w:r w:rsidR="00684775">
        <w:rPr>
          <w:rFonts w:ascii="Arial" w:eastAsia="MS Gothic" w:hAnsi="Arial" w:cs="Arial"/>
          <w:b/>
          <w:sz w:val="22"/>
          <w:szCs w:val="20"/>
          <w:lang w:val="en-US" w:eastAsia="en-GB"/>
        </w:rPr>
        <w:t>])</w:t>
      </w:r>
    </w:p>
    <w:tbl>
      <w:tblPr>
        <w:tblW w:w="929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258"/>
        <w:gridCol w:w="1170"/>
        <w:gridCol w:w="1170"/>
        <w:gridCol w:w="1170"/>
        <w:gridCol w:w="1170"/>
        <w:gridCol w:w="1361"/>
      </w:tblGrid>
      <w:tr w:rsidR="00B25C5B" w:rsidRPr="00B25C5B" w14:paraId="7AE8D0AA" w14:textId="77777777" w:rsidTr="000C7575">
        <w:trPr>
          <w:tblHeader/>
        </w:trPr>
        <w:tc>
          <w:tcPr>
            <w:tcW w:w="3258" w:type="dxa"/>
            <w:vMerge w:val="restart"/>
            <w:shd w:val="clear" w:color="auto" w:fill="auto"/>
          </w:tcPr>
          <w:p w14:paraId="4A328475" w14:textId="77777777" w:rsidR="00B25C5B" w:rsidRPr="00B25C5B" w:rsidRDefault="00B25C5B" w:rsidP="00B25C5B">
            <w:pPr>
              <w:tabs>
                <w:tab w:val="left" w:pos="284"/>
              </w:tabs>
              <w:autoSpaceDE/>
              <w:autoSpaceDN/>
              <w:adjustRightInd/>
              <w:spacing w:before="40" w:after="20" w:line="240" w:lineRule="auto"/>
              <w:jc w:val="center"/>
              <w:rPr>
                <w:rFonts w:ascii="Arial" w:eastAsia="MS Mincho" w:hAnsi="Arial" w:cs="Arial"/>
                <w:b/>
                <w:sz w:val="18"/>
                <w:szCs w:val="18"/>
                <w:lang w:val="en-US" w:eastAsia="en-GB"/>
              </w:rPr>
            </w:pPr>
            <w:r w:rsidRPr="00B25C5B">
              <w:rPr>
                <w:rFonts w:ascii="Arial" w:eastAsia="MS Mincho" w:hAnsi="Arial" w:cs="Arial"/>
                <w:b/>
                <w:sz w:val="18"/>
                <w:szCs w:val="18"/>
                <w:lang w:val="en-US" w:eastAsia="en-GB"/>
              </w:rPr>
              <w:t>Adverse drug reactions</w:t>
            </w:r>
          </w:p>
        </w:tc>
        <w:tc>
          <w:tcPr>
            <w:tcW w:w="2340" w:type="dxa"/>
            <w:gridSpan w:val="2"/>
            <w:shd w:val="clear" w:color="auto" w:fill="auto"/>
          </w:tcPr>
          <w:p w14:paraId="0F105286" w14:textId="77777777" w:rsidR="00B25C5B" w:rsidRPr="00B25C5B" w:rsidRDefault="00B25C5B" w:rsidP="00B25C5B">
            <w:pPr>
              <w:tabs>
                <w:tab w:val="left" w:pos="284"/>
              </w:tabs>
              <w:autoSpaceDE/>
              <w:autoSpaceDN/>
              <w:adjustRightInd/>
              <w:spacing w:before="40" w:after="20" w:line="240" w:lineRule="auto"/>
              <w:jc w:val="center"/>
              <w:rPr>
                <w:rFonts w:ascii="Arial" w:eastAsia="MS Mincho" w:hAnsi="Arial" w:cs="Arial"/>
                <w:b/>
                <w:sz w:val="18"/>
                <w:szCs w:val="18"/>
                <w:lang w:val="en-US" w:eastAsia="en-GB"/>
              </w:rPr>
            </w:pPr>
            <w:r w:rsidRPr="00B25C5B">
              <w:rPr>
                <w:rFonts w:ascii="Arial" w:eastAsia="MS Mincho" w:hAnsi="Arial" w:cs="Arial"/>
                <w:b/>
                <w:sz w:val="18"/>
                <w:szCs w:val="18"/>
                <w:lang w:val="en-US" w:eastAsia="en-GB"/>
              </w:rPr>
              <w:t>Tafinlar in combination with Mekinist</w:t>
            </w:r>
          </w:p>
          <w:p w14:paraId="003AA63E" w14:textId="77777777" w:rsidR="00B25C5B" w:rsidRPr="00B25C5B" w:rsidRDefault="00B25C5B" w:rsidP="00B25C5B">
            <w:pPr>
              <w:tabs>
                <w:tab w:val="left" w:pos="284"/>
              </w:tabs>
              <w:autoSpaceDE/>
              <w:autoSpaceDN/>
              <w:adjustRightInd/>
              <w:spacing w:before="40" w:after="20" w:line="240" w:lineRule="auto"/>
              <w:jc w:val="center"/>
              <w:rPr>
                <w:rFonts w:ascii="Arial" w:eastAsia="MS Mincho" w:hAnsi="Arial" w:cs="Arial"/>
                <w:b/>
                <w:sz w:val="18"/>
                <w:szCs w:val="18"/>
                <w:lang w:val="en-US" w:eastAsia="en-GB"/>
              </w:rPr>
            </w:pPr>
            <w:r w:rsidRPr="00B25C5B">
              <w:rPr>
                <w:rFonts w:ascii="Arial" w:eastAsia="MS Mincho" w:hAnsi="Arial" w:cs="Arial"/>
                <w:b/>
                <w:sz w:val="18"/>
                <w:szCs w:val="18"/>
                <w:lang w:val="en-US" w:eastAsia="en-GB"/>
              </w:rPr>
              <w:t>N=435</w:t>
            </w:r>
          </w:p>
          <w:p w14:paraId="6508378B" w14:textId="77777777" w:rsidR="00B25C5B" w:rsidRPr="00B25C5B" w:rsidRDefault="00B25C5B" w:rsidP="00B25C5B">
            <w:pPr>
              <w:tabs>
                <w:tab w:val="left" w:pos="284"/>
              </w:tabs>
              <w:autoSpaceDE/>
              <w:autoSpaceDN/>
              <w:adjustRightInd/>
              <w:spacing w:before="40" w:after="20" w:line="360" w:lineRule="auto"/>
              <w:jc w:val="center"/>
              <w:rPr>
                <w:rFonts w:ascii="Arial" w:eastAsia="MS Mincho" w:hAnsi="Arial" w:cs="Arial"/>
                <w:b/>
                <w:sz w:val="18"/>
                <w:szCs w:val="18"/>
                <w:lang w:val="en-US" w:eastAsia="en-GB"/>
              </w:rPr>
            </w:pPr>
            <w:r w:rsidRPr="00B25C5B">
              <w:rPr>
                <w:rFonts w:ascii="Arial" w:eastAsia="MS Mincho" w:hAnsi="Arial" w:cs="Arial"/>
                <w:b/>
                <w:sz w:val="18"/>
                <w:szCs w:val="18"/>
                <w:lang w:val="en-US" w:eastAsia="en-GB"/>
              </w:rPr>
              <w:t>%</w:t>
            </w:r>
          </w:p>
        </w:tc>
        <w:tc>
          <w:tcPr>
            <w:tcW w:w="2340" w:type="dxa"/>
            <w:gridSpan w:val="2"/>
            <w:shd w:val="clear" w:color="auto" w:fill="auto"/>
          </w:tcPr>
          <w:p w14:paraId="0747B0FC" w14:textId="77777777" w:rsidR="00B25C5B" w:rsidRPr="00B25C5B" w:rsidRDefault="00B25C5B" w:rsidP="00B25C5B">
            <w:pPr>
              <w:tabs>
                <w:tab w:val="left" w:pos="284"/>
              </w:tabs>
              <w:autoSpaceDE/>
              <w:autoSpaceDN/>
              <w:adjustRightInd/>
              <w:spacing w:before="40" w:after="20" w:line="240" w:lineRule="auto"/>
              <w:jc w:val="center"/>
              <w:rPr>
                <w:rFonts w:ascii="Arial" w:eastAsia="MS Mincho" w:hAnsi="Arial" w:cs="Arial"/>
                <w:b/>
                <w:sz w:val="18"/>
                <w:szCs w:val="18"/>
                <w:lang w:val="en-US" w:eastAsia="en-GB"/>
              </w:rPr>
            </w:pPr>
            <w:r w:rsidRPr="00B25C5B">
              <w:rPr>
                <w:rFonts w:ascii="Arial" w:eastAsia="MS Mincho" w:hAnsi="Arial" w:cs="Arial"/>
                <w:b/>
                <w:sz w:val="18"/>
                <w:szCs w:val="18"/>
                <w:lang w:val="en-US" w:eastAsia="en-GB"/>
              </w:rPr>
              <w:t>Placebo</w:t>
            </w:r>
          </w:p>
          <w:p w14:paraId="645D5B1B" w14:textId="77777777" w:rsidR="00B25C5B" w:rsidRPr="00B25C5B" w:rsidRDefault="00B25C5B" w:rsidP="00B25C5B">
            <w:pPr>
              <w:tabs>
                <w:tab w:val="left" w:pos="284"/>
              </w:tabs>
              <w:autoSpaceDE/>
              <w:autoSpaceDN/>
              <w:adjustRightInd/>
              <w:spacing w:before="40" w:after="20" w:line="240" w:lineRule="auto"/>
              <w:jc w:val="center"/>
              <w:rPr>
                <w:rFonts w:ascii="Arial" w:eastAsia="MS Mincho" w:hAnsi="Arial" w:cs="Arial"/>
                <w:b/>
                <w:sz w:val="18"/>
                <w:szCs w:val="18"/>
                <w:lang w:val="en-US" w:eastAsia="en-GB"/>
              </w:rPr>
            </w:pPr>
          </w:p>
          <w:p w14:paraId="6C7D1769" w14:textId="77777777" w:rsidR="00B25C5B" w:rsidRPr="00B25C5B" w:rsidRDefault="00B25C5B" w:rsidP="00B25C5B">
            <w:pPr>
              <w:tabs>
                <w:tab w:val="left" w:pos="284"/>
              </w:tabs>
              <w:autoSpaceDE/>
              <w:autoSpaceDN/>
              <w:adjustRightInd/>
              <w:spacing w:before="40" w:after="20" w:line="240" w:lineRule="auto"/>
              <w:jc w:val="center"/>
              <w:rPr>
                <w:rFonts w:ascii="Arial" w:eastAsia="MS Mincho" w:hAnsi="Arial" w:cs="Arial"/>
                <w:b/>
                <w:sz w:val="18"/>
                <w:szCs w:val="18"/>
                <w:lang w:val="en-US" w:eastAsia="en-GB"/>
              </w:rPr>
            </w:pPr>
            <w:r w:rsidRPr="00B25C5B">
              <w:rPr>
                <w:rFonts w:ascii="Arial" w:eastAsia="MS Mincho" w:hAnsi="Arial" w:cs="Arial"/>
                <w:b/>
                <w:sz w:val="18"/>
                <w:szCs w:val="18"/>
                <w:lang w:val="en-US" w:eastAsia="en-GB"/>
              </w:rPr>
              <w:t>N=432</w:t>
            </w:r>
          </w:p>
          <w:p w14:paraId="15F819F9" w14:textId="77777777" w:rsidR="00B25C5B" w:rsidRPr="00B25C5B" w:rsidRDefault="00B25C5B" w:rsidP="00B25C5B">
            <w:pPr>
              <w:tabs>
                <w:tab w:val="left" w:pos="284"/>
              </w:tabs>
              <w:autoSpaceDE/>
              <w:autoSpaceDN/>
              <w:adjustRightInd/>
              <w:spacing w:before="40" w:after="20" w:line="240" w:lineRule="auto"/>
              <w:jc w:val="center"/>
              <w:rPr>
                <w:rFonts w:ascii="Arial" w:eastAsia="MS Mincho" w:hAnsi="Arial" w:cs="Arial"/>
                <w:b/>
                <w:sz w:val="18"/>
                <w:szCs w:val="18"/>
                <w:lang w:val="en-US" w:eastAsia="en-GB"/>
              </w:rPr>
            </w:pPr>
            <w:r w:rsidRPr="00B25C5B">
              <w:rPr>
                <w:rFonts w:ascii="Arial" w:eastAsia="MS Mincho" w:hAnsi="Arial" w:cs="Arial"/>
                <w:b/>
                <w:sz w:val="18"/>
                <w:szCs w:val="18"/>
                <w:lang w:val="en-US" w:eastAsia="en-GB"/>
              </w:rPr>
              <w:t>%</w:t>
            </w:r>
          </w:p>
        </w:tc>
        <w:tc>
          <w:tcPr>
            <w:tcW w:w="1361" w:type="dxa"/>
            <w:vMerge w:val="restart"/>
            <w:shd w:val="clear" w:color="auto" w:fill="auto"/>
          </w:tcPr>
          <w:p w14:paraId="6A091EA0" w14:textId="77777777" w:rsidR="00B25C5B" w:rsidRPr="00B25C5B" w:rsidRDefault="00B25C5B" w:rsidP="00B25C5B">
            <w:pPr>
              <w:tabs>
                <w:tab w:val="left" w:pos="284"/>
              </w:tabs>
              <w:autoSpaceDE/>
              <w:autoSpaceDN/>
              <w:adjustRightInd/>
              <w:spacing w:before="40" w:after="20" w:line="240" w:lineRule="auto"/>
              <w:jc w:val="center"/>
              <w:rPr>
                <w:rFonts w:ascii="Arial" w:eastAsia="MS Mincho" w:hAnsi="Arial" w:cs="Arial"/>
                <w:b/>
                <w:sz w:val="18"/>
                <w:szCs w:val="18"/>
                <w:lang w:val="en-US" w:eastAsia="en-GB"/>
              </w:rPr>
            </w:pPr>
            <w:r w:rsidRPr="00B25C5B">
              <w:rPr>
                <w:rFonts w:ascii="Arial" w:eastAsia="MS Mincho" w:hAnsi="Arial" w:cs="Arial"/>
                <w:b/>
                <w:sz w:val="18"/>
                <w:szCs w:val="18"/>
                <w:lang w:val="en-US" w:eastAsia="en-GB"/>
              </w:rPr>
              <w:t>Frequency category (combination arm, all grades)</w:t>
            </w:r>
          </w:p>
        </w:tc>
      </w:tr>
      <w:tr w:rsidR="00B25C5B" w:rsidRPr="00B25C5B" w14:paraId="6ADE9646" w14:textId="77777777" w:rsidTr="000C7575">
        <w:trPr>
          <w:tblHeader/>
        </w:trPr>
        <w:tc>
          <w:tcPr>
            <w:tcW w:w="3258" w:type="dxa"/>
            <w:vMerge/>
            <w:shd w:val="clear" w:color="auto" w:fill="auto"/>
          </w:tcPr>
          <w:p w14:paraId="509A0337" w14:textId="77777777" w:rsidR="00B25C5B" w:rsidRPr="00B25C5B" w:rsidRDefault="00B25C5B" w:rsidP="00B25C5B">
            <w:pPr>
              <w:tabs>
                <w:tab w:val="left" w:pos="284"/>
              </w:tabs>
              <w:autoSpaceDE/>
              <w:autoSpaceDN/>
              <w:adjustRightInd/>
              <w:spacing w:before="40" w:after="20" w:line="240" w:lineRule="auto"/>
              <w:jc w:val="left"/>
              <w:rPr>
                <w:rFonts w:ascii="Arial" w:eastAsia="MS Mincho" w:hAnsi="Arial" w:cs="Arial"/>
                <w:b/>
                <w:sz w:val="18"/>
                <w:szCs w:val="18"/>
                <w:lang w:val="en-US" w:eastAsia="en-GB"/>
              </w:rPr>
            </w:pPr>
          </w:p>
        </w:tc>
        <w:tc>
          <w:tcPr>
            <w:tcW w:w="1170" w:type="dxa"/>
            <w:shd w:val="clear" w:color="auto" w:fill="auto"/>
          </w:tcPr>
          <w:p w14:paraId="3F7A3FC1" w14:textId="77777777" w:rsidR="00B25C5B" w:rsidRPr="00B25C5B" w:rsidRDefault="00B25C5B" w:rsidP="00B25C5B">
            <w:pPr>
              <w:tabs>
                <w:tab w:val="left" w:pos="284"/>
              </w:tabs>
              <w:autoSpaceDE/>
              <w:autoSpaceDN/>
              <w:adjustRightInd/>
              <w:spacing w:before="40" w:after="20" w:line="240" w:lineRule="auto"/>
              <w:jc w:val="left"/>
              <w:rPr>
                <w:rFonts w:ascii="Arial" w:eastAsia="MS Mincho" w:hAnsi="Arial" w:cs="Arial"/>
                <w:b/>
                <w:sz w:val="18"/>
                <w:szCs w:val="18"/>
                <w:lang w:val="en-US" w:eastAsia="en-GB"/>
              </w:rPr>
            </w:pPr>
            <w:r w:rsidRPr="00B25C5B">
              <w:rPr>
                <w:rFonts w:ascii="Arial" w:eastAsia="MS Mincho" w:hAnsi="Arial" w:cs="Arial"/>
                <w:b/>
                <w:sz w:val="18"/>
                <w:szCs w:val="18"/>
                <w:lang w:val="en-US" w:eastAsia="en-GB"/>
              </w:rPr>
              <w:t>All Grades</w:t>
            </w:r>
          </w:p>
        </w:tc>
        <w:tc>
          <w:tcPr>
            <w:tcW w:w="1170" w:type="dxa"/>
            <w:shd w:val="clear" w:color="auto" w:fill="auto"/>
          </w:tcPr>
          <w:p w14:paraId="4FECA2BC" w14:textId="77777777" w:rsidR="00B25C5B" w:rsidRPr="00B25C5B" w:rsidRDefault="00B25C5B" w:rsidP="00B25C5B">
            <w:pPr>
              <w:tabs>
                <w:tab w:val="left" w:pos="284"/>
              </w:tabs>
              <w:autoSpaceDE/>
              <w:autoSpaceDN/>
              <w:adjustRightInd/>
              <w:spacing w:before="40" w:after="20" w:line="240" w:lineRule="auto"/>
              <w:jc w:val="left"/>
              <w:rPr>
                <w:rFonts w:ascii="Arial" w:eastAsia="MS Mincho" w:hAnsi="Arial" w:cs="Arial"/>
                <w:b/>
                <w:sz w:val="18"/>
                <w:szCs w:val="18"/>
                <w:lang w:val="en-US" w:eastAsia="en-GB"/>
              </w:rPr>
            </w:pPr>
            <w:r w:rsidRPr="00B25C5B">
              <w:rPr>
                <w:rFonts w:ascii="Arial" w:eastAsia="MS Mincho" w:hAnsi="Arial" w:cs="Arial"/>
                <w:b/>
                <w:sz w:val="18"/>
                <w:szCs w:val="18"/>
                <w:lang w:val="en-US" w:eastAsia="en-GB"/>
              </w:rPr>
              <w:t>Grade 3/4</w:t>
            </w:r>
          </w:p>
        </w:tc>
        <w:tc>
          <w:tcPr>
            <w:tcW w:w="1170" w:type="dxa"/>
            <w:shd w:val="clear" w:color="auto" w:fill="auto"/>
          </w:tcPr>
          <w:p w14:paraId="442BD50C" w14:textId="77777777" w:rsidR="00B25C5B" w:rsidRPr="00B25C5B" w:rsidRDefault="00B25C5B" w:rsidP="00B25C5B">
            <w:pPr>
              <w:tabs>
                <w:tab w:val="left" w:pos="284"/>
              </w:tabs>
              <w:autoSpaceDE/>
              <w:autoSpaceDN/>
              <w:adjustRightInd/>
              <w:spacing w:before="40" w:after="20" w:line="240" w:lineRule="auto"/>
              <w:jc w:val="left"/>
              <w:rPr>
                <w:rFonts w:ascii="Arial" w:eastAsia="MS Mincho" w:hAnsi="Arial" w:cs="Arial"/>
                <w:b/>
                <w:sz w:val="18"/>
                <w:szCs w:val="18"/>
                <w:lang w:val="en-US" w:eastAsia="en-GB"/>
              </w:rPr>
            </w:pPr>
            <w:r w:rsidRPr="00B25C5B">
              <w:rPr>
                <w:rFonts w:ascii="Arial" w:eastAsia="MS Mincho" w:hAnsi="Arial" w:cs="Arial"/>
                <w:b/>
                <w:sz w:val="18"/>
                <w:szCs w:val="18"/>
                <w:lang w:val="en-US" w:eastAsia="en-GB"/>
              </w:rPr>
              <w:t>All Grades</w:t>
            </w:r>
          </w:p>
        </w:tc>
        <w:tc>
          <w:tcPr>
            <w:tcW w:w="1170" w:type="dxa"/>
            <w:shd w:val="clear" w:color="auto" w:fill="auto"/>
          </w:tcPr>
          <w:p w14:paraId="60990386" w14:textId="77777777" w:rsidR="00B25C5B" w:rsidRPr="00B25C5B" w:rsidRDefault="00B25C5B" w:rsidP="00B25C5B">
            <w:pPr>
              <w:tabs>
                <w:tab w:val="left" w:pos="284"/>
              </w:tabs>
              <w:autoSpaceDE/>
              <w:autoSpaceDN/>
              <w:adjustRightInd/>
              <w:spacing w:before="40" w:after="20" w:line="240" w:lineRule="auto"/>
              <w:jc w:val="left"/>
              <w:rPr>
                <w:rFonts w:ascii="Arial" w:eastAsia="MS Mincho" w:hAnsi="Arial" w:cs="Arial"/>
                <w:b/>
                <w:sz w:val="18"/>
                <w:szCs w:val="18"/>
                <w:lang w:val="en-US" w:eastAsia="en-GB"/>
              </w:rPr>
            </w:pPr>
            <w:r w:rsidRPr="00B25C5B">
              <w:rPr>
                <w:rFonts w:ascii="Arial" w:eastAsia="MS Mincho" w:hAnsi="Arial" w:cs="Arial"/>
                <w:b/>
                <w:sz w:val="18"/>
                <w:szCs w:val="18"/>
                <w:lang w:val="en-US" w:eastAsia="en-GB"/>
              </w:rPr>
              <w:t>Grade 3/4</w:t>
            </w:r>
          </w:p>
        </w:tc>
        <w:tc>
          <w:tcPr>
            <w:tcW w:w="1361" w:type="dxa"/>
            <w:vMerge/>
            <w:shd w:val="clear" w:color="auto" w:fill="auto"/>
          </w:tcPr>
          <w:p w14:paraId="69292789" w14:textId="77777777" w:rsidR="00B25C5B" w:rsidRPr="00B25C5B" w:rsidRDefault="00B25C5B" w:rsidP="00B25C5B">
            <w:pPr>
              <w:tabs>
                <w:tab w:val="left" w:pos="284"/>
              </w:tabs>
              <w:autoSpaceDE/>
              <w:autoSpaceDN/>
              <w:adjustRightInd/>
              <w:spacing w:before="40" w:after="20" w:line="240" w:lineRule="auto"/>
              <w:jc w:val="left"/>
              <w:rPr>
                <w:rFonts w:ascii="Arial" w:eastAsia="MS Mincho" w:hAnsi="Arial" w:cs="Arial"/>
                <w:b/>
                <w:sz w:val="18"/>
                <w:szCs w:val="18"/>
                <w:lang w:val="en-US" w:eastAsia="en-GB"/>
              </w:rPr>
            </w:pPr>
          </w:p>
        </w:tc>
      </w:tr>
      <w:tr w:rsidR="00B25C5B" w:rsidRPr="00B25C5B" w14:paraId="123F7B55" w14:textId="77777777" w:rsidTr="000C7575">
        <w:tc>
          <w:tcPr>
            <w:tcW w:w="9299" w:type="dxa"/>
            <w:gridSpan w:val="6"/>
            <w:shd w:val="clear" w:color="auto" w:fill="auto"/>
          </w:tcPr>
          <w:p w14:paraId="7837DDA8"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en-GB"/>
              </w:rPr>
            </w:pPr>
            <w:r w:rsidRPr="00B25C5B">
              <w:rPr>
                <w:rFonts w:ascii="Arial" w:eastAsia="MS Mincho" w:hAnsi="Arial" w:cs="Arial"/>
                <w:b/>
                <w:sz w:val="18"/>
                <w:szCs w:val="18"/>
                <w:lang w:val="en-US" w:eastAsia="zh-CN"/>
              </w:rPr>
              <w:t>Infections and infestations</w:t>
            </w:r>
          </w:p>
        </w:tc>
      </w:tr>
      <w:tr w:rsidR="00B25C5B" w:rsidRPr="00B25C5B" w14:paraId="13E01342" w14:textId="77777777" w:rsidTr="000C7575">
        <w:tc>
          <w:tcPr>
            <w:tcW w:w="3258" w:type="dxa"/>
            <w:shd w:val="clear" w:color="auto" w:fill="auto"/>
          </w:tcPr>
          <w:p w14:paraId="286B24C0"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Nasopharyngitis</w:t>
            </w:r>
            <w:r w:rsidRPr="00B25C5B">
              <w:rPr>
                <w:rFonts w:ascii="Arial" w:eastAsia="MS Mincho" w:hAnsi="Arial" w:cs="Arial"/>
                <w:sz w:val="18"/>
                <w:szCs w:val="18"/>
                <w:vertAlign w:val="superscript"/>
                <w:lang w:val="en-US" w:eastAsia="zh-CN"/>
              </w:rPr>
              <w:t>1)</w:t>
            </w:r>
          </w:p>
        </w:tc>
        <w:tc>
          <w:tcPr>
            <w:tcW w:w="1170" w:type="dxa"/>
            <w:shd w:val="clear" w:color="auto" w:fill="auto"/>
          </w:tcPr>
          <w:p w14:paraId="316DAE6C"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12</w:t>
            </w:r>
          </w:p>
        </w:tc>
        <w:tc>
          <w:tcPr>
            <w:tcW w:w="1170" w:type="dxa"/>
            <w:shd w:val="clear" w:color="auto" w:fill="auto"/>
          </w:tcPr>
          <w:p w14:paraId="57C92273"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5A3B7EFA"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12</w:t>
            </w:r>
          </w:p>
        </w:tc>
        <w:tc>
          <w:tcPr>
            <w:tcW w:w="1170" w:type="dxa"/>
            <w:shd w:val="clear" w:color="auto" w:fill="auto"/>
          </w:tcPr>
          <w:p w14:paraId="3783178F"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3B2BA184"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01A1E61A" w14:textId="77777777" w:rsidTr="000C7575">
        <w:tc>
          <w:tcPr>
            <w:tcW w:w="9299" w:type="dxa"/>
            <w:gridSpan w:val="6"/>
            <w:shd w:val="clear" w:color="auto" w:fill="auto"/>
          </w:tcPr>
          <w:p w14:paraId="164F7756"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en-GB"/>
              </w:rPr>
            </w:pPr>
            <w:r w:rsidRPr="00B25C5B">
              <w:rPr>
                <w:rFonts w:ascii="Arial" w:eastAsia="MS Mincho" w:hAnsi="Arial" w:cs="Arial"/>
                <w:b/>
                <w:sz w:val="18"/>
                <w:szCs w:val="18"/>
                <w:lang w:val="en-US" w:eastAsia="zh-CN"/>
              </w:rPr>
              <w:t>Blood and lymphatic system disorders</w:t>
            </w:r>
          </w:p>
        </w:tc>
      </w:tr>
      <w:tr w:rsidR="00B25C5B" w:rsidRPr="00B25C5B" w14:paraId="76B97BE8" w14:textId="77777777" w:rsidTr="000C7575">
        <w:tc>
          <w:tcPr>
            <w:tcW w:w="3258" w:type="dxa"/>
            <w:shd w:val="clear" w:color="auto" w:fill="auto"/>
          </w:tcPr>
          <w:p w14:paraId="3B052E57"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Neutropenia</w:t>
            </w:r>
            <w:r w:rsidRPr="00B25C5B">
              <w:rPr>
                <w:rFonts w:ascii="Arial" w:eastAsia="MS Mincho" w:hAnsi="Arial" w:cs="Arial"/>
                <w:sz w:val="18"/>
                <w:szCs w:val="18"/>
                <w:vertAlign w:val="superscript"/>
                <w:lang w:val="en-US" w:eastAsia="zh-CN"/>
              </w:rPr>
              <w:t>2)</w:t>
            </w:r>
          </w:p>
        </w:tc>
        <w:tc>
          <w:tcPr>
            <w:tcW w:w="1170" w:type="dxa"/>
            <w:shd w:val="clear" w:color="auto" w:fill="auto"/>
          </w:tcPr>
          <w:p w14:paraId="50CF909A"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10</w:t>
            </w:r>
          </w:p>
        </w:tc>
        <w:tc>
          <w:tcPr>
            <w:tcW w:w="1170" w:type="dxa"/>
            <w:shd w:val="clear" w:color="auto" w:fill="auto"/>
          </w:tcPr>
          <w:p w14:paraId="45EB56CF"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5</w:t>
            </w:r>
          </w:p>
        </w:tc>
        <w:tc>
          <w:tcPr>
            <w:tcW w:w="1170" w:type="dxa"/>
            <w:shd w:val="clear" w:color="auto" w:fill="auto"/>
          </w:tcPr>
          <w:p w14:paraId="706E2E7E"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4DFA9C2C"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22461C54"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7FCB64BD" w14:textId="77777777" w:rsidTr="000C7575">
        <w:tc>
          <w:tcPr>
            <w:tcW w:w="9299" w:type="dxa"/>
            <w:gridSpan w:val="6"/>
            <w:shd w:val="clear" w:color="auto" w:fill="auto"/>
          </w:tcPr>
          <w:p w14:paraId="44D378BB"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en-GB"/>
              </w:rPr>
            </w:pPr>
            <w:r w:rsidRPr="00B25C5B">
              <w:rPr>
                <w:rFonts w:ascii="Arial" w:eastAsia="MS Mincho" w:hAnsi="Arial" w:cs="Arial"/>
                <w:b/>
                <w:sz w:val="18"/>
                <w:szCs w:val="18"/>
                <w:lang w:val="en-US" w:eastAsia="zh-CN"/>
              </w:rPr>
              <w:t>Metabolism and nutrition disorders</w:t>
            </w:r>
          </w:p>
        </w:tc>
      </w:tr>
      <w:tr w:rsidR="00B25C5B" w:rsidRPr="00B25C5B" w14:paraId="3F098841" w14:textId="77777777" w:rsidTr="000C7575">
        <w:tc>
          <w:tcPr>
            <w:tcW w:w="3258" w:type="dxa"/>
            <w:shd w:val="clear" w:color="auto" w:fill="auto"/>
          </w:tcPr>
          <w:p w14:paraId="38E49973"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Decreased appetite</w:t>
            </w:r>
          </w:p>
        </w:tc>
        <w:tc>
          <w:tcPr>
            <w:tcW w:w="1170" w:type="dxa"/>
            <w:shd w:val="clear" w:color="auto" w:fill="auto"/>
          </w:tcPr>
          <w:p w14:paraId="34DFB51B"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11</w:t>
            </w:r>
          </w:p>
        </w:tc>
        <w:tc>
          <w:tcPr>
            <w:tcW w:w="1170" w:type="dxa"/>
            <w:shd w:val="clear" w:color="auto" w:fill="auto"/>
          </w:tcPr>
          <w:p w14:paraId="0533AEF8"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2ACC119F"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6</w:t>
            </w:r>
          </w:p>
        </w:tc>
        <w:tc>
          <w:tcPr>
            <w:tcW w:w="1170" w:type="dxa"/>
            <w:shd w:val="clear" w:color="auto" w:fill="auto"/>
          </w:tcPr>
          <w:p w14:paraId="71CCDD12"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5B49F359"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4DC8E97E" w14:textId="77777777" w:rsidTr="000C7575">
        <w:tc>
          <w:tcPr>
            <w:tcW w:w="9299" w:type="dxa"/>
            <w:gridSpan w:val="6"/>
            <w:shd w:val="clear" w:color="auto" w:fill="auto"/>
          </w:tcPr>
          <w:p w14:paraId="6BBD072B"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en-GB"/>
              </w:rPr>
            </w:pPr>
            <w:r w:rsidRPr="00B25C5B">
              <w:rPr>
                <w:rFonts w:ascii="Arial" w:eastAsia="MS Mincho" w:hAnsi="Arial" w:cs="Arial"/>
                <w:b/>
                <w:sz w:val="18"/>
                <w:szCs w:val="18"/>
                <w:lang w:val="en-US" w:eastAsia="zh-CN"/>
              </w:rPr>
              <w:t>Nervous system disorders</w:t>
            </w:r>
          </w:p>
        </w:tc>
      </w:tr>
      <w:tr w:rsidR="00B25C5B" w:rsidRPr="00B25C5B" w14:paraId="4B3A81B5" w14:textId="77777777" w:rsidTr="000C7575">
        <w:tc>
          <w:tcPr>
            <w:tcW w:w="3258" w:type="dxa"/>
            <w:shd w:val="clear" w:color="auto" w:fill="auto"/>
          </w:tcPr>
          <w:p w14:paraId="2FB25DC4"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Headache</w:t>
            </w:r>
            <w:r w:rsidRPr="00B25C5B">
              <w:rPr>
                <w:rFonts w:ascii="Arial" w:eastAsia="MS Mincho" w:hAnsi="Arial" w:cs="Arial"/>
                <w:sz w:val="18"/>
                <w:szCs w:val="18"/>
                <w:vertAlign w:val="superscript"/>
                <w:lang w:val="en-US" w:eastAsia="zh-CN"/>
              </w:rPr>
              <w:t>3)</w:t>
            </w:r>
          </w:p>
        </w:tc>
        <w:tc>
          <w:tcPr>
            <w:tcW w:w="1170" w:type="dxa"/>
            <w:shd w:val="clear" w:color="auto" w:fill="auto"/>
          </w:tcPr>
          <w:p w14:paraId="68C3FD9F"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39</w:t>
            </w:r>
          </w:p>
        </w:tc>
        <w:tc>
          <w:tcPr>
            <w:tcW w:w="1170" w:type="dxa"/>
            <w:shd w:val="clear" w:color="auto" w:fill="auto"/>
          </w:tcPr>
          <w:p w14:paraId="41E5994C"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w:t>
            </w:r>
          </w:p>
        </w:tc>
        <w:tc>
          <w:tcPr>
            <w:tcW w:w="1170" w:type="dxa"/>
            <w:shd w:val="clear" w:color="auto" w:fill="auto"/>
          </w:tcPr>
          <w:p w14:paraId="2036DEF7"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24</w:t>
            </w:r>
          </w:p>
        </w:tc>
        <w:tc>
          <w:tcPr>
            <w:tcW w:w="1170" w:type="dxa"/>
            <w:shd w:val="clear" w:color="auto" w:fill="auto"/>
          </w:tcPr>
          <w:p w14:paraId="741461D9"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4CFAC3E8"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58A9D51B" w14:textId="77777777" w:rsidTr="000C7575">
        <w:tc>
          <w:tcPr>
            <w:tcW w:w="3258" w:type="dxa"/>
            <w:shd w:val="clear" w:color="auto" w:fill="auto"/>
          </w:tcPr>
          <w:p w14:paraId="1E8EE236"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Dizziness</w:t>
            </w:r>
            <w:r w:rsidRPr="00B25C5B">
              <w:rPr>
                <w:rFonts w:ascii="Arial" w:eastAsia="MS Mincho" w:hAnsi="Arial" w:cs="Arial"/>
                <w:sz w:val="18"/>
                <w:szCs w:val="18"/>
                <w:vertAlign w:val="superscript"/>
                <w:lang w:val="en-US" w:eastAsia="zh-CN"/>
              </w:rPr>
              <w:t>4)</w:t>
            </w:r>
          </w:p>
        </w:tc>
        <w:tc>
          <w:tcPr>
            <w:tcW w:w="1170" w:type="dxa"/>
            <w:shd w:val="clear" w:color="auto" w:fill="auto"/>
          </w:tcPr>
          <w:p w14:paraId="6A88E2D8"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11</w:t>
            </w:r>
          </w:p>
        </w:tc>
        <w:tc>
          <w:tcPr>
            <w:tcW w:w="1170" w:type="dxa"/>
            <w:shd w:val="clear" w:color="auto" w:fill="auto"/>
          </w:tcPr>
          <w:p w14:paraId="20735F46"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051ABC00"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10</w:t>
            </w:r>
          </w:p>
        </w:tc>
        <w:tc>
          <w:tcPr>
            <w:tcW w:w="1170" w:type="dxa"/>
            <w:shd w:val="clear" w:color="auto" w:fill="auto"/>
          </w:tcPr>
          <w:p w14:paraId="6DAB0EFC"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566AC238"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5C4D8692" w14:textId="77777777" w:rsidTr="000C7575">
        <w:tc>
          <w:tcPr>
            <w:tcW w:w="9299" w:type="dxa"/>
            <w:gridSpan w:val="6"/>
            <w:shd w:val="clear" w:color="auto" w:fill="auto"/>
          </w:tcPr>
          <w:p w14:paraId="066142D5"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en-GB"/>
              </w:rPr>
            </w:pPr>
            <w:r w:rsidRPr="00B25C5B">
              <w:rPr>
                <w:rFonts w:ascii="Arial" w:eastAsia="MS Mincho" w:hAnsi="Arial" w:cs="Arial"/>
                <w:b/>
                <w:sz w:val="18"/>
                <w:szCs w:val="18"/>
                <w:lang w:val="en-US" w:eastAsia="zh-CN"/>
              </w:rPr>
              <w:t>Eye disorders</w:t>
            </w:r>
          </w:p>
        </w:tc>
      </w:tr>
      <w:tr w:rsidR="00B25C5B" w:rsidRPr="00B25C5B" w14:paraId="540E3AE0" w14:textId="77777777" w:rsidTr="000C7575">
        <w:tc>
          <w:tcPr>
            <w:tcW w:w="3258" w:type="dxa"/>
            <w:shd w:val="clear" w:color="auto" w:fill="auto"/>
          </w:tcPr>
          <w:p w14:paraId="25307ACA"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Uveitis</w:t>
            </w:r>
          </w:p>
        </w:tc>
        <w:tc>
          <w:tcPr>
            <w:tcW w:w="1170" w:type="dxa"/>
            <w:shd w:val="clear" w:color="auto" w:fill="auto"/>
          </w:tcPr>
          <w:p w14:paraId="4FE35280"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w:t>
            </w:r>
          </w:p>
        </w:tc>
        <w:tc>
          <w:tcPr>
            <w:tcW w:w="1170" w:type="dxa"/>
            <w:shd w:val="clear" w:color="auto" w:fill="auto"/>
          </w:tcPr>
          <w:p w14:paraId="5EE0DE67"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73C0F074"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4BD58694"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5998C018"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Common</w:t>
            </w:r>
          </w:p>
        </w:tc>
      </w:tr>
      <w:tr w:rsidR="00B25C5B" w:rsidRPr="00B25C5B" w14:paraId="5B006E99" w14:textId="77777777" w:rsidTr="000C7575">
        <w:tc>
          <w:tcPr>
            <w:tcW w:w="3258" w:type="dxa"/>
            <w:shd w:val="clear" w:color="auto" w:fill="auto"/>
          </w:tcPr>
          <w:p w14:paraId="40F57B44"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Chorioretinopathy</w:t>
            </w:r>
            <w:r w:rsidRPr="00B25C5B">
              <w:rPr>
                <w:rFonts w:ascii="Arial" w:eastAsia="MS Mincho" w:hAnsi="Arial" w:cs="Arial"/>
                <w:sz w:val="18"/>
                <w:szCs w:val="18"/>
                <w:vertAlign w:val="superscript"/>
                <w:lang w:val="en-US" w:eastAsia="zh-CN"/>
              </w:rPr>
              <w:t>5)</w:t>
            </w:r>
          </w:p>
        </w:tc>
        <w:tc>
          <w:tcPr>
            <w:tcW w:w="1170" w:type="dxa"/>
            <w:shd w:val="clear" w:color="auto" w:fill="auto"/>
          </w:tcPr>
          <w:p w14:paraId="2486BC04"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w:t>
            </w:r>
          </w:p>
        </w:tc>
        <w:tc>
          <w:tcPr>
            <w:tcW w:w="1170" w:type="dxa"/>
            <w:shd w:val="clear" w:color="auto" w:fill="auto"/>
          </w:tcPr>
          <w:p w14:paraId="5FE7B6E6"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57608067"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2C2ACA02"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0094795C"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Common</w:t>
            </w:r>
          </w:p>
        </w:tc>
      </w:tr>
      <w:tr w:rsidR="00B25C5B" w:rsidRPr="00B25C5B" w14:paraId="1B8BC358" w14:textId="77777777" w:rsidTr="000C7575">
        <w:tc>
          <w:tcPr>
            <w:tcW w:w="3258" w:type="dxa"/>
            <w:shd w:val="clear" w:color="auto" w:fill="auto"/>
          </w:tcPr>
          <w:p w14:paraId="3A9FDBEB"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Retinal detachment</w:t>
            </w:r>
            <w:r w:rsidRPr="00B25C5B">
              <w:rPr>
                <w:rFonts w:ascii="Arial" w:eastAsia="MS Mincho" w:hAnsi="Arial" w:cs="Arial"/>
                <w:sz w:val="18"/>
                <w:szCs w:val="18"/>
                <w:vertAlign w:val="superscript"/>
                <w:lang w:val="en-US" w:eastAsia="zh-CN"/>
              </w:rPr>
              <w:t>6)</w:t>
            </w:r>
          </w:p>
        </w:tc>
        <w:tc>
          <w:tcPr>
            <w:tcW w:w="1170" w:type="dxa"/>
            <w:shd w:val="clear" w:color="auto" w:fill="auto"/>
          </w:tcPr>
          <w:p w14:paraId="21C4A0BD"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w:t>
            </w:r>
          </w:p>
        </w:tc>
        <w:tc>
          <w:tcPr>
            <w:tcW w:w="1170" w:type="dxa"/>
            <w:shd w:val="clear" w:color="auto" w:fill="auto"/>
          </w:tcPr>
          <w:p w14:paraId="0F572863"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1DB51A82"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47C6BE13"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2E76B85E"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Common</w:t>
            </w:r>
          </w:p>
        </w:tc>
      </w:tr>
      <w:tr w:rsidR="00B25C5B" w:rsidRPr="00B25C5B" w14:paraId="1AEFB64D" w14:textId="77777777" w:rsidTr="000C7575">
        <w:tc>
          <w:tcPr>
            <w:tcW w:w="9299" w:type="dxa"/>
            <w:gridSpan w:val="6"/>
            <w:shd w:val="clear" w:color="auto" w:fill="auto"/>
          </w:tcPr>
          <w:p w14:paraId="5BD1CE99"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en-GB"/>
              </w:rPr>
            </w:pPr>
            <w:r w:rsidRPr="00B25C5B">
              <w:rPr>
                <w:rFonts w:ascii="Arial" w:eastAsia="MS Mincho" w:hAnsi="Arial" w:cs="Arial"/>
                <w:b/>
                <w:sz w:val="18"/>
                <w:szCs w:val="18"/>
                <w:lang w:val="en-US" w:eastAsia="zh-CN"/>
              </w:rPr>
              <w:t>Vascular disorders</w:t>
            </w:r>
          </w:p>
        </w:tc>
      </w:tr>
      <w:tr w:rsidR="00B25C5B" w:rsidRPr="00B25C5B" w14:paraId="656DD54F" w14:textId="77777777" w:rsidTr="000C7575">
        <w:tc>
          <w:tcPr>
            <w:tcW w:w="3258" w:type="dxa"/>
            <w:shd w:val="clear" w:color="auto" w:fill="auto"/>
          </w:tcPr>
          <w:p w14:paraId="79315EF8"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Haemorrhage</w:t>
            </w:r>
            <w:r w:rsidRPr="00B25C5B">
              <w:rPr>
                <w:rFonts w:ascii="Arial" w:eastAsia="MS Mincho" w:hAnsi="Arial" w:cs="Arial"/>
                <w:sz w:val="18"/>
                <w:szCs w:val="18"/>
                <w:vertAlign w:val="superscript"/>
                <w:lang w:val="en-US" w:eastAsia="zh-CN"/>
              </w:rPr>
              <w:t>7)</w:t>
            </w:r>
          </w:p>
        </w:tc>
        <w:tc>
          <w:tcPr>
            <w:tcW w:w="1170" w:type="dxa"/>
            <w:shd w:val="clear" w:color="auto" w:fill="auto"/>
          </w:tcPr>
          <w:p w14:paraId="7615365E"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15</w:t>
            </w:r>
          </w:p>
        </w:tc>
        <w:tc>
          <w:tcPr>
            <w:tcW w:w="1170" w:type="dxa"/>
            <w:shd w:val="clear" w:color="auto" w:fill="auto"/>
          </w:tcPr>
          <w:p w14:paraId="26D3B21B"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22647653"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4</w:t>
            </w:r>
          </w:p>
        </w:tc>
        <w:tc>
          <w:tcPr>
            <w:tcW w:w="1170" w:type="dxa"/>
            <w:shd w:val="clear" w:color="auto" w:fill="auto"/>
          </w:tcPr>
          <w:p w14:paraId="031C10B1"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361" w:type="dxa"/>
            <w:shd w:val="clear" w:color="auto" w:fill="auto"/>
          </w:tcPr>
          <w:p w14:paraId="66B9152A"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38E3B344" w14:textId="77777777" w:rsidTr="000C7575">
        <w:tc>
          <w:tcPr>
            <w:tcW w:w="3258" w:type="dxa"/>
            <w:shd w:val="clear" w:color="auto" w:fill="auto"/>
          </w:tcPr>
          <w:p w14:paraId="419D1B81"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Hypertension</w:t>
            </w:r>
            <w:r w:rsidRPr="00B25C5B">
              <w:rPr>
                <w:rFonts w:ascii="Arial" w:eastAsia="MS Mincho" w:hAnsi="Arial" w:cs="Arial"/>
                <w:sz w:val="18"/>
                <w:szCs w:val="18"/>
                <w:vertAlign w:val="superscript"/>
                <w:lang w:val="en-US" w:eastAsia="zh-CN"/>
              </w:rPr>
              <w:t>8)</w:t>
            </w:r>
          </w:p>
        </w:tc>
        <w:tc>
          <w:tcPr>
            <w:tcW w:w="1170" w:type="dxa"/>
            <w:shd w:val="clear" w:color="auto" w:fill="auto"/>
          </w:tcPr>
          <w:p w14:paraId="4334FB9B"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11</w:t>
            </w:r>
          </w:p>
        </w:tc>
        <w:tc>
          <w:tcPr>
            <w:tcW w:w="1170" w:type="dxa"/>
            <w:shd w:val="clear" w:color="auto" w:fill="auto"/>
          </w:tcPr>
          <w:p w14:paraId="62A537AF"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6</w:t>
            </w:r>
          </w:p>
        </w:tc>
        <w:tc>
          <w:tcPr>
            <w:tcW w:w="1170" w:type="dxa"/>
            <w:shd w:val="clear" w:color="auto" w:fill="auto"/>
          </w:tcPr>
          <w:p w14:paraId="77560E43"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8</w:t>
            </w:r>
          </w:p>
        </w:tc>
        <w:tc>
          <w:tcPr>
            <w:tcW w:w="1170" w:type="dxa"/>
            <w:shd w:val="clear" w:color="auto" w:fill="auto"/>
          </w:tcPr>
          <w:p w14:paraId="3B6E0A70"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2</w:t>
            </w:r>
          </w:p>
        </w:tc>
        <w:tc>
          <w:tcPr>
            <w:tcW w:w="1361" w:type="dxa"/>
            <w:shd w:val="clear" w:color="auto" w:fill="auto"/>
          </w:tcPr>
          <w:p w14:paraId="07934C53"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2FDC9F53" w14:textId="77777777" w:rsidTr="000C7575">
        <w:tc>
          <w:tcPr>
            <w:tcW w:w="9299" w:type="dxa"/>
            <w:gridSpan w:val="6"/>
            <w:shd w:val="clear" w:color="auto" w:fill="auto"/>
          </w:tcPr>
          <w:p w14:paraId="12610A81"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en-GB"/>
              </w:rPr>
            </w:pPr>
            <w:r w:rsidRPr="00B25C5B">
              <w:rPr>
                <w:rFonts w:ascii="Arial" w:eastAsia="MS Mincho" w:hAnsi="Arial" w:cs="Arial"/>
                <w:b/>
                <w:sz w:val="18"/>
                <w:szCs w:val="18"/>
                <w:lang w:val="en-US" w:eastAsia="zh-CN"/>
              </w:rPr>
              <w:t>Respiratory, thoracic, and mediastinal disorders</w:t>
            </w:r>
          </w:p>
        </w:tc>
      </w:tr>
      <w:tr w:rsidR="00B25C5B" w:rsidRPr="00B25C5B" w14:paraId="601AB3D8" w14:textId="77777777" w:rsidTr="000C7575">
        <w:tc>
          <w:tcPr>
            <w:tcW w:w="3258" w:type="dxa"/>
            <w:shd w:val="clear" w:color="auto" w:fill="auto"/>
          </w:tcPr>
          <w:p w14:paraId="3DD9104A"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Cough</w:t>
            </w:r>
            <w:r w:rsidRPr="00B25C5B">
              <w:rPr>
                <w:rFonts w:ascii="Arial" w:eastAsia="MS Mincho" w:hAnsi="Arial" w:cs="Arial"/>
                <w:sz w:val="18"/>
                <w:szCs w:val="18"/>
                <w:vertAlign w:val="superscript"/>
                <w:lang w:val="en-US" w:eastAsia="zh-CN"/>
              </w:rPr>
              <w:t>9)</w:t>
            </w:r>
          </w:p>
        </w:tc>
        <w:tc>
          <w:tcPr>
            <w:tcW w:w="1170" w:type="dxa"/>
            <w:shd w:val="clear" w:color="auto" w:fill="auto"/>
          </w:tcPr>
          <w:p w14:paraId="4B52B841"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17</w:t>
            </w:r>
          </w:p>
        </w:tc>
        <w:tc>
          <w:tcPr>
            <w:tcW w:w="1170" w:type="dxa"/>
            <w:shd w:val="clear" w:color="auto" w:fill="auto"/>
          </w:tcPr>
          <w:p w14:paraId="3F73797E"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170" w:type="dxa"/>
            <w:shd w:val="clear" w:color="auto" w:fill="auto"/>
          </w:tcPr>
          <w:p w14:paraId="4C08B57B"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8</w:t>
            </w:r>
          </w:p>
        </w:tc>
        <w:tc>
          <w:tcPr>
            <w:tcW w:w="1170" w:type="dxa"/>
            <w:shd w:val="clear" w:color="auto" w:fill="auto"/>
          </w:tcPr>
          <w:p w14:paraId="0527204E"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490F0409"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6CC7BF45" w14:textId="77777777" w:rsidTr="000C7575">
        <w:tc>
          <w:tcPr>
            <w:tcW w:w="9299" w:type="dxa"/>
            <w:gridSpan w:val="6"/>
            <w:shd w:val="clear" w:color="auto" w:fill="auto"/>
          </w:tcPr>
          <w:p w14:paraId="7B7258DB"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en-GB"/>
              </w:rPr>
            </w:pPr>
            <w:r w:rsidRPr="00B25C5B">
              <w:rPr>
                <w:rFonts w:ascii="Arial" w:eastAsia="MS Mincho" w:hAnsi="Arial" w:cs="Arial"/>
                <w:b/>
                <w:sz w:val="18"/>
                <w:szCs w:val="18"/>
                <w:lang w:val="en-US" w:eastAsia="zh-CN"/>
              </w:rPr>
              <w:t>Gastrointestinal disorders</w:t>
            </w:r>
          </w:p>
        </w:tc>
      </w:tr>
      <w:tr w:rsidR="00B25C5B" w:rsidRPr="00B25C5B" w14:paraId="40FF593B" w14:textId="77777777" w:rsidTr="000C7575">
        <w:tc>
          <w:tcPr>
            <w:tcW w:w="3258" w:type="dxa"/>
            <w:shd w:val="clear" w:color="auto" w:fill="auto"/>
          </w:tcPr>
          <w:p w14:paraId="4601A1B1"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Nausea</w:t>
            </w:r>
          </w:p>
        </w:tc>
        <w:tc>
          <w:tcPr>
            <w:tcW w:w="1170" w:type="dxa"/>
            <w:shd w:val="clear" w:color="auto" w:fill="auto"/>
          </w:tcPr>
          <w:p w14:paraId="47A4E53B"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40</w:t>
            </w:r>
          </w:p>
        </w:tc>
        <w:tc>
          <w:tcPr>
            <w:tcW w:w="1170" w:type="dxa"/>
            <w:shd w:val="clear" w:color="auto" w:fill="auto"/>
          </w:tcPr>
          <w:p w14:paraId="1BFAF1C9"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051A6E56"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20</w:t>
            </w:r>
          </w:p>
        </w:tc>
        <w:tc>
          <w:tcPr>
            <w:tcW w:w="1170" w:type="dxa"/>
            <w:shd w:val="clear" w:color="auto" w:fill="auto"/>
          </w:tcPr>
          <w:p w14:paraId="62078333"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554130F0"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4B38DA24" w14:textId="77777777" w:rsidTr="000C7575">
        <w:tc>
          <w:tcPr>
            <w:tcW w:w="3258" w:type="dxa"/>
            <w:shd w:val="clear" w:color="auto" w:fill="auto"/>
          </w:tcPr>
          <w:p w14:paraId="1F0EF172"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Diarrhoea</w:t>
            </w:r>
          </w:p>
        </w:tc>
        <w:tc>
          <w:tcPr>
            <w:tcW w:w="1170" w:type="dxa"/>
            <w:shd w:val="clear" w:color="auto" w:fill="auto"/>
          </w:tcPr>
          <w:p w14:paraId="1B51610F"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33</w:t>
            </w:r>
          </w:p>
        </w:tc>
        <w:tc>
          <w:tcPr>
            <w:tcW w:w="1170" w:type="dxa"/>
            <w:shd w:val="clear" w:color="auto" w:fill="auto"/>
          </w:tcPr>
          <w:p w14:paraId="1C052A3C"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0D31F29A"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15</w:t>
            </w:r>
          </w:p>
        </w:tc>
        <w:tc>
          <w:tcPr>
            <w:tcW w:w="1170" w:type="dxa"/>
            <w:shd w:val="clear" w:color="auto" w:fill="auto"/>
          </w:tcPr>
          <w:p w14:paraId="5034B744"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361" w:type="dxa"/>
            <w:shd w:val="clear" w:color="auto" w:fill="auto"/>
          </w:tcPr>
          <w:p w14:paraId="116783D2"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4ACD637E" w14:textId="77777777" w:rsidTr="000C7575">
        <w:tc>
          <w:tcPr>
            <w:tcW w:w="3258" w:type="dxa"/>
            <w:shd w:val="clear" w:color="auto" w:fill="auto"/>
          </w:tcPr>
          <w:p w14:paraId="5F158286"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Vomiting</w:t>
            </w:r>
          </w:p>
        </w:tc>
        <w:tc>
          <w:tcPr>
            <w:tcW w:w="1170" w:type="dxa"/>
            <w:shd w:val="clear" w:color="auto" w:fill="auto"/>
          </w:tcPr>
          <w:p w14:paraId="573D3AA6"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28</w:t>
            </w:r>
          </w:p>
        </w:tc>
        <w:tc>
          <w:tcPr>
            <w:tcW w:w="1170" w:type="dxa"/>
            <w:shd w:val="clear" w:color="auto" w:fill="auto"/>
          </w:tcPr>
          <w:p w14:paraId="62FFE8B1"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0E8EA7D8"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10</w:t>
            </w:r>
          </w:p>
        </w:tc>
        <w:tc>
          <w:tcPr>
            <w:tcW w:w="1170" w:type="dxa"/>
            <w:shd w:val="clear" w:color="auto" w:fill="auto"/>
          </w:tcPr>
          <w:p w14:paraId="11C9BF45"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03BB7D95"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33530994" w14:textId="77777777" w:rsidTr="000C7575">
        <w:tc>
          <w:tcPr>
            <w:tcW w:w="3258" w:type="dxa"/>
            <w:shd w:val="clear" w:color="auto" w:fill="auto"/>
          </w:tcPr>
          <w:p w14:paraId="446EB29D"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Abdominal pain</w:t>
            </w:r>
            <w:r w:rsidRPr="00B25C5B">
              <w:rPr>
                <w:rFonts w:ascii="Arial" w:eastAsia="MS Mincho" w:hAnsi="Arial" w:cs="Arial"/>
                <w:sz w:val="18"/>
                <w:szCs w:val="18"/>
                <w:vertAlign w:val="superscript"/>
                <w:lang w:val="en-US" w:eastAsia="zh-CN"/>
              </w:rPr>
              <w:t>10)</w:t>
            </w:r>
          </w:p>
        </w:tc>
        <w:tc>
          <w:tcPr>
            <w:tcW w:w="1170" w:type="dxa"/>
            <w:shd w:val="clear" w:color="auto" w:fill="auto"/>
          </w:tcPr>
          <w:p w14:paraId="65C702B4"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16</w:t>
            </w:r>
          </w:p>
        </w:tc>
        <w:tc>
          <w:tcPr>
            <w:tcW w:w="1170" w:type="dxa"/>
            <w:shd w:val="clear" w:color="auto" w:fill="auto"/>
          </w:tcPr>
          <w:p w14:paraId="1EBFB325"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3B4860AB"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11</w:t>
            </w:r>
          </w:p>
        </w:tc>
        <w:tc>
          <w:tcPr>
            <w:tcW w:w="1170" w:type="dxa"/>
            <w:shd w:val="clear" w:color="auto" w:fill="auto"/>
          </w:tcPr>
          <w:p w14:paraId="62B14BDF"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361" w:type="dxa"/>
            <w:shd w:val="clear" w:color="auto" w:fill="auto"/>
          </w:tcPr>
          <w:p w14:paraId="46B89C5A"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7961C8E5" w14:textId="77777777" w:rsidTr="000C7575">
        <w:tc>
          <w:tcPr>
            <w:tcW w:w="3258" w:type="dxa"/>
            <w:shd w:val="clear" w:color="auto" w:fill="auto"/>
          </w:tcPr>
          <w:p w14:paraId="13A3474A"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Constipation</w:t>
            </w:r>
          </w:p>
        </w:tc>
        <w:tc>
          <w:tcPr>
            <w:tcW w:w="1170" w:type="dxa"/>
            <w:shd w:val="clear" w:color="auto" w:fill="auto"/>
          </w:tcPr>
          <w:p w14:paraId="79F29129"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12</w:t>
            </w:r>
          </w:p>
        </w:tc>
        <w:tc>
          <w:tcPr>
            <w:tcW w:w="1170" w:type="dxa"/>
            <w:shd w:val="clear" w:color="auto" w:fill="auto"/>
          </w:tcPr>
          <w:p w14:paraId="69B7C355"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170" w:type="dxa"/>
            <w:shd w:val="clear" w:color="auto" w:fill="auto"/>
          </w:tcPr>
          <w:p w14:paraId="49CD9461"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6</w:t>
            </w:r>
          </w:p>
        </w:tc>
        <w:tc>
          <w:tcPr>
            <w:tcW w:w="1170" w:type="dxa"/>
            <w:shd w:val="clear" w:color="auto" w:fill="auto"/>
          </w:tcPr>
          <w:p w14:paraId="6EC23AC8"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2C55F9ED"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3492EDF7" w14:textId="77777777" w:rsidTr="000C7575">
        <w:tc>
          <w:tcPr>
            <w:tcW w:w="9299" w:type="dxa"/>
            <w:gridSpan w:val="6"/>
            <w:shd w:val="clear" w:color="auto" w:fill="auto"/>
          </w:tcPr>
          <w:p w14:paraId="3764E431"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en-GB"/>
              </w:rPr>
            </w:pPr>
            <w:r w:rsidRPr="00B25C5B">
              <w:rPr>
                <w:rFonts w:ascii="Arial" w:eastAsia="MS Mincho" w:hAnsi="Arial" w:cs="Arial"/>
                <w:b/>
                <w:sz w:val="18"/>
                <w:szCs w:val="18"/>
                <w:lang w:val="en-US" w:eastAsia="zh-CN"/>
              </w:rPr>
              <w:t>Skin and subcutaneous tissue disorders</w:t>
            </w:r>
          </w:p>
        </w:tc>
      </w:tr>
      <w:tr w:rsidR="00B25C5B" w:rsidRPr="00B25C5B" w14:paraId="65AD15EB" w14:textId="77777777" w:rsidTr="000C7575">
        <w:tc>
          <w:tcPr>
            <w:tcW w:w="3258" w:type="dxa"/>
            <w:shd w:val="clear" w:color="auto" w:fill="auto"/>
          </w:tcPr>
          <w:p w14:paraId="03BFDF1F"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Rash</w:t>
            </w:r>
            <w:r w:rsidRPr="00B25C5B">
              <w:rPr>
                <w:rFonts w:ascii="Arial" w:eastAsia="MS Mincho" w:hAnsi="Arial" w:cs="Arial"/>
                <w:sz w:val="18"/>
                <w:szCs w:val="18"/>
                <w:vertAlign w:val="superscript"/>
                <w:lang w:val="en-US" w:eastAsia="zh-CN"/>
              </w:rPr>
              <w:t>11)</w:t>
            </w:r>
          </w:p>
        </w:tc>
        <w:tc>
          <w:tcPr>
            <w:tcW w:w="1170" w:type="dxa"/>
            <w:shd w:val="clear" w:color="auto" w:fill="auto"/>
          </w:tcPr>
          <w:p w14:paraId="72DF5930"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37</w:t>
            </w:r>
          </w:p>
        </w:tc>
        <w:tc>
          <w:tcPr>
            <w:tcW w:w="1170" w:type="dxa"/>
            <w:shd w:val="clear" w:color="auto" w:fill="auto"/>
          </w:tcPr>
          <w:p w14:paraId="7D6D77BA"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6B970CFC"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16</w:t>
            </w:r>
          </w:p>
        </w:tc>
        <w:tc>
          <w:tcPr>
            <w:tcW w:w="1170" w:type="dxa"/>
            <w:shd w:val="clear" w:color="auto" w:fill="auto"/>
          </w:tcPr>
          <w:p w14:paraId="1CDA077A"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361" w:type="dxa"/>
            <w:shd w:val="clear" w:color="auto" w:fill="auto"/>
          </w:tcPr>
          <w:p w14:paraId="735D8465"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6111717F" w14:textId="77777777" w:rsidTr="000C7575">
        <w:tc>
          <w:tcPr>
            <w:tcW w:w="3258" w:type="dxa"/>
            <w:shd w:val="clear" w:color="auto" w:fill="auto"/>
          </w:tcPr>
          <w:p w14:paraId="3C2EC2B2"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Dry skin</w:t>
            </w:r>
            <w:r w:rsidRPr="00B25C5B">
              <w:rPr>
                <w:rFonts w:ascii="Arial" w:eastAsia="MS Mincho" w:hAnsi="Arial" w:cs="Arial"/>
                <w:sz w:val="18"/>
                <w:szCs w:val="18"/>
                <w:vertAlign w:val="superscript"/>
                <w:lang w:val="en-US" w:eastAsia="zh-CN"/>
              </w:rPr>
              <w:t>12)</w:t>
            </w:r>
          </w:p>
        </w:tc>
        <w:tc>
          <w:tcPr>
            <w:tcW w:w="1170" w:type="dxa"/>
            <w:shd w:val="clear" w:color="auto" w:fill="auto"/>
          </w:tcPr>
          <w:p w14:paraId="68EFF6D6"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14</w:t>
            </w:r>
          </w:p>
        </w:tc>
        <w:tc>
          <w:tcPr>
            <w:tcW w:w="1170" w:type="dxa"/>
            <w:shd w:val="clear" w:color="auto" w:fill="auto"/>
          </w:tcPr>
          <w:p w14:paraId="58DD5738"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170" w:type="dxa"/>
            <w:shd w:val="clear" w:color="auto" w:fill="auto"/>
          </w:tcPr>
          <w:p w14:paraId="3E67D344"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9</w:t>
            </w:r>
          </w:p>
        </w:tc>
        <w:tc>
          <w:tcPr>
            <w:tcW w:w="1170" w:type="dxa"/>
            <w:shd w:val="clear" w:color="auto" w:fill="auto"/>
          </w:tcPr>
          <w:p w14:paraId="30209BF7"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6E0C1869"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778A24A7" w14:textId="77777777" w:rsidTr="000C7575">
        <w:tc>
          <w:tcPr>
            <w:tcW w:w="3258" w:type="dxa"/>
            <w:shd w:val="clear" w:color="auto" w:fill="auto"/>
          </w:tcPr>
          <w:p w14:paraId="753C10FE"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Dermatitis acneiform</w:t>
            </w:r>
          </w:p>
        </w:tc>
        <w:tc>
          <w:tcPr>
            <w:tcW w:w="1170" w:type="dxa"/>
            <w:shd w:val="clear" w:color="auto" w:fill="auto"/>
          </w:tcPr>
          <w:p w14:paraId="1C64C3C8"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12</w:t>
            </w:r>
          </w:p>
        </w:tc>
        <w:tc>
          <w:tcPr>
            <w:tcW w:w="1170" w:type="dxa"/>
            <w:shd w:val="clear" w:color="auto" w:fill="auto"/>
          </w:tcPr>
          <w:p w14:paraId="60B78B86"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7C707289"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2</w:t>
            </w:r>
          </w:p>
        </w:tc>
        <w:tc>
          <w:tcPr>
            <w:tcW w:w="1170" w:type="dxa"/>
            <w:shd w:val="clear" w:color="auto" w:fill="auto"/>
          </w:tcPr>
          <w:p w14:paraId="00E6F054"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369E720D"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22E17E3B" w14:textId="77777777" w:rsidTr="000C7575">
        <w:tc>
          <w:tcPr>
            <w:tcW w:w="3258" w:type="dxa"/>
            <w:shd w:val="clear" w:color="auto" w:fill="auto"/>
          </w:tcPr>
          <w:p w14:paraId="09AD0E5C"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Erythema</w:t>
            </w:r>
            <w:r w:rsidRPr="00B25C5B">
              <w:rPr>
                <w:rFonts w:ascii="Arial" w:eastAsia="MS Mincho" w:hAnsi="Arial" w:cs="Arial"/>
                <w:sz w:val="18"/>
                <w:szCs w:val="18"/>
                <w:vertAlign w:val="superscript"/>
                <w:lang w:val="en-US" w:eastAsia="zh-CN"/>
              </w:rPr>
              <w:t>13)</w:t>
            </w:r>
          </w:p>
        </w:tc>
        <w:tc>
          <w:tcPr>
            <w:tcW w:w="1170" w:type="dxa"/>
            <w:shd w:val="clear" w:color="auto" w:fill="auto"/>
          </w:tcPr>
          <w:p w14:paraId="4F0CA448"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12</w:t>
            </w:r>
          </w:p>
        </w:tc>
        <w:tc>
          <w:tcPr>
            <w:tcW w:w="1170" w:type="dxa"/>
            <w:shd w:val="clear" w:color="auto" w:fill="auto"/>
          </w:tcPr>
          <w:p w14:paraId="33073539"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170" w:type="dxa"/>
            <w:shd w:val="clear" w:color="auto" w:fill="auto"/>
          </w:tcPr>
          <w:p w14:paraId="3691A818"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3</w:t>
            </w:r>
          </w:p>
        </w:tc>
        <w:tc>
          <w:tcPr>
            <w:tcW w:w="1170" w:type="dxa"/>
            <w:shd w:val="clear" w:color="auto" w:fill="auto"/>
          </w:tcPr>
          <w:p w14:paraId="0CEA7923"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1A35F415"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1278C757" w14:textId="77777777" w:rsidTr="000C7575">
        <w:tc>
          <w:tcPr>
            <w:tcW w:w="3258" w:type="dxa"/>
            <w:shd w:val="clear" w:color="auto" w:fill="auto"/>
          </w:tcPr>
          <w:p w14:paraId="3FB4648A"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Pruritus</w:t>
            </w:r>
            <w:r w:rsidRPr="00B25C5B">
              <w:rPr>
                <w:rFonts w:ascii="Arial" w:eastAsia="MS Mincho" w:hAnsi="Arial" w:cs="Arial"/>
                <w:sz w:val="18"/>
                <w:szCs w:val="18"/>
                <w:vertAlign w:val="superscript"/>
                <w:lang w:val="en-US" w:eastAsia="zh-CN"/>
              </w:rPr>
              <w:t>14)</w:t>
            </w:r>
          </w:p>
        </w:tc>
        <w:tc>
          <w:tcPr>
            <w:tcW w:w="1170" w:type="dxa"/>
            <w:shd w:val="clear" w:color="auto" w:fill="auto"/>
          </w:tcPr>
          <w:p w14:paraId="0681EA70"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11</w:t>
            </w:r>
          </w:p>
        </w:tc>
        <w:tc>
          <w:tcPr>
            <w:tcW w:w="1170" w:type="dxa"/>
            <w:shd w:val="clear" w:color="auto" w:fill="auto"/>
          </w:tcPr>
          <w:p w14:paraId="410B782B"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700DED46"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10</w:t>
            </w:r>
          </w:p>
        </w:tc>
        <w:tc>
          <w:tcPr>
            <w:tcW w:w="1170" w:type="dxa"/>
            <w:shd w:val="clear" w:color="auto" w:fill="auto"/>
          </w:tcPr>
          <w:p w14:paraId="61548698"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02BC7247"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6394461D" w14:textId="77777777" w:rsidTr="000C7575">
        <w:tc>
          <w:tcPr>
            <w:tcW w:w="3258" w:type="dxa"/>
            <w:shd w:val="clear" w:color="auto" w:fill="auto"/>
          </w:tcPr>
          <w:p w14:paraId="3E841B44"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Palmar-plantar erythrodysaesthesia syndrome</w:t>
            </w:r>
          </w:p>
        </w:tc>
        <w:tc>
          <w:tcPr>
            <w:tcW w:w="1170" w:type="dxa"/>
            <w:shd w:val="clear" w:color="auto" w:fill="auto"/>
          </w:tcPr>
          <w:p w14:paraId="6D16D532"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6</w:t>
            </w:r>
          </w:p>
        </w:tc>
        <w:tc>
          <w:tcPr>
            <w:tcW w:w="1170" w:type="dxa"/>
            <w:shd w:val="clear" w:color="auto" w:fill="auto"/>
          </w:tcPr>
          <w:p w14:paraId="1FFDC2AC"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6521FC5A"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w:t>
            </w:r>
          </w:p>
        </w:tc>
        <w:tc>
          <w:tcPr>
            <w:tcW w:w="1170" w:type="dxa"/>
            <w:shd w:val="clear" w:color="auto" w:fill="auto"/>
          </w:tcPr>
          <w:p w14:paraId="63DAE78D"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361" w:type="dxa"/>
            <w:shd w:val="clear" w:color="auto" w:fill="auto"/>
          </w:tcPr>
          <w:p w14:paraId="5FF20AC6"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Common</w:t>
            </w:r>
          </w:p>
        </w:tc>
      </w:tr>
      <w:tr w:rsidR="00B25C5B" w:rsidRPr="00B25C5B" w14:paraId="60E4BD44" w14:textId="77777777" w:rsidTr="000C7575">
        <w:tc>
          <w:tcPr>
            <w:tcW w:w="9299" w:type="dxa"/>
            <w:gridSpan w:val="6"/>
            <w:shd w:val="clear" w:color="auto" w:fill="auto"/>
          </w:tcPr>
          <w:p w14:paraId="4A52ADDC"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en-GB"/>
              </w:rPr>
            </w:pPr>
            <w:r w:rsidRPr="00B25C5B">
              <w:rPr>
                <w:rFonts w:ascii="Arial" w:eastAsia="MS Mincho" w:hAnsi="Arial" w:cs="Arial"/>
                <w:b/>
                <w:sz w:val="18"/>
                <w:szCs w:val="18"/>
                <w:lang w:val="en-US" w:eastAsia="zh-CN"/>
              </w:rPr>
              <w:t>Musculoskeletal and connective tissue disorders</w:t>
            </w:r>
          </w:p>
        </w:tc>
      </w:tr>
      <w:tr w:rsidR="00B25C5B" w:rsidRPr="00B25C5B" w14:paraId="42910857" w14:textId="77777777" w:rsidTr="000C7575">
        <w:tc>
          <w:tcPr>
            <w:tcW w:w="3258" w:type="dxa"/>
            <w:shd w:val="clear" w:color="auto" w:fill="auto"/>
          </w:tcPr>
          <w:p w14:paraId="423DCC92"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Arthralgia</w:t>
            </w:r>
          </w:p>
        </w:tc>
        <w:tc>
          <w:tcPr>
            <w:tcW w:w="1170" w:type="dxa"/>
            <w:shd w:val="clear" w:color="auto" w:fill="auto"/>
          </w:tcPr>
          <w:p w14:paraId="57DDC1F9"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28</w:t>
            </w:r>
          </w:p>
        </w:tc>
        <w:tc>
          <w:tcPr>
            <w:tcW w:w="1170" w:type="dxa"/>
            <w:shd w:val="clear" w:color="auto" w:fill="auto"/>
          </w:tcPr>
          <w:p w14:paraId="71674B7D"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22C7F90B"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14</w:t>
            </w:r>
          </w:p>
        </w:tc>
        <w:tc>
          <w:tcPr>
            <w:tcW w:w="1170" w:type="dxa"/>
            <w:shd w:val="clear" w:color="auto" w:fill="auto"/>
          </w:tcPr>
          <w:p w14:paraId="6CA9CD92"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49404B2E"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2264C1E7" w14:textId="77777777" w:rsidTr="000C7575">
        <w:tc>
          <w:tcPr>
            <w:tcW w:w="3258" w:type="dxa"/>
            <w:shd w:val="clear" w:color="auto" w:fill="auto"/>
          </w:tcPr>
          <w:p w14:paraId="50F9C945"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Myalgia</w:t>
            </w:r>
            <w:r w:rsidRPr="00B25C5B">
              <w:rPr>
                <w:rFonts w:ascii="Arial" w:eastAsia="MS Mincho" w:hAnsi="Arial" w:cs="Arial"/>
                <w:sz w:val="18"/>
                <w:szCs w:val="18"/>
                <w:vertAlign w:val="superscript"/>
                <w:lang w:val="en-US" w:eastAsia="zh-CN"/>
              </w:rPr>
              <w:t>15)</w:t>
            </w:r>
          </w:p>
        </w:tc>
        <w:tc>
          <w:tcPr>
            <w:tcW w:w="1170" w:type="dxa"/>
            <w:shd w:val="clear" w:color="auto" w:fill="auto"/>
          </w:tcPr>
          <w:p w14:paraId="19AB49D7"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20</w:t>
            </w:r>
          </w:p>
        </w:tc>
        <w:tc>
          <w:tcPr>
            <w:tcW w:w="1170" w:type="dxa"/>
            <w:shd w:val="clear" w:color="auto" w:fill="auto"/>
          </w:tcPr>
          <w:p w14:paraId="5B3C748D"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39502EF2"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14</w:t>
            </w:r>
          </w:p>
        </w:tc>
        <w:tc>
          <w:tcPr>
            <w:tcW w:w="1170" w:type="dxa"/>
            <w:shd w:val="clear" w:color="auto" w:fill="auto"/>
          </w:tcPr>
          <w:p w14:paraId="5425DF11"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4BEB7142"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4401EDDA" w14:textId="77777777" w:rsidTr="000C7575">
        <w:tc>
          <w:tcPr>
            <w:tcW w:w="3258" w:type="dxa"/>
            <w:shd w:val="clear" w:color="auto" w:fill="auto"/>
          </w:tcPr>
          <w:p w14:paraId="0E6F74FE"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Pain in extremity</w:t>
            </w:r>
          </w:p>
        </w:tc>
        <w:tc>
          <w:tcPr>
            <w:tcW w:w="1170" w:type="dxa"/>
            <w:shd w:val="clear" w:color="auto" w:fill="auto"/>
          </w:tcPr>
          <w:p w14:paraId="64E7DEFB"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14</w:t>
            </w:r>
          </w:p>
        </w:tc>
        <w:tc>
          <w:tcPr>
            <w:tcW w:w="1170" w:type="dxa"/>
            <w:shd w:val="clear" w:color="auto" w:fill="auto"/>
          </w:tcPr>
          <w:p w14:paraId="2E62318E"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0813DD6C"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9</w:t>
            </w:r>
          </w:p>
        </w:tc>
        <w:tc>
          <w:tcPr>
            <w:tcW w:w="1170" w:type="dxa"/>
            <w:shd w:val="clear" w:color="auto" w:fill="auto"/>
          </w:tcPr>
          <w:p w14:paraId="7D221AA0"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20645447"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6770F9FE" w14:textId="77777777" w:rsidTr="000C7575">
        <w:tc>
          <w:tcPr>
            <w:tcW w:w="3258" w:type="dxa"/>
            <w:shd w:val="clear" w:color="auto" w:fill="auto"/>
          </w:tcPr>
          <w:p w14:paraId="190E97AB"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Muscle spasms</w:t>
            </w:r>
            <w:r w:rsidRPr="00B25C5B">
              <w:rPr>
                <w:rFonts w:ascii="Arial" w:eastAsia="MS Mincho" w:hAnsi="Arial" w:cs="Arial"/>
                <w:sz w:val="18"/>
                <w:szCs w:val="18"/>
                <w:vertAlign w:val="superscript"/>
                <w:lang w:val="en-US" w:eastAsia="zh-CN"/>
              </w:rPr>
              <w:t>16)</w:t>
            </w:r>
          </w:p>
        </w:tc>
        <w:tc>
          <w:tcPr>
            <w:tcW w:w="1170" w:type="dxa"/>
            <w:shd w:val="clear" w:color="auto" w:fill="auto"/>
          </w:tcPr>
          <w:p w14:paraId="5FDD3BEF"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11</w:t>
            </w:r>
          </w:p>
        </w:tc>
        <w:tc>
          <w:tcPr>
            <w:tcW w:w="1170" w:type="dxa"/>
            <w:shd w:val="clear" w:color="auto" w:fill="auto"/>
          </w:tcPr>
          <w:p w14:paraId="45511E3C"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170" w:type="dxa"/>
            <w:shd w:val="clear" w:color="auto" w:fill="auto"/>
          </w:tcPr>
          <w:p w14:paraId="5401B88A"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4</w:t>
            </w:r>
          </w:p>
        </w:tc>
        <w:tc>
          <w:tcPr>
            <w:tcW w:w="1170" w:type="dxa"/>
            <w:shd w:val="clear" w:color="auto" w:fill="auto"/>
          </w:tcPr>
          <w:p w14:paraId="611170AE"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751CA849"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40809E83" w14:textId="77777777" w:rsidTr="000C7575">
        <w:tc>
          <w:tcPr>
            <w:tcW w:w="3258" w:type="dxa"/>
            <w:shd w:val="clear" w:color="auto" w:fill="auto"/>
          </w:tcPr>
          <w:p w14:paraId="743380AD"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Rhabdomyolysis</w:t>
            </w:r>
          </w:p>
        </w:tc>
        <w:tc>
          <w:tcPr>
            <w:tcW w:w="1170" w:type="dxa"/>
            <w:shd w:val="clear" w:color="auto" w:fill="auto"/>
          </w:tcPr>
          <w:p w14:paraId="76DC7344"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023EF2D0"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43F5D9D2"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170" w:type="dxa"/>
            <w:shd w:val="clear" w:color="auto" w:fill="auto"/>
          </w:tcPr>
          <w:p w14:paraId="49B23956"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554E863C"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Uncommon</w:t>
            </w:r>
          </w:p>
        </w:tc>
      </w:tr>
      <w:tr w:rsidR="00B25C5B" w:rsidRPr="00B25C5B" w14:paraId="4455248E" w14:textId="77777777" w:rsidTr="000C7575">
        <w:tc>
          <w:tcPr>
            <w:tcW w:w="9299" w:type="dxa"/>
            <w:gridSpan w:val="6"/>
            <w:shd w:val="clear" w:color="auto" w:fill="auto"/>
          </w:tcPr>
          <w:p w14:paraId="214DE4F4"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en-GB"/>
              </w:rPr>
            </w:pPr>
            <w:r w:rsidRPr="00B25C5B">
              <w:rPr>
                <w:rFonts w:ascii="Arial" w:eastAsia="MS Mincho" w:hAnsi="Arial" w:cs="Arial"/>
                <w:b/>
                <w:sz w:val="18"/>
                <w:szCs w:val="18"/>
                <w:lang w:val="en-US" w:eastAsia="zh-CN"/>
              </w:rPr>
              <w:t>Renal and urinary disorders</w:t>
            </w:r>
          </w:p>
        </w:tc>
      </w:tr>
      <w:tr w:rsidR="00B25C5B" w:rsidRPr="00B25C5B" w14:paraId="40868B1A" w14:textId="77777777" w:rsidTr="000C7575">
        <w:tc>
          <w:tcPr>
            <w:tcW w:w="3258" w:type="dxa"/>
            <w:shd w:val="clear" w:color="auto" w:fill="auto"/>
          </w:tcPr>
          <w:p w14:paraId="1168331B"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en-GB"/>
              </w:rPr>
              <w:t>Renal failure</w:t>
            </w:r>
          </w:p>
        </w:tc>
        <w:tc>
          <w:tcPr>
            <w:tcW w:w="1170" w:type="dxa"/>
            <w:shd w:val="clear" w:color="auto" w:fill="auto"/>
          </w:tcPr>
          <w:p w14:paraId="657D4C47"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12E425D9"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170" w:type="dxa"/>
            <w:shd w:val="clear" w:color="auto" w:fill="auto"/>
          </w:tcPr>
          <w:p w14:paraId="558CB871"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170" w:type="dxa"/>
            <w:shd w:val="clear" w:color="auto" w:fill="auto"/>
          </w:tcPr>
          <w:p w14:paraId="128CB340"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3AC55CD1"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Uncommon</w:t>
            </w:r>
          </w:p>
        </w:tc>
      </w:tr>
      <w:tr w:rsidR="00B25C5B" w:rsidRPr="00B25C5B" w14:paraId="204D823F" w14:textId="77777777" w:rsidTr="000C7575">
        <w:tc>
          <w:tcPr>
            <w:tcW w:w="9299" w:type="dxa"/>
            <w:gridSpan w:val="6"/>
            <w:shd w:val="clear" w:color="auto" w:fill="auto"/>
          </w:tcPr>
          <w:p w14:paraId="049341BC"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en-GB"/>
              </w:rPr>
            </w:pPr>
            <w:r w:rsidRPr="00B25C5B">
              <w:rPr>
                <w:rFonts w:ascii="Arial" w:eastAsia="MS Mincho" w:hAnsi="Arial" w:cs="Arial"/>
                <w:b/>
                <w:sz w:val="18"/>
                <w:szCs w:val="18"/>
                <w:lang w:val="en-US" w:eastAsia="zh-CN"/>
              </w:rPr>
              <w:t>General disorders and administration site conditions</w:t>
            </w:r>
          </w:p>
        </w:tc>
      </w:tr>
      <w:tr w:rsidR="00B25C5B" w:rsidRPr="00B25C5B" w14:paraId="6A44D308" w14:textId="77777777" w:rsidTr="000C7575">
        <w:tc>
          <w:tcPr>
            <w:tcW w:w="3258" w:type="dxa"/>
            <w:shd w:val="clear" w:color="auto" w:fill="auto"/>
          </w:tcPr>
          <w:p w14:paraId="588A6029"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Pyrexia</w:t>
            </w:r>
            <w:r w:rsidRPr="00B25C5B">
              <w:rPr>
                <w:rFonts w:ascii="Arial" w:eastAsia="MS Mincho" w:hAnsi="Arial" w:cs="Arial"/>
                <w:sz w:val="18"/>
                <w:szCs w:val="18"/>
                <w:vertAlign w:val="superscript"/>
                <w:lang w:val="en-US" w:eastAsia="zh-CN"/>
              </w:rPr>
              <w:t>17)</w:t>
            </w:r>
          </w:p>
        </w:tc>
        <w:tc>
          <w:tcPr>
            <w:tcW w:w="1170" w:type="dxa"/>
            <w:shd w:val="clear" w:color="auto" w:fill="auto"/>
          </w:tcPr>
          <w:p w14:paraId="4F97E45A"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63</w:t>
            </w:r>
          </w:p>
        </w:tc>
        <w:tc>
          <w:tcPr>
            <w:tcW w:w="1170" w:type="dxa"/>
            <w:shd w:val="clear" w:color="auto" w:fill="auto"/>
          </w:tcPr>
          <w:p w14:paraId="11203A46"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5</w:t>
            </w:r>
          </w:p>
        </w:tc>
        <w:tc>
          <w:tcPr>
            <w:tcW w:w="1170" w:type="dxa"/>
            <w:shd w:val="clear" w:color="auto" w:fill="auto"/>
          </w:tcPr>
          <w:p w14:paraId="1C684049"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11</w:t>
            </w:r>
          </w:p>
        </w:tc>
        <w:tc>
          <w:tcPr>
            <w:tcW w:w="1170" w:type="dxa"/>
            <w:shd w:val="clear" w:color="auto" w:fill="auto"/>
          </w:tcPr>
          <w:p w14:paraId="6676F47A"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361" w:type="dxa"/>
            <w:shd w:val="clear" w:color="auto" w:fill="auto"/>
          </w:tcPr>
          <w:p w14:paraId="7C8DE2DA"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2BB888EF" w14:textId="77777777" w:rsidTr="000C7575">
        <w:tc>
          <w:tcPr>
            <w:tcW w:w="3258" w:type="dxa"/>
            <w:shd w:val="clear" w:color="auto" w:fill="auto"/>
          </w:tcPr>
          <w:p w14:paraId="6D60D443"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lastRenderedPageBreak/>
              <w:t>Fatigue</w:t>
            </w:r>
            <w:r w:rsidRPr="00B25C5B">
              <w:rPr>
                <w:rFonts w:ascii="Arial" w:eastAsia="MS Mincho" w:hAnsi="Arial" w:cs="Arial"/>
                <w:sz w:val="18"/>
                <w:szCs w:val="18"/>
                <w:vertAlign w:val="superscript"/>
                <w:lang w:val="en-US" w:eastAsia="zh-CN"/>
              </w:rPr>
              <w:t>18)</w:t>
            </w:r>
          </w:p>
        </w:tc>
        <w:tc>
          <w:tcPr>
            <w:tcW w:w="1170" w:type="dxa"/>
            <w:shd w:val="clear" w:color="auto" w:fill="auto"/>
          </w:tcPr>
          <w:p w14:paraId="36BBFFEF"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59</w:t>
            </w:r>
          </w:p>
        </w:tc>
        <w:tc>
          <w:tcPr>
            <w:tcW w:w="1170" w:type="dxa"/>
            <w:shd w:val="clear" w:color="auto" w:fill="auto"/>
          </w:tcPr>
          <w:p w14:paraId="65563562"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5</w:t>
            </w:r>
          </w:p>
        </w:tc>
        <w:tc>
          <w:tcPr>
            <w:tcW w:w="1170" w:type="dxa"/>
            <w:shd w:val="clear" w:color="auto" w:fill="auto"/>
          </w:tcPr>
          <w:p w14:paraId="374AEE55"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37</w:t>
            </w:r>
          </w:p>
        </w:tc>
        <w:tc>
          <w:tcPr>
            <w:tcW w:w="1170" w:type="dxa"/>
            <w:shd w:val="clear" w:color="auto" w:fill="auto"/>
          </w:tcPr>
          <w:p w14:paraId="50A604C6"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361" w:type="dxa"/>
            <w:shd w:val="clear" w:color="auto" w:fill="auto"/>
          </w:tcPr>
          <w:p w14:paraId="0C120E3A"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5BA52033" w14:textId="77777777" w:rsidTr="000C7575">
        <w:tc>
          <w:tcPr>
            <w:tcW w:w="3258" w:type="dxa"/>
            <w:shd w:val="clear" w:color="auto" w:fill="auto"/>
          </w:tcPr>
          <w:p w14:paraId="616A05B3"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Chills</w:t>
            </w:r>
          </w:p>
        </w:tc>
        <w:tc>
          <w:tcPr>
            <w:tcW w:w="1170" w:type="dxa"/>
            <w:shd w:val="clear" w:color="auto" w:fill="auto"/>
          </w:tcPr>
          <w:p w14:paraId="3B698BCE"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37</w:t>
            </w:r>
          </w:p>
        </w:tc>
        <w:tc>
          <w:tcPr>
            <w:tcW w:w="1170" w:type="dxa"/>
            <w:shd w:val="clear" w:color="auto" w:fill="auto"/>
          </w:tcPr>
          <w:p w14:paraId="5B252744"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w:t>
            </w:r>
          </w:p>
        </w:tc>
        <w:tc>
          <w:tcPr>
            <w:tcW w:w="1170" w:type="dxa"/>
            <w:shd w:val="clear" w:color="auto" w:fill="auto"/>
          </w:tcPr>
          <w:p w14:paraId="3B6035D8"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4</w:t>
            </w:r>
          </w:p>
        </w:tc>
        <w:tc>
          <w:tcPr>
            <w:tcW w:w="1170" w:type="dxa"/>
            <w:shd w:val="clear" w:color="auto" w:fill="auto"/>
          </w:tcPr>
          <w:p w14:paraId="74FE66A6"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5EB4DD92"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195142CC" w14:textId="77777777" w:rsidTr="000C7575">
        <w:tc>
          <w:tcPr>
            <w:tcW w:w="3258" w:type="dxa"/>
            <w:shd w:val="clear" w:color="auto" w:fill="auto"/>
          </w:tcPr>
          <w:p w14:paraId="68D12F86"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Oedema peripheral</w:t>
            </w:r>
            <w:r w:rsidRPr="00B25C5B">
              <w:rPr>
                <w:rFonts w:ascii="Arial" w:eastAsia="MS Mincho" w:hAnsi="Arial" w:cs="Arial"/>
                <w:sz w:val="18"/>
                <w:szCs w:val="18"/>
                <w:vertAlign w:val="superscript"/>
                <w:lang w:val="en-US" w:eastAsia="zh-CN"/>
              </w:rPr>
              <w:t>19)</w:t>
            </w:r>
          </w:p>
        </w:tc>
        <w:tc>
          <w:tcPr>
            <w:tcW w:w="1170" w:type="dxa"/>
            <w:shd w:val="clear" w:color="auto" w:fill="auto"/>
          </w:tcPr>
          <w:p w14:paraId="3C191035"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16</w:t>
            </w:r>
          </w:p>
        </w:tc>
        <w:tc>
          <w:tcPr>
            <w:tcW w:w="1170" w:type="dxa"/>
            <w:shd w:val="clear" w:color="auto" w:fill="auto"/>
          </w:tcPr>
          <w:p w14:paraId="288F83A4"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24BA01DF"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6</w:t>
            </w:r>
          </w:p>
        </w:tc>
        <w:tc>
          <w:tcPr>
            <w:tcW w:w="1170" w:type="dxa"/>
            <w:shd w:val="clear" w:color="auto" w:fill="auto"/>
          </w:tcPr>
          <w:p w14:paraId="0EE692F1"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3E9FF39A"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66D6D983" w14:textId="77777777" w:rsidTr="000C7575">
        <w:tc>
          <w:tcPr>
            <w:tcW w:w="3258" w:type="dxa"/>
            <w:shd w:val="clear" w:color="auto" w:fill="auto"/>
          </w:tcPr>
          <w:p w14:paraId="5D7C5C82"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Influenza-like illness</w:t>
            </w:r>
          </w:p>
        </w:tc>
        <w:tc>
          <w:tcPr>
            <w:tcW w:w="1170" w:type="dxa"/>
            <w:shd w:val="clear" w:color="auto" w:fill="auto"/>
          </w:tcPr>
          <w:p w14:paraId="06F5BD40"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15</w:t>
            </w:r>
          </w:p>
        </w:tc>
        <w:tc>
          <w:tcPr>
            <w:tcW w:w="1170" w:type="dxa"/>
            <w:shd w:val="clear" w:color="auto" w:fill="auto"/>
          </w:tcPr>
          <w:p w14:paraId="1C69E172"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24FA97CD"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7</w:t>
            </w:r>
          </w:p>
        </w:tc>
        <w:tc>
          <w:tcPr>
            <w:tcW w:w="1170" w:type="dxa"/>
            <w:shd w:val="clear" w:color="auto" w:fill="auto"/>
          </w:tcPr>
          <w:p w14:paraId="3C9E4E97"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361" w:type="dxa"/>
            <w:shd w:val="clear" w:color="auto" w:fill="auto"/>
          </w:tcPr>
          <w:p w14:paraId="2039DCC3"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100DCFBA" w14:textId="77777777" w:rsidTr="000C7575">
        <w:tc>
          <w:tcPr>
            <w:tcW w:w="9299" w:type="dxa"/>
            <w:gridSpan w:val="6"/>
            <w:shd w:val="clear" w:color="auto" w:fill="auto"/>
          </w:tcPr>
          <w:p w14:paraId="5B636B07"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en-GB"/>
              </w:rPr>
            </w:pPr>
            <w:r w:rsidRPr="00B25C5B">
              <w:rPr>
                <w:rFonts w:ascii="Arial" w:eastAsia="MS Mincho" w:hAnsi="Arial" w:cs="Arial"/>
                <w:b/>
                <w:sz w:val="18"/>
                <w:szCs w:val="18"/>
                <w:lang w:val="en-US" w:eastAsia="zh-CN"/>
              </w:rPr>
              <w:t>Investigations</w:t>
            </w:r>
          </w:p>
        </w:tc>
      </w:tr>
      <w:tr w:rsidR="00B25C5B" w:rsidRPr="00B25C5B" w14:paraId="279B7EFC" w14:textId="77777777" w:rsidTr="000C7575">
        <w:tc>
          <w:tcPr>
            <w:tcW w:w="3258" w:type="dxa"/>
            <w:shd w:val="clear" w:color="auto" w:fill="auto"/>
          </w:tcPr>
          <w:p w14:paraId="7CE6C06C"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Alanine aminotransferase increased</w:t>
            </w:r>
            <w:r w:rsidRPr="00B25C5B">
              <w:rPr>
                <w:rFonts w:ascii="Arial" w:eastAsia="MS Mincho" w:hAnsi="Arial" w:cs="Arial"/>
                <w:sz w:val="18"/>
                <w:szCs w:val="18"/>
                <w:vertAlign w:val="superscript"/>
                <w:lang w:val="en-US" w:eastAsia="zh-CN"/>
              </w:rPr>
              <w:t>20)</w:t>
            </w:r>
          </w:p>
        </w:tc>
        <w:tc>
          <w:tcPr>
            <w:tcW w:w="1170" w:type="dxa"/>
            <w:shd w:val="clear" w:color="auto" w:fill="auto"/>
          </w:tcPr>
          <w:p w14:paraId="3B70F5BB"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17</w:t>
            </w:r>
          </w:p>
        </w:tc>
        <w:tc>
          <w:tcPr>
            <w:tcW w:w="1170" w:type="dxa"/>
            <w:shd w:val="clear" w:color="auto" w:fill="auto"/>
          </w:tcPr>
          <w:p w14:paraId="778FE291"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4</w:t>
            </w:r>
          </w:p>
        </w:tc>
        <w:tc>
          <w:tcPr>
            <w:tcW w:w="1170" w:type="dxa"/>
            <w:shd w:val="clear" w:color="auto" w:fill="auto"/>
          </w:tcPr>
          <w:p w14:paraId="65F3DA7F"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2</w:t>
            </w:r>
          </w:p>
        </w:tc>
        <w:tc>
          <w:tcPr>
            <w:tcW w:w="1170" w:type="dxa"/>
            <w:shd w:val="clear" w:color="auto" w:fill="auto"/>
          </w:tcPr>
          <w:p w14:paraId="571223DC"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361" w:type="dxa"/>
            <w:shd w:val="clear" w:color="auto" w:fill="auto"/>
          </w:tcPr>
          <w:p w14:paraId="6DF69413"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1C269AB1" w14:textId="77777777" w:rsidTr="000C7575">
        <w:tc>
          <w:tcPr>
            <w:tcW w:w="3258" w:type="dxa"/>
            <w:shd w:val="clear" w:color="auto" w:fill="auto"/>
          </w:tcPr>
          <w:p w14:paraId="13635A8C"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Aspartate aminotransferase increased</w:t>
            </w:r>
            <w:r w:rsidRPr="00B25C5B">
              <w:rPr>
                <w:rFonts w:ascii="Arial" w:eastAsia="MS Mincho" w:hAnsi="Arial" w:cs="Arial"/>
                <w:sz w:val="18"/>
                <w:szCs w:val="18"/>
                <w:vertAlign w:val="superscript"/>
                <w:lang w:val="en-US" w:eastAsia="zh-CN"/>
              </w:rPr>
              <w:t>21)</w:t>
            </w:r>
          </w:p>
        </w:tc>
        <w:tc>
          <w:tcPr>
            <w:tcW w:w="1170" w:type="dxa"/>
            <w:shd w:val="clear" w:color="auto" w:fill="auto"/>
          </w:tcPr>
          <w:p w14:paraId="65956DE5"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16</w:t>
            </w:r>
          </w:p>
        </w:tc>
        <w:tc>
          <w:tcPr>
            <w:tcW w:w="1170" w:type="dxa"/>
            <w:shd w:val="clear" w:color="auto" w:fill="auto"/>
          </w:tcPr>
          <w:p w14:paraId="30A5DD82"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4</w:t>
            </w:r>
          </w:p>
        </w:tc>
        <w:tc>
          <w:tcPr>
            <w:tcW w:w="1170" w:type="dxa"/>
            <w:shd w:val="clear" w:color="auto" w:fill="auto"/>
          </w:tcPr>
          <w:p w14:paraId="662F8C9B"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2</w:t>
            </w:r>
          </w:p>
        </w:tc>
        <w:tc>
          <w:tcPr>
            <w:tcW w:w="1170" w:type="dxa"/>
            <w:shd w:val="clear" w:color="auto" w:fill="auto"/>
          </w:tcPr>
          <w:p w14:paraId="493201FB"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361" w:type="dxa"/>
            <w:shd w:val="clear" w:color="auto" w:fill="auto"/>
          </w:tcPr>
          <w:p w14:paraId="1E82D4B3"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Very common</w:t>
            </w:r>
          </w:p>
        </w:tc>
      </w:tr>
      <w:tr w:rsidR="00B25C5B" w:rsidRPr="00B25C5B" w14:paraId="3AD7AA45" w14:textId="77777777" w:rsidTr="000C7575">
        <w:tc>
          <w:tcPr>
            <w:tcW w:w="3258" w:type="dxa"/>
            <w:shd w:val="clear" w:color="auto" w:fill="auto"/>
          </w:tcPr>
          <w:p w14:paraId="10092C9B"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Alkaline phosphatase increased</w:t>
            </w:r>
          </w:p>
        </w:tc>
        <w:tc>
          <w:tcPr>
            <w:tcW w:w="1170" w:type="dxa"/>
            <w:shd w:val="clear" w:color="auto" w:fill="auto"/>
          </w:tcPr>
          <w:p w14:paraId="4B00E18B"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7</w:t>
            </w:r>
          </w:p>
        </w:tc>
        <w:tc>
          <w:tcPr>
            <w:tcW w:w="1170" w:type="dxa"/>
            <w:shd w:val="clear" w:color="auto" w:fill="auto"/>
          </w:tcPr>
          <w:p w14:paraId="7BD963EA"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5DDB00B7"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170" w:type="dxa"/>
            <w:shd w:val="clear" w:color="auto" w:fill="auto"/>
          </w:tcPr>
          <w:p w14:paraId="35B75E4C"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361" w:type="dxa"/>
            <w:shd w:val="clear" w:color="auto" w:fill="auto"/>
          </w:tcPr>
          <w:p w14:paraId="56A96013"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Common</w:t>
            </w:r>
          </w:p>
        </w:tc>
      </w:tr>
      <w:tr w:rsidR="00B25C5B" w:rsidRPr="00B25C5B" w14:paraId="18C2CA38" w14:textId="77777777" w:rsidTr="000C7575">
        <w:tc>
          <w:tcPr>
            <w:tcW w:w="3258" w:type="dxa"/>
            <w:shd w:val="clear" w:color="auto" w:fill="auto"/>
          </w:tcPr>
          <w:p w14:paraId="7EABEC15" w14:textId="77777777" w:rsidR="00B25C5B" w:rsidRPr="00B25C5B" w:rsidRDefault="00B25C5B" w:rsidP="00B25C5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B25C5B">
              <w:rPr>
                <w:rFonts w:ascii="Arial" w:eastAsia="MS Mincho" w:hAnsi="Arial" w:cs="Arial"/>
                <w:sz w:val="18"/>
                <w:szCs w:val="18"/>
                <w:lang w:val="en-US" w:eastAsia="zh-CN"/>
              </w:rPr>
              <w:t>Ejection fraction decreased</w:t>
            </w:r>
          </w:p>
        </w:tc>
        <w:tc>
          <w:tcPr>
            <w:tcW w:w="1170" w:type="dxa"/>
            <w:shd w:val="clear" w:color="auto" w:fill="auto"/>
          </w:tcPr>
          <w:p w14:paraId="248CEBB9"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5</w:t>
            </w:r>
          </w:p>
        </w:tc>
        <w:tc>
          <w:tcPr>
            <w:tcW w:w="1170" w:type="dxa"/>
            <w:shd w:val="clear" w:color="auto" w:fill="auto"/>
          </w:tcPr>
          <w:p w14:paraId="4D3BE90E"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NR</w:t>
            </w:r>
          </w:p>
        </w:tc>
        <w:tc>
          <w:tcPr>
            <w:tcW w:w="1170" w:type="dxa"/>
            <w:shd w:val="clear" w:color="auto" w:fill="auto"/>
          </w:tcPr>
          <w:p w14:paraId="0E68978E"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2</w:t>
            </w:r>
          </w:p>
        </w:tc>
        <w:tc>
          <w:tcPr>
            <w:tcW w:w="1170" w:type="dxa"/>
            <w:shd w:val="clear" w:color="auto" w:fill="auto"/>
          </w:tcPr>
          <w:p w14:paraId="5D8AD16A"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&lt;1</w:t>
            </w:r>
          </w:p>
        </w:tc>
        <w:tc>
          <w:tcPr>
            <w:tcW w:w="1361" w:type="dxa"/>
            <w:shd w:val="clear" w:color="auto" w:fill="auto"/>
          </w:tcPr>
          <w:p w14:paraId="3190BD81" w14:textId="77777777" w:rsidR="00B25C5B" w:rsidRPr="00B25C5B" w:rsidRDefault="00B25C5B" w:rsidP="00B25C5B">
            <w:pPr>
              <w:keepLines/>
              <w:tabs>
                <w:tab w:val="left" w:pos="284"/>
              </w:tabs>
              <w:autoSpaceDE/>
              <w:autoSpaceDN/>
              <w:adjustRightInd/>
              <w:spacing w:before="40" w:after="20" w:line="240" w:lineRule="auto"/>
              <w:jc w:val="center"/>
              <w:rPr>
                <w:rFonts w:ascii="Arial" w:eastAsia="MS Mincho" w:hAnsi="Arial" w:cs="Arial"/>
                <w:sz w:val="18"/>
                <w:szCs w:val="18"/>
                <w:lang w:val="en-US" w:eastAsia="en-GB"/>
              </w:rPr>
            </w:pPr>
            <w:r w:rsidRPr="00B25C5B">
              <w:rPr>
                <w:rFonts w:ascii="Arial" w:eastAsia="MS Mincho" w:hAnsi="Arial" w:cs="Arial"/>
                <w:sz w:val="18"/>
                <w:szCs w:val="18"/>
                <w:lang w:val="en-US" w:eastAsia="en-GB"/>
              </w:rPr>
              <w:t>Common</w:t>
            </w:r>
          </w:p>
        </w:tc>
      </w:tr>
      <w:tr w:rsidR="00B25C5B" w:rsidRPr="00B25C5B" w14:paraId="00F49566" w14:textId="77777777" w:rsidTr="000C7575">
        <w:tc>
          <w:tcPr>
            <w:tcW w:w="9299" w:type="dxa"/>
            <w:gridSpan w:val="6"/>
            <w:shd w:val="clear" w:color="auto" w:fill="auto"/>
          </w:tcPr>
          <w:p w14:paraId="03D47D58"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color w:val="000000"/>
                <w:sz w:val="16"/>
                <w:szCs w:val="16"/>
                <w:lang w:val="en-US" w:eastAsia="en-GB"/>
              </w:rPr>
            </w:pPr>
            <w:r w:rsidRPr="00B25C5B">
              <w:rPr>
                <w:rFonts w:ascii="Arial" w:eastAsia="MS Mincho" w:hAnsi="Arial" w:cs="Arial"/>
                <w:i/>
                <w:color w:val="000000"/>
                <w:sz w:val="16"/>
                <w:szCs w:val="16"/>
                <w:vertAlign w:val="superscript"/>
                <w:lang w:val="en-US" w:eastAsia="en-GB"/>
              </w:rPr>
              <w:t>1)</w:t>
            </w:r>
            <w:r w:rsidRPr="00B25C5B">
              <w:rPr>
                <w:rFonts w:ascii="Arial" w:eastAsia="MS Mincho" w:hAnsi="Arial" w:cs="Arial"/>
                <w:i/>
                <w:color w:val="000000"/>
                <w:sz w:val="16"/>
                <w:szCs w:val="16"/>
                <w:lang w:val="en-US" w:eastAsia="en-GB"/>
              </w:rPr>
              <w:tab/>
              <w:t>Nasopharyngitis also includes pharyngitis.</w:t>
            </w:r>
          </w:p>
          <w:p w14:paraId="09D958E3"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sz w:val="16"/>
                <w:szCs w:val="16"/>
                <w:lang w:val="en-US" w:eastAsia="en-GB"/>
              </w:rPr>
            </w:pPr>
            <w:r w:rsidRPr="00B25C5B">
              <w:rPr>
                <w:rFonts w:ascii="Arial" w:eastAsia="MS Mincho" w:hAnsi="Arial" w:cs="Arial"/>
                <w:i/>
                <w:sz w:val="16"/>
                <w:szCs w:val="16"/>
                <w:vertAlign w:val="superscript"/>
                <w:lang w:val="en-US" w:eastAsia="en-GB"/>
              </w:rPr>
              <w:t>2)</w:t>
            </w:r>
            <w:r w:rsidRPr="00B25C5B">
              <w:rPr>
                <w:rFonts w:ascii="Arial" w:eastAsia="MS Mincho" w:hAnsi="Arial" w:cs="Arial"/>
                <w:i/>
                <w:sz w:val="16"/>
                <w:szCs w:val="16"/>
                <w:lang w:val="en-US" w:eastAsia="en-GB"/>
              </w:rPr>
              <w:tab/>
              <w:t>Neutropenia also includes febrile neutropenia and cases of neutrophil count decreased that met the criteria for neutropenia.</w:t>
            </w:r>
          </w:p>
          <w:p w14:paraId="7233AD9D"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color w:val="000000"/>
                <w:sz w:val="16"/>
                <w:szCs w:val="16"/>
                <w:lang w:val="en-US" w:eastAsia="en-GB"/>
              </w:rPr>
            </w:pPr>
            <w:r w:rsidRPr="00B25C5B">
              <w:rPr>
                <w:rFonts w:ascii="Arial" w:eastAsia="MS Mincho" w:hAnsi="Arial" w:cs="Arial"/>
                <w:i/>
                <w:color w:val="000000"/>
                <w:sz w:val="16"/>
                <w:szCs w:val="16"/>
                <w:vertAlign w:val="superscript"/>
                <w:lang w:val="en-US" w:eastAsia="en-GB"/>
              </w:rPr>
              <w:t>3)</w:t>
            </w:r>
            <w:r w:rsidRPr="00B25C5B">
              <w:rPr>
                <w:rFonts w:ascii="Arial" w:eastAsia="MS Mincho" w:hAnsi="Arial" w:cs="Arial"/>
                <w:i/>
                <w:color w:val="000000"/>
                <w:sz w:val="16"/>
                <w:szCs w:val="16"/>
                <w:vertAlign w:val="superscript"/>
                <w:lang w:val="en-US" w:eastAsia="en-GB"/>
              </w:rPr>
              <w:tab/>
            </w:r>
            <w:r w:rsidRPr="00B25C5B">
              <w:rPr>
                <w:rFonts w:ascii="Arial" w:eastAsia="MS Mincho" w:hAnsi="Arial" w:cs="Arial"/>
                <w:i/>
                <w:color w:val="000000"/>
                <w:sz w:val="16"/>
                <w:szCs w:val="16"/>
                <w:lang w:val="en-US" w:eastAsia="en-GB"/>
              </w:rPr>
              <w:t>Headache also includes tension headache.</w:t>
            </w:r>
          </w:p>
          <w:p w14:paraId="4398663B"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sz w:val="16"/>
                <w:szCs w:val="16"/>
                <w:lang w:val="en-US" w:eastAsia="en-GB"/>
              </w:rPr>
            </w:pPr>
            <w:r w:rsidRPr="00B25C5B">
              <w:rPr>
                <w:rFonts w:ascii="Arial" w:eastAsia="MS Mincho" w:hAnsi="Arial" w:cs="Arial"/>
                <w:i/>
                <w:sz w:val="16"/>
                <w:szCs w:val="16"/>
                <w:vertAlign w:val="superscript"/>
                <w:lang w:val="en-US" w:eastAsia="en-GB"/>
              </w:rPr>
              <w:t>4)</w:t>
            </w:r>
            <w:r w:rsidRPr="00B25C5B">
              <w:rPr>
                <w:rFonts w:ascii="Arial" w:eastAsia="MS Mincho" w:hAnsi="Arial" w:cs="Arial"/>
                <w:i/>
                <w:sz w:val="16"/>
                <w:szCs w:val="16"/>
                <w:lang w:val="en-US" w:eastAsia="en-GB"/>
              </w:rPr>
              <w:tab/>
              <w:t>Dizziness also includes vertigo.</w:t>
            </w:r>
          </w:p>
          <w:p w14:paraId="4896CB90"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sz w:val="16"/>
                <w:szCs w:val="16"/>
                <w:lang w:val="en-US" w:eastAsia="en-GB"/>
              </w:rPr>
            </w:pPr>
            <w:r w:rsidRPr="00B25C5B">
              <w:rPr>
                <w:rFonts w:ascii="Arial" w:eastAsia="MS Mincho" w:hAnsi="Arial" w:cs="Arial"/>
                <w:i/>
                <w:sz w:val="16"/>
                <w:szCs w:val="16"/>
                <w:vertAlign w:val="superscript"/>
                <w:lang w:val="en-US" w:eastAsia="en-GB"/>
              </w:rPr>
              <w:t>5)</w:t>
            </w:r>
            <w:r w:rsidRPr="00B25C5B">
              <w:rPr>
                <w:rFonts w:ascii="Arial" w:eastAsia="MS Mincho" w:hAnsi="Arial" w:cs="Arial"/>
                <w:i/>
                <w:sz w:val="16"/>
                <w:szCs w:val="16"/>
                <w:lang w:val="en-US" w:eastAsia="en-GB"/>
              </w:rPr>
              <w:tab/>
            </w:r>
            <w:proofErr w:type="spellStart"/>
            <w:r w:rsidRPr="00B25C5B">
              <w:rPr>
                <w:rFonts w:ascii="Arial" w:eastAsia="MS Mincho" w:hAnsi="Arial" w:cs="Arial"/>
                <w:i/>
                <w:sz w:val="16"/>
                <w:szCs w:val="16"/>
                <w:lang w:val="en-US" w:eastAsia="en-GB"/>
              </w:rPr>
              <w:t>Chorioretinopathy</w:t>
            </w:r>
            <w:proofErr w:type="spellEnd"/>
            <w:r w:rsidRPr="00B25C5B">
              <w:rPr>
                <w:rFonts w:ascii="Arial" w:eastAsia="MS Mincho" w:hAnsi="Arial" w:cs="Arial"/>
                <w:i/>
                <w:sz w:val="16"/>
                <w:szCs w:val="16"/>
                <w:lang w:val="en-US" w:eastAsia="en-GB"/>
              </w:rPr>
              <w:t xml:space="preserve"> also includes </w:t>
            </w:r>
            <w:proofErr w:type="spellStart"/>
            <w:r w:rsidRPr="00B25C5B">
              <w:rPr>
                <w:rFonts w:ascii="Arial" w:eastAsia="MS Mincho" w:hAnsi="Arial" w:cs="Arial"/>
                <w:i/>
                <w:sz w:val="16"/>
                <w:szCs w:val="16"/>
                <w:lang w:val="en-US" w:eastAsia="en-GB"/>
              </w:rPr>
              <w:t>chorioretinal</w:t>
            </w:r>
            <w:proofErr w:type="spellEnd"/>
            <w:r w:rsidRPr="00B25C5B">
              <w:rPr>
                <w:rFonts w:ascii="Arial" w:eastAsia="MS Mincho" w:hAnsi="Arial" w:cs="Arial"/>
                <w:i/>
                <w:sz w:val="16"/>
                <w:szCs w:val="16"/>
                <w:lang w:val="en-US" w:eastAsia="en-GB"/>
              </w:rPr>
              <w:t xml:space="preserve"> disorder.</w:t>
            </w:r>
          </w:p>
          <w:p w14:paraId="5C0C1CE4"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color w:val="000000"/>
                <w:sz w:val="16"/>
                <w:szCs w:val="16"/>
                <w:lang w:val="en-US" w:eastAsia="en-GB"/>
              </w:rPr>
            </w:pPr>
            <w:r w:rsidRPr="00B25C5B">
              <w:rPr>
                <w:rFonts w:ascii="Arial" w:eastAsia="MS Mincho" w:hAnsi="Arial" w:cs="Arial"/>
                <w:i/>
                <w:color w:val="000000"/>
                <w:sz w:val="16"/>
                <w:szCs w:val="16"/>
                <w:vertAlign w:val="superscript"/>
                <w:lang w:val="en-US" w:eastAsia="en-GB"/>
              </w:rPr>
              <w:t>6)</w:t>
            </w:r>
            <w:r w:rsidRPr="00B25C5B">
              <w:rPr>
                <w:rFonts w:ascii="Arial" w:eastAsia="MS Mincho" w:hAnsi="Arial" w:cs="Arial"/>
                <w:i/>
                <w:color w:val="000000"/>
                <w:sz w:val="16"/>
                <w:szCs w:val="16"/>
                <w:vertAlign w:val="superscript"/>
                <w:lang w:val="en-US" w:eastAsia="en-GB"/>
              </w:rPr>
              <w:tab/>
            </w:r>
            <w:r w:rsidRPr="00B25C5B">
              <w:rPr>
                <w:rFonts w:ascii="Arial" w:eastAsia="MS Mincho" w:hAnsi="Arial" w:cs="Arial"/>
                <w:i/>
                <w:color w:val="000000"/>
                <w:sz w:val="16"/>
                <w:szCs w:val="16"/>
                <w:lang w:val="en-US" w:eastAsia="en-GB"/>
              </w:rPr>
              <w:t>Retinal detachment also includes detachment of macular retinal pigment epithelium and detachment of retinal pigment epithelium.</w:t>
            </w:r>
          </w:p>
          <w:p w14:paraId="57BD3EE7"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color w:val="000000"/>
                <w:sz w:val="16"/>
                <w:szCs w:val="16"/>
                <w:lang w:val="en-US" w:eastAsia="en-GB"/>
              </w:rPr>
            </w:pPr>
            <w:r w:rsidRPr="00B25C5B">
              <w:rPr>
                <w:rFonts w:ascii="Arial" w:eastAsia="MS Mincho" w:hAnsi="Arial" w:cs="Arial"/>
                <w:i/>
                <w:color w:val="000000"/>
                <w:sz w:val="16"/>
                <w:szCs w:val="16"/>
                <w:vertAlign w:val="superscript"/>
                <w:lang w:val="en-US" w:eastAsia="en-GB"/>
              </w:rPr>
              <w:t>7)</w:t>
            </w:r>
            <w:r w:rsidRPr="00B25C5B">
              <w:rPr>
                <w:rFonts w:ascii="Arial" w:eastAsia="MS Mincho" w:hAnsi="Arial" w:cs="Arial"/>
                <w:i/>
                <w:color w:val="000000"/>
                <w:sz w:val="16"/>
                <w:szCs w:val="16"/>
                <w:lang w:val="en-US" w:eastAsia="en-GB"/>
              </w:rPr>
              <w:tab/>
            </w:r>
            <w:proofErr w:type="spellStart"/>
            <w:r w:rsidRPr="00B25C5B">
              <w:rPr>
                <w:rFonts w:ascii="Arial" w:eastAsia="MS Mincho" w:hAnsi="Arial" w:cs="Arial"/>
                <w:i/>
                <w:color w:val="000000"/>
                <w:sz w:val="16"/>
                <w:szCs w:val="16"/>
                <w:lang w:val="en-US" w:eastAsia="en-GB"/>
              </w:rPr>
              <w:t>Haemorrhage</w:t>
            </w:r>
            <w:proofErr w:type="spellEnd"/>
            <w:r w:rsidRPr="00B25C5B">
              <w:rPr>
                <w:rFonts w:ascii="Arial" w:eastAsia="MS Mincho" w:hAnsi="Arial" w:cs="Arial"/>
                <w:i/>
                <w:color w:val="000000"/>
                <w:sz w:val="16"/>
                <w:szCs w:val="16"/>
                <w:lang w:val="en-US" w:eastAsia="en-GB"/>
              </w:rPr>
              <w:t xml:space="preserve"> includes a comprehensive list of hundreds of event terms that capture bleeding events.</w:t>
            </w:r>
          </w:p>
          <w:p w14:paraId="12230939"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sz w:val="16"/>
                <w:szCs w:val="16"/>
                <w:vertAlign w:val="superscript"/>
                <w:lang w:val="en-US" w:eastAsia="en-GB"/>
              </w:rPr>
            </w:pPr>
            <w:r w:rsidRPr="00B25C5B">
              <w:rPr>
                <w:rFonts w:ascii="Arial" w:eastAsia="MS Mincho" w:hAnsi="Arial" w:cs="Arial"/>
                <w:i/>
                <w:color w:val="000000"/>
                <w:sz w:val="16"/>
                <w:szCs w:val="16"/>
                <w:vertAlign w:val="superscript"/>
                <w:lang w:val="en-US" w:eastAsia="en-GB"/>
              </w:rPr>
              <w:t>8)</w:t>
            </w:r>
            <w:r w:rsidRPr="00B25C5B">
              <w:rPr>
                <w:rFonts w:ascii="Arial" w:eastAsia="MS Mincho" w:hAnsi="Arial" w:cs="Arial"/>
                <w:i/>
                <w:color w:val="000000"/>
                <w:sz w:val="16"/>
                <w:szCs w:val="16"/>
                <w:lang w:val="en-US" w:eastAsia="en-GB"/>
              </w:rPr>
              <w:tab/>
              <w:t>Hypertension also includes hypertensive crisis.</w:t>
            </w:r>
          </w:p>
          <w:p w14:paraId="6525995C"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color w:val="000000"/>
                <w:sz w:val="16"/>
                <w:szCs w:val="16"/>
                <w:lang w:val="en-US" w:eastAsia="en-GB"/>
              </w:rPr>
            </w:pPr>
            <w:r w:rsidRPr="00B25C5B">
              <w:rPr>
                <w:rFonts w:ascii="Arial" w:eastAsia="MS Mincho" w:hAnsi="Arial" w:cs="Arial"/>
                <w:i/>
                <w:color w:val="000000"/>
                <w:sz w:val="16"/>
                <w:szCs w:val="16"/>
                <w:vertAlign w:val="superscript"/>
                <w:lang w:val="en-US" w:eastAsia="en-GB"/>
              </w:rPr>
              <w:t>9)</w:t>
            </w:r>
            <w:r w:rsidRPr="00B25C5B">
              <w:rPr>
                <w:rFonts w:ascii="Arial" w:eastAsia="MS Mincho" w:hAnsi="Arial" w:cs="Arial"/>
                <w:i/>
                <w:color w:val="000000"/>
                <w:sz w:val="16"/>
                <w:szCs w:val="16"/>
                <w:lang w:val="en-US" w:eastAsia="en-GB"/>
              </w:rPr>
              <w:tab/>
              <w:t>Cough also includes productive cough.</w:t>
            </w:r>
          </w:p>
          <w:p w14:paraId="6E794D77"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color w:val="000000"/>
                <w:sz w:val="16"/>
                <w:szCs w:val="16"/>
                <w:lang w:val="en-US" w:eastAsia="en-GB"/>
              </w:rPr>
            </w:pPr>
            <w:r w:rsidRPr="00B25C5B">
              <w:rPr>
                <w:rFonts w:ascii="Arial" w:eastAsia="MS Mincho" w:hAnsi="Arial" w:cs="Arial"/>
                <w:i/>
                <w:sz w:val="16"/>
                <w:szCs w:val="16"/>
                <w:vertAlign w:val="superscript"/>
                <w:lang w:val="en-US" w:eastAsia="en-GB"/>
              </w:rPr>
              <w:t>10)</w:t>
            </w:r>
            <w:r w:rsidRPr="00B25C5B">
              <w:rPr>
                <w:rFonts w:ascii="Arial" w:eastAsia="MS Mincho" w:hAnsi="Arial" w:cs="Arial"/>
                <w:i/>
                <w:sz w:val="16"/>
                <w:szCs w:val="16"/>
                <w:lang w:val="en-US" w:eastAsia="en-GB"/>
              </w:rPr>
              <w:tab/>
              <w:t>Abdominal pain also includes abdominal pain upper and abdominal pain lower.</w:t>
            </w:r>
          </w:p>
          <w:p w14:paraId="3E9DAF6A"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color w:val="000000"/>
                <w:sz w:val="16"/>
                <w:szCs w:val="16"/>
                <w:lang w:val="en-US" w:eastAsia="en-GB"/>
              </w:rPr>
            </w:pPr>
            <w:r w:rsidRPr="00B25C5B">
              <w:rPr>
                <w:rFonts w:ascii="Arial" w:eastAsia="MS Mincho" w:hAnsi="Arial" w:cs="Arial"/>
                <w:i/>
                <w:color w:val="000000"/>
                <w:sz w:val="16"/>
                <w:szCs w:val="16"/>
                <w:vertAlign w:val="superscript"/>
                <w:lang w:val="en-US" w:eastAsia="en-GB"/>
              </w:rPr>
              <w:t>11)</w:t>
            </w:r>
            <w:r w:rsidRPr="00B25C5B">
              <w:rPr>
                <w:rFonts w:ascii="Arial" w:eastAsia="MS Mincho" w:hAnsi="Arial" w:cs="Arial"/>
                <w:i/>
                <w:color w:val="000000"/>
                <w:sz w:val="16"/>
                <w:szCs w:val="16"/>
                <w:lang w:val="en-US" w:eastAsia="en-GB"/>
              </w:rPr>
              <w:tab/>
              <w:t xml:space="preserve">Rash also includes rash </w:t>
            </w:r>
            <w:proofErr w:type="spellStart"/>
            <w:r w:rsidRPr="00B25C5B">
              <w:rPr>
                <w:rFonts w:ascii="Arial" w:eastAsia="MS Mincho" w:hAnsi="Arial" w:cs="Arial"/>
                <w:i/>
                <w:color w:val="000000"/>
                <w:sz w:val="16"/>
                <w:szCs w:val="16"/>
                <w:lang w:val="en-US" w:eastAsia="en-GB"/>
              </w:rPr>
              <w:t>maculo-papular</w:t>
            </w:r>
            <w:proofErr w:type="spellEnd"/>
            <w:r w:rsidRPr="00B25C5B">
              <w:rPr>
                <w:rFonts w:ascii="Arial" w:eastAsia="MS Mincho" w:hAnsi="Arial" w:cs="Arial"/>
                <w:i/>
                <w:color w:val="000000"/>
                <w:sz w:val="16"/>
                <w:szCs w:val="16"/>
                <w:lang w:val="en-US" w:eastAsia="en-GB"/>
              </w:rPr>
              <w:t xml:space="preserve">, rash macular, rash generalized, rash erythematous, rash </w:t>
            </w:r>
            <w:proofErr w:type="spellStart"/>
            <w:r w:rsidRPr="00B25C5B">
              <w:rPr>
                <w:rFonts w:ascii="Arial" w:eastAsia="MS Mincho" w:hAnsi="Arial" w:cs="Arial"/>
                <w:i/>
                <w:color w:val="000000"/>
                <w:sz w:val="16"/>
                <w:szCs w:val="16"/>
                <w:lang w:val="en-US" w:eastAsia="en-GB"/>
              </w:rPr>
              <w:t>papular</w:t>
            </w:r>
            <w:proofErr w:type="spellEnd"/>
            <w:r w:rsidRPr="00B25C5B">
              <w:rPr>
                <w:rFonts w:ascii="Arial" w:eastAsia="MS Mincho" w:hAnsi="Arial" w:cs="Arial"/>
                <w:i/>
                <w:color w:val="000000"/>
                <w:sz w:val="16"/>
                <w:szCs w:val="16"/>
                <w:lang w:val="en-US" w:eastAsia="en-GB"/>
              </w:rPr>
              <w:t>, rash pruritic, nodular rash, rash vesicular, and rash pustular.</w:t>
            </w:r>
          </w:p>
          <w:p w14:paraId="425F3F9D"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color w:val="000000"/>
                <w:sz w:val="16"/>
                <w:szCs w:val="16"/>
                <w:lang w:val="en-US" w:eastAsia="en-GB"/>
              </w:rPr>
            </w:pPr>
            <w:r w:rsidRPr="00B25C5B">
              <w:rPr>
                <w:rFonts w:ascii="Arial" w:eastAsia="MS Mincho" w:hAnsi="Arial" w:cs="Arial"/>
                <w:i/>
                <w:color w:val="000000"/>
                <w:sz w:val="16"/>
                <w:szCs w:val="16"/>
                <w:vertAlign w:val="superscript"/>
                <w:lang w:val="en-US" w:eastAsia="en-GB"/>
              </w:rPr>
              <w:t>12)</w:t>
            </w:r>
            <w:r w:rsidRPr="00B25C5B">
              <w:rPr>
                <w:rFonts w:ascii="Arial" w:eastAsia="MS Mincho" w:hAnsi="Arial" w:cs="Arial"/>
                <w:i/>
                <w:color w:val="000000"/>
                <w:sz w:val="16"/>
                <w:szCs w:val="16"/>
                <w:lang w:val="en-US" w:eastAsia="en-GB"/>
              </w:rPr>
              <w:tab/>
              <w:t xml:space="preserve">Dry skin also includes </w:t>
            </w:r>
            <w:proofErr w:type="spellStart"/>
            <w:r w:rsidRPr="00B25C5B">
              <w:rPr>
                <w:rFonts w:ascii="Arial" w:eastAsia="MS Mincho" w:hAnsi="Arial" w:cs="Arial"/>
                <w:i/>
                <w:color w:val="000000"/>
                <w:sz w:val="16"/>
                <w:szCs w:val="16"/>
                <w:lang w:val="en-US" w:eastAsia="en-GB"/>
              </w:rPr>
              <w:t>xerosis</w:t>
            </w:r>
            <w:proofErr w:type="spellEnd"/>
            <w:r w:rsidRPr="00B25C5B">
              <w:rPr>
                <w:rFonts w:ascii="Arial" w:eastAsia="MS Mincho" w:hAnsi="Arial" w:cs="Arial"/>
                <w:i/>
                <w:color w:val="000000"/>
                <w:sz w:val="16"/>
                <w:szCs w:val="16"/>
                <w:lang w:val="en-US" w:eastAsia="en-GB"/>
              </w:rPr>
              <w:t xml:space="preserve"> and </w:t>
            </w:r>
            <w:proofErr w:type="spellStart"/>
            <w:r w:rsidRPr="00B25C5B">
              <w:rPr>
                <w:rFonts w:ascii="Arial" w:eastAsia="MS Mincho" w:hAnsi="Arial" w:cs="Arial"/>
                <w:i/>
                <w:color w:val="000000"/>
                <w:sz w:val="16"/>
                <w:szCs w:val="16"/>
                <w:lang w:val="en-US" w:eastAsia="en-GB"/>
              </w:rPr>
              <w:t>xeroderma</w:t>
            </w:r>
            <w:proofErr w:type="spellEnd"/>
            <w:r w:rsidRPr="00B25C5B">
              <w:rPr>
                <w:rFonts w:ascii="Arial" w:eastAsia="MS Mincho" w:hAnsi="Arial" w:cs="Arial"/>
                <w:i/>
                <w:color w:val="000000"/>
                <w:sz w:val="16"/>
                <w:szCs w:val="16"/>
                <w:lang w:val="en-US" w:eastAsia="en-GB"/>
              </w:rPr>
              <w:t>.</w:t>
            </w:r>
          </w:p>
          <w:p w14:paraId="5B183629"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color w:val="000000"/>
                <w:sz w:val="16"/>
                <w:szCs w:val="16"/>
                <w:lang w:val="en-US" w:eastAsia="en-GB"/>
              </w:rPr>
            </w:pPr>
            <w:r w:rsidRPr="00B25C5B">
              <w:rPr>
                <w:rFonts w:ascii="Arial" w:eastAsia="MS Mincho" w:hAnsi="Arial" w:cs="Arial"/>
                <w:i/>
                <w:color w:val="000000"/>
                <w:sz w:val="16"/>
                <w:szCs w:val="16"/>
                <w:vertAlign w:val="superscript"/>
                <w:lang w:val="en-US" w:eastAsia="en-GB"/>
              </w:rPr>
              <w:t>13)</w:t>
            </w:r>
            <w:r w:rsidRPr="00B25C5B">
              <w:rPr>
                <w:rFonts w:ascii="Arial" w:eastAsia="MS Mincho" w:hAnsi="Arial" w:cs="Arial"/>
                <w:i/>
                <w:color w:val="000000"/>
                <w:sz w:val="16"/>
                <w:szCs w:val="16"/>
                <w:vertAlign w:val="superscript"/>
                <w:lang w:val="en-US" w:eastAsia="en-GB"/>
              </w:rPr>
              <w:tab/>
            </w:r>
            <w:r w:rsidRPr="00B25C5B">
              <w:rPr>
                <w:rFonts w:ascii="Arial" w:eastAsia="MS Mincho" w:hAnsi="Arial" w:cs="Arial"/>
                <w:i/>
                <w:color w:val="000000"/>
                <w:sz w:val="16"/>
                <w:szCs w:val="16"/>
                <w:lang w:val="en-US" w:eastAsia="en-GB"/>
              </w:rPr>
              <w:t>Erythema also includes generalized erythema.</w:t>
            </w:r>
          </w:p>
          <w:p w14:paraId="4AE2B1B7"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color w:val="000000"/>
                <w:sz w:val="16"/>
                <w:szCs w:val="16"/>
                <w:lang w:val="en-US" w:eastAsia="en-GB"/>
              </w:rPr>
            </w:pPr>
            <w:r w:rsidRPr="00B25C5B">
              <w:rPr>
                <w:rFonts w:ascii="Arial" w:eastAsia="MS Mincho" w:hAnsi="Arial" w:cs="Arial"/>
                <w:i/>
                <w:color w:val="000000"/>
                <w:sz w:val="16"/>
                <w:szCs w:val="16"/>
                <w:vertAlign w:val="superscript"/>
                <w:lang w:val="en-US" w:eastAsia="en-GB"/>
              </w:rPr>
              <w:t>14)</w:t>
            </w:r>
            <w:r w:rsidRPr="00B25C5B">
              <w:rPr>
                <w:rFonts w:ascii="Arial" w:eastAsia="MS Mincho" w:hAnsi="Arial" w:cs="Arial"/>
                <w:i/>
                <w:color w:val="000000"/>
                <w:sz w:val="16"/>
                <w:szCs w:val="16"/>
                <w:vertAlign w:val="superscript"/>
                <w:lang w:val="en-US" w:eastAsia="en-GB"/>
              </w:rPr>
              <w:tab/>
            </w:r>
            <w:r w:rsidRPr="00B25C5B">
              <w:rPr>
                <w:rFonts w:ascii="Arial" w:eastAsia="MS Mincho" w:hAnsi="Arial" w:cs="Arial"/>
                <w:i/>
                <w:color w:val="000000"/>
                <w:sz w:val="16"/>
                <w:szCs w:val="16"/>
                <w:lang w:val="en-US" w:eastAsia="en-GB"/>
              </w:rPr>
              <w:t xml:space="preserve">Pruritus also includes </w:t>
            </w:r>
            <w:proofErr w:type="spellStart"/>
            <w:r w:rsidRPr="00B25C5B">
              <w:rPr>
                <w:rFonts w:ascii="Arial" w:eastAsia="MS Mincho" w:hAnsi="Arial" w:cs="Arial"/>
                <w:i/>
                <w:color w:val="000000"/>
                <w:sz w:val="16"/>
                <w:szCs w:val="16"/>
                <w:lang w:val="en-US" w:eastAsia="en-GB"/>
              </w:rPr>
              <w:t>puritus</w:t>
            </w:r>
            <w:proofErr w:type="spellEnd"/>
            <w:r w:rsidRPr="00B25C5B">
              <w:rPr>
                <w:rFonts w:ascii="Arial" w:eastAsia="MS Mincho" w:hAnsi="Arial" w:cs="Arial"/>
                <w:i/>
                <w:color w:val="000000"/>
                <w:sz w:val="16"/>
                <w:szCs w:val="16"/>
                <w:lang w:val="en-US" w:eastAsia="en-GB"/>
              </w:rPr>
              <w:t xml:space="preserve"> generalized and pruritus genital.</w:t>
            </w:r>
          </w:p>
          <w:p w14:paraId="75C885C1"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color w:val="000000"/>
                <w:sz w:val="16"/>
                <w:szCs w:val="16"/>
                <w:lang w:val="en-US" w:eastAsia="en-GB"/>
              </w:rPr>
            </w:pPr>
            <w:r w:rsidRPr="00B25C5B">
              <w:rPr>
                <w:rFonts w:ascii="Arial" w:eastAsia="MS Mincho" w:hAnsi="Arial" w:cs="Arial"/>
                <w:i/>
                <w:color w:val="000000"/>
                <w:sz w:val="16"/>
                <w:szCs w:val="16"/>
                <w:vertAlign w:val="superscript"/>
                <w:lang w:val="en-US" w:eastAsia="en-GB"/>
              </w:rPr>
              <w:t>15)</w:t>
            </w:r>
            <w:r w:rsidRPr="00B25C5B">
              <w:rPr>
                <w:rFonts w:ascii="Arial" w:eastAsia="MS Mincho" w:hAnsi="Arial" w:cs="Arial"/>
                <w:i/>
                <w:color w:val="000000"/>
                <w:sz w:val="16"/>
                <w:szCs w:val="16"/>
                <w:lang w:val="en-US" w:eastAsia="en-GB"/>
              </w:rPr>
              <w:tab/>
              <w:t>Myalgia also includes musculoskeletal pain and musculoskeletal chest pain.</w:t>
            </w:r>
          </w:p>
          <w:p w14:paraId="28C039DF"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color w:val="000000"/>
                <w:sz w:val="16"/>
                <w:szCs w:val="16"/>
                <w:lang w:val="en-US" w:eastAsia="en-GB"/>
              </w:rPr>
            </w:pPr>
            <w:r w:rsidRPr="00B25C5B">
              <w:rPr>
                <w:rFonts w:ascii="Arial" w:eastAsia="MS Mincho" w:hAnsi="Arial" w:cs="Arial"/>
                <w:i/>
                <w:color w:val="000000"/>
                <w:sz w:val="16"/>
                <w:szCs w:val="16"/>
                <w:vertAlign w:val="superscript"/>
                <w:lang w:val="en-US" w:eastAsia="en-GB"/>
              </w:rPr>
              <w:t>16)</w:t>
            </w:r>
            <w:r w:rsidRPr="00B25C5B">
              <w:rPr>
                <w:rFonts w:ascii="Arial" w:eastAsia="MS Mincho" w:hAnsi="Arial" w:cs="Arial"/>
                <w:i/>
                <w:color w:val="000000"/>
                <w:sz w:val="16"/>
                <w:szCs w:val="16"/>
                <w:lang w:val="en-US" w:eastAsia="en-GB"/>
              </w:rPr>
              <w:tab/>
              <w:t xml:space="preserve">Muscle spasms also </w:t>
            </w:r>
            <w:proofErr w:type="gramStart"/>
            <w:r w:rsidRPr="00B25C5B">
              <w:rPr>
                <w:rFonts w:ascii="Arial" w:eastAsia="MS Mincho" w:hAnsi="Arial" w:cs="Arial"/>
                <w:i/>
                <w:color w:val="000000"/>
                <w:sz w:val="16"/>
                <w:szCs w:val="16"/>
                <w:lang w:val="en-US" w:eastAsia="en-GB"/>
              </w:rPr>
              <w:t>includes</w:t>
            </w:r>
            <w:proofErr w:type="gramEnd"/>
            <w:r w:rsidRPr="00B25C5B">
              <w:rPr>
                <w:rFonts w:ascii="Arial" w:eastAsia="MS Mincho" w:hAnsi="Arial" w:cs="Arial"/>
                <w:i/>
                <w:color w:val="000000"/>
                <w:sz w:val="16"/>
                <w:szCs w:val="16"/>
                <w:lang w:val="en-US" w:eastAsia="en-GB"/>
              </w:rPr>
              <w:t xml:space="preserve"> musculoskeletal stiffness.</w:t>
            </w:r>
          </w:p>
          <w:p w14:paraId="7178E41E"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sz w:val="16"/>
                <w:szCs w:val="16"/>
                <w:lang w:val="en-US" w:eastAsia="zh-CN"/>
              </w:rPr>
            </w:pPr>
            <w:r w:rsidRPr="00B25C5B">
              <w:rPr>
                <w:rFonts w:ascii="Arial" w:eastAsia="MS Mincho" w:hAnsi="Arial" w:cs="Arial"/>
                <w:i/>
                <w:sz w:val="16"/>
                <w:szCs w:val="16"/>
                <w:vertAlign w:val="superscript"/>
                <w:lang w:val="en-US" w:eastAsia="en-GB"/>
              </w:rPr>
              <w:t>17)</w:t>
            </w:r>
            <w:r w:rsidRPr="00B25C5B">
              <w:rPr>
                <w:rFonts w:ascii="Arial" w:eastAsia="MS Mincho" w:hAnsi="Arial" w:cs="Arial"/>
                <w:i/>
                <w:sz w:val="16"/>
                <w:szCs w:val="16"/>
                <w:vertAlign w:val="superscript"/>
                <w:lang w:val="en-US" w:eastAsia="en-GB"/>
              </w:rPr>
              <w:tab/>
            </w:r>
            <w:r w:rsidRPr="00B25C5B">
              <w:rPr>
                <w:rFonts w:ascii="Arial" w:eastAsia="MS Mincho" w:hAnsi="Arial" w:cs="Arial"/>
                <w:i/>
                <w:sz w:val="16"/>
                <w:szCs w:val="16"/>
                <w:lang w:val="en-US" w:eastAsia="en-GB"/>
              </w:rPr>
              <w:t>Pyrexia also includes hyperpyrexia.</w:t>
            </w:r>
          </w:p>
          <w:p w14:paraId="45D4575F"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sz w:val="16"/>
                <w:szCs w:val="16"/>
                <w:lang w:val="en-US" w:eastAsia="en-GB"/>
              </w:rPr>
            </w:pPr>
            <w:r w:rsidRPr="00B25C5B">
              <w:rPr>
                <w:rFonts w:ascii="Arial" w:eastAsia="MS Mincho" w:hAnsi="Arial" w:cs="Arial"/>
                <w:i/>
                <w:sz w:val="16"/>
                <w:szCs w:val="16"/>
                <w:vertAlign w:val="superscript"/>
                <w:lang w:val="en-US" w:eastAsia="en-GB"/>
              </w:rPr>
              <w:t>18)</w:t>
            </w:r>
            <w:r w:rsidRPr="00B25C5B">
              <w:rPr>
                <w:rFonts w:ascii="Arial" w:eastAsia="MS Mincho" w:hAnsi="Arial" w:cs="Arial"/>
                <w:i/>
                <w:sz w:val="16"/>
                <w:szCs w:val="16"/>
                <w:vertAlign w:val="superscript"/>
                <w:lang w:val="en-US" w:eastAsia="en-GB"/>
              </w:rPr>
              <w:tab/>
            </w:r>
            <w:r w:rsidRPr="00B25C5B">
              <w:rPr>
                <w:rFonts w:ascii="Arial" w:eastAsia="MS Mincho" w:hAnsi="Arial" w:cs="Arial"/>
                <w:i/>
                <w:color w:val="000000"/>
                <w:sz w:val="16"/>
                <w:szCs w:val="16"/>
                <w:lang w:val="en-US" w:eastAsia="en-GB"/>
              </w:rPr>
              <w:t>Fatigue also includes asthenia and malaise</w:t>
            </w:r>
            <w:r w:rsidRPr="00B25C5B">
              <w:rPr>
                <w:rFonts w:ascii="Arial" w:eastAsia="MS Mincho" w:hAnsi="Arial" w:cs="Arial"/>
                <w:i/>
                <w:sz w:val="16"/>
                <w:szCs w:val="16"/>
                <w:lang w:val="en-US" w:eastAsia="en-GB"/>
              </w:rPr>
              <w:t>.</w:t>
            </w:r>
          </w:p>
          <w:p w14:paraId="7E28B6BE"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color w:val="000000"/>
                <w:sz w:val="16"/>
                <w:szCs w:val="16"/>
                <w:lang w:val="en-US" w:eastAsia="en-GB"/>
              </w:rPr>
            </w:pPr>
            <w:r w:rsidRPr="00B25C5B">
              <w:rPr>
                <w:rFonts w:ascii="Arial" w:eastAsia="MS Mincho" w:hAnsi="Arial" w:cs="Arial"/>
                <w:i/>
                <w:color w:val="000000"/>
                <w:sz w:val="16"/>
                <w:szCs w:val="16"/>
                <w:vertAlign w:val="superscript"/>
                <w:lang w:val="en-US" w:eastAsia="zh-CN"/>
              </w:rPr>
              <w:t>19)</w:t>
            </w:r>
            <w:r w:rsidRPr="00B25C5B">
              <w:rPr>
                <w:rFonts w:ascii="Arial" w:eastAsia="MS Mincho" w:hAnsi="Arial" w:cs="Arial"/>
                <w:i/>
                <w:color w:val="000000"/>
                <w:sz w:val="16"/>
                <w:szCs w:val="16"/>
                <w:lang w:val="en-US" w:eastAsia="zh-CN"/>
              </w:rPr>
              <w:tab/>
              <w:t>Oedema peripheral also includes peripheral swelling.</w:t>
            </w:r>
          </w:p>
          <w:p w14:paraId="7AF7920D"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color w:val="000000"/>
                <w:sz w:val="16"/>
                <w:szCs w:val="16"/>
                <w:lang w:val="en-US" w:eastAsia="en-GB"/>
              </w:rPr>
            </w:pPr>
            <w:r w:rsidRPr="00B25C5B">
              <w:rPr>
                <w:rFonts w:ascii="Arial" w:eastAsia="MS Mincho" w:hAnsi="Arial" w:cs="Arial"/>
                <w:i/>
                <w:color w:val="000000"/>
                <w:sz w:val="16"/>
                <w:szCs w:val="16"/>
                <w:vertAlign w:val="superscript"/>
                <w:lang w:val="en-US" w:eastAsia="en-GB"/>
              </w:rPr>
              <w:t>20)</w:t>
            </w:r>
            <w:r w:rsidRPr="00B25C5B">
              <w:rPr>
                <w:rFonts w:ascii="Arial" w:eastAsia="MS Mincho" w:hAnsi="Arial" w:cs="Arial"/>
                <w:i/>
                <w:color w:val="000000"/>
                <w:sz w:val="16"/>
                <w:szCs w:val="16"/>
                <w:vertAlign w:val="superscript"/>
                <w:lang w:val="en-US" w:eastAsia="en-GB"/>
              </w:rPr>
              <w:tab/>
            </w:r>
            <w:r w:rsidRPr="00B25C5B">
              <w:rPr>
                <w:rFonts w:ascii="Arial" w:eastAsia="MS Mincho" w:hAnsi="Arial" w:cs="Arial"/>
                <w:i/>
                <w:color w:val="000000"/>
                <w:sz w:val="16"/>
                <w:szCs w:val="16"/>
                <w:lang w:val="en-US" w:eastAsia="en-GB"/>
              </w:rPr>
              <w:t>Alanine aminotransferase increased also includes hepatic enzyme increased, liver function test increased, liver function test abnormal, and hypertransaminasaemia.</w:t>
            </w:r>
          </w:p>
          <w:p w14:paraId="06AB06D2" w14:textId="77777777" w:rsidR="00B25C5B" w:rsidRPr="00B25C5B" w:rsidRDefault="00B25C5B" w:rsidP="00B25C5B">
            <w:pPr>
              <w:autoSpaceDE/>
              <w:autoSpaceDN/>
              <w:adjustRightInd/>
              <w:spacing w:before="40" w:after="20" w:line="240" w:lineRule="auto"/>
              <w:ind w:left="176" w:hanging="176"/>
              <w:jc w:val="left"/>
              <w:rPr>
                <w:rFonts w:ascii="Arial" w:eastAsia="MS Mincho" w:hAnsi="Arial" w:cs="Arial"/>
                <w:i/>
                <w:color w:val="000000"/>
                <w:sz w:val="16"/>
                <w:szCs w:val="16"/>
                <w:lang w:val="en-US" w:eastAsia="en-GB"/>
              </w:rPr>
            </w:pPr>
            <w:r w:rsidRPr="00B25C5B">
              <w:rPr>
                <w:rFonts w:ascii="Arial" w:eastAsia="MS Mincho" w:hAnsi="Arial" w:cs="Arial"/>
                <w:i/>
                <w:sz w:val="16"/>
                <w:szCs w:val="16"/>
                <w:vertAlign w:val="superscript"/>
                <w:lang w:val="en-US" w:eastAsia="en-GB"/>
              </w:rPr>
              <w:t>21)</w:t>
            </w:r>
            <w:r w:rsidRPr="00B25C5B">
              <w:rPr>
                <w:rFonts w:ascii="Arial" w:eastAsia="MS Mincho" w:hAnsi="Arial" w:cs="Arial"/>
                <w:i/>
                <w:sz w:val="16"/>
                <w:szCs w:val="16"/>
                <w:lang w:val="en-US" w:eastAsia="en-GB"/>
              </w:rPr>
              <w:tab/>
              <w:t xml:space="preserve">Aspartate aminotransferase increased also includes </w:t>
            </w:r>
            <w:r w:rsidRPr="00B25C5B">
              <w:rPr>
                <w:rFonts w:ascii="Arial" w:eastAsia="MS Mincho" w:hAnsi="Arial" w:cs="Arial"/>
                <w:i/>
                <w:color w:val="000000"/>
                <w:sz w:val="16"/>
                <w:szCs w:val="16"/>
                <w:lang w:val="en-US" w:eastAsia="en-GB"/>
              </w:rPr>
              <w:t>hepatic enzyme increased, liver function test increased, liver function test abnormal, and hypertransaminasaemia.</w:t>
            </w:r>
          </w:p>
          <w:p w14:paraId="6A3150C5" w14:textId="77777777" w:rsidR="00B25C5B" w:rsidRPr="00B25C5B" w:rsidRDefault="00B25C5B" w:rsidP="00B25C5B">
            <w:pPr>
              <w:autoSpaceDE/>
              <w:autoSpaceDN/>
              <w:adjustRightInd/>
              <w:spacing w:before="40" w:after="20" w:line="240" w:lineRule="auto"/>
              <w:ind w:left="352" w:hanging="176"/>
              <w:jc w:val="left"/>
              <w:rPr>
                <w:rFonts w:ascii="Arial" w:eastAsia="MS Mincho" w:hAnsi="Arial" w:cs="Arial"/>
                <w:i/>
                <w:color w:val="000000"/>
                <w:sz w:val="16"/>
                <w:szCs w:val="16"/>
                <w:lang w:val="en-US" w:eastAsia="en-GB"/>
              </w:rPr>
            </w:pPr>
            <w:r w:rsidRPr="00B25C5B">
              <w:rPr>
                <w:rFonts w:ascii="Arial" w:eastAsia="MS Mincho" w:hAnsi="Arial" w:cs="Arial"/>
                <w:i/>
                <w:color w:val="000000"/>
                <w:sz w:val="16"/>
                <w:szCs w:val="16"/>
                <w:lang w:val="en-US" w:eastAsia="en-GB"/>
              </w:rPr>
              <w:t>NR: not reported</w:t>
            </w:r>
          </w:p>
        </w:tc>
      </w:tr>
    </w:tbl>
    <w:p w14:paraId="6F8EC4FD" w14:textId="67B1152A" w:rsidR="00843F78" w:rsidRPr="00B25C5B" w:rsidRDefault="00684775" w:rsidP="00843F78">
      <w:pPr>
        <w:keepNext/>
        <w:keepLines/>
        <w:autoSpaceDE/>
        <w:autoSpaceDN/>
        <w:adjustRightInd/>
        <w:spacing w:before="240" w:after="60" w:line="240" w:lineRule="auto"/>
        <w:ind w:left="2061" w:hanging="1701"/>
        <w:jc w:val="left"/>
        <w:outlineLvl w:val="5"/>
        <w:rPr>
          <w:rFonts w:ascii="Arial" w:eastAsia="MS Gothic" w:hAnsi="Arial" w:cs="Arial"/>
          <w:b/>
          <w:sz w:val="22"/>
          <w:szCs w:val="20"/>
          <w:lang w:val="en-US" w:eastAsia="en-GB"/>
        </w:rPr>
      </w:pPr>
      <w:r>
        <w:rPr>
          <w:rFonts w:ascii="Arial" w:eastAsia="MS Gothic" w:hAnsi="Arial" w:cs="Arial"/>
          <w:b/>
          <w:sz w:val="22"/>
          <w:szCs w:val="20"/>
          <w:lang w:val="en-US" w:eastAsia="en-GB"/>
        </w:rPr>
        <w:t>Table 11</w:t>
      </w:r>
      <w:r>
        <w:rPr>
          <w:rFonts w:ascii="Arial" w:eastAsia="MS Gothic" w:hAnsi="Arial" w:cs="Arial"/>
          <w:b/>
          <w:sz w:val="22"/>
          <w:szCs w:val="20"/>
          <w:lang w:val="en-US" w:eastAsia="en-GB"/>
        </w:rPr>
        <w:tab/>
      </w:r>
      <w:r w:rsidRPr="003A212F">
        <w:rPr>
          <w:rFonts w:ascii="Arial" w:eastAsia="MS Gothic" w:hAnsi="Arial" w:cs="Arial"/>
          <w:b/>
          <w:sz w:val="22"/>
          <w:szCs w:val="20"/>
          <w:lang w:val="en-US" w:eastAsia="en-GB"/>
        </w:rPr>
        <w:t>Treatment-</w:t>
      </w:r>
      <w:r w:rsidR="00226ED6">
        <w:rPr>
          <w:rFonts w:ascii="Arial" w:eastAsia="MS Gothic" w:hAnsi="Arial" w:cs="Arial"/>
          <w:b/>
          <w:sz w:val="22"/>
          <w:szCs w:val="20"/>
          <w:lang w:val="en-US" w:eastAsia="en-GB"/>
        </w:rPr>
        <w:t>e</w:t>
      </w:r>
      <w:r w:rsidRPr="008A5351">
        <w:rPr>
          <w:rFonts w:ascii="Arial" w:eastAsia="MS Gothic" w:hAnsi="Arial" w:cs="Arial"/>
          <w:b/>
          <w:sz w:val="22"/>
          <w:szCs w:val="20"/>
          <w:lang w:val="en-US" w:eastAsia="en-GB"/>
        </w:rPr>
        <w:t xml:space="preserve">mergent </w:t>
      </w:r>
      <w:r w:rsidR="00226ED6">
        <w:rPr>
          <w:rFonts w:ascii="Arial" w:eastAsia="MS Gothic" w:hAnsi="Arial" w:cs="Arial"/>
          <w:b/>
          <w:sz w:val="22"/>
          <w:szCs w:val="20"/>
          <w:lang w:val="en-US" w:eastAsia="en-GB"/>
        </w:rPr>
        <w:t>l</w:t>
      </w:r>
      <w:r w:rsidRPr="003A212F">
        <w:rPr>
          <w:rFonts w:ascii="Arial" w:eastAsia="MS Gothic" w:hAnsi="Arial" w:cs="Arial"/>
          <w:b/>
          <w:sz w:val="22"/>
          <w:szCs w:val="20"/>
          <w:lang w:val="en-US" w:eastAsia="en-GB"/>
        </w:rPr>
        <w:t xml:space="preserve">aboratory </w:t>
      </w:r>
      <w:r w:rsidR="00226ED6">
        <w:rPr>
          <w:rFonts w:ascii="Arial" w:eastAsia="MS Gothic" w:hAnsi="Arial" w:cs="Arial"/>
          <w:b/>
          <w:sz w:val="22"/>
          <w:szCs w:val="20"/>
          <w:lang w:val="en-US" w:eastAsia="en-GB"/>
        </w:rPr>
        <w:t>a</w:t>
      </w:r>
      <w:r w:rsidRPr="003A212F">
        <w:rPr>
          <w:rFonts w:ascii="Arial" w:eastAsia="MS Gothic" w:hAnsi="Arial" w:cs="Arial"/>
          <w:b/>
          <w:sz w:val="22"/>
          <w:szCs w:val="20"/>
          <w:lang w:val="en-US" w:eastAsia="en-GB"/>
        </w:rPr>
        <w:t xml:space="preserve">bnormalities </w:t>
      </w:r>
      <w:r w:rsidR="008D35E5" w:rsidRPr="008D61F3">
        <w:rPr>
          <w:rFonts w:ascii="Arial" w:eastAsia="MS Gothic" w:hAnsi="Arial" w:cs="Arial"/>
          <w:b/>
          <w:sz w:val="22"/>
          <w:szCs w:val="20"/>
          <w:lang w:val="en-US" w:eastAsia="en-GB"/>
        </w:rPr>
        <w:t>(</w:t>
      </w:r>
      <w:r w:rsidR="00226ED6">
        <w:rPr>
          <w:rFonts w:ascii="Arial" w:eastAsia="MS Gothic" w:hAnsi="Arial" w:cs="Arial"/>
          <w:b/>
          <w:sz w:val="22"/>
          <w:szCs w:val="20"/>
          <w:lang w:val="en-US" w:eastAsia="en-GB"/>
        </w:rPr>
        <w:t>a</w:t>
      </w:r>
      <w:r w:rsidR="008D35E5" w:rsidRPr="008D61F3">
        <w:rPr>
          <w:rFonts w:ascii="Arial" w:eastAsia="MS Gothic" w:hAnsi="Arial" w:cs="Arial"/>
          <w:b/>
          <w:sz w:val="22"/>
          <w:szCs w:val="20"/>
          <w:lang w:val="en-US" w:eastAsia="en-GB"/>
        </w:rPr>
        <w:t xml:space="preserve">ll </w:t>
      </w:r>
      <w:r w:rsidR="00226ED6">
        <w:rPr>
          <w:rFonts w:ascii="Arial" w:eastAsia="MS Gothic" w:hAnsi="Arial" w:cs="Arial"/>
          <w:b/>
          <w:sz w:val="22"/>
          <w:szCs w:val="20"/>
          <w:lang w:val="en-US" w:eastAsia="en-GB"/>
        </w:rPr>
        <w:t>g</w:t>
      </w:r>
      <w:r w:rsidR="008D35E5" w:rsidRPr="008D61F3">
        <w:rPr>
          <w:rFonts w:ascii="Arial" w:eastAsia="MS Gothic" w:hAnsi="Arial" w:cs="Arial"/>
          <w:b/>
          <w:sz w:val="22"/>
          <w:szCs w:val="20"/>
          <w:lang w:val="en-US" w:eastAsia="en-GB"/>
        </w:rPr>
        <w:t xml:space="preserve">rades) </w:t>
      </w:r>
      <w:r w:rsidR="00226ED6">
        <w:rPr>
          <w:rFonts w:ascii="Arial" w:eastAsia="MS Gothic" w:hAnsi="Arial" w:cs="Arial"/>
          <w:b/>
          <w:sz w:val="22"/>
          <w:szCs w:val="20"/>
          <w:lang w:val="en-US" w:eastAsia="en-GB"/>
        </w:rPr>
        <w:t>o</w:t>
      </w:r>
      <w:r w:rsidRPr="003A212F">
        <w:rPr>
          <w:rFonts w:ascii="Arial" w:eastAsia="MS Gothic" w:hAnsi="Arial" w:cs="Arial"/>
          <w:b/>
          <w:sz w:val="22"/>
          <w:szCs w:val="20"/>
          <w:lang w:val="en-US" w:eastAsia="en-GB"/>
        </w:rPr>
        <w:t xml:space="preserve">ccurring </w:t>
      </w:r>
      <w:r w:rsidR="00843F78">
        <w:rPr>
          <w:rFonts w:ascii="Arial" w:eastAsia="MS Gothic" w:hAnsi="Arial" w:cs="Arial"/>
          <w:b/>
          <w:sz w:val="22"/>
          <w:szCs w:val="20"/>
          <w:lang w:val="en-US" w:eastAsia="en-GB"/>
        </w:rPr>
        <w:t xml:space="preserve">with between arm difference </w:t>
      </w:r>
      <w:r w:rsidR="00843F78">
        <w:rPr>
          <w:rFonts w:ascii="Arial" w:eastAsia="MS Gothic" w:hAnsi="Arial" w:cs="Arial"/>
          <w:b/>
          <w:sz w:val="22"/>
          <w:szCs w:val="20"/>
          <w:lang w:val="en-US" w:eastAsia="en-GB"/>
        </w:rPr>
        <w:sym w:font="Symbol" w:char="F0B3"/>
      </w:r>
      <w:r w:rsidR="00843F78">
        <w:rPr>
          <w:rFonts w:ascii="Arial" w:eastAsia="MS Gothic" w:hAnsi="Arial" w:cs="Arial"/>
          <w:b/>
          <w:sz w:val="22"/>
          <w:szCs w:val="20"/>
          <w:lang w:val="en-US" w:eastAsia="en-GB"/>
        </w:rPr>
        <w:t xml:space="preserve"> 10 % (Study </w:t>
      </w:r>
      <w:r w:rsidR="00843F78" w:rsidRPr="00684775">
        <w:rPr>
          <w:rFonts w:ascii="Arial" w:eastAsia="MS Gothic" w:hAnsi="Arial" w:cs="Arial"/>
          <w:b/>
          <w:sz w:val="22"/>
          <w:szCs w:val="20"/>
          <w:lang w:val="en-US" w:eastAsia="en-GB"/>
        </w:rPr>
        <w:t xml:space="preserve">BRF115532 </w:t>
      </w:r>
      <w:r w:rsidR="00843F78">
        <w:rPr>
          <w:rFonts w:ascii="Arial" w:eastAsia="MS Gothic" w:hAnsi="Arial" w:cs="Arial"/>
          <w:b/>
          <w:sz w:val="22"/>
          <w:szCs w:val="20"/>
          <w:lang w:val="en-US" w:eastAsia="en-GB"/>
        </w:rPr>
        <w:t>[</w:t>
      </w:r>
      <w:r w:rsidR="00843F78" w:rsidRPr="00684775">
        <w:rPr>
          <w:rFonts w:ascii="Arial" w:eastAsia="MS Gothic" w:hAnsi="Arial" w:cs="Arial"/>
          <w:b/>
          <w:sz w:val="22"/>
          <w:szCs w:val="20"/>
          <w:lang w:val="en-US" w:eastAsia="en-GB"/>
        </w:rPr>
        <w:t>COMBI-AD</w:t>
      </w:r>
      <w:r w:rsidR="00843F78">
        <w:rPr>
          <w:rFonts w:ascii="Arial" w:eastAsia="MS Gothic" w:hAnsi="Arial" w:cs="Arial"/>
          <w:b/>
          <w:sz w:val="22"/>
          <w:szCs w:val="20"/>
          <w:lang w:val="en-US" w:eastAsia="en-GB"/>
        </w:rPr>
        <w:t>])</w:t>
      </w:r>
    </w:p>
    <w:tbl>
      <w:tblPr>
        <w:tblStyle w:val="TableGrid"/>
        <w:tblW w:w="7196" w:type="dxa"/>
        <w:tblInd w:w="607" w:type="dxa"/>
        <w:tblLook w:val="04A0" w:firstRow="1" w:lastRow="0" w:firstColumn="1" w:lastColumn="0" w:noHBand="0" w:noVBand="1"/>
      </w:tblPr>
      <w:tblGrid>
        <w:gridCol w:w="2858"/>
        <w:gridCol w:w="2626"/>
        <w:gridCol w:w="1712"/>
      </w:tblGrid>
      <w:tr w:rsidR="008D35E5" w14:paraId="647A9AFE" w14:textId="77777777" w:rsidTr="001550EB">
        <w:trPr>
          <w:trHeight w:val="454"/>
          <w:tblHeader/>
        </w:trPr>
        <w:tc>
          <w:tcPr>
            <w:tcW w:w="2858" w:type="dxa"/>
            <w:vAlign w:val="center"/>
          </w:tcPr>
          <w:p w14:paraId="4166E03C" w14:textId="59E83293" w:rsidR="008D35E5" w:rsidRPr="003A212F" w:rsidRDefault="008D35E5" w:rsidP="003A212F">
            <w:pPr>
              <w:keepNext/>
              <w:keepLines/>
              <w:autoSpaceDE/>
              <w:autoSpaceDN/>
              <w:adjustRightInd/>
              <w:spacing w:after="0" w:line="240" w:lineRule="auto"/>
              <w:jc w:val="center"/>
              <w:outlineLvl w:val="5"/>
              <w:rPr>
                <w:rFonts w:ascii="Arial" w:eastAsia="MS Gothic" w:hAnsi="Arial" w:cs="Arial"/>
                <w:b/>
                <w:sz w:val="18"/>
                <w:szCs w:val="18"/>
                <w:lang w:val="en-US" w:eastAsia="en-GB"/>
              </w:rPr>
            </w:pPr>
            <w:r w:rsidRPr="003A212F">
              <w:rPr>
                <w:rFonts w:ascii="Arial" w:eastAsia="MS Gothic" w:hAnsi="Arial" w:cs="Arial"/>
                <w:b/>
                <w:sz w:val="18"/>
                <w:szCs w:val="18"/>
                <w:lang w:val="en-US" w:eastAsia="en-GB"/>
              </w:rPr>
              <w:t>Test result</w:t>
            </w:r>
          </w:p>
        </w:tc>
        <w:tc>
          <w:tcPr>
            <w:tcW w:w="2626" w:type="dxa"/>
            <w:vAlign w:val="center"/>
          </w:tcPr>
          <w:p w14:paraId="22B538E9" w14:textId="7A550EBF" w:rsidR="008D35E5" w:rsidRPr="003A212F" w:rsidRDefault="008D35E5" w:rsidP="003A212F">
            <w:pPr>
              <w:keepNext/>
              <w:keepLines/>
              <w:autoSpaceDE/>
              <w:autoSpaceDN/>
              <w:adjustRightInd/>
              <w:spacing w:after="0" w:line="240" w:lineRule="auto"/>
              <w:jc w:val="center"/>
              <w:outlineLvl w:val="5"/>
              <w:rPr>
                <w:rFonts w:ascii="Arial" w:eastAsia="MS Gothic" w:hAnsi="Arial" w:cs="Arial"/>
                <w:b/>
                <w:sz w:val="18"/>
                <w:szCs w:val="18"/>
                <w:lang w:val="en-US" w:eastAsia="en-GB"/>
              </w:rPr>
            </w:pPr>
            <w:r w:rsidRPr="003A212F">
              <w:rPr>
                <w:rFonts w:ascii="Arial" w:eastAsia="MS Gothic" w:hAnsi="Arial" w:cs="Arial"/>
                <w:b/>
                <w:sz w:val="18"/>
                <w:szCs w:val="18"/>
                <w:lang w:val="en-US" w:eastAsia="en-GB"/>
              </w:rPr>
              <w:t>TAFINLAR in combination with MEKINIST (N=435)</w:t>
            </w:r>
          </w:p>
        </w:tc>
        <w:tc>
          <w:tcPr>
            <w:tcW w:w="1712" w:type="dxa"/>
            <w:vAlign w:val="center"/>
          </w:tcPr>
          <w:p w14:paraId="1D5517B1" w14:textId="189C5650" w:rsidR="008D35E5" w:rsidRPr="003A212F" w:rsidRDefault="008D35E5" w:rsidP="003A212F">
            <w:pPr>
              <w:keepNext/>
              <w:keepLines/>
              <w:autoSpaceDE/>
              <w:autoSpaceDN/>
              <w:adjustRightInd/>
              <w:spacing w:after="0" w:line="240" w:lineRule="auto"/>
              <w:jc w:val="center"/>
              <w:outlineLvl w:val="5"/>
              <w:rPr>
                <w:rFonts w:ascii="Arial" w:eastAsia="MS Gothic" w:hAnsi="Arial" w:cs="Arial"/>
                <w:b/>
                <w:sz w:val="18"/>
                <w:szCs w:val="18"/>
                <w:lang w:val="en-US" w:eastAsia="en-GB"/>
              </w:rPr>
            </w:pPr>
            <w:r w:rsidRPr="003A212F">
              <w:rPr>
                <w:rFonts w:ascii="Arial" w:eastAsia="MS Gothic" w:hAnsi="Arial" w:cs="Arial"/>
                <w:b/>
                <w:sz w:val="18"/>
                <w:szCs w:val="18"/>
                <w:lang w:val="en-US" w:eastAsia="en-GB"/>
              </w:rPr>
              <w:t>Placebo (N=432)</w:t>
            </w:r>
          </w:p>
        </w:tc>
      </w:tr>
      <w:tr w:rsidR="00226ED6" w:rsidRPr="00F37C53" w14:paraId="44F7BECC" w14:textId="77777777" w:rsidTr="00226ED6">
        <w:tc>
          <w:tcPr>
            <w:tcW w:w="2858" w:type="dxa"/>
          </w:tcPr>
          <w:p w14:paraId="07838679" w14:textId="2B227D0A" w:rsidR="008D35E5" w:rsidRPr="001550EB" w:rsidRDefault="008D35E5" w:rsidP="001550E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1550EB">
              <w:rPr>
                <w:rFonts w:ascii="Arial" w:eastAsia="MS Mincho" w:hAnsi="Arial" w:cs="Arial"/>
                <w:sz w:val="18"/>
                <w:szCs w:val="18"/>
                <w:lang w:val="en-US" w:eastAsia="zh-CN"/>
              </w:rPr>
              <w:t>Serum albumin abnormalities</w:t>
            </w:r>
          </w:p>
        </w:tc>
        <w:tc>
          <w:tcPr>
            <w:tcW w:w="2626" w:type="dxa"/>
          </w:tcPr>
          <w:p w14:paraId="5BCA8C7F" w14:textId="0E5E8D59" w:rsidR="008D35E5" w:rsidRPr="001550EB" w:rsidRDefault="008D35E5" w:rsidP="001550EB">
            <w:pPr>
              <w:keepLines/>
              <w:tabs>
                <w:tab w:val="left" w:pos="284"/>
              </w:tabs>
              <w:autoSpaceDE/>
              <w:autoSpaceDN/>
              <w:adjustRightInd/>
              <w:spacing w:before="40" w:after="20" w:line="240" w:lineRule="auto"/>
              <w:jc w:val="center"/>
              <w:rPr>
                <w:rFonts w:ascii="Arial" w:eastAsia="MS Mincho" w:hAnsi="Arial" w:cs="Arial"/>
                <w:sz w:val="18"/>
                <w:szCs w:val="18"/>
                <w:lang w:val="en-US" w:eastAsia="zh-CN"/>
              </w:rPr>
            </w:pPr>
            <w:r w:rsidRPr="001550EB">
              <w:rPr>
                <w:rFonts w:ascii="Arial" w:eastAsia="MS Mincho" w:hAnsi="Arial" w:cs="Arial"/>
                <w:sz w:val="18"/>
                <w:szCs w:val="18"/>
                <w:lang w:val="en-US" w:eastAsia="zh-CN"/>
              </w:rPr>
              <w:t>25 %</w:t>
            </w:r>
          </w:p>
        </w:tc>
        <w:tc>
          <w:tcPr>
            <w:tcW w:w="1712" w:type="dxa"/>
          </w:tcPr>
          <w:p w14:paraId="047CDB5A" w14:textId="05BAB7A6" w:rsidR="008D35E5" w:rsidRPr="001550EB" w:rsidRDefault="008D35E5" w:rsidP="001550EB">
            <w:pPr>
              <w:keepLines/>
              <w:tabs>
                <w:tab w:val="left" w:pos="284"/>
              </w:tabs>
              <w:autoSpaceDE/>
              <w:autoSpaceDN/>
              <w:adjustRightInd/>
              <w:spacing w:before="40" w:after="20" w:line="240" w:lineRule="auto"/>
              <w:jc w:val="center"/>
              <w:rPr>
                <w:rFonts w:ascii="Arial" w:eastAsia="MS Mincho" w:hAnsi="Arial" w:cs="Arial"/>
                <w:sz w:val="18"/>
                <w:szCs w:val="18"/>
                <w:lang w:val="en-US" w:eastAsia="zh-CN"/>
              </w:rPr>
            </w:pPr>
            <w:r w:rsidRPr="001550EB">
              <w:rPr>
                <w:rFonts w:ascii="Arial" w:eastAsia="MS Mincho" w:hAnsi="Arial" w:cs="Arial"/>
                <w:sz w:val="18"/>
                <w:szCs w:val="18"/>
                <w:lang w:val="en-US" w:eastAsia="zh-CN"/>
              </w:rPr>
              <w:t>&lt;1 %</w:t>
            </w:r>
          </w:p>
        </w:tc>
      </w:tr>
      <w:tr w:rsidR="00226ED6" w:rsidRPr="00F37C53" w14:paraId="16DDE0C7" w14:textId="77777777" w:rsidTr="00226ED6">
        <w:tc>
          <w:tcPr>
            <w:tcW w:w="2858" w:type="dxa"/>
          </w:tcPr>
          <w:p w14:paraId="6F5F6D4D" w14:textId="781E2413" w:rsidR="008D35E5" w:rsidRPr="001550EB" w:rsidRDefault="008D35E5" w:rsidP="001550E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proofErr w:type="spellStart"/>
            <w:r w:rsidRPr="001550EB">
              <w:rPr>
                <w:rFonts w:ascii="Arial" w:eastAsia="MS Mincho" w:hAnsi="Arial" w:cs="Arial"/>
                <w:sz w:val="18"/>
                <w:szCs w:val="18"/>
                <w:lang w:val="en-US" w:eastAsia="zh-CN"/>
              </w:rPr>
              <w:t>Hyponatraemia</w:t>
            </w:r>
            <w:proofErr w:type="spellEnd"/>
          </w:p>
        </w:tc>
        <w:tc>
          <w:tcPr>
            <w:tcW w:w="2626" w:type="dxa"/>
          </w:tcPr>
          <w:p w14:paraId="3AF110F8" w14:textId="50ECAA1A" w:rsidR="008D35E5" w:rsidRPr="001550EB" w:rsidRDefault="008D35E5" w:rsidP="001550EB">
            <w:pPr>
              <w:keepLines/>
              <w:tabs>
                <w:tab w:val="left" w:pos="284"/>
              </w:tabs>
              <w:autoSpaceDE/>
              <w:autoSpaceDN/>
              <w:adjustRightInd/>
              <w:spacing w:before="40" w:after="20" w:line="240" w:lineRule="auto"/>
              <w:jc w:val="center"/>
              <w:rPr>
                <w:rFonts w:ascii="Arial" w:eastAsia="MS Mincho" w:hAnsi="Arial" w:cs="Arial"/>
                <w:sz w:val="18"/>
                <w:szCs w:val="18"/>
                <w:lang w:val="en-US" w:eastAsia="zh-CN"/>
              </w:rPr>
            </w:pPr>
            <w:r w:rsidRPr="001550EB">
              <w:rPr>
                <w:rFonts w:ascii="Arial" w:eastAsia="MS Mincho" w:hAnsi="Arial" w:cs="Arial"/>
                <w:sz w:val="18"/>
                <w:szCs w:val="18"/>
                <w:lang w:val="en-US" w:eastAsia="zh-CN"/>
              </w:rPr>
              <w:t>16 %</w:t>
            </w:r>
          </w:p>
        </w:tc>
        <w:tc>
          <w:tcPr>
            <w:tcW w:w="1712" w:type="dxa"/>
          </w:tcPr>
          <w:p w14:paraId="4D24C672" w14:textId="1D908C1F" w:rsidR="008D35E5" w:rsidRPr="001550EB" w:rsidRDefault="008D35E5" w:rsidP="001550EB">
            <w:pPr>
              <w:keepLines/>
              <w:tabs>
                <w:tab w:val="left" w:pos="284"/>
              </w:tabs>
              <w:autoSpaceDE/>
              <w:autoSpaceDN/>
              <w:adjustRightInd/>
              <w:spacing w:before="40" w:after="20" w:line="240" w:lineRule="auto"/>
              <w:jc w:val="center"/>
              <w:rPr>
                <w:rFonts w:ascii="Arial" w:eastAsia="MS Mincho" w:hAnsi="Arial" w:cs="Arial"/>
                <w:sz w:val="18"/>
                <w:szCs w:val="18"/>
                <w:lang w:val="en-US" w:eastAsia="zh-CN"/>
              </w:rPr>
            </w:pPr>
            <w:r w:rsidRPr="001550EB">
              <w:rPr>
                <w:rFonts w:ascii="Arial" w:eastAsia="MS Mincho" w:hAnsi="Arial" w:cs="Arial"/>
                <w:sz w:val="18"/>
                <w:szCs w:val="18"/>
                <w:lang w:val="en-US" w:eastAsia="zh-CN"/>
              </w:rPr>
              <w:t>3 %</w:t>
            </w:r>
          </w:p>
        </w:tc>
      </w:tr>
      <w:tr w:rsidR="008D35E5" w:rsidRPr="00F37C53" w14:paraId="6C680D06" w14:textId="77777777" w:rsidTr="008A5351">
        <w:tc>
          <w:tcPr>
            <w:tcW w:w="2858" w:type="dxa"/>
          </w:tcPr>
          <w:p w14:paraId="3761C041" w14:textId="2E4D7B18" w:rsidR="008D35E5" w:rsidRPr="001550EB" w:rsidRDefault="00226ED6" w:rsidP="001550E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proofErr w:type="spellStart"/>
            <w:r w:rsidRPr="001550EB">
              <w:rPr>
                <w:rFonts w:ascii="Arial" w:eastAsia="MS Mincho" w:hAnsi="Arial" w:cs="Arial"/>
                <w:sz w:val="18"/>
                <w:szCs w:val="18"/>
                <w:lang w:val="en-US" w:eastAsia="zh-CN"/>
              </w:rPr>
              <w:t>Hyperglycaemia</w:t>
            </w:r>
            <w:proofErr w:type="spellEnd"/>
          </w:p>
        </w:tc>
        <w:tc>
          <w:tcPr>
            <w:tcW w:w="2626" w:type="dxa"/>
          </w:tcPr>
          <w:p w14:paraId="3C194C70" w14:textId="353C39EB" w:rsidR="008D35E5" w:rsidRPr="001550EB" w:rsidRDefault="00226ED6" w:rsidP="001550EB">
            <w:pPr>
              <w:keepLines/>
              <w:tabs>
                <w:tab w:val="left" w:pos="284"/>
              </w:tabs>
              <w:autoSpaceDE/>
              <w:autoSpaceDN/>
              <w:adjustRightInd/>
              <w:spacing w:before="40" w:after="20" w:line="240" w:lineRule="auto"/>
              <w:jc w:val="center"/>
              <w:rPr>
                <w:rFonts w:ascii="Arial" w:eastAsia="MS Mincho" w:hAnsi="Arial" w:cs="Arial"/>
                <w:sz w:val="18"/>
                <w:szCs w:val="18"/>
                <w:lang w:val="en-US" w:eastAsia="zh-CN"/>
              </w:rPr>
            </w:pPr>
            <w:r w:rsidRPr="001550EB">
              <w:rPr>
                <w:rFonts w:ascii="Arial" w:eastAsia="MS Mincho" w:hAnsi="Arial" w:cs="Arial"/>
                <w:sz w:val="18"/>
                <w:szCs w:val="18"/>
                <w:lang w:val="en-US" w:eastAsia="zh-CN"/>
              </w:rPr>
              <w:t>63 %</w:t>
            </w:r>
          </w:p>
        </w:tc>
        <w:tc>
          <w:tcPr>
            <w:tcW w:w="1712" w:type="dxa"/>
          </w:tcPr>
          <w:p w14:paraId="319641D3" w14:textId="458CEA37" w:rsidR="008D35E5" w:rsidRPr="001550EB" w:rsidRDefault="00226ED6" w:rsidP="001550EB">
            <w:pPr>
              <w:keepLines/>
              <w:tabs>
                <w:tab w:val="left" w:pos="284"/>
              </w:tabs>
              <w:autoSpaceDE/>
              <w:autoSpaceDN/>
              <w:adjustRightInd/>
              <w:spacing w:before="40" w:after="20" w:line="240" w:lineRule="auto"/>
              <w:jc w:val="center"/>
              <w:rPr>
                <w:rFonts w:ascii="Arial" w:eastAsia="MS Mincho" w:hAnsi="Arial" w:cs="Arial"/>
                <w:sz w:val="18"/>
                <w:szCs w:val="18"/>
                <w:lang w:val="en-US" w:eastAsia="zh-CN"/>
              </w:rPr>
            </w:pPr>
            <w:r w:rsidRPr="001550EB">
              <w:rPr>
                <w:rFonts w:ascii="Arial" w:eastAsia="MS Mincho" w:hAnsi="Arial" w:cs="Arial"/>
                <w:sz w:val="18"/>
                <w:szCs w:val="18"/>
                <w:lang w:val="en-US" w:eastAsia="zh-CN"/>
              </w:rPr>
              <w:t>47 %</w:t>
            </w:r>
          </w:p>
        </w:tc>
      </w:tr>
      <w:tr w:rsidR="008D35E5" w:rsidRPr="00F37C53" w14:paraId="41FDC5A1" w14:textId="77777777" w:rsidTr="008A5351">
        <w:tc>
          <w:tcPr>
            <w:tcW w:w="2858" w:type="dxa"/>
          </w:tcPr>
          <w:p w14:paraId="6EC8830E" w14:textId="4A4663F1" w:rsidR="008D35E5" w:rsidRPr="001550EB" w:rsidRDefault="00226ED6" w:rsidP="001550EB">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1550EB">
              <w:rPr>
                <w:rFonts w:ascii="Arial" w:eastAsia="MS Mincho" w:hAnsi="Arial" w:cs="Arial"/>
                <w:sz w:val="18"/>
                <w:szCs w:val="18"/>
                <w:lang w:val="en-US" w:eastAsia="zh-CN"/>
              </w:rPr>
              <w:t>Serum phosphate abnormalities</w:t>
            </w:r>
          </w:p>
        </w:tc>
        <w:tc>
          <w:tcPr>
            <w:tcW w:w="2626" w:type="dxa"/>
          </w:tcPr>
          <w:p w14:paraId="1D58B53C" w14:textId="56F843A7" w:rsidR="008D35E5" w:rsidRPr="001550EB" w:rsidRDefault="00226ED6" w:rsidP="001550EB">
            <w:pPr>
              <w:keepLines/>
              <w:tabs>
                <w:tab w:val="left" w:pos="284"/>
              </w:tabs>
              <w:autoSpaceDE/>
              <w:autoSpaceDN/>
              <w:adjustRightInd/>
              <w:spacing w:before="40" w:after="20" w:line="240" w:lineRule="auto"/>
              <w:jc w:val="center"/>
              <w:rPr>
                <w:rFonts w:ascii="Arial" w:eastAsia="MS Mincho" w:hAnsi="Arial" w:cs="Arial"/>
                <w:sz w:val="18"/>
                <w:szCs w:val="18"/>
                <w:lang w:val="en-US" w:eastAsia="zh-CN"/>
              </w:rPr>
            </w:pPr>
            <w:r w:rsidRPr="001550EB">
              <w:rPr>
                <w:rFonts w:ascii="Arial" w:eastAsia="MS Mincho" w:hAnsi="Arial" w:cs="Arial"/>
                <w:sz w:val="18"/>
                <w:szCs w:val="18"/>
                <w:lang w:val="en-US" w:eastAsia="zh-CN"/>
              </w:rPr>
              <w:t>42 %</w:t>
            </w:r>
          </w:p>
        </w:tc>
        <w:tc>
          <w:tcPr>
            <w:tcW w:w="1712" w:type="dxa"/>
          </w:tcPr>
          <w:p w14:paraId="6F2D9017" w14:textId="6D6560B3" w:rsidR="008D35E5" w:rsidRPr="001550EB" w:rsidRDefault="00226ED6" w:rsidP="001550EB">
            <w:pPr>
              <w:keepLines/>
              <w:tabs>
                <w:tab w:val="left" w:pos="284"/>
              </w:tabs>
              <w:autoSpaceDE/>
              <w:autoSpaceDN/>
              <w:adjustRightInd/>
              <w:spacing w:before="40" w:after="20" w:line="240" w:lineRule="auto"/>
              <w:jc w:val="center"/>
              <w:rPr>
                <w:rFonts w:ascii="Arial" w:eastAsia="MS Mincho" w:hAnsi="Arial" w:cs="Arial"/>
                <w:sz w:val="18"/>
                <w:szCs w:val="18"/>
                <w:lang w:val="en-US" w:eastAsia="zh-CN"/>
              </w:rPr>
            </w:pPr>
            <w:r w:rsidRPr="001550EB">
              <w:rPr>
                <w:rFonts w:ascii="Arial" w:eastAsia="MS Mincho" w:hAnsi="Arial" w:cs="Arial"/>
                <w:sz w:val="18"/>
                <w:szCs w:val="18"/>
                <w:lang w:val="en-US" w:eastAsia="zh-CN"/>
              </w:rPr>
              <w:t>10 %</w:t>
            </w:r>
          </w:p>
        </w:tc>
      </w:tr>
    </w:tbl>
    <w:p w14:paraId="031430AE" w14:textId="77777777" w:rsidR="00684775" w:rsidRPr="003A212F" w:rsidRDefault="00684775" w:rsidP="003A212F">
      <w:pPr>
        <w:keepNext/>
        <w:keepLines/>
        <w:autoSpaceDE/>
        <w:autoSpaceDN/>
        <w:adjustRightInd/>
        <w:spacing w:after="0" w:line="240" w:lineRule="auto"/>
        <w:ind w:left="2058" w:hanging="1701"/>
        <w:jc w:val="left"/>
        <w:outlineLvl w:val="5"/>
        <w:rPr>
          <w:rFonts w:ascii="Arial" w:eastAsia="MS Gothic" w:hAnsi="Arial" w:cs="Arial"/>
          <w:b/>
          <w:sz w:val="22"/>
          <w:szCs w:val="20"/>
          <w:lang w:val="en-US" w:eastAsia="en-GB"/>
        </w:rPr>
      </w:pPr>
    </w:p>
    <w:p w14:paraId="6F135B9A" w14:textId="31307BE2" w:rsidR="00E11C29" w:rsidRPr="00834C54" w:rsidRDefault="00D87CDE" w:rsidP="00E11C29">
      <w:pPr>
        <w:pStyle w:val="Heading2"/>
        <w:ind w:left="360"/>
        <w:rPr>
          <w:b w:val="0"/>
          <w:i/>
          <w:u w:val="none"/>
        </w:rPr>
      </w:pPr>
      <w:proofErr w:type="spellStart"/>
      <w:r>
        <w:rPr>
          <w:b w:val="0"/>
          <w:i/>
          <w:u w:val="none"/>
        </w:rPr>
        <w:t>Paediatric</w:t>
      </w:r>
      <w:proofErr w:type="spellEnd"/>
      <w:r>
        <w:rPr>
          <w:b w:val="0"/>
          <w:i/>
          <w:u w:val="none"/>
        </w:rPr>
        <w:t xml:space="preserve"> u</w:t>
      </w:r>
      <w:r w:rsidR="00E11C29" w:rsidRPr="00834C54">
        <w:rPr>
          <w:b w:val="0"/>
          <w:i/>
          <w:u w:val="none"/>
        </w:rPr>
        <w:t>se</w:t>
      </w:r>
    </w:p>
    <w:p w14:paraId="54AE02B4" w14:textId="77777777" w:rsidR="00E11C29" w:rsidRPr="00254BEF" w:rsidRDefault="00E11C29" w:rsidP="00E11C29">
      <w:pPr>
        <w:widowControl w:val="0"/>
        <w:ind w:left="360"/>
      </w:pPr>
      <w:r w:rsidRPr="00254BEF">
        <w:t xml:space="preserve">The safety and efficacy of </w:t>
      </w:r>
      <w:r>
        <w:t>TAFINLAR</w:t>
      </w:r>
      <w:r w:rsidRPr="00254BEF">
        <w:t xml:space="preserve"> has not been yet established in children and adolescents (&lt; 18 years).</w:t>
      </w:r>
      <w:r>
        <w:t xml:space="preserve"> </w:t>
      </w:r>
      <w:r w:rsidRPr="00A112EC">
        <w:t xml:space="preserve">In juvenile toxicity studies in rats, effects on growth (shorter long bone length), renal </w:t>
      </w:r>
      <w:r w:rsidRPr="00A112EC">
        <w:lastRenderedPageBreak/>
        <w:t xml:space="preserve">toxicity (tubular deposits, increased incidence of cortical cysts and tubular basophilia and reversible increases in urea and/or creatinine concentrations), </w:t>
      </w:r>
      <w:r w:rsidRPr="00F03D6D">
        <w:t>thymus toxicity (lymphoid apoptosis)</w:t>
      </w:r>
      <w:r>
        <w:t xml:space="preserve"> and</w:t>
      </w:r>
      <w:r w:rsidRPr="00A112EC">
        <w:t xml:space="preserve"> testicular toxicity (degeneration and tubular dilation) were observed.</w:t>
      </w:r>
    </w:p>
    <w:p w14:paraId="32AA92A0" w14:textId="2C0D4DC4" w:rsidR="00E11C29" w:rsidRPr="00F23670" w:rsidRDefault="00E11C29" w:rsidP="00E11C29">
      <w:pPr>
        <w:pStyle w:val="Heading2"/>
        <w:ind w:left="360"/>
        <w:rPr>
          <w:b w:val="0"/>
          <w:i/>
          <w:u w:val="none"/>
        </w:rPr>
      </w:pPr>
      <w:r w:rsidRPr="00834C54">
        <w:rPr>
          <w:b w:val="0"/>
          <w:i/>
          <w:u w:val="none"/>
        </w:rPr>
        <w:t xml:space="preserve">Use in </w:t>
      </w:r>
      <w:r w:rsidR="00D87CDE">
        <w:rPr>
          <w:b w:val="0"/>
          <w:i/>
          <w:u w:val="none"/>
        </w:rPr>
        <w:t>the elderly</w:t>
      </w:r>
      <w:r w:rsidRPr="00834C54">
        <w:rPr>
          <w:b w:val="0"/>
          <w:i/>
          <w:u w:val="none"/>
        </w:rPr>
        <w:t xml:space="preserve"> </w:t>
      </w:r>
    </w:p>
    <w:p w14:paraId="54C7D8CB" w14:textId="3735A478" w:rsidR="00E11C29" w:rsidRDefault="00E11C29" w:rsidP="001550EB">
      <w:pPr>
        <w:widowControl w:val="0"/>
        <w:ind w:left="357"/>
      </w:pPr>
      <w:r w:rsidRPr="00254BEF">
        <w:t xml:space="preserve">No </w:t>
      </w:r>
      <w:r>
        <w:t xml:space="preserve">initial </w:t>
      </w:r>
      <w:r w:rsidRPr="00254BEF">
        <w:t xml:space="preserve">dose adjustment is required in patients over 65 years </w:t>
      </w:r>
      <w:r>
        <w:t xml:space="preserve">of age </w:t>
      </w:r>
      <w:r w:rsidRPr="00254BEF">
        <w:t>(see</w:t>
      </w:r>
      <w:r>
        <w:t xml:space="preserve"> </w:t>
      </w:r>
      <w:r w:rsidR="001C1405">
        <w:t>section 4.2</w:t>
      </w:r>
      <w:r w:rsidR="00CC7798" w:rsidRPr="00CC7798">
        <w:t xml:space="preserve"> Dose and method of </w:t>
      </w:r>
      <w:proofErr w:type="gramStart"/>
      <w:r w:rsidR="00CC7798" w:rsidRPr="00CC7798">
        <w:t xml:space="preserve">administration </w:t>
      </w:r>
      <w:r>
        <w:t xml:space="preserve"> and</w:t>
      </w:r>
      <w:proofErr w:type="gramEnd"/>
      <w:r>
        <w:t xml:space="preserve"> </w:t>
      </w:r>
      <w:r w:rsidR="001C1405">
        <w:t>section 5.2</w:t>
      </w:r>
      <w:r w:rsidR="009F5C01">
        <w:t xml:space="preserve"> Pharmacokinetic properties</w:t>
      </w:r>
      <w:r w:rsidRPr="00254BEF">
        <w:t>)</w:t>
      </w:r>
      <w:r>
        <w:t>.</w:t>
      </w:r>
      <w:r w:rsidRPr="00697EF8">
        <w:t xml:space="preserve"> </w:t>
      </w:r>
    </w:p>
    <w:p w14:paraId="11D4C754" w14:textId="737B8E1F" w:rsidR="00E11C29" w:rsidRDefault="00E11C29" w:rsidP="00E11C29">
      <w:pPr>
        <w:widowControl w:val="0"/>
        <w:ind w:left="360"/>
      </w:pPr>
      <w:r>
        <w:t>For clinical trials of TAFINLAR monotherapy, c</w:t>
      </w:r>
      <w:r w:rsidRPr="00697EF8">
        <w:t xml:space="preserve">ompared with younger </w:t>
      </w:r>
      <w:r w:rsidR="001C1405">
        <w:t>patient</w:t>
      </w:r>
      <w:r w:rsidRPr="00697EF8">
        <w:t>s (&lt; 65</w:t>
      </w:r>
      <w:r>
        <w:t xml:space="preserve"> years of age</w:t>
      </w:r>
      <w:r w:rsidRPr="00697EF8">
        <w:t xml:space="preserve">), more </w:t>
      </w:r>
      <w:r w:rsidR="001C1405">
        <w:t>patient</w:t>
      </w:r>
      <w:r w:rsidRPr="00697EF8">
        <w:t xml:space="preserve">s </w:t>
      </w:r>
      <w:r>
        <w:t>over</w:t>
      </w:r>
      <w:r w:rsidRPr="00697EF8">
        <w:t xml:space="preserve"> 65 years old had adverse reactions that le</w:t>
      </w:r>
      <w:r>
        <w:t>a</w:t>
      </w:r>
      <w:r w:rsidRPr="00697EF8">
        <w:t>d to study drug dose reductions (22</w:t>
      </w:r>
      <w:r>
        <w:t xml:space="preserve"> %</w:t>
      </w:r>
      <w:r w:rsidRPr="00697EF8">
        <w:t xml:space="preserve"> versus 12</w:t>
      </w:r>
      <w:r>
        <w:t xml:space="preserve"> %</w:t>
      </w:r>
      <w:r w:rsidRPr="00697EF8">
        <w:t>) or interruptions (39</w:t>
      </w:r>
      <w:r>
        <w:t xml:space="preserve"> %</w:t>
      </w:r>
      <w:r w:rsidRPr="00697EF8">
        <w:t xml:space="preserve"> versus 27</w:t>
      </w:r>
      <w:r>
        <w:t xml:space="preserve"> %</w:t>
      </w:r>
      <w:r w:rsidRPr="00697EF8">
        <w:t>). In addition, older patients experienced more serious adverse reactions compared to younger patients (41</w:t>
      </w:r>
      <w:r>
        <w:t xml:space="preserve"> %</w:t>
      </w:r>
      <w:r w:rsidRPr="00697EF8">
        <w:t xml:space="preserve"> versus 22</w:t>
      </w:r>
      <w:r>
        <w:t xml:space="preserve"> %</w:t>
      </w:r>
      <w:r w:rsidRPr="00697EF8">
        <w:t xml:space="preserve">). No overall differences in efficacy were observed between these </w:t>
      </w:r>
      <w:r w:rsidR="001C1405">
        <w:t>patient</w:t>
      </w:r>
      <w:r w:rsidRPr="00697EF8">
        <w:t xml:space="preserve">s and younger </w:t>
      </w:r>
      <w:r w:rsidR="001C1405">
        <w:t>patient</w:t>
      </w:r>
      <w:r w:rsidRPr="00697EF8">
        <w:t>s.</w:t>
      </w:r>
    </w:p>
    <w:p w14:paraId="2AEFA45A" w14:textId="77777777" w:rsidR="00E11C29" w:rsidRPr="00B94D46" w:rsidRDefault="00E11C29" w:rsidP="00E11C29">
      <w:pPr>
        <w:widowControl w:val="0"/>
        <w:ind w:left="360"/>
      </w:pPr>
      <w:r>
        <w:t>A</w:t>
      </w:r>
      <w:r w:rsidRPr="005B4A0F">
        <w:t>cross clinical trials of</w:t>
      </w:r>
      <w:r>
        <w:t xml:space="preserve"> TAFINLAR</w:t>
      </w:r>
      <w:r w:rsidRPr="005B4A0F">
        <w:t xml:space="preserve"> administered in combination with </w:t>
      </w:r>
      <w:r>
        <w:t xml:space="preserve">MEKINIST </w:t>
      </w:r>
      <w:r w:rsidRPr="005B4A0F">
        <w:t>(n = 202)</w:t>
      </w:r>
      <w:r w:rsidRPr="00E11C29">
        <w:t>, adverse events resulting in dose interruption were reported for 71 % of those aged ≥ 65 years as compared to 60 % of those &lt; 65 years, while adverse events resulting in dose reduction occurred in 64 % of those aged ≥ 65 years as compared to 44 % of those &lt; 65 years of age.</w:t>
      </w:r>
      <w:r>
        <w:t xml:space="preserve"> </w:t>
      </w:r>
    </w:p>
    <w:p w14:paraId="7DAEF7E9" w14:textId="77777777" w:rsidR="00F149F8" w:rsidRPr="00F149F8" w:rsidRDefault="00F149F8" w:rsidP="00E11C29">
      <w:pPr>
        <w:autoSpaceDE/>
        <w:autoSpaceDN/>
        <w:adjustRightInd/>
        <w:ind w:left="360"/>
        <w:rPr>
          <w:i/>
          <w:u w:val="single"/>
          <w:lang w:val="en-GB"/>
        </w:rPr>
      </w:pPr>
      <w:r w:rsidRPr="00F149F8">
        <w:rPr>
          <w:i/>
          <w:u w:val="single"/>
          <w:lang w:val="en-GB"/>
        </w:rPr>
        <w:t>Reporting suspected adverse effects</w:t>
      </w:r>
    </w:p>
    <w:p w14:paraId="3C6991FE" w14:textId="77777777" w:rsidR="00F149F8" w:rsidRPr="00E11C29" w:rsidRDefault="00F149F8" w:rsidP="00E11C29">
      <w:pPr>
        <w:widowControl w:val="0"/>
        <w:ind w:left="360"/>
      </w:pPr>
      <w:r w:rsidRPr="00E11C29">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6" w:history="1">
        <w:r w:rsidRPr="00E11C29">
          <w:t>www.tga.gov.au/reporting-problems</w:t>
        </w:r>
      </w:hyperlink>
      <w:r w:rsidRPr="00E11C29">
        <w:t>.</w:t>
      </w:r>
    </w:p>
    <w:p w14:paraId="46DB455C" w14:textId="660827FB" w:rsidR="0014737E" w:rsidRPr="0014737E" w:rsidRDefault="0014737E" w:rsidP="0014737E">
      <w:pPr>
        <w:pStyle w:val="ListParagraph"/>
        <w:numPr>
          <w:ilvl w:val="0"/>
          <w:numId w:val="35"/>
        </w:numPr>
        <w:rPr>
          <w:rFonts w:ascii="Times New Roman" w:hAnsi="Times New Roman" w:cs="Times New Roman"/>
          <w:b/>
          <w:sz w:val="24"/>
          <w:szCs w:val="24"/>
        </w:rPr>
      </w:pPr>
      <w:r w:rsidRPr="0014737E">
        <w:rPr>
          <w:rFonts w:ascii="Times New Roman" w:hAnsi="Times New Roman" w:cs="Times New Roman"/>
          <w:b/>
          <w:sz w:val="24"/>
          <w:szCs w:val="24"/>
        </w:rPr>
        <w:t>Overdose</w:t>
      </w:r>
    </w:p>
    <w:p w14:paraId="6500AE90" w14:textId="77777777" w:rsidR="0014737E" w:rsidRPr="003533B2" w:rsidRDefault="0014737E" w:rsidP="003533B2">
      <w:pPr>
        <w:pStyle w:val="Heading2"/>
        <w:ind w:left="360"/>
        <w:rPr>
          <w:b w:val="0"/>
          <w:i/>
        </w:rPr>
      </w:pPr>
      <w:r w:rsidRPr="003533B2">
        <w:rPr>
          <w:b w:val="0"/>
          <w:i/>
        </w:rPr>
        <w:t>Symptoms and Signs</w:t>
      </w:r>
    </w:p>
    <w:p w14:paraId="6635C9D7" w14:textId="77777777" w:rsidR="0014737E" w:rsidRPr="00BF1F9D" w:rsidRDefault="0014737E" w:rsidP="003533B2">
      <w:pPr>
        <w:ind w:left="360"/>
      </w:pPr>
      <w:r w:rsidRPr="00BF1F9D">
        <w:rPr>
          <w:lang w:val="en-US" w:eastAsia="en-US"/>
        </w:rPr>
        <w:t xml:space="preserve">There is currently very limited experience with </w:t>
      </w:r>
      <w:proofErr w:type="spellStart"/>
      <w:r w:rsidRPr="00BF1F9D">
        <w:rPr>
          <w:lang w:val="en-US" w:eastAsia="en-US"/>
        </w:rPr>
        <w:t>overdosage</w:t>
      </w:r>
      <w:proofErr w:type="spellEnd"/>
      <w:r w:rsidRPr="00BF1F9D">
        <w:rPr>
          <w:lang w:val="en-US" w:eastAsia="en-US"/>
        </w:rPr>
        <w:t xml:space="preserve"> with </w:t>
      </w:r>
      <w:r>
        <w:rPr>
          <w:lang w:val="en-US" w:eastAsia="en-US"/>
        </w:rPr>
        <w:t>TAFINLAR</w:t>
      </w:r>
      <w:r w:rsidRPr="00BF1F9D">
        <w:rPr>
          <w:lang w:val="en-US" w:eastAsia="en-US"/>
        </w:rPr>
        <w:t xml:space="preserve">. The maximum dose of </w:t>
      </w:r>
      <w:r>
        <w:rPr>
          <w:lang w:val="en-US" w:eastAsia="en-US"/>
        </w:rPr>
        <w:t>TAFINLAR</w:t>
      </w:r>
      <w:r w:rsidRPr="00BF1F9D">
        <w:rPr>
          <w:lang w:val="en-US" w:eastAsia="en-US"/>
        </w:rPr>
        <w:t xml:space="preserve"> administered during clinical trials was 600 mg (300 mg twice daily).</w:t>
      </w:r>
    </w:p>
    <w:p w14:paraId="388D1CCA" w14:textId="77777777" w:rsidR="0014737E" w:rsidRPr="003533B2" w:rsidRDefault="0014737E" w:rsidP="003533B2">
      <w:pPr>
        <w:pStyle w:val="Heading2"/>
        <w:ind w:left="360"/>
        <w:rPr>
          <w:b w:val="0"/>
          <w:i/>
        </w:rPr>
      </w:pPr>
      <w:r w:rsidRPr="003533B2">
        <w:rPr>
          <w:b w:val="0"/>
          <w:i/>
        </w:rPr>
        <w:t>Treatment</w:t>
      </w:r>
    </w:p>
    <w:p w14:paraId="18964980" w14:textId="7D8941CD" w:rsidR="0014737E" w:rsidRDefault="0014737E" w:rsidP="003533B2">
      <w:pPr>
        <w:ind w:left="360"/>
      </w:pPr>
      <w:r w:rsidRPr="00BF1F9D">
        <w:t xml:space="preserve">There is no specific antidote for </w:t>
      </w:r>
      <w:proofErr w:type="spellStart"/>
      <w:r w:rsidRPr="00BF1F9D">
        <w:t>overdosage</w:t>
      </w:r>
      <w:proofErr w:type="spellEnd"/>
      <w:r w:rsidRPr="00BF1F9D">
        <w:t xml:space="preserve"> of </w:t>
      </w:r>
      <w:r>
        <w:rPr>
          <w:lang w:val="en-US" w:eastAsia="en-US"/>
        </w:rPr>
        <w:t>TAFINLAR</w:t>
      </w:r>
      <w:r w:rsidRPr="00BF1F9D">
        <w:t xml:space="preserve">. Patients who develop adverse reactions should receive appropriate symptomatic treatment. In case of suspected overdose, </w:t>
      </w:r>
      <w:r>
        <w:rPr>
          <w:lang w:val="en-US" w:eastAsia="en-US"/>
        </w:rPr>
        <w:t>TAFINLAR</w:t>
      </w:r>
      <w:r w:rsidRPr="00BF1F9D">
        <w:t xml:space="preserve"> should be withheld and supportive care instituted. F</w:t>
      </w:r>
      <w:r w:rsidR="00137F52">
        <w:t>o</w:t>
      </w:r>
      <w:r w:rsidRPr="00BF1F9D">
        <w:t xml:space="preserve">r </w:t>
      </w:r>
      <w:r>
        <w:t xml:space="preserve">information on the </w:t>
      </w:r>
      <w:r w:rsidRPr="00BF1F9D">
        <w:t xml:space="preserve">management </w:t>
      </w:r>
      <w:r>
        <w:t xml:space="preserve">of overdose </w:t>
      </w:r>
      <w:r w:rsidR="00137F52">
        <w:t>contact</w:t>
      </w:r>
      <w:r w:rsidRPr="00BF1F9D">
        <w:t xml:space="preserve"> the </w:t>
      </w:r>
      <w:r w:rsidRPr="0078175F">
        <w:t>Poison Information Centre on 13</w:t>
      </w:r>
      <w:r>
        <w:t xml:space="preserve"> </w:t>
      </w:r>
      <w:r w:rsidRPr="0078175F">
        <w:t>11</w:t>
      </w:r>
      <w:r>
        <w:t xml:space="preserve"> </w:t>
      </w:r>
      <w:r w:rsidRPr="0078175F">
        <w:t>26.</w:t>
      </w:r>
    </w:p>
    <w:p w14:paraId="28CA8E2A" w14:textId="1CE6B4E8" w:rsidR="0097083A" w:rsidRPr="00C54309" w:rsidRDefault="0097083A" w:rsidP="00C54309">
      <w:pPr>
        <w:pStyle w:val="Heading2"/>
        <w:keepNext w:val="0"/>
        <w:numPr>
          <w:ilvl w:val="0"/>
          <w:numId w:val="34"/>
        </w:numPr>
        <w:autoSpaceDE/>
        <w:autoSpaceDN/>
        <w:adjustRightInd/>
        <w:spacing w:before="120" w:line="240" w:lineRule="auto"/>
        <w:rPr>
          <w:bCs/>
          <w:sz w:val="28"/>
          <w:szCs w:val="28"/>
          <w:lang w:val="en-AU"/>
        </w:rPr>
      </w:pPr>
      <w:r w:rsidRPr="00C54309">
        <w:rPr>
          <w:bCs/>
          <w:sz w:val="28"/>
          <w:szCs w:val="28"/>
          <w:lang w:val="en-AU"/>
        </w:rPr>
        <w:t>PHARMACOLOG</w:t>
      </w:r>
      <w:r>
        <w:rPr>
          <w:bCs/>
          <w:sz w:val="28"/>
          <w:szCs w:val="28"/>
          <w:lang w:val="en-AU"/>
        </w:rPr>
        <w:t>ICAL PROPERTIES</w:t>
      </w:r>
    </w:p>
    <w:p w14:paraId="6E422359" w14:textId="77777777" w:rsidR="00992B8B" w:rsidRPr="00220835" w:rsidRDefault="00992B8B" w:rsidP="00220835">
      <w:pPr>
        <w:pStyle w:val="Heading2"/>
        <w:keepNext w:val="0"/>
        <w:widowControl w:val="0"/>
        <w:spacing w:after="0" w:line="240" w:lineRule="auto"/>
        <w:ind w:left="357"/>
        <w:rPr>
          <w:b w:val="0"/>
          <w:u w:val="none"/>
        </w:rPr>
      </w:pPr>
      <w:proofErr w:type="spellStart"/>
      <w:r w:rsidRPr="00220835">
        <w:rPr>
          <w:b w:val="0"/>
          <w:u w:val="none"/>
        </w:rPr>
        <w:t>Pharmacotherapeutic</w:t>
      </w:r>
      <w:proofErr w:type="spellEnd"/>
      <w:r w:rsidRPr="00220835">
        <w:rPr>
          <w:b w:val="0"/>
          <w:u w:val="none"/>
        </w:rPr>
        <w:t xml:space="preserve"> group: antineoplastic agents, protein kinase inhibitors</w:t>
      </w:r>
    </w:p>
    <w:p w14:paraId="11700947" w14:textId="61CD3EE0" w:rsidR="007C5F5A" w:rsidRDefault="00F5584A" w:rsidP="00220835">
      <w:pPr>
        <w:pStyle w:val="Heading2"/>
        <w:keepNext w:val="0"/>
        <w:widowControl w:val="0"/>
        <w:spacing w:after="0" w:line="240" w:lineRule="auto"/>
        <w:ind w:left="357"/>
        <w:rPr>
          <w:b w:val="0"/>
          <w:u w:val="none"/>
        </w:rPr>
      </w:pPr>
      <w:r w:rsidRPr="00220835">
        <w:rPr>
          <w:b w:val="0"/>
          <w:u w:val="none"/>
        </w:rPr>
        <w:t>Anatomical Therapeutic Chemical (</w:t>
      </w:r>
      <w:r w:rsidR="007C5F5A" w:rsidRPr="00220835">
        <w:rPr>
          <w:b w:val="0"/>
          <w:u w:val="none"/>
        </w:rPr>
        <w:t>ATC Code</w:t>
      </w:r>
      <w:r w:rsidRPr="00220835">
        <w:rPr>
          <w:b w:val="0"/>
          <w:u w:val="none"/>
        </w:rPr>
        <w:t>)</w:t>
      </w:r>
      <w:r w:rsidR="007C5F5A" w:rsidRPr="00220835">
        <w:rPr>
          <w:b w:val="0"/>
          <w:u w:val="none"/>
        </w:rPr>
        <w:t>: L01XE23</w:t>
      </w:r>
    </w:p>
    <w:p w14:paraId="19F1FEA1" w14:textId="2AF5C3B1" w:rsidR="00694BFD" w:rsidRDefault="00694BFD" w:rsidP="00220835">
      <w:pPr>
        <w:pStyle w:val="Heading2"/>
        <w:keepNext w:val="0"/>
        <w:widowControl w:val="0"/>
        <w:spacing w:after="0" w:line="240" w:lineRule="auto"/>
        <w:ind w:left="357"/>
        <w:rPr>
          <w:b w:val="0"/>
          <w:u w:val="none"/>
        </w:rPr>
      </w:pPr>
    </w:p>
    <w:p w14:paraId="316118CC" w14:textId="77777777" w:rsidR="00694BFD" w:rsidRPr="00220835" w:rsidRDefault="00694BFD" w:rsidP="00220835">
      <w:pPr>
        <w:pStyle w:val="Heading2"/>
        <w:keepNext w:val="0"/>
        <w:widowControl w:val="0"/>
        <w:spacing w:after="0" w:line="240" w:lineRule="auto"/>
        <w:ind w:left="357"/>
        <w:rPr>
          <w:b w:val="0"/>
          <w:u w:val="none"/>
        </w:rPr>
      </w:pPr>
    </w:p>
    <w:p w14:paraId="0FA27B11" w14:textId="77777777" w:rsidR="0096446D" w:rsidRPr="0096446D" w:rsidRDefault="0096446D" w:rsidP="0096446D">
      <w:pPr>
        <w:numPr>
          <w:ilvl w:val="0"/>
          <w:numId w:val="39"/>
        </w:numPr>
        <w:autoSpaceDE/>
        <w:autoSpaceDN/>
        <w:adjustRightInd/>
        <w:contextualSpacing/>
        <w:rPr>
          <w:b/>
        </w:rPr>
      </w:pPr>
      <w:r w:rsidRPr="0096446D">
        <w:rPr>
          <w:b/>
        </w:rPr>
        <w:t>Pharmacodynamic properties</w:t>
      </w:r>
    </w:p>
    <w:p w14:paraId="07FDE17E" w14:textId="591B7572" w:rsidR="005228C5" w:rsidRPr="00C54309" w:rsidRDefault="005228C5" w:rsidP="00C54309">
      <w:pPr>
        <w:pStyle w:val="Heading2"/>
        <w:keepNext w:val="0"/>
        <w:widowControl w:val="0"/>
        <w:ind w:left="360"/>
        <w:rPr>
          <w:b w:val="0"/>
          <w:i/>
        </w:rPr>
      </w:pPr>
      <w:r w:rsidRPr="00C54309">
        <w:rPr>
          <w:b w:val="0"/>
          <w:i/>
        </w:rPr>
        <w:t>Mechanism of action</w:t>
      </w:r>
      <w:r w:rsidR="00B25C5B">
        <w:rPr>
          <w:b w:val="0"/>
          <w:i/>
        </w:rPr>
        <w:t xml:space="preserve"> in all indications</w:t>
      </w:r>
    </w:p>
    <w:p w14:paraId="07FDE17F" w14:textId="77777777" w:rsidR="00E771CC" w:rsidRPr="00C54309" w:rsidRDefault="000E1AE9" w:rsidP="00C54309">
      <w:pPr>
        <w:pStyle w:val="Heading2"/>
        <w:keepNext w:val="0"/>
        <w:autoSpaceDE/>
        <w:autoSpaceDN/>
        <w:adjustRightInd/>
        <w:spacing w:line="240" w:lineRule="auto"/>
        <w:ind w:left="357"/>
        <w:rPr>
          <w:b w:val="0"/>
          <w:bCs/>
          <w:i/>
          <w:u w:val="none"/>
          <w:lang w:val="en-AU" w:eastAsia="en-US"/>
        </w:rPr>
      </w:pPr>
      <w:r w:rsidRPr="00C54309">
        <w:rPr>
          <w:b w:val="0"/>
          <w:bCs/>
          <w:i/>
          <w:u w:val="none"/>
          <w:lang w:val="en-AU" w:eastAsia="en-US"/>
        </w:rPr>
        <w:t xml:space="preserve">TAFINLAR </w:t>
      </w:r>
      <w:r w:rsidR="00BD4959" w:rsidRPr="00C54309">
        <w:rPr>
          <w:b w:val="0"/>
          <w:bCs/>
          <w:i/>
          <w:u w:val="none"/>
          <w:lang w:val="en-AU" w:eastAsia="en-US"/>
        </w:rPr>
        <w:t>m</w:t>
      </w:r>
      <w:r w:rsidR="00E771CC" w:rsidRPr="00C54309">
        <w:rPr>
          <w:b w:val="0"/>
          <w:bCs/>
          <w:i/>
          <w:u w:val="none"/>
          <w:lang w:val="en-AU" w:eastAsia="en-US"/>
        </w:rPr>
        <w:t>onotherapy</w:t>
      </w:r>
    </w:p>
    <w:p w14:paraId="07FDE180" w14:textId="0DBF1B3D" w:rsidR="0078175F" w:rsidRPr="0078175F" w:rsidRDefault="00FE593F" w:rsidP="00C54309">
      <w:pPr>
        <w:widowControl w:val="0"/>
        <w:ind w:left="360"/>
      </w:pPr>
      <w:r>
        <w:t>The active ingredient in TAFINLAR, d</w:t>
      </w:r>
      <w:r w:rsidR="00281BB6" w:rsidRPr="00254BEF">
        <w:t>abrafenib</w:t>
      </w:r>
      <w:r>
        <w:t>,</w:t>
      </w:r>
      <w:r w:rsidR="00281BB6" w:rsidRPr="00254BEF">
        <w:rPr>
          <w:lang w:val="en-US"/>
        </w:rPr>
        <w:t xml:space="preserve"> is a</w:t>
      </w:r>
      <w:r w:rsidR="00316D06">
        <w:rPr>
          <w:lang w:val="en-US"/>
        </w:rPr>
        <w:t>n</w:t>
      </w:r>
      <w:r w:rsidR="00281BB6" w:rsidRPr="00254BEF">
        <w:rPr>
          <w:lang w:val="en-US"/>
        </w:rPr>
        <w:t xml:space="preserve"> ATP-competitive inhibitor of RAF kinases with IC</w:t>
      </w:r>
      <w:r w:rsidR="00281BB6" w:rsidRPr="00254BEF">
        <w:rPr>
          <w:vertAlign w:val="subscript"/>
          <w:lang w:val="en-US"/>
        </w:rPr>
        <w:t>50</w:t>
      </w:r>
      <w:r w:rsidR="00281BB6" w:rsidRPr="00254BEF">
        <w:rPr>
          <w:lang w:val="en-US"/>
        </w:rPr>
        <w:t xml:space="preserve"> values of 0.65, 0.5 and 1.84 nM for BRAF</w:t>
      </w:r>
      <w:r w:rsidR="004D57E7">
        <w:rPr>
          <w:lang w:val="en-US"/>
        </w:rPr>
        <w:t xml:space="preserve"> </w:t>
      </w:r>
      <w:r w:rsidR="00281BB6" w:rsidRPr="004D57E7">
        <w:rPr>
          <w:lang w:val="en-US"/>
        </w:rPr>
        <w:t>V600E</w:t>
      </w:r>
      <w:r w:rsidR="00281BB6" w:rsidRPr="00254BEF">
        <w:rPr>
          <w:lang w:val="en-US"/>
        </w:rPr>
        <w:t>, BRAF</w:t>
      </w:r>
      <w:r w:rsidR="004D57E7">
        <w:rPr>
          <w:lang w:val="en-US"/>
        </w:rPr>
        <w:t xml:space="preserve"> </w:t>
      </w:r>
      <w:r w:rsidR="00281BB6" w:rsidRPr="004D57E7">
        <w:rPr>
          <w:lang w:val="en-US"/>
        </w:rPr>
        <w:t>V600K</w:t>
      </w:r>
      <w:r w:rsidR="00281BB6" w:rsidRPr="00254BEF">
        <w:rPr>
          <w:lang w:val="en-US"/>
        </w:rPr>
        <w:t xml:space="preserve"> and BRAF</w:t>
      </w:r>
      <w:r w:rsidR="000D1EE3">
        <w:rPr>
          <w:lang w:val="en-US"/>
        </w:rPr>
        <w:t xml:space="preserve"> </w:t>
      </w:r>
      <w:r w:rsidR="00281BB6" w:rsidRPr="004D57E7">
        <w:rPr>
          <w:lang w:val="en-US"/>
        </w:rPr>
        <w:t>V600D</w:t>
      </w:r>
      <w:r w:rsidR="00281BB6" w:rsidRPr="00254BEF">
        <w:rPr>
          <w:lang w:val="en-US"/>
        </w:rPr>
        <w:t xml:space="preserve"> enzymes respectively. </w:t>
      </w:r>
      <w:r w:rsidR="00611665">
        <w:rPr>
          <w:lang w:val="en-US"/>
        </w:rPr>
        <w:t>TAFINLAR</w:t>
      </w:r>
      <w:r w:rsidR="00316D06" w:rsidRPr="00316D06">
        <w:rPr>
          <w:lang w:val="en-US"/>
        </w:rPr>
        <w:t xml:space="preserve"> also inhibits a small number of other kinases, including wild-type BRAF and CRAF with IC</w:t>
      </w:r>
      <w:r w:rsidR="00316D06" w:rsidRPr="00316D06">
        <w:rPr>
          <w:vertAlign w:val="subscript"/>
          <w:lang w:val="en-US"/>
        </w:rPr>
        <w:t>50</w:t>
      </w:r>
      <w:r w:rsidR="00316D06" w:rsidRPr="00316D06">
        <w:rPr>
          <w:lang w:val="en-US"/>
        </w:rPr>
        <w:t xml:space="preserve"> values of 3.2 and 5.0</w:t>
      </w:r>
      <w:r w:rsidR="00884759">
        <w:rPr>
          <w:lang w:val="en-US"/>
        </w:rPr>
        <w:t xml:space="preserve"> </w:t>
      </w:r>
      <w:r w:rsidR="00316D06" w:rsidRPr="00316D06">
        <w:rPr>
          <w:lang w:val="en-US"/>
        </w:rPr>
        <w:t xml:space="preserve">nM, respectively. </w:t>
      </w:r>
      <w:r w:rsidR="00316D06">
        <w:t>M</w:t>
      </w:r>
      <w:r w:rsidR="00281BB6" w:rsidRPr="00254BEF">
        <w:t xml:space="preserve">utations in BRAF lead to constitutive activation of the RAS/RAF/MEK/ERK pathway and stimulation of tumour cell </w:t>
      </w:r>
      <w:r w:rsidR="00281BB6" w:rsidRPr="00254BEF">
        <w:lastRenderedPageBreak/>
        <w:t>growth. BRAF mutations have been identified at a high frequency in specific cancers, including approximately 50</w:t>
      </w:r>
      <w:r w:rsidR="00884759">
        <w:t xml:space="preserve"> </w:t>
      </w:r>
      <w:r w:rsidR="00D25A0C">
        <w:t>%</w:t>
      </w:r>
      <w:r w:rsidR="00281BB6" w:rsidRPr="00254BEF">
        <w:t xml:space="preserve"> of melanoma. </w:t>
      </w:r>
      <w:proofErr w:type="gramStart"/>
      <w:r w:rsidR="0078175F" w:rsidRPr="00C224CD">
        <w:t>The most commonly observed BRAF mutation, V600E, and the next most common, V600K, account for 95</w:t>
      </w:r>
      <w:r w:rsidR="00590C2C">
        <w:t xml:space="preserve"> </w:t>
      </w:r>
      <w:r w:rsidR="00D25A0C">
        <w:t>%</w:t>
      </w:r>
      <w:r w:rsidR="0078175F" w:rsidRPr="00C224CD">
        <w:t xml:space="preserve"> of the BRAF mutations found in </w:t>
      </w:r>
      <w:r w:rsidR="00316D06">
        <w:t>these cancers</w:t>
      </w:r>
      <w:r w:rsidR="0078175F" w:rsidRPr="00C224CD">
        <w:t>.</w:t>
      </w:r>
      <w:proofErr w:type="gramEnd"/>
      <w:r w:rsidR="0078175F" w:rsidRPr="00C224CD">
        <w:t xml:space="preserve"> A number of rare </w:t>
      </w:r>
      <w:r w:rsidR="00316D06">
        <w:t>mutation</w:t>
      </w:r>
      <w:r w:rsidR="0078175F" w:rsidRPr="00C224CD">
        <w:t>s also occur including V600D, V600G and V600R.</w:t>
      </w:r>
      <w:r w:rsidR="008047C6">
        <w:t xml:space="preserve"> Clinical i</w:t>
      </w:r>
      <w:r w:rsidR="008047C6" w:rsidRPr="008047C6">
        <w:t xml:space="preserve">nhibition of </w:t>
      </w:r>
      <w:r w:rsidR="008047C6">
        <w:t xml:space="preserve">the </w:t>
      </w:r>
      <w:r w:rsidR="008047C6" w:rsidRPr="008047C6">
        <w:t>MAPK pathway signalling depends on cellular and genotypic context</w:t>
      </w:r>
      <w:r w:rsidR="008047C6">
        <w:t xml:space="preserve"> (See </w:t>
      </w:r>
      <w:r w:rsidR="001C1405">
        <w:t xml:space="preserve">section 4.4 </w:t>
      </w:r>
      <w:r w:rsidR="009F5C01" w:rsidRPr="009F5C01">
        <w:t xml:space="preserve">Special warnings and precautions for use </w:t>
      </w:r>
      <w:r w:rsidR="004C4BE7">
        <w:t>-</w:t>
      </w:r>
      <w:r w:rsidR="008047C6">
        <w:t xml:space="preserve"> Non-cutaneous malignancy).</w:t>
      </w:r>
    </w:p>
    <w:p w14:paraId="07FDE181" w14:textId="7DCF2B59" w:rsidR="00281BB6" w:rsidRDefault="00611665" w:rsidP="00C54309">
      <w:pPr>
        <w:ind w:left="360"/>
        <w:rPr>
          <w:lang w:val="en-US"/>
        </w:rPr>
      </w:pPr>
      <w:r>
        <w:rPr>
          <w:lang w:val="en-US"/>
        </w:rPr>
        <w:t>TAFINLAR</w:t>
      </w:r>
      <w:r w:rsidR="00281BB6" w:rsidRPr="00254BEF">
        <w:rPr>
          <w:lang w:val="en-US"/>
        </w:rPr>
        <w:t xml:space="preserve"> inhibits </w:t>
      </w:r>
      <w:r w:rsidR="00281BB6" w:rsidRPr="00921BBF">
        <w:rPr>
          <w:lang w:val="en-US"/>
        </w:rPr>
        <w:t>BRAF</w:t>
      </w:r>
      <w:r w:rsidR="000E7849">
        <w:rPr>
          <w:lang w:val="en-US"/>
        </w:rPr>
        <w:t xml:space="preserve"> </w:t>
      </w:r>
      <w:r w:rsidR="00281BB6" w:rsidRPr="007E0D99">
        <w:rPr>
          <w:lang w:val="en-US"/>
        </w:rPr>
        <w:t>V600</w:t>
      </w:r>
      <w:r w:rsidR="00281BB6" w:rsidRPr="00254BEF">
        <w:rPr>
          <w:lang w:val="en-US"/>
        </w:rPr>
        <w:t xml:space="preserve"> mutant melanoma</w:t>
      </w:r>
      <w:r w:rsidR="00281BB6" w:rsidRPr="00A454BA">
        <w:rPr>
          <w:lang w:val="en-US"/>
        </w:rPr>
        <w:t xml:space="preserve"> </w:t>
      </w:r>
      <w:r w:rsidR="00281BB6" w:rsidRPr="00254BEF">
        <w:rPr>
          <w:lang w:val="en-US"/>
        </w:rPr>
        <w:t xml:space="preserve">cell growth </w:t>
      </w:r>
      <w:r w:rsidR="00281BB6" w:rsidRPr="00A70A0A">
        <w:rPr>
          <w:i/>
        </w:rPr>
        <w:t>in vitro</w:t>
      </w:r>
      <w:r w:rsidR="00281BB6" w:rsidRPr="00254BEF">
        <w:rPr>
          <w:lang w:val="en-US"/>
        </w:rPr>
        <w:t xml:space="preserve"> and </w:t>
      </w:r>
      <w:r w:rsidR="00281BB6" w:rsidRPr="00A70A0A">
        <w:rPr>
          <w:i/>
        </w:rPr>
        <w:t>in vivo</w:t>
      </w:r>
      <w:r w:rsidR="00281BB6" w:rsidRPr="00254BEF">
        <w:rPr>
          <w:lang w:val="en-US"/>
        </w:rPr>
        <w:t>.</w:t>
      </w:r>
    </w:p>
    <w:p w14:paraId="07FDE182" w14:textId="76468658" w:rsidR="00E771CC" w:rsidRPr="00C54309" w:rsidRDefault="009972B7" w:rsidP="00C54309">
      <w:pPr>
        <w:pStyle w:val="Heading2"/>
        <w:keepNext w:val="0"/>
        <w:autoSpaceDE/>
        <w:autoSpaceDN/>
        <w:adjustRightInd/>
        <w:spacing w:line="240" w:lineRule="auto"/>
        <w:ind w:left="357"/>
        <w:rPr>
          <w:b w:val="0"/>
          <w:bCs/>
          <w:i/>
          <w:u w:val="none"/>
          <w:lang w:val="en-AU" w:eastAsia="en-US"/>
        </w:rPr>
      </w:pPr>
      <w:r w:rsidRPr="00C54309">
        <w:rPr>
          <w:b w:val="0"/>
          <w:bCs/>
          <w:i/>
          <w:u w:val="none"/>
          <w:lang w:val="en-AU" w:eastAsia="en-US"/>
        </w:rPr>
        <w:t xml:space="preserve">TAFINLAR </w:t>
      </w:r>
      <w:r w:rsidR="00EB031B" w:rsidRPr="00C54309">
        <w:rPr>
          <w:b w:val="0"/>
          <w:bCs/>
          <w:i/>
          <w:u w:val="none"/>
          <w:lang w:val="en-AU" w:eastAsia="en-US"/>
        </w:rPr>
        <w:t>in c</w:t>
      </w:r>
      <w:r w:rsidR="00E771CC" w:rsidRPr="00C54309">
        <w:rPr>
          <w:b w:val="0"/>
          <w:bCs/>
          <w:i/>
          <w:u w:val="none"/>
          <w:lang w:val="en-AU" w:eastAsia="en-US"/>
        </w:rPr>
        <w:t>ombination</w:t>
      </w:r>
      <w:r w:rsidR="00FB570F" w:rsidRPr="00C54309">
        <w:rPr>
          <w:b w:val="0"/>
          <w:bCs/>
          <w:i/>
          <w:u w:val="none"/>
          <w:lang w:val="en-AU" w:eastAsia="en-US"/>
        </w:rPr>
        <w:t xml:space="preserve"> </w:t>
      </w:r>
      <w:r w:rsidR="00E771CC" w:rsidRPr="00C54309">
        <w:rPr>
          <w:b w:val="0"/>
          <w:bCs/>
          <w:i/>
          <w:u w:val="none"/>
          <w:lang w:val="en-AU" w:eastAsia="en-US"/>
        </w:rPr>
        <w:t xml:space="preserve">with </w:t>
      </w:r>
      <w:r w:rsidR="00074D10" w:rsidRPr="00C54309">
        <w:rPr>
          <w:b w:val="0"/>
          <w:bCs/>
          <w:i/>
          <w:u w:val="none"/>
          <w:lang w:val="en-AU" w:eastAsia="en-US"/>
        </w:rPr>
        <w:t>MEKINIST</w:t>
      </w:r>
      <w:r w:rsidR="00FE593F" w:rsidRPr="00C54309">
        <w:rPr>
          <w:b w:val="0"/>
          <w:bCs/>
          <w:i/>
          <w:u w:val="none"/>
          <w:lang w:val="en-AU" w:eastAsia="en-US"/>
        </w:rPr>
        <w:t xml:space="preserve"> </w:t>
      </w:r>
      <w:r w:rsidR="00A454BA">
        <w:rPr>
          <w:b w:val="0"/>
          <w:bCs/>
          <w:i/>
          <w:u w:val="none"/>
          <w:lang w:val="en-AU" w:eastAsia="en-US"/>
        </w:rPr>
        <w:t>in all indications</w:t>
      </w:r>
    </w:p>
    <w:p w14:paraId="07FDE183" w14:textId="6C45CF52" w:rsidR="00E771CC" w:rsidRPr="00CC537C" w:rsidRDefault="00FE593F" w:rsidP="00C54309">
      <w:pPr>
        <w:ind w:left="357"/>
        <w:rPr>
          <w:rFonts w:eastAsia="MS Mincho"/>
          <w:lang w:val="en-US" w:eastAsia="en-US"/>
        </w:rPr>
      </w:pPr>
      <w:r w:rsidRPr="00FE593F">
        <w:t xml:space="preserve">The active ingredient in </w:t>
      </w:r>
      <w:r w:rsidR="00074D10">
        <w:t>MEKINIST</w:t>
      </w:r>
      <w:r>
        <w:t xml:space="preserve">, </w:t>
      </w:r>
      <w:r w:rsidR="00E771CC">
        <w:t>trametinib</w:t>
      </w:r>
      <w:r>
        <w:t>,</w:t>
      </w:r>
      <w:r w:rsidR="00E771CC">
        <w:t xml:space="preserve"> is a reversible</w:t>
      </w:r>
      <w:r w:rsidR="00E771CC" w:rsidRPr="00E771CC">
        <w:t xml:space="preserve"> allosteric inhibitor of mitogen-activated extracellular signal regulated kinase 1 (MEK1) and MEK2 activation and kinase activity. MEK proteins are components of the extracellular signal-related kinase (ERK) pathway. </w:t>
      </w:r>
      <w:r w:rsidR="00074D10">
        <w:rPr>
          <w:rFonts w:eastAsia="MS Mincho"/>
          <w:lang w:val="en-GB" w:eastAsia="en-US"/>
        </w:rPr>
        <w:t>TAFINLAR</w:t>
      </w:r>
      <w:r w:rsidR="00E771CC" w:rsidRPr="00CC537C">
        <w:rPr>
          <w:rFonts w:eastAsia="MS Mincho"/>
          <w:lang w:val="en-GB" w:eastAsia="en-US"/>
        </w:rPr>
        <w:t xml:space="preserve"> and </w:t>
      </w:r>
      <w:r w:rsidR="00074D10">
        <w:rPr>
          <w:rFonts w:eastAsia="MS Mincho"/>
          <w:lang w:val="en-GB" w:eastAsia="en-US"/>
        </w:rPr>
        <w:t>MEKINIST</w:t>
      </w:r>
      <w:r w:rsidR="00E771CC" w:rsidRPr="00CC537C">
        <w:rPr>
          <w:rFonts w:eastAsia="MS Mincho"/>
          <w:lang w:val="en-GB" w:eastAsia="en-US"/>
        </w:rPr>
        <w:t xml:space="preserve"> inhibit two critical kinases in this pathway, BRAF and MEK, and the combination provides concomitant inhibition of the pathway. </w:t>
      </w:r>
      <w:r>
        <w:rPr>
          <w:rFonts w:eastAsia="MS Mincho"/>
          <w:lang w:val="en-GB" w:eastAsia="en-US"/>
        </w:rPr>
        <w:t>The c</w:t>
      </w:r>
      <w:r w:rsidR="00E771CC" w:rsidRPr="00CC537C">
        <w:rPr>
          <w:rFonts w:eastAsia="MS Mincho"/>
          <w:lang w:val="en-GB" w:eastAsia="en-US"/>
        </w:rPr>
        <w:t xml:space="preserve">ombination of </w:t>
      </w:r>
      <w:r w:rsidR="00074D10">
        <w:rPr>
          <w:rFonts w:eastAsia="MS Mincho"/>
          <w:lang w:val="en-GB" w:eastAsia="en-US"/>
        </w:rPr>
        <w:t>TAFINLAR</w:t>
      </w:r>
      <w:r w:rsidR="00E771CC" w:rsidRPr="00CC537C">
        <w:rPr>
          <w:rFonts w:eastAsia="MS Mincho"/>
          <w:lang w:val="en-GB" w:eastAsia="en-US"/>
        </w:rPr>
        <w:t xml:space="preserve"> with </w:t>
      </w:r>
      <w:r w:rsidR="00074D10">
        <w:rPr>
          <w:rFonts w:eastAsia="MS Mincho"/>
          <w:lang w:val="en-GB" w:eastAsia="en-US"/>
        </w:rPr>
        <w:t>MEKINIST</w:t>
      </w:r>
      <w:r w:rsidR="00E771CC" w:rsidRPr="00CC537C">
        <w:rPr>
          <w:rFonts w:eastAsia="MS Mincho"/>
          <w:lang w:val="en-GB" w:eastAsia="en-US"/>
        </w:rPr>
        <w:t xml:space="preserve"> is synergistic in BRAF V600 mutation positive melanoma cell lines </w:t>
      </w:r>
      <w:r w:rsidR="00E771CC" w:rsidRPr="007A44F3">
        <w:rPr>
          <w:rFonts w:eastAsia="MS Mincho"/>
          <w:i/>
          <w:lang w:val="en-GB"/>
        </w:rPr>
        <w:t>in vitro</w:t>
      </w:r>
      <w:r w:rsidR="00E771CC" w:rsidRPr="00CC537C">
        <w:rPr>
          <w:rFonts w:eastAsia="MS Mincho"/>
          <w:lang w:val="en-GB" w:eastAsia="en-US"/>
        </w:rPr>
        <w:t xml:space="preserve"> and delays the emergence of resistance </w:t>
      </w:r>
      <w:r w:rsidR="00E771CC" w:rsidRPr="007A44F3">
        <w:rPr>
          <w:rFonts w:eastAsia="MS Mincho"/>
          <w:i/>
          <w:lang w:val="en-GB"/>
        </w:rPr>
        <w:t>in</w:t>
      </w:r>
      <w:r w:rsidR="00E771CC" w:rsidRPr="00CC537C">
        <w:rPr>
          <w:rFonts w:eastAsia="MS Mincho"/>
          <w:lang w:val="en-GB" w:eastAsia="en-US"/>
        </w:rPr>
        <w:t xml:space="preserve"> </w:t>
      </w:r>
      <w:r w:rsidR="00E771CC" w:rsidRPr="007A44F3">
        <w:rPr>
          <w:rFonts w:eastAsia="MS Mincho"/>
          <w:i/>
          <w:lang w:val="en-GB"/>
        </w:rPr>
        <w:t>vivo</w:t>
      </w:r>
      <w:r w:rsidR="00E771CC" w:rsidRPr="00CC537C">
        <w:rPr>
          <w:rFonts w:eastAsia="MS Mincho"/>
          <w:lang w:val="en-GB" w:eastAsia="en-US"/>
        </w:rPr>
        <w:t xml:space="preserve"> in BRAF V600 mutation positive melanoma xenografts.</w:t>
      </w:r>
    </w:p>
    <w:p w14:paraId="07FDE184" w14:textId="77777777" w:rsidR="00236E6E" w:rsidRPr="00C54309" w:rsidRDefault="00236E6E" w:rsidP="00C54309">
      <w:pPr>
        <w:autoSpaceDE/>
        <w:autoSpaceDN/>
        <w:adjustRightInd/>
        <w:ind w:left="360"/>
        <w:rPr>
          <w:i/>
          <w:u w:val="single"/>
        </w:rPr>
      </w:pPr>
      <w:r w:rsidRPr="00C54309">
        <w:rPr>
          <w:i/>
          <w:u w:val="single"/>
        </w:rPr>
        <w:t xml:space="preserve">Pharmacodynamic </w:t>
      </w:r>
      <w:r w:rsidR="009972B7" w:rsidRPr="00C54309">
        <w:rPr>
          <w:i/>
          <w:u w:val="single"/>
        </w:rPr>
        <w:t>e</w:t>
      </w:r>
      <w:r w:rsidRPr="00C54309">
        <w:rPr>
          <w:i/>
          <w:u w:val="single"/>
        </w:rPr>
        <w:t>ffects</w:t>
      </w:r>
    </w:p>
    <w:p w14:paraId="07FDE185" w14:textId="77777777" w:rsidR="00281BB6" w:rsidRPr="00254BEF" w:rsidRDefault="00074D10" w:rsidP="00C54309">
      <w:pPr>
        <w:ind w:left="360"/>
      </w:pPr>
      <w:r>
        <w:t>TAFINLAR</w:t>
      </w:r>
      <w:r w:rsidR="00281BB6" w:rsidRPr="00254BEF">
        <w:t xml:space="preserve"> demonstrated suppression of a downstream pharmacodynamic biomarker (phosphorylated ERK) in </w:t>
      </w:r>
      <w:r w:rsidR="00281BB6" w:rsidRPr="00884759">
        <w:t>BRAF</w:t>
      </w:r>
      <w:r w:rsidR="00884759">
        <w:t xml:space="preserve"> </w:t>
      </w:r>
      <w:r w:rsidR="00281BB6" w:rsidRPr="00884759">
        <w:t>V600</w:t>
      </w:r>
      <w:r w:rsidR="00281BB6" w:rsidRPr="00254BEF">
        <w:t xml:space="preserve"> mutant melanoma cell lines, </w:t>
      </w:r>
      <w:r w:rsidR="00281BB6" w:rsidRPr="00A70A0A">
        <w:rPr>
          <w:i/>
        </w:rPr>
        <w:t>in vitro</w:t>
      </w:r>
      <w:r w:rsidR="00281BB6" w:rsidRPr="00254BEF">
        <w:t xml:space="preserve"> and in animal models. </w:t>
      </w:r>
    </w:p>
    <w:p w14:paraId="07FDE186" w14:textId="7784B325" w:rsidR="00236E6E" w:rsidRDefault="00236E6E" w:rsidP="00C54309">
      <w:pPr>
        <w:ind w:left="360"/>
      </w:pPr>
      <w:r w:rsidRPr="00254BEF">
        <w:t xml:space="preserve">In </w:t>
      </w:r>
      <w:r w:rsidR="001C1405">
        <w:t>patient</w:t>
      </w:r>
      <w:r w:rsidRPr="00254BEF">
        <w:t>s with BRAF</w:t>
      </w:r>
      <w:r w:rsidR="0078175F" w:rsidRPr="0078175F">
        <w:rPr>
          <w:vertAlign w:val="superscript"/>
        </w:rPr>
        <w:t xml:space="preserve"> </w:t>
      </w:r>
      <w:r w:rsidR="0078175F" w:rsidRPr="007A44F3">
        <w:t>V600</w:t>
      </w:r>
      <w:r w:rsidRPr="00254BEF">
        <w:t xml:space="preserve"> mutant melanoma, administration of </w:t>
      </w:r>
      <w:r w:rsidR="00A335E2">
        <w:t>TAFINLAR</w:t>
      </w:r>
      <w:r w:rsidRPr="00254BEF">
        <w:t xml:space="preserve"> resulted in inhibition of tumour phosphorylated ERK relative to baseline.</w:t>
      </w:r>
    </w:p>
    <w:p w14:paraId="07FDE187" w14:textId="77777777" w:rsidR="00DE63EC" w:rsidRPr="00C54309" w:rsidRDefault="00DE63EC" w:rsidP="00C54309">
      <w:pPr>
        <w:autoSpaceDE/>
        <w:autoSpaceDN/>
        <w:adjustRightInd/>
        <w:ind w:left="360"/>
        <w:rPr>
          <w:i/>
          <w:u w:val="single"/>
        </w:rPr>
      </w:pPr>
      <w:r w:rsidRPr="00C54309">
        <w:rPr>
          <w:i/>
          <w:u w:val="single"/>
        </w:rPr>
        <w:t xml:space="preserve">Determination of BRAF mutation status </w:t>
      </w:r>
    </w:p>
    <w:p w14:paraId="07FDE188" w14:textId="38D9974A" w:rsidR="00A83DC6" w:rsidRDefault="00DE63EC" w:rsidP="00C54309">
      <w:pPr>
        <w:ind w:left="360"/>
      </w:pPr>
      <w:r w:rsidRPr="00DE63EC">
        <w:t>In the Phase II and III clinical trials, screening for eligibility required central testing for BRAF</w:t>
      </w:r>
      <w:r>
        <w:t xml:space="preserve"> </w:t>
      </w:r>
      <w:r w:rsidRPr="00DE63EC">
        <w:t>V600 mutation using a BRAF mutation assay conducted on the most recent tumour sample available.</w:t>
      </w:r>
      <w:r>
        <w:t xml:space="preserve"> </w:t>
      </w:r>
      <w:r w:rsidRPr="00DE63EC">
        <w:t>Primary tumour or tumour from a metastatic site was tested with an investigational use only assay (IUO)</w:t>
      </w:r>
      <w:r>
        <w:t xml:space="preserve"> </w:t>
      </w:r>
      <w:r w:rsidRPr="00DE63EC">
        <w:t>developed by Response Genetics Inc. (RGI). The RGI IUO is an allele-specific polymerase chain reaction</w:t>
      </w:r>
      <w:r>
        <w:t xml:space="preserve"> </w:t>
      </w:r>
      <w:r w:rsidRPr="00DE63EC">
        <w:t>(PCR) assay performed on DNA extracted from formalin-fixed paraffin-embedded (FFPE) tumour tissue.</w:t>
      </w:r>
      <w:r>
        <w:t xml:space="preserve"> </w:t>
      </w:r>
      <w:r w:rsidRPr="00DE63EC">
        <w:t>The assay was specifically designed to differentiate between the V600E and V600K mutations. Only</w:t>
      </w:r>
      <w:r>
        <w:t xml:space="preserve"> </w:t>
      </w:r>
      <w:r w:rsidR="001C1405">
        <w:t>patient</w:t>
      </w:r>
      <w:r w:rsidRPr="00DE63EC">
        <w:t xml:space="preserve">s with </w:t>
      </w:r>
      <w:r w:rsidRPr="00884759">
        <w:t>BRAF</w:t>
      </w:r>
      <w:r w:rsidR="00884759">
        <w:t xml:space="preserve"> </w:t>
      </w:r>
      <w:r w:rsidRPr="00884759">
        <w:t>V600E</w:t>
      </w:r>
      <w:r w:rsidRPr="007A44F3">
        <w:t xml:space="preserve"> </w:t>
      </w:r>
      <w:r w:rsidRPr="004B1504">
        <w:t xml:space="preserve">or </w:t>
      </w:r>
      <w:r w:rsidRPr="007A44F3">
        <w:t>V600K</w:t>
      </w:r>
      <w:r w:rsidRPr="00DE63EC">
        <w:t xml:space="preserve"> mutation positive tumo</w:t>
      </w:r>
      <w:r w:rsidR="004212B9">
        <w:t>u</w:t>
      </w:r>
      <w:r w:rsidRPr="00DE63EC">
        <w:t>rs were eligible for study participation.</w:t>
      </w:r>
    </w:p>
    <w:p w14:paraId="5E76B05D" w14:textId="34FCF303" w:rsidR="0088047D" w:rsidRPr="008B0ED0" w:rsidRDefault="0088047D" w:rsidP="008B0ED0">
      <w:pPr>
        <w:pStyle w:val="Heading2"/>
        <w:keepNext w:val="0"/>
        <w:widowControl w:val="0"/>
        <w:ind w:left="360"/>
        <w:rPr>
          <w:b w:val="0"/>
          <w:i/>
        </w:rPr>
      </w:pPr>
      <w:r w:rsidRPr="00DE27DD">
        <w:rPr>
          <w:b w:val="0"/>
          <w:i/>
        </w:rPr>
        <w:t>Clinical Trials</w:t>
      </w:r>
    </w:p>
    <w:p w14:paraId="0A58D2BB" w14:textId="77777777" w:rsidR="0088047D" w:rsidRPr="008B0ED0" w:rsidRDefault="0088047D" w:rsidP="0088047D">
      <w:pPr>
        <w:keepNext/>
        <w:keepLines/>
        <w:tabs>
          <w:tab w:val="left" w:pos="567"/>
        </w:tabs>
        <w:autoSpaceDE/>
        <w:autoSpaceDN/>
        <w:adjustRightInd/>
        <w:spacing w:line="240" w:lineRule="auto"/>
        <w:ind w:left="360"/>
        <w:outlineLvl w:val="1"/>
        <w:rPr>
          <w:i/>
          <w:lang w:eastAsia="en-US"/>
        </w:rPr>
      </w:pPr>
      <w:r w:rsidRPr="008B0ED0">
        <w:rPr>
          <w:i/>
          <w:lang w:eastAsia="en-US"/>
        </w:rPr>
        <w:t>Unresectable or metastatic melanoma</w:t>
      </w:r>
    </w:p>
    <w:p w14:paraId="630DFCDF" w14:textId="71180684" w:rsidR="0088047D" w:rsidRPr="008B0ED0" w:rsidRDefault="0088047D" w:rsidP="008B0ED0">
      <w:pPr>
        <w:pStyle w:val="Heading2"/>
        <w:ind w:left="360"/>
        <w:rPr>
          <w:b w:val="0"/>
        </w:rPr>
      </w:pPr>
      <w:r w:rsidRPr="002144A4">
        <w:rPr>
          <w:b w:val="0"/>
        </w:rPr>
        <w:t>TAFINLAR monotherapy</w:t>
      </w:r>
      <w:r w:rsidR="00710E6D">
        <w:rPr>
          <w:b w:val="0"/>
        </w:rPr>
        <w:t xml:space="preserve"> - o</w:t>
      </w:r>
      <w:r w:rsidRPr="008B0ED0">
        <w:rPr>
          <w:b w:val="0"/>
        </w:rPr>
        <w:t>pen label studies</w:t>
      </w:r>
    </w:p>
    <w:p w14:paraId="2AAACFA7" w14:textId="77777777" w:rsidR="0088047D" w:rsidRDefault="0088047D" w:rsidP="0088047D">
      <w:pPr>
        <w:ind w:left="360"/>
      </w:pPr>
      <w:r w:rsidRPr="00254BEF">
        <w:t xml:space="preserve">The efficacy of </w:t>
      </w:r>
      <w:r>
        <w:t>TAFINLAR</w:t>
      </w:r>
      <w:r w:rsidRPr="00254BEF">
        <w:t xml:space="preserve"> in </w:t>
      </w:r>
      <w:r w:rsidRPr="00254BEF">
        <w:rPr>
          <w:noProof/>
        </w:rPr>
        <w:t xml:space="preserve">the treatment of adult patients with </w:t>
      </w:r>
      <w:r w:rsidRPr="00203491">
        <w:rPr>
          <w:noProof/>
        </w:rPr>
        <w:t>BRAF</w:t>
      </w:r>
      <w:r>
        <w:rPr>
          <w:noProof/>
        </w:rPr>
        <w:t xml:space="preserve"> </w:t>
      </w:r>
      <w:r w:rsidRPr="00F600B9">
        <w:rPr>
          <w:noProof/>
        </w:rPr>
        <w:t>V600</w:t>
      </w:r>
      <w:r w:rsidRPr="00353192">
        <w:rPr>
          <w:noProof/>
          <w:vertAlign w:val="superscript"/>
        </w:rPr>
        <w:t xml:space="preserve"> </w:t>
      </w:r>
      <w:r w:rsidRPr="00254BEF">
        <w:rPr>
          <w:noProof/>
        </w:rPr>
        <w:t>mutation positive unresectable or metastatic melanoma</w:t>
      </w:r>
      <w:r w:rsidRPr="00254BEF">
        <w:t xml:space="preserve"> has been evaluated in 3 </w:t>
      </w:r>
      <w:r>
        <w:t xml:space="preserve">open label </w:t>
      </w:r>
      <w:r w:rsidRPr="00254BEF">
        <w:t>studies</w:t>
      </w:r>
      <w:r>
        <w:t>:</w:t>
      </w:r>
    </w:p>
    <w:p w14:paraId="75ED0EEF" w14:textId="77777777" w:rsidR="0088047D" w:rsidRPr="00724B6A" w:rsidRDefault="0088047D" w:rsidP="0088047D">
      <w:pPr>
        <w:pStyle w:val="ListParagraph"/>
        <w:numPr>
          <w:ilvl w:val="0"/>
          <w:numId w:val="17"/>
        </w:numPr>
        <w:spacing w:after="0" w:line="240" w:lineRule="auto"/>
        <w:ind w:left="1080"/>
        <w:rPr>
          <w:rFonts w:ascii="Times New Roman" w:hAnsi="Times New Roman" w:cs="Times New Roman"/>
          <w:sz w:val="24"/>
          <w:szCs w:val="24"/>
        </w:rPr>
      </w:pPr>
      <w:r w:rsidRPr="00724B6A">
        <w:rPr>
          <w:rFonts w:ascii="Times New Roman" w:hAnsi="Times New Roman" w:cs="Times New Roman"/>
          <w:sz w:val="24"/>
          <w:szCs w:val="24"/>
        </w:rPr>
        <w:t xml:space="preserve">Phase III Study </w:t>
      </w:r>
      <w:r w:rsidRPr="007A44F3">
        <w:rPr>
          <w:rFonts w:ascii="Times New Roman" w:hAnsi="Times New Roman"/>
          <w:sz w:val="24"/>
        </w:rPr>
        <w:t>BRF113683 [BREAK-3</w:t>
      </w:r>
      <w:r w:rsidRPr="00724B6A">
        <w:rPr>
          <w:rFonts w:ascii="Times New Roman" w:hAnsi="Times New Roman" w:cs="Times New Roman"/>
          <w:sz w:val="24"/>
          <w:szCs w:val="24"/>
        </w:rPr>
        <w:t>]</w:t>
      </w:r>
    </w:p>
    <w:p w14:paraId="2262DBCA" w14:textId="77777777" w:rsidR="0088047D" w:rsidRPr="00724B6A" w:rsidRDefault="0088047D" w:rsidP="0088047D">
      <w:pPr>
        <w:pStyle w:val="ListParagraph"/>
        <w:numPr>
          <w:ilvl w:val="0"/>
          <w:numId w:val="17"/>
        </w:numPr>
        <w:spacing w:after="0" w:line="240" w:lineRule="auto"/>
        <w:ind w:left="1080"/>
        <w:rPr>
          <w:rFonts w:ascii="Times New Roman" w:hAnsi="Times New Roman" w:cs="Times New Roman"/>
          <w:sz w:val="24"/>
          <w:szCs w:val="24"/>
        </w:rPr>
      </w:pPr>
      <w:r w:rsidRPr="00724B6A">
        <w:rPr>
          <w:rFonts w:ascii="Times New Roman" w:hAnsi="Times New Roman" w:cs="Times New Roman"/>
          <w:sz w:val="24"/>
          <w:szCs w:val="24"/>
        </w:rPr>
        <w:t xml:space="preserve">Phase II Study </w:t>
      </w:r>
      <w:r w:rsidRPr="007A44F3">
        <w:rPr>
          <w:rFonts w:ascii="Times New Roman" w:hAnsi="Times New Roman"/>
          <w:sz w:val="24"/>
        </w:rPr>
        <w:t>BRF113929 [BREAK-MB</w:t>
      </w:r>
      <w:r w:rsidRPr="00724B6A">
        <w:rPr>
          <w:rFonts w:ascii="Times New Roman" w:hAnsi="Times New Roman" w:cs="Times New Roman"/>
          <w:sz w:val="24"/>
          <w:szCs w:val="24"/>
        </w:rPr>
        <w:t xml:space="preserve">], and  </w:t>
      </w:r>
    </w:p>
    <w:p w14:paraId="45969CB0" w14:textId="77777777" w:rsidR="0088047D" w:rsidRPr="00724B6A" w:rsidRDefault="0088047D" w:rsidP="0088047D">
      <w:pPr>
        <w:pStyle w:val="ListParagraph"/>
        <w:numPr>
          <w:ilvl w:val="0"/>
          <w:numId w:val="17"/>
        </w:numPr>
        <w:ind w:left="1080"/>
        <w:rPr>
          <w:rFonts w:ascii="Times New Roman" w:hAnsi="Times New Roman" w:cs="Times New Roman"/>
          <w:sz w:val="24"/>
          <w:szCs w:val="24"/>
        </w:rPr>
      </w:pPr>
      <w:proofErr w:type="gramStart"/>
      <w:r w:rsidRPr="00724B6A">
        <w:rPr>
          <w:rFonts w:ascii="Times New Roman" w:hAnsi="Times New Roman" w:cs="Times New Roman"/>
          <w:sz w:val="24"/>
          <w:szCs w:val="24"/>
        </w:rPr>
        <w:t>Phase</w:t>
      </w:r>
      <w:proofErr w:type="gramEnd"/>
      <w:r w:rsidRPr="00724B6A">
        <w:rPr>
          <w:rFonts w:ascii="Times New Roman" w:hAnsi="Times New Roman" w:cs="Times New Roman"/>
          <w:sz w:val="24"/>
          <w:szCs w:val="24"/>
        </w:rPr>
        <w:t xml:space="preserve"> II Study BRF113710 [BREAK-2].</w:t>
      </w:r>
    </w:p>
    <w:p w14:paraId="3E05F0A4" w14:textId="5155E38F" w:rsidR="0088047D" w:rsidRDefault="0088047D" w:rsidP="0088047D">
      <w:pPr>
        <w:ind w:left="360"/>
      </w:pPr>
      <w:r w:rsidRPr="005D1137">
        <w:t xml:space="preserve">Included in these studies were 402 </w:t>
      </w:r>
      <w:r w:rsidR="001C1405">
        <w:t>patient</w:t>
      </w:r>
      <w:r w:rsidRPr="005D1137">
        <w:t xml:space="preserve">s with BRAF V600E and 49 </w:t>
      </w:r>
      <w:r w:rsidR="001C1405">
        <w:t>patient</w:t>
      </w:r>
      <w:r w:rsidRPr="005D1137">
        <w:t xml:space="preserve">s with BRAF V600K mutation. </w:t>
      </w:r>
    </w:p>
    <w:p w14:paraId="04EDA237" w14:textId="77777777" w:rsidR="0088047D" w:rsidRPr="00254BEF" w:rsidRDefault="0088047D" w:rsidP="0088047D">
      <w:pPr>
        <w:ind w:left="360"/>
      </w:pPr>
      <w:r w:rsidRPr="00697EF8">
        <w:lastRenderedPageBreak/>
        <w:t xml:space="preserve">Patients with evidence of active CNS disease (e.g. radiographically unstable or with symptomatic lesions) </w:t>
      </w:r>
      <w:r w:rsidRPr="00596446">
        <w:t xml:space="preserve">and those with disease progression in the brain in the last </w:t>
      </w:r>
      <w:r>
        <w:t>three</w:t>
      </w:r>
      <w:r w:rsidRPr="00596446">
        <w:t xml:space="preserve"> months </w:t>
      </w:r>
      <w:r w:rsidRPr="00697EF8">
        <w:t>were excluded from the pivotal Phase III study.</w:t>
      </w:r>
    </w:p>
    <w:p w14:paraId="2B74DB45" w14:textId="77777777" w:rsidR="0088047D" w:rsidRPr="0088047D" w:rsidRDefault="0088047D" w:rsidP="0088047D">
      <w:pPr>
        <w:ind w:left="360"/>
      </w:pPr>
      <w:r w:rsidRPr="0088047D">
        <w:t>Phase III study BREAK-3 in previously untreated melanoma patients</w:t>
      </w:r>
    </w:p>
    <w:p w14:paraId="3D0C9DE3" w14:textId="3075F3AD" w:rsidR="0088047D" w:rsidRPr="00254BEF" w:rsidRDefault="0088047D" w:rsidP="0088047D">
      <w:pPr>
        <w:ind w:left="360"/>
      </w:pPr>
      <w:r w:rsidRPr="00254BEF">
        <w:t xml:space="preserve">The efficacy and safety of </w:t>
      </w:r>
      <w:r w:rsidRPr="009E7A82">
        <w:t>TAFINLAR</w:t>
      </w:r>
      <w:r w:rsidRPr="00254BEF">
        <w:t xml:space="preserve"> were evaluated in </w:t>
      </w:r>
      <w:r>
        <w:t>this</w:t>
      </w:r>
      <w:r w:rsidRPr="00254BEF">
        <w:t xml:space="preserve"> Phase III randomi</w:t>
      </w:r>
      <w:r>
        <w:t>s</w:t>
      </w:r>
      <w:r w:rsidRPr="00254BEF">
        <w:t xml:space="preserve">ed, open-label study [BREAK-3] comparing </w:t>
      </w:r>
      <w:r>
        <w:t>TAFINLAR</w:t>
      </w:r>
      <w:r w:rsidRPr="00254BEF">
        <w:t xml:space="preserve"> </w:t>
      </w:r>
      <w:r w:rsidRPr="00377448">
        <w:t>150 mg twice daily</w:t>
      </w:r>
      <w:r w:rsidRPr="00254BEF">
        <w:t xml:space="preserve"> to </w:t>
      </w:r>
      <w:r>
        <w:t xml:space="preserve">IV </w:t>
      </w:r>
      <w:proofErr w:type="spellStart"/>
      <w:r w:rsidRPr="00254BEF">
        <w:t>dacarbazine</w:t>
      </w:r>
      <w:proofErr w:type="spellEnd"/>
      <w:r w:rsidRPr="00254BEF">
        <w:t xml:space="preserve"> (DTIC) </w:t>
      </w:r>
      <w:r w:rsidRPr="00377448">
        <w:t>1000 mg/m</w:t>
      </w:r>
      <w:r w:rsidRPr="0088047D">
        <w:t>2</w:t>
      </w:r>
      <w:r w:rsidRPr="00377448">
        <w:t xml:space="preserve"> every 3 weeks </w:t>
      </w:r>
      <w:r w:rsidRPr="00254BEF">
        <w:t xml:space="preserve">in previously untreated patients with </w:t>
      </w:r>
      <w:r w:rsidRPr="00991F4B">
        <w:t>BRAF</w:t>
      </w:r>
      <w:r>
        <w:t xml:space="preserve"> </w:t>
      </w:r>
      <w:r w:rsidRPr="00991F4B">
        <w:t>V600E</w:t>
      </w:r>
      <w:r w:rsidRPr="00254BEF">
        <w:t xml:space="preserve"> mutation positive </w:t>
      </w:r>
      <w:r w:rsidR="00A454BA">
        <w:t xml:space="preserve">unresectable or </w:t>
      </w:r>
      <w:r w:rsidRPr="00254BEF">
        <w:t>advanced (unresectable Stage III) or metastatic (Stage IV) melanoma.</w:t>
      </w:r>
      <w:r>
        <w:t xml:space="preserve"> </w:t>
      </w:r>
      <w:r w:rsidRPr="00D74C63">
        <w:t>Screening included central testing of BRAF mutation V600E using a BRAF mutation assay conducted on the most recent tumour sample available.</w:t>
      </w:r>
      <w:r>
        <w:t xml:space="preserve"> Two hundred and fifty </w:t>
      </w:r>
      <w:r w:rsidRPr="00254BEF">
        <w:t xml:space="preserve">patients </w:t>
      </w:r>
      <w:r>
        <w:t xml:space="preserve">were </w:t>
      </w:r>
      <w:r w:rsidRPr="00254BEF">
        <w:t>randomi</w:t>
      </w:r>
      <w:r>
        <w:t>s</w:t>
      </w:r>
      <w:r w:rsidRPr="00254BEF">
        <w:t xml:space="preserve">ed 3:1 to receive either </w:t>
      </w:r>
      <w:r>
        <w:t>TAFINLAR</w:t>
      </w:r>
      <w:r w:rsidRPr="00254BEF">
        <w:t xml:space="preserve"> or intravenous DTIC. The primary objective was to evaluate the efficacy of </w:t>
      </w:r>
      <w:r w:rsidRPr="009E7A82">
        <w:t>TAFINLAR</w:t>
      </w:r>
      <w:r w:rsidRPr="00254BEF">
        <w:t xml:space="preserve"> compared to DTIC with respect to progression-free survival (PFS) </w:t>
      </w:r>
      <w:r>
        <w:t xml:space="preserve">per investigator assessment </w:t>
      </w:r>
      <w:r w:rsidRPr="00254BEF">
        <w:t xml:space="preserve">for patients with </w:t>
      </w:r>
      <w:r w:rsidRPr="00991F4B">
        <w:t>BRAF</w:t>
      </w:r>
      <w:r>
        <w:t xml:space="preserve"> </w:t>
      </w:r>
      <w:r w:rsidRPr="00991F4B">
        <w:t>V600E</w:t>
      </w:r>
      <w:r w:rsidRPr="00254BEF">
        <w:t xml:space="preserve"> mutation positive metastatic melanoma. Patients on the DTIC arm were allowed to </w:t>
      </w:r>
      <w:r>
        <w:t xml:space="preserve">cross over and </w:t>
      </w:r>
      <w:r w:rsidRPr="00254BEF">
        <w:t xml:space="preserve">receive </w:t>
      </w:r>
      <w:r>
        <w:t>TAFINLAR</w:t>
      </w:r>
      <w:r w:rsidRPr="00254BEF">
        <w:t xml:space="preserve"> after independent radiographic confirmation of initial progression. Baseline characteristics were balanced between treatment groups. Sixty percent of patients were male and 99.6</w:t>
      </w:r>
      <w:r>
        <w:t xml:space="preserve"> </w:t>
      </w:r>
      <w:r w:rsidRPr="00254BEF">
        <w:t>% were Caucasian; the median age was 52 years with 21</w:t>
      </w:r>
      <w:r>
        <w:t xml:space="preserve"> %</w:t>
      </w:r>
      <w:r w:rsidRPr="00254BEF">
        <w:t xml:space="preserve"> of patients being ≥ 65 years, 98.4</w:t>
      </w:r>
      <w:r>
        <w:t xml:space="preserve"> %</w:t>
      </w:r>
      <w:r w:rsidRPr="00254BEF">
        <w:t xml:space="preserve"> had </w:t>
      </w:r>
      <w:r w:rsidRPr="005A4D97">
        <w:t xml:space="preserve">an Eastern Cooperative Oncology Group </w:t>
      </w:r>
      <w:r>
        <w:t>(</w:t>
      </w:r>
      <w:r w:rsidRPr="00254BEF">
        <w:t>ECOG</w:t>
      </w:r>
      <w:r>
        <w:t>)</w:t>
      </w:r>
      <w:r w:rsidRPr="00254BEF">
        <w:t xml:space="preserve"> status of 0 or 1, and 97</w:t>
      </w:r>
      <w:r>
        <w:t xml:space="preserve"> %</w:t>
      </w:r>
      <w:r w:rsidRPr="00254BEF">
        <w:t xml:space="preserve"> of patients had metastatic disease.</w:t>
      </w:r>
    </w:p>
    <w:p w14:paraId="1CDE8D76" w14:textId="31A4A0BC" w:rsidR="00843F78" w:rsidRDefault="0088047D" w:rsidP="00843F78">
      <w:pPr>
        <w:spacing w:before="60" w:after="60" w:line="240" w:lineRule="auto"/>
        <w:ind w:left="360"/>
      </w:pPr>
      <w:r>
        <w:t xml:space="preserve">At the pre-specified analysis with a 19 December 2011 data cut, a significant improvement in the primary endpoint of PFS (HR = 0.30; 95 % CI 0.18, 0.51; p &lt; 0.0001) was achieved. PFS from the primary analysis is shown in Figure 1. </w:t>
      </w:r>
      <w:r w:rsidRPr="00254BEF">
        <w:t xml:space="preserve">Efficacy results </w:t>
      </w:r>
      <w:r>
        <w:t xml:space="preserve">from a post-hoc analysis with 6-months additional follow-up </w:t>
      </w:r>
      <w:r w:rsidRPr="00254BEF">
        <w:t>are summari</w:t>
      </w:r>
      <w:r>
        <w:t>s</w:t>
      </w:r>
      <w:r w:rsidRPr="00254BEF">
        <w:t>ed in Table 1</w:t>
      </w:r>
      <w:r w:rsidR="00BF5438">
        <w:t>2</w:t>
      </w:r>
      <w:r w:rsidRPr="00254BEF">
        <w:t>.</w:t>
      </w:r>
      <w:r>
        <w:t xml:space="preserve"> Overall survival data from a further post-hoc analysis based on an 18 December 2012 data cut is provided in Table </w:t>
      </w:r>
      <w:r w:rsidR="003D3058">
        <w:t>1</w:t>
      </w:r>
      <w:r w:rsidR="00BF5438">
        <w:t>3</w:t>
      </w:r>
      <w:r>
        <w:t xml:space="preserve"> and shown in Figure </w:t>
      </w:r>
      <w:r w:rsidR="003D3058">
        <w:t>1</w:t>
      </w:r>
      <w:r>
        <w:t xml:space="preserve">. </w:t>
      </w:r>
      <w:r w:rsidR="00843F78">
        <w:t>As of 25 June 2012, thirty-five</w:t>
      </w:r>
      <w:r w:rsidR="00843F78" w:rsidRPr="00254BEF">
        <w:t xml:space="preserve"> </w:t>
      </w:r>
      <w:r w:rsidR="00843F78">
        <w:t>patient</w:t>
      </w:r>
      <w:r w:rsidR="00843F78" w:rsidRPr="00254BEF">
        <w:t>s</w:t>
      </w:r>
      <w:r w:rsidR="00843F78">
        <w:t xml:space="preserve"> </w:t>
      </w:r>
      <w:r w:rsidR="00843F78" w:rsidRPr="00254BEF">
        <w:t>(</w:t>
      </w:r>
      <w:r w:rsidR="00843F78">
        <w:t xml:space="preserve">55.6 </w:t>
      </w:r>
      <w:r w:rsidR="00843F78" w:rsidRPr="00254BEF">
        <w:t xml:space="preserve">%) </w:t>
      </w:r>
      <w:r w:rsidR="00843F78">
        <w:t xml:space="preserve">of the 63 </w:t>
      </w:r>
      <w:r w:rsidR="00843F78" w:rsidRPr="00254BEF">
        <w:t>randomi</w:t>
      </w:r>
      <w:r w:rsidR="00843F78">
        <w:t>s</w:t>
      </w:r>
      <w:r w:rsidR="00843F78" w:rsidRPr="00254BEF">
        <w:t xml:space="preserve">ed to DTIC crossed over to </w:t>
      </w:r>
      <w:r w:rsidR="00843F78">
        <w:t>TAFINLAR</w:t>
      </w:r>
      <w:r w:rsidR="00843F78" w:rsidRPr="00254BEF">
        <w:t xml:space="preserve">. Median </w:t>
      </w:r>
      <w:r w:rsidR="00843F78">
        <w:t>PFS</w:t>
      </w:r>
      <w:r w:rsidR="00843F78" w:rsidRPr="00254BEF">
        <w:t xml:space="preserve"> after cross-over was </w:t>
      </w:r>
      <w:r w:rsidR="00843F78">
        <w:t>4.4</w:t>
      </w:r>
      <w:r w:rsidR="00843F78" w:rsidRPr="00254BEF">
        <w:t xml:space="preserve"> months. </w:t>
      </w:r>
    </w:p>
    <w:p w14:paraId="41303015" w14:textId="77777777" w:rsidR="00D87CDE" w:rsidRDefault="00D87CDE" w:rsidP="00843F78">
      <w:pPr>
        <w:spacing w:before="60" w:after="60" w:line="240" w:lineRule="auto"/>
        <w:ind w:left="360"/>
      </w:pPr>
    </w:p>
    <w:p w14:paraId="53BDB7AB" w14:textId="3C30DE57" w:rsidR="0088047D" w:rsidRPr="00735A23" w:rsidRDefault="0088047D" w:rsidP="0088047D">
      <w:pPr>
        <w:keepNext/>
        <w:spacing w:after="0" w:line="240" w:lineRule="auto"/>
        <w:ind w:left="1800" w:hanging="1440"/>
        <w:rPr>
          <w:rFonts w:ascii="Arial" w:hAnsi="Arial" w:cs="Arial"/>
          <w:b/>
          <w:sz w:val="22"/>
          <w:szCs w:val="22"/>
        </w:rPr>
      </w:pPr>
      <w:r w:rsidRPr="00735A23">
        <w:rPr>
          <w:rFonts w:ascii="Arial" w:hAnsi="Arial" w:cs="Arial"/>
          <w:b/>
          <w:sz w:val="22"/>
          <w:szCs w:val="22"/>
        </w:rPr>
        <w:t xml:space="preserve">Table </w:t>
      </w:r>
      <w:r>
        <w:rPr>
          <w:rFonts w:ascii="Arial" w:hAnsi="Arial" w:cs="Arial"/>
          <w:b/>
          <w:sz w:val="22"/>
          <w:szCs w:val="22"/>
        </w:rPr>
        <w:t>1</w:t>
      </w:r>
      <w:r w:rsidR="00BF5438">
        <w:rPr>
          <w:rFonts w:ascii="Arial" w:hAnsi="Arial" w:cs="Arial"/>
          <w:b/>
          <w:sz w:val="22"/>
          <w:szCs w:val="22"/>
        </w:rPr>
        <w:t>2</w:t>
      </w:r>
      <w:r w:rsidRPr="00735A23">
        <w:rPr>
          <w:rFonts w:ascii="Arial" w:hAnsi="Arial" w:cs="Arial"/>
          <w:b/>
          <w:sz w:val="22"/>
          <w:szCs w:val="22"/>
        </w:rPr>
        <w:tab/>
      </w:r>
      <w:r>
        <w:rPr>
          <w:rFonts w:ascii="Arial" w:hAnsi="Arial" w:cs="Arial"/>
          <w:b/>
          <w:sz w:val="22"/>
          <w:szCs w:val="22"/>
        </w:rPr>
        <w:t>Investigator assessed e</w:t>
      </w:r>
      <w:r w:rsidRPr="00735A23">
        <w:rPr>
          <w:rFonts w:ascii="Arial" w:hAnsi="Arial" w:cs="Arial"/>
          <w:b/>
          <w:sz w:val="22"/>
          <w:szCs w:val="22"/>
        </w:rPr>
        <w:t>fficacy in previously untreated patients (BREAK-3 study, 25</w:t>
      </w:r>
      <w:r>
        <w:rPr>
          <w:rFonts w:ascii="Arial" w:hAnsi="Arial" w:cs="Arial"/>
          <w:b/>
          <w:sz w:val="22"/>
          <w:szCs w:val="22"/>
        </w:rPr>
        <w:t xml:space="preserve"> </w:t>
      </w:r>
      <w:r w:rsidRPr="00735A23">
        <w:rPr>
          <w:rFonts w:ascii="Arial" w:hAnsi="Arial" w:cs="Arial"/>
          <w:b/>
          <w:sz w:val="22"/>
          <w:szCs w:val="22"/>
        </w:rPr>
        <w:t>June 2012)</w:t>
      </w:r>
    </w:p>
    <w:p w14:paraId="303BFF14" w14:textId="77777777" w:rsidR="0088047D" w:rsidRPr="00735A23" w:rsidRDefault="0088047D" w:rsidP="0088047D">
      <w:pPr>
        <w:keepNext/>
        <w:spacing w:after="0" w:line="240" w:lineRule="auto"/>
        <w:ind w:left="1800" w:hanging="1440"/>
        <w:rPr>
          <w:rFonts w:ascii="Arial" w:hAnsi="Arial" w:cs="Arial"/>
          <w:b/>
          <w:sz w:val="22"/>
          <w:szCs w:val="22"/>
        </w:rPr>
      </w:pPr>
    </w:p>
    <w:tbl>
      <w:tblPr>
        <w:tblW w:w="4881" w:type="pct"/>
        <w:tblInd w:w="46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9"/>
        <w:gridCol w:w="2953"/>
        <w:gridCol w:w="2963"/>
      </w:tblGrid>
      <w:tr w:rsidR="0088047D" w:rsidRPr="00C224CD" w14:paraId="4AB97FC7" w14:textId="77777777" w:rsidTr="001550EB">
        <w:trPr>
          <w:trHeight w:hRule="exact" w:val="284"/>
        </w:trPr>
        <w:tc>
          <w:tcPr>
            <w:tcW w:w="1977" w:type="pct"/>
            <w:tcBorders>
              <w:top w:val="single" w:sz="4" w:space="0" w:color="auto"/>
              <w:left w:val="nil"/>
              <w:bottom w:val="nil"/>
              <w:right w:val="nil"/>
            </w:tcBorders>
            <w:shd w:val="clear" w:color="auto" w:fill="auto"/>
            <w:hideMark/>
          </w:tcPr>
          <w:p w14:paraId="08B56195" w14:textId="77777777" w:rsidR="0088047D" w:rsidRPr="000F3D44" w:rsidRDefault="0088047D" w:rsidP="0088047D">
            <w:pPr>
              <w:spacing w:before="60" w:after="60" w:line="240" w:lineRule="auto"/>
              <w:jc w:val="center"/>
              <w:rPr>
                <w:rFonts w:ascii="Arial" w:hAnsi="Arial"/>
                <w:b/>
                <w:sz w:val="20"/>
                <w:lang w:val="en-US"/>
              </w:rPr>
            </w:pPr>
          </w:p>
        </w:tc>
        <w:tc>
          <w:tcPr>
            <w:tcW w:w="3023" w:type="pct"/>
            <w:gridSpan w:val="2"/>
            <w:tcBorders>
              <w:top w:val="single" w:sz="4" w:space="0" w:color="auto"/>
              <w:left w:val="nil"/>
              <w:bottom w:val="nil"/>
              <w:right w:val="nil"/>
            </w:tcBorders>
            <w:shd w:val="clear" w:color="auto" w:fill="auto"/>
            <w:vAlign w:val="center"/>
            <w:hideMark/>
          </w:tcPr>
          <w:p w14:paraId="316D5743" w14:textId="77777777" w:rsidR="0088047D" w:rsidRPr="008F5921" w:rsidRDefault="0088047D" w:rsidP="0088047D">
            <w:pPr>
              <w:spacing w:before="60" w:after="60" w:line="240" w:lineRule="auto"/>
              <w:jc w:val="center"/>
              <w:rPr>
                <w:rFonts w:ascii="Arial" w:eastAsia="MS Mincho" w:hAnsi="Arial" w:cs="Arial"/>
                <w:b/>
                <w:sz w:val="20"/>
                <w:szCs w:val="20"/>
                <w:lang w:val="en-US"/>
              </w:rPr>
            </w:pPr>
            <w:r w:rsidRPr="008F5921">
              <w:rPr>
                <w:rFonts w:ascii="Arial" w:eastAsia="MS Mincho" w:hAnsi="Arial" w:cs="Arial"/>
                <w:b/>
                <w:sz w:val="20"/>
                <w:szCs w:val="20"/>
                <w:lang w:val="en-US"/>
              </w:rPr>
              <w:t>Intention-to-Treat Population</w:t>
            </w:r>
          </w:p>
        </w:tc>
      </w:tr>
      <w:tr w:rsidR="0088047D" w:rsidRPr="00C224CD" w14:paraId="45B76034" w14:textId="77777777" w:rsidTr="001550EB">
        <w:trPr>
          <w:trHeight w:hRule="exact" w:val="284"/>
        </w:trPr>
        <w:tc>
          <w:tcPr>
            <w:tcW w:w="1977" w:type="pct"/>
            <w:tcBorders>
              <w:top w:val="nil"/>
              <w:left w:val="nil"/>
              <w:bottom w:val="single" w:sz="4" w:space="0" w:color="auto"/>
              <w:right w:val="nil"/>
            </w:tcBorders>
            <w:shd w:val="clear" w:color="auto" w:fill="auto"/>
            <w:hideMark/>
          </w:tcPr>
          <w:p w14:paraId="4967D859" w14:textId="77777777" w:rsidR="0088047D" w:rsidRPr="008F5921" w:rsidRDefault="0088047D" w:rsidP="0088047D">
            <w:pPr>
              <w:spacing w:before="60" w:after="60" w:line="240" w:lineRule="auto"/>
              <w:jc w:val="left"/>
              <w:rPr>
                <w:rFonts w:ascii="Arial" w:hAnsi="Arial" w:cs="Arial"/>
                <w:b/>
                <w:sz w:val="20"/>
                <w:szCs w:val="20"/>
              </w:rPr>
            </w:pPr>
            <w:r w:rsidRPr="008F5921">
              <w:rPr>
                <w:rFonts w:ascii="Arial" w:eastAsia="MS Mincho" w:hAnsi="Arial" w:cs="Arial"/>
                <w:b/>
                <w:sz w:val="20"/>
                <w:szCs w:val="20"/>
                <w:lang w:val="en-US"/>
              </w:rPr>
              <w:t>Endpoints/ Assessment</w:t>
            </w:r>
          </w:p>
        </w:tc>
        <w:tc>
          <w:tcPr>
            <w:tcW w:w="1509" w:type="pct"/>
            <w:tcBorders>
              <w:top w:val="nil"/>
              <w:left w:val="nil"/>
              <w:bottom w:val="single" w:sz="4" w:space="0" w:color="auto"/>
              <w:right w:val="nil"/>
            </w:tcBorders>
            <w:shd w:val="clear" w:color="auto" w:fill="auto"/>
            <w:vAlign w:val="center"/>
            <w:hideMark/>
          </w:tcPr>
          <w:p w14:paraId="2FE3AD1E" w14:textId="77777777" w:rsidR="0088047D" w:rsidRPr="008F5921" w:rsidRDefault="0088047D" w:rsidP="0088047D">
            <w:pPr>
              <w:spacing w:before="60" w:after="60" w:line="240" w:lineRule="auto"/>
              <w:jc w:val="center"/>
              <w:rPr>
                <w:rFonts w:ascii="Arial" w:eastAsia="MS Mincho" w:hAnsi="Arial" w:cs="Arial"/>
                <w:b/>
                <w:sz w:val="20"/>
                <w:szCs w:val="20"/>
                <w:lang w:val="en-US"/>
              </w:rPr>
            </w:pPr>
            <w:r w:rsidRPr="008F5921">
              <w:rPr>
                <w:rFonts w:ascii="Arial" w:eastAsia="MS Mincho" w:hAnsi="Arial" w:cs="Arial"/>
                <w:b/>
                <w:sz w:val="20"/>
                <w:szCs w:val="20"/>
                <w:lang w:val="en-US"/>
              </w:rPr>
              <w:t>T</w:t>
            </w:r>
            <w:r>
              <w:rPr>
                <w:rFonts w:ascii="Arial" w:eastAsia="MS Mincho" w:hAnsi="Arial" w:cs="Arial"/>
                <w:b/>
                <w:sz w:val="20"/>
                <w:szCs w:val="20"/>
                <w:lang w:val="en-US"/>
              </w:rPr>
              <w:t>AFINLAR (</w:t>
            </w:r>
            <w:r w:rsidRPr="008F5921">
              <w:rPr>
                <w:rFonts w:ascii="Arial" w:eastAsia="MS Mincho" w:hAnsi="Arial" w:cs="Arial"/>
                <w:b/>
                <w:sz w:val="20"/>
                <w:szCs w:val="20"/>
                <w:lang w:val="en-US"/>
              </w:rPr>
              <w:t>N=187</w:t>
            </w:r>
            <w:r>
              <w:rPr>
                <w:rFonts w:ascii="Arial" w:eastAsia="MS Mincho" w:hAnsi="Arial" w:cs="Arial"/>
                <w:b/>
                <w:sz w:val="20"/>
                <w:szCs w:val="20"/>
                <w:lang w:val="en-US"/>
              </w:rPr>
              <w:t>)</w:t>
            </w:r>
          </w:p>
        </w:tc>
        <w:tc>
          <w:tcPr>
            <w:tcW w:w="1514" w:type="pct"/>
            <w:tcBorders>
              <w:top w:val="nil"/>
              <w:left w:val="nil"/>
              <w:bottom w:val="single" w:sz="4" w:space="0" w:color="auto"/>
              <w:right w:val="nil"/>
            </w:tcBorders>
            <w:shd w:val="clear" w:color="auto" w:fill="auto"/>
            <w:vAlign w:val="center"/>
            <w:hideMark/>
          </w:tcPr>
          <w:p w14:paraId="4C75291F" w14:textId="77777777" w:rsidR="0088047D" w:rsidRPr="008F5921" w:rsidRDefault="0088047D" w:rsidP="0088047D">
            <w:pPr>
              <w:spacing w:before="60" w:after="60" w:line="240" w:lineRule="auto"/>
              <w:jc w:val="center"/>
              <w:rPr>
                <w:rFonts w:ascii="Arial" w:eastAsia="MS Mincho" w:hAnsi="Arial" w:cs="Arial"/>
                <w:b/>
                <w:sz w:val="20"/>
                <w:szCs w:val="20"/>
                <w:lang w:val="en-US"/>
              </w:rPr>
            </w:pPr>
            <w:proofErr w:type="spellStart"/>
            <w:r w:rsidRPr="00B1137E">
              <w:rPr>
                <w:rFonts w:ascii="Arial" w:eastAsia="MS Mincho" w:hAnsi="Arial" w:cs="Arial"/>
                <w:b/>
                <w:sz w:val="20"/>
                <w:szCs w:val="20"/>
                <w:lang w:val="en-US"/>
              </w:rPr>
              <w:t>dacarbazine</w:t>
            </w:r>
            <w:proofErr w:type="spellEnd"/>
            <w:r w:rsidRPr="00B1137E">
              <w:rPr>
                <w:rFonts w:ascii="Arial" w:eastAsia="MS Mincho" w:hAnsi="Arial" w:cs="Arial"/>
                <w:b/>
                <w:sz w:val="20"/>
                <w:szCs w:val="20"/>
                <w:lang w:val="en-US"/>
              </w:rPr>
              <w:t xml:space="preserve"> </w:t>
            </w:r>
            <w:r>
              <w:rPr>
                <w:rFonts w:ascii="Arial" w:eastAsia="MS Mincho" w:hAnsi="Arial" w:cs="Arial"/>
                <w:b/>
                <w:sz w:val="20"/>
                <w:szCs w:val="20"/>
                <w:lang w:val="en-US"/>
              </w:rPr>
              <w:t>(</w:t>
            </w:r>
            <w:r w:rsidRPr="008F5921">
              <w:rPr>
                <w:rFonts w:ascii="Arial" w:eastAsia="MS Mincho" w:hAnsi="Arial" w:cs="Arial"/>
                <w:b/>
                <w:sz w:val="20"/>
                <w:szCs w:val="20"/>
                <w:lang w:val="en-US"/>
              </w:rPr>
              <w:t>N=63</w:t>
            </w:r>
            <w:r>
              <w:rPr>
                <w:rFonts w:ascii="Arial" w:eastAsia="MS Mincho" w:hAnsi="Arial" w:cs="Arial"/>
                <w:b/>
                <w:sz w:val="20"/>
                <w:szCs w:val="20"/>
                <w:lang w:val="en-US"/>
              </w:rPr>
              <w:t>)</w:t>
            </w:r>
          </w:p>
        </w:tc>
      </w:tr>
      <w:tr w:rsidR="0088047D" w:rsidRPr="00C224CD" w14:paraId="42D1D4F9" w14:textId="77777777" w:rsidTr="001550EB">
        <w:trPr>
          <w:trHeight w:hRule="exact" w:val="284"/>
        </w:trPr>
        <w:tc>
          <w:tcPr>
            <w:tcW w:w="5000" w:type="pct"/>
            <w:gridSpan w:val="3"/>
            <w:tcBorders>
              <w:top w:val="single" w:sz="4" w:space="0" w:color="auto"/>
              <w:left w:val="nil"/>
              <w:bottom w:val="nil"/>
              <w:right w:val="nil"/>
            </w:tcBorders>
            <w:shd w:val="clear" w:color="auto" w:fill="auto"/>
          </w:tcPr>
          <w:p w14:paraId="26F291D8" w14:textId="77777777" w:rsidR="0088047D" w:rsidRPr="00C72D13" w:rsidRDefault="0088047D" w:rsidP="0088047D">
            <w:pPr>
              <w:spacing w:before="60" w:after="60" w:line="240" w:lineRule="auto"/>
              <w:jc w:val="left"/>
              <w:rPr>
                <w:rFonts w:ascii="Arial" w:hAnsi="Arial" w:cs="Arial"/>
                <w:b/>
                <w:sz w:val="20"/>
                <w:szCs w:val="20"/>
              </w:rPr>
            </w:pPr>
            <w:r w:rsidRPr="00C72D13">
              <w:rPr>
                <w:rFonts w:ascii="Arial" w:eastAsia="MS Mincho" w:hAnsi="Arial" w:cs="Arial"/>
                <w:b/>
                <w:sz w:val="20"/>
                <w:szCs w:val="20"/>
                <w:lang w:val="en-US"/>
              </w:rPr>
              <w:t xml:space="preserve">Progression-free survival </w:t>
            </w:r>
          </w:p>
        </w:tc>
      </w:tr>
      <w:tr w:rsidR="0088047D" w:rsidRPr="00C224CD" w14:paraId="355BE6E7" w14:textId="77777777" w:rsidTr="001550EB">
        <w:trPr>
          <w:trHeight w:hRule="exact" w:val="284"/>
        </w:trPr>
        <w:tc>
          <w:tcPr>
            <w:tcW w:w="1977" w:type="pct"/>
            <w:tcBorders>
              <w:top w:val="nil"/>
              <w:left w:val="nil"/>
              <w:bottom w:val="nil"/>
              <w:right w:val="nil"/>
            </w:tcBorders>
            <w:shd w:val="clear" w:color="auto" w:fill="auto"/>
          </w:tcPr>
          <w:p w14:paraId="06E43591" w14:textId="77777777" w:rsidR="0088047D" w:rsidRPr="008F5921" w:rsidRDefault="0088047D" w:rsidP="0088047D">
            <w:pPr>
              <w:spacing w:before="60" w:after="60" w:line="240" w:lineRule="auto"/>
              <w:jc w:val="right"/>
              <w:rPr>
                <w:rFonts w:ascii="Arial" w:eastAsia="MS Mincho" w:hAnsi="Arial" w:cs="Arial"/>
                <w:sz w:val="20"/>
                <w:szCs w:val="20"/>
                <w:lang w:val="en-US"/>
              </w:rPr>
            </w:pPr>
            <w:r w:rsidRPr="008F5921">
              <w:rPr>
                <w:rFonts w:ascii="Arial" w:eastAsia="MS Mincho" w:hAnsi="Arial" w:cs="Arial"/>
                <w:sz w:val="20"/>
                <w:szCs w:val="20"/>
                <w:lang w:val="en-US"/>
              </w:rPr>
              <w:t xml:space="preserve">Median, months </w:t>
            </w:r>
            <w:r w:rsidRPr="008F5921">
              <w:rPr>
                <w:rFonts w:ascii="Arial" w:hAnsi="Arial" w:cs="Arial"/>
                <w:sz w:val="20"/>
                <w:szCs w:val="20"/>
              </w:rPr>
              <w:t>(95</w:t>
            </w:r>
            <w:r>
              <w:rPr>
                <w:rFonts w:ascii="Arial" w:hAnsi="Arial" w:cs="Arial"/>
                <w:sz w:val="20"/>
                <w:szCs w:val="20"/>
              </w:rPr>
              <w:t xml:space="preserve"> </w:t>
            </w:r>
            <w:r w:rsidRPr="008F5921">
              <w:rPr>
                <w:rFonts w:ascii="Arial" w:hAnsi="Arial" w:cs="Arial"/>
                <w:sz w:val="20"/>
                <w:szCs w:val="20"/>
              </w:rPr>
              <w:t>% CI)</w:t>
            </w:r>
          </w:p>
        </w:tc>
        <w:tc>
          <w:tcPr>
            <w:tcW w:w="1509" w:type="pct"/>
            <w:tcBorders>
              <w:top w:val="nil"/>
              <w:left w:val="nil"/>
              <w:bottom w:val="nil"/>
              <w:right w:val="nil"/>
            </w:tcBorders>
            <w:shd w:val="clear" w:color="auto" w:fill="auto"/>
          </w:tcPr>
          <w:p w14:paraId="7BE7BEBC" w14:textId="77777777" w:rsidR="0088047D" w:rsidRPr="008F5921" w:rsidRDefault="0088047D" w:rsidP="0088047D">
            <w:pPr>
              <w:spacing w:before="60" w:after="60" w:line="240" w:lineRule="auto"/>
              <w:jc w:val="center"/>
              <w:rPr>
                <w:rFonts w:ascii="Arial" w:hAnsi="Arial" w:cs="Arial"/>
                <w:sz w:val="20"/>
                <w:szCs w:val="20"/>
              </w:rPr>
            </w:pPr>
            <w:r w:rsidRPr="008F5921">
              <w:rPr>
                <w:rFonts w:ascii="Arial" w:hAnsi="Arial" w:cs="Arial"/>
                <w:sz w:val="20"/>
                <w:szCs w:val="20"/>
              </w:rPr>
              <w:t>6.9 (5.2, 9.0)</w:t>
            </w:r>
          </w:p>
        </w:tc>
        <w:tc>
          <w:tcPr>
            <w:tcW w:w="1514" w:type="pct"/>
            <w:tcBorders>
              <w:top w:val="nil"/>
              <w:left w:val="nil"/>
              <w:bottom w:val="nil"/>
              <w:right w:val="nil"/>
            </w:tcBorders>
            <w:shd w:val="clear" w:color="auto" w:fill="auto"/>
          </w:tcPr>
          <w:p w14:paraId="048D21F2" w14:textId="77777777" w:rsidR="0088047D" w:rsidRPr="008F5921" w:rsidRDefault="0088047D" w:rsidP="0088047D">
            <w:pPr>
              <w:spacing w:before="60" w:after="60" w:line="240" w:lineRule="auto"/>
              <w:jc w:val="center"/>
              <w:rPr>
                <w:rFonts w:ascii="Arial" w:hAnsi="Arial" w:cs="Arial"/>
                <w:sz w:val="20"/>
                <w:szCs w:val="20"/>
              </w:rPr>
            </w:pPr>
            <w:r w:rsidRPr="008F5921">
              <w:rPr>
                <w:rFonts w:ascii="Arial" w:hAnsi="Arial" w:cs="Arial"/>
                <w:sz w:val="20"/>
                <w:szCs w:val="20"/>
              </w:rPr>
              <w:t>2.7 (1.5, 3.2)</w:t>
            </w:r>
          </w:p>
        </w:tc>
      </w:tr>
      <w:tr w:rsidR="0088047D" w:rsidRPr="00C224CD" w14:paraId="2523A1EC" w14:textId="77777777" w:rsidTr="001550EB">
        <w:trPr>
          <w:trHeight w:hRule="exact" w:val="284"/>
        </w:trPr>
        <w:tc>
          <w:tcPr>
            <w:tcW w:w="1977" w:type="pct"/>
            <w:tcBorders>
              <w:top w:val="nil"/>
              <w:left w:val="nil"/>
              <w:bottom w:val="single" w:sz="4" w:space="0" w:color="auto"/>
              <w:right w:val="nil"/>
            </w:tcBorders>
            <w:shd w:val="clear" w:color="auto" w:fill="auto"/>
          </w:tcPr>
          <w:p w14:paraId="21B60948" w14:textId="77777777" w:rsidR="0088047D" w:rsidRPr="008F5921" w:rsidRDefault="0088047D" w:rsidP="0088047D">
            <w:pPr>
              <w:spacing w:before="60" w:after="60" w:line="240" w:lineRule="auto"/>
              <w:jc w:val="right"/>
              <w:rPr>
                <w:rFonts w:ascii="Arial" w:eastAsia="MS Mincho" w:hAnsi="Arial" w:cs="Arial"/>
                <w:sz w:val="20"/>
                <w:szCs w:val="20"/>
                <w:lang w:val="en-US"/>
              </w:rPr>
            </w:pPr>
            <w:r w:rsidRPr="008F5921">
              <w:rPr>
                <w:rFonts w:ascii="Arial" w:eastAsia="MS Mincho" w:hAnsi="Arial" w:cs="Arial"/>
                <w:sz w:val="20"/>
                <w:szCs w:val="20"/>
                <w:lang w:val="en-US"/>
              </w:rPr>
              <w:t>HR (95</w:t>
            </w:r>
            <w:r>
              <w:rPr>
                <w:rFonts w:ascii="Arial" w:eastAsia="MS Mincho" w:hAnsi="Arial" w:cs="Arial"/>
                <w:sz w:val="20"/>
                <w:szCs w:val="20"/>
                <w:lang w:val="en-US"/>
              </w:rPr>
              <w:t xml:space="preserve"> </w:t>
            </w:r>
            <w:r w:rsidRPr="008F5921">
              <w:rPr>
                <w:rFonts w:ascii="Arial" w:eastAsia="MS Mincho" w:hAnsi="Arial" w:cs="Arial"/>
                <w:sz w:val="20"/>
                <w:szCs w:val="20"/>
                <w:lang w:val="en-US"/>
              </w:rPr>
              <w:t>% CI)</w:t>
            </w:r>
          </w:p>
        </w:tc>
        <w:tc>
          <w:tcPr>
            <w:tcW w:w="3023" w:type="pct"/>
            <w:gridSpan w:val="2"/>
            <w:tcBorders>
              <w:top w:val="nil"/>
              <w:left w:val="nil"/>
              <w:bottom w:val="single" w:sz="4" w:space="0" w:color="auto"/>
              <w:right w:val="nil"/>
            </w:tcBorders>
            <w:shd w:val="clear" w:color="auto" w:fill="auto"/>
          </w:tcPr>
          <w:p w14:paraId="5F8ECF12" w14:textId="77777777" w:rsidR="0088047D" w:rsidRPr="008F5921" w:rsidRDefault="0088047D" w:rsidP="0088047D">
            <w:pPr>
              <w:spacing w:before="60" w:after="60" w:line="240" w:lineRule="auto"/>
              <w:jc w:val="center"/>
              <w:rPr>
                <w:rFonts w:ascii="Arial" w:eastAsia="MS Mincho" w:hAnsi="Arial" w:cs="Arial"/>
                <w:sz w:val="20"/>
                <w:szCs w:val="20"/>
                <w:lang w:val="en-US"/>
              </w:rPr>
            </w:pPr>
            <w:r w:rsidRPr="008F5921">
              <w:rPr>
                <w:rFonts w:ascii="Arial" w:eastAsia="MS Mincho" w:hAnsi="Arial" w:cs="Arial"/>
                <w:sz w:val="20"/>
                <w:szCs w:val="20"/>
                <w:lang w:val="en-US"/>
              </w:rPr>
              <w:t>0.37 (0.24, 0.58)</w:t>
            </w:r>
          </w:p>
          <w:p w14:paraId="04AABD0F" w14:textId="77777777" w:rsidR="0088047D" w:rsidRPr="0060731B" w:rsidRDefault="0088047D" w:rsidP="0088047D">
            <w:pPr>
              <w:spacing w:before="60" w:after="60" w:line="240" w:lineRule="auto"/>
              <w:jc w:val="center"/>
              <w:rPr>
                <w:rFonts w:ascii="Arial" w:hAnsi="Arial"/>
                <w:sz w:val="20"/>
                <w:lang w:val="en-US"/>
              </w:rPr>
            </w:pPr>
            <w:r>
              <w:rPr>
                <w:rFonts w:ascii="Arial" w:eastAsia="MS Mincho" w:hAnsi="Arial" w:cs="Arial"/>
                <w:sz w:val="20"/>
                <w:szCs w:val="20"/>
                <w:lang w:val="en-US"/>
              </w:rPr>
              <w:t xml:space="preserve">p </w:t>
            </w:r>
            <w:r w:rsidRPr="008F5921">
              <w:rPr>
                <w:rFonts w:ascii="Arial" w:eastAsia="MS Mincho" w:hAnsi="Arial" w:cs="Arial"/>
                <w:sz w:val="20"/>
                <w:szCs w:val="20"/>
                <w:lang w:val="en-US"/>
              </w:rPr>
              <w:t>&lt;</w:t>
            </w:r>
            <w:r>
              <w:rPr>
                <w:rFonts w:ascii="Arial" w:eastAsia="MS Mincho" w:hAnsi="Arial" w:cs="Arial"/>
                <w:sz w:val="20"/>
                <w:szCs w:val="20"/>
                <w:lang w:val="en-US"/>
              </w:rPr>
              <w:t xml:space="preserve"> </w:t>
            </w:r>
            <w:r w:rsidRPr="008F5921">
              <w:rPr>
                <w:rFonts w:ascii="Arial" w:eastAsia="MS Mincho" w:hAnsi="Arial" w:cs="Arial"/>
                <w:sz w:val="20"/>
                <w:szCs w:val="20"/>
                <w:lang w:val="en-US"/>
              </w:rPr>
              <w:t>0.0001</w:t>
            </w:r>
          </w:p>
        </w:tc>
      </w:tr>
      <w:tr w:rsidR="0088047D" w:rsidRPr="00C224CD" w14:paraId="35BC0A36" w14:textId="77777777" w:rsidTr="001550EB">
        <w:trPr>
          <w:trHeight w:hRule="exact" w:val="284"/>
        </w:trPr>
        <w:tc>
          <w:tcPr>
            <w:tcW w:w="5000" w:type="pct"/>
            <w:gridSpan w:val="3"/>
            <w:tcBorders>
              <w:top w:val="single" w:sz="4" w:space="0" w:color="auto"/>
              <w:left w:val="nil"/>
              <w:bottom w:val="nil"/>
              <w:right w:val="nil"/>
            </w:tcBorders>
            <w:shd w:val="clear" w:color="auto" w:fill="auto"/>
          </w:tcPr>
          <w:p w14:paraId="63079A6C" w14:textId="77777777" w:rsidR="0088047D" w:rsidRPr="00C72D13" w:rsidRDefault="0088047D" w:rsidP="0088047D">
            <w:pPr>
              <w:spacing w:before="60" w:after="60" w:line="240" w:lineRule="auto"/>
              <w:jc w:val="left"/>
              <w:rPr>
                <w:rFonts w:ascii="Arial" w:hAnsi="Arial" w:cs="Arial"/>
                <w:b/>
                <w:sz w:val="20"/>
                <w:szCs w:val="20"/>
                <w:lang w:val="en-US"/>
              </w:rPr>
            </w:pPr>
            <w:r w:rsidRPr="0060731B">
              <w:rPr>
                <w:rFonts w:ascii="Arial" w:hAnsi="Arial"/>
                <w:b/>
                <w:sz w:val="20"/>
                <w:lang w:val="en-US"/>
              </w:rPr>
              <w:t xml:space="preserve">Overall </w:t>
            </w:r>
            <w:proofErr w:type="spellStart"/>
            <w:r w:rsidRPr="0060731B">
              <w:rPr>
                <w:rFonts w:ascii="Arial" w:hAnsi="Arial"/>
                <w:b/>
                <w:sz w:val="20"/>
                <w:lang w:val="en-US"/>
              </w:rPr>
              <w:t>response</w:t>
            </w:r>
            <w:r w:rsidRPr="0060731B">
              <w:rPr>
                <w:rFonts w:ascii="Arial" w:hAnsi="Arial"/>
                <w:b/>
                <w:sz w:val="20"/>
                <w:vertAlign w:val="superscript"/>
                <w:lang w:val="en-US"/>
              </w:rPr>
              <w:t>a</w:t>
            </w:r>
            <w:proofErr w:type="spellEnd"/>
            <w:r w:rsidRPr="00C72D13">
              <w:rPr>
                <w:rFonts w:ascii="Arial" w:hAnsi="Arial" w:cs="Arial"/>
                <w:b/>
                <w:sz w:val="20"/>
                <w:szCs w:val="20"/>
              </w:rPr>
              <w:t xml:space="preserve"> </w:t>
            </w:r>
          </w:p>
        </w:tc>
      </w:tr>
      <w:tr w:rsidR="0088047D" w:rsidRPr="00C224CD" w14:paraId="0F9ADEC0" w14:textId="77777777" w:rsidTr="001550EB">
        <w:trPr>
          <w:trHeight w:hRule="exact" w:val="284"/>
        </w:trPr>
        <w:tc>
          <w:tcPr>
            <w:tcW w:w="1977" w:type="pct"/>
            <w:tcBorders>
              <w:top w:val="nil"/>
              <w:left w:val="nil"/>
              <w:bottom w:val="nil"/>
              <w:right w:val="nil"/>
            </w:tcBorders>
            <w:shd w:val="clear" w:color="auto" w:fill="auto"/>
          </w:tcPr>
          <w:p w14:paraId="09E07F74" w14:textId="77777777" w:rsidR="0088047D" w:rsidRPr="008F5921" w:rsidRDefault="0088047D" w:rsidP="0088047D">
            <w:pPr>
              <w:spacing w:before="60" w:after="60" w:line="240" w:lineRule="auto"/>
              <w:jc w:val="right"/>
              <w:rPr>
                <w:rFonts w:ascii="Arial" w:eastAsia="MS Mincho" w:hAnsi="Arial" w:cs="Arial"/>
                <w:sz w:val="20"/>
                <w:szCs w:val="20"/>
                <w:lang w:val="en-US"/>
              </w:rPr>
            </w:pPr>
            <w:r w:rsidRPr="0060731B">
              <w:rPr>
                <w:rFonts w:ascii="Arial" w:hAnsi="Arial"/>
                <w:sz w:val="20"/>
                <w:lang w:val="en-US"/>
              </w:rPr>
              <w:t>% (95</w:t>
            </w:r>
            <w:r>
              <w:rPr>
                <w:rFonts w:ascii="Arial" w:eastAsia="MS Mincho" w:hAnsi="Arial" w:cs="Arial"/>
                <w:sz w:val="20"/>
                <w:szCs w:val="20"/>
                <w:lang w:val="en-US"/>
              </w:rPr>
              <w:t xml:space="preserve"> </w:t>
            </w:r>
            <w:r w:rsidRPr="0060731B">
              <w:rPr>
                <w:rFonts w:ascii="Arial" w:hAnsi="Arial"/>
                <w:sz w:val="20"/>
                <w:lang w:val="en-US"/>
              </w:rPr>
              <w:t>% CI)</w:t>
            </w:r>
            <w:r w:rsidRPr="0060731B">
              <w:rPr>
                <w:rFonts w:ascii="Arial" w:hAnsi="Arial"/>
                <w:sz w:val="20"/>
                <w:vertAlign w:val="superscript"/>
                <w:lang w:val="en-US"/>
              </w:rPr>
              <w:t>b</w:t>
            </w:r>
          </w:p>
        </w:tc>
        <w:tc>
          <w:tcPr>
            <w:tcW w:w="1509" w:type="pct"/>
            <w:tcBorders>
              <w:top w:val="nil"/>
              <w:left w:val="nil"/>
              <w:bottom w:val="nil"/>
              <w:right w:val="nil"/>
            </w:tcBorders>
            <w:shd w:val="clear" w:color="auto" w:fill="auto"/>
          </w:tcPr>
          <w:p w14:paraId="048643B6" w14:textId="77777777" w:rsidR="0088047D" w:rsidRPr="0060731B" w:rsidRDefault="0088047D" w:rsidP="0088047D">
            <w:pPr>
              <w:spacing w:before="60" w:after="60" w:line="240" w:lineRule="auto"/>
              <w:jc w:val="center"/>
              <w:rPr>
                <w:rFonts w:ascii="Arial" w:hAnsi="Arial"/>
                <w:sz w:val="20"/>
                <w:lang w:val="en-US"/>
              </w:rPr>
            </w:pPr>
            <w:r w:rsidRPr="0060731B">
              <w:rPr>
                <w:rFonts w:ascii="Arial" w:hAnsi="Arial"/>
                <w:sz w:val="20"/>
                <w:lang w:val="en-US"/>
              </w:rPr>
              <w:t>59 (51.4, 66.0)</w:t>
            </w:r>
          </w:p>
        </w:tc>
        <w:tc>
          <w:tcPr>
            <w:tcW w:w="1514" w:type="pct"/>
            <w:tcBorders>
              <w:top w:val="nil"/>
              <w:left w:val="nil"/>
              <w:bottom w:val="nil"/>
              <w:right w:val="nil"/>
            </w:tcBorders>
            <w:shd w:val="clear" w:color="auto" w:fill="auto"/>
          </w:tcPr>
          <w:p w14:paraId="2DE043EE" w14:textId="77777777" w:rsidR="0088047D" w:rsidRPr="0060731B" w:rsidRDefault="0088047D" w:rsidP="0088047D">
            <w:pPr>
              <w:spacing w:before="60" w:after="60" w:line="240" w:lineRule="auto"/>
              <w:jc w:val="center"/>
              <w:rPr>
                <w:rFonts w:ascii="Arial" w:hAnsi="Arial"/>
                <w:sz w:val="20"/>
                <w:lang w:val="en-US"/>
              </w:rPr>
            </w:pPr>
            <w:r w:rsidRPr="0060731B">
              <w:rPr>
                <w:rFonts w:ascii="Arial" w:hAnsi="Arial"/>
                <w:sz w:val="20"/>
                <w:lang w:val="en-US"/>
              </w:rPr>
              <w:t>24 (21.4, 36.2)</w:t>
            </w:r>
          </w:p>
        </w:tc>
      </w:tr>
      <w:tr w:rsidR="0088047D" w:rsidRPr="00C224CD" w14:paraId="13B5156F" w14:textId="77777777" w:rsidTr="001550EB">
        <w:trPr>
          <w:trHeight w:hRule="exact" w:val="284"/>
        </w:trPr>
        <w:tc>
          <w:tcPr>
            <w:tcW w:w="1977" w:type="pct"/>
            <w:tcBorders>
              <w:top w:val="nil"/>
              <w:left w:val="nil"/>
              <w:bottom w:val="single" w:sz="4" w:space="0" w:color="auto"/>
              <w:right w:val="nil"/>
            </w:tcBorders>
            <w:shd w:val="clear" w:color="auto" w:fill="auto"/>
          </w:tcPr>
          <w:p w14:paraId="436024B2" w14:textId="77777777" w:rsidR="0088047D" w:rsidRPr="0060731B" w:rsidRDefault="0088047D" w:rsidP="0088047D">
            <w:pPr>
              <w:spacing w:before="60" w:after="60" w:line="240" w:lineRule="auto"/>
              <w:jc w:val="right"/>
              <w:rPr>
                <w:rFonts w:ascii="Arial" w:hAnsi="Arial"/>
                <w:sz w:val="20"/>
                <w:lang w:val="en-US"/>
              </w:rPr>
            </w:pPr>
          </w:p>
        </w:tc>
        <w:tc>
          <w:tcPr>
            <w:tcW w:w="3023" w:type="pct"/>
            <w:gridSpan w:val="2"/>
            <w:tcBorders>
              <w:top w:val="nil"/>
              <w:left w:val="nil"/>
              <w:bottom w:val="single" w:sz="4" w:space="0" w:color="auto"/>
              <w:right w:val="nil"/>
            </w:tcBorders>
            <w:shd w:val="clear" w:color="auto" w:fill="auto"/>
          </w:tcPr>
          <w:p w14:paraId="5A6C9C4D" w14:textId="77777777" w:rsidR="0088047D" w:rsidRPr="0060731B" w:rsidRDefault="0088047D" w:rsidP="0088047D">
            <w:pPr>
              <w:spacing w:before="60" w:after="60" w:line="240" w:lineRule="auto"/>
              <w:jc w:val="center"/>
              <w:rPr>
                <w:rFonts w:ascii="Arial" w:hAnsi="Arial"/>
                <w:sz w:val="20"/>
                <w:lang w:val="en-US"/>
              </w:rPr>
            </w:pPr>
            <w:r w:rsidRPr="0060731B">
              <w:rPr>
                <w:rFonts w:ascii="Arial" w:hAnsi="Arial"/>
                <w:sz w:val="20"/>
                <w:lang w:val="en-US"/>
              </w:rPr>
              <w:t>p &lt; 0.0001</w:t>
            </w:r>
          </w:p>
        </w:tc>
      </w:tr>
      <w:tr w:rsidR="0088047D" w:rsidRPr="00C224CD" w14:paraId="63A2002F" w14:textId="77777777" w:rsidTr="001550EB">
        <w:trPr>
          <w:trHeight w:hRule="exact" w:val="284"/>
        </w:trPr>
        <w:tc>
          <w:tcPr>
            <w:tcW w:w="1977" w:type="pct"/>
            <w:tcBorders>
              <w:top w:val="single" w:sz="4" w:space="0" w:color="auto"/>
              <w:left w:val="nil"/>
              <w:bottom w:val="nil"/>
              <w:right w:val="nil"/>
            </w:tcBorders>
            <w:shd w:val="clear" w:color="auto" w:fill="auto"/>
          </w:tcPr>
          <w:p w14:paraId="25040689" w14:textId="77777777" w:rsidR="0088047D" w:rsidRPr="0060731B" w:rsidRDefault="0088047D" w:rsidP="0088047D">
            <w:pPr>
              <w:spacing w:before="60" w:after="60" w:line="240" w:lineRule="auto"/>
              <w:rPr>
                <w:rFonts w:ascii="Arial" w:hAnsi="Arial"/>
                <w:sz w:val="20"/>
                <w:lang w:val="en-US"/>
              </w:rPr>
            </w:pPr>
            <w:r w:rsidRPr="00C72D13">
              <w:rPr>
                <w:rFonts w:ascii="Arial" w:hAnsi="Arial" w:cs="Arial"/>
                <w:b/>
                <w:sz w:val="20"/>
                <w:szCs w:val="20"/>
              </w:rPr>
              <w:t>Duration of response</w:t>
            </w:r>
          </w:p>
        </w:tc>
        <w:tc>
          <w:tcPr>
            <w:tcW w:w="1509" w:type="pct"/>
            <w:tcBorders>
              <w:top w:val="single" w:sz="4" w:space="0" w:color="auto"/>
              <w:left w:val="nil"/>
              <w:bottom w:val="nil"/>
              <w:right w:val="nil"/>
            </w:tcBorders>
            <w:shd w:val="clear" w:color="auto" w:fill="auto"/>
          </w:tcPr>
          <w:p w14:paraId="267B8CFD" w14:textId="77777777" w:rsidR="0088047D" w:rsidRPr="008F5921" w:rsidRDefault="0088047D" w:rsidP="0088047D">
            <w:pPr>
              <w:spacing w:before="60" w:after="60" w:line="240" w:lineRule="auto"/>
              <w:jc w:val="center"/>
              <w:rPr>
                <w:rFonts w:ascii="Arial" w:hAnsi="Arial" w:cs="Arial"/>
                <w:sz w:val="20"/>
                <w:szCs w:val="20"/>
                <w:lang w:val="en-US"/>
              </w:rPr>
            </w:pPr>
          </w:p>
        </w:tc>
        <w:tc>
          <w:tcPr>
            <w:tcW w:w="1514" w:type="pct"/>
            <w:tcBorders>
              <w:top w:val="single" w:sz="4" w:space="0" w:color="auto"/>
              <w:left w:val="nil"/>
              <w:bottom w:val="nil"/>
              <w:right w:val="nil"/>
            </w:tcBorders>
            <w:shd w:val="clear" w:color="auto" w:fill="auto"/>
          </w:tcPr>
          <w:p w14:paraId="6CDC89DE" w14:textId="77777777" w:rsidR="0088047D" w:rsidRPr="008F5921" w:rsidRDefault="0088047D" w:rsidP="0088047D">
            <w:pPr>
              <w:spacing w:before="60" w:after="60" w:line="240" w:lineRule="auto"/>
              <w:jc w:val="center"/>
              <w:rPr>
                <w:rFonts w:ascii="Arial" w:hAnsi="Arial" w:cs="Arial"/>
                <w:sz w:val="20"/>
                <w:szCs w:val="20"/>
              </w:rPr>
            </w:pPr>
          </w:p>
        </w:tc>
      </w:tr>
      <w:tr w:rsidR="0088047D" w:rsidRPr="00C224CD" w14:paraId="7161297A" w14:textId="77777777" w:rsidTr="001550EB">
        <w:trPr>
          <w:trHeight w:hRule="exact" w:val="284"/>
        </w:trPr>
        <w:tc>
          <w:tcPr>
            <w:tcW w:w="1977" w:type="pct"/>
            <w:tcBorders>
              <w:top w:val="nil"/>
              <w:left w:val="nil"/>
              <w:bottom w:val="single" w:sz="4" w:space="0" w:color="auto"/>
              <w:right w:val="nil"/>
            </w:tcBorders>
            <w:shd w:val="clear" w:color="auto" w:fill="auto"/>
          </w:tcPr>
          <w:p w14:paraId="58EDF2B3" w14:textId="77777777" w:rsidR="0088047D" w:rsidRPr="008F5921" w:rsidRDefault="0088047D" w:rsidP="0088047D">
            <w:pPr>
              <w:spacing w:before="60" w:after="60" w:line="240" w:lineRule="auto"/>
              <w:jc w:val="right"/>
              <w:rPr>
                <w:rFonts w:ascii="Arial" w:eastAsia="MS Mincho" w:hAnsi="Arial" w:cs="Arial"/>
                <w:sz w:val="20"/>
                <w:szCs w:val="20"/>
                <w:lang w:val="en-US"/>
              </w:rPr>
            </w:pPr>
            <w:r w:rsidRPr="008F5921">
              <w:rPr>
                <w:rFonts w:ascii="Arial" w:hAnsi="Arial" w:cs="Arial"/>
                <w:sz w:val="20"/>
                <w:szCs w:val="20"/>
              </w:rPr>
              <w:t>Median, months (95</w:t>
            </w:r>
            <w:r>
              <w:rPr>
                <w:rFonts w:ascii="Arial" w:hAnsi="Arial" w:cs="Arial"/>
                <w:sz w:val="20"/>
                <w:szCs w:val="20"/>
              </w:rPr>
              <w:t xml:space="preserve"> </w:t>
            </w:r>
            <w:r w:rsidRPr="008F5921">
              <w:rPr>
                <w:rFonts w:ascii="Arial" w:hAnsi="Arial" w:cs="Arial"/>
                <w:sz w:val="20"/>
                <w:szCs w:val="20"/>
              </w:rPr>
              <w:t>% CI)</w:t>
            </w:r>
          </w:p>
        </w:tc>
        <w:tc>
          <w:tcPr>
            <w:tcW w:w="1509" w:type="pct"/>
            <w:tcBorders>
              <w:top w:val="nil"/>
              <w:left w:val="nil"/>
              <w:bottom w:val="single" w:sz="4" w:space="0" w:color="auto"/>
              <w:right w:val="nil"/>
            </w:tcBorders>
            <w:shd w:val="clear" w:color="auto" w:fill="auto"/>
          </w:tcPr>
          <w:p w14:paraId="3B849EE2" w14:textId="77777777" w:rsidR="0088047D" w:rsidRPr="008F5921" w:rsidRDefault="0088047D" w:rsidP="0088047D">
            <w:pPr>
              <w:spacing w:before="60" w:after="60" w:line="240" w:lineRule="auto"/>
              <w:jc w:val="center"/>
              <w:rPr>
                <w:rFonts w:ascii="Arial" w:hAnsi="Arial" w:cs="Arial"/>
                <w:sz w:val="20"/>
                <w:szCs w:val="20"/>
              </w:rPr>
            </w:pPr>
            <w:r w:rsidRPr="008F5921">
              <w:rPr>
                <w:rFonts w:ascii="Arial" w:hAnsi="Arial" w:cs="Arial"/>
                <w:sz w:val="20"/>
                <w:szCs w:val="20"/>
                <w:lang w:val="en-US"/>
              </w:rPr>
              <w:t>8.0 (6.6, 11.5)</w:t>
            </w:r>
          </w:p>
        </w:tc>
        <w:tc>
          <w:tcPr>
            <w:tcW w:w="1514" w:type="pct"/>
            <w:tcBorders>
              <w:top w:val="nil"/>
              <w:left w:val="nil"/>
              <w:bottom w:val="single" w:sz="4" w:space="0" w:color="auto"/>
              <w:right w:val="nil"/>
            </w:tcBorders>
            <w:shd w:val="clear" w:color="auto" w:fill="auto"/>
          </w:tcPr>
          <w:p w14:paraId="69D0267B" w14:textId="77777777" w:rsidR="0088047D" w:rsidRPr="008F5921" w:rsidRDefault="0088047D" w:rsidP="0088047D">
            <w:pPr>
              <w:spacing w:before="60" w:after="60" w:line="240" w:lineRule="auto"/>
              <w:jc w:val="center"/>
              <w:rPr>
                <w:rFonts w:ascii="Arial" w:hAnsi="Arial" w:cs="Arial"/>
                <w:sz w:val="20"/>
                <w:szCs w:val="20"/>
              </w:rPr>
            </w:pPr>
            <w:r w:rsidRPr="008F5921">
              <w:rPr>
                <w:rFonts w:ascii="Arial" w:hAnsi="Arial" w:cs="Arial"/>
                <w:sz w:val="20"/>
                <w:szCs w:val="20"/>
              </w:rPr>
              <w:t>7.6 (5.0, 9.7)</w:t>
            </w:r>
          </w:p>
        </w:tc>
      </w:tr>
      <w:tr w:rsidR="0088047D" w:rsidRPr="00C72D13" w14:paraId="7040D07F" w14:textId="77777777" w:rsidTr="0088047D">
        <w:tc>
          <w:tcPr>
            <w:tcW w:w="5000" w:type="pct"/>
            <w:gridSpan w:val="3"/>
            <w:tcBorders>
              <w:top w:val="single" w:sz="4" w:space="0" w:color="auto"/>
              <w:left w:val="nil"/>
              <w:bottom w:val="nil"/>
              <w:right w:val="nil"/>
            </w:tcBorders>
            <w:shd w:val="clear" w:color="auto" w:fill="auto"/>
          </w:tcPr>
          <w:p w14:paraId="378123A2" w14:textId="77777777" w:rsidR="0088047D" w:rsidRPr="008F5921" w:rsidRDefault="0088047D" w:rsidP="0088047D">
            <w:pPr>
              <w:rPr>
                <w:rFonts w:ascii="Arial" w:hAnsi="Arial" w:cs="Arial"/>
                <w:sz w:val="16"/>
                <w:szCs w:val="16"/>
              </w:rPr>
            </w:pPr>
            <w:r w:rsidRPr="008F5921">
              <w:rPr>
                <w:rFonts w:ascii="Arial" w:eastAsia="MS Mincho" w:hAnsi="Arial" w:cs="Arial"/>
                <w:sz w:val="16"/>
                <w:szCs w:val="16"/>
                <w:lang w:val="en-US"/>
              </w:rPr>
              <w:t>Abbreviations:  CI: confidence interval; HR: hazard ratio; NR-not reached</w:t>
            </w:r>
            <w:r>
              <w:rPr>
                <w:rFonts w:ascii="Arial" w:eastAsia="MS Mincho" w:hAnsi="Arial" w:cs="Arial"/>
                <w:sz w:val="16"/>
                <w:szCs w:val="16"/>
                <w:lang w:val="en-US"/>
              </w:rPr>
              <w:t xml:space="preserve">; </w:t>
            </w:r>
            <w:r w:rsidRPr="00C72D13">
              <w:rPr>
                <w:rFonts w:ascii="Arial" w:hAnsi="Arial" w:cs="Arial"/>
                <w:sz w:val="16"/>
                <w:szCs w:val="16"/>
                <w:vertAlign w:val="superscript"/>
              </w:rPr>
              <w:t>a</w:t>
            </w:r>
            <w:r>
              <w:rPr>
                <w:rFonts w:ascii="Arial" w:hAnsi="Arial" w:cs="Arial"/>
                <w:sz w:val="16"/>
                <w:szCs w:val="16"/>
                <w:vertAlign w:val="superscript"/>
              </w:rPr>
              <w:t xml:space="preserve"> </w:t>
            </w:r>
            <w:r w:rsidRPr="008F5921">
              <w:rPr>
                <w:rFonts w:ascii="Arial" w:hAnsi="Arial" w:cs="Arial"/>
                <w:sz w:val="16"/>
                <w:szCs w:val="16"/>
              </w:rPr>
              <w:t>Defined as complete response</w:t>
            </w:r>
            <w:r>
              <w:rPr>
                <w:rFonts w:ascii="Arial" w:hAnsi="Arial" w:cs="Arial"/>
                <w:sz w:val="16"/>
                <w:szCs w:val="16"/>
              </w:rPr>
              <w:t xml:space="preserve"> </w:t>
            </w:r>
            <w:r w:rsidRPr="008F5921">
              <w:rPr>
                <w:rFonts w:ascii="Arial" w:hAnsi="Arial" w:cs="Arial"/>
                <w:sz w:val="16"/>
                <w:szCs w:val="16"/>
              </w:rPr>
              <w:t>+</w:t>
            </w:r>
            <w:r>
              <w:rPr>
                <w:rFonts w:ascii="Arial" w:hAnsi="Arial" w:cs="Arial"/>
                <w:sz w:val="16"/>
                <w:szCs w:val="16"/>
              </w:rPr>
              <w:t xml:space="preserve"> </w:t>
            </w:r>
            <w:r w:rsidRPr="008F5921">
              <w:rPr>
                <w:rFonts w:ascii="Arial" w:hAnsi="Arial" w:cs="Arial"/>
                <w:sz w:val="16"/>
                <w:szCs w:val="16"/>
              </w:rPr>
              <w:t>partial response</w:t>
            </w:r>
            <w:r>
              <w:rPr>
                <w:rFonts w:ascii="Arial" w:hAnsi="Arial" w:cs="Arial"/>
                <w:sz w:val="16"/>
                <w:szCs w:val="16"/>
              </w:rPr>
              <w:t xml:space="preserve">; </w:t>
            </w:r>
            <w:r w:rsidRPr="00C72D13">
              <w:rPr>
                <w:rFonts w:ascii="Arial" w:hAnsi="Arial" w:cs="Arial"/>
                <w:sz w:val="16"/>
                <w:szCs w:val="16"/>
                <w:vertAlign w:val="superscript"/>
              </w:rPr>
              <w:t>b</w:t>
            </w:r>
            <w:r>
              <w:rPr>
                <w:rFonts w:ascii="Arial" w:hAnsi="Arial" w:cs="Arial"/>
                <w:sz w:val="16"/>
                <w:szCs w:val="16"/>
              </w:rPr>
              <w:t xml:space="preserve"> </w:t>
            </w:r>
            <w:r w:rsidRPr="00C72D13">
              <w:rPr>
                <w:rFonts w:ascii="Arial" w:hAnsi="Arial" w:cs="Arial"/>
                <w:sz w:val="16"/>
                <w:szCs w:val="16"/>
              </w:rPr>
              <w:t>Confirmed response.</w:t>
            </w:r>
          </w:p>
        </w:tc>
      </w:tr>
    </w:tbl>
    <w:p w14:paraId="757A19C9" w14:textId="143E9308" w:rsidR="003C15C7" w:rsidRDefault="003C15C7" w:rsidP="001550EB">
      <w:pPr>
        <w:spacing w:after="0" w:line="240" w:lineRule="auto"/>
        <w:ind w:left="357"/>
      </w:pPr>
    </w:p>
    <w:p w14:paraId="5FA2DE7E" w14:textId="3F9B485D" w:rsidR="0088047D" w:rsidRDefault="0088047D" w:rsidP="001550EB">
      <w:pPr>
        <w:pStyle w:val="Title"/>
        <w:keepNext/>
        <w:ind w:left="357"/>
      </w:pPr>
      <w:r w:rsidRPr="00AF3350">
        <w:t xml:space="preserve">Table </w:t>
      </w:r>
      <w:r w:rsidR="00C73E06">
        <w:t>1</w:t>
      </w:r>
      <w:r w:rsidR="00BF5438">
        <w:t>3</w:t>
      </w:r>
      <w:r w:rsidR="00C73E06">
        <w:tab/>
      </w:r>
      <w:r w:rsidRPr="00AF3350">
        <w:t>Survival data from a post-hoc analysis (18 December 2012)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2259"/>
        <w:gridCol w:w="2260"/>
        <w:gridCol w:w="2260"/>
      </w:tblGrid>
      <w:tr w:rsidR="0088047D" w:rsidRPr="005D1137" w14:paraId="71CCCDE9" w14:textId="77777777" w:rsidTr="001550EB">
        <w:trPr>
          <w:trHeight w:hRule="exact" w:val="284"/>
          <w:tblHeader/>
        </w:trPr>
        <w:tc>
          <w:tcPr>
            <w:tcW w:w="2151" w:type="dxa"/>
            <w:shd w:val="clear" w:color="auto" w:fill="auto"/>
          </w:tcPr>
          <w:p w14:paraId="063E6657" w14:textId="77777777" w:rsidR="0088047D" w:rsidRPr="0060731B" w:rsidRDefault="0088047D" w:rsidP="0088047D">
            <w:pPr>
              <w:spacing w:before="60" w:after="60" w:line="240" w:lineRule="auto"/>
              <w:jc w:val="center"/>
              <w:rPr>
                <w:rFonts w:ascii="Arial" w:hAnsi="Arial"/>
                <w:b/>
              </w:rPr>
            </w:pPr>
            <w:r w:rsidRPr="00735A23">
              <w:rPr>
                <w:rFonts w:ascii="Arial" w:hAnsi="Arial" w:cs="Arial"/>
                <w:b/>
                <w:sz w:val="20"/>
                <w:szCs w:val="20"/>
              </w:rPr>
              <w:t>Treatment</w:t>
            </w:r>
          </w:p>
        </w:tc>
        <w:tc>
          <w:tcPr>
            <w:tcW w:w="2259" w:type="dxa"/>
            <w:shd w:val="clear" w:color="auto" w:fill="auto"/>
          </w:tcPr>
          <w:p w14:paraId="22E8B907" w14:textId="77777777" w:rsidR="0088047D" w:rsidRPr="0060731B" w:rsidRDefault="0088047D" w:rsidP="0088047D">
            <w:pPr>
              <w:spacing w:before="60" w:after="60" w:line="240" w:lineRule="auto"/>
              <w:jc w:val="center"/>
              <w:rPr>
                <w:rFonts w:ascii="Arial" w:hAnsi="Arial"/>
                <w:b/>
              </w:rPr>
            </w:pPr>
            <w:r w:rsidRPr="00735A23">
              <w:rPr>
                <w:rFonts w:ascii="Arial" w:hAnsi="Arial" w:cs="Arial"/>
                <w:b/>
                <w:sz w:val="20"/>
                <w:szCs w:val="20"/>
              </w:rPr>
              <w:t>Number of deaths (%)</w:t>
            </w:r>
          </w:p>
        </w:tc>
        <w:tc>
          <w:tcPr>
            <w:tcW w:w="2260" w:type="dxa"/>
            <w:shd w:val="clear" w:color="auto" w:fill="auto"/>
          </w:tcPr>
          <w:p w14:paraId="550EF578" w14:textId="77777777" w:rsidR="0088047D" w:rsidRPr="0060731B" w:rsidRDefault="0088047D" w:rsidP="0088047D">
            <w:pPr>
              <w:spacing w:before="60" w:after="60" w:line="240" w:lineRule="auto"/>
              <w:jc w:val="center"/>
              <w:rPr>
                <w:rFonts w:ascii="Arial" w:hAnsi="Arial"/>
                <w:b/>
              </w:rPr>
            </w:pPr>
            <w:r w:rsidRPr="00735A23">
              <w:rPr>
                <w:rFonts w:ascii="Arial" w:hAnsi="Arial" w:cs="Arial"/>
                <w:b/>
                <w:sz w:val="20"/>
                <w:szCs w:val="20"/>
              </w:rPr>
              <w:t>12-month OS rate</w:t>
            </w:r>
          </w:p>
        </w:tc>
        <w:tc>
          <w:tcPr>
            <w:tcW w:w="2260" w:type="dxa"/>
            <w:shd w:val="clear" w:color="auto" w:fill="auto"/>
          </w:tcPr>
          <w:p w14:paraId="39EBD1B7" w14:textId="77777777" w:rsidR="0088047D" w:rsidRPr="00881391" w:rsidRDefault="0088047D" w:rsidP="0088047D">
            <w:pPr>
              <w:spacing w:before="60" w:after="60" w:line="240" w:lineRule="auto"/>
              <w:jc w:val="center"/>
              <w:rPr>
                <w:rFonts w:ascii="Arial" w:hAnsi="Arial" w:cs="Arial"/>
                <w:b/>
                <w:sz w:val="20"/>
                <w:szCs w:val="20"/>
              </w:rPr>
            </w:pPr>
            <w:r w:rsidRPr="00735A23">
              <w:rPr>
                <w:rFonts w:ascii="Arial" w:hAnsi="Arial" w:cs="Arial"/>
                <w:b/>
                <w:sz w:val="20"/>
                <w:szCs w:val="20"/>
              </w:rPr>
              <w:t xml:space="preserve">Hazard Ratio </w:t>
            </w:r>
          </w:p>
          <w:p w14:paraId="26D91A25" w14:textId="77777777" w:rsidR="0088047D" w:rsidRPr="0060731B" w:rsidRDefault="0088047D" w:rsidP="0088047D">
            <w:pPr>
              <w:spacing w:before="60" w:after="60" w:line="240" w:lineRule="auto"/>
              <w:jc w:val="center"/>
              <w:rPr>
                <w:rFonts w:ascii="Arial" w:hAnsi="Arial"/>
                <w:b/>
              </w:rPr>
            </w:pPr>
            <w:r w:rsidRPr="00735A23">
              <w:rPr>
                <w:rFonts w:ascii="Arial" w:hAnsi="Arial" w:cs="Arial"/>
                <w:b/>
                <w:sz w:val="20"/>
                <w:szCs w:val="20"/>
              </w:rPr>
              <w:t>(95 % CI)</w:t>
            </w:r>
          </w:p>
        </w:tc>
      </w:tr>
      <w:tr w:rsidR="0088047D" w:rsidRPr="005D1137" w14:paraId="6A65C78E" w14:textId="77777777" w:rsidTr="001550EB">
        <w:trPr>
          <w:trHeight w:hRule="exact" w:val="284"/>
        </w:trPr>
        <w:tc>
          <w:tcPr>
            <w:tcW w:w="2151" w:type="dxa"/>
            <w:shd w:val="clear" w:color="auto" w:fill="auto"/>
          </w:tcPr>
          <w:p w14:paraId="590466FE" w14:textId="77777777" w:rsidR="0088047D" w:rsidRPr="0060731B" w:rsidRDefault="0088047D" w:rsidP="0088047D">
            <w:pPr>
              <w:spacing w:before="60" w:after="60" w:line="240" w:lineRule="auto"/>
              <w:rPr>
                <w:rFonts w:ascii="Arial" w:hAnsi="Arial"/>
                <w:b/>
              </w:rPr>
            </w:pPr>
            <w:proofErr w:type="spellStart"/>
            <w:r w:rsidRPr="008942B7">
              <w:rPr>
                <w:rFonts w:ascii="Arial" w:hAnsi="Arial" w:cs="Arial"/>
                <w:sz w:val="20"/>
                <w:szCs w:val="20"/>
              </w:rPr>
              <w:t>dacarbazine</w:t>
            </w:r>
            <w:proofErr w:type="spellEnd"/>
          </w:p>
        </w:tc>
        <w:tc>
          <w:tcPr>
            <w:tcW w:w="2259" w:type="dxa"/>
            <w:shd w:val="clear" w:color="auto" w:fill="auto"/>
          </w:tcPr>
          <w:p w14:paraId="18F00826" w14:textId="77777777" w:rsidR="0088047D" w:rsidRPr="0060731B" w:rsidRDefault="0088047D" w:rsidP="0088047D">
            <w:pPr>
              <w:spacing w:before="60" w:after="60" w:line="240" w:lineRule="auto"/>
              <w:jc w:val="center"/>
              <w:rPr>
                <w:rFonts w:ascii="Arial" w:hAnsi="Arial"/>
                <w:b/>
              </w:rPr>
            </w:pPr>
            <w:r w:rsidRPr="00735A23">
              <w:rPr>
                <w:rFonts w:ascii="Arial" w:hAnsi="Arial" w:cs="Arial"/>
                <w:sz w:val="20"/>
                <w:szCs w:val="20"/>
              </w:rPr>
              <w:t>28 (44</w:t>
            </w:r>
            <w:r>
              <w:rPr>
                <w:rFonts w:ascii="Arial" w:hAnsi="Arial" w:cs="Arial"/>
                <w:sz w:val="20"/>
                <w:szCs w:val="20"/>
              </w:rPr>
              <w:t xml:space="preserve"> </w:t>
            </w:r>
            <w:r w:rsidRPr="00735A23">
              <w:rPr>
                <w:rFonts w:ascii="Arial" w:hAnsi="Arial" w:cs="Arial"/>
                <w:sz w:val="20"/>
                <w:szCs w:val="20"/>
              </w:rPr>
              <w:t>%)</w:t>
            </w:r>
          </w:p>
        </w:tc>
        <w:tc>
          <w:tcPr>
            <w:tcW w:w="2260" w:type="dxa"/>
            <w:shd w:val="clear" w:color="auto" w:fill="auto"/>
          </w:tcPr>
          <w:p w14:paraId="4B756688" w14:textId="77777777" w:rsidR="0088047D" w:rsidRPr="0060731B" w:rsidRDefault="0088047D" w:rsidP="0088047D">
            <w:pPr>
              <w:spacing w:before="60" w:after="60" w:line="240" w:lineRule="auto"/>
              <w:jc w:val="center"/>
              <w:rPr>
                <w:rFonts w:ascii="Arial" w:hAnsi="Arial"/>
                <w:b/>
              </w:rPr>
            </w:pPr>
            <w:r w:rsidRPr="00735A23">
              <w:rPr>
                <w:rFonts w:ascii="Arial" w:hAnsi="Arial" w:cs="Arial"/>
                <w:sz w:val="20"/>
                <w:szCs w:val="20"/>
              </w:rPr>
              <w:t>63</w:t>
            </w:r>
            <w:r>
              <w:rPr>
                <w:rFonts w:ascii="Arial" w:hAnsi="Arial" w:cs="Arial"/>
                <w:sz w:val="20"/>
                <w:szCs w:val="20"/>
              </w:rPr>
              <w:t xml:space="preserve"> </w:t>
            </w:r>
            <w:r w:rsidRPr="00735A23">
              <w:rPr>
                <w:rFonts w:ascii="Arial" w:hAnsi="Arial" w:cs="Arial"/>
                <w:sz w:val="20"/>
                <w:szCs w:val="20"/>
              </w:rPr>
              <w:t>%</w:t>
            </w:r>
          </w:p>
        </w:tc>
        <w:tc>
          <w:tcPr>
            <w:tcW w:w="2260" w:type="dxa"/>
            <w:vMerge w:val="restart"/>
            <w:shd w:val="clear" w:color="auto" w:fill="auto"/>
          </w:tcPr>
          <w:p w14:paraId="71EB493E" w14:textId="77777777" w:rsidR="0088047D" w:rsidRPr="0060731B" w:rsidRDefault="0088047D" w:rsidP="0088047D">
            <w:pPr>
              <w:spacing w:before="60" w:after="60" w:line="240" w:lineRule="auto"/>
              <w:jc w:val="center"/>
              <w:rPr>
                <w:rFonts w:ascii="Arial" w:hAnsi="Arial"/>
                <w:b/>
              </w:rPr>
            </w:pPr>
            <w:r w:rsidRPr="00735A23">
              <w:rPr>
                <w:rFonts w:ascii="Arial" w:hAnsi="Arial" w:cs="Arial"/>
                <w:sz w:val="20"/>
                <w:szCs w:val="20"/>
              </w:rPr>
              <w:t>0.76 (0.48, 1.21) </w:t>
            </w:r>
            <w:r w:rsidRPr="00735A23">
              <w:rPr>
                <w:rFonts w:ascii="Arial" w:hAnsi="Arial" w:cs="Arial"/>
                <w:sz w:val="20"/>
                <w:szCs w:val="20"/>
                <w:vertAlign w:val="superscript"/>
              </w:rPr>
              <w:t>(a)</w:t>
            </w:r>
          </w:p>
        </w:tc>
      </w:tr>
      <w:tr w:rsidR="0088047D" w:rsidRPr="005D1137" w14:paraId="464D0E23" w14:textId="77777777" w:rsidTr="001550EB">
        <w:trPr>
          <w:trHeight w:hRule="exact" w:val="284"/>
        </w:trPr>
        <w:tc>
          <w:tcPr>
            <w:tcW w:w="2151" w:type="dxa"/>
            <w:shd w:val="clear" w:color="auto" w:fill="auto"/>
          </w:tcPr>
          <w:p w14:paraId="5DA5927D" w14:textId="77777777" w:rsidR="0088047D" w:rsidRPr="0060731B" w:rsidRDefault="0088047D" w:rsidP="0088047D">
            <w:pPr>
              <w:spacing w:before="60" w:after="60" w:line="240" w:lineRule="auto"/>
              <w:rPr>
                <w:rFonts w:ascii="Arial" w:hAnsi="Arial"/>
                <w:b/>
              </w:rPr>
            </w:pPr>
            <w:r w:rsidRPr="009F129A">
              <w:rPr>
                <w:rFonts w:ascii="Arial" w:hAnsi="Arial" w:cs="Arial"/>
                <w:sz w:val="20"/>
                <w:szCs w:val="20"/>
              </w:rPr>
              <w:t>TAFINLAR</w:t>
            </w:r>
          </w:p>
        </w:tc>
        <w:tc>
          <w:tcPr>
            <w:tcW w:w="2259" w:type="dxa"/>
            <w:shd w:val="clear" w:color="auto" w:fill="auto"/>
          </w:tcPr>
          <w:p w14:paraId="33F1A193" w14:textId="77777777" w:rsidR="0088047D" w:rsidRPr="0060731B" w:rsidRDefault="0088047D" w:rsidP="0088047D">
            <w:pPr>
              <w:spacing w:before="60" w:after="60" w:line="240" w:lineRule="auto"/>
              <w:jc w:val="center"/>
              <w:rPr>
                <w:rFonts w:ascii="Arial" w:hAnsi="Arial"/>
                <w:b/>
              </w:rPr>
            </w:pPr>
            <w:r w:rsidRPr="00735A23">
              <w:rPr>
                <w:rFonts w:ascii="Arial" w:hAnsi="Arial" w:cs="Arial"/>
                <w:sz w:val="20"/>
                <w:szCs w:val="20"/>
              </w:rPr>
              <w:t>78 (42</w:t>
            </w:r>
            <w:r>
              <w:rPr>
                <w:rFonts w:ascii="Arial" w:hAnsi="Arial" w:cs="Arial"/>
                <w:sz w:val="20"/>
                <w:szCs w:val="20"/>
              </w:rPr>
              <w:t xml:space="preserve"> </w:t>
            </w:r>
            <w:r w:rsidRPr="00735A23">
              <w:rPr>
                <w:rFonts w:ascii="Arial" w:hAnsi="Arial" w:cs="Arial"/>
                <w:sz w:val="20"/>
                <w:szCs w:val="20"/>
              </w:rPr>
              <w:t>%)</w:t>
            </w:r>
          </w:p>
        </w:tc>
        <w:tc>
          <w:tcPr>
            <w:tcW w:w="2260" w:type="dxa"/>
            <w:shd w:val="clear" w:color="auto" w:fill="auto"/>
          </w:tcPr>
          <w:p w14:paraId="57D047E9" w14:textId="77777777" w:rsidR="0088047D" w:rsidRPr="0060731B" w:rsidRDefault="0088047D" w:rsidP="0088047D">
            <w:pPr>
              <w:spacing w:before="60" w:after="60" w:line="240" w:lineRule="auto"/>
              <w:jc w:val="center"/>
              <w:rPr>
                <w:rFonts w:ascii="Arial" w:hAnsi="Arial"/>
                <w:b/>
              </w:rPr>
            </w:pPr>
            <w:r w:rsidRPr="00735A23">
              <w:rPr>
                <w:rFonts w:ascii="Arial" w:hAnsi="Arial" w:cs="Arial"/>
                <w:sz w:val="20"/>
                <w:szCs w:val="20"/>
              </w:rPr>
              <w:t>70</w:t>
            </w:r>
            <w:r>
              <w:rPr>
                <w:rFonts w:ascii="Arial" w:hAnsi="Arial" w:cs="Arial"/>
                <w:sz w:val="20"/>
                <w:szCs w:val="20"/>
              </w:rPr>
              <w:t xml:space="preserve"> </w:t>
            </w:r>
            <w:r w:rsidRPr="00735A23">
              <w:rPr>
                <w:rFonts w:ascii="Arial" w:hAnsi="Arial" w:cs="Arial"/>
                <w:sz w:val="20"/>
                <w:szCs w:val="20"/>
              </w:rPr>
              <w:t>%</w:t>
            </w:r>
          </w:p>
        </w:tc>
        <w:tc>
          <w:tcPr>
            <w:tcW w:w="2260" w:type="dxa"/>
            <w:vMerge/>
            <w:shd w:val="clear" w:color="auto" w:fill="auto"/>
          </w:tcPr>
          <w:p w14:paraId="6C63A8BB" w14:textId="77777777" w:rsidR="0088047D" w:rsidRPr="0060731B" w:rsidRDefault="0088047D" w:rsidP="0088047D">
            <w:pPr>
              <w:spacing w:before="60" w:after="60" w:line="240" w:lineRule="auto"/>
              <w:rPr>
                <w:rFonts w:ascii="Arial" w:hAnsi="Arial"/>
                <w:b/>
              </w:rPr>
            </w:pPr>
          </w:p>
        </w:tc>
      </w:tr>
    </w:tbl>
    <w:p w14:paraId="15242677" w14:textId="4F1675F6" w:rsidR="0088047D" w:rsidRDefault="0088047D" w:rsidP="0088047D">
      <w:pPr>
        <w:pStyle w:val="ListParagraph"/>
        <w:spacing w:before="60" w:after="60" w:line="240" w:lineRule="auto"/>
        <w:ind w:left="360"/>
        <w:rPr>
          <w:sz w:val="16"/>
          <w:szCs w:val="16"/>
        </w:rPr>
      </w:pPr>
      <w:r w:rsidRPr="00735A23">
        <w:rPr>
          <w:sz w:val="16"/>
          <w:szCs w:val="16"/>
        </w:rPr>
        <w:t>Patients were not censored at the time of cross-over.</w:t>
      </w:r>
    </w:p>
    <w:p w14:paraId="2BB83EBA" w14:textId="77777777" w:rsidR="00CA435D" w:rsidRDefault="00CA435D" w:rsidP="0088047D">
      <w:pPr>
        <w:pStyle w:val="ListParagraph"/>
        <w:spacing w:before="60" w:after="60" w:line="240" w:lineRule="auto"/>
        <w:ind w:left="360"/>
        <w:rPr>
          <w:sz w:val="16"/>
          <w:szCs w:val="16"/>
        </w:rPr>
      </w:pPr>
    </w:p>
    <w:p w14:paraId="1AA8DD5D" w14:textId="4833E1CF" w:rsidR="0088047D" w:rsidRPr="00735A23" w:rsidRDefault="0088047D" w:rsidP="00BF5438">
      <w:pPr>
        <w:pStyle w:val="Title"/>
        <w:keepNext/>
        <w:keepLines/>
        <w:ind w:left="357"/>
      </w:pPr>
      <w:r w:rsidRPr="00735A23">
        <w:t xml:space="preserve">Figure </w:t>
      </w:r>
      <w:r w:rsidRPr="00735A23">
        <w:rPr>
          <w:b w:val="0"/>
        </w:rPr>
        <w:fldChar w:fldCharType="begin"/>
      </w:r>
      <w:r w:rsidRPr="00735A23">
        <w:instrText xml:space="preserve"> SEQ Figure \* ARABIC </w:instrText>
      </w:r>
      <w:r w:rsidRPr="00735A23">
        <w:rPr>
          <w:b w:val="0"/>
        </w:rPr>
        <w:fldChar w:fldCharType="separate"/>
      </w:r>
      <w:r w:rsidR="00431A12">
        <w:rPr>
          <w:noProof/>
        </w:rPr>
        <w:t>1</w:t>
      </w:r>
      <w:r w:rsidRPr="00735A23">
        <w:rPr>
          <w:b w:val="0"/>
        </w:rPr>
        <w:fldChar w:fldCharType="end"/>
      </w:r>
      <w:r w:rsidRPr="00735A23">
        <w:tab/>
      </w:r>
      <w:r>
        <w:t xml:space="preserve">Investigator-assessed </w:t>
      </w:r>
      <w:r w:rsidRPr="00735A23">
        <w:t>P</w:t>
      </w:r>
      <w:r>
        <w:t>FS</w:t>
      </w:r>
      <w:r w:rsidRPr="00735A23">
        <w:t xml:space="preserve"> </w:t>
      </w:r>
      <w:r>
        <w:t>in</w:t>
      </w:r>
      <w:r w:rsidRPr="00735A23">
        <w:t xml:space="preserve"> previously untreated </w:t>
      </w:r>
      <w:r>
        <w:t xml:space="preserve">melanoma </w:t>
      </w:r>
      <w:r w:rsidRPr="00735A23">
        <w:t xml:space="preserve">patients </w:t>
      </w:r>
    </w:p>
    <w:p w14:paraId="5B40E990" w14:textId="77777777" w:rsidR="0088047D" w:rsidRPr="00735A23" w:rsidRDefault="0088047D" w:rsidP="00BF5438">
      <w:pPr>
        <w:pStyle w:val="Title"/>
        <w:keepNext/>
        <w:keepLines/>
        <w:ind w:left="357"/>
      </w:pPr>
      <w:r w:rsidRPr="00735A23">
        <w:tab/>
      </w:r>
      <w:r w:rsidRPr="00735A23">
        <w:tab/>
        <w:t>(BREAK 3 ITT population, 19 December 2011)</w:t>
      </w:r>
    </w:p>
    <w:p w14:paraId="624C8629" w14:textId="77777777" w:rsidR="00CF7664" w:rsidRDefault="0088047D" w:rsidP="0088047D">
      <w:pPr>
        <w:pStyle w:val="ListParagraph"/>
        <w:ind w:left="360"/>
        <w:rPr>
          <w:b/>
        </w:rPr>
      </w:pPr>
      <w:r>
        <w:rPr>
          <w:noProof/>
        </w:rPr>
        <w:drawing>
          <wp:inline distT="0" distB="0" distL="0" distR="0" wp14:anchorId="03F3627C" wp14:editId="1E0DCD61">
            <wp:extent cx="6001016" cy="2581585"/>
            <wp:effectExtent l="0" t="0" r="0" b="9525"/>
            <wp:docPr id="9" name="Picture 3" descr="f_pfs_grayscale_gd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_pfs_grayscale_gds"/>
                    <pic:cNvPicPr>
                      <a:picLocks noChangeArrowheads="1"/>
                    </pic:cNvPicPr>
                  </pic:nvPicPr>
                  <pic:blipFill>
                    <a:blip r:embed="rId17" cstate="print">
                      <a:extLst>
                        <a:ext uri="{28A0092B-C50C-407E-A947-70E740481C1C}">
                          <a14:useLocalDpi xmlns:a14="http://schemas.microsoft.com/office/drawing/2010/main" val="0"/>
                        </a:ext>
                      </a:extLst>
                    </a:blip>
                    <a:srcRect l="2032" t="7993" r="3934" b="4257"/>
                    <a:stretch>
                      <a:fillRect/>
                    </a:stretch>
                  </pic:blipFill>
                  <pic:spPr bwMode="auto">
                    <a:xfrm>
                      <a:off x="0" y="0"/>
                      <a:ext cx="6042547" cy="2599451"/>
                    </a:xfrm>
                    <a:prstGeom prst="rect">
                      <a:avLst/>
                    </a:prstGeom>
                    <a:noFill/>
                    <a:ln>
                      <a:noFill/>
                    </a:ln>
                  </pic:spPr>
                </pic:pic>
              </a:graphicData>
            </a:graphic>
          </wp:inline>
        </w:drawing>
      </w:r>
    </w:p>
    <w:p w14:paraId="7D51A069" w14:textId="32770963" w:rsidR="0088047D" w:rsidRPr="00EE7764" w:rsidRDefault="0088047D" w:rsidP="0088047D">
      <w:pPr>
        <w:pStyle w:val="ListParagraph"/>
        <w:ind w:left="360"/>
        <w:rPr>
          <w:b/>
        </w:rPr>
      </w:pPr>
      <w:r w:rsidRPr="00EE7764">
        <w:rPr>
          <w:b/>
        </w:rPr>
        <w:t>Figure</w:t>
      </w:r>
      <w:r>
        <w:rPr>
          <w:b/>
        </w:rPr>
        <w:t xml:space="preserve"> </w:t>
      </w:r>
      <w:r w:rsidRPr="00AF3350">
        <w:rPr>
          <w:b/>
        </w:rPr>
        <w:fldChar w:fldCharType="begin"/>
      </w:r>
      <w:r w:rsidRPr="00AF3350">
        <w:rPr>
          <w:b/>
        </w:rPr>
        <w:instrText xml:space="preserve"> SEQ Figure \* ARABIC </w:instrText>
      </w:r>
      <w:r w:rsidRPr="00AF3350">
        <w:rPr>
          <w:b/>
        </w:rPr>
        <w:fldChar w:fldCharType="separate"/>
      </w:r>
      <w:r w:rsidR="00431A12">
        <w:rPr>
          <w:b/>
          <w:noProof/>
        </w:rPr>
        <w:t>2</w:t>
      </w:r>
      <w:r w:rsidRPr="00AF3350">
        <w:rPr>
          <w:b/>
        </w:rPr>
        <w:fldChar w:fldCharType="end"/>
      </w:r>
      <w:r w:rsidRPr="006F4754">
        <w:rPr>
          <w:b/>
        </w:rPr>
        <w:tab/>
      </w:r>
      <w:r w:rsidRPr="009F129A">
        <w:rPr>
          <w:b/>
        </w:rPr>
        <w:t>Investigator-</w:t>
      </w:r>
      <w:r>
        <w:rPr>
          <w:b/>
        </w:rPr>
        <w:t>a</w:t>
      </w:r>
      <w:r w:rsidRPr="009F129A">
        <w:rPr>
          <w:b/>
        </w:rPr>
        <w:t>s</w:t>
      </w:r>
      <w:r>
        <w:rPr>
          <w:b/>
        </w:rPr>
        <w:t>s</w:t>
      </w:r>
      <w:r w:rsidRPr="009F129A">
        <w:rPr>
          <w:b/>
        </w:rPr>
        <w:t xml:space="preserve">essed </w:t>
      </w:r>
      <w:r w:rsidRPr="00EE7764">
        <w:rPr>
          <w:b/>
        </w:rPr>
        <w:t>Kaplan-Meier curves of overall survival (BREAK-3) (18 December 2012)</w:t>
      </w:r>
    </w:p>
    <w:p w14:paraId="3F83E99C" w14:textId="77777777" w:rsidR="0088047D" w:rsidRDefault="0088047D" w:rsidP="0088047D">
      <w:pPr>
        <w:pStyle w:val="Heading3"/>
        <w:ind w:left="360"/>
      </w:pPr>
      <w:r>
        <w:rPr>
          <w:b w:val="0"/>
          <w:noProof/>
          <w:lang w:val="en-AU"/>
        </w:rPr>
        <w:drawing>
          <wp:inline distT="0" distB="0" distL="0" distR="0" wp14:anchorId="7EAEE23B" wp14:editId="4B1AE24F">
            <wp:extent cx="5933440" cy="3098800"/>
            <wp:effectExtent l="0" t="0" r="0" b="6350"/>
            <wp:docPr id="10"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a:extLst>
                        <a:ext uri="{28A0092B-C50C-407E-A947-70E740481C1C}">
                          <a14:useLocalDpi xmlns:a14="http://schemas.microsoft.com/office/drawing/2010/main" val="0"/>
                        </a:ext>
                      </a:extLst>
                    </a:blip>
                    <a:srcRect t="7457" r="3731"/>
                    <a:stretch/>
                  </pic:blipFill>
                  <pic:spPr bwMode="auto">
                    <a:xfrm>
                      <a:off x="0" y="0"/>
                      <a:ext cx="5969979" cy="3117883"/>
                    </a:xfrm>
                    <a:prstGeom prst="rect">
                      <a:avLst/>
                    </a:prstGeom>
                    <a:noFill/>
                    <a:ln>
                      <a:noFill/>
                    </a:ln>
                    <a:extLst>
                      <a:ext uri="{53640926-AAD7-44D8-BBD7-CCE9431645EC}">
                        <a14:shadowObscured xmlns:a14="http://schemas.microsoft.com/office/drawing/2010/main"/>
                      </a:ext>
                    </a:extLst>
                  </pic:spPr>
                </pic:pic>
              </a:graphicData>
            </a:graphic>
          </wp:inline>
        </w:drawing>
      </w:r>
    </w:p>
    <w:p w14:paraId="42A5DD1D" w14:textId="10A8286F" w:rsidR="0088047D" w:rsidRPr="0060731B" w:rsidRDefault="0088047D" w:rsidP="0088047D">
      <w:pPr>
        <w:ind w:left="360"/>
        <w:rPr>
          <w:i/>
          <w:u w:val="single"/>
        </w:rPr>
      </w:pPr>
      <w:r w:rsidRPr="000771A7">
        <w:rPr>
          <w:i/>
          <w:u w:val="single"/>
        </w:rPr>
        <w:t>Phase II Study BREAK-MB in patients</w:t>
      </w:r>
      <w:r w:rsidRPr="0060731B">
        <w:rPr>
          <w:i/>
          <w:u w:val="single"/>
        </w:rPr>
        <w:t xml:space="preserve"> with </w:t>
      </w:r>
      <w:r w:rsidRPr="000771A7">
        <w:rPr>
          <w:i/>
          <w:u w:val="single"/>
        </w:rPr>
        <w:t xml:space="preserve">Stage IV BRAF-mutation positive (V600E or V600K) </w:t>
      </w:r>
      <w:r w:rsidRPr="0060731B">
        <w:rPr>
          <w:i/>
          <w:u w:val="single"/>
        </w:rPr>
        <w:t>brain metastases</w:t>
      </w:r>
    </w:p>
    <w:p w14:paraId="70207A66" w14:textId="4CCDD80D" w:rsidR="0088047D" w:rsidRDefault="0088047D" w:rsidP="0088047D">
      <w:pPr>
        <w:ind w:left="360"/>
        <w:rPr>
          <w:lang w:val="en-US"/>
        </w:rPr>
      </w:pPr>
      <w:r>
        <w:rPr>
          <w:lang w:val="en-US"/>
        </w:rPr>
        <w:t>This</w:t>
      </w:r>
      <w:r w:rsidRPr="00254BEF">
        <w:rPr>
          <w:lang w:val="en-US"/>
        </w:rPr>
        <w:t xml:space="preserve"> multi-</w:t>
      </w:r>
      <w:proofErr w:type="spellStart"/>
      <w:r w:rsidRPr="00254BEF">
        <w:rPr>
          <w:lang w:val="en-US"/>
        </w:rPr>
        <w:t>cent</w:t>
      </w:r>
      <w:r>
        <w:rPr>
          <w:lang w:val="en-US"/>
        </w:rPr>
        <w:t>r</w:t>
      </w:r>
      <w:r w:rsidRPr="00254BEF">
        <w:rPr>
          <w:lang w:val="en-US"/>
        </w:rPr>
        <w:t>e</w:t>
      </w:r>
      <w:proofErr w:type="spellEnd"/>
      <w:r w:rsidRPr="00254BEF">
        <w:rPr>
          <w:lang w:val="en-US"/>
        </w:rPr>
        <w:t xml:space="preserve">, open-label, two-cohort, Phase II study </w:t>
      </w:r>
      <w:r>
        <w:rPr>
          <w:lang w:val="en-US"/>
        </w:rPr>
        <w:t xml:space="preserve">was </w:t>
      </w:r>
      <w:r w:rsidRPr="00254BEF">
        <w:rPr>
          <w:lang w:val="en-US"/>
        </w:rPr>
        <w:t xml:space="preserve">designed to evaluate the </w:t>
      </w:r>
      <w:r w:rsidRPr="00D74C63">
        <w:rPr>
          <w:lang w:val="en-US"/>
        </w:rPr>
        <w:t>intracranial response</w:t>
      </w:r>
      <w:r>
        <w:rPr>
          <w:lang w:val="en-US"/>
        </w:rPr>
        <w:t xml:space="preserve"> </w:t>
      </w:r>
      <w:r w:rsidRPr="00254BEF">
        <w:rPr>
          <w:lang w:val="en-US"/>
        </w:rPr>
        <w:t xml:space="preserve">of </w:t>
      </w:r>
      <w:r w:rsidRPr="009E7A82">
        <w:rPr>
          <w:lang w:val="en-US"/>
        </w:rPr>
        <w:t>TAFINLAR</w:t>
      </w:r>
      <w:r w:rsidRPr="00254BEF">
        <w:rPr>
          <w:lang w:val="en-US"/>
        </w:rPr>
        <w:t xml:space="preserve"> in </w:t>
      </w:r>
      <w:r w:rsidR="001C1405">
        <w:rPr>
          <w:lang w:val="en-US"/>
        </w:rPr>
        <w:t>patient</w:t>
      </w:r>
      <w:r w:rsidRPr="00254BEF">
        <w:rPr>
          <w:lang w:val="en-US"/>
        </w:rPr>
        <w:t xml:space="preserve">s with histologically confirmed (Stage IV) BRAF-mutation positive (V600E or V600K) melanoma metastatic to the brain. </w:t>
      </w:r>
      <w:r w:rsidR="001C1405">
        <w:rPr>
          <w:lang w:val="en-US"/>
        </w:rPr>
        <w:t>Patient</w:t>
      </w:r>
      <w:r w:rsidRPr="00254BEF">
        <w:rPr>
          <w:lang w:val="en-US"/>
        </w:rPr>
        <w:t>s were enrolled into Cohort A (</w:t>
      </w:r>
      <w:r w:rsidR="001C1405">
        <w:rPr>
          <w:lang w:val="en-US"/>
        </w:rPr>
        <w:t>patient</w:t>
      </w:r>
      <w:r w:rsidRPr="00254BEF">
        <w:rPr>
          <w:lang w:val="en-US"/>
        </w:rPr>
        <w:t>s with no prior local therapy for brain metastasis) or Cohort B (</w:t>
      </w:r>
      <w:r w:rsidR="001C1405">
        <w:rPr>
          <w:lang w:val="en-US"/>
        </w:rPr>
        <w:t>patient</w:t>
      </w:r>
      <w:r w:rsidRPr="00254BEF">
        <w:rPr>
          <w:lang w:val="en-US"/>
        </w:rPr>
        <w:t>s who received prior local therapy for brain metastasis).</w:t>
      </w:r>
      <w:r>
        <w:rPr>
          <w:lang w:val="en-US"/>
        </w:rPr>
        <w:t xml:space="preserve"> </w:t>
      </w:r>
    </w:p>
    <w:p w14:paraId="2904853B" w14:textId="0FE6593F" w:rsidR="0088047D" w:rsidRPr="0060731B" w:rsidRDefault="0088047D" w:rsidP="0088047D">
      <w:pPr>
        <w:ind w:left="360"/>
        <w:rPr>
          <w:lang w:val="en-US"/>
        </w:rPr>
      </w:pPr>
      <w:r w:rsidRPr="001342C0">
        <w:rPr>
          <w:lang w:val="en-US"/>
        </w:rPr>
        <w:t xml:space="preserve">The primary endpoint of the study was overall intracranial response rate (OIRR), </w:t>
      </w:r>
      <w:r>
        <w:rPr>
          <w:lang w:val="en-US"/>
        </w:rPr>
        <w:t xml:space="preserve">which </w:t>
      </w:r>
      <w:r w:rsidRPr="00697EF8">
        <w:rPr>
          <w:lang w:val="en-US"/>
        </w:rPr>
        <w:t>is a measure of response (CR</w:t>
      </w:r>
      <w:r>
        <w:rPr>
          <w:lang w:val="en-US"/>
        </w:rPr>
        <w:t xml:space="preserve"> </w:t>
      </w:r>
      <w:r w:rsidRPr="00697EF8">
        <w:rPr>
          <w:lang w:val="en-US"/>
        </w:rPr>
        <w:t>+</w:t>
      </w:r>
      <w:r>
        <w:rPr>
          <w:lang w:val="en-US"/>
        </w:rPr>
        <w:t xml:space="preserve"> </w:t>
      </w:r>
      <w:r w:rsidRPr="00697EF8">
        <w:rPr>
          <w:lang w:val="en-US"/>
        </w:rPr>
        <w:t>PR) of intracranial lesions using modified RECIST criteria</w:t>
      </w:r>
      <w:r>
        <w:rPr>
          <w:lang w:val="en-US"/>
        </w:rPr>
        <w:t xml:space="preserve"> </w:t>
      </w:r>
      <w:r w:rsidRPr="001342C0">
        <w:rPr>
          <w:lang w:val="en-US"/>
        </w:rPr>
        <w:t xml:space="preserve">as assessed by investigators. </w:t>
      </w:r>
      <w:r w:rsidRPr="00254BEF">
        <w:rPr>
          <w:lang w:val="en-US"/>
        </w:rPr>
        <w:t>The results are summari</w:t>
      </w:r>
      <w:r>
        <w:rPr>
          <w:lang w:val="en-US"/>
        </w:rPr>
        <w:t>s</w:t>
      </w:r>
      <w:r w:rsidRPr="00254BEF">
        <w:rPr>
          <w:lang w:val="en-US"/>
        </w:rPr>
        <w:t xml:space="preserve">ed in </w:t>
      </w:r>
      <w:r>
        <w:rPr>
          <w:lang w:val="en-US"/>
        </w:rPr>
        <w:t xml:space="preserve">Table </w:t>
      </w:r>
      <w:r w:rsidR="00C73E06">
        <w:rPr>
          <w:lang w:val="en-US"/>
        </w:rPr>
        <w:t>1</w:t>
      </w:r>
      <w:r w:rsidR="00BF5438">
        <w:rPr>
          <w:lang w:val="en-US"/>
        </w:rPr>
        <w:t>4</w:t>
      </w:r>
      <w:r w:rsidR="00CF7664">
        <w:rPr>
          <w:lang w:val="en-US"/>
        </w:rPr>
        <w:t>.</w:t>
      </w:r>
      <w:r>
        <w:rPr>
          <w:lang w:val="en-US"/>
        </w:rPr>
        <w:t xml:space="preserve"> Of note, the</w:t>
      </w:r>
      <w:r w:rsidRPr="00697EF8">
        <w:rPr>
          <w:lang w:val="en-US"/>
        </w:rPr>
        <w:t xml:space="preserve"> benefit risk, in </w:t>
      </w:r>
      <w:r w:rsidRPr="00697EF8">
        <w:rPr>
          <w:lang w:val="en-US"/>
        </w:rPr>
        <w:lastRenderedPageBreak/>
        <w:t>terms of intracranial response, relative to surgery or stereotactic radio</w:t>
      </w:r>
      <w:r>
        <w:rPr>
          <w:lang w:val="en-US"/>
        </w:rPr>
        <w:t>-</w:t>
      </w:r>
      <w:r w:rsidRPr="00697EF8">
        <w:rPr>
          <w:lang w:val="en-US"/>
        </w:rPr>
        <w:t xml:space="preserve">surgery has not been studied directly however evidence from cohort B </w:t>
      </w:r>
      <w:r>
        <w:rPr>
          <w:lang w:val="en-US"/>
        </w:rPr>
        <w:t xml:space="preserve">below </w:t>
      </w:r>
      <w:r w:rsidRPr="00697EF8">
        <w:rPr>
          <w:lang w:val="en-US"/>
        </w:rPr>
        <w:t>suggests that prior local treatment does not preclude subsequent benefit from BRAF inhibition.</w:t>
      </w:r>
    </w:p>
    <w:p w14:paraId="6C7571B5" w14:textId="12FA764B" w:rsidR="0088047D" w:rsidRDefault="0088047D" w:rsidP="0088047D">
      <w:pPr>
        <w:pStyle w:val="Heading3"/>
        <w:spacing w:after="0"/>
        <w:ind w:left="360"/>
        <w:rPr>
          <w:rStyle w:val="TitleChar"/>
          <w:rFonts w:eastAsia="MS Mincho"/>
          <w:b/>
        </w:rPr>
      </w:pPr>
      <w:r w:rsidRPr="00E2106F">
        <w:rPr>
          <w:rStyle w:val="TitleChar"/>
          <w:b/>
        </w:rPr>
        <w:t>Table</w:t>
      </w:r>
      <w:r>
        <w:rPr>
          <w:rStyle w:val="TitleChar"/>
          <w:b/>
        </w:rPr>
        <w:t xml:space="preserve"> </w:t>
      </w:r>
      <w:r w:rsidR="00C73E06">
        <w:rPr>
          <w:rStyle w:val="TitleChar"/>
          <w:b/>
        </w:rPr>
        <w:t>1</w:t>
      </w:r>
      <w:r w:rsidR="00BF5438">
        <w:rPr>
          <w:rStyle w:val="TitleChar"/>
          <w:b/>
        </w:rPr>
        <w:t>4</w:t>
      </w:r>
      <w:r w:rsidR="00C73E06">
        <w:rPr>
          <w:rStyle w:val="TitleChar"/>
          <w:b/>
        </w:rPr>
        <w:tab/>
      </w:r>
      <w:r w:rsidRPr="009E7A82">
        <w:rPr>
          <w:rStyle w:val="TitleChar"/>
          <w:rFonts w:eastAsia="MS Mincho"/>
          <w:b/>
        </w:rPr>
        <w:t xml:space="preserve">TAFINLAR </w:t>
      </w:r>
      <w:r>
        <w:rPr>
          <w:rStyle w:val="TitleChar"/>
          <w:rFonts w:eastAsia="MS Mincho"/>
          <w:b/>
        </w:rPr>
        <w:t>e</w:t>
      </w:r>
      <w:r w:rsidRPr="00E2106F">
        <w:rPr>
          <w:rStyle w:val="TitleChar"/>
          <w:rFonts w:eastAsia="MS Mincho"/>
          <w:b/>
        </w:rPr>
        <w:t xml:space="preserve">fficacy </w:t>
      </w:r>
      <w:r>
        <w:rPr>
          <w:rStyle w:val="TitleChar"/>
          <w:rFonts w:eastAsia="MS Mincho"/>
          <w:b/>
        </w:rPr>
        <w:t>d</w:t>
      </w:r>
      <w:r w:rsidRPr="00E2106F">
        <w:rPr>
          <w:rStyle w:val="TitleChar"/>
          <w:rFonts w:eastAsia="MS Mincho"/>
          <w:b/>
        </w:rPr>
        <w:t xml:space="preserve">ata in </w:t>
      </w:r>
      <w:r>
        <w:rPr>
          <w:rStyle w:val="TitleChar"/>
          <w:rFonts w:eastAsia="MS Mincho"/>
          <w:b/>
        </w:rPr>
        <w:t>p</w:t>
      </w:r>
      <w:r w:rsidRPr="00E2106F">
        <w:rPr>
          <w:rStyle w:val="TitleChar"/>
          <w:rFonts w:eastAsia="MS Mincho"/>
          <w:b/>
        </w:rPr>
        <w:t xml:space="preserve">atients with </w:t>
      </w:r>
      <w:r>
        <w:rPr>
          <w:rStyle w:val="TitleChar"/>
          <w:rFonts w:eastAsia="MS Mincho"/>
          <w:b/>
        </w:rPr>
        <w:t>b</w:t>
      </w:r>
      <w:r w:rsidRPr="00E2106F">
        <w:rPr>
          <w:rStyle w:val="TitleChar"/>
          <w:rFonts w:eastAsia="MS Mincho"/>
          <w:b/>
        </w:rPr>
        <w:t xml:space="preserve">rain </w:t>
      </w:r>
      <w:r>
        <w:rPr>
          <w:rStyle w:val="TitleChar"/>
          <w:rFonts w:eastAsia="MS Mincho"/>
          <w:b/>
        </w:rPr>
        <w:t>m</w:t>
      </w:r>
      <w:r w:rsidRPr="00E2106F">
        <w:rPr>
          <w:rStyle w:val="TitleChar"/>
          <w:rFonts w:eastAsia="MS Mincho"/>
          <w:b/>
        </w:rPr>
        <w:t xml:space="preserve">etastases (BREAK-MB </w:t>
      </w:r>
    </w:p>
    <w:p w14:paraId="7098222A" w14:textId="77777777" w:rsidR="0088047D" w:rsidRPr="00E2106F" w:rsidRDefault="0088047D" w:rsidP="0088047D">
      <w:pPr>
        <w:pStyle w:val="Heading3"/>
        <w:ind w:left="360"/>
        <w:rPr>
          <w:rStyle w:val="TitleChar"/>
          <w:rFonts w:eastAsia="MS Mincho"/>
          <w:b/>
        </w:rPr>
      </w:pPr>
      <w:r>
        <w:rPr>
          <w:rStyle w:val="TitleChar"/>
          <w:rFonts w:eastAsia="MS Mincho"/>
          <w:b/>
        </w:rPr>
        <w:tab/>
      </w:r>
      <w:r>
        <w:rPr>
          <w:rStyle w:val="TitleChar"/>
          <w:rFonts w:eastAsia="MS Mincho"/>
          <w:b/>
        </w:rPr>
        <w:tab/>
      </w:r>
      <w:proofErr w:type="gramStart"/>
      <w:r w:rsidRPr="00E2106F">
        <w:rPr>
          <w:rStyle w:val="TitleChar"/>
          <w:rFonts w:eastAsia="MS Mincho"/>
          <w:b/>
        </w:rPr>
        <w:t>study</w:t>
      </w:r>
      <w:proofErr w:type="gramEnd"/>
      <w:r w:rsidRPr="00E2106F">
        <w:rPr>
          <w:rStyle w:val="TitleChar"/>
          <w:rFonts w:eastAsia="MS Mincho"/>
          <w:b/>
        </w:rPr>
        <w:t>)</w:t>
      </w:r>
    </w:p>
    <w:tbl>
      <w:tblPr>
        <w:tblW w:w="4770" w:type="pct"/>
        <w:tblInd w:w="469"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31"/>
        <w:gridCol w:w="1832"/>
        <w:gridCol w:w="136"/>
        <w:gridCol w:w="1968"/>
        <w:gridCol w:w="136"/>
        <w:gridCol w:w="1666"/>
        <w:gridCol w:w="136"/>
        <w:gridCol w:w="1450"/>
        <w:gridCol w:w="134"/>
        <w:gridCol w:w="1838"/>
        <w:gridCol w:w="136"/>
      </w:tblGrid>
      <w:tr w:rsidR="0088047D" w:rsidRPr="00254BEF" w14:paraId="0990B0F4" w14:textId="77777777" w:rsidTr="00220835">
        <w:trPr>
          <w:gridAfter w:val="1"/>
          <w:wAfter w:w="72" w:type="pct"/>
          <w:trHeight w:val="288"/>
          <w:tblHeader/>
        </w:trPr>
        <w:tc>
          <w:tcPr>
            <w:tcW w:w="1027" w:type="pct"/>
            <w:gridSpan w:val="2"/>
            <w:tcBorders>
              <w:top w:val="single" w:sz="4" w:space="0" w:color="auto"/>
              <w:left w:val="nil"/>
              <w:bottom w:val="nil"/>
              <w:right w:val="nil"/>
            </w:tcBorders>
            <w:shd w:val="clear" w:color="auto" w:fill="auto"/>
          </w:tcPr>
          <w:p w14:paraId="17639760" w14:textId="77777777" w:rsidR="0088047D" w:rsidRPr="00230AC3" w:rsidRDefault="0088047D" w:rsidP="0088047D">
            <w:pPr>
              <w:rPr>
                <w:rFonts w:ascii="Arial" w:hAnsi="Arial" w:cs="Arial"/>
                <w:sz w:val="20"/>
                <w:szCs w:val="20"/>
              </w:rPr>
            </w:pPr>
          </w:p>
        </w:tc>
        <w:tc>
          <w:tcPr>
            <w:tcW w:w="3901" w:type="pct"/>
            <w:gridSpan w:val="8"/>
            <w:tcBorders>
              <w:top w:val="single" w:sz="4" w:space="0" w:color="auto"/>
              <w:left w:val="nil"/>
              <w:bottom w:val="nil"/>
              <w:right w:val="nil"/>
            </w:tcBorders>
            <w:shd w:val="clear" w:color="auto" w:fill="auto"/>
            <w:vAlign w:val="center"/>
          </w:tcPr>
          <w:p w14:paraId="62B309ED" w14:textId="2D98DBC3" w:rsidR="0088047D" w:rsidRPr="00230AC3" w:rsidRDefault="0088047D" w:rsidP="0088047D">
            <w:pPr>
              <w:spacing w:before="60" w:after="60" w:line="240" w:lineRule="auto"/>
              <w:jc w:val="center"/>
              <w:rPr>
                <w:rFonts w:ascii="Arial" w:eastAsia="MS Mincho" w:hAnsi="Arial" w:cs="Arial"/>
                <w:b/>
                <w:sz w:val="20"/>
                <w:szCs w:val="20"/>
                <w:lang w:val="en-US"/>
              </w:rPr>
            </w:pPr>
            <w:r w:rsidRPr="00230AC3">
              <w:rPr>
                <w:rFonts w:ascii="Arial" w:eastAsia="MS Mincho" w:hAnsi="Arial" w:cs="Arial"/>
                <w:b/>
                <w:sz w:val="20"/>
                <w:szCs w:val="20"/>
                <w:lang w:val="en-US"/>
              </w:rPr>
              <w:t xml:space="preserve">All Treated </w:t>
            </w:r>
            <w:r w:rsidR="001C1405">
              <w:rPr>
                <w:rFonts w:ascii="Arial" w:eastAsia="MS Mincho" w:hAnsi="Arial" w:cs="Arial"/>
                <w:b/>
                <w:sz w:val="20"/>
                <w:szCs w:val="20"/>
                <w:lang w:val="en-US"/>
              </w:rPr>
              <w:t>Patient</w:t>
            </w:r>
            <w:r w:rsidRPr="00230AC3">
              <w:rPr>
                <w:rFonts w:ascii="Arial" w:eastAsia="MS Mincho" w:hAnsi="Arial" w:cs="Arial"/>
                <w:b/>
                <w:sz w:val="20"/>
                <w:szCs w:val="20"/>
                <w:lang w:val="en-US"/>
              </w:rPr>
              <w:t>s Population</w:t>
            </w:r>
          </w:p>
        </w:tc>
      </w:tr>
      <w:tr w:rsidR="0088047D" w:rsidRPr="00254BEF" w14:paraId="4E7536B6" w14:textId="77777777" w:rsidTr="00220835">
        <w:trPr>
          <w:gridAfter w:val="1"/>
          <w:wAfter w:w="72" w:type="pct"/>
          <w:trHeight w:val="288"/>
          <w:tblHeader/>
        </w:trPr>
        <w:tc>
          <w:tcPr>
            <w:tcW w:w="1027" w:type="pct"/>
            <w:gridSpan w:val="2"/>
            <w:tcBorders>
              <w:top w:val="nil"/>
              <w:left w:val="nil"/>
              <w:bottom w:val="nil"/>
              <w:right w:val="nil"/>
            </w:tcBorders>
            <w:shd w:val="clear" w:color="auto" w:fill="auto"/>
          </w:tcPr>
          <w:p w14:paraId="0EE12AAE" w14:textId="77777777" w:rsidR="0088047D" w:rsidRPr="00230AC3" w:rsidRDefault="0088047D" w:rsidP="0088047D">
            <w:pPr>
              <w:spacing w:before="60" w:after="60" w:line="240" w:lineRule="auto"/>
              <w:jc w:val="center"/>
              <w:rPr>
                <w:rFonts w:ascii="Arial" w:hAnsi="Arial" w:cs="Arial"/>
                <w:sz w:val="20"/>
                <w:szCs w:val="20"/>
              </w:rPr>
            </w:pPr>
          </w:p>
        </w:tc>
        <w:tc>
          <w:tcPr>
            <w:tcW w:w="2042" w:type="pct"/>
            <w:gridSpan w:val="4"/>
            <w:tcBorders>
              <w:top w:val="nil"/>
              <w:left w:val="nil"/>
              <w:bottom w:val="nil"/>
              <w:right w:val="nil"/>
            </w:tcBorders>
            <w:shd w:val="clear" w:color="auto" w:fill="auto"/>
            <w:vAlign w:val="center"/>
          </w:tcPr>
          <w:p w14:paraId="6F2F04DD" w14:textId="77777777" w:rsidR="0088047D" w:rsidRPr="00230AC3" w:rsidRDefault="0088047D" w:rsidP="0088047D">
            <w:pPr>
              <w:spacing w:before="60" w:after="60" w:line="240" w:lineRule="auto"/>
              <w:jc w:val="center"/>
              <w:rPr>
                <w:rFonts w:ascii="Arial" w:eastAsia="MS Mincho" w:hAnsi="Arial" w:cs="Arial"/>
                <w:b/>
                <w:sz w:val="20"/>
                <w:szCs w:val="20"/>
                <w:lang w:val="en-US"/>
              </w:rPr>
            </w:pPr>
            <w:r w:rsidRPr="00230AC3">
              <w:rPr>
                <w:rFonts w:ascii="Arial" w:eastAsia="MS Mincho" w:hAnsi="Arial" w:cs="Arial"/>
                <w:b/>
                <w:sz w:val="20"/>
                <w:szCs w:val="20"/>
                <w:lang w:val="en-US"/>
              </w:rPr>
              <w:t>BRAF</w:t>
            </w:r>
            <w:r>
              <w:rPr>
                <w:rFonts w:ascii="Arial" w:eastAsia="MS Mincho" w:hAnsi="Arial" w:cs="Arial"/>
                <w:b/>
                <w:sz w:val="20"/>
                <w:szCs w:val="20"/>
                <w:lang w:val="en-US"/>
              </w:rPr>
              <w:t xml:space="preserve"> </w:t>
            </w:r>
            <w:r w:rsidRPr="006F4754">
              <w:rPr>
                <w:rFonts w:ascii="Arial" w:eastAsia="MS Mincho" w:hAnsi="Arial" w:cs="Arial"/>
                <w:b/>
                <w:sz w:val="20"/>
                <w:szCs w:val="20"/>
                <w:lang w:val="en-US"/>
              </w:rPr>
              <w:t>V600E</w:t>
            </w:r>
            <w:r w:rsidRPr="00230AC3">
              <w:rPr>
                <w:rFonts w:ascii="Arial" w:eastAsia="MS Mincho" w:hAnsi="Arial" w:cs="Arial"/>
                <w:b/>
                <w:sz w:val="20"/>
                <w:szCs w:val="20"/>
                <w:lang w:val="en-US"/>
              </w:rPr>
              <w:t xml:space="preserve"> (Primary)</w:t>
            </w:r>
          </w:p>
        </w:tc>
        <w:tc>
          <w:tcPr>
            <w:tcW w:w="1860" w:type="pct"/>
            <w:gridSpan w:val="4"/>
            <w:tcBorders>
              <w:top w:val="nil"/>
              <w:left w:val="nil"/>
              <w:bottom w:val="nil"/>
              <w:right w:val="nil"/>
            </w:tcBorders>
            <w:vAlign w:val="center"/>
          </w:tcPr>
          <w:p w14:paraId="79DA8034" w14:textId="77777777" w:rsidR="0088047D" w:rsidRPr="00230AC3" w:rsidRDefault="0088047D" w:rsidP="0088047D">
            <w:pPr>
              <w:spacing w:before="60" w:after="60" w:line="240" w:lineRule="auto"/>
              <w:jc w:val="center"/>
              <w:rPr>
                <w:rFonts w:ascii="Arial" w:eastAsia="MS Mincho" w:hAnsi="Arial" w:cs="Arial"/>
                <w:b/>
                <w:sz w:val="20"/>
                <w:szCs w:val="20"/>
                <w:lang w:val="en-US"/>
              </w:rPr>
            </w:pPr>
            <w:r w:rsidRPr="006F4754">
              <w:rPr>
                <w:rFonts w:ascii="Arial" w:eastAsia="MS Mincho" w:hAnsi="Arial" w:cs="Arial"/>
                <w:b/>
                <w:sz w:val="20"/>
                <w:szCs w:val="20"/>
                <w:lang w:val="en-US"/>
              </w:rPr>
              <w:t>BRAF</w:t>
            </w:r>
            <w:r>
              <w:rPr>
                <w:rFonts w:ascii="Arial" w:eastAsia="MS Mincho" w:hAnsi="Arial" w:cs="Arial"/>
                <w:b/>
                <w:sz w:val="20"/>
                <w:szCs w:val="20"/>
                <w:lang w:val="en-US"/>
              </w:rPr>
              <w:t xml:space="preserve"> </w:t>
            </w:r>
            <w:r w:rsidRPr="006F4754">
              <w:rPr>
                <w:rFonts w:ascii="Arial" w:eastAsia="MS Mincho" w:hAnsi="Arial" w:cs="Arial"/>
                <w:b/>
                <w:sz w:val="20"/>
                <w:szCs w:val="20"/>
                <w:lang w:val="en-US"/>
              </w:rPr>
              <w:t>V600K</w:t>
            </w:r>
          </w:p>
        </w:tc>
      </w:tr>
      <w:tr w:rsidR="0088047D" w:rsidRPr="00254BEF" w14:paraId="7EDCCCCE" w14:textId="77777777" w:rsidTr="00220835">
        <w:trPr>
          <w:gridAfter w:val="1"/>
          <w:wAfter w:w="72" w:type="pct"/>
          <w:trHeight w:val="288"/>
          <w:tblHeader/>
        </w:trPr>
        <w:tc>
          <w:tcPr>
            <w:tcW w:w="1027" w:type="pct"/>
            <w:gridSpan w:val="2"/>
            <w:tcBorders>
              <w:top w:val="nil"/>
              <w:left w:val="nil"/>
              <w:bottom w:val="single" w:sz="4" w:space="0" w:color="auto"/>
              <w:right w:val="nil"/>
            </w:tcBorders>
            <w:shd w:val="clear" w:color="auto" w:fill="auto"/>
            <w:hideMark/>
          </w:tcPr>
          <w:p w14:paraId="01C0CCA5" w14:textId="77777777" w:rsidR="0088047D" w:rsidRPr="00230AC3" w:rsidRDefault="0088047D" w:rsidP="0088047D">
            <w:pPr>
              <w:spacing w:before="60" w:after="60" w:line="240" w:lineRule="auto"/>
              <w:rPr>
                <w:rFonts w:ascii="Arial" w:hAnsi="Arial" w:cs="Arial"/>
                <w:b/>
                <w:sz w:val="20"/>
                <w:szCs w:val="20"/>
              </w:rPr>
            </w:pPr>
            <w:r w:rsidRPr="00230AC3">
              <w:rPr>
                <w:rFonts w:ascii="Arial" w:eastAsia="MS Mincho" w:hAnsi="Arial" w:cs="Arial"/>
                <w:b/>
                <w:sz w:val="20"/>
                <w:szCs w:val="20"/>
                <w:lang w:val="en-US"/>
              </w:rPr>
              <w:t>Endpoints/ Assessment</w:t>
            </w:r>
          </w:p>
        </w:tc>
        <w:tc>
          <w:tcPr>
            <w:tcW w:w="1100" w:type="pct"/>
            <w:gridSpan w:val="2"/>
            <w:tcBorders>
              <w:top w:val="nil"/>
              <w:left w:val="nil"/>
              <w:bottom w:val="single" w:sz="4" w:space="0" w:color="auto"/>
              <w:right w:val="nil"/>
            </w:tcBorders>
            <w:shd w:val="clear" w:color="auto" w:fill="auto"/>
            <w:vAlign w:val="center"/>
          </w:tcPr>
          <w:p w14:paraId="5C779854" w14:textId="77777777" w:rsidR="0088047D" w:rsidRPr="00230AC3" w:rsidRDefault="0088047D" w:rsidP="0088047D">
            <w:pPr>
              <w:spacing w:before="60" w:after="60" w:line="240" w:lineRule="auto"/>
              <w:jc w:val="center"/>
              <w:rPr>
                <w:rFonts w:ascii="Arial" w:eastAsia="MS Mincho" w:hAnsi="Arial" w:cs="Arial"/>
                <w:b/>
                <w:sz w:val="20"/>
                <w:szCs w:val="20"/>
                <w:lang w:val="en-US"/>
              </w:rPr>
            </w:pPr>
            <w:r w:rsidRPr="00230AC3">
              <w:rPr>
                <w:rFonts w:ascii="Arial" w:eastAsia="MS Mincho" w:hAnsi="Arial" w:cs="Arial"/>
                <w:b/>
                <w:sz w:val="20"/>
                <w:szCs w:val="20"/>
                <w:lang w:val="en-US"/>
              </w:rPr>
              <w:t>Cohort A</w:t>
            </w:r>
          </w:p>
          <w:p w14:paraId="731BA5CE" w14:textId="77777777" w:rsidR="0088047D" w:rsidRPr="00230AC3" w:rsidRDefault="0088047D" w:rsidP="0088047D">
            <w:pPr>
              <w:spacing w:before="60" w:after="60" w:line="240" w:lineRule="auto"/>
              <w:jc w:val="center"/>
              <w:rPr>
                <w:rFonts w:ascii="Arial" w:eastAsia="MS Mincho" w:hAnsi="Arial" w:cs="Arial"/>
                <w:b/>
                <w:sz w:val="20"/>
                <w:szCs w:val="20"/>
                <w:lang w:val="en-US"/>
              </w:rPr>
            </w:pPr>
            <w:r w:rsidRPr="00230AC3">
              <w:rPr>
                <w:rFonts w:ascii="Arial" w:eastAsia="MS Mincho" w:hAnsi="Arial" w:cs="Arial"/>
                <w:b/>
                <w:sz w:val="20"/>
                <w:szCs w:val="20"/>
                <w:lang w:val="en-US"/>
              </w:rPr>
              <w:t>N=74</w:t>
            </w:r>
          </w:p>
        </w:tc>
        <w:tc>
          <w:tcPr>
            <w:tcW w:w="942" w:type="pct"/>
            <w:gridSpan w:val="2"/>
            <w:tcBorders>
              <w:top w:val="nil"/>
              <w:left w:val="nil"/>
              <w:bottom w:val="single" w:sz="4" w:space="0" w:color="auto"/>
              <w:right w:val="nil"/>
            </w:tcBorders>
            <w:shd w:val="clear" w:color="auto" w:fill="auto"/>
            <w:vAlign w:val="center"/>
          </w:tcPr>
          <w:p w14:paraId="06B4D822" w14:textId="77777777" w:rsidR="0088047D" w:rsidRPr="00230AC3" w:rsidRDefault="0088047D" w:rsidP="0088047D">
            <w:pPr>
              <w:spacing w:before="60" w:after="60" w:line="240" w:lineRule="auto"/>
              <w:jc w:val="center"/>
              <w:rPr>
                <w:rFonts w:ascii="Arial" w:eastAsia="MS Mincho" w:hAnsi="Arial" w:cs="Arial"/>
                <w:b/>
                <w:sz w:val="20"/>
                <w:szCs w:val="20"/>
                <w:lang w:val="en-US"/>
              </w:rPr>
            </w:pPr>
            <w:r w:rsidRPr="00230AC3">
              <w:rPr>
                <w:rFonts w:ascii="Arial" w:eastAsia="MS Mincho" w:hAnsi="Arial" w:cs="Arial"/>
                <w:b/>
                <w:sz w:val="20"/>
                <w:szCs w:val="20"/>
                <w:lang w:val="en-US"/>
              </w:rPr>
              <w:t>Cohort B</w:t>
            </w:r>
          </w:p>
          <w:p w14:paraId="62D45369" w14:textId="77777777" w:rsidR="0088047D" w:rsidRPr="00230AC3" w:rsidRDefault="0088047D" w:rsidP="0088047D">
            <w:pPr>
              <w:spacing w:before="60" w:after="60" w:line="240" w:lineRule="auto"/>
              <w:jc w:val="center"/>
              <w:rPr>
                <w:rFonts w:ascii="Arial" w:eastAsia="MS Mincho" w:hAnsi="Arial" w:cs="Arial"/>
                <w:b/>
                <w:sz w:val="20"/>
                <w:szCs w:val="20"/>
                <w:lang w:val="en-US"/>
              </w:rPr>
            </w:pPr>
            <w:r w:rsidRPr="00230AC3">
              <w:rPr>
                <w:rFonts w:ascii="Arial" w:eastAsia="MS Mincho" w:hAnsi="Arial" w:cs="Arial"/>
                <w:b/>
                <w:sz w:val="20"/>
                <w:szCs w:val="20"/>
                <w:lang w:val="en-US"/>
              </w:rPr>
              <w:t>N=65</w:t>
            </w:r>
          </w:p>
        </w:tc>
        <w:tc>
          <w:tcPr>
            <w:tcW w:w="828" w:type="pct"/>
            <w:gridSpan w:val="2"/>
            <w:tcBorders>
              <w:top w:val="nil"/>
              <w:left w:val="nil"/>
              <w:bottom w:val="single" w:sz="4" w:space="0" w:color="auto"/>
              <w:right w:val="nil"/>
            </w:tcBorders>
            <w:vAlign w:val="center"/>
          </w:tcPr>
          <w:p w14:paraId="0690D2CB" w14:textId="77777777" w:rsidR="0088047D" w:rsidRPr="00230AC3" w:rsidRDefault="0088047D" w:rsidP="0088047D">
            <w:pPr>
              <w:spacing w:before="60" w:after="60" w:line="240" w:lineRule="auto"/>
              <w:jc w:val="center"/>
              <w:rPr>
                <w:rFonts w:ascii="Arial" w:eastAsia="MS Mincho" w:hAnsi="Arial" w:cs="Arial"/>
                <w:b/>
                <w:sz w:val="20"/>
                <w:szCs w:val="20"/>
                <w:lang w:val="en-US"/>
              </w:rPr>
            </w:pPr>
            <w:r w:rsidRPr="00230AC3">
              <w:rPr>
                <w:rFonts w:ascii="Arial" w:eastAsia="MS Mincho" w:hAnsi="Arial" w:cs="Arial"/>
                <w:b/>
                <w:sz w:val="20"/>
                <w:szCs w:val="20"/>
                <w:lang w:val="en-US"/>
              </w:rPr>
              <w:t>Cohort A</w:t>
            </w:r>
          </w:p>
          <w:p w14:paraId="7CF35B95" w14:textId="77777777" w:rsidR="0088047D" w:rsidRPr="00230AC3" w:rsidRDefault="0088047D" w:rsidP="0088047D">
            <w:pPr>
              <w:spacing w:before="60" w:after="60" w:line="240" w:lineRule="auto"/>
              <w:jc w:val="center"/>
              <w:rPr>
                <w:rFonts w:ascii="Arial" w:eastAsia="MS Mincho" w:hAnsi="Arial" w:cs="Arial"/>
                <w:b/>
                <w:sz w:val="20"/>
                <w:szCs w:val="20"/>
                <w:lang w:val="en-US"/>
              </w:rPr>
            </w:pPr>
            <w:r w:rsidRPr="00230AC3">
              <w:rPr>
                <w:rFonts w:ascii="Arial" w:eastAsia="MS Mincho" w:hAnsi="Arial" w:cs="Arial"/>
                <w:b/>
                <w:sz w:val="20"/>
                <w:szCs w:val="20"/>
                <w:lang w:val="en-US"/>
              </w:rPr>
              <w:t>N=15</w:t>
            </w:r>
          </w:p>
        </w:tc>
        <w:tc>
          <w:tcPr>
            <w:tcW w:w="1031" w:type="pct"/>
            <w:gridSpan w:val="2"/>
            <w:tcBorders>
              <w:top w:val="nil"/>
              <w:left w:val="nil"/>
              <w:bottom w:val="single" w:sz="4" w:space="0" w:color="auto"/>
              <w:right w:val="nil"/>
            </w:tcBorders>
            <w:vAlign w:val="center"/>
          </w:tcPr>
          <w:p w14:paraId="1F0D58EB" w14:textId="77777777" w:rsidR="0088047D" w:rsidRPr="00230AC3" w:rsidRDefault="0088047D" w:rsidP="0088047D">
            <w:pPr>
              <w:spacing w:before="60" w:after="60" w:line="240" w:lineRule="auto"/>
              <w:jc w:val="center"/>
              <w:rPr>
                <w:rFonts w:ascii="Arial" w:eastAsia="MS Mincho" w:hAnsi="Arial" w:cs="Arial"/>
                <w:b/>
                <w:sz w:val="20"/>
                <w:szCs w:val="20"/>
                <w:lang w:val="en-US"/>
              </w:rPr>
            </w:pPr>
            <w:r w:rsidRPr="00230AC3">
              <w:rPr>
                <w:rFonts w:ascii="Arial" w:eastAsia="MS Mincho" w:hAnsi="Arial" w:cs="Arial"/>
                <w:b/>
                <w:sz w:val="20"/>
                <w:szCs w:val="20"/>
                <w:lang w:val="en-US"/>
              </w:rPr>
              <w:t>Cohort B</w:t>
            </w:r>
          </w:p>
          <w:p w14:paraId="5E18F787" w14:textId="77777777" w:rsidR="0088047D" w:rsidRPr="00230AC3" w:rsidRDefault="0088047D" w:rsidP="0088047D">
            <w:pPr>
              <w:spacing w:before="60" w:after="60" w:line="240" w:lineRule="auto"/>
              <w:jc w:val="center"/>
              <w:rPr>
                <w:rFonts w:ascii="Arial" w:eastAsia="MS Mincho" w:hAnsi="Arial" w:cs="Arial"/>
                <w:b/>
                <w:sz w:val="20"/>
                <w:szCs w:val="20"/>
                <w:lang w:val="en-US"/>
              </w:rPr>
            </w:pPr>
            <w:r w:rsidRPr="00230AC3">
              <w:rPr>
                <w:rFonts w:ascii="Arial" w:eastAsia="MS Mincho" w:hAnsi="Arial" w:cs="Arial"/>
                <w:b/>
                <w:sz w:val="20"/>
                <w:szCs w:val="20"/>
                <w:lang w:val="en-US"/>
              </w:rPr>
              <w:t>N=18</w:t>
            </w:r>
          </w:p>
        </w:tc>
      </w:tr>
      <w:tr w:rsidR="0088047D" w:rsidRPr="00EF5885" w14:paraId="3AF5E2A6" w14:textId="77777777" w:rsidTr="00220835">
        <w:trPr>
          <w:gridAfter w:val="1"/>
          <w:wAfter w:w="71" w:type="pct"/>
          <w:trHeight w:val="288"/>
        </w:trPr>
        <w:tc>
          <w:tcPr>
            <w:tcW w:w="3898" w:type="pct"/>
            <w:gridSpan w:val="8"/>
            <w:tcBorders>
              <w:top w:val="single" w:sz="4" w:space="0" w:color="auto"/>
              <w:left w:val="nil"/>
              <w:bottom w:val="nil"/>
              <w:right w:val="nil"/>
            </w:tcBorders>
            <w:shd w:val="clear" w:color="auto" w:fill="auto"/>
          </w:tcPr>
          <w:p w14:paraId="77AA0813" w14:textId="77777777" w:rsidR="0088047D" w:rsidRPr="00EF5885" w:rsidRDefault="0088047D" w:rsidP="0088047D">
            <w:pPr>
              <w:spacing w:before="60" w:after="60" w:line="240" w:lineRule="auto"/>
              <w:rPr>
                <w:rFonts w:ascii="Arial" w:hAnsi="Arial" w:cs="Arial"/>
                <w:b/>
                <w:sz w:val="20"/>
                <w:szCs w:val="20"/>
              </w:rPr>
            </w:pPr>
            <w:r w:rsidRPr="00EF5885">
              <w:rPr>
                <w:rFonts w:ascii="Arial" w:hAnsi="Arial" w:cs="Arial"/>
                <w:b/>
                <w:sz w:val="20"/>
                <w:szCs w:val="20"/>
              </w:rPr>
              <w:t>Overall intracranial response rate,% (95% CI)</w:t>
            </w:r>
            <w:r w:rsidRPr="00EF5885">
              <w:rPr>
                <w:rFonts w:ascii="Arial" w:eastAsia="MS Mincho" w:hAnsi="Arial" w:cs="Arial"/>
                <w:b/>
                <w:sz w:val="20"/>
                <w:szCs w:val="20"/>
                <w:vertAlign w:val="superscript"/>
                <w:lang w:val="en-US"/>
              </w:rPr>
              <w:t xml:space="preserve"> a</w:t>
            </w:r>
          </w:p>
        </w:tc>
        <w:tc>
          <w:tcPr>
            <w:tcW w:w="1031" w:type="pct"/>
            <w:gridSpan w:val="2"/>
            <w:tcBorders>
              <w:top w:val="single" w:sz="4" w:space="0" w:color="auto"/>
              <w:left w:val="nil"/>
              <w:bottom w:val="nil"/>
              <w:right w:val="nil"/>
            </w:tcBorders>
          </w:tcPr>
          <w:p w14:paraId="5104A9E0" w14:textId="77777777" w:rsidR="0088047D" w:rsidRPr="00EF5885" w:rsidRDefault="0088047D" w:rsidP="0088047D">
            <w:pPr>
              <w:rPr>
                <w:rFonts w:ascii="Arial" w:hAnsi="Arial" w:cs="Arial"/>
                <w:b/>
                <w:sz w:val="20"/>
                <w:szCs w:val="20"/>
              </w:rPr>
            </w:pPr>
          </w:p>
        </w:tc>
      </w:tr>
      <w:tr w:rsidR="0088047D" w:rsidRPr="00254BEF" w14:paraId="6CF6A004" w14:textId="77777777" w:rsidTr="00220835">
        <w:trPr>
          <w:gridAfter w:val="1"/>
          <w:wAfter w:w="72" w:type="pct"/>
          <w:trHeight w:val="288"/>
        </w:trPr>
        <w:tc>
          <w:tcPr>
            <w:tcW w:w="1027" w:type="pct"/>
            <w:gridSpan w:val="2"/>
            <w:tcBorders>
              <w:top w:val="nil"/>
              <w:left w:val="nil"/>
              <w:bottom w:val="single" w:sz="4" w:space="0" w:color="auto"/>
              <w:right w:val="nil"/>
            </w:tcBorders>
            <w:shd w:val="clear" w:color="auto" w:fill="auto"/>
          </w:tcPr>
          <w:p w14:paraId="0604BFD8" w14:textId="77777777" w:rsidR="0088047D" w:rsidRPr="00230AC3" w:rsidRDefault="0088047D" w:rsidP="0088047D">
            <w:pPr>
              <w:rPr>
                <w:rFonts w:ascii="Arial" w:eastAsia="MS Mincho" w:hAnsi="Arial" w:cs="Arial"/>
                <w:sz w:val="20"/>
                <w:szCs w:val="20"/>
                <w:lang w:val="en-US"/>
              </w:rPr>
            </w:pPr>
          </w:p>
        </w:tc>
        <w:tc>
          <w:tcPr>
            <w:tcW w:w="1100" w:type="pct"/>
            <w:gridSpan w:val="2"/>
            <w:tcBorders>
              <w:top w:val="nil"/>
              <w:left w:val="nil"/>
              <w:bottom w:val="single" w:sz="4" w:space="0" w:color="auto"/>
              <w:right w:val="nil"/>
            </w:tcBorders>
            <w:shd w:val="clear" w:color="auto" w:fill="auto"/>
          </w:tcPr>
          <w:p w14:paraId="7F406428"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39</w:t>
            </w:r>
            <w:r>
              <w:rPr>
                <w:rFonts w:ascii="Arial" w:hAnsi="Arial" w:cs="Arial"/>
                <w:sz w:val="20"/>
                <w:szCs w:val="20"/>
              </w:rPr>
              <w:t xml:space="preserve"> </w:t>
            </w:r>
            <w:r w:rsidRPr="00230AC3">
              <w:rPr>
                <w:rFonts w:ascii="Arial" w:hAnsi="Arial" w:cs="Arial"/>
                <w:sz w:val="20"/>
                <w:szCs w:val="20"/>
              </w:rPr>
              <w:t>% (28.0, 51.2)</w:t>
            </w:r>
          </w:p>
          <w:p w14:paraId="644F568E"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P&lt;0.001</w:t>
            </w:r>
          </w:p>
        </w:tc>
        <w:tc>
          <w:tcPr>
            <w:tcW w:w="942" w:type="pct"/>
            <w:gridSpan w:val="2"/>
            <w:tcBorders>
              <w:top w:val="nil"/>
              <w:left w:val="nil"/>
              <w:bottom w:val="single" w:sz="4" w:space="0" w:color="auto"/>
              <w:right w:val="nil"/>
            </w:tcBorders>
            <w:shd w:val="clear" w:color="auto" w:fill="auto"/>
          </w:tcPr>
          <w:p w14:paraId="52B86186"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31</w:t>
            </w:r>
            <w:r>
              <w:rPr>
                <w:rFonts w:ascii="Arial" w:hAnsi="Arial" w:cs="Arial"/>
                <w:sz w:val="20"/>
                <w:szCs w:val="20"/>
              </w:rPr>
              <w:t xml:space="preserve"> </w:t>
            </w:r>
            <w:r w:rsidRPr="00230AC3">
              <w:rPr>
                <w:rFonts w:ascii="Arial" w:hAnsi="Arial" w:cs="Arial"/>
                <w:sz w:val="20"/>
                <w:szCs w:val="20"/>
              </w:rPr>
              <w:t>% (19.9, 43.4)</w:t>
            </w:r>
          </w:p>
          <w:p w14:paraId="068226A7"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P&lt;0.001</w:t>
            </w:r>
            <w:r w:rsidRPr="00230AC3">
              <w:rPr>
                <w:rFonts w:ascii="Arial" w:hAnsi="Arial" w:cs="Arial"/>
                <w:sz w:val="20"/>
                <w:szCs w:val="20"/>
                <w:vertAlign w:val="superscript"/>
              </w:rPr>
              <w:t>b</w:t>
            </w:r>
          </w:p>
        </w:tc>
        <w:tc>
          <w:tcPr>
            <w:tcW w:w="828" w:type="pct"/>
            <w:gridSpan w:val="2"/>
            <w:tcBorders>
              <w:top w:val="nil"/>
              <w:left w:val="nil"/>
              <w:bottom w:val="single" w:sz="4" w:space="0" w:color="auto"/>
              <w:right w:val="nil"/>
            </w:tcBorders>
          </w:tcPr>
          <w:p w14:paraId="4A118765"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7</w:t>
            </w:r>
            <w:r>
              <w:rPr>
                <w:rFonts w:ascii="Arial" w:hAnsi="Arial" w:cs="Arial"/>
                <w:sz w:val="20"/>
                <w:szCs w:val="20"/>
              </w:rPr>
              <w:t xml:space="preserve"> </w:t>
            </w:r>
            <w:r w:rsidRPr="00230AC3">
              <w:rPr>
                <w:rFonts w:ascii="Arial" w:hAnsi="Arial" w:cs="Arial"/>
                <w:sz w:val="20"/>
                <w:szCs w:val="20"/>
              </w:rPr>
              <w:t>% (0.2, 31.9)</w:t>
            </w:r>
          </w:p>
        </w:tc>
        <w:tc>
          <w:tcPr>
            <w:tcW w:w="1031" w:type="pct"/>
            <w:gridSpan w:val="2"/>
            <w:tcBorders>
              <w:top w:val="nil"/>
              <w:left w:val="nil"/>
              <w:bottom w:val="single" w:sz="4" w:space="0" w:color="auto"/>
              <w:right w:val="nil"/>
            </w:tcBorders>
          </w:tcPr>
          <w:p w14:paraId="1D840669"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22</w:t>
            </w:r>
            <w:r>
              <w:rPr>
                <w:rFonts w:ascii="Arial" w:hAnsi="Arial" w:cs="Arial"/>
                <w:sz w:val="20"/>
                <w:szCs w:val="20"/>
              </w:rPr>
              <w:t xml:space="preserve"> </w:t>
            </w:r>
            <w:r w:rsidRPr="00230AC3">
              <w:rPr>
                <w:rFonts w:ascii="Arial" w:hAnsi="Arial" w:cs="Arial"/>
                <w:sz w:val="20"/>
                <w:szCs w:val="20"/>
              </w:rPr>
              <w:t>% (6.4, 47.6)</w:t>
            </w:r>
          </w:p>
        </w:tc>
      </w:tr>
      <w:tr w:rsidR="0088047D" w:rsidRPr="00EF5885" w14:paraId="7342EE5D" w14:textId="77777777" w:rsidTr="00220835">
        <w:trPr>
          <w:gridAfter w:val="1"/>
          <w:wAfter w:w="71" w:type="pct"/>
          <w:trHeight w:val="288"/>
        </w:trPr>
        <w:tc>
          <w:tcPr>
            <w:tcW w:w="4929" w:type="pct"/>
            <w:gridSpan w:val="10"/>
            <w:tcBorders>
              <w:top w:val="single" w:sz="4" w:space="0" w:color="auto"/>
              <w:left w:val="nil"/>
              <w:bottom w:val="nil"/>
              <w:right w:val="nil"/>
            </w:tcBorders>
            <w:shd w:val="clear" w:color="auto" w:fill="auto"/>
          </w:tcPr>
          <w:p w14:paraId="4C65AA4B" w14:textId="77777777" w:rsidR="0088047D" w:rsidRPr="00EF5885" w:rsidRDefault="0088047D" w:rsidP="0088047D">
            <w:pPr>
              <w:spacing w:before="60" w:after="60" w:line="240" w:lineRule="auto"/>
              <w:rPr>
                <w:rFonts w:ascii="Arial" w:hAnsi="Arial" w:cs="Arial"/>
                <w:b/>
                <w:sz w:val="20"/>
                <w:szCs w:val="20"/>
              </w:rPr>
            </w:pPr>
            <w:r w:rsidRPr="00EF5885">
              <w:rPr>
                <w:rFonts w:ascii="Arial" w:hAnsi="Arial" w:cs="Arial"/>
                <w:b/>
                <w:sz w:val="20"/>
                <w:szCs w:val="20"/>
              </w:rPr>
              <w:t>Duration of intracranial response, median months (95% CI)</w:t>
            </w:r>
          </w:p>
        </w:tc>
      </w:tr>
      <w:tr w:rsidR="0088047D" w:rsidRPr="00254BEF" w14:paraId="25E0FBB7" w14:textId="77777777" w:rsidTr="00220835">
        <w:trPr>
          <w:gridAfter w:val="1"/>
          <w:wAfter w:w="72" w:type="pct"/>
          <w:trHeight w:val="288"/>
        </w:trPr>
        <w:tc>
          <w:tcPr>
            <w:tcW w:w="1027" w:type="pct"/>
            <w:gridSpan w:val="2"/>
            <w:tcBorders>
              <w:top w:val="nil"/>
              <w:left w:val="nil"/>
              <w:bottom w:val="single" w:sz="4" w:space="0" w:color="auto"/>
              <w:right w:val="nil"/>
            </w:tcBorders>
            <w:shd w:val="clear" w:color="auto" w:fill="auto"/>
          </w:tcPr>
          <w:p w14:paraId="69BF4DEF" w14:textId="77777777" w:rsidR="0088047D" w:rsidRPr="00230AC3" w:rsidRDefault="0088047D" w:rsidP="0088047D">
            <w:pPr>
              <w:rPr>
                <w:rFonts w:ascii="Arial" w:eastAsia="MS Mincho" w:hAnsi="Arial" w:cs="Arial"/>
                <w:sz w:val="20"/>
                <w:szCs w:val="20"/>
                <w:lang w:val="en-US"/>
              </w:rPr>
            </w:pPr>
          </w:p>
        </w:tc>
        <w:tc>
          <w:tcPr>
            <w:tcW w:w="1100" w:type="pct"/>
            <w:gridSpan w:val="2"/>
            <w:tcBorders>
              <w:top w:val="nil"/>
              <w:left w:val="nil"/>
              <w:bottom w:val="single" w:sz="4" w:space="0" w:color="auto"/>
              <w:right w:val="nil"/>
            </w:tcBorders>
            <w:shd w:val="clear" w:color="auto" w:fill="auto"/>
          </w:tcPr>
          <w:p w14:paraId="6B1DB63E" w14:textId="77777777" w:rsidR="0088047D" w:rsidRPr="00230AC3" w:rsidRDefault="0088047D" w:rsidP="0088047D">
            <w:pPr>
              <w:jc w:val="center"/>
              <w:rPr>
                <w:rFonts w:ascii="Arial" w:hAnsi="Arial" w:cs="Arial"/>
                <w:sz w:val="20"/>
                <w:szCs w:val="20"/>
              </w:rPr>
            </w:pPr>
            <w:r w:rsidRPr="00230AC3">
              <w:rPr>
                <w:rFonts w:ascii="Arial" w:hAnsi="Arial" w:cs="Arial"/>
                <w:sz w:val="20"/>
                <w:szCs w:val="20"/>
                <w:lang w:val="en-US"/>
              </w:rPr>
              <w:t>N=29</w:t>
            </w:r>
          </w:p>
          <w:p w14:paraId="6DE5625B"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4.6 (2.8, NR)</w:t>
            </w:r>
          </w:p>
        </w:tc>
        <w:tc>
          <w:tcPr>
            <w:tcW w:w="942" w:type="pct"/>
            <w:gridSpan w:val="2"/>
            <w:tcBorders>
              <w:top w:val="nil"/>
              <w:left w:val="nil"/>
              <w:bottom w:val="single" w:sz="4" w:space="0" w:color="auto"/>
              <w:right w:val="nil"/>
            </w:tcBorders>
            <w:shd w:val="clear" w:color="auto" w:fill="auto"/>
          </w:tcPr>
          <w:p w14:paraId="13FB2463" w14:textId="77777777" w:rsidR="0088047D" w:rsidRPr="00230AC3" w:rsidRDefault="0088047D" w:rsidP="0088047D">
            <w:pPr>
              <w:jc w:val="center"/>
              <w:rPr>
                <w:rFonts w:ascii="Arial" w:hAnsi="Arial" w:cs="Arial"/>
                <w:sz w:val="20"/>
                <w:szCs w:val="20"/>
              </w:rPr>
            </w:pPr>
            <w:r w:rsidRPr="00230AC3">
              <w:rPr>
                <w:rFonts w:ascii="Arial" w:hAnsi="Arial" w:cs="Arial"/>
                <w:sz w:val="20"/>
                <w:szCs w:val="20"/>
                <w:lang w:val="en-US"/>
              </w:rPr>
              <w:t>N=20</w:t>
            </w:r>
          </w:p>
          <w:p w14:paraId="24AFB006"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6.5 (4.6, 6.5)</w:t>
            </w:r>
          </w:p>
        </w:tc>
        <w:tc>
          <w:tcPr>
            <w:tcW w:w="828" w:type="pct"/>
            <w:gridSpan w:val="2"/>
            <w:tcBorders>
              <w:top w:val="nil"/>
              <w:left w:val="nil"/>
              <w:bottom w:val="single" w:sz="4" w:space="0" w:color="auto"/>
              <w:right w:val="nil"/>
            </w:tcBorders>
          </w:tcPr>
          <w:p w14:paraId="0300A9A7" w14:textId="77777777" w:rsidR="0088047D" w:rsidRPr="00230AC3" w:rsidRDefault="0088047D" w:rsidP="0088047D">
            <w:pPr>
              <w:jc w:val="center"/>
              <w:rPr>
                <w:rFonts w:ascii="Arial" w:hAnsi="Arial" w:cs="Arial"/>
                <w:sz w:val="20"/>
                <w:szCs w:val="20"/>
              </w:rPr>
            </w:pPr>
            <w:r w:rsidRPr="00230AC3">
              <w:rPr>
                <w:rFonts w:ascii="Arial" w:hAnsi="Arial" w:cs="Arial"/>
                <w:sz w:val="20"/>
                <w:szCs w:val="20"/>
                <w:lang w:val="en-US"/>
              </w:rPr>
              <w:t>N=1</w:t>
            </w:r>
          </w:p>
          <w:p w14:paraId="4B792C7B"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2.9 (NR, NR)</w:t>
            </w:r>
          </w:p>
        </w:tc>
        <w:tc>
          <w:tcPr>
            <w:tcW w:w="1031" w:type="pct"/>
            <w:gridSpan w:val="2"/>
            <w:tcBorders>
              <w:top w:val="nil"/>
              <w:left w:val="nil"/>
              <w:bottom w:val="single" w:sz="4" w:space="0" w:color="auto"/>
              <w:right w:val="nil"/>
            </w:tcBorders>
          </w:tcPr>
          <w:p w14:paraId="02AC491A" w14:textId="77777777" w:rsidR="0088047D" w:rsidRPr="00230AC3" w:rsidRDefault="0088047D" w:rsidP="0088047D">
            <w:pPr>
              <w:jc w:val="center"/>
              <w:rPr>
                <w:rFonts w:ascii="Arial" w:hAnsi="Arial" w:cs="Arial"/>
                <w:sz w:val="20"/>
                <w:szCs w:val="20"/>
              </w:rPr>
            </w:pPr>
            <w:r w:rsidRPr="00230AC3">
              <w:rPr>
                <w:rFonts w:ascii="Arial" w:hAnsi="Arial" w:cs="Arial"/>
                <w:sz w:val="20"/>
                <w:szCs w:val="20"/>
                <w:lang w:val="en-US"/>
              </w:rPr>
              <w:t>N=4</w:t>
            </w:r>
          </w:p>
          <w:p w14:paraId="267D0978"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3.8 (NR, NR)</w:t>
            </w:r>
          </w:p>
        </w:tc>
      </w:tr>
      <w:tr w:rsidR="0088047D" w:rsidRPr="00EF5885" w14:paraId="0E942228" w14:textId="77777777" w:rsidTr="00220835">
        <w:trPr>
          <w:gridBefore w:val="1"/>
          <w:wBefore w:w="69" w:type="pct"/>
          <w:trHeight w:val="288"/>
        </w:trPr>
        <w:tc>
          <w:tcPr>
            <w:tcW w:w="4931" w:type="pct"/>
            <w:gridSpan w:val="10"/>
            <w:tcBorders>
              <w:top w:val="single" w:sz="4" w:space="0" w:color="auto"/>
              <w:left w:val="nil"/>
              <w:bottom w:val="nil"/>
              <w:right w:val="nil"/>
            </w:tcBorders>
            <w:shd w:val="clear" w:color="auto" w:fill="auto"/>
          </w:tcPr>
          <w:p w14:paraId="43257206" w14:textId="77777777" w:rsidR="0088047D" w:rsidRPr="00EF5885" w:rsidRDefault="0088047D" w:rsidP="0088047D">
            <w:pPr>
              <w:spacing w:before="60" w:after="60" w:line="240" w:lineRule="auto"/>
              <w:rPr>
                <w:rFonts w:ascii="Arial" w:hAnsi="Arial" w:cs="Arial"/>
                <w:b/>
                <w:sz w:val="20"/>
                <w:szCs w:val="20"/>
                <w:lang w:val="en-US"/>
              </w:rPr>
            </w:pPr>
            <w:r w:rsidRPr="00EF5885">
              <w:rPr>
                <w:rFonts w:ascii="Arial" w:hAnsi="Arial" w:cs="Arial"/>
                <w:b/>
                <w:sz w:val="20"/>
                <w:szCs w:val="20"/>
              </w:rPr>
              <w:t>Overall response,% (95% CI)</w:t>
            </w:r>
            <w:r w:rsidRPr="00EF5885">
              <w:rPr>
                <w:rFonts w:ascii="Arial" w:eastAsia="MS Mincho" w:hAnsi="Arial" w:cs="Arial"/>
                <w:b/>
                <w:sz w:val="20"/>
                <w:szCs w:val="20"/>
                <w:vertAlign w:val="superscript"/>
                <w:lang w:val="en-US"/>
              </w:rPr>
              <w:t xml:space="preserve"> a</w:t>
            </w:r>
          </w:p>
        </w:tc>
      </w:tr>
      <w:tr w:rsidR="0088047D" w:rsidRPr="00254BEF" w14:paraId="4F856284" w14:textId="77777777" w:rsidTr="00220835">
        <w:trPr>
          <w:gridBefore w:val="1"/>
          <w:wBefore w:w="69" w:type="pct"/>
          <w:trHeight w:val="288"/>
        </w:trPr>
        <w:tc>
          <w:tcPr>
            <w:tcW w:w="1029" w:type="pct"/>
            <w:gridSpan w:val="2"/>
            <w:tcBorders>
              <w:top w:val="nil"/>
              <w:left w:val="nil"/>
              <w:bottom w:val="single" w:sz="4" w:space="0" w:color="auto"/>
              <w:right w:val="nil"/>
            </w:tcBorders>
            <w:shd w:val="clear" w:color="auto" w:fill="auto"/>
          </w:tcPr>
          <w:p w14:paraId="63EF0111" w14:textId="77777777" w:rsidR="0088047D" w:rsidRPr="00230AC3" w:rsidRDefault="0088047D" w:rsidP="0088047D">
            <w:pPr>
              <w:jc w:val="center"/>
              <w:rPr>
                <w:rFonts w:ascii="Arial" w:eastAsia="MS Mincho" w:hAnsi="Arial" w:cs="Arial"/>
                <w:sz w:val="20"/>
                <w:szCs w:val="20"/>
                <w:lang w:val="en-US"/>
              </w:rPr>
            </w:pPr>
          </w:p>
        </w:tc>
        <w:tc>
          <w:tcPr>
            <w:tcW w:w="1100" w:type="pct"/>
            <w:gridSpan w:val="2"/>
            <w:tcBorders>
              <w:top w:val="nil"/>
              <w:left w:val="nil"/>
              <w:bottom w:val="single" w:sz="4" w:space="0" w:color="auto"/>
              <w:right w:val="nil"/>
            </w:tcBorders>
            <w:shd w:val="clear" w:color="auto" w:fill="auto"/>
          </w:tcPr>
          <w:p w14:paraId="6308CD47"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38</w:t>
            </w:r>
            <w:r>
              <w:rPr>
                <w:rFonts w:ascii="Arial" w:hAnsi="Arial" w:cs="Arial"/>
                <w:sz w:val="20"/>
                <w:szCs w:val="20"/>
              </w:rPr>
              <w:t xml:space="preserve"> </w:t>
            </w:r>
            <w:r w:rsidRPr="00230AC3">
              <w:rPr>
                <w:rFonts w:ascii="Arial" w:hAnsi="Arial" w:cs="Arial"/>
                <w:sz w:val="20"/>
                <w:szCs w:val="20"/>
              </w:rPr>
              <w:t>% (26.8, 49.9)</w:t>
            </w:r>
          </w:p>
        </w:tc>
        <w:tc>
          <w:tcPr>
            <w:tcW w:w="942" w:type="pct"/>
            <w:gridSpan w:val="2"/>
            <w:tcBorders>
              <w:top w:val="nil"/>
              <w:left w:val="nil"/>
              <w:bottom w:val="single" w:sz="4" w:space="0" w:color="auto"/>
              <w:right w:val="nil"/>
            </w:tcBorders>
            <w:shd w:val="clear" w:color="auto" w:fill="auto"/>
          </w:tcPr>
          <w:p w14:paraId="63B81068"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31</w:t>
            </w:r>
            <w:r>
              <w:rPr>
                <w:rFonts w:ascii="Arial" w:hAnsi="Arial" w:cs="Arial"/>
                <w:sz w:val="20"/>
                <w:szCs w:val="20"/>
              </w:rPr>
              <w:t xml:space="preserve"> </w:t>
            </w:r>
            <w:r w:rsidRPr="00230AC3">
              <w:rPr>
                <w:rFonts w:ascii="Arial" w:hAnsi="Arial" w:cs="Arial"/>
                <w:sz w:val="20"/>
                <w:szCs w:val="20"/>
              </w:rPr>
              <w:t>% (19.9, 43.4)</w:t>
            </w:r>
          </w:p>
        </w:tc>
        <w:tc>
          <w:tcPr>
            <w:tcW w:w="828" w:type="pct"/>
            <w:gridSpan w:val="2"/>
            <w:tcBorders>
              <w:top w:val="nil"/>
              <w:left w:val="nil"/>
              <w:bottom w:val="single" w:sz="4" w:space="0" w:color="auto"/>
              <w:right w:val="nil"/>
            </w:tcBorders>
          </w:tcPr>
          <w:p w14:paraId="275A4A0A"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0 (0, 21.8)</w:t>
            </w:r>
          </w:p>
        </w:tc>
        <w:tc>
          <w:tcPr>
            <w:tcW w:w="1031" w:type="pct"/>
            <w:gridSpan w:val="2"/>
            <w:tcBorders>
              <w:top w:val="nil"/>
              <w:left w:val="nil"/>
              <w:bottom w:val="single" w:sz="4" w:space="0" w:color="auto"/>
              <w:right w:val="nil"/>
            </w:tcBorders>
          </w:tcPr>
          <w:p w14:paraId="4DD71675"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28</w:t>
            </w:r>
            <w:r>
              <w:rPr>
                <w:rFonts w:ascii="Arial" w:hAnsi="Arial" w:cs="Arial"/>
                <w:sz w:val="20"/>
                <w:szCs w:val="20"/>
              </w:rPr>
              <w:t xml:space="preserve"> </w:t>
            </w:r>
            <w:r w:rsidRPr="00230AC3">
              <w:rPr>
                <w:rFonts w:ascii="Arial" w:hAnsi="Arial" w:cs="Arial"/>
                <w:sz w:val="20"/>
                <w:szCs w:val="20"/>
              </w:rPr>
              <w:t>% (9.7, 53.5)</w:t>
            </w:r>
          </w:p>
        </w:tc>
      </w:tr>
      <w:tr w:rsidR="0088047D" w:rsidRPr="00EF5885" w14:paraId="555028CC" w14:textId="77777777" w:rsidTr="00220835">
        <w:trPr>
          <w:gridBefore w:val="1"/>
          <w:wBefore w:w="69" w:type="pct"/>
          <w:trHeight w:val="288"/>
        </w:trPr>
        <w:tc>
          <w:tcPr>
            <w:tcW w:w="4931" w:type="pct"/>
            <w:gridSpan w:val="10"/>
            <w:tcBorders>
              <w:top w:val="single" w:sz="4" w:space="0" w:color="auto"/>
              <w:left w:val="nil"/>
              <w:bottom w:val="nil"/>
              <w:right w:val="nil"/>
            </w:tcBorders>
            <w:shd w:val="clear" w:color="auto" w:fill="auto"/>
          </w:tcPr>
          <w:p w14:paraId="4B213DE4" w14:textId="77777777" w:rsidR="0088047D" w:rsidRPr="00EF5885" w:rsidRDefault="0088047D" w:rsidP="0088047D">
            <w:pPr>
              <w:spacing w:before="60" w:after="60" w:line="240" w:lineRule="auto"/>
              <w:rPr>
                <w:rFonts w:ascii="Arial" w:hAnsi="Arial" w:cs="Arial"/>
                <w:b/>
                <w:sz w:val="20"/>
                <w:szCs w:val="20"/>
              </w:rPr>
            </w:pPr>
            <w:r w:rsidRPr="00EF5885">
              <w:rPr>
                <w:rFonts w:ascii="Arial" w:hAnsi="Arial" w:cs="Arial"/>
                <w:b/>
                <w:sz w:val="20"/>
                <w:szCs w:val="20"/>
              </w:rPr>
              <w:t>Duration of response, median months (95% CI)</w:t>
            </w:r>
          </w:p>
        </w:tc>
      </w:tr>
      <w:tr w:rsidR="0088047D" w:rsidRPr="00254BEF" w14:paraId="727FA8BF" w14:textId="77777777" w:rsidTr="00220835">
        <w:trPr>
          <w:gridBefore w:val="1"/>
          <w:wBefore w:w="69" w:type="pct"/>
          <w:trHeight w:val="288"/>
        </w:trPr>
        <w:tc>
          <w:tcPr>
            <w:tcW w:w="1029" w:type="pct"/>
            <w:gridSpan w:val="2"/>
            <w:tcBorders>
              <w:top w:val="nil"/>
              <w:left w:val="nil"/>
              <w:bottom w:val="single" w:sz="4" w:space="0" w:color="auto"/>
              <w:right w:val="nil"/>
            </w:tcBorders>
            <w:shd w:val="clear" w:color="auto" w:fill="auto"/>
          </w:tcPr>
          <w:p w14:paraId="7F39F332" w14:textId="77777777" w:rsidR="0088047D" w:rsidRPr="00230AC3" w:rsidRDefault="0088047D" w:rsidP="0088047D">
            <w:pPr>
              <w:jc w:val="center"/>
              <w:rPr>
                <w:rFonts w:ascii="Arial" w:eastAsia="MS Mincho" w:hAnsi="Arial" w:cs="Arial"/>
                <w:sz w:val="20"/>
                <w:szCs w:val="20"/>
                <w:lang w:val="en-US"/>
              </w:rPr>
            </w:pPr>
          </w:p>
        </w:tc>
        <w:tc>
          <w:tcPr>
            <w:tcW w:w="1100" w:type="pct"/>
            <w:gridSpan w:val="2"/>
            <w:tcBorders>
              <w:top w:val="nil"/>
              <w:left w:val="nil"/>
              <w:bottom w:val="single" w:sz="4" w:space="0" w:color="auto"/>
              <w:right w:val="nil"/>
            </w:tcBorders>
            <w:shd w:val="clear" w:color="auto" w:fill="auto"/>
          </w:tcPr>
          <w:p w14:paraId="6D33C43D" w14:textId="77777777" w:rsidR="0088047D" w:rsidRPr="00230AC3" w:rsidRDefault="0088047D" w:rsidP="0088047D">
            <w:pPr>
              <w:jc w:val="center"/>
              <w:rPr>
                <w:rFonts w:ascii="Arial" w:hAnsi="Arial" w:cs="Arial"/>
                <w:sz w:val="20"/>
                <w:szCs w:val="20"/>
              </w:rPr>
            </w:pPr>
            <w:r w:rsidRPr="00230AC3">
              <w:rPr>
                <w:rFonts w:ascii="Arial" w:hAnsi="Arial" w:cs="Arial"/>
                <w:sz w:val="20"/>
                <w:szCs w:val="20"/>
                <w:lang w:val="en-US"/>
              </w:rPr>
              <w:t>N=28</w:t>
            </w:r>
          </w:p>
          <w:p w14:paraId="75FC5AC2" w14:textId="77777777" w:rsidR="0088047D" w:rsidRPr="00230AC3" w:rsidRDefault="0088047D" w:rsidP="0088047D">
            <w:pPr>
              <w:jc w:val="center"/>
              <w:rPr>
                <w:rFonts w:ascii="Arial" w:hAnsi="Arial" w:cs="Arial"/>
                <w:sz w:val="20"/>
                <w:szCs w:val="20"/>
              </w:rPr>
            </w:pPr>
            <w:r w:rsidRPr="00230AC3">
              <w:rPr>
                <w:rFonts w:ascii="Arial" w:hAnsi="Arial" w:cs="Arial"/>
                <w:sz w:val="20"/>
                <w:szCs w:val="20"/>
                <w:lang w:val="en-US"/>
              </w:rPr>
              <w:t>5.1 (3.7, NR)</w:t>
            </w:r>
          </w:p>
        </w:tc>
        <w:tc>
          <w:tcPr>
            <w:tcW w:w="942" w:type="pct"/>
            <w:gridSpan w:val="2"/>
            <w:tcBorders>
              <w:top w:val="nil"/>
              <w:left w:val="nil"/>
              <w:bottom w:val="single" w:sz="4" w:space="0" w:color="auto"/>
              <w:right w:val="nil"/>
            </w:tcBorders>
            <w:shd w:val="clear" w:color="auto" w:fill="auto"/>
          </w:tcPr>
          <w:p w14:paraId="6D32B564" w14:textId="77777777" w:rsidR="0088047D" w:rsidRPr="00230AC3" w:rsidRDefault="0088047D" w:rsidP="0088047D">
            <w:pPr>
              <w:jc w:val="center"/>
              <w:rPr>
                <w:rFonts w:ascii="Arial" w:hAnsi="Arial" w:cs="Arial"/>
                <w:sz w:val="20"/>
                <w:szCs w:val="20"/>
              </w:rPr>
            </w:pPr>
            <w:r w:rsidRPr="00230AC3">
              <w:rPr>
                <w:rFonts w:ascii="Arial" w:hAnsi="Arial" w:cs="Arial"/>
                <w:sz w:val="20"/>
                <w:szCs w:val="20"/>
                <w:lang w:val="en-US"/>
              </w:rPr>
              <w:t>N=20</w:t>
            </w:r>
          </w:p>
          <w:p w14:paraId="4D65B357" w14:textId="77777777" w:rsidR="0088047D" w:rsidRPr="00230AC3" w:rsidRDefault="0088047D" w:rsidP="0088047D">
            <w:pPr>
              <w:jc w:val="center"/>
              <w:rPr>
                <w:rFonts w:ascii="Arial" w:hAnsi="Arial" w:cs="Arial"/>
                <w:sz w:val="20"/>
                <w:szCs w:val="20"/>
              </w:rPr>
            </w:pPr>
            <w:r w:rsidRPr="00230AC3">
              <w:rPr>
                <w:rFonts w:ascii="Arial" w:hAnsi="Arial" w:cs="Arial"/>
                <w:sz w:val="20"/>
                <w:szCs w:val="20"/>
                <w:lang w:val="en-US"/>
              </w:rPr>
              <w:t>4.6 (4.6, 6.5)</w:t>
            </w:r>
          </w:p>
        </w:tc>
        <w:tc>
          <w:tcPr>
            <w:tcW w:w="828" w:type="pct"/>
            <w:gridSpan w:val="2"/>
            <w:tcBorders>
              <w:top w:val="nil"/>
              <w:left w:val="nil"/>
              <w:bottom w:val="single" w:sz="4" w:space="0" w:color="auto"/>
              <w:right w:val="nil"/>
            </w:tcBorders>
          </w:tcPr>
          <w:p w14:paraId="519DEDBE" w14:textId="77777777" w:rsidR="0088047D" w:rsidRPr="00230AC3" w:rsidRDefault="0088047D" w:rsidP="0088047D">
            <w:pPr>
              <w:jc w:val="center"/>
              <w:rPr>
                <w:rFonts w:ascii="Arial" w:hAnsi="Arial" w:cs="Arial"/>
                <w:sz w:val="20"/>
                <w:szCs w:val="20"/>
              </w:rPr>
            </w:pPr>
            <w:r w:rsidRPr="00230AC3">
              <w:rPr>
                <w:rFonts w:ascii="Arial" w:hAnsi="Arial" w:cs="Arial"/>
                <w:sz w:val="20"/>
                <w:szCs w:val="20"/>
                <w:lang w:val="en-US"/>
              </w:rPr>
              <w:t>NA</w:t>
            </w:r>
          </w:p>
        </w:tc>
        <w:tc>
          <w:tcPr>
            <w:tcW w:w="1031" w:type="pct"/>
            <w:gridSpan w:val="2"/>
            <w:tcBorders>
              <w:top w:val="nil"/>
              <w:left w:val="nil"/>
              <w:bottom w:val="single" w:sz="4" w:space="0" w:color="auto"/>
              <w:right w:val="nil"/>
            </w:tcBorders>
          </w:tcPr>
          <w:p w14:paraId="32B66366" w14:textId="77777777" w:rsidR="0088047D" w:rsidRPr="00230AC3" w:rsidRDefault="0088047D" w:rsidP="0088047D">
            <w:pPr>
              <w:jc w:val="center"/>
              <w:rPr>
                <w:rFonts w:ascii="Arial" w:hAnsi="Arial" w:cs="Arial"/>
                <w:sz w:val="20"/>
                <w:szCs w:val="20"/>
              </w:rPr>
            </w:pPr>
            <w:r w:rsidRPr="00230AC3">
              <w:rPr>
                <w:rFonts w:ascii="Arial" w:hAnsi="Arial" w:cs="Arial"/>
                <w:sz w:val="20"/>
                <w:szCs w:val="20"/>
                <w:lang w:val="en-US"/>
              </w:rPr>
              <w:t>N=5</w:t>
            </w:r>
          </w:p>
          <w:p w14:paraId="1A0FFD93" w14:textId="77777777" w:rsidR="0088047D" w:rsidRPr="00230AC3" w:rsidRDefault="0088047D" w:rsidP="0088047D">
            <w:pPr>
              <w:jc w:val="center"/>
              <w:rPr>
                <w:rFonts w:ascii="Arial" w:hAnsi="Arial" w:cs="Arial"/>
                <w:sz w:val="20"/>
                <w:szCs w:val="20"/>
              </w:rPr>
            </w:pPr>
            <w:r w:rsidRPr="00230AC3">
              <w:rPr>
                <w:rFonts w:ascii="Arial" w:hAnsi="Arial" w:cs="Arial"/>
                <w:sz w:val="20"/>
                <w:szCs w:val="20"/>
                <w:lang w:val="en-US"/>
              </w:rPr>
              <w:t>3.1 (2.8, NR)</w:t>
            </w:r>
          </w:p>
        </w:tc>
      </w:tr>
      <w:tr w:rsidR="0088047D" w:rsidRPr="00EF5885" w14:paraId="21C93881" w14:textId="77777777" w:rsidTr="00220835">
        <w:trPr>
          <w:gridBefore w:val="1"/>
          <w:wBefore w:w="69" w:type="pct"/>
          <w:trHeight w:val="288"/>
        </w:trPr>
        <w:tc>
          <w:tcPr>
            <w:tcW w:w="4931" w:type="pct"/>
            <w:gridSpan w:val="10"/>
            <w:tcBorders>
              <w:top w:val="single" w:sz="4" w:space="0" w:color="auto"/>
              <w:left w:val="nil"/>
              <w:bottom w:val="nil"/>
              <w:right w:val="nil"/>
            </w:tcBorders>
            <w:shd w:val="clear" w:color="auto" w:fill="auto"/>
          </w:tcPr>
          <w:p w14:paraId="26799801" w14:textId="77777777" w:rsidR="0088047D" w:rsidRPr="00EF5885" w:rsidRDefault="0088047D" w:rsidP="0088047D">
            <w:pPr>
              <w:spacing w:before="60" w:after="60" w:line="240" w:lineRule="auto"/>
              <w:rPr>
                <w:rFonts w:ascii="Arial" w:hAnsi="Arial" w:cs="Arial"/>
                <w:b/>
                <w:sz w:val="20"/>
                <w:szCs w:val="20"/>
              </w:rPr>
            </w:pPr>
            <w:r w:rsidRPr="00EF5885">
              <w:rPr>
                <w:rFonts w:ascii="Arial" w:eastAsia="MS Mincho" w:hAnsi="Arial" w:cs="Arial"/>
                <w:b/>
                <w:sz w:val="20"/>
                <w:szCs w:val="20"/>
                <w:lang w:val="en-US"/>
              </w:rPr>
              <w:t>Progression-free survival, m</w:t>
            </w:r>
            <w:proofErr w:type="spellStart"/>
            <w:r w:rsidRPr="00EF5885">
              <w:rPr>
                <w:rFonts w:ascii="Arial" w:hAnsi="Arial" w:cs="Arial"/>
                <w:b/>
                <w:sz w:val="20"/>
                <w:szCs w:val="20"/>
              </w:rPr>
              <w:t>edian</w:t>
            </w:r>
            <w:proofErr w:type="spellEnd"/>
            <w:r w:rsidRPr="00EF5885">
              <w:rPr>
                <w:rFonts w:ascii="Arial" w:hAnsi="Arial" w:cs="Arial"/>
                <w:b/>
                <w:sz w:val="20"/>
                <w:szCs w:val="20"/>
              </w:rPr>
              <w:t xml:space="preserve"> months (95</w:t>
            </w:r>
            <w:r>
              <w:rPr>
                <w:rFonts w:ascii="Arial" w:hAnsi="Arial" w:cs="Arial"/>
                <w:b/>
                <w:sz w:val="20"/>
                <w:szCs w:val="20"/>
              </w:rPr>
              <w:t xml:space="preserve"> </w:t>
            </w:r>
            <w:r w:rsidRPr="00EF5885">
              <w:rPr>
                <w:rFonts w:ascii="Arial" w:hAnsi="Arial" w:cs="Arial"/>
                <w:b/>
                <w:sz w:val="20"/>
                <w:szCs w:val="20"/>
              </w:rPr>
              <w:t>% CI)</w:t>
            </w:r>
          </w:p>
        </w:tc>
      </w:tr>
      <w:tr w:rsidR="0088047D" w:rsidRPr="00254BEF" w14:paraId="057ADCF3" w14:textId="77777777" w:rsidTr="00220835">
        <w:trPr>
          <w:gridBefore w:val="1"/>
          <w:wBefore w:w="69" w:type="pct"/>
          <w:trHeight w:val="288"/>
        </w:trPr>
        <w:tc>
          <w:tcPr>
            <w:tcW w:w="1029" w:type="pct"/>
            <w:gridSpan w:val="2"/>
            <w:tcBorders>
              <w:top w:val="nil"/>
              <w:left w:val="nil"/>
              <w:bottom w:val="single" w:sz="4" w:space="0" w:color="auto"/>
              <w:right w:val="nil"/>
            </w:tcBorders>
            <w:shd w:val="clear" w:color="auto" w:fill="auto"/>
          </w:tcPr>
          <w:p w14:paraId="3F89740C" w14:textId="77777777" w:rsidR="0088047D" w:rsidRPr="00230AC3" w:rsidRDefault="0088047D" w:rsidP="0088047D">
            <w:pPr>
              <w:jc w:val="center"/>
              <w:rPr>
                <w:rFonts w:ascii="Arial" w:eastAsia="MS Mincho" w:hAnsi="Arial" w:cs="Arial"/>
                <w:sz w:val="20"/>
                <w:szCs w:val="20"/>
                <w:lang w:val="en-US"/>
              </w:rPr>
            </w:pPr>
          </w:p>
        </w:tc>
        <w:tc>
          <w:tcPr>
            <w:tcW w:w="1100" w:type="pct"/>
            <w:gridSpan w:val="2"/>
            <w:tcBorders>
              <w:top w:val="nil"/>
              <w:left w:val="nil"/>
              <w:bottom w:val="single" w:sz="4" w:space="0" w:color="auto"/>
              <w:right w:val="nil"/>
            </w:tcBorders>
            <w:shd w:val="clear" w:color="auto" w:fill="auto"/>
          </w:tcPr>
          <w:p w14:paraId="1735B944"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3.7 (3.6, 5.0)</w:t>
            </w:r>
          </w:p>
        </w:tc>
        <w:tc>
          <w:tcPr>
            <w:tcW w:w="942" w:type="pct"/>
            <w:gridSpan w:val="2"/>
            <w:tcBorders>
              <w:top w:val="nil"/>
              <w:left w:val="nil"/>
              <w:bottom w:val="single" w:sz="4" w:space="0" w:color="auto"/>
              <w:right w:val="nil"/>
            </w:tcBorders>
            <w:shd w:val="clear" w:color="auto" w:fill="auto"/>
          </w:tcPr>
          <w:p w14:paraId="0311356E"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3.8 (3.6, 5.5)</w:t>
            </w:r>
          </w:p>
        </w:tc>
        <w:tc>
          <w:tcPr>
            <w:tcW w:w="828" w:type="pct"/>
            <w:gridSpan w:val="2"/>
            <w:tcBorders>
              <w:top w:val="nil"/>
              <w:left w:val="nil"/>
              <w:bottom w:val="single" w:sz="4" w:space="0" w:color="auto"/>
              <w:right w:val="nil"/>
            </w:tcBorders>
          </w:tcPr>
          <w:p w14:paraId="463B7AA0"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1.9 (0.7, 3.7)</w:t>
            </w:r>
          </w:p>
        </w:tc>
        <w:tc>
          <w:tcPr>
            <w:tcW w:w="1031" w:type="pct"/>
            <w:gridSpan w:val="2"/>
            <w:tcBorders>
              <w:top w:val="nil"/>
              <w:left w:val="nil"/>
              <w:bottom w:val="single" w:sz="4" w:space="0" w:color="auto"/>
              <w:right w:val="nil"/>
            </w:tcBorders>
          </w:tcPr>
          <w:p w14:paraId="72DC38C5"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3.6 (1.8, 5.2)</w:t>
            </w:r>
          </w:p>
        </w:tc>
      </w:tr>
      <w:tr w:rsidR="0088047D" w:rsidRPr="00EF5885" w14:paraId="6AFB90C0" w14:textId="77777777" w:rsidTr="00220835">
        <w:trPr>
          <w:gridBefore w:val="1"/>
          <w:wBefore w:w="69" w:type="pct"/>
          <w:trHeight w:val="288"/>
        </w:trPr>
        <w:tc>
          <w:tcPr>
            <w:tcW w:w="4931" w:type="pct"/>
            <w:gridSpan w:val="10"/>
            <w:tcBorders>
              <w:top w:val="single" w:sz="4" w:space="0" w:color="auto"/>
              <w:left w:val="nil"/>
              <w:bottom w:val="nil"/>
              <w:right w:val="nil"/>
            </w:tcBorders>
            <w:shd w:val="clear" w:color="auto" w:fill="auto"/>
          </w:tcPr>
          <w:p w14:paraId="557B01A9" w14:textId="77777777" w:rsidR="0088047D" w:rsidRPr="00EF5885" w:rsidRDefault="0088047D" w:rsidP="0088047D">
            <w:pPr>
              <w:spacing w:before="60" w:after="60" w:line="240" w:lineRule="auto"/>
              <w:rPr>
                <w:rFonts w:ascii="Arial" w:hAnsi="Arial" w:cs="Arial"/>
                <w:b/>
                <w:sz w:val="20"/>
                <w:szCs w:val="20"/>
              </w:rPr>
            </w:pPr>
            <w:r w:rsidRPr="00EF5885">
              <w:rPr>
                <w:rFonts w:ascii="Arial" w:hAnsi="Arial" w:cs="Arial"/>
                <w:b/>
                <w:sz w:val="20"/>
                <w:szCs w:val="20"/>
              </w:rPr>
              <w:t xml:space="preserve">Overall survival, </w:t>
            </w:r>
            <w:r w:rsidRPr="00EF5885">
              <w:rPr>
                <w:rFonts w:ascii="Arial" w:eastAsia="MS Mincho" w:hAnsi="Arial" w:cs="Arial"/>
                <w:b/>
                <w:sz w:val="20"/>
                <w:szCs w:val="20"/>
                <w:lang w:val="en-US"/>
              </w:rPr>
              <w:t>m</w:t>
            </w:r>
            <w:proofErr w:type="spellStart"/>
            <w:r w:rsidRPr="00EF5885">
              <w:rPr>
                <w:rFonts w:ascii="Arial" w:hAnsi="Arial" w:cs="Arial"/>
                <w:b/>
                <w:sz w:val="20"/>
                <w:szCs w:val="20"/>
              </w:rPr>
              <w:t>edian</w:t>
            </w:r>
            <w:proofErr w:type="spellEnd"/>
            <w:r w:rsidRPr="00EF5885">
              <w:rPr>
                <w:rFonts w:ascii="Arial" w:hAnsi="Arial" w:cs="Arial"/>
                <w:b/>
                <w:sz w:val="20"/>
                <w:szCs w:val="20"/>
              </w:rPr>
              <w:t xml:space="preserve"> months (95</w:t>
            </w:r>
            <w:r>
              <w:rPr>
                <w:rFonts w:ascii="Arial" w:hAnsi="Arial" w:cs="Arial"/>
                <w:b/>
                <w:sz w:val="20"/>
                <w:szCs w:val="20"/>
              </w:rPr>
              <w:t xml:space="preserve"> </w:t>
            </w:r>
            <w:r w:rsidRPr="00EF5885">
              <w:rPr>
                <w:rFonts w:ascii="Arial" w:hAnsi="Arial" w:cs="Arial"/>
                <w:b/>
                <w:sz w:val="20"/>
                <w:szCs w:val="20"/>
              </w:rPr>
              <w:t>% CI)</w:t>
            </w:r>
          </w:p>
        </w:tc>
      </w:tr>
      <w:tr w:rsidR="0088047D" w:rsidRPr="00254BEF" w14:paraId="7A8E6CE9" w14:textId="77777777" w:rsidTr="00220835">
        <w:trPr>
          <w:gridBefore w:val="1"/>
          <w:wBefore w:w="69" w:type="pct"/>
          <w:trHeight w:val="288"/>
        </w:trPr>
        <w:tc>
          <w:tcPr>
            <w:tcW w:w="1029" w:type="pct"/>
            <w:gridSpan w:val="2"/>
            <w:tcBorders>
              <w:top w:val="nil"/>
              <w:left w:val="nil"/>
              <w:bottom w:val="single" w:sz="4" w:space="0" w:color="auto"/>
              <w:right w:val="nil"/>
            </w:tcBorders>
            <w:shd w:val="clear" w:color="auto" w:fill="auto"/>
          </w:tcPr>
          <w:p w14:paraId="4FED0637" w14:textId="77777777" w:rsidR="0088047D" w:rsidRPr="00230AC3" w:rsidRDefault="0088047D" w:rsidP="0088047D">
            <w:pPr>
              <w:jc w:val="center"/>
              <w:rPr>
                <w:rFonts w:ascii="Arial" w:eastAsia="MS Mincho" w:hAnsi="Arial" w:cs="Arial"/>
                <w:sz w:val="20"/>
                <w:szCs w:val="20"/>
                <w:lang w:val="en-US"/>
              </w:rPr>
            </w:pPr>
          </w:p>
        </w:tc>
        <w:tc>
          <w:tcPr>
            <w:tcW w:w="1100" w:type="pct"/>
            <w:gridSpan w:val="2"/>
            <w:tcBorders>
              <w:top w:val="nil"/>
              <w:left w:val="nil"/>
              <w:bottom w:val="single" w:sz="4" w:space="0" w:color="auto"/>
              <w:right w:val="nil"/>
            </w:tcBorders>
            <w:shd w:val="clear" w:color="auto" w:fill="auto"/>
          </w:tcPr>
          <w:p w14:paraId="53145E8C"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7.6 (5.9, NR)</w:t>
            </w:r>
          </w:p>
        </w:tc>
        <w:tc>
          <w:tcPr>
            <w:tcW w:w="942" w:type="pct"/>
            <w:gridSpan w:val="2"/>
            <w:tcBorders>
              <w:top w:val="nil"/>
              <w:left w:val="nil"/>
              <w:bottom w:val="single" w:sz="4" w:space="0" w:color="auto"/>
              <w:right w:val="nil"/>
            </w:tcBorders>
            <w:shd w:val="clear" w:color="auto" w:fill="auto"/>
          </w:tcPr>
          <w:p w14:paraId="4F7BF048"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7.2 (5.9, NR)</w:t>
            </w:r>
          </w:p>
        </w:tc>
        <w:tc>
          <w:tcPr>
            <w:tcW w:w="828" w:type="pct"/>
            <w:gridSpan w:val="2"/>
            <w:tcBorders>
              <w:top w:val="nil"/>
              <w:left w:val="nil"/>
              <w:bottom w:val="single" w:sz="4" w:space="0" w:color="auto"/>
              <w:right w:val="nil"/>
            </w:tcBorders>
          </w:tcPr>
          <w:p w14:paraId="60BDE8AC"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3.7 (1.6, 5.2)</w:t>
            </w:r>
          </w:p>
        </w:tc>
        <w:tc>
          <w:tcPr>
            <w:tcW w:w="1031" w:type="pct"/>
            <w:gridSpan w:val="2"/>
            <w:tcBorders>
              <w:top w:val="nil"/>
              <w:left w:val="nil"/>
              <w:bottom w:val="single" w:sz="4" w:space="0" w:color="auto"/>
              <w:right w:val="nil"/>
            </w:tcBorders>
          </w:tcPr>
          <w:p w14:paraId="70940B9D" w14:textId="77777777" w:rsidR="0088047D" w:rsidRPr="00230AC3" w:rsidRDefault="0088047D" w:rsidP="0088047D">
            <w:pPr>
              <w:jc w:val="center"/>
              <w:rPr>
                <w:rFonts w:ascii="Arial" w:hAnsi="Arial" w:cs="Arial"/>
                <w:sz w:val="20"/>
                <w:szCs w:val="20"/>
              </w:rPr>
            </w:pPr>
            <w:r w:rsidRPr="00230AC3">
              <w:rPr>
                <w:rFonts w:ascii="Arial" w:hAnsi="Arial" w:cs="Arial"/>
                <w:sz w:val="20"/>
                <w:szCs w:val="20"/>
              </w:rPr>
              <w:t>5.0 (3.5, NR)</w:t>
            </w:r>
          </w:p>
        </w:tc>
      </w:tr>
      <w:tr w:rsidR="0088047D" w:rsidRPr="00254BEF" w14:paraId="08650CAC" w14:textId="77777777" w:rsidTr="00220835">
        <w:trPr>
          <w:gridBefore w:val="1"/>
          <w:wBefore w:w="69" w:type="pct"/>
          <w:trHeight w:val="846"/>
        </w:trPr>
        <w:tc>
          <w:tcPr>
            <w:tcW w:w="4931" w:type="pct"/>
            <w:gridSpan w:val="10"/>
            <w:tcBorders>
              <w:top w:val="single" w:sz="4" w:space="0" w:color="auto"/>
              <w:left w:val="nil"/>
              <w:bottom w:val="nil"/>
              <w:right w:val="nil"/>
            </w:tcBorders>
            <w:shd w:val="clear" w:color="auto" w:fill="auto"/>
          </w:tcPr>
          <w:p w14:paraId="44F50F9E" w14:textId="5C338A60" w:rsidR="0088047D" w:rsidRPr="00230AC3" w:rsidRDefault="0088047D" w:rsidP="0088047D">
            <w:pPr>
              <w:rPr>
                <w:rFonts w:ascii="Arial" w:eastAsia="MS Mincho" w:hAnsi="Arial" w:cs="Arial"/>
                <w:sz w:val="20"/>
                <w:szCs w:val="20"/>
                <w:lang w:val="en-US"/>
              </w:rPr>
            </w:pPr>
            <w:r w:rsidRPr="00E209D4">
              <w:rPr>
                <w:rFonts w:ascii="Arial" w:eastAsia="MS Mincho" w:hAnsi="Arial" w:cs="Arial"/>
                <w:sz w:val="16"/>
                <w:szCs w:val="16"/>
                <w:lang w:val="en-US"/>
              </w:rPr>
              <w:t>Abbreviations:  CI: confidence interval; NR: not reached; NA: not applicable</w:t>
            </w:r>
            <w:r>
              <w:rPr>
                <w:rFonts w:ascii="Arial" w:eastAsia="MS Mincho" w:hAnsi="Arial" w:cs="Arial"/>
                <w:sz w:val="16"/>
                <w:szCs w:val="16"/>
                <w:lang w:val="en-US"/>
              </w:rPr>
              <w:t xml:space="preserve">; </w:t>
            </w:r>
            <w:r w:rsidRPr="00E209D4">
              <w:rPr>
                <w:rFonts w:ascii="Arial" w:eastAsia="MS Mincho" w:hAnsi="Arial" w:cs="Arial"/>
                <w:sz w:val="16"/>
                <w:szCs w:val="16"/>
                <w:lang w:val="en-US"/>
              </w:rPr>
              <w:t>a - Confirmed response</w:t>
            </w:r>
            <w:r>
              <w:rPr>
                <w:rFonts w:ascii="Arial" w:eastAsia="MS Mincho" w:hAnsi="Arial" w:cs="Arial"/>
                <w:sz w:val="16"/>
                <w:szCs w:val="16"/>
                <w:lang w:val="en-US"/>
              </w:rPr>
              <w:t xml:space="preserve">; </w:t>
            </w:r>
            <w:r w:rsidRPr="00E209D4">
              <w:rPr>
                <w:rFonts w:ascii="Arial" w:eastAsia="MS Mincho" w:hAnsi="Arial" w:cs="Arial"/>
                <w:sz w:val="16"/>
                <w:szCs w:val="16"/>
                <w:lang w:val="en-US"/>
              </w:rPr>
              <w:t>b –</w:t>
            </w:r>
            <w:r w:rsidRPr="00E209D4">
              <w:rPr>
                <w:rFonts w:ascii="Arial" w:hAnsi="Arial" w:cs="Arial"/>
                <w:sz w:val="16"/>
                <w:szCs w:val="16"/>
              </w:rPr>
              <w:t>This study was designed</w:t>
            </w:r>
            <w:r>
              <w:rPr>
                <w:rFonts w:ascii="Arial" w:hAnsi="Arial" w:cs="Arial"/>
                <w:sz w:val="16"/>
                <w:szCs w:val="16"/>
              </w:rPr>
              <w:t xml:space="preserve"> </w:t>
            </w:r>
            <w:r w:rsidRPr="00E209D4">
              <w:rPr>
                <w:rFonts w:ascii="Arial" w:hAnsi="Arial" w:cs="Arial"/>
                <w:sz w:val="16"/>
                <w:szCs w:val="16"/>
              </w:rPr>
              <w:t>to support or reject the null hypothesis of OIRR ≤10</w:t>
            </w:r>
            <w:r>
              <w:rPr>
                <w:rFonts w:ascii="Arial" w:hAnsi="Arial" w:cs="Arial"/>
                <w:sz w:val="16"/>
                <w:szCs w:val="16"/>
              </w:rPr>
              <w:t xml:space="preserve"> </w:t>
            </w:r>
            <w:r w:rsidRPr="00E209D4">
              <w:rPr>
                <w:rFonts w:ascii="Arial" w:hAnsi="Arial" w:cs="Arial"/>
                <w:sz w:val="16"/>
                <w:szCs w:val="16"/>
              </w:rPr>
              <w:t>% (based on historical results) in favour of the alternative hypothesis of OIRR ≥ 30</w:t>
            </w:r>
            <w:r>
              <w:rPr>
                <w:rFonts w:ascii="Arial" w:hAnsi="Arial" w:cs="Arial"/>
                <w:sz w:val="16"/>
                <w:szCs w:val="16"/>
              </w:rPr>
              <w:t xml:space="preserve"> </w:t>
            </w:r>
            <w:r w:rsidRPr="00E209D4">
              <w:rPr>
                <w:rFonts w:ascii="Arial" w:hAnsi="Arial" w:cs="Arial"/>
                <w:sz w:val="16"/>
                <w:szCs w:val="16"/>
              </w:rPr>
              <w:t>% in BRAF</w:t>
            </w:r>
            <w:r w:rsidRPr="00E209D4">
              <w:rPr>
                <w:rFonts w:ascii="Arial" w:hAnsi="Arial" w:cs="Arial"/>
                <w:sz w:val="16"/>
                <w:szCs w:val="16"/>
                <w:vertAlign w:val="superscript"/>
              </w:rPr>
              <w:t xml:space="preserve"> V600E</w:t>
            </w:r>
            <w:r w:rsidRPr="00E209D4">
              <w:rPr>
                <w:rFonts w:ascii="Arial" w:hAnsi="Arial" w:cs="Arial"/>
                <w:sz w:val="16"/>
                <w:szCs w:val="16"/>
              </w:rPr>
              <w:t xml:space="preserve"> positive </w:t>
            </w:r>
            <w:r w:rsidR="001C1405">
              <w:rPr>
                <w:rFonts w:ascii="Arial" w:hAnsi="Arial" w:cs="Arial"/>
                <w:sz w:val="16"/>
                <w:szCs w:val="16"/>
              </w:rPr>
              <w:t>patient</w:t>
            </w:r>
            <w:r w:rsidRPr="00E209D4">
              <w:rPr>
                <w:rFonts w:ascii="Arial" w:hAnsi="Arial" w:cs="Arial"/>
                <w:sz w:val="16"/>
                <w:szCs w:val="16"/>
              </w:rPr>
              <w:t>s.</w:t>
            </w:r>
          </w:p>
        </w:tc>
      </w:tr>
    </w:tbl>
    <w:p w14:paraId="27A3E805" w14:textId="77777777" w:rsidR="0088047D" w:rsidRPr="00E209D4" w:rsidRDefault="0088047D" w:rsidP="0088047D">
      <w:pPr>
        <w:spacing w:after="0"/>
        <w:ind w:left="504"/>
        <w:rPr>
          <w:lang w:val="en-US"/>
        </w:rPr>
      </w:pPr>
    </w:p>
    <w:p w14:paraId="5608D0DF" w14:textId="77777777" w:rsidR="0088047D" w:rsidRPr="00D367F1" w:rsidRDefault="0088047D" w:rsidP="0088047D">
      <w:pPr>
        <w:pStyle w:val="Heading3"/>
        <w:ind w:left="720"/>
        <w:rPr>
          <w:b w:val="0"/>
          <w:i/>
          <w:u w:val="single"/>
        </w:rPr>
      </w:pPr>
      <w:r>
        <w:rPr>
          <w:b w:val="0"/>
          <w:i/>
          <w:u w:val="single"/>
        </w:rPr>
        <w:t>P</w:t>
      </w:r>
      <w:r w:rsidRPr="00E511F4">
        <w:rPr>
          <w:b w:val="0"/>
          <w:i/>
          <w:u w:val="single"/>
        </w:rPr>
        <w:t>hase II study</w:t>
      </w:r>
      <w:r w:rsidRPr="004555E5">
        <w:rPr>
          <w:b w:val="0"/>
          <w:i/>
          <w:u w:val="single"/>
        </w:rPr>
        <w:t xml:space="preserve"> </w:t>
      </w:r>
      <w:r w:rsidRPr="00BD6F1D">
        <w:rPr>
          <w:b w:val="0"/>
          <w:i/>
          <w:u w:val="single"/>
        </w:rPr>
        <w:t>BREAK-2</w:t>
      </w:r>
      <w:r>
        <w:rPr>
          <w:b w:val="0"/>
          <w:i/>
          <w:u w:val="single"/>
        </w:rPr>
        <w:t xml:space="preserve"> </w:t>
      </w:r>
      <w:r w:rsidRPr="00BD6F1D">
        <w:rPr>
          <w:b w:val="0"/>
          <w:i/>
          <w:u w:val="single"/>
        </w:rPr>
        <w:t>in Stage IV metastatic patients</w:t>
      </w:r>
      <w:r w:rsidRPr="00D367F1">
        <w:rPr>
          <w:b w:val="0"/>
          <w:i/>
          <w:u w:val="single"/>
        </w:rPr>
        <w:t xml:space="preserve"> who were previously untreated or failed at least one prior systemic therapy </w:t>
      </w:r>
    </w:p>
    <w:p w14:paraId="2B41D8AC" w14:textId="6803507E" w:rsidR="0088047D" w:rsidRPr="00254BEF" w:rsidRDefault="0088047D" w:rsidP="0088047D">
      <w:pPr>
        <w:ind w:left="720"/>
      </w:pPr>
      <w:r>
        <w:t>This</w:t>
      </w:r>
      <w:r w:rsidRPr="00254BEF">
        <w:t xml:space="preserve"> was a multi-centre, global, open-label, single-arm, Phase II study that enrolled 92 </w:t>
      </w:r>
      <w:r w:rsidR="001C1405">
        <w:t>patient</w:t>
      </w:r>
      <w:r w:rsidRPr="00254BEF">
        <w:t xml:space="preserve">s with histologically confirmed metastatic melanoma (Stage IV) with confirmed </w:t>
      </w:r>
      <w:r w:rsidRPr="00991F4B">
        <w:t>BRAF</w:t>
      </w:r>
      <w:r>
        <w:t xml:space="preserve"> </w:t>
      </w:r>
      <w:r w:rsidRPr="00991F4B">
        <w:t>V600E</w:t>
      </w:r>
      <w:r w:rsidRPr="00D367F1">
        <w:t xml:space="preserve"> or V600K </w:t>
      </w:r>
      <w:r w:rsidRPr="00254BEF">
        <w:t xml:space="preserve">mutation-positive melanoma. </w:t>
      </w:r>
      <w:r w:rsidR="001C1405">
        <w:t>Patient</w:t>
      </w:r>
      <w:r w:rsidRPr="00254BEF">
        <w:t>s were treatment-naïve</w:t>
      </w:r>
      <w:r>
        <w:t xml:space="preserve"> </w:t>
      </w:r>
      <w:r w:rsidRPr="00D74C63">
        <w:t>(n</w:t>
      </w:r>
      <w:r>
        <w:t xml:space="preserve"> </w:t>
      </w:r>
      <w:r w:rsidRPr="00D74C63">
        <w:t>=</w:t>
      </w:r>
      <w:r>
        <w:t xml:space="preserve"> </w:t>
      </w:r>
      <w:r w:rsidRPr="00D74C63">
        <w:t>15) or received prior treatment (n</w:t>
      </w:r>
      <w:r>
        <w:t xml:space="preserve"> </w:t>
      </w:r>
      <w:r w:rsidRPr="00D74C63">
        <w:t>=</w:t>
      </w:r>
      <w:r>
        <w:t xml:space="preserve"> </w:t>
      </w:r>
      <w:r w:rsidRPr="00D74C63">
        <w:t>77)</w:t>
      </w:r>
      <w:r>
        <w:t xml:space="preserve"> </w:t>
      </w:r>
      <w:r w:rsidRPr="00254BEF">
        <w:t>in the metastatic setting (i.e., chemotherapy, immunotherapy, prior targeted therapy, etc.).</w:t>
      </w:r>
    </w:p>
    <w:p w14:paraId="18221A46" w14:textId="6233E4F0" w:rsidR="0088047D" w:rsidRDefault="0088047D">
      <w:pPr>
        <w:widowControl w:val="0"/>
        <w:ind w:left="720"/>
      </w:pPr>
      <w:r w:rsidRPr="00254BEF">
        <w:t xml:space="preserve">The investigator assessed confirmed response rate in the primary efficacy population of patients with BRAF </w:t>
      </w:r>
      <w:r w:rsidRPr="00D367F1">
        <w:t>V600E</w:t>
      </w:r>
      <w:r w:rsidRPr="00254BEF">
        <w:t xml:space="preserve"> metastatic melanoma (n</w:t>
      </w:r>
      <w:r>
        <w:t xml:space="preserve"> </w:t>
      </w:r>
      <w:r w:rsidRPr="00254BEF">
        <w:t>=</w:t>
      </w:r>
      <w:r>
        <w:t xml:space="preserve"> </w:t>
      </w:r>
      <w:r w:rsidRPr="00254BEF">
        <w:t>76) was 59</w:t>
      </w:r>
      <w:r>
        <w:t xml:space="preserve"> %</w:t>
      </w:r>
      <w:r w:rsidRPr="00254BEF">
        <w:t xml:space="preserve"> (95</w:t>
      </w:r>
      <w:r>
        <w:t xml:space="preserve"> </w:t>
      </w:r>
      <w:r w:rsidRPr="00254BEF">
        <w:t>% CI: 48.2, 70.3) including 7</w:t>
      </w:r>
      <w:r>
        <w:t xml:space="preserve"> </w:t>
      </w:r>
      <w:r w:rsidRPr="00254BEF">
        <w:t>% complete response. Median PFS was 6.3 months (95</w:t>
      </w:r>
      <w:r>
        <w:t xml:space="preserve"> </w:t>
      </w:r>
      <w:r w:rsidRPr="00254BEF">
        <w:t>% CI: 4.6, 7.7) and the median duration of response was 5.2 months (95</w:t>
      </w:r>
      <w:r>
        <w:t xml:space="preserve"> %</w:t>
      </w:r>
      <w:r w:rsidRPr="00254BEF">
        <w:t xml:space="preserve"> CI: 3.9, not calculable).</w:t>
      </w:r>
      <w:r>
        <w:t xml:space="preserve"> </w:t>
      </w:r>
      <w:r w:rsidRPr="005E7888">
        <w:t xml:space="preserve">Prior systemic therapy did not appear to significantly impact response. </w:t>
      </w:r>
      <w:r w:rsidRPr="00254BEF">
        <w:t xml:space="preserve">The investigator assessed confirmed response rate in a secondary efficacy population of patients with BRAF </w:t>
      </w:r>
      <w:r w:rsidRPr="00D367F1">
        <w:t>V600K</w:t>
      </w:r>
      <w:r w:rsidRPr="00254BEF">
        <w:t xml:space="preserve"> mutation positive metastatic melanoma (n</w:t>
      </w:r>
      <w:r>
        <w:t xml:space="preserve"> </w:t>
      </w:r>
      <w:r w:rsidRPr="00254BEF">
        <w:t>=</w:t>
      </w:r>
      <w:r>
        <w:t xml:space="preserve"> </w:t>
      </w:r>
      <w:r w:rsidRPr="00254BEF">
        <w:t>16) was 13</w:t>
      </w:r>
      <w:r>
        <w:t xml:space="preserve"> %</w:t>
      </w:r>
      <w:r w:rsidRPr="00254BEF">
        <w:t xml:space="preserve"> (95</w:t>
      </w:r>
      <w:r>
        <w:t xml:space="preserve"> </w:t>
      </w:r>
      <w:r w:rsidRPr="00254BEF">
        <w:t xml:space="preserve">% CI: 0.0, 28.7) with a median duration </w:t>
      </w:r>
      <w:r w:rsidRPr="00254BEF">
        <w:lastRenderedPageBreak/>
        <w:t>of response of 5.3 months (95</w:t>
      </w:r>
      <w:r>
        <w:t xml:space="preserve"> %</w:t>
      </w:r>
      <w:r w:rsidRPr="00254BEF">
        <w:t xml:space="preserve"> CI: 3.7, 6.8). There were no complete responses in the V600K patient population.</w:t>
      </w:r>
      <w:r w:rsidRPr="005D1137">
        <w:t xml:space="preserve"> </w:t>
      </w:r>
      <w:r w:rsidRPr="00F96F90">
        <w:t xml:space="preserve">Although the evidence for the efficacy of </w:t>
      </w:r>
      <w:r>
        <w:t>TAFINLAR</w:t>
      </w:r>
      <w:r w:rsidRPr="00F96F90">
        <w:t xml:space="preserve"> is limited by the low number of patients, median OS appeared consistent with data in patients with BRAF V600E positive tumours.</w:t>
      </w:r>
      <w:r w:rsidRPr="000467AC">
        <w:t xml:space="preserve"> </w:t>
      </w:r>
    </w:p>
    <w:p w14:paraId="6F56B676" w14:textId="77777777" w:rsidR="0088047D" w:rsidRPr="00620AF0" w:rsidRDefault="0088047D" w:rsidP="00220835">
      <w:pPr>
        <w:pStyle w:val="Heading2"/>
        <w:keepNext w:val="0"/>
        <w:widowControl w:val="0"/>
        <w:ind w:left="720"/>
      </w:pPr>
      <w:r>
        <w:t>TAFINLAR in combination</w:t>
      </w:r>
      <w:r w:rsidRPr="008B17CE">
        <w:t xml:space="preserve"> </w:t>
      </w:r>
      <w:r>
        <w:t>with MEKINIST</w:t>
      </w:r>
    </w:p>
    <w:p w14:paraId="6CA2AE32" w14:textId="77777777" w:rsidR="0088047D" w:rsidRDefault="0088047D" w:rsidP="00220835">
      <w:pPr>
        <w:pStyle w:val="Heading3"/>
        <w:keepNext w:val="0"/>
        <w:widowControl w:val="0"/>
        <w:ind w:left="720"/>
        <w:rPr>
          <w:b w:val="0"/>
        </w:rPr>
      </w:pPr>
      <w:r w:rsidRPr="00887AE8">
        <w:rPr>
          <w:b w:val="0"/>
        </w:rPr>
        <w:t xml:space="preserve">The efficacy and safety of the recommended dose of </w:t>
      </w:r>
      <w:r w:rsidRPr="009E7A82">
        <w:rPr>
          <w:b w:val="0"/>
        </w:rPr>
        <w:t xml:space="preserve">TAFINLAR </w:t>
      </w:r>
      <w:r w:rsidRPr="00887AE8">
        <w:rPr>
          <w:b w:val="0"/>
        </w:rPr>
        <w:t xml:space="preserve">(150 mg twice daily) in combination with </w:t>
      </w:r>
      <w:r>
        <w:rPr>
          <w:b w:val="0"/>
        </w:rPr>
        <w:t>MEKINIST</w:t>
      </w:r>
      <w:r w:rsidRPr="00887AE8">
        <w:rPr>
          <w:b w:val="0"/>
        </w:rPr>
        <w:t xml:space="preserve"> (2 mg once daily) for the treatment of adult patients with unresectable or metastatic melanoma with a BRAF V600 mutation was studied in </w:t>
      </w:r>
      <w:r w:rsidRPr="0003428E">
        <w:rPr>
          <w:b w:val="0"/>
        </w:rPr>
        <w:t xml:space="preserve">Phase I/II study BRF113220 and </w:t>
      </w:r>
      <w:r w:rsidRPr="00887AE8">
        <w:rPr>
          <w:b w:val="0"/>
        </w:rPr>
        <w:t>two pivotal Phase III studies</w:t>
      </w:r>
      <w:r w:rsidRPr="0003428E">
        <w:rPr>
          <w:b w:val="0"/>
        </w:rPr>
        <w:t>, MEK116513 and MEK115306</w:t>
      </w:r>
      <w:r w:rsidRPr="00887AE8">
        <w:rPr>
          <w:b w:val="0"/>
        </w:rPr>
        <w:t>.</w:t>
      </w:r>
    </w:p>
    <w:p w14:paraId="3801B292" w14:textId="77777777" w:rsidR="0088047D" w:rsidRPr="0003428E" w:rsidRDefault="0088047D" w:rsidP="0088047D">
      <w:pPr>
        <w:widowControl w:val="0"/>
        <w:autoSpaceDE/>
        <w:autoSpaceDN/>
        <w:adjustRightInd/>
        <w:spacing w:before="120" w:line="240" w:lineRule="auto"/>
        <w:ind w:left="720"/>
        <w:rPr>
          <w:b/>
          <w:i/>
        </w:rPr>
      </w:pPr>
      <w:r w:rsidRPr="0003428E">
        <w:rPr>
          <w:b/>
          <w:i/>
        </w:rPr>
        <w:t>Randomised open label studies</w:t>
      </w:r>
    </w:p>
    <w:p w14:paraId="342C4F00" w14:textId="77777777" w:rsidR="0088047D" w:rsidRPr="0003428E" w:rsidRDefault="0088047D" w:rsidP="0088047D">
      <w:pPr>
        <w:keepNext/>
        <w:autoSpaceDE/>
        <w:autoSpaceDN/>
        <w:adjustRightInd/>
        <w:spacing w:before="120" w:line="240" w:lineRule="auto"/>
        <w:ind w:left="720"/>
        <w:rPr>
          <w:i/>
        </w:rPr>
      </w:pPr>
      <w:r w:rsidRPr="0003428E">
        <w:rPr>
          <w:i/>
        </w:rPr>
        <w:t>BRF113220 (Phase I/II Studies)</w:t>
      </w:r>
    </w:p>
    <w:p w14:paraId="22DF832D" w14:textId="77777777" w:rsidR="0088047D" w:rsidRPr="003A3924" w:rsidRDefault="0088047D" w:rsidP="0088047D">
      <w:pPr>
        <w:ind w:left="720"/>
        <w:rPr>
          <w:lang w:val="en-US"/>
        </w:rPr>
      </w:pPr>
      <w:r w:rsidRPr="003A3924">
        <w:rPr>
          <w:lang w:val="en-US"/>
        </w:rPr>
        <w:t>In an open-label study</w:t>
      </w:r>
      <w:r>
        <w:rPr>
          <w:lang w:val="en-US"/>
        </w:rPr>
        <w:t xml:space="preserve">, </w:t>
      </w:r>
      <w:r w:rsidRPr="003A3924">
        <w:rPr>
          <w:lang w:val="en-US"/>
        </w:rPr>
        <w:t xml:space="preserve">the safety, </w:t>
      </w:r>
      <w:r>
        <w:rPr>
          <w:lang w:val="en-US"/>
        </w:rPr>
        <w:t>PK</w:t>
      </w:r>
      <w:r w:rsidRPr="003A3924">
        <w:rPr>
          <w:lang w:val="en-US"/>
        </w:rPr>
        <w:t xml:space="preserve">, </w:t>
      </w:r>
      <w:r>
        <w:rPr>
          <w:lang w:val="en-US"/>
        </w:rPr>
        <w:t>PD,</w:t>
      </w:r>
      <w:r w:rsidRPr="003A3924">
        <w:rPr>
          <w:lang w:val="en-US"/>
        </w:rPr>
        <w:t xml:space="preserve"> and clinical activity of TAFINLAR and </w:t>
      </w:r>
      <w:r>
        <w:rPr>
          <w:lang w:val="en-US"/>
        </w:rPr>
        <w:t xml:space="preserve">MEKINIST </w:t>
      </w:r>
      <w:r w:rsidRPr="003A3924">
        <w:rPr>
          <w:lang w:val="en-US"/>
        </w:rPr>
        <w:t xml:space="preserve">combination </w:t>
      </w:r>
      <w:r>
        <w:rPr>
          <w:lang w:val="en-US"/>
        </w:rPr>
        <w:t xml:space="preserve">therapy </w:t>
      </w:r>
      <w:r w:rsidRPr="003A3924">
        <w:rPr>
          <w:lang w:val="en-US"/>
        </w:rPr>
        <w:t>were evaluated in patients with BRAF V600</w:t>
      </w:r>
      <w:r>
        <w:rPr>
          <w:lang w:val="en-US"/>
        </w:rPr>
        <w:t xml:space="preserve">E, </w:t>
      </w:r>
      <w:r w:rsidRPr="0003428E">
        <w:rPr>
          <w:lang w:val="en-US"/>
        </w:rPr>
        <w:t xml:space="preserve">V600K, or V600D </w:t>
      </w:r>
      <w:r w:rsidRPr="003A3924">
        <w:rPr>
          <w:lang w:val="en-US"/>
        </w:rPr>
        <w:t>mutation-positive melanoma. This study had four parts, A-D:</w:t>
      </w:r>
    </w:p>
    <w:p w14:paraId="73B81675" w14:textId="77777777" w:rsidR="0088047D" w:rsidRPr="0003428E" w:rsidRDefault="0088047D" w:rsidP="0088047D">
      <w:pPr>
        <w:pStyle w:val="ListParagraph"/>
        <w:numPr>
          <w:ilvl w:val="0"/>
          <w:numId w:val="20"/>
        </w:numPr>
        <w:ind w:left="1080"/>
        <w:rPr>
          <w:rFonts w:ascii="Times New Roman" w:hAnsi="Times New Roman" w:cs="Times New Roman"/>
          <w:sz w:val="24"/>
          <w:szCs w:val="24"/>
          <w:lang w:val="en-US"/>
        </w:rPr>
      </w:pPr>
      <w:r w:rsidRPr="0003428E">
        <w:rPr>
          <w:rFonts w:ascii="Times New Roman" w:hAnsi="Times New Roman" w:cs="Times New Roman"/>
          <w:sz w:val="24"/>
          <w:szCs w:val="24"/>
          <w:lang w:val="en-US"/>
        </w:rPr>
        <w:t xml:space="preserve">Part A was a drug/drug interaction </w:t>
      </w:r>
      <w:r>
        <w:rPr>
          <w:rFonts w:ascii="Times New Roman" w:hAnsi="Times New Roman" w:cs="Times New Roman"/>
          <w:sz w:val="24"/>
          <w:szCs w:val="24"/>
          <w:lang w:val="en-US"/>
        </w:rPr>
        <w:t xml:space="preserve">(DDI) </w:t>
      </w:r>
      <w:r w:rsidRPr="0003428E">
        <w:rPr>
          <w:rFonts w:ascii="Times New Roman" w:hAnsi="Times New Roman" w:cs="Times New Roman"/>
          <w:sz w:val="24"/>
          <w:szCs w:val="24"/>
          <w:lang w:val="en-US"/>
        </w:rPr>
        <w:t xml:space="preserve">study to determine the effect of repeat doses of MEKINIST on the PK of a single dose of </w:t>
      </w:r>
      <w:r w:rsidRPr="009E7A82">
        <w:rPr>
          <w:rFonts w:ascii="Times New Roman" w:hAnsi="Times New Roman" w:cs="Times New Roman"/>
          <w:sz w:val="24"/>
          <w:szCs w:val="24"/>
          <w:lang w:val="en-US"/>
        </w:rPr>
        <w:t xml:space="preserve">TAFINLAR </w:t>
      </w:r>
      <w:r w:rsidRPr="0003428E">
        <w:rPr>
          <w:rFonts w:ascii="Times New Roman" w:hAnsi="Times New Roman" w:cs="Times New Roman"/>
          <w:sz w:val="24"/>
          <w:szCs w:val="24"/>
          <w:lang w:val="en-US"/>
        </w:rPr>
        <w:t>and its metabolites (n = 8),</w:t>
      </w:r>
    </w:p>
    <w:p w14:paraId="784280C9" w14:textId="77777777" w:rsidR="0088047D" w:rsidRPr="0003428E" w:rsidRDefault="0088047D" w:rsidP="0088047D">
      <w:pPr>
        <w:pStyle w:val="ListParagraph"/>
        <w:numPr>
          <w:ilvl w:val="0"/>
          <w:numId w:val="20"/>
        </w:numPr>
        <w:ind w:left="1080"/>
        <w:rPr>
          <w:rFonts w:ascii="Times New Roman" w:hAnsi="Times New Roman" w:cs="Times New Roman"/>
          <w:sz w:val="24"/>
          <w:szCs w:val="24"/>
          <w:lang w:val="en-US"/>
        </w:rPr>
      </w:pPr>
      <w:r w:rsidRPr="0003428E">
        <w:rPr>
          <w:rFonts w:ascii="Times New Roman" w:hAnsi="Times New Roman" w:cs="Times New Roman"/>
          <w:sz w:val="24"/>
          <w:szCs w:val="24"/>
          <w:lang w:val="en-US"/>
        </w:rPr>
        <w:t xml:space="preserve">Part B was a dose escalation and expansion study to determine optimal doses and safety of MEKINIST when administered in combination with </w:t>
      </w:r>
      <w:r>
        <w:rPr>
          <w:rFonts w:ascii="Times New Roman" w:hAnsi="Times New Roman" w:cs="Times New Roman"/>
          <w:sz w:val="24"/>
          <w:szCs w:val="24"/>
          <w:lang w:val="en-US"/>
        </w:rPr>
        <w:t>TAFINLAR</w:t>
      </w:r>
      <w:r w:rsidRPr="0003428E">
        <w:rPr>
          <w:rFonts w:ascii="Times New Roman" w:hAnsi="Times New Roman" w:cs="Times New Roman"/>
          <w:sz w:val="24"/>
          <w:szCs w:val="24"/>
          <w:lang w:val="en-US"/>
        </w:rPr>
        <w:t xml:space="preserve"> (n = 135).</w:t>
      </w:r>
    </w:p>
    <w:p w14:paraId="2A5389A5" w14:textId="7BE2ABFE" w:rsidR="0088047D" w:rsidRPr="0003428E" w:rsidRDefault="0088047D" w:rsidP="0088047D">
      <w:pPr>
        <w:pStyle w:val="ListParagraph"/>
        <w:numPr>
          <w:ilvl w:val="0"/>
          <w:numId w:val="20"/>
        </w:numPr>
        <w:ind w:left="1080"/>
        <w:rPr>
          <w:rFonts w:ascii="Times New Roman" w:hAnsi="Times New Roman" w:cs="Times New Roman"/>
          <w:sz w:val="24"/>
          <w:szCs w:val="24"/>
          <w:lang w:val="en-US"/>
        </w:rPr>
      </w:pPr>
      <w:r w:rsidRPr="0003428E">
        <w:rPr>
          <w:rFonts w:ascii="Times New Roman" w:hAnsi="Times New Roman" w:cs="Times New Roman"/>
          <w:sz w:val="24"/>
          <w:szCs w:val="24"/>
          <w:lang w:val="en-US"/>
        </w:rPr>
        <w:t xml:space="preserve">Part C was an open-label randomised three-arm phase II study determine the efficacy, safety, and tolerability of MEKINIST and </w:t>
      </w:r>
      <w:r>
        <w:rPr>
          <w:rFonts w:ascii="Times New Roman" w:hAnsi="Times New Roman" w:cs="Times New Roman"/>
          <w:sz w:val="24"/>
          <w:szCs w:val="24"/>
          <w:lang w:val="en-US"/>
        </w:rPr>
        <w:t xml:space="preserve">TAFINLAR </w:t>
      </w:r>
      <w:r w:rsidRPr="0003428E">
        <w:rPr>
          <w:rFonts w:ascii="Times New Roman" w:hAnsi="Times New Roman" w:cs="Times New Roman"/>
          <w:sz w:val="24"/>
          <w:szCs w:val="24"/>
          <w:lang w:val="en-US"/>
        </w:rPr>
        <w:t xml:space="preserve">in </w:t>
      </w:r>
      <w:r w:rsidR="001C1405">
        <w:rPr>
          <w:rFonts w:ascii="Times New Roman" w:hAnsi="Times New Roman" w:cs="Times New Roman"/>
          <w:sz w:val="24"/>
          <w:szCs w:val="24"/>
          <w:lang w:val="en-US"/>
        </w:rPr>
        <w:t>patient</w:t>
      </w:r>
      <w:r w:rsidRPr="0003428E">
        <w:rPr>
          <w:rFonts w:ascii="Times New Roman" w:hAnsi="Times New Roman" w:cs="Times New Roman"/>
          <w:sz w:val="24"/>
          <w:szCs w:val="24"/>
          <w:lang w:val="en-US"/>
        </w:rPr>
        <w:t>s with BRAF mutant metastatic melanoma (n=162)</w:t>
      </w:r>
      <w:r>
        <w:rPr>
          <w:rFonts w:ascii="Times New Roman" w:hAnsi="Times New Roman" w:cs="Times New Roman"/>
          <w:sz w:val="24"/>
          <w:szCs w:val="24"/>
          <w:lang w:val="en-US"/>
        </w:rPr>
        <w:t xml:space="preserve"> </w:t>
      </w:r>
      <w:r w:rsidRPr="0003428E">
        <w:rPr>
          <w:rFonts w:ascii="Times New Roman" w:hAnsi="Times New Roman" w:cs="Times New Roman"/>
          <w:sz w:val="24"/>
          <w:szCs w:val="24"/>
          <w:lang w:val="en-US"/>
        </w:rPr>
        <w:t>and is described below</w:t>
      </w:r>
      <w:r>
        <w:rPr>
          <w:rFonts w:ascii="Times New Roman" w:hAnsi="Times New Roman" w:cs="Times New Roman"/>
          <w:sz w:val="24"/>
          <w:szCs w:val="24"/>
          <w:lang w:val="en-US"/>
        </w:rPr>
        <w:t xml:space="preserve">; </w:t>
      </w:r>
    </w:p>
    <w:p w14:paraId="61D444B3" w14:textId="77777777" w:rsidR="0088047D" w:rsidRPr="0003428E" w:rsidRDefault="0088047D" w:rsidP="0088047D">
      <w:pPr>
        <w:pStyle w:val="ListParagraph"/>
        <w:numPr>
          <w:ilvl w:val="0"/>
          <w:numId w:val="20"/>
        </w:numPr>
        <w:ind w:left="1080"/>
        <w:rPr>
          <w:rFonts w:ascii="Times New Roman" w:hAnsi="Times New Roman" w:cs="Times New Roman"/>
          <w:sz w:val="24"/>
          <w:szCs w:val="24"/>
          <w:lang w:val="en-US"/>
        </w:rPr>
      </w:pPr>
      <w:r w:rsidRPr="0003428E">
        <w:rPr>
          <w:rFonts w:ascii="Times New Roman" w:hAnsi="Times New Roman" w:cs="Times New Roman"/>
          <w:sz w:val="24"/>
          <w:szCs w:val="24"/>
          <w:lang w:val="en-US"/>
        </w:rPr>
        <w:t xml:space="preserve">Part D was a </w:t>
      </w:r>
      <w:r>
        <w:rPr>
          <w:rFonts w:ascii="Times New Roman" w:hAnsi="Times New Roman" w:cs="Times New Roman"/>
          <w:sz w:val="24"/>
          <w:szCs w:val="24"/>
          <w:lang w:val="en-US"/>
        </w:rPr>
        <w:t>PK</w:t>
      </w:r>
      <w:r w:rsidRPr="0003428E">
        <w:rPr>
          <w:rFonts w:ascii="Times New Roman" w:hAnsi="Times New Roman" w:cs="Times New Roman"/>
          <w:sz w:val="24"/>
          <w:szCs w:val="24"/>
          <w:lang w:val="en-US"/>
        </w:rPr>
        <w:t xml:space="preserve"> and safety evaluation of </w:t>
      </w:r>
      <w:r>
        <w:rPr>
          <w:rFonts w:ascii="Times New Roman" w:hAnsi="Times New Roman" w:cs="Times New Roman"/>
          <w:sz w:val="24"/>
          <w:szCs w:val="24"/>
          <w:lang w:val="en-US"/>
        </w:rPr>
        <w:t xml:space="preserve">MEKINIST and </w:t>
      </w:r>
      <w:r w:rsidRPr="0003428E">
        <w:rPr>
          <w:rFonts w:ascii="Times New Roman" w:hAnsi="Times New Roman" w:cs="Times New Roman"/>
          <w:sz w:val="24"/>
          <w:szCs w:val="24"/>
          <w:lang w:val="en-US"/>
        </w:rPr>
        <w:t>TAFINLAR capsules (n = 110).</w:t>
      </w:r>
    </w:p>
    <w:p w14:paraId="275C64FD" w14:textId="77777777" w:rsidR="0088047D" w:rsidRPr="00D367F1" w:rsidRDefault="0088047D" w:rsidP="0088047D">
      <w:pPr>
        <w:ind w:left="720"/>
        <w:rPr>
          <w:lang w:val="en-US"/>
        </w:rPr>
      </w:pPr>
      <w:r w:rsidRPr="00D367F1">
        <w:rPr>
          <w:lang w:val="en-US"/>
        </w:rPr>
        <w:t>The determination of BRAF mutation positive status was required and was established by institutional laboratory for all patients enrolled in Parts A-D.</w:t>
      </w:r>
    </w:p>
    <w:p w14:paraId="1E9B0F36" w14:textId="77777777" w:rsidR="0088047D" w:rsidRPr="000A2984" w:rsidRDefault="0088047D" w:rsidP="0088047D">
      <w:pPr>
        <w:autoSpaceDE/>
        <w:autoSpaceDN/>
        <w:adjustRightInd/>
        <w:ind w:left="720"/>
        <w:rPr>
          <w:u w:val="single"/>
        </w:rPr>
      </w:pPr>
      <w:r w:rsidRPr="000A2984">
        <w:rPr>
          <w:u w:val="single"/>
        </w:rPr>
        <w:t>Prior BRAF inhibitor (</w:t>
      </w:r>
      <w:proofErr w:type="spellStart"/>
      <w:r w:rsidRPr="000A2984">
        <w:rPr>
          <w:u w:val="single"/>
        </w:rPr>
        <w:t>BRAFi</w:t>
      </w:r>
      <w:proofErr w:type="spellEnd"/>
      <w:r w:rsidRPr="000A2984">
        <w:rPr>
          <w:u w:val="single"/>
        </w:rPr>
        <w:t>) therapy</w:t>
      </w:r>
    </w:p>
    <w:p w14:paraId="3DA3412A" w14:textId="77777777" w:rsidR="0088047D" w:rsidRPr="00266838" w:rsidRDefault="0088047D" w:rsidP="0088047D">
      <w:pPr>
        <w:ind w:left="720"/>
        <w:rPr>
          <w:noProof/>
        </w:rPr>
      </w:pPr>
      <w:r w:rsidRPr="00266838">
        <w:rPr>
          <w:noProof/>
        </w:rPr>
        <w:t xml:space="preserve">There are limited data in patients taking the combination of TAFINLAR with </w:t>
      </w:r>
      <w:r>
        <w:rPr>
          <w:noProof/>
        </w:rPr>
        <w:t>MEKINIST</w:t>
      </w:r>
      <w:r w:rsidRPr="00266838">
        <w:rPr>
          <w:noProof/>
        </w:rPr>
        <w:t xml:space="preserve"> who have progressed on a prior BRAF inhibitor.</w:t>
      </w:r>
    </w:p>
    <w:p w14:paraId="3B07CB17" w14:textId="77777777" w:rsidR="0088047D" w:rsidRPr="00266838" w:rsidRDefault="0088047D" w:rsidP="0088047D">
      <w:pPr>
        <w:ind w:left="720"/>
        <w:rPr>
          <w:noProof/>
        </w:rPr>
      </w:pPr>
      <w:r w:rsidRPr="00266838">
        <w:rPr>
          <w:noProof/>
        </w:rPr>
        <w:t xml:space="preserve">Part B of open-label study BRF113220 included a cohort of 26 patients that had progressed on a BRAFi. The combination of 150 mg TAFINLAR with 2 mg </w:t>
      </w:r>
      <w:r>
        <w:rPr>
          <w:noProof/>
        </w:rPr>
        <w:t>MEKINIST</w:t>
      </w:r>
      <w:r w:rsidRPr="00266838">
        <w:rPr>
          <w:noProof/>
        </w:rPr>
        <w:t xml:space="preserve"> demonstrated limited clinical activity in patients who had progressed on a BRAFi. The Investigator-assessed ORR was 15 % (95 % CI: 4.4, 34.9) and the median PFS was 3.6 months (95 % CI: 1.9, 5.2). Similar results were seen in the 43 patients who crossed over from TAFINLAR monotherapy to the combination of 150 mg TAFINLAR plus 2 mg </w:t>
      </w:r>
      <w:r>
        <w:rPr>
          <w:noProof/>
        </w:rPr>
        <w:t>MEKINIST</w:t>
      </w:r>
      <w:r w:rsidRPr="00266838">
        <w:rPr>
          <w:noProof/>
        </w:rPr>
        <w:t xml:space="preserve"> in Part C of this study. In these patients a 9 % (95 % CI: 2.6, 22.1) ORR was observed with a median PFS of 3.6 months (95 % CI: 1.8, 3.9).</w:t>
      </w:r>
    </w:p>
    <w:p w14:paraId="3506FB3C" w14:textId="77777777" w:rsidR="0088047D" w:rsidRPr="0003428E" w:rsidRDefault="0088047D" w:rsidP="0088047D">
      <w:pPr>
        <w:autoSpaceDE/>
        <w:autoSpaceDN/>
        <w:adjustRightInd/>
        <w:ind w:left="720"/>
        <w:rPr>
          <w:u w:val="single"/>
        </w:rPr>
      </w:pPr>
      <w:r w:rsidRPr="0003428E">
        <w:rPr>
          <w:u w:val="single"/>
        </w:rPr>
        <w:t>Part C</w:t>
      </w:r>
    </w:p>
    <w:p w14:paraId="67E10A61" w14:textId="77777777" w:rsidR="0088047D" w:rsidRPr="003A3924" w:rsidRDefault="0088047D" w:rsidP="0088047D">
      <w:pPr>
        <w:widowControl w:val="0"/>
        <w:ind w:left="720"/>
        <w:rPr>
          <w:lang w:val="en-US"/>
        </w:rPr>
      </w:pPr>
      <w:r w:rsidRPr="003A3924">
        <w:rPr>
          <w:lang w:val="en-US"/>
        </w:rPr>
        <w:t xml:space="preserve">Part C </w:t>
      </w:r>
      <w:r>
        <w:rPr>
          <w:lang w:val="en-US"/>
        </w:rPr>
        <w:t xml:space="preserve">of this </w:t>
      </w:r>
      <w:r w:rsidRPr="003A3924">
        <w:rPr>
          <w:lang w:val="en-US"/>
        </w:rPr>
        <w:t>open-label</w:t>
      </w:r>
      <w:r>
        <w:rPr>
          <w:lang w:val="en-US"/>
        </w:rPr>
        <w:t>,</w:t>
      </w:r>
      <w:r w:rsidRPr="003A3924">
        <w:rPr>
          <w:lang w:val="en-US"/>
        </w:rPr>
        <w:t xml:space="preserve"> randomised</w:t>
      </w:r>
      <w:r>
        <w:rPr>
          <w:lang w:val="en-US"/>
        </w:rPr>
        <w:t>,</w:t>
      </w:r>
      <w:r w:rsidRPr="003A3924">
        <w:rPr>
          <w:lang w:val="en-US"/>
        </w:rPr>
        <w:t xml:space="preserve"> three-arm phase II study assess</w:t>
      </w:r>
      <w:r>
        <w:rPr>
          <w:lang w:val="en-US"/>
        </w:rPr>
        <w:t>ed the</w:t>
      </w:r>
      <w:r w:rsidRPr="003A3924">
        <w:rPr>
          <w:lang w:val="en-US"/>
        </w:rPr>
        <w:t xml:space="preserve"> safety and efficacy of TAFINLAR at 150 mg given twice daily in combination with two different doses of </w:t>
      </w:r>
      <w:r>
        <w:rPr>
          <w:lang w:val="en-US"/>
        </w:rPr>
        <w:t>MEKINIST</w:t>
      </w:r>
      <w:r w:rsidRPr="003A3924">
        <w:rPr>
          <w:lang w:val="en-US"/>
        </w:rPr>
        <w:t xml:space="preserve"> (1 mg once daily and 2 mg once daily) relative to TAFINLAR alone (150 mg twice daily) in 162 patients. The primary efficacy endpoints were PFS, ORR, and </w:t>
      </w:r>
      <w:proofErr w:type="spellStart"/>
      <w:r>
        <w:rPr>
          <w:lang w:val="en-US"/>
        </w:rPr>
        <w:t>DoR</w:t>
      </w:r>
      <w:r w:rsidRPr="003A3924">
        <w:rPr>
          <w:lang w:val="en-US"/>
        </w:rPr>
        <w:t>.</w:t>
      </w:r>
      <w:proofErr w:type="spellEnd"/>
      <w:r w:rsidRPr="003A3924">
        <w:rPr>
          <w:lang w:val="en-US"/>
        </w:rPr>
        <w:t xml:space="preserve"> Patients on the TAFINLAR monotherapy arm were permitted to cross-over to the full-dose combination arm (150 mg TAFINLAR plus 2 mg </w:t>
      </w:r>
      <w:r>
        <w:rPr>
          <w:lang w:val="en-US"/>
        </w:rPr>
        <w:t>MEKINIST</w:t>
      </w:r>
      <w:r w:rsidRPr="003A3924">
        <w:rPr>
          <w:lang w:val="en-US"/>
        </w:rPr>
        <w:t xml:space="preserve">) upon progression. A total of </w:t>
      </w:r>
      <w:r w:rsidRPr="003A3924">
        <w:rPr>
          <w:lang w:val="en-US"/>
        </w:rPr>
        <w:lastRenderedPageBreak/>
        <w:t xml:space="preserve">43 patients (81 %) in the TAFINLAR monotherapy arm with disease progression crossed over to receive TAFINLAR 150 mg and </w:t>
      </w:r>
      <w:r>
        <w:rPr>
          <w:lang w:val="en-US"/>
        </w:rPr>
        <w:t>MEKINIST</w:t>
      </w:r>
      <w:r w:rsidRPr="003A3924">
        <w:rPr>
          <w:lang w:val="en-US"/>
        </w:rPr>
        <w:t xml:space="preserve"> 2 mg combination.</w:t>
      </w:r>
    </w:p>
    <w:p w14:paraId="3F58266C" w14:textId="77777777" w:rsidR="0088047D" w:rsidRPr="00F8436B" w:rsidRDefault="0088047D" w:rsidP="0088047D">
      <w:pPr>
        <w:ind w:left="720"/>
        <w:rPr>
          <w:lang w:val="en-US"/>
        </w:rPr>
      </w:pPr>
      <w:r w:rsidRPr="00D367F1">
        <w:rPr>
          <w:lang w:val="en-US"/>
        </w:rPr>
        <w:t xml:space="preserve">Baseline characteristics were balanced between treatment groups. </w:t>
      </w:r>
      <w:r w:rsidRPr="003A3924">
        <w:rPr>
          <w:lang w:val="en-US"/>
        </w:rPr>
        <w:t>Most patients (85 %) in all treatment arms had BRAF V600E mutation and 15 % of patients had BRAF V600K.</w:t>
      </w:r>
      <w:r>
        <w:rPr>
          <w:lang w:val="en-US"/>
        </w:rPr>
        <w:t xml:space="preserve"> </w:t>
      </w:r>
      <w:r w:rsidRPr="003A3924">
        <w:rPr>
          <w:lang w:val="en-US"/>
        </w:rPr>
        <w:t xml:space="preserve">Investigator assessed median PFS for TAFINLAR 150 mg twice daily plus </w:t>
      </w:r>
      <w:r>
        <w:rPr>
          <w:lang w:val="en-US"/>
        </w:rPr>
        <w:t>MEKINIST</w:t>
      </w:r>
      <w:r w:rsidRPr="004A0E22">
        <w:rPr>
          <w:lang w:val="en-US"/>
        </w:rPr>
        <w:t xml:space="preserve"> 2 mg once daily was 9.4 months (95 % CI: 8.6, 16.7) compared to 5.8 months (95 % CI: 4.6, 7.4 months) for TAFINLAR 150 mg twice daily monotherapy. The hazard ratio was 0.39 (95 % CI 0.25, 0.62, p &lt; 0.0001). </w:t>
      </w:r>
      <w:r w:rsidRPr="003A3924">
        <w:rPr>
          <w:lang w:val="en-US"/>
        </w:rPr>
        <w:t xml:space="preserve">Overall response rate for TAFINLAR 150 mg twice daily plus </w:t>
      </w:r>
      <w:r>
        <w:rPr>
          <w:lang w:val="en-US"/>
        </w:rPr>
        <w:t>MEKINIST</w:t>
      </w:r>
      <w:r w:rsidRPr="003A3924">
        <w:rPr>
          <w:lang w:val="en-US"/>
        </w:rPr>
        <w:t xml:space="preserve"> 2 mg once daily was 76 % (95 % CI: 62.4, 86.5, p = 0.0264) compared to 54 % (95 % CI: 39.6, 67.4) for TAFINLAR 150 mg twice daily monotherapy.</w:t>
      </w:r>
    </w:p>
    <w:p w14:paraId="33C6C863" w14:textId="77777777" w:rsidR="0088047D" w:rsidRPr="003A3924" w:rsidRDefault="0088047D" w:rsidP="0088047D">
      <w:pPr>
        <w:ind w:left="720"/>
        <w:rPr>
          <w:lang w:val="en-US"/>
        </w:rPr>
      </w:pPr>
      <w:r w:rsidRPr="004A0E22">
        <w:rPr>
          <w:lang w:val="en-US"/>
        </w:rPr>
        <w:t xml:space="preserve">The investigator-assessed ORR, </w:t>
      </w:r>
      <w:r w:rsidRPr="003A3924">
        <w:rPr>
          <w:lang w:val="en-US"/>
        </w:rPr>
        <w:t>D</w:t>
      </w:r>
      <w:r>
        <w:rPr>
          <w:lang w:val="en-US"/>
        </w:rPr>
        <w:t>oR</w:t>
      </w:r>
      <w:r w:rsidRPr="003A3924">
        <w:rPr>
          <w:lang w:val="en-US"/>
        </w:rPr>
        <w:t xml:space="preserve">, and PFS were consistent in the subgroup of patients with BRAF V600E and BRAF V600K mutation positive melanoma receiving 150 mg TAFINLAR plus 2 mg </w:t>
      </w:r>
      <w:r>
        <w:rPr>
          <w:lang w:val="en-US"/>
        </w:rPr>
        <w:t>MEKINIST</w:t>
      </w:r>
      <w:r w:rsidRPr="003A3924">
        <w:rPr>
          <w:lang w:val="en-US"/>
        </w:rPr>
        <w:t xml:space="preserve"> combination.</w:t>
      </w:r>
    </w:p>
    <w:p w14:paraId="6C025EEB" w14:textId="77777777" w:rsidR="0088047D" w:rsidRDefault="0088047D" w:rsidP="0088047D">
      <w:pPr>
        <w:widowControl w:val="0"/>
        <w:spacing w:after="0"/>
        <w:ind w:left="720"/>
        <w:rPr>
          <w:lang w:val="en-US"/>
        </w:rPr>
      </w:pPr>
      <w:r w:rsidRPr="003A3924">
        <w:rPr>
          <w:lang w:val="en-US"/>
        </w:rPr>
        <w:t xml:space="preserve">A retrospective blinded independent committee review (BICR) was conducted and had the following results: </w:t>
      </w:r>
    </w:p>
    <w:p w14:paraId="32005F39" w14:textId="77777777" w:rsidR="0088047D" w:rsidRDefault="0088047D" w:rsidP="0088047D">
      <w:pPr>
        <w:numPr>
          <w:ilvl w:val="0"/>
          <w:numId w:val="21"/>
        </w:numPr>
        <w:autoSpaceDE/>
        <w:autoSpaceDN/>
        <w:adjustRightInd/>
        <w:ind w:left="1080"/>
        <w:rPr>
          <w:lang w:val="en-GB"/>
        </w:rPr>
      </w:pPr>
      <w:r w:rsidRPr="0012382D">
        <w:rPr>
          <w:lang w:val="en-GB"/>
        </w:rPr>
        <w:t xml:space="preserve">61 % ORR (95 CI: 46.9 %, 74.1 %; P = 0.1486) for </w:t>
      </w:r>
      <w:r>
        <w:rPr>
          <w:lang w:val="en-GB"/>
        </w:rPr>
        <w:t xml:space="preserve">patients treated with </w:t>
      </w:r>
      <w:r w:rsidRPr="0012382D">
        <w:rPr>
          <w:lang w:val="en-GB"/>
        </w:rPr>
        <w:t xml:space="preserve">150 mg TAFINLAR plus 2 mg </w:t>
      </w:r>
      <w:r>
        <w:rPr>
          <w:lang w:val="en-GB"/>
        </w:rPr>
        <w:t>MEKINIST</w:t>
      </w:r>
      <w:r w:rsidRPr="0012382D">
        <w:rPr>
          <w:lang w:val="en-GB"/>
        </w:rPr>
        <w:t xml:space="preserve"> combination</w:t>
      </w:r>
      <w:r>
        <w:rPr>
          <w:lang w:val="en-GB"/>
        </w:rPr>
        <w:t xml:space="preserve">, </w:t>
      </w:r>
    </w:p>
    <w:p w14:paraId="5351DF4E" w14:textId="77777777" w:rsidR="0088047D" w:rsidRDefault="0088047D" w:rsidP="0088047D">
      <w:pPr>
        <w:numPr>
          <w:ilvl w:val="0"/>
          <w:numId w:val="21"/>
        </w:numPr>
        <w:autoSpaceDE/>
        <w:autoSpaceDN/>
        <w:adjustRightInd/>
        <w:ind w:left="1080"/>
        <w:rPr>
          <w:lang w:val="en-GB"/>
        </w:rPr>
      </w:pPr>
      <w:r w:rsidRPr="0012382D">
        <w:rPr>
          <w:lang w:val="en-GB"/>
        </w:rPr>
        <w:t xml:space="preserve">39 % (95 % CI: 25.9, 53.1; P = 0.5008) for patients treated with 150 mg TAFINLAR plus 1 mg </w:t>
      </w:r>
      <w:r>
        <w:rPr>
          <w:lang w:val="en-GB"/>
        </w:rPr>
        <w:t>MEKINIST</w:t>
      </w:r>
      <w:r w:rsidRPr="0012382D">
        <w:rPr>
          <w:lang w:val="en-GB"/>
        </w:rPr>
        <w:t xml:space="preserve"> combination, </w:t>
      </w:r>
      <w:r>
        <w:rPr>
          <w:lang w:val="en-GB"/>
        </w:rPr>
        <w:t>and</w:t>
      </w:r>
    </w:p>
    <w:p w14:paraId="06F085C3" w14:textId="77777777" w:rsidR="0088047D" w:rsidRPr="0012382D" w:rsidRDefault="0088047D" w:rsidP="0088047D">
      <w:pPr>
        <w:numPr>
          <w:ilvl w:val="0"/>
          <w:numId w:val="21"/>
        </w:numPr>
        <w:autoSpaceDE/>
        <w:autoSpaceDN/>
        <w:adjustRightInd/>
        <w:ind w:left="1080"/>
        <w:rPr>
          <w:lang w:val="en-GB"/>
        </w:rPr>
      </w:pPr>
      <w:r w:rsidRPr="0012382D">
        <w:rPr>
          <w:lang w:val="en-GB"/>
        </w:rPr>
        <w:t>46 % (95 % CI: 32.6 %, 60.4 %) for patients treated with 150 mg TAFINLAR monotherapy</w:t>
      </w:r>
      <w:r>
        <w:rPr>
          <w:lang w:val="en-GB"/>
        </w:rPr>
        <w:t>.</w:t>
      </w:r>
    </w:p>
    <w:p w14:paraId="544835D2" w14:textId="77777777" w:rsidR="0088047D" w:rsidRPr="0012382D" w:rsidRDefault="0088047D" w:rsidP="0088047D">
      <w:pPr>
        <w:pStyle w:val="ListParagraph"/>
        <w:numPr>
          <w:ilvl w:val="0"/>
          <w:numId w:val="21"/>
        </w:numPr>
        <w:autoSpaceDE/>
        <w:autoSpaceDN/>
        <w:adjustRightInd/>
        <w:ind w:left="1080"/>
        <w:rPr>
          <w:rFonts w:ascii="Times New Roman" w:hAnsi="Times New Roman" w:cs="Times New Roman"/>
          <w:sz w:val="24"/>
          <w:szCs w:val="24"/>
          <w:lang w:val="en-GB"/>
        </w:rPr>
      </w:pPr>
      <w:r w:rsidRPr="0012382D">
        <w:rPr>
          <w:rFonts w:ascii="Times New Roman" w:hAnsi="Times New Roman" w:cs="Times New Roman"/>
          <w:sz w:val="24"/>
          <w:szCs w:val="24"/>
          <w:lang w:val="en-GB"/>
        </w:rPr>
        <w:t xml:space="preserve">Median PFS was 9.2 months (95 % CI: 7.6, NR; P = 0.0121) </w:t>
      </w:r>
      <w:r>
        <w:rPr>
          <w:rFonts w:ascii="Times New Roman" w:hAnsi="Times New Roman" w:cs="Times New Roman"/>
          <w:sz w:val="24"/>
          <w:szCs w:val="24"/>
          <w:lang w:val="en-GB"/>
        </w:rPr>
        <w:t xml:space="preserve">for patients treated with </w:t>
      </w:r>
      <w:r w:rsidRPr="0012382D">
        <w:rPr>
          <w:rFonts w:ascii="Times New Roman" w:hAnsi="Times New Roman" w:cs="Times New Roman"/>
          <w:sz w:val="24"/>
          <w:szCs w:val="24"/>
          <w:lang w:val="en-GB"/>
        </w:rPr>
        <w:t xml:space="preserve">TAFINLAR </w:t>
      </w:r>
      <w:r>
        <w:rPr>
          <w:rFonts w:ascii="Times New Roman" w:hAnsi="Times New Roman" w:cs="Times New Roman"/>
          <w:sz w:val="24"/>
          <w:szCs w:val="24"/>
          <w:lang w:val="en-GB"/>
        </w:rPr>
        <w:t xml:space="preserve">150 mg </w:t>
      </w:r>
      <w:r w:rsidRPr="0012382D">
        <w:rPr>
          <w:rFonts w:ascii="Times New Roman" w:hAnsi="Times New Roman" w:cs="Times New Roman"/>
          <w:sz w:val="24"/>
          <w:szCs w:val="24"/>
          <w:lang w:val="en-GB"/>
        </w:rPr>
        <w:t xml:space="preserve">plus 2 mg </w:t>
      </w:r>
      <w:r>
        <w:rPr>
          <w:rFonts w:ascii="Times New Roman" w:hAnsi="Times New Roman" w:cs="Times New Roman"/>
          <w:sz w:val="24"/>
          <w:szCs w:val="24"/>
          <w:lang w:val="en-GB"/>
        </w:rPr>
        <w:t>MEKINIST</w:t>
      </w:r>
      <w:r w:rsidRPr="0012382D">
        <w:rPr>
          <w:rFonts w:ascii="Times New Roman" w:hAnsi="Times New Roman" w:cs="Times New Roman"/>
          <w:sz w:val="24"/>
          <w:szCs w:val="24"/>
          <w:lang w:val="en-GB"/>
        </w:rPr>
        <w:t xml:space="preserve"> combination</w:t>
      </w:r>
      <w:r>
        <w:rPr>
          <w:rFonts w:ascii="Times New Roman" w:hAnsi="Times New Roman" w:cs="Times New Roman"/>
          <w:sz w:val="24"/>
          <w:szCs w:val="24"/>
          <w:lang w:val="en-GB"/>
        </w:rPr>
        <w:t>,</w:t>
      </w:r>
    </w:p>
    <w:p w14:paraId="7145AB07" w14:textId="77777777" w:rsidR="0088047D" w:rsidRDefault="0088047D" w:rsidP="0088047D">
      <w:pPr>
        <w:numPr>
          <w:ilvl w:val="0"/>
          <w:numId w:val="21"/>
        </w:numPr>
        <w:autoSpaceDE/>
        <w:autoSpaceDN/>
        <w:adjustRightInd/>
        <w:ind w:left="1080"/>
        <w:rPr>
          <w:lang w:val="en-GB"/>
        </w:rPr>
      </w:pPr>
      <w:r w:rsidRPr="0012382D">
        <w:rPr>
          <w:lang w:val="en-GB"/>
        </w:rPr>
        <w:t xml:space="preserve">Median PFS was 8.3 months (95 % CI: 5.6, 11.3; P = 0.1721) for patients treated with 150 mg TAFINLAR plus 1 mg </w:t>
      </w:r>
      <w:r>
        <w:rPr>
          <w:lang w:val="en-GB"/>
        </w:rPr>
        <w:t>MEKINIST</w:t>
      </w:r>
      <w:r w:rsidRPr="0012382D">
        <w:rPr>
          <w:lang w:val="en-GB"/>
        </w:rPr>
        <w:t xml:space="preserve"> combination, and </w:t>
      </w:r>
    </w:p>
    <w:p w14:paraId="18BF2168" w14:textId="77777777" w:rsidR="0088047D" w:rsidRDefault="0088047D" w:rsidP="0088047D">
      <w:pPr>
        <w:numPr>
          <w:ilvl w:val="0"/>
          <w:numId w:val="21"/>
        </w:numPr>
        <w:autoSpaceDE/>
        <w:autoSpaceDN/>
        <w:adjustRightInd/>
        <w:ind w:left="1080"/>
        <w:rPr>
          <w:lang w:val="en-GB"/>
        </w:rPr>
      </w:pPr>
      <w:r w:rsidRPr="0012382D">
        <w:rPr>
          <w:lang w:val="en-GB"/>
        </w:rPr>
        <w:t xml:space="preserve">Median PFS was 7.3 months (95 % CI: 5.5, 9.4) for patients treated with </w:t>
      </w:r>
      <w:r>
        <w:rPr>
          <w:lang w:val="en-GB"/>
        </w:rPr>
        <w:t xml:space="preserve">150 mg </w:t>
      </w:r>
      <w:r w:rsidRPr="0012382D">
        <w:rPr>
          <w:lang w:val="en-GB"/>
        </w:rPr>
        <w:t>TAFINLAR monotherapy.</w:t>
      </w:r>
    </w:p>
    <w:p w14:paraId="777161FA" w14:textId="77777777" w:rsidR="0088047D" w:rsidRPr="005A4D97" w:rsidRDefault="0088047D" w:rsidP="0088047D">
      <w:pPr>
        <w:widowControl w:val="0"/>
        <w:autoSpaceDE/>
        <w:autoSpaceDN/>
        <w:adjustRightInd/>
        <w:spacing w:before="120" w:line="240" w:lineRule="auto"/>
        <w:ind w:left="720"/>
        <w:rPr>
          <w:b/>
          <w:i/>
        </w:rPr>
      </w:pPr>
      <w:r w:rsidRPr="00FE6F82">
        <w:rPr>
          <w:b/>
          <w:i/>
        </w:rPr>
        <w:t xml:space="preserve">Randomised </w:t>
      </w:r>
      <w:r>
        <w:rPr>
          <w:b/>
          <w:i/>
        </w:rPr>
        <w:t>o</w:t>
      </w:r>
      <w:r w:rsidRPr="005A4D97">
        <w:rPr>
          <w:b/>
          <w:i/>
        </w:rPr>
        <w:t>pen label stud</w:t>
      </w:r>
      <w:r>
        <w:rPr>
          <w:b/>
          <w:i/>
        </w:rPr>
        <w:t>y</w:t>
      </w:r>
      <w:r w:rsidRPr="003A1E7C">
        <w:t xml:space="preserve"> </w:t>
      </w:r>
      <w:r w:rsidRPr="003A1E7C">
        <w:rPr>
          <w:b/>
          <w:i/>
        </w:rPr>
        <w:t xml:space="preserve">in </w:t>
      </w:r>
      <w:proofErr w:type="spellStart"/>
      <w:r>
        <w:rPr>
          <w:b/>
          <w:i/>
        </w:rPr>
        <w:t>BRAFi</w:t>
      </w:r>
      <w:proofErr w:type="spellEnd"/>
      <w:r>
        <w:rPr>
          <w:b/>
          <w:i/>
        </w:rPr>
        <w:t>-</w:t>
      </w:r>
      <w:r w:rsidRPr="003A1E7C">
        <w:rPr>
          <w:b/>
          <w:i/>
        </w:rPr>
        <w:t>treatment-naïve patients</w:t>
      </w:r>
    </w:p>
    <w:p w14:paraId="53C8B3CC" w14:textId="77777777" w:rsidR="0088047D" w:rsidRPr="00BD6F1D" w:rsidRDefault="0088047D" w:rsidP="0088047D">
      <w:pPr>
        <w:pStyle w:val="Heading3"/>
        <w:ind w:left="720"/>
        <w:rPr>
          <w:b w:val="0"/>
          <w:i/>
          <w:u w:val="single"/>
        </w:rPr>
      </w:pPr>
      <w:r w:rsidRPr="00BD6F1D">
        <w:rPr>
          <w:b w:val="0"/>
          <w:i/>
          <w:u w:val="single"/>
        </w:rPr>
        <w:t>MEK116513 (COMBI-v</w:t>
      </w:r>
      <w:r>
        <w:rPr>
          <w:b w:val="0"/>
          <w:i/>
          <w:u w:val="single"/>
        </w:rPr>
        <w:t>, Phase III Study</w:t>
      </w:r>
      <w:r w:rsidRPr="00BD6F1D">
        <w:rPr>
          <w:b w:val="0"/>
          <w:i/>
          <w:u w:val="single"/>
        </w:rPr>
        <w:t>)</w:t>
      </w:r>
    </w:p>
    <w:p w14:paraId="55A67C3D" w14:textId="41ED2330" w:rsidR="0088047D" w:rsidRDefault="0088047D" w:rsidP="0088047D">
      <w:pPr>
        <w:ind w:left="720"/>
      </w:pPr>
      <w:r>
        <w:t xml:space="preserve">Study MEK116513 was a 2-arm, randomized, open-label, Phase III study comparing </w:t>
      </w:r>
      <w:r w:rsidRPr="00016A8D">
        <w:t xml:space="preserve">TAFINLAR </w:t>
      </w:r>
      <w:r>
        <w:t xml:space="preserve">and MEKINIST combination therapy with vemurafenib monotherapy in BRAF V600 mutation-positive </w:t>
      </w:r>
      <w:r w:rsidR="00A454BA">
        <w:t xml:space="preserve">unresectable or </w:t>
      </w:r>
      <w:r>
        <w:t xml:space="preserve">metastatic melanoma. The primary endpoint of the study was OS (see Figure 3) and the key secondary endpoint was PFS. </w:t>
      </w:r>
      <w:r w:rsidRPr="008C3BAE">
        <w:t>Other secondary objectives</w:t>
      </w:r>
      <w:r>
        <w:t xml:space="preserve"> included ORR, DoR, and safety. </w:t>
      </w:r>
      <w:r w:rsidR="001C1405">
        <w:t>Patient</w:t>
      </w:r>
      <w:r>
        <w:t>s were stratified by lactate dehydrogenase (LDH) level (&gt; the upper limit of normal (ULN) versus ≤ ULN) and BRAF mutation (V600E versus V600K).</w:t>
      </w:r>
    </w:p>
    <w:p w14:paraId="6EF915E9" w14:textId="240CF4BD" w:rsidR="0088047D" w:rsidRDefault="0088047D" w:rsidP="0088047D">
      <w:pPr>
        <w:ind w:left="720"/>
      </w:pPr>
      <w:r>
        <w:t xml:space="preserve">Seven hundred and four </w:t>
      </w:r>
      <w:r w:rsidR="001C1405">
        <w:t>patient</w:t>
      </w:r>
      <w:r>
        <w:t>s were randomized 1:1 to either the combination therapy arm (</w:t>
      </w:r>
      <w:r w:rsidRPr="00016A8D">
        <w:t xml:space="preserve">TAFINLAR </w:t>
      </w:r>
      <w:r>
        <w:t xml:space="preserve">150 mg twice daily and MEKINIST 2 mg once daily) or the vemurafenib monotherapy arm (960 mg twice daily). Most </w:t>
      </w:r>
      <w:r w:rsidR="001C1405">
        <w:t>patient</w:t>
      </w:r>
      <w:r>
        <w:t xml:space="preserve">s were white (&gt; 96 %) and male (55 %), with a median age of 55 years (24 % were ≥ 65 years). The majority of </w:t>
      </w:r>
      <w:r w:rsidR="001C1405">
        <w:t>patient</w:t>
      </w:r>
      <w:r>
        <w:t xml:space="preserve">s had Stage IV M1c disease (61 %). Most </w:t>
      </w:r>
      <w:r w:rsidR="001C1405">
        <w:t>patient</w:t>
      </w:r>
      <w:r>
        <w:t xml:space="preserve">s had LDH ≤ULN (67 %), ECOG performance status of 0 (70 %), and visceral disease (78 %) at baseline. Overall, 54 % of </w:t>
      </w:r>
      <w:r w:rsidR="001C1405">
        <w:t>patient</w:t>
      </w:r>
      <w:r>
        <w:t xml:space="preserve">s had &lt; 3 disease sites at baseline. The majority of </w:t>
      </w:r>
      <w:r w:rsidR="001C1405">
        <w:t>patient</w:t>
      </w:r>
      <w:r>
        <w:t>s had a BRAF V600E mutation (89 %).</w:t>
      </w:r>
    </w:p>
    <w:p w14:paraId="64CA7F1B" w14:textId="77777777" w:rsidR="0088047D" w:rsidRDefault="0088047D" w:rsidP="0088047D">
      <w:pPr>
        <w:widowControl w:val="0"/>
        <w:ind w:left="720"/>
      </w:pPr>
      <w:r>
        <w:lastRenderedPageBreak/>
        <w:t xml:space="preserve">The OS analysis for Study MEK116513 was conducted when 222 total deaths (77 % of the required events for the final analysis) occurred. The Independent Data Monitoring Committee (IDMC) recommended stopping the study since the OS results crossed the pre-specified efficacy boundary. As a consequence the interim OS summary was considered the final comparative OS analysis. </w:t>
      </w:r>
    </w:p>
    <w:p w14:paraId="477B2B90" w14:textId="7B40C5F8" w:rsidR="0088047D" w:rsidRDefault="0088047D" w:rsidP="0088047D">
      <w:pPr>
        <w:widowControl w:val="0"/>
        <w:ind w:left="720"/>
      </w:pPr>
      <w:r>
        <w:t>The OS analysis was based on 222/704 (32 %) deaths in the study [TAFINLAR and MEKINIST combination therapy: 100 deaths (28 %) and vemurafenib monotherapy: 122 deaths (35 %)]. The median follow up time on study treatment was 11 months for the combination arm and 9 months in the vemurafenib arm.  Study MEK116513 showed a statistically significant 31 % reduction in the risk of death for the MEKINIST</w:t>
      </w:r>
      <w:r w:rsidRPr="008C3BAE">
        <w:t xml:space="preserve"> and </w:t>
      </w:r>
      <w:r>
        <w:t>TAFINLAR</w:t>
      </w:r>
      <w:r w:rsidRPr="008C3BAE">
        <w:t xml:space="preserve"> </w:t>
      </w:r>
      <w:r>
        <w:t xml:space="preserve">combination therapy compared with vemurafenib </w:t>
      </w:r>
      <w:r w:rsidRPr="008C3BAE">
        <w:t xml:space="preserve">monotherapy </w:t>
      </w:r>
      <w:r>
        <w:t>(HR = 0.69, 95 % CI: 0.53, 0.89; p = 0.005). The median OS was not yet reached for the combination arm, and was 17.2 months for vemurafenib monotherapy. The r</w:t>
      </w:r>
      <w:r w:rsidRPr="00F13801">
        <w:t xml:space="preserve">esults of the </w:t>
      </w:r>
      <w:r>
        <w:t xml:space="preserve">secondary efficacy </w:t>
      </w:r>
      <w:r w:rsidRPr="00F13801">
        <w:t>endpoints for PFS, ORR and D</w:t>
      </w:r>
      <w:r>
        <w:t>oR</w:t>
      </w:r>
      <w:r w:rsidRPr="00F13801">
        <w:t xml:space="preserve"> are summarized in Table </w:t>
      </w:r>
      <w:r w:rsidR="00C73E06">
        <w:t>1</w:t>
      </w:r>
      <w:r w:rsidR="00BF5438">
        <w:t>5</w:t>
      </w:r>
      <w:r w:rsidR="00C73E06">
        <w:t>.</w:t>
      </w:r>
    </w:p>
    <w:p w14:paraId="5B431DB6" w14:textId="7EF7AEDB" w:rsidR="0088047D" w:rsidRDefault="0088047D" w:rsidP="0088047D">
      <w:pPr>
        <w:keepNext/>
        <w:spacing w:after="0" w:line="240" w:lineRule="auto"/>
        <w:ind w:left="720"/>
        <w:rPr>
          <w:rFonts w:ascii="Arial" w:hAnsi="Arial" w:cs="Arial"/>
          <w:b/>
          <w:lang w:val="en-GB" w:eastAsia="en-GB"/>
        </w:rPr>
      </w:pPr>
      <w:r w:rsidRPr="00381915">
        <w:rPr>
          <w:rFonts w:ascii="Arial" w:hAnsi="Arial" w:cs="Arial"/>
          <w:b/>
          <w:lang w:val="en-GB" w:eastAsia="en-GB"/>
        </w:rPr>
        <w:t xml:space="preserve">Table </w:t>
      </w:r>
      <w:r w:rsidR="00C73E06">
        <w:rPr>
          <w:rFonts w:ascii="Arial" w:hAnsi="Arial" w:cs="Arial"/>
          <w:b/>
          <w:lang w:val="en-GB" w:eastAsia="en-GB"/>
        </w:rPr>
        <w:t>1</w:t>
      </w:r>
      <w:r w:rsidR="00BF5438">
        <w:rPr>
          <w:rFonts w:ascii="Arial" w:hAnsi="Arial" w:cs="Arial"/>
          <w:b/>
          <w:lang w:val="en-GB" w:eastAsia="en-GB"/>
        </w:rPr>
        <w:t>5</w:t>
      </w:r>
      <w:r>
        <w:rPr>
          <w:rFonts w:ascii="Arial" w:hAnsi="Arial" w:cs="Arial"/>
          <w:b/>
          <w:lang w:val="en-GB" w:eastAsia="en-GB"/>
        </w:rPr>
        <w:tab/>
      </w:r>
      <w:r w:rsidRPr="00381915">
        <w:rPr>
          <w:rFonts w:ascii="Arial" w:hAnsi="Arial" w:cs="Arial"/>
          <w:b/>
          <w:lang w:val="en-GB" w:eastAsia="en-GB"/>
        </w:rPr>
        <w:t xml:space="preserve">Investigator-Assessed Efficacy </w:t>
      </w:r>
      <w:r>
        <w:rPr>
          <w:rFonts w:ascii="Arial" w:hAnsi="Arial" w:cs="Arial"/>
          <w:b/>
          <w:lang w:val="en-GB" w:eastAsia="en-GB"/>
        </w:rPr>
        <w:t>r</w:t>
      </w:r>
      <w:r w:rsidRPr="00381915">
        <w:rPr>
          <w:rFonts w:ascii="Arial" w:hAnsi="Arial" w:cs="Arial"/>
          <w:b/>
          <w:lang w:val="en-GB" w:eastAsia="en-GB"/>
        </w:rPr>
        <w:t xml:space="preserve">esults for MEK116513 (COMBI-v) </w:t>
      </w:r>
    </w:p>
    <w:p w14:paraId="38D7A642" w14:textId="77777777" w:rsidR="0088047D" w:rsidRPr="00381915" w:rsidRDefault="0088047D" w:rsidP="0088047D">
      <w:pPr>
        <w:ind w:left="720"/>
        <w:rPr>
          <w:rFonts w:ascii="Arial" w:hAnsi="Arial" w:cs="Arial"/>
          <w:b/>
          <w:lang w:val="en-GB" w:eastAsia="en-GB"/>
        </w:rPr>
      </w:pPr>
      <w:r>
        <w:rPr>
          <w:rFonts w:ascii="Arial" w:hAnsi="Arial" w:cs="Arial"/>
          <w:b/>
          <w:lang w:val="en-GB" w:eastAsia="en-GB"/>
        </w:rPr>
        <w:tab/>
      </w:r>
      <w:r>
        <w:rPr>
          <w:rFonts w:ascii="Arial" w:hAnsi="Arial" w:cs="Arial"/>
          <w:b/>
          <w:lang w:val="en-GB" w:eastAsia="en-GB"/>
        </w:rPr>
        <w:tab/>
      </w:r>
      <w:proofErr w:type="gramStart"/>
      <w:r w:rsidRPr="00381915">
        <w:rPr>
          <w:rFonts w:ascii="Arial" w:hAnsi="Arial" w:cs="Arial"/>
          <w:b/>
          <w:lang w:val="en-GB" w:eastAsia="en-GB"/>
        </w:rPr>
        <w:t>study</w:t>
      </w:r>
      <w:proofErr w:type="gramEnd"/>
    </w:p>
    <w:tbl>
      <w:tblPr>
        <w:tblW w:w="0" w:type="auto"/>
        <w:tblInd w:w="720" w:type="dxa"/>
        <w:tblLayout w:type="fixed"/>
        <w:tblLook w:val="04A0" w:firstRow="1" w:lastRow="0" w:firstColumn="1" w:lastColumn="0" w:noHBand="0" w:noVBand="1"/>
      </w:tblPr>
      <w:tblGrid>
        <w:gridCol w:w="4361"/>
        <w:gridCol w:w="1701"/>
        <w:gridCol w:w="1559"/>
      </w:tblGrid>
      <w:tr w:rsidR="0088047D" w:rsidRPr="00F3375B" w14:paraId="6FE1886E" w14:textId="77777777" w:rsidTr="008716DA">
        <w:trPr>
          <w:tblHeader/>
        </w:trPr>
        <w:tc>
          <w:tcPr>
            <w:tcW w:w="4361" w:type="dxa"/>
            <w:tcBorders>
              <w:top w:val="single" w:sz="4" w:space="0" w:color="auto"/>
              <w:bottom w:val="single" w:sz="4" w:space="0" w:color="auto"/>
            </w:tcBorders>
            <w:shd w:val="clear" w:color="auto" w:fill="auto"/>
            <w:vAlign w:val="center"/>
          </w:tcPr>
          <w:p w14:paraId="44121555" w14:textId="77777777" w:rsidR="0088047D" w:rsidRPr="00F3375B" w:rsidRDefault="0088047D" w:rsidP="0088047D">
            <w:pPr>
              <w:jc w:val="center"/>
              <w:rPr>
                <w:rFonts w:ascii="Arial Narrow" w:hAnsi="Arial Narrow" w:cs="Arial"/>
                <w:b/>
                <w:sz w:val="22"/>
                <w:szCs w:val="22"/>
                <w:lang w:val="en-US"/>
              </w:rPr>
            </w:pPr>
            <w:r w:rsidRPr="00F3375B">
              <w:rPr>
                <w:rFonts w:ascii="Arial Narrow" w:hAnsi="Arial Narrow" w:cs="Arial"/>
                <w:b/>
                <w:sz w:val="22"/>
                <w:szCs w:val="22"/>
              </w:rPr>
              <w:t>Endpoint</w:t>
            </w:r>
          </w:p>
        </w:tc>
        <w:tc>
          <w:tcPr>
            <w:tcW w:w="1701" w:type="dxa"/>
            <w:tcBorders>
              <w:top w:val="single" w:sz="4" w:space="0" w:color="auto"/>
              <w:bottom w:val="single" w:sz="4" w:space="0" w:color="auto"/>
            </w:tcBorders>
            <w:shd w:val="clear" w:color="auto" w:fill="auto"/>
            <w:vAlign w:val="center"/>
          </w:tcPr>
          <w:p w14:paraId="04C9322D" w14:textId="77777777" w:rsidR="0088047D" w:rsidRPr="00F3375B" w:rsidRDefault="0088047D" w:rsidP="0088047D">
            <w:pPr>
              <w:jc w:val="center"/>
              <w:rPr>
                <w:rFonts w:ascii="Arial Narrow" w:hAnsi="Arial Narrow" w:cs="Arial"/>
                <w:b/>
                <w:sz w:val="22"/>
                <w:szCs w:val="22"/>
                <w:lang w:val="en-US"/>
              </w:rPr>
            </w:pPr>
            <w:r w:rsidRPr="00F3375B">
              <w:rPr>
                <w:rFonts w:ascii="Arial Narrow" w:hAnsi="Arial Narrow" w:cs="Arial"/>
                <w:b/>
                <w:sz w:val="22"/>
                <w:szCs w:val="22"/>
              </w:rPr>
              <w:t xml:space="preserve">TAFINLAR + </w:t>
            </w:r>
            <w:r>
              <w:rPr>
                <w:rFonts w:ascii="Arial Narrow" w:hAnsi="Arial Narrow" w:cs="Arial"/>
                <w:b/>
                <w:sz w:val="22"/>
                <w:szCs w:val="22"/>
              </w:rPr>
              <w:t>MEKINIST</w:t>
            </w:r>
            <w:r w:rsidRPr="00F3375B">
              <w:rPr>
                <w:rFonts w:ascii="Arial Narrow" w:hAnsi="Arial Narrow" w:cs="Arial"/>
                <w:b/>
                <w:sz w:val="22"/>
                <w:szCs w:val="22"/>
              </w:rPr>
              <w:t xml:space="preserve"> (N=352)</w:t>
            </w:r>
          </w:p>
        </w:tc>
        <w:tc>
          <w:tcPr>
            <w:tcW w:w="1559" w:type="dxa"/>
            <w:tcBorders>
              <w:top w:val="single" w:sz="4" w:space="0" w:color="auto"/>
              <w:bottom w:val="single" w:sz="4" w:space="0" w:color="auto"/>
            </w:tcBorders>
            <w:shd w:val="clear" w:color="auto" w:fill="auto"/>
            <w:vAlign w:val="center"/>
          </w:tcPr>
          <w:p w14:paraId="3596A916" w14:textId="77777777" w:rsidR="0088047D" w:rsidRPr="00F3375B" w:rsidRDefault="0088047D" w:rsidP="0088047D">
            <w:pPr>
              <w:jc w:val="center"/>
              <w:rPr>
                <w:rFonts w:ascii="Arial Narrow" w:hAnsi="Arial Narrow" w:cs="Arial"/>
                <w:b/>
                <w:sz w:val="22"/>
                <w:szCs w:val="22"/>
                <w:lang w:val="en-US"/>
              </w:rPr>
            </w:pPr>
            <w:r w:rsidRPr="00F3375B">
              <w:rPr>
                <w:rFonts w:ascii="Arial Narrow" w:hAnsi="Arial Narrow" w:cs="Arial"/>
                <w:b/>
                <w:sz w:val="22"/>
                <w:szCs w:val="22"/>
                <w:lang w:val="en-US"/>
              </w:rPr>
              <w:t>Vemurafenib (N=352)</w:t>
            </w:r>
          </w:p>
        </w:tc>
      </w:tr>
      <w:tr w:rsidR="0088047D" w:rsidRPr="00AC6C51" w14:paraId="268792C3" w14:textId="77777777" w:rsidTr="008716DA">
        <w:tc>
          <w:tcPr>
            <w:tcW w:w="7621" w:type="dxa"/>
            <w:gridSpan w:val="3"/>
            <w:tcBorders>
              <w:top w:val="single" w:sz="4" w:space="0" w:color="auto"/>
            </w:tcBorders>
            <w:shd w:val="clear" w:color="auto" w:fill="auto"/>
          </w:tcPr>
          <w:p w14:paraId="3A3BE331" w14:textId="77777777" w:rsidR="0088047D" w:rsidRPr="00AC6C51" w:rsidRDefault="0088047D" w:rsidP="0088047D">
            <w:pPr>
              <w:autoSpaceDE/>
              <w:autoSpaceDN/>
              <w:adjustRightInd/>
              <w:spacing w:after="0" w:line="240" w:lineRule="auto"/>
              <w:jc w:val="left"/>
              <w:rPr>
                <w:rFonts w:ascii="Arial Narrow" w:hAnsi="Arial Narrow" w:cs="Arial"/>
                <w:b/>
                <w:sz w:val="22"/>
                <w:szCs w:val="22"/>
                <w:lang w:val="en-US"/>
              </w:rPr>
            </w:pPr>
            <w:r w:rsidRPr="00AC6C51">
              <w:rPr>
                <w:rFonts w:ascii="Arial Narrow" w:hAnsi="Arial Narrow" w:cs="Arial"/>
                <w:b/>
                <w:sz w:val="22"/>
                <w:szCs w:val="22"/>
                <w:lang w:val="en-US"/>
              </w:rPr>
              <w:t>Investigator Assessed PFS</w:t>
            </w:r>
          </w:p>
        </w:tc>
      </w:tr>
      <w:tr w:rsidR="0088047D" w:rsidRPr="00AC6C51" w14:paraId="60F950D7" w14:textId="77777777" w:rsidTr="008716DA">
        <w:tc>
          <w:tcPr>
            <w:tcW w:w="4361" w:type="dxa"/>
            <w:shd w:val="clear" w:color="auto" w:fill="auto"/>
          </w:tcPr>
          <w:p w14:paraId="3A161304" w14:textId="77777777" w:rsidR="0088047D" w:rsidRPr="00F3375B" w:rsidRDefault="0088047D" w:rsidP="0088047D">
            <w:pPr>
              <w:autoSpaceDE/>
              <w:autoSpaceDN/>
              <w:adjustRightInd/>
              <w:spacing w:after="0" w:line="240" w:lineRule="auto"/>
              <w:jc w:val="right"/>
              <w:rPr>
                <w:rFonts w:ascii="Arial Narrow" w:hAnsi="Arial Narrow" w:cs="Arial"/>
                <w:sz w:val="22"/>
                <w:szCs w:val="22"/>
                <w:lang w:val="en-US"/>
              </w:rPr>
            </w:pPr>
            <w:r w:rsidRPr="00F3375B">
              <w:rPr>
                <w:rFonts w:ascii="Arial Narrow" w:hAnsi="Arial Narrow" w:cs="Arial"/>
                <w:sz w:val="22"/>
                <w:szCs w:val="22"/>
                <w:lang w:val="en-US"/>
              </w:rPr>
              <w:t>Progressive disease or death, n (%)</w:t>
            </w:r>
          </w:p>
        </w:tc>
        <w:tc>
          <w:tcPr>
            <w:tcW w:w="1701" w:type="dxa"/>
            <w:shd w:val="clear" w:color="auto" w:fill="auto"/>
          </w:tcPr>
          <w:p w14:paraId="7BE44190" w14:textId="77777777" w:rsidR="0088047D" w:rsidRPr="00F3375B" w:rsidRDefault="0088047D" w:rsidP="0088047D">
            <w:pPr>
              <w:autoSpaceDE/>
              <w:autoSpaceDN/>
              <w:adjustRightInd/>
              <w:spacing w:after="0" w:line="240" w:lineRule="auto"/>
              <w:jc w:val="center"/>
              <w:rPr>
                <w:rFonts w:ascii="Arial Narrow" w:hAnsi="Arial Narrow" w:cs="Arial"/>
                <w:sz w:val="22"/>
                <w:szCs w:val="22"/>
                <w:lang w:val="en-US"/>
              </w:rPr>
            </w:pPr>
            <w:r w:rsidRPr="00F3375B">
              <w:rPr>
                <w:rFonts w:ascii="Arial Narrow" w:hAnsi="Arial Narrow" w:cs="Arial"/>
                <w:sz w:val="22"/>
                <w:szCs w:val="22"/>
                <w:lang w:val="en-US"/>
              </w:rPr>
              <w:t>166 (47)</w:t>
            </w:r>
          </w:p>
        </w:tc>
        <w:tc>
          <w:tcPr>
            <w:tcW w:w="1559" w:type="dxa"/>
            <w:shd w:val="clear" w:color="auto" w:fill="auto"/>
          </w:tcPr>
          <w:p w14:paraId="7EB42B98" w14:textId="77777777" w:rsidR="0088047D" w:rsidRPr="00F3375B" w:rsidRDefault="0088047D" w:rsidP="0088047D">
            <w:pPr>
              <w:autoSpaceDE/>
              <w:autoSpaceDN/>
              <w:adjustRightInd/>
              <w:spacing w:after="0" w:line="240" w:lineRule="auto"/>
              <w:jc w:val="center"/>
              <w:rPr>
                <w:rFonts w:ascii="Arial Narrow" w:hAnsi="Arial Narrow" w:cs="Arial"/>
                <w:sz w:val="22"/>
                <w:szCs w:val="22"/>
                <w:lang w:val="en-US"/>
              </w:rPr>
            </w:pPr>
            <w:r w:rsidRPr="00F3375B">
              <w:rPr>
                <w:rFonts w:ascii="Arial Narrow" w:hAnsi="Arial Narrow" w:cs="Arial"/>
                <w:sz w:val="22"/>
                <w:szCs w:val="22"/>
                <w:lang w:val="en-US"/>
              </w:rPr>
              <w:t>217 (62)</w:t>
            </w:r>
          </w:p>
        </w:tc>
      </w:tr>
      <w:tr w:rsidR="0088047D" w:rsidRPr="00AC6C51" w14:paraId="560066CD" w14:textId="77777777" w:rsidTr="008716DA">
        <w:tc>
          <w:tcPr>
            <w:tcW w:w="4361" w:type="dxa"/>
            <w:shd w:val="clear" w:color="auto" w:fill="auto"/>
          </w:tcPr>
          <w:p w14:paraId="579F343A" w14:textId="23D12F5F" w:rsidR="0088047D" w:rsidRPr="00F3375B" w:rsidRDefault="0088047D" w:rsidP="0088047D">
            <w:pPr>
              <w:autoSpaceDE/>
              <w:autoSpaceDN/>
              <w:adjustRightInd/>
              <w:spacing w:after="0" w:line="240" w:lineRule="auto"/>
              <w:jc w:val="right"/>
              <w:rPr>
                <w:rFonts w:ascii="Arial Narrow" w:hAnsi="Arial Narrow" w:cs="Arial"/>
                <w:sz w:val="22"/>
                <w:szCs w:val="22"/>
                <w:lang w:val="en-US"/>
              </w:rPr>
            </w:pPr>
            <w:r w:rsidRPr="00F3375B">
              <w:rPr>
                <w:rFonts w:ascii="Arial Narrow" w:hAnsi="Arial Narrow" w:cs="Arial"/>
                <w:sz w:val="22"/>
                <w:szCs w:val="22"/>
                <w:lang w:val="en-US"/>
              </w:rPr>
              <w:t>Median, months</w:t>
            </w:r>
            <w:r w:rsidR="00843F78">
              <w:rPr>
                <w:rFonts w:ascii="Arial Narrow" w:hAnsi="Arial Narrow" w:cs="Arial"/>
                <w:sz w:val="22"/>
                <w:szCs w:val="22"/>
                <w:lang w:val="en-US"/>
              </w:rPr>
              <w:t xml:space="preserve"> (</w:t>
            </w:r>
            <w:r w:rsidR="00843F78" w:rsidRPr="00F3375B">
              <w:rPr>
                <w:rFonts w:ascii="Arial Narrow" w:hAnsi="Arial Narrow" w:cs="Arial"/>
                <w:sz w:val="22"/>
                <w:szCs w:val="22"/>
                <w:lang w:val="en-US"/>
              </w:rPr>
              <w:t>95 % CI</w:t>
            </w:r>
            <w:r w:rsidR="00843F78">
              <w:rPr>
                <w:rFonts w:ascii="Arial Narrow" w:hAnsi="Arial Narrow" w:cs="Arial"/>
                <w:sz w:val="22"/>
                <w:szCs w:val="22"/>
                <w:lang w:val="en-US"/>
              </w:rPr>
              <w:t>)</w:t>
            </w:r>
          </w:p>
        </w:tc>
        <w:tc>
          <w:tcPr>
            <w:tcW w:w="1701" w:type="dxa"/>
            <w:shd w:val="clear" w:color="auto" w:fill="auto"/>
          </w:tcPr>
          <w:p w14:paraId="11A37309" w14:textId="272031C9" w:rsidR="0088047D" w:rsidRPr="00F3375B" w:rsidRDefault="0088047D" w:rsidP="0088047D">
            <w:pPr>
              <w:autoSpaceDE/>
              <w:autoSpaceDN/>
              <w:adjustRightInd/>
              <w:spacing w:after="0" w:line="240" w:lineRule="auto"/>
              <w:jc w:val="center"/>
              <w:rPr>
                <w:rFonts w:ascii="Arial Narrow" w:hAnsi="Arial Narrow" w:cs="Arial"/>
                <w:sz w:val="22"/>
                <w:szCs w:val="22"/>
                <w:lang w:val="en-US"/>
              </w:rPr>
            </w:pPr>
            <w:r w:rsidRPr="00F3375B">
              <w:rPr>
                <w:rFonts w:ascii="Arial Narrow" w:hAnsi="Arial Narrow" w:cs="Arial"/>
                <w:sz w:val="22"/>
                <w:szCs w:val="22"/>
                <w:lang w:val="en-US"/>
              </w:rPr>
              <w:t>11.4</w:t>
            </w:r>
            <w:r w:rsidR="00843F78">
              <w:rPr>
                <w:rFonts w:ascii="Arial Narrow" w:hAnsi="Arial Narrow" w:cs="Arial"/>
                <w:sz w:val="22"/>
                <w:szCs w:val="22"/>
                <w:lang w:val="en-US"/>
              </w:rPr>
              <w:t xml:space="preserve"> </w:t>
            </w:r>
            <w:r w:rsidR="00843F78" w:rsidRPr="00F3375B">
              <w:rPr>
                <w:rFonts w:ascii="Arial Narrow" w:hAnsi="Arial Narrow" w:cs="Arial"/>
                <w:sz w:val="22"/>
                <w:szCs w:val="22"/>
                <w:lang w:val="en-US"/>
              </w:rPr>
              <w:t>(9.9, 14.9)</w:t>
            </w:r>
          </w:p>
        </w:tc>
        <w:tc>
          <w:tcPr>
            <w:tcW w:w="1559" w:type="dxa"/>
            <w:shd w:val="clear" w:color="auto" w:fill="auto"/>
          </w:tcPr>
          <w:p w14:paraId="4680CB34" w14:textId="390C09CC" w:rsidR="0088047D" w:rsidRPr="00F3375B" w:rsidRDefault="0088047D" w:rsidP="0088047D">
            <w:pPr>
              <w:autoSpaceDE/>
              <w:autoSpaceDN/>
              <w:adjustRightInd/>
              <w:spacing w:after="0" w:line="240" w:lineRule="auto"/>
              <w:jc w:val="center"/>
              <w:rPr>
                <w:rFonts w:ascii="Arial Narrow" w:hAnsi="Arial Narrow" w:cs="Arial"/>
                <w:sz w:val="22"/>
                <w:szCs w:val="22"/>
                <w:lang w:val="en-US"/>
              </w:rPr>
            </w:pPr>
            <w:r w:rsidRPr="00F3375B">
              <w:rPr>
                <w:rFonts w:ascii="Arial Narrow" w:hAnsi="Arial Narrow" w:cs="Arial"/>
                <w:sz w:val="22"/>
                <w:szCs w:val="22"/>
                <w:lang w:val="en-US"/>
              </w:rPr>
              <w:t>7.3</w:t>
            </w:r>
            <w:r w:rsidR="00843F78">
              <w:rPr>
                <w:rFonts w:ascii="Arial Narrow" w:hAnsi="Arial Narrow" w:cs="Arial"/>
                <w:sz w:val="22"/>
                <w:szCs w:val="22"/>
                <w:lang w:val="en-US"/>
              </w:rPr>
              <w:t xml:space="preserve"> </w:t>
            </w:r>
            <w:r w:rsidR="00843F78" w:rsidRPr="00F3375B">
              <w:rPr>
                <w:rFonts w:ascii="Arial Narrow" w:hAnsi="Arial Narrow" w:cs="Arial"/>
                <w:sz w:val="22"/>
                <w:szCs w:val="22"/>
                <w:lang w:val="en-US"/>
              </w:rPr>
              <w:t>(5.8, 7.8)</w:t>
            </w:r>
          </w:p>
        </w:tc>
      </w:tr>
      <w:tr w:rsidR="0088047D" w:rsidRPr="00AC6C51" w14:paraId="5CC4A276" w14:textId="77777777" w:rsidTr="008716DA">
        <w:tc>
          <w:tcPr>
            <w:tcW w:w="4361" w:type="dxa"/>
            <w:shd w:val="clear" w:color="auto" w:fill="auto"/>
          </w:tcPr>
          <w:p w14:paraId="2170544B" w14:textId="5FD52C1E" w:rsidR="0088047D" w:rsidRPr="00F3375B" w:rsidRDefault="0088047D" w:rsidP="0088047D">
            <w:pPr>
              <w:autoSpaceDE/>
              <w:autoSpaceDN/>
              <w:adjustRightInd/>
              <w:spacing w:after="0" w:line="240" w:lineRule="auto"/>
              <w:jc w:val="right"/>
              <w:rPr>
                <w:rFonts w:ascii="Arial Narrow" w:hAnsi="Arial Narrow" w:cs="Arial"/>
                <w:sz w:val="22"/>
                <w:szCs w:val="22"/>
                <w:lang w:val="en-US"/>
              </w:rPr>
            </w:pPr>
            <w:r w:rsidRPr="00F3375B">
              <w:rPr>
                <w:rFonts w:ascii="Arial Narrow" w:hAnsi="Arial Narrow" w:cs="Arial"/>
                <w:sz w:val="22"/>
                <w:szCs w:val="22"/>
                <w:lang w:val="en-US"/>
              </w:rPr>
              <w:t>Hazard Ratio</w:t>
            </w:r>
            <w:r w:rsidR="000B696A">
              <w:rPr>
                <w:rFonts w:ascii="Arial Narrow" w:hAnsi="Arial Narrow" w:cs="Arial"/>
                <w:sz w:val="22"/>
                <w:szCs w:val="22"/>
                <w:lang w:val="en-US"/>
              </w:rPr>
              <w:t xml:space="preserve"> (</w:t>
            </w:r>
            <w:r w:rsidR="000B696A" w:rsidRPr="00F3375B">
              <w:rPr>
                <w:rFonts w:ascii="Arial Narrow" w:hAnsi="Arial Narrow" w:cs="Arial"/>
                <w:sz w:val="22"/>
                <w:szCs w:val="22"/>
                <w:lang w:val="en-US"/>
              </w:rPr>
              <w:t>95 % CI</w:t>
            </w:r>
            <w:r w:rsidR="000B696A">
              <w:rPr>
                <w:rFonts w:ascii="Arial Narrow" w:hAnsi="Arial Narrow" w:cs="Arial"/>
                <w:sz w:val="22"/>
                <w:szCs w:val="22"/>
                <w:lang w:val="en-US"/>
              </w:rPr>
              <w:t>)</w:t>
            </w:r>
          </w:p>
        </w:tc>
        <w:tc>
          <w:tcPr>
            <w:tcW w:w="3260" w:type="dxa"/>
            <w:gridSpan w:val="2"/>
            <w:shd w:val="clear" w:color="auto" w:fill="auto"/>
          </w:tcPr>
          <w:p w14:paraId="6D5E7BEA" w14:textId="5500DE86" w:rsidR="0088047D" w:rsidRPr="00F3375B" w:rsidRDefault="0088047D" w:rsidP="0088047D">
            <w:pPr>
              <w:autoSpaceDE/>
              <w:autoSpaceDN/>
              <w:adjustRightInd/>
              <w:spacing w:after="0" w:line="240" w:lineRule="auto"/>
              <w:jc w:val="center"/>
              <w:rPr>
                <w:rFonts w:ascii="Arial Narrow" w:hAnsi="Arial Narrow" w:cs="Arial"/>
                <w:sz w:val="22"/>
                <w:szCs w:val="22"/>
                <w:lang w:val="en-US"/>
              </w:rPr>
            </w:pPr>
            <w:r w:rsidRPr="00F3375B">
              <w:rPr>
                <w:rFonts w:ascii="Arial Narrow" w:hAnsi="Arial Narrow" w:cs="Arial"/>
                <w:sz w:val="22"/>
                <w:szCs w:val="22"/>
                <w:lang w:val="en-US"/>
              </w:rPr>
              <w:t>0.56</w:t>
            </w:r>
            <w:r w:rsidR="000B696A" w:rsidRPr="00F3375B">
              <w:rPr>
                <w:rFonts w:ascii="Arial Narrow" w:hAnsi="Arial Narrow" w:cs="Arial"/>
                <w:sz w:val="22"/>
                <w:szCs w:val="22"/>
                <w:lang w:val="en-US"/>
              </w:rPr>
              <w:t>(0.46, 0.69)</w:t>
            </w:r>
          </w:p>
        </w:tc>
      </w:tr>
      <w:tr w:rsidR="0088047D" w:rsidRPr="00AC6C51" w14:paraId="337AD67E" w14:textId="77777777" w:rsidTr="008716DA">
        <w:tc>
          <w:tcPr>
            <w:tcW w:w="4361" w:type="dxa"/>
            <w:shd w:val="clear" w:color="auto" w:fill="auto"/>
          </w:tcPr>
          <w:p w14:paraId="773B5770" w14:textId="77777777" w:rsidR="0088047D" w:rsidRPr="00F3375B" w:rsidRDefault="0088047D" w:rsidP="0088047D">
            <w:pPr>
              <w:autoSpaceDE/>
              <w:autoSpaceDN/>
              <w:adjustRightInd/>
              <w:spacing w:after="0" w:line="240" w:lineRule="auto"/>
              <w:jc w:val="right"/>
              <w:rPr>
                <w:rFonts w:ascii="Arial Narrow" w:hAnsi="Arial Narrow" w:cs="Arial"/>
                <w:sz w:val="22"/>
                <w:szCs w:val="22"/>
                <w:lang w:val="en-US"/>
              </w:rPr>
            </w:pPr>
            <w:r w:rsidRPr="00F3375B">
              <w:rPr>
                <w:rFonts w:ascii="Arial Narrow" w:hAnsi="Arial Narrow" w:cs="Arial"/>
                <w:sz w:val="22"/>
                <w:szCs w:val="22"/>
                <w:lang w:val="en-US"/>
              </w:rPr>
              <w:t>p value</w:t>
            </w:r>
          </w:p>
        </w:tc>
        <w:tc>
          <w:tcPr>
            <w:tcW w:w="3260" w:type="dxa"/>
            <w:gridSpan w:val="2"/>
            <w:shd w:val="clear" w:color="auto" w:fill="auto"/>
          </w:tcPr>
          <w:p w14:paraId="3A964FA9" w14:textId="77777777" w:rsidR="0088047D" w:rsidRPr="00F3375B" w:rsidRDefault="0088047D" w:rsidP="0088047D">
            <w:pPr>
              <w:autoSpaceDE/>
              <w:autoSpaceDN/>
              <w:adjustRightInd/>
              <w:spacing w:after="0" w:line="240" w:lineRule="auto"/>
              <w:jc w:val="center"/>
              <w:rPr>
                <w:rFonts w:ascii="Arial Narrow" w:hAnsi="Arial Narrow" w:cs="Arial"/>
                <w:sz w:val="22"/>
                <w:szCs w:val="22"/>
                <w:lang w:val="en-US"/>
              </w:rPr>
            </w:pPr>
            <w:r w:rsidRPr="00F3375B">
              <w:rPr>
                <w:rFonts w:ascii="Arial Narrow" w:hAnsi="Arial Narrow" w:cs="Arial"/>
                <w:sz w:val="22"/>
                <w:szCs w:val="22"/>
                <w:lang w:val="en-US"/>
              </w:rPr>
              <w:t>&lt; 0.001</w:t>
            </w:r>
          </w:p>
        </w:tc>
      </w:tr>
      <w:tr w:rsidR="0088047D" w:rsidRPr="00AC6C51" w14:paraId="7FB025DC" w14:textId="77777777" w:rsidTr="008716DA">
        <w:tc>
          <w:tcPr>
            <w:tcW w:w="4361" w:type="dxa"/>
            <w:shd w:val="clear" w:color="auto" w:fill="auto"/>
          </w:tcPr>
          <w:p w14:paraId="0A838049" w14:textId="77777777" w:rsidR="0088047D" w:rsidRPr="00F3375B" w:rsidRDefault="0088047D" w:rsidP="0088047D">
            <w:pPr>
              <w:autoSpaceDE/>
              <w:autoSpaceDN/>
              <w:adjustRightInd/>
              <w:spacing w:after="0" w:line="240" w:lineRule="auto"/>
              <w:jc w:val="right"/>
              <w:rPr>
                <w:rFonts w:ascii="Arial Narrow" w:hAnsi="Arial Narrow" w:cs="Arial"/>
                <w:sz w:val="22"/>
                <w:szCs w:val="22"/>
                <w:lang w:val="en-US"/>
              </w:rPr>
            </w:pPr>
            <w:r w:rsidRPr="00F3375B">
              <w:rPr>
                <w:rFonts w:ascii="Arial Narrow" w:hAnsi="Arial Narrow" w:cs="Arial"/>
                <w:sz w:val="22"/>
                <w:szCs w:val="22"/>
                <w:lang w:val="en-US"/>
              </w:rPr>
              <w:t>Overall Response Rate, n (%)</w:t>
            </w:r>
          </w:p>
        </w:tc>
        <w:tc>
          <w:tcPr>
            <w:tcW w:w="1701" w:type="dxa"/>
            <w:shd w:val="clear" w:color="auto" w:fill="auto"/>
          </w:tcPr>
          <w:p w14:paraId="71DD2232" w14:textId="77777777" w:rsidR="0088047D" w:rsidRPr="00F3375B" w:rsidRDefault="0088047D" w:rsidP="0088047D">
            <w:pPr>
              <w:autoSpaceDE/>
              <w:autoSpaceDN/>
              <w:adjustRightInd/>
              <w:spacing w:after="0" w:line="240" w:lineRule="auto"/>
              <w:jc w:val="center"/>
              <w:rPr>
                <w:rFonts w:ascii="Arial Narrow" w:hAnsi="Arial Narrow" w:cs="Arial"/>
                <w:sz w:val="22"/>
                <w:szCs w:val="22"/>
                <w:lang w:val="en-US"/>
              </w:rPr>
            </w:pPr>
            <w:r w:rsidRPr="00F3375B">
              <w:rPr>
                <w:rFonts w:ascii="Arial Narrow" w:hAnsi="Arial Narrow" w:cs="Arial"/>
                <w:sz w:val="22"/>
                <w:szCs w:val="22"/>
                <w:lang w:val="en-US"/>
              </w:rPr>
              <w:t>226 (64)</w:t>
            </w:r>
          </w:p>
        </w:tc>
        <w:tc>
          <w:tcPr>
            <w:tcW w:w="1559" w:type="dxa"/>
            <w:shd w:val="clear" w:color="auto" w:fill="auto"/>
          </w:tcPr>
          <w:p w14:paraId="4B75C269" w14:textId="77777777" w:rsidR="0088047D" w:rsidRPr="00F3375B" w:rsidRDefault="0088047D" w:rsidP="0088047D">
            <w:pPr>
              <w:autoSpaceDE/>
              <w:autoSpaceDN/>
              <w:adjustRightInd/>
              <w:spacing w:after="0" w:line="240" w:lineRule="auto"/>
              <w:jc w:val="center"/>
              <w:rPr>
                <w:rFonts w:ascii="Arial Narrow" w:hAnsi="Arial Narrow" w:cs="Arial"/>
                <w:sz w:val="22"/>
                <w:szCs w:val="22"/>
                <w:lang w:val="en-US"/>
              </w:rPr>
            </w:pPr>
            <w:r w:rsidRPr="00F3375B">
              <w:rPr>
                <w:rFonts w:ascii="Arial Narrow" w:hAnsi="Arial Narrow" w:cs="Arial"/>
                <w:sz w:val="22"/>
                <w:szCs w:val="22"/>
                <w:lang w:val="en-US"/>
              </w:rPr>
              <w:t>180 (51)</w:t>
            </w:r>
          </w:p>
        </w:tc>
      </w:tr>
      <w:tr w:rsidR="0088047D" w:rsidRPr="00AC6C51" w14:paraId="3F023AF6" w14:textId="77777777" w:rsidTr="008716DA">
        <w:tc>
          <w:tcPr>
            <w:tcW w:w="4361" w:type="dxa"/>
            <w:shd w:val="clear" w:color="auto" w:fill="auto"/>
          </w:tcPr>
          <w:p w14:paraId="23A96275" w14:textId="77777777" w:rsidR="0088047D" w:rsidRPr="00F3375B" w:rsidRDefault="0088047D" w:rsidP="0088047D">
            <w:pPr>
              <w:autoSpaceDE/>
              <w:autoSpaceDN/>
              <w:adjustRightInd/>
              <w:spacing w:after="0" w:line="240" w:lineRule="auto"/>
              <w:jc w:val="right"/>
              <w:rPr>
                <w:rFonts w:ascii="Arial Narrow" w:hAnsi="Arial Narrow" w:cs="Arial"/>
                <w:sz w:val="22"/>
                <w:szCs w:val="22"/>
                <w:lang w:val="en-US"/>
              </w:rPr>
            </w:pPr>
            <w:r w:rsidRPr="00F3375B">
              <w:rPr>
                <w:rFonts w:ascii="Arial Narrow" w:hAnsi="Arial Narrow" w:cs="Arial"/>
                <w:sz w:val="22"/>
                <w:szCs w:val="22"/>
                <w:lang w:val="en-US"/>
              </w:rPr>
              <w:t>95 % CI</w:t>
            </w:r>
          </w:p>
        </w:tc>
        <w:tc>
          <w:tcPr>
            <w:tcW w:w="1701" w:type="dxa"/>
            <w:shd w:val="clear" w:color="auto" w:fill="auto"/>
          </w:tcPr>
          <w:p w14:paraId="3432EDF5" w14:textId="77777777" w:rsidR="0088047D" w:rsidRPr="00F3375B" w:rsidRDefault="0088047D" w:rsidP="0088047D">
            <w:pPr>
              <w:autoSpaceDE/>
              <w:autoSpaceDN/>
              <w:adjustRightInd/>
              <w:spacing w:after="0" w:line="240" w:lineRule="auto"/>
              <w:jc w:val="center"/>
              <w:rPr>
                <w:rFonts w:ascii="Arial Narrow" w:hAnsi="Arial Narrow" w:cs="Arial"/>
                <w:sz w:val="22"/>
                <w:szCs w:val="22"/>
                <w:lang w:val="en-US"/>
              </w:rPr>
            </w:pPr>
            <w:r w:rsidRPr="00F3375B">
              <w:rPr>
                <w:rFonts w:ascii="Arial Narrow" w:hAnsi="Arial Narrow" w:cs="Arial"/>
                <w:sz w:val="22"/>
                <w:szCs w:val="22"/>
                <w:lang w:val="en-US"/>
              </w:rPr>
              <w:t>(59.1, 69.4)</w:t>
            </w:r>
          </w:p>
        </w:tc>
        <w:tc>
          <w:tcPr>
            <w:tcW w:w="1559" w:type="dxa"/>
            <w:shd w:val="clear" w:color="auto" w:fill="auto"/>
          </w:tcPr>
          <w:p w14:paraId="20DFA679" w14:textId="77777777" w:rsidR="0088047D" w:rsidRPr="00F3375B" w:rsidRDefault="0088047D" w:rsidP="0088047D">
            <w:pPr>
              <w:autoSpaceDE/>
              <w:autoSpaceDN/>
              <w:adjustRightInd/>
              <w:spacing w:after="0" w:line="240" w:lineRule="auto"/>
              <w:jc w:val="center"/>
              <w:rPr>
                <w:rFonts w:ascii="Arial Narrow" w:hAnsi="Arial Narrow" w:cs="Arial"/>
                <w:sz w:val="22"/>
                <w:szCs w:val="22"/>
                <w:lang w:val="en-US"/>
              </w:rPr>
            </w:pPr>
            <w:r w:rsidRPr="00F3375B">
              <w:rPr>
                <w:rFonts w:ascii="Arial Narrow" w:hAnsi="Arial Narrow" w:cs="Arial"/>
                <w:sz w:val="22"/>
                <w:szCs w:val="22"/>
                <w:lang w:val="en-US"/>
              </w:rPr>
              <w:t>(46.1, 56.8)</w:t>
            </w:r>
          </w:p>
        </w:tc>
      </w:tr>
      <w:tr w:rsidR="0088047D" w:rsidRPr="00AC6C51" w14:paraId="30FE0470" w14:textId="77777777" w:rsidTr="008716DA">
        <w:tc>
          <w:tcPr>
            <w:tcW w:w="4361" w:type="dxa"/>
            <w:shd w:val="clear" w:color="auto" w:fill="auto"/>
          </w:tcPr>
          <w:p w14:paraId="539CC263" w14:textId="77777777" w:rsidR="0088047D" w:rsidRPr="00F3375B" w:rsidRDefault="0088047D" w:rsidP="0088047D">
            <w:pPr>
              <w:autoSpaceDE/>
              <w:autoSpaceDN/>
              <w:adjustRightInd/>
              <w:spacing w:after="0" w:line="240" w:lineRule="auto"/>
              <w:jc w:val="right"/>
              <w:rPr>
                <w:rFonts w:ascii="Arial Narrow" w:hAnsi="Arial Narrow" w:cs="Arial"/>
                <w:sz w:val="22"/>
                <w:szCs w:val="22"/>
                <w:lang w:val="en-US"/>
              </w:rPr>
            </w:pPr>
            <w:r w:rsidRPr="00F3375B">
              <w:rPr>
                <w:rFonts w:ascii="Arial Narrow" w:hAnsi="Arial Narrow" w:cs="Arial"/>
                <w:sz w:val="22"/>
                <w:szCs w:val="22"/>
                <w:lang w:val="en-US"/>
              </w:rPr>
              <w:t xml:space="preserve">Difference in response rate (CR+PR), % </w:t>
            </w:r>
          </w:p>
        </w:tc>
        <w:tc>
          <w:tcPr>
            <w:tcW w:w="3260" w:type="dxa"/>
            <w:gridSpan w:val="2"/>
            <w:shd w:val="clear" w:color="auto" w:fill="auto"/>
          </w:tcPr>
          <w:p w14:paraId="3FDA33B2" w14:textId="77777777" w:rsidR="0088047D" w:rsidRPr="00F3375B" w:rsidRDefault="0088047D" w:rsidP="0088047D">
            <w:pPr>
              <w:autoSpaceDE/>
              <w:autoSpaceDN/>
              <w:adjustRightInd/>
              <w:spacing w:after="0" w:line="240" w:lineRule="auto"/>
              <w:jc w:val="center"/>
              <w:rPr>
                <w:rFonts w:ascii="Arial Narrow" w:hAnsi="Arial Narrow" w:cs="Arial"/>
                <w:sz w:val="22"/>
                <w:szCs w:val="22"/>
                <w:lang w:val="en-US"/>
              </w:rPr>
            </w:pPr>
            <w:r w:rsidRPr="00F3375B">
              <w:rPr>
                <w:rFonts w:ascii="Arial Narrow" w:hAnsi="Arial Narrow" w:cs="Arial"/>
                <w:sz w:val="22"/>
                <w:szCs w:val="22"/>
                <w:lang w:val="en-US"/>
              </w:rPr>
              <w:t>13</w:t>
            </w:r>
          </w:p>
        </w:tc>
      </w:tr>
      <w:tr w:rsidR="0088047D" w:rsidRPr="00AC6C51" w14:paraId="63F15E95" w14:textId="77777777" w:rsidTr="008716DA">
        <w:tc>
          <w:tcPr>
            <w:tcW w:w="4361" w:type="dxa"/>
            <w:shd w:val="clear" w:color="auto" w:fill="auto"/>
          </w:tcPr>
          <w:p w14:paraId="1BFD0F30" w14:textId="77777777" w:rsidR="0088047D" w:rsidRPr="00F3375B" w:rsidRDefault="0088047D" w:rsidP="0088047D">
            <w:pPr>
              <w:autoSpaceDE/>
              <w:autoSpaceDN/>
              <w:adjustRightInd/>
              <w:spacing w:after="0" w:line="240" w:lineRule="auto"/>
              <w:jc w:val="right"/>
              <w:rPr>
                <w:rFonts w:ascii="Arial Narrow" w:hAnsi="Arial Narrow" w:cs="Arial"/>
                <w:sz w:val="22"/>
                <w:szCs w:val="22"/>
                <w:lang w:val="en-US"/>
              </w:rPr>
            </w:pPr>
            <w:r w:rsidRPr="00F3375B">
              <w:rPr>
                <w:rFonts w:ascii="Arial Narrow" w:hAnsi="Arial Narrow" w:cs="Arial"/>
                <w:sz w:val="22"/>
                <w:szCs w:val="22"/>
                <w:lang w:val="en-US"/>
              </w:rPr>
              <w:t>95</w:t>
            </w:r>
            <w:r>
              <w:rPr>
                <w:rFonts w:ascii="Arial Narrow" w:hAnsi="Arial Narrow" w:cs="Arial"/>
                <w:sz w:val="22"/>
                <w:szCs w:val="22"/>
                <w:lang w:val="en-US"/>
              </w:rPr>
              <w:t xml:space="preserve"> </w:t>
            </w:r>
            <w:r w:rsidRPr="00F3375B">
              <w:rPr>
                <w:rFonts w:ascii="Arial Narrow" w:hAnsi="Arial Narrow" w:cs="Arial"/>
                <w:sz w:val="22"/>
                <w:szCs w:val="22"/>
                <w:lang w:val="en-US"/>
              </w:rPr>
              <w:t>% CI for difference</w:t>
            </w:r>
          </w:p>
        </w:tc>
        <w:tc>
          <w:tcPr>
            <w:tcW w:w="3260" w:type="dxa"/>
            <w:gridSpan w:val="2"/>
            <w:shd w:val="clear" w:color="auto" w:fill="auto"/>
          </w:tcPr>
          <w:p w14:paraId="563C5763" w14:textId="77777777" w:rsidR="0088047D" w:rsidRPr="00F3375B" w:rsidRDefault="0088047D" w:rsidP="0088047D">
            <w:pPr>
              <w:autoSpaceDE/>
              <w:autoSpaceDN/>
              <w:adjustRightInd/>
              <w:spacing w:after="0" w:line="240" w:lineRule="auto"/>
              <w:jc w:val="center"/>
              <w:rPr>
                <w:rFonts w:ascii="Arial Narrow" w:hAnsi="Arial Narrow" w:cs="Arial"/>
                <w:sz w:val="22"/>
                <w:szCs w:val="22"/>
                <w:lang w:val="en-US"/>
              </w:rPr>
            </w:pPr>
            <w:r w:rsidRPr="00EA2A7D">
              <w:rPr>
                <w:rFonts w:ascii="Arial Narrow" w:hAnsi="Arial Narrow" w:cs="Arial"/>
                <w:sz w:val="22"/>
                <w:szCs w:val="22"/>
                <w:lang w:val="en-US"/>
              </w:rPr>
              <w:t>(5.7, 20.2)</w:t>
            </w:r>
          </w:p>
        </w:tc>
      </w:tr>
      <w:tr w:rsidR="0088047D" w:rsidRPr="00AC6C51" w14:paraId="02D15728" w14:textId="77777777" w:rsidTr="00D6469A">
        <w:tc>
          <w:tcPr>
            <w:tcW w:w="4361" w:type="dxa"/>
            <w:tcBorders>
              <w:bottom w:val="single" w:sz="4" w:space="0" w:color="auto"/>
            </w:tcBorders>
            <w:shd w:val="clear" w:color="auto" w:fill="auto"/>
          </w:tcPr>
          <w:p w14:paraId="3DC6705E" w14:textId="77777777" w:rsidR="0088047D" w:rsidRPr="00F3375B" w:rsidRDefault="0088047D" w:rsidP="0088047D">
            <w:pPr>
              <w:autoSpaceDE/>
              <w:autoSpaceDN/>
              <w:adjustRightInd/>
              <w:spacing w:after="0" w:line="240" w:lineRule="auto"/>
              <w:jc w:val="right"/>
              <w:rPr>
                <w:rFonts w:ascii="Arial Narrow" w:hAnsi="Arial Narrow" w:cs="Arial"/>
                <w:sz w:val="22"/>
                <w:szCs w:val="22"/>
                <w:lang w:val="en-US"/>
              </w:rPr>
            </w:pPr>
            <w:r w:rsidRPr="00F3375B">
              <w:rPr>
                <w:rFonts w:ascii="Arial Narrow" w:hAnsi="Arial Narrow" w:cs="Arial"/>
                <w:sz w:val="22"/>
                <w:szCs w:val="22"/>
                <w:lang w:val="en-US"/>
              </w:rPr>
              <w:t>p value</w:t>
            </w:r>
          </w:p>
        </w:tc>
        <w:tc>
          <w:tcPr>
            <w:tcW w:w="3260" w:type="dxa"/>
            <w:gridSpan w:val="2"/>
            <w:tcBorders>
              <w:bottom w:val="single" w:sz="4" w:space="0" w:color="auto"/>
            </w:tcBorders>
            <w:shd w:val="clear" w:color="auto" w:fill="auto"/>
          </w:tcPr>
          <w:p w14:paraId="00D191C1" w14:textId="77777777" w:rsidR="0088047D" w:rsidRPr="00F3375B" w:rsidRDefault="0088047D" w:rsidP="0088047D">
            <w:pPr>
              <w:autoSpaceDE/>
              <w:autoSpaceDN/>
              <w:adjustRightInd/>
              <w:spacing w:after="0" w:line="240" w:lineRule="auto"/>
              <w:jc w:val="center"/>
              <w:rPr>
                <w:rFonts w:ascii="Arial Narrow" w:hAnsi="Arial Narrow" w:cs="Arial"/>
                <w:sz w:val="22"/>
                <w:szCs w:val="22"/>
                <w:lang w:val="en-US"/>
              </w:rPr>
            </w:pPr>
            <w:r w:rsidRPr="00F3375B">
              <w:rPr>
                <w:rFonts w:ascii="Arial Narrow" w:hAnsi="Arial Narrow" w:cs="Arial"/>
                <w:sz w:val="22"/>
                <w:szCs w:val="22"/>
                <w:lang w:val="en-US"/>
              </w:rPr>
              <w:t>0.005</w:t>
            </w:r>
          </w:p>
        </w:tc>
      </w:tr>
      <w:tr w:rsidR="0088047D" w:rsidRPr="00AC6C51" w14:paraId="66268883" w14:textId="77777777" w:rsidTr="00D6469A">
        <w:tc>
          <w:tcPr>
            <w:tcW w:w="7621" w:type="dxa"/>
            <w:gridSpan w:val="3"/>
            <w:tcBorders>
              <w:top w:val="single" w:sz="4" w:space="0" w:color="auto"/>
            </w:tcBorders>
            <w:shd w:val="clear" w:color="auto" w:fill="auto"/>
          </w:tcPr>
          <w:p w14:paraId="34095C4B" w14:textId="77777777" w:rsidR="0088047D" w:rsidRPr="00EA2A7D" w:rsidRDefault="0088047D" w:rsidP="0088047D">
            <w:pPr>
              <w:autoSpaceDE/>
              <w:autoSpaceDN/>
              <w:adjustRightInd/>
              <w:spacing w:after="0" w:line="240" w:lineRule="auto"/>
              <w:jc w:val="left"/>
              <w:rPr>
                <w:rFonts w:ascii="Arial Narrow" w:hAnsi="Arial Narrow" w:cs="Arial"/>
                <w:b/>
                <w:sz w:val="22"/>
                <w:szCs w:val="22"/>
                <w:lang w:val="en-US"/>
              </w:rPr>
            </w:pPr>
            <w:r w:rsidRPr="00EA2A7D">
              <w:rPr>
                <w:rFonts w:ascii="Arial Narrow" w:hAnsi="Arial Narrow" w:cs="Arial"/>
                <w:b/>
                <w:sz w:val="22"/>
                <w:szCs w:val="22"/>
                <w:lang w:val="en-US"/>
              </w:rPr>
              <w:t>Duration of Response (months)</w:t>
            </w:r>
          </w:p>
        </w:tc>
      </w:tr>
      <w:tr w:rsidR="0088047D" w:rsidRPr="00AC6C51" w14:paraId="372E8889" w14:textId="77777777" w:rsidTr="008716DA">
        <w:tc>
          <w:tcPr>
            <w:tcW w:w="4361" w:type="dxa"/>
            <w:shd w:val="clear" w:color="auto" w:fill="auto"/>
          </w:tcPr>
          <w:p w14:paraId="6F500448" w14:textId="77777777" w:rsidR="0088047D" w:rsidRPr="00F3375B" w:rsidRDefault="0088047D" w:rsidP="0088047D">
            <w:pPr>
              <w:autoSpaceDE/>
              <w:autoSpaceDN/>
              <w:adjustRightInd/>
              <w:spacing w:after="0" w:line="240" w:lineRule="auto"/>
              <w:jc w:val="right"/>
              <w:rPr>
                <w:rFonts w:ascii="Arial Narrow" w:hAnsi="Arial Narrow" w:cs="Arial"/>
                <w:sz w:val="22"/>
                <w:szCs w:val="22"/>
                <w:lang w:val="en-US"/>
              </w:rPr>
            </w:pPr>
            <w:r w:rsidRPr="00EA2A7D">
              <w:rPr>
                <w:rFonts w:ascii="Arial Narrow" w:hAnsi="Arial Narrow" w:cs="Arial"/>
                <w:sz w:val="22"/>
                <w:szCs w:val="22"/>
                <w:lang w:val="en-US"/>
              </w:rPr>
              <w:t>Median</w:t>
            </w:r>
          </w:p>
        </w:tc>
        <w:tc>
          <w:tcPr>
            <w:tcW w:w="1701" w:type="dxa"/>
            <w:shd w:val="clear" w:color="auto" w:fill="auto"/>
          </w:tcPr>
          <w:p w14:paraId="6BC13BE2" w14:textId="77777777" w:rsidR="0088047D" w:rsidRPr="00F3375B" w:rsidRDefault="0088047D" w:rsidP="0088047D">
            <w:pPr>
              <w:autoSpaceDE/>
              <w:autoSpaceDN/>
              <w:adjustRightInd/>
              <w:spacing w:after="0" w:line="240" w:lineRule="auto"/>
              <w:jc w:val="center"/>
              <w:rPr>
                <w:rFonts w:ascii="Arial Narrow" w:hAnsi="Arial Narrow" w:cs="Arial"/>
                <w:sz w:val="22"/>
                <w:szCs w:val="22"/>
                <w:lang w:val="en-US"/>
              </w:rPr>
            </w:pPr>
            <w:r w:rsidRPr="00EA2A7D">
              <w:rPr>
                <w:rFonts w:ascii="Arial Narrow" w:hAnsi="Arial Narrow" w:cs="Arial"/>
                <w:sz w:val="22"/>
                <w:szCs w:val="22"/>
                <w:lang w:val="en-US"/>
              </w:rPr>
              <w:t>13.8</w:t>
            </w:r>
          </w:p>
        </w:tc>
        <w:tc>
          <w:tcPr>
            <w:tcW w:w="1559" w:type="dxa"/>
            <w:shd w:val="clear" w:color="auto" w:fill="auto"/>
          </w:tcPr>
          <w:p w14:paraId="6F234582" w14:textId="77777777" w:rsidR="0088047D" w:rsidRPr="00F3375B" w:rsidRDefault="0088047D" w:rsidP="0088047D">
            <w:pPr>
              <w:autoSpaceDE/>
              <w:autoSpaceDN/>
              <w:adjustRightInd/>
              <w:spacing w:after="0" w:line="240" w:lineRule="auto"/>
              <w:jc w:val="center"/>
              <w:rPr>
                <w:rFonts w:ascii="Arial Narrow" w:hAnsi="Arial Narrow" w:cs="Arial"/>
                <w:sz w:val="22"/>
                <w:szCs w:val="22"/>
                <w:lang w:val="en-US"/>
              </w:rPr>
            </w:pPr>
            <w:r w:rsidRPr="00EA2A7D">
              <w:rPr>
                <w:rFonts w:ascii="Arial Narrow" w:hAnsi="Arial Narrow" w:cs="Arial"/>
                <w:sz w:val="22"/>
                <w:szCs w:val="22"/>
                <w:lang w:val="en-US"/>
              </w:rPr>
              <w:t>7.5</w:t>
            </w:r>
          </w:p>
        </w:tc>
      </w:tr>
      <w:tr w:rsidR="0088047D" w:rsidRPr="00AC6C51" w14:paraId="2735C785" w14:textId="77777777" w:rsidTr="008716DA">
        <w:tc>
          <w:tcPr>
            <w:tcW w:w="4361" w:type="dxa"/>
            <w:tcBorders>
              <w:bottom w:val="single" w:sz="4" w:space="0" w:color="auto"/>
            </w:tcBorders>
            <w:shd w:val="clear" w:color="auto" w:fill="auto"/>
          </w:tcPr>
          <w:p w14:paraId="0F38B070" w14:textId="77777777" w:rsidR="0088047D" w:rsidRPr="00F3375B" w:rsidRDefault="0088047D" w:rsidP="0088047D">
            <w:pPr>
              <w:autoSpaceDE/>
              <w:autoSpaceDN/>
              <w:adjustRightInd/>
              <w:spacing w:after="0" w:line="240" w:lineRule="auto"/>
              <w:jc w:val="right"/>
              <w:rPr>
                <w:rFonts w:ascii="Arial Narrow" w:hAnsi="Arial Narrow" w:cs="Arial"/>
                <w:sz w:val="22"/>
                <w:szCs w:val="22"/>
                <w:lang w:val="en-US"/>
              </w:rPr>
            </w:pPr>
            <w:r w:rsidRPr="00EA2A7D">
              <w:rPr>
                <w:rFonts w:ascii="Arial Narrow" w:hAnsi="Arial Narrow" w:cs="Arial"/>
                <w:sz w:val="22"/>
                <w:szCs w:val="22"/>
                <w:lang w:val="en-US"/>
              </w:rPr>
              <w:t>95</w:t>
            </w:r>
            <w:r>
              <w:rPr>
                <w:rFonts w:ascii="Arial Narrow" w:hAnsi="Arial Narrow" w:cs="Arial"/>
                <w:sz w:val="22"/>
                <w:szCs w:val="22"/>
                <w:lang w:val="en-US"/>
              </w:rPr>
              <w:t xml:space="preserve"> </w:t>
            </w:r>
            <w:r w:rsidRPr="00EA2A7D">
              <w:rPr>
                <w:rFonts w:ascii="Arial Narrow" w:hAnsi="Arial Narrow" w:cs="Arial"/>
                <w:sz w:val="22"/>
                <w:szCs w:val="22"/>
                <w:lang w:val="en-US"/>
              </w:rPr>
              <w:t>% CI</w:t>
            </w:r>
          </w:p>
        </w:tc>
        <w:tc>
          <w:tcPr>
            <w:tcW w:w="1701" w:type="dxa"/>
            <w:tcBorders>
              <w:bottom w:val="single" w:sz="4" w:space="0" w:color="auto"/>
            </w:tcBorders>
            <w:shd w:val="clear" w:color="auto" w:fill="auto"/>
          </w:tcPr>
          <w:p w14:paraId="0CD562CD" w14:textId="77777777" w:rsidR="0088047D" w:rsidRPr="00F3375B" w:rsidRDefault="0088047D" w:rsidP="0088047D">
            <w:pPr>
              <w:autoSpaceDE/>
              <w:autoSpaceDN/>
              <w:adjustRightInd/>
              <w:spacing w:after="0" w:line="240" w:lineRule="auto"/>
              <w:jc w:val="center"/>
              <w:rPr>
                <w:rFonts w:ascii="Arial Narrow" w:hAnsi="Arial Narrow" w:cs="Arial"/>
                <w:sz w:val="22"/>
                <w:szCs w:val="22"/>
                <w:lang w:val="en-US"/>
              </w:rPr>
            </w:pPr>
            <w:r w:rsidRPr="00EA2A7D">
              <w:rPr>
                <w:rFonts w:ascii="Arial Narrow" w:hAnsi="Arial Narrow" w:cs="Arial"/>
                <w:sz w:val="22"/>
                <w:szCs w:val="22"/>
                <w:lang w:val="en-US"/>
              </w:rPr>
              <w:t>(11.0, NR)</w:t>
            </w:r>
          </w:p>
        </w:tc>
        <w:tc>
          <w:tcPr>
            <w:tcW w:w="1559" w:type="dxa"/>
            <w:tcBorders>
              <w:bottom w:val="single" w:sz="4" w:space="0" w:color="auto"/>
            </w:tcBorders>
            <w:shd w:val="clear" w:color="auto" w:fill="auto"/>
          </w:tcPr>
          <w:p w14:paraId="713C0918" w14:textId="77777777" w:rsidR="0088047D" w:rsidRPr="00F3375B" w:rsidRDefault="0088047D" w:rsidP="0088047D">
            <w:pPr>
              <w:autoSpaceDE/>
              <w:autoSpaceDN/>
              <w:adjustRightInd/>
              <w:spacing w:after="0" w:line="240" w:lineRule="auto"/>
              <w:jc w:val="center"/>
              <w:rPr>
                <w:rFonts w:ascii="Arial Narrow" w:hAnsi="Arial Narrow" w:cs="Arial"/>
                <w:sz w:val="22"/>
                <w:szCs w:val="22"/>
                <w:lang w:val="en-US"/>
              </w:rPr>
            </w:pPr>
            <w:r w:rsidRPr="00EA2A7D">
              <w:rPr>
                <w:rFonts w:ascii="Arial Narrow" w:hAnsi="Arial Narrow" w:cs="Arial"/>
                <w:sz w:val="22"/>
                <w:szCs w:val="22"/>
                <w:lang w:val="en-US"/>
              </w:rPr>
              <w:t>(7.3, 9.3)</w:t>
            </w:r>
          </w:p>
        </w:tc>
      </w:tr>
    </w:tbl>
    <w:p w14:paraId="5533FF13" w14:textId="77777777" w:rsidR="0088047D" w:rsidRDefault="0088047D" w:rsidP="0088047D">
      <w:pPr>
        <w:autoSpaceDE/>
        <w:autoSpaceDN/>
        <w:adjustRightInd/>
        <w:spacing w:after="0" w:line="240" w:lineRule="auto"/>
        <w:ind w:left="720"/>
        <w:jc w:val="left"/>
        <w:rPr>
          <w:rFonts w:ascii="Arial" w:hAnsi="Arial" w:cs="Arial"/>
          <w:sz w:val="18"/>
          <w:szCs w:val="18"/>
          <w:lang w:val="en-GB" w:eastAsia="en-GB"/>
        </w:rPr>
      </w:pPr>
      <w:r w:rsidRPr="00381915">
        <w:rPr>
          <w:rFonts w:ascii="Arial" w:hAnsi="Arial" w:cs="Arial"/>
          <w:sz w:val="18"/>
          <w:szCs w:val="18"/>
          <w:lang w:val="en-GB" w:eastAsia="en-GB"/>
        </w:rPr>
        <w:t>PFS= Progression Free Survival; NR= Not reached</w:t>
      </w:r>
    </w:p>
    <w:p w14:paraId="46CD59DD" w14:textId="4A6FAE77" w:rsidR="0088047D" w:rsidRDefault="0088047D" w:rsidP="0088047D">
      <w:pPr>
        <w:autoSpaceDE/>
        <w:autoSpaceDN/>
        <w:adjustRightInd/>
        <w:spacing w:after="0" w:line="240" w:lineRule="auto"/>
        <w:ind w:left="720"/>
        <w:jc w:val="left"/>
        <w:rPr>
          <w:rFonts w:ascii="Arial" w:hAnsi="Arial" w:cs="Arial"/>
          <w:sz w:val="18"/>
          <w:szCs w:val="18"/>
          <w:lang w:val="en-GB" w:eastAsia="en-GB"/>
        </w:rPr>
      </w:pPr>
    </w:p>
    <w:p w14:paraId="4EFD4495" w14:textId="77777777" w:rsidR="0088047D" w:rsidRDefault="0088047D" w:rsidP="0088047D">
      <w:pPr>
        <w:pStyle w:val="Title"/>
        <w:keepNext/>
        <w:ind w:left="720"/>
      </w:pPr>
      <w:r>
        <w:lastRenderedPageBreak/>
        <w:t>Figure 3</w:t>
      </w:r>
      <w:r>
        <w:tab/>
        <w:t>Kaplan-Meier Overall Survival Curves (ITT Population)</w:t>
      </w:r>
    </w:p>
    <w:p w14:paraId="653CE50A" w14:textId="77777777" w:rsidR="0088047D" w:rsidRDefault="0088047D" w:rsidP="0088047D">
      <w:pPr>
        <w:ind w:left="720"/>
        <w:rPr>
          <w:rFonts w:ascii="Arial" w:hAnsi="Arial" w:cs="Arial"/>
          <w:sz w:val="22"/>
          <w:szCs w:val="22"/>
          <w:lang w:val="en-US"/>
        </w:rPr>
      </w:pPr>
      <w:r w:rsidRPr="00B1687F">
        <w:rPr>
          <w:rFonts w:ascii="Arial" w:hAnsi="Arial" w:cs="Arial"/>
          <w:noProof/>
          <w:sz w:val="22"/>
          <w:szCs w:val="22"/>
        </w:rPr>
        <w:drawing>
          <wp:inline distT="0" distB="0" distL="0" distR="0" wp14:anchorId="62EB432A" wp14:editId="39956FBB">
            <wp:extent cx="5648960" cy="3713181"/>
            <wp:effectExtent l="0" t="0" r="889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8310" cy="3725900"/>
                    </a:xfrm>
                    <a:prstGeom prst="rect">
                      <a:avLst/>
                    </a:prstGeom>
                    <a:noFill/>
                  </pic:spPr>
                </pic:pic>
              </a:graphicData>
            </a:graphic>
          </wp:inline>
        </w:drawing>
      </w:r>
    </w:p>
    <w:p w14:paraId="6C2B9376" w14:textId="77777777" w:rsidR="0088047D" w:rsidRPr="000752BA" w:rsidRDefault="0088047D" w:rsidP="0088047D">
      <w:pPr>
        <w:widowControl w:val="0"/>
        <w:autoSpaceDE/>
        <w:autoSpaceDN/>
        <w:adjustRightInd/>
        <w:spacing w:before="120" w:line="240" w:lineRule="auto"/>
        <w:ind w:left="720"/>
      </w:pPr>
      <w:r w:rsidRPr="005E289B">
        <w:rPr>
          <w:b/>
          <w:i/>
        </w:rPr>
        <w:t>Randomised double-blind stud</w:t>
      </w:r>
      <w:r>
        <w:rPr>
          <w:b/>
          <w:i/>
        </w:rPr>
        <w:t xml:space="preserve">y in </w:t>
      </w:r>
      <w:proofErr w:type="spellStart"/>
      <w:r>
        <w:rPr>
          <w:b/>
          <w:i/>
        </w:rPr>
        <w:t>BRAFi</w:t>
      </w:r>
      <w:proofErr w:type="spellEnd"/>
      <w:r>
        <w:rPr>
          <w:b/>
          <w:i/>
        </w:rPr>
        <w:t>-treatment-</w:t>
      </w:r>
      <w:r w:rsidRPr="000D1EE3">
        <w:rPr>
          <w:b/>
          <w:i/>
        </w:rPr>
        <w:t>naïve patients</w:t>
      </w:r>
    </w:p>
    <w:p w14:paraId="5EC5061C" w14:textId="77777777" w:rsidR="0088047D" w:rsidRPr="004A0E22" w:rsidRDefault="0088047D" w:rsidP="0088047D">
      <w:pPr>
        <w:pStyle w:val="Heading3"/>
        <w:ind w:left="720"/>
        <w:rPr>
          <w:b w:val="0"/>
          <w:i/>
          <w:u w:val="single"/>
        </w:rPr>
      </w:pPr>
      <w:r w:rsidRPr="004A0E22">
        <w:rPr>
          <w:b w:val="0"/>
          <w:i/>
          <w:u w:val="single"/>
        </w:rPr>
        <w:t>MEK115306 (COMBI-d</w:t>
      </w:r>
      <w:r>
        <w:rPr>
          <w:b w:val="0"/>
          <w:i/>
          <w:u w:val="single"/>
        </w:rPr>
        <w:t>, Phase III Study</w:t>
      </w:r>
      <w:r w:rsidRPr="004A0E22">
        <w:rPr>
          <w:b w:val="0"/>
          <w:i/>
          <w:u w:val="single"/>
        </w:rPr>
        <w:t>)</w:t>
      </w:r>
    </w:p>
    <w:p w14:paraId="47883DE8" w14:textId="77777777" w:rsidR="0088047D" w:rsidRDefault="0088047D" w:rsidP="0088047D">
      <w:pPr>
        <w:ind w:left="720"/>
      </w:pPr>
      <w:r>
        <w:t>MEK115306 (COMBI-d) was a Phase III, randomized, double-blind study comparing the combination of TAFINLAR and MEKINIST to TAFINLAR and placebo as first-line therapy for patients with unresectable (Stage IIIC) or metastatic (Stage IV) BRAF V600E/K mutation-positive cutaneous melanoma. The primary endpoint of the study was investigator assessed progression-free survival (PFS) with a key secondary endpoint of Overall Survival (OS). Patients were stratified by lactate dehydrogenase (LDH) level (&gt; the upper limit of normal (ULN) versus ≤ ULN) and BRAF mutation (V600E versus V600K).</w:t>
      </w:r>
    </w:p>
    <w:p w14:paraId="50BBD009" w14:textId="7EFBF9D2" w:rsidR="0088047D" w:rsidRDefault="0088047D" w:rsidP="0088047D">
      <w:pPr>
        <w:ind w:left="720"/>
      </w:pPr>
      <w:r>
        <w:t xml:space="preserve">Four hundred and twenty three patients were randomized 1:1 to either the combination therapy arm (TAFINLAR 150 mg twice daily and MEKINIST 2 mg once daily) (N = 211) or TAFINLAR monotherapy arm (150 mg twice daily) (N = 212). Baseline characteristics were balanced between treatment groups. Males constituted 53 % of patients and the median age was 56 years </w:t>
      </w:r>
      <w:r w:rsidRPr="005C4986">
        <w:t>(28% were ≥65 years).</w:t>
      </w:r>
      <w:r>
        <w:t xml:space="preserve"> The majority of patients had an ECOG performance score of 0 (72 %) and had Stage IVM1c disease (66 %). Most patients had the BRAF V600E mutation (85 %); the remaining 15 % of patients had the BRAF V600K mutation.</w:t>
      </w:r>
      <w:r w:rsidRPr="005C4986">
        <w:t xml:space="preserve"> </w:t>
      </w:r>
      <w:r w:rsidR="001C1405">
        <w:t>Patient</w:t>
      </w:r>
      <w:r>
        <w:t>s with brain metastases were not included in the trial.</w:t>
      </w:r>
    </w:p>
    <w:p w14:paraId="49220034" w14:textId="15C88C44" w:rsidR="0088047D" w:rsidRDefault="0088047D" w:rsidP="0088047D">
      <w:pPr>
        <w:ind w:left="720"/>
      </w:pPr>
      <w:r>
        <w:t xml:space="preserve">At the time of final OS analysis, a total of 222 deaths (52.5 %) [TAFINLAR and MEKINIST combination therapy: 99 deaths (47 %) and TAFINLAR monotherapy: 123 deaths (58 %)] out of the randomized (or ITT) population were reported. The median follow up time on study treatment was 20 months in the combination therapy arm and 16 months in the TAFINLAR monotherapy arm. Study MEK115306 showed a statistically significant 29 % reduction in the risk of death for the combination therapy arm compared with the TAFINLAR monotherapy arm (HR=0.71, 95 % CI: 0.55, 0.92; p=0.011). The median OS was 25.1 months for the </w:t>
      </w:r>
      <w:r>
        <w:lastRenderedPageBreak/>
        <w:t>combination therapy arm and 18.7 months for the TAFINLAR monotherapy arm. The 12-month (74 %) and 24-month (51.4 %) OS estimates for the combination were also greater than those for TAFINLAR monotherapy (67.6 % and 42.1 %, respectively).</w:t>
      </w:r>
      <w:r w:rsidR="00A454BA" w:rsidRPr="00A454BA">
        <w:t xml:space="preserve"> </w:t>
      </w:r>
      <w:r>
        <w:t>Efficacy</w:t>
      </w:r>
      <w:r w:rsidRPr="00131CDA">
        <w:t xml:space="preserve"> </w:t>
      </w:r>
      <w:r>
        <w:t>r</w:t>
      </w:r>
      <w:r w:rsidRPr="00131CDA">
        <w:t xml:space="preserve">esults of PFS, ORR and Duration of Response are summarized in Table </w:t>
      </w:r>
      <w:r w:rsidR="00C73E06">
        <w:t>1</w:t>
      </w:r>
      <w:r w:rsidR="00BF5438">
        <w:t>6</w:t>
      </w:r>
      <w:r w:rsidRPr="00131CDA">
        <w:t>.</w:t>
      </w:r>
    </w:p>
    <w:p w14:paraId="51224261" w14:textId="77777777" w:rsidR="00D87CDE" w:rsidRDefault="00D87CDE" w:rsidP="0088047D">
      <w:pPr>
        <w:ind w:left="720"/>
      </w:pPr>
    </w:p>
    <w:p w14:paraId="0A399CE9" w14:textId="46FC59E3" w:rsidR="003C15C7" w:rsidRDefault="003C15C7" w:rsidP="003C15C7">
      <w:pPr>
        <w:pStyle w:val="Title"/>
        <w:keepNext/>
        <w:ind w:left="720"/>
      </w:pPr>
      <w:r w:rsidRPr="00131CDA">
        <w:t xml:space="preserve">Table </w:t>
      </w:r>
      <w:r>
        <w:t>1</w:t>
      </w:r>
      <w:r w:rsidR="00BF5438">
        <w:t>6</w:t>
      </w:r>
      <w:r>
        <w:tab/>
      </w:r>
      <w:r w:rsidRPr="00131CDA">
        <w:t xml:space="preserve">Investigator-Assessed </w:t>
      </w:r>
      <w:r>
        <w:t>e</w:t>
      </w:r>
      <w:r w:rsidRPr="00131CDA">
        <w:t xml:space="preserve">fficacy </w:t>
      </w:r>
      <w:r>
        <w:t>r</w:t>
      </w:r>
      <w:r w:rsidRPr="00131CDA">
        <w:t>esults for</w:t>
      </w:r>
      <w:r>
        <w:t xml:space="preserve"> </w:t>
      </w:r>
      <w:r w:rsidRPr="00131CDA">
        <w:t xml:space="preserve">MEK115306 (COMBI-d) </w:t>
      </w:r>
    </w:p>
    <w:p w14:paraId="762B9BDC" w14:textId="25BDEC4F" w:rsidR="003C15C7" w:rsidRDefault="003C15C7" w:rsidP="003C15C7">
      <w:pPr>
        <w:pStyle w:val="Title"/>
        <w:keepNext/>
        <w:ind w:left="720"/>
      </w:pPr>
      <w:r>
        <w:tab/>
      </w:r>
      <w:r>
        <w:tab/>
      </w:r>
      <w:proofErr w:type="gramStart"/>
      <w:r w:rsidRPr="00131CDA">
        <w:t>study</w:t>
      </w:r>
      <w:proofErr w:type="gramEnd"/>
      <w:r w:rsidRPr="00131CDA">
        <w:t xml:space="preserve"> (</w:t>
      </w:r>
      <w:r>
        <w:t>p</w:t>
      </w:r>
      <w:r w:rsidRPr="00131CDA">
        <w:t xml:space="preserve">rimary </w:t>
      </w:r>
      <w:r>
        <w:t>d</w:t>
      </w:r>
      <w:r w:rsidRPr="00131CDA">
        <w:t xml:space="preserve">ata </w:t>
      </w:r>
      <w:r>
        <w:t>c</w:t>
      </w:r>
      <w:r w:rsidRPr="00131CDA">
        <w:t xml:space="preserve">ut and </w:t>
      </w:r>
      <w:r>
        <w:t>f</w:t>
      </w:r>
      <w:r w:rsidRPr="00131CDA">
        <w:t xml:space="preserve">inal </w:t>
      </w:r>
      <w:r>
        <w:t>d</w:t>
      </w:r>
      <w:r w:rsidRPr="00131CDA">
        <w:t xml:space="preserve">ata </w:t>
      </w:r>
      <w:r>
        <w:t>c</w:t>
      </w:r>
      <w:r w:rsidRPr="00131CDA">
        <w:t>ut)</w:t>
      </w:r>
    </w:p>
    <w:tbl>
      <w:tblPr>
        <w:tblW w:w="92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559"/>
        <w:gridCol w:w="1437"/>
        <w:gridCol w:w="1559"/>
        <w:gridCol w:w="1418"/>
      </w:tblGrid>
      <w:tr w:rsidR="00F027B4" w:rsidRPr="00D518DD" w14:paraId="4CD7FA4F" w14:textId="77777777" w:rsidTr="00F027B4">
        <w:trPr>
          <w:tblHeader/>
        </w:trPr>
        <w:tc>
          <w:tcPr>
            <w:tcW w:w="3227" w:type="dxa"/>
            <w:tcBorders>
              <w:top w:val="nil"/>
              <w:left w:val="nil"/>
              <w:bottom w:val="nil"/>
              <w:right w:val="single" w:sz="4" w:space="0" w:color="auto"/>
            </w:tcBorders>
            <w:shd w:val="clear" w:color="auto" w:fill="auto"/>
          </w:tcPr>
          <w:p w14:paraId="3EE7E84A" w14:textId="77777777" w:rsidR="00F027B4" w:rsidRPr="00D518DD" w:rsidRDefault="00F027B4" w:rsidP="00F37C53">
            <w:pPr>
              <w:keepNext/>
              <w:autoSpaceDE/>
              <w:autoSpaceDN/>
              <w:adjustRightInd/>
              <w:rPr>
                <w:b/>
              </w:rPr>
            </w:pPr>
          </w:p>
        </w:tc>
        <w:tc>
          <w:tcPr>
            <w:tcW w:w="2996" w:type="dxa"/>
            <w:gridSpan w:val="2"/>
            <w:tcBorders>
              <w:top w:val="single" w:sz="4" w:space="0" w:color="auto"/>
              <w:left w:val="single" w:sz="4" w:space="0" w:color="auto"/>
              <w:bottom w:val="nil"/>
              <w:right w:val="single" w:sz="4" w:space="0" w:color="auto"/>
            </w:tcBorders>
            <w:shd w:val="clear" w:color="auto" w:fill="auto"/>
          </w:tcPr>
          <w:p w14:paraId="61C728D6" w14:textId="77777777" w:rsidR="00F027B4" w:rsidRPr="00D518DD" w:rsidRDefault="00F027B4" w:rsidP="00F37C53">
            <w:pPr>
              <w:keepNext/>
              <w:autoSpaceDE/>
              <w:autoSpaceDN/>
              <w:adjustRightInd/>
              <w:jc w:val="center"/>
              <w:rPr>
                <w:rFonts w:ascii="Arial" w:hAnsi="Arial" w:cs="Arial"/>
                <w:b/>
                <w:sz w:val="18"/>
                <w:szCs w:val="18"/>
              </w:rPr>
            </w:pPr>
            <w:r w:rsidRPr="00D518DD">
              <w:rPr>
                <w:rFonts w:ascii="Arial" w:hAnsi="Arial" w:cs="Arial"/>
                <w:b/>
                <w:sz w:val="18"/>
                <w:szCs w:val="18"/>
              </w:rPr>
              <w:t>Primary analysis*</w:t>
            </w:r>
          </w:p>
        </w:tc>
        <w:tc>
          <w:tcPr>
            <w:tcW w:w="2977" w:type="dxa"/>
            <w:gridSpan w:val="2"/>
            <w:tcBorders>
              <w:top w:val="single" w:sz="4" w:space="0" w:color="auto"/>
              <w:left w:val="single" w:sz="4" w:space="0" w:color="auto"/>
              <w:bottom w:val="nil"/>
              <w:right w:val="single" w:sz="4" w:space="0" w:color="auto"/>
            </w:tcBorders>
            <w:shd w:val="clear" w:color="auto" w:fill="auto"/>
          </w:tcPr>
          <w:p w14:paraId="30767E4C" w14:textId="77777777" w:rsidR="00F027B4" w:rsidRPr="00D518DD" w:rsidRDefault="00F027B4" w:rsidP="00F37C53">
            <w:pPr>
              <w:keepNext/>
              <w:autoSpaceDE/>
              <w:autoSpaceDN/>
              <w:adjustRightInd/>
              <w:jc w:val="center"/>
              <w:rPr>
                <w:rFonts w:ascii="Arial" w:hAnsi="Arial" w:cs="Arial"/>
                <w:b/>
                <w:sz w:val="18"/>
                <w:szCs w:val="18"/>
              </w:rPr>
            </w:pPr>
            <w:r w:rsidRPr="00D518DD">
              <w:rPr>
                <w:rFonts w:ascii="Arial" w:hAnsi="Arial" w:cs="Arial"/>
                <w:b/>
                <w:sz w:val="18"/>
                <w:szCs w:val="18"/>
              </w:rPr>
              <w:t>Final analysis*</w:t>
            </w:r>
          </w:p>
        </w:tc>
      </w:tr>
      <w:tr w:rsidR="00F027B4" w:rsidRPr="00D518DD" w14:paraId="76943BA1" w14:textId="77777777" w:rsidTr="00F027B4">
        <w:trPr>
          <w:tblHeader/>
        </w:trPr>
        <w:tc>
          <w:tcPr>
            <w:tcW w:w="3227" w:type="dxa"/>
            <w:tcBorders>
              <w:top w:val="nil"/>
              <w:left w:val="nil"/>
              <w:bottom w:val="single" w:sz="4" w:space="0" w:color="auto"/>
              <w:right w:val="single" w:sz="4" w:space="0" w:color="auto"/>
            </w:tcBorders>
            <w:shd w:val="clear" w:color="auto" w:fill="auto"/>
            <w:vAlign w:val="bottom"/>
          </w:tcPr>
          <w:p w14:paraId="14AA743B" w14:textId="77777777" w:rsidR="00F027B4" w:rsidRPr="00D518DD" w:rsidRDefault="00F027B4" w:rsidP="00F37C53">
            <w:pPr>
              <w:keepNext/>
              <w:autoSpaceDE/>
              <w:autoSpaceDN/>
              <w:adjustRightInd/>
              <w:jc w:val="right"/>
              <w:rPr>
                <w:b/>
              </w:rPr>
            </w:pPr>
            <w:r w:rsidRPr="00D518DD">
              <w:rPr>
                <w:rFonts w:ascii="Arial" w:hAnsi="Arial" w:cs="Arial"/>
                <w:b/>
                <w:sz w:val="18"/>
                <w:szCs w:val="18"/>
              </w:rPr>
              <w:t>Endpoints</w:t>
            </w:r>
          </w:p>
        </w:tc>
        <w:tc>
          <w:tcPr>
            <w:tcW w:w="1559" w:type="dxa"/>
            <w:tcBorders>
              <w:top w:val="nil"/>
              <w:left w:val="single" w:sz="4" w:space="0" w:color="auto"/>
              <w:bottom w:val="single" w:sz="4" w:space="0" w:color="auto"/>
              <w:right w:val="nil"/>
            </w:tcBorders>
            <w:shd w:val="clear" w:color="auto" w:fill="auto"/>
          </w:tcPr>
          <w:p w14:paraId="6A39B281" w14:textId="77777777" w:rsidR="00F027B4" w:rsidRPr="00D518DD" w:rsidRDefault="00F027B4" w:rsidP="00F37C53">
            <w:pPr>
              <w:keepNext/>
              <w:autoSpaceDE/>
              <w:autoSpaceDN/>
              <w:adjustRightInd/>
              <w:jc w:val="center"/>
              <w:rPr>
                <w:rFonts w:ascii="Arial" w:hAnsi="Arial" w:cs="Arial"/>
                <w:b/>
                <w:sz w:val="18"/>
                <w:szCs w:val="18"/>
              </w:rPr>
            </w:pPr>
            <w:r>
              <w:rPr>
                <w:rFonts w:ascii="Arial" w:hAnsi="Arial" w:cs="Arial"/>
                <w:b/>
                <w:sz w:val="18"/>
                <w:szCs w:val="18"/>
              </w:rPr>
              <w:t>TAFINLAR</w:t>
            </w:r>
            <w:r>
              <w:rPr>
                <w:rFonts w:ascii="Arial" w:hAnsi="Arial" w:cs="Arial"/>
                <w:b/>
                <w:sz w:val="18"/>
                <w:szCs w:val="18"/>
                <w:vertAlign w:val="superscript"/>
              </w:rPr>
              <w:t xml:space="preserve"> </w:t>
            </w:r>
            <w:r w:rsidRPr="00D518DD">
              <w:rPr>
                <w:rFonts w:ascii="Arial" w:hAnsi="Arial" w:cs="Arial"/>
                <w:b/>
                <w:sz w:val="18"/>
                <w:szCs w:val="18"/>
              </w:rPr>
              <w:t xml:space="preserve">plus </w:t>
            </w:r>
            <w:r>
              <w:rPr>
                <w:rFonts w:ascii="Arial" w:hAnsi="Arial" w:cs="Arial"/>
                <w:b/>
                <w:sz w:val="18"/>
                <w:szCs w:val="18"/>
              </w:rPr>
              <w:t>MEKINIST</w:t>
            </w:r>
            <w:r w:rsidRPr="00D518DD">
              <w:rPr>
                <w:rFonts w:ascii="Arial" w:hAnsi="Arial" w:cs="Arial"/>
                <w:b/>
                <w:sz w:val="18"/>
                <w:szCs w:val="18"/>
              </w:rPr>
              <w:t xml:space="preserve"> </w:t>
            </w:r>
          </w:p>
        </w:tc>
        <w:tc>
          <w:tcPr>
            <w:tcW w:w="1437" w:type="dxa"/>
            <w:tcBorders>
              <w:top w:val="nil"/>
              <w:left w:val="nil"/>
              <w:bottom w:val="single" w:sz="4" w:space="0" w:color="auto"/>
              <w:right w:val="single" w:sz="4" w:space="0" w:color="auto"/>
            </w:tcBorders>
            <w:shd w:val="clear" w:color="auto" w:fill="auto"/>
          </w:tcPr>
          <w:p w14:paraId="4281EC1C" w14:textId="77777777" w:rsidR="00F027B4" w:rsidRPr="00D518DD" w:rsidRDefault="00F027B4" w:rsidP="00F37C53">
            <w:pPr>
              <w:keepNext/>
              <w:autoSpaceDE/>
              <w:autoSpaceDN/>
              <w:adjustRightInd/>
              <w:jc w:val="center"/>
              <w:rPr>
                <w:rFonts w:ascii="Arial" w:hAnsi="Arial" w:cs="Arial"/>
                <w:b/>
                <w:sz w:val="18"/>
                <w:szCs w:val="18"/>
              </w:rPr>
            </w:pPr>
            <w:r>
              <w:rPr>
                <w:rFonts w:ascii="Arial" w:hAnsi="Arial" w:cs="Arial"/>
                <w:b/>
                <w:sz w:val="18"/>
                <w:szCs w:val="18"/>
              </w:rPr>
              <w:t>TAFINLAR</w:t>
            </w:r>
            <w:r w:rsidRPr="00D518DD">
              <w:rPr>
                <w:rFonts w:ascii="Arial" w:hAnsi="Arial" w:cs="Arial"/>
                <w:b/>
                <w:sz w:val="18"/>
                <w:szCs w:val="18"/>
              </w:rPr>
              <w:t xml:space="preserve"> </w:t>
            </w:r>
          </w:p>
        </w:tc>
        <w:tc>
          <w:tcPr>
            <w:tcW w:w="1559" w:type="dxa"/>
            <w:tcBorders>
              <w:top w:val="nil"/>
              <w:left w:val="single" w:sz="4" w:space="0" w:color="auto"/>
              <w:bottom w:val="single" w:sz="4" w:space="0" w:color="auto"/>
              <w:right w:val="nil"/>
            </w:tcBorders>
            <w:shd w:val="clear" w:color="auto" w:fill="auto"/>
          </w:tcPr>
          <w:p w14:paraId="0D4BC192" w14:textId="77777777" w:rsidR="00F027B4" w:rsidRPr="00D518DD" w:rsidRDefault="00F027B4" w:rsidP="00F37C53">
            <w:pPr>
              <w:keepNext/>
              <w:autoSpaceDE/>
              <w:autoSpaceDN/>
              <w:adjustRightInd/>
              <w:jc w:val="center"/>
              <w:rPr>
                <w:rFonts w:ascii="Arial" w:hAnsi="Arial" w:cs="Arial"/>
                <w:b/>
                <w:sz w:val="18"/>
                <w:szCs w:val="18"/>
              </w:rPr>
            </w:pPr>
            <w:r>
              <w:rPr>
                <w:rFonts w:ascii="Arial" w:hAnsi="Arial" w:cs="Arial"/>
                <w:b/>
                <w:sz w:val="18"/>
                <w:szCs w:val="18"/>
              </w:rPr>
              <w:t>TAFINLAR</w:t>
            </w:r>
            <w:r>
              <w:rPr>
                <w:rFonts w:ascii="Arial" w:hAnsi="Arial" w:cs="Arial"/>
                <w:b/>
                <w:sz w:val="18"/>
                <w:szCs w:val="18"/>
                <w:vertAlign w:val="superscript"/>
              </w:rPr>
              <w:t xml:space="preserve"> </w:t>
            </w:r>
            <w:r w:rsidRPr="00D518DD">
              <w:rPr>
                <w:rFonts w:ascii="Arial" w:hAnsi="Arial" w:cs="Arial"/>
                <w:b/>
                <w:sz w:val="18"/>
                <w:szCs w:val="18"/>
              </w:rPr>
              <w:t xml:space="preserve">plus </w:t>
            </w:r>
            <w:r>
              <w:rPr>
                <w:rFonts w:ascii="Arial" w:hAnsi="Arial" w:cs="Arial"/>
                <w:b/>
                <w:sz w:val="18"/>
                <w:szCs w:val="18"/>
              </w:rPr>
              <w:t>MEKINIST</w:t>
            </w:r>
            <w:r w:rsidRPr="00D518DD">
              <w:rPr>
                <w:rFonts w:ascii="Arial" w:hAnsi="Arial" w:cs="Arial"/>
                <w:b/>
                <w:sz w:val="18"/>
                <w:szCs w:val="18"/>
              </w:rPr>
              <w:t xml:space="preserve"> </w:t>
            </w:r>
          </w:p>
        </w:tc>
        <w:tc>
          <w:tcPr>
            <w:tcW w:w="1418" w:type="dxa"/>
            <w:tcBorders>
              <w:top w:val="nil"/>
              <w:left w:val="nil"/>
              <w:bottom w:val="single" w:sz="4" w:space="0" w:color="auto"/>
              <w:right w:val="single" w:sz="4" w:space="0" w:color="auto"/>
            </w:tcBorders>
            <w:shd w:val="clear" w:color="auto" w:fill="auto"/>
          </w:tcPr>
          <w:p w14:paraId="2E4DB7E3" w14:textId="77777777" w:rsidR="00F027B4" w:rsidRPr="00D518DD" w:rsidRDefault="00F027B4" w:rsidP="00F37C53">
            <w:pPr>
              <w:keepNext/>
              <w:autoSpaceDE/>
              <w:autoSpaceDN/>
              <w:adjustRightInd/>
              <w:jc w:val="center"/>
              <w:rPr>
                <w:rFonts w:ascii="Arial" w:hAnsi="Arial" w:cs="Arial"/>
                <w:b/>
                <w:sz w:val="18"/>
                <w:szCs w:val="18"/>
              </w:rPr>
            </w:pPr>
            <w:r>
              <w:rPr>
                <w:rFonts w:ascii="Arial" w:hAnsi="Arial" w:cs="Arial"/>
                <w:b/>
                <w:sz w:val="18"/>
                <w:szCs w:val="18"/>
              </w:rPr>
              <w:t>TAFINLAR</w:t>
            </w:r>
            <w:r w:rsidRPr="00D518DD">
              <w:rPr>
                <w:rFonts w:ascii="Arial" w:hAnsi="Arial" w:cs="Arial"/>
                <w:b/>
                <w:sz w:val="18"/>
                <w:szCs w:val="18"/>
              </w:rPr>
              <w:t xml:space="preserve"> </w:t>
            </w:r>
          </w:p>
        </w:tc>
      </w:tr>
      <w:tr w:rsidR="00F027B4" w:rsidRPr="00D518DD" w14:paraId="7F8D926F" w14:textId="77777777" w:rsidTr="00F027B4">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C08A39" w14:textId="77777777" w:rsidR="00F027B4" w:rsidRPr="000F70F6" w:rsidRDefault="00F027B4" w:rsidP="00F37C53">
            <w:pPr>
              <w:keepNext/>
              <w:autoSpaceDE/>
              <w:autoSpaceDN/>
              <w:adjustRightInd/>
              <w:jc w:val="right"/>
              <w:rPr>
                <w:rFonts w:ascii="Arial" w:hAnsi="Arial" w:cs="Arial"/>
                <w:sz w:val="20"/>
                <w:szCs w:val="20"/>
              </w:rPr>
            </w:pPr>
            <w:r w:rsidRPr="000F70F6">
              <w:rPr>
                <w:rFonts w:ascii="Arial" w:hAnsi="Arial" w:cs="Arial"/>
                <w:b/>
                <w:sz w:val="20"/>
                <w:szCs w:val="20"/>
              </w:rPr>
              <w:t>Investigator Assessed PFS</w:t>
            </w:r>
          </w:p>
        </w:tc>
        <w:tc>
          <w:tcPr>
            <w:tcW w:w="1559" w:type="dxa"/>
            <w:tcBorders>
              <w:top w:val="single" w:sz="4" w:space="0" w:color="auto"/>
              <w:left w:val="single" w:sz="4" w:space="0" w:color="auto"/>
              <w:bottom w:val="single" w:sz="4" w:space="0" w:color="auto"/>
              <w:right w:val="nil"/>
            </w:tcBorders>
            <w:shd w:val="clear" w:color="auto" w:fill="auto"/>
          </w:tcPr>
          <w:p w14:paraId="08837491" w14:textId="77777777" w:rsidR="00F027B4" w:rsidRPr="000F70F6" w:rsidRDefault="00F027B4" w:rsidP="00F37C53">
            <w:pPr>
              <w:keepNext/>
              <w:autoSpaceDE/>
              <w:autoSpaceDN/>
              <w:adjustRightInd/>
              <w:jc w:val="center"/>
              <w:rPr>
                <w:rFonts w:ascii="Arial" w:hAnsi="Arial" w:cs="Arial"/>
                <w:sz w:val="20"/>
                <w:szCs w:val="20"/>
              </w:rPr>
            </w:pPr>
            <w:r w:rsidRPr="000F70F6">
              <w:rPr>
                <w:rFonts w:ascii="Arial" w:hAnsi="Arial" w:cs="Arial"/>
                <w:b/>
                <w:sz w:val="20"/>
                <w:szCs w:val="20"/>
              </w:rPr>
              <w:t>(N=211)</w:t>
            </w:r>
          </w:p>
        </w:tc>
        <w:tc>
          <w:tcPr>
            <w:tcW w:w="1437" w:type="dxa"/>
            <w:tcBorders>
              <w:top w:val="single" w:sz="4" w:space="0" w:color="auto"/>
              <w:left w:val="nil"/>
              <w:bottom w:val="single" w:sz="4" w:space="0" w:color="auto"/>
              <w:right w:val="single" w:sz="4" w:space="0" w:color="auto"/>
            </w:tcBorders>
            <w:shd w:val="clear" w:color="auto" w:fill="auto"/>
          </w:tcPr>
          <w:p w14:paraId="361B9992" w14:textId="77777777" w:rsidR="00F027B4" w:rsidRPr="000F70F6" w:rsidRDefault="00F027B4" w:rsidP="00F37C53">
            <w:pPr>
              <w:keepNext/>
              <w:autoSpaceDE/>
              <w:autoSpaceDN/>
              <w:adjustRightInd/>
              <w:jc w:val="center"/>
              <w:rPr>
                <w:rFonts w:ascii="Arial" w:hAnsi="Arial" w:cs="Arial"/>
                <w:sz w:val="20"/>
                <w:szCs w:val="20"/>
              </w:rPr>
            </w:pPr>
            <w:r w:rsidRPr="000F70F6">
              <w:rPr>
                <w:rFonts w:ascii="Arial" w:hAnsi="Arial" w:cs="Arial"/>
                <w:b/>
                <w:sz w:val="20"/>
                <w:szCs w:val="20"/>
              </w:rPr>
              <w:t>(N=212)</w:t>
            </w:r>
          </w:p>
        </w:tc>
        <w:tc>
          <w:tcPr>
            <w:tcW w:w="1559" w:type="dxa"/>
            <w:tcBorders>
              <w:top w:val="single" w:sz="4" w:space="0" w:color="auto"/>
              <w:left w:val="single" w:sz="4" w:space="0" w:color="auto"/>
              <w:bottom w:val="single" w:sz="4" w:space="0" w:color="auto"/>
              <w:right w:val="nil"/>
            </w:tcBorders>
            <w:shd w:val="clear" w:color="auto" w:fill="auto"/>
          </w:tcPr>
          <w:p w14:paraId="5BDF4709" w14:textId="77777777" w:rsidR="00F027B4" w:rsidRPr="000F70F6" w:rsidRDefault="00F027B4" w:rsidP="00F37C53">
            <w:pPr>
              <w:keepNext/>
              <w:autoSpaceDE/>
              <w:autoSpaceDN/>
              <w:adjustRightInd/>
              <w:jc w:val="center"/>
              <w:rPr>
                <w:rFonts w:ascii="Arial" w:hAnsi="Arial" w:cs="Arial"/>
                <w:sz w:val="20"/>
                <w:szCs w:val="20"/>
              </w:rPr>
            </w:pPr>
            <w:r w:rsidRPr="000F70F6">
              <w:rPr>
                <w:rFonts w:ascii="Arial" w:hAnsi="Arial" w:cs="Arial"/>
                <w:b/>
                <w:sz w:val="20"/>
                <w:szCs w:val="20"/>
              </w:rPr>
              <w:t>(N=211)</w:t>
            </w:r>
          </w:p>
        </w:tc>
        <w:tc>
          <w:tcPr>
            <w:tcW w:w="1418" w:type="dxa"/>
            <w:tcBorders>
              <w:top w:val="single" w:sz="4" w:space="0" w:color="auto"/>
              <w:left w:val="nil"/>
              <w:bottom w:val="single" w:sz="4" w:space="0" w:color="auto"/>
              <w:right w:val="single" w:sz="4" w:space="0" w:color="auto"/>
            </w:tcBorders>
            <w:shd w:val="clear" w:color="auto" w:fill="auto"/>
          </w:tcPr>
          <w:p w14:paraId="1FB50BAC" w14:textId="77777777" w:rsidR="00F027B4" w:rsidRPr="000F70F6" w:rsidRDefault="00F027B4" w:rsidP="00F37C53">
            <w:pPr>
              <w:keepNext/>
              <w:autoSpaceDE/>
              <w:autoSpaceDN/>
              <w:adjustRightInd/>
              <w:jc w:val="center"/>
              <w:rPr>
                <w:rFonts w:ascii="Arial" w:hAnsi="Arial" w:cs="Arial"/>
                <w:sz w:val="20"/>
                <w:szCs w:val="20"/>
              </w:rPr>
            </w:pPr>
            <w:r w:rsidRPr="000F70F6">
              <w:rPr>
                <w:rFonts w:ascii="Arial" w:hAnsi="Arial" w:cs="Arial"/>
                <w:b/>
                <w:sz w:val="20"/>
                <w:szCs w:val="20"/>
              </w:rPr>
              <w:t>(N=212)</w:t>
            </w:r>
          </w:p>
        </w:tc>
      </w:tr>
      <w:tr w:rsidR="00F027B4" w:rsidRPr="00D518DD" w14:paraId="6920357D" w14:textId="77777777" w:rsidTr="00F027B4">
        <w:tc>
          <w:tcPr>
            <w:tcW w:w="3227" w:type="dxa"/>
            <w:tcBorders>
              <w:top w:val="single" w:sz="4" w:space="0" w:color="auto"/>
              <w:left w:val="single" w:sz="4" w:space="0" w:color="auto"/>
              <w:bottom w:val="nil"/>
              <w:right w:val="single" w:sz="4" w:space="0" w:color="auto"/>
            </w:tcBorders>
            <w:shd w:val="clear" w:color="auto" w:fill="auto"/>
          </w:tcPr>
          <w:p w14:paraId="75379B11" w14:textId="77777777" w:rsidR="00F027B4" w:rsidRPr="000F70F6" w:rsidRDefault="00F027B4" w:rsidP="00F37C53">
            <w:pPr>
              <w:keepNext/>
              <w:autoSpaceDE/>
              <w:autoSpaceDN/>
              <w:adjustRightInd/>
              <w:jc w:val="right"/>
              <w:rPr>
                <w:rFonts w:ascii="Arial Narrow" w:hAnsi="Arial Narrow" w:cs="Arial"/>
                <w:sz w:val="22"/>
                <w:szCs w:val="22"/>
              </w:rPr>
            </w:pPr>
            <w:r w:rsidRPr="000F70F6">
              <w:rPr>
                <w:rFonts w:ascii="Arial Narrow" w:hAnsi="Arial Narrow" w:cs="Arial"/>
                <w:sz w:val="22"/>
                <w:szCs w:val="22"/>
              </w:rPr>
              <w:t>Progressive disease or death, n (%)</w:t>
            </w:r>
          </w:p>
        </w:tc>
        <w:tc>
          <w:tcPr>
            <w:tcW w:w="1559" w:type="dxa"/>
            <w:tcBorders>
              <w:top w:val="single" w:sz="4" w:space="0" w:color="auto"/>
              <w:left w:val="single" w:sz="4" w:space="0" w:color="auto"/>
              <w:bottom w:val="nil"/>
              <w:right w:val="nil"/>
            </w:tcBorders>
            <w:shd w:val="clear" w:color="auto" w:fill="auto"/>
          </w:tcPr>
          <w:p w14:paraId="7144C6FF" w14:textId="77777777" w:rsidR="00F027B4" w:rsidRPr="00BF5438" w:rsidRDefault="00F027B4" w:rsidP="00F37C53">
            <w:pPr>
              <w:keepNext/>
              <w:autoSpaceDE/>
              <w:autoSpaceDN/>
              <w:adjustRightInd/>
              <w:jc w:val="center"/>
              <w:rPr>
                <w:rFonts w:ascii="Arial Narrow" w:hAnsi="Arial Narrow"/>
                <w:b/>
                <w:sz w:val="22"/>
                <w:szCs w:val="22"/>
              </w:rPr>
            </w:pPr>
            <w:r w:rsidRPr="00BF5438">
              <w:rPr>
                <w:rFonts w:ascii="Arial Narrow" w:hAnsi="Arial Narrow"/>
                <w:sz w:val="22"/>
                <w:szCs w:val="22"/>
              </w:rPr>
              <w:t>102 (48)</w:t>
            </w:r>
          </w:p>
        </w:tc>
        <w:tc>
          <w:tcPr>
            <w:tcW w:w="1437" w:type="dxa"/>
            <w:tcBorders>
              <w:top w:val="single" w:sz="4" w:space="0" w:color="auto"/>
              <w:left w:val="nil"/>
              <w:bottom w:val="nil"/>
              <w:right w:val="single" w:sz="4" w:space="0" w:color="auto"/>
            </w:tcBorders>
            <w:shd w:val="clear" w:color="auto" w:fill="auto"/>
          </w:tcPr>
          <w:p w14:paraId="76930D29" w14:textId="77777777" w:rsidR="00F027B4" w:rsidRPr="00BF5438" w:rsidRDefault="00F027B4" w:rsidP="00F37C53">
            <w:pPr>
              <w:keepNext/>
              <w:autoSpaceDE/>
              <w:autoSpaceDN/>
              <w:adjustRightInd/>
              <w:jc w:val="center"/>
              <w:rPr>
                <w:rFonts w:ascii="Arial Narrow" w:hAnsi="Arial Narrow"/>
                <w:sz w:val="22"/>
                <w:szCs w:val="22"/>
              </w:rPr>
            </w:pPr>
            <w:r w:rsidRPr="00BF5438">
              <w:rPr>
                <w:rFonts w:ascii="Arial Narrow" w:hAnsi="Arial Narrow"/>
                <w:sz w:val="22"/>
                <w:szCs w:val="22"/>
              </w:rPr>
              <w:t>109 (51)</w:t>
            </w:r>
          </w:p>
        </w:tc>
        <w:tc>
          <w:tcPr>
            <w:tcW w:w="1559" w:type="dxa"/>
            <w:tcBorders>
              <w:top w:val="single" w:sz="4" w:space="0" w:color="auto"/>
              <w:left w:val="single" w:sz="4" w:space="0" w:color="auto"/>
              <w:bottom w:val="nil"/>
              <w:right w:val="nil"/>
            </w:tcBorders>
            <w:shd w:val="clear" w:color="auto" w:fill="auto"/>
          </w:tcPr>
          <w:p w14:paraId="026CC6B9" w14:textId="77777777" w:rsidR="00F027B4" w:rsidRPr="00BF5438" w:rsidRDefault="00F027B4" w:rsidP="00F37C53">
            <w:pPr>
              <w:keepNext/>
              <w:autoSpaceDE/>
              <w:autoSpaceDN/>
              <w:adjustRightInd/>
              <w:jc w:val="center"/>
              <w:rPr>
                <w:rFonts w:ascii="Arial Narrow" w:hAnsi="Arial Narrow"/>
                <w:sz w:val="22"/>
                <w:szCs w:val="22"/>
              </w:rPr>
            </w:pPr>
            <w:r w:rsidRPr="00BF5438">
              <w:rPr>
                <w:rFonts w:ascii="Arial Narrow" w:hAnsi="Arial Narrow"/>
                <w:sz w:val="22"/>
                <w:szCs w:val="22"/>
              </w:rPr>
              <w:t>139 (66)</w:t>
            </w:r>
          </w:p>
        </w:tc>
        <w:tc>
          <w:tcPr>
            <w:tcW w:w="1418" w:type="dxa"/>
            <w:tcBorders>
              <w:top w:val="single" w:sz="4" w:space="0" w:color="auto"/>
              <w:left w:val="nil"/>
              <w:bottom w:val="nil"/>
              <w:right w:val="single" w:sz="4" w:space="0" w:color="auto"/>
            </w:tcBorders>
            <w:shd w:val="clear" w:color="auto" w:fill="auto"/>
          </w:tcPr>
          <w:p w14:paraId="22105F2E" w14:textId="77777777" w:rsidR="00F027B4" w:rsidRPr="00BF5438" w:rsidRDefault="00F027B4" w:rsidP="00F37C53">
            <w:pPr>
              <w:keepNext/>
              <w:autoSpaceDE/>
              <w:autoSpaceDN/>
              <w:adjustRightInd/>
              <w:jc w:val="center"/>
              <w:rPr>
                <w:rFonts w:ascii="Arial Narrow" w:hAnsi="Arial Narrow"/>
                <w:sz w:val="22"/>
                <w:szCs w:val="22"/>
              </w:rPr>
            </w:pPr>
            <w:r w:rsidRPr="00BF5438">
              <w:rPr>
                <w:rFonts w:ascii="Arial Narrow" w:hAnsi="Arial Narrow"/>
                <w:sz w:val="22"/>
                <w:szCs w:val="22"/>
              </w:rPr>
              <w:t>162 (76)</w:t>
            </w:r>
          </w:p>
        </w:tc>
      </w:tr>
      <w:tr w:rsidR="00F027B4" w:rsidRPr="00D518DD" w14:paraId="7D84DAB8" w14:textId="77777777" w:rsidTr="00F027B4">
        <w:tc>
          <w:tcPr>
            <w:tcW w:w="3227" w:type="dxa"/>
            <w:tcBorders>
              <w:top w:val="nil"/>
              <w:left w:val="single" w:sz="4" w:space="0" w:color="auto"/>
              <w:bottom w:val="nil"/>
              <w:right w:val="single" w:sz="4" w:space="0" w:color="auto"/>
            </w:tcBorders>
            <w:shd w:val="clear" w:color="auto" w:fill="auto"/>
          </w:tcPr>
          <w:p w14:paraId="13B0DBB9" w14:textId="77777777" w:rsidR="00F027B4" w:rsidRPr="00DD6785" w:rsidRDefault="00F027B4" w:rsidP="00F37C53">
            <w:pPr>
              <w:keepNext/>
              <w:autoSpaceDE/>
              <w:autoSpaceDN/>
              <w:adjustRightInd/>
              <w:jc w:val="right"/>
              <w:rPr>
                <w:rFonts w:ascii="Arial Narrow" w:hAnsi="Arial Narrow"/>
                <w:sz w:val="22"/>
              </w:rPr>
            </w:pPr>
            <w:r w:rsidRPr="00DD6785">
              <w:rPr>
                <w:rFonts w:ascii="Arial Narrow" w:hAnsi="Arial Narrow"/>
                <w:sz w:val="22"/>
              </w:rPr>
              <w:t>Median, months (95</w:t>
            </w:r>
            <w:r>
              <w:rPr>
                <w:rFonts w:ascii="Arial Narrow" w:hAnsi="Arial Narrow"/>
                <w:sz w:val="22"/>
              </w:rPr>
              <w:t xml:space="preserve"> </w:t>
            </w:r>
            <w:r w:rsidRPr="00DD6785">
              <w:rPr>
                <w:rFonts w:ascii="Arial Narrow" w:hAnsi="Arial Narrow"/>
                <w:sz w:val="22"/>
              </w:rPr>
              <w:t xml:space="preserve">% </w:t>
            </w:r>
            <w:proofErr w:type="spellStart"/>
            <w:r w:rsidRPr="00DD6785">
              <w:rPr>
                <w:rFonts w:ascii="Arial Narrow" w:hAnsi="Arial Narrow"/>
                <w:sz w:val="22"/>
              </w:rPr>
              <w:t>CI</w:t>
            </w:r>
            <w:r w:rsidRPr="00DD6785">
              <w:rPr>
                <w:rFonts w:ascii="Arial Narrow" w:hAnsi="Arial Narrow"/>
                <w:sz w:val="22"/>
                <w:vertAlign w:val="superscript"/>
              </w:rPr>
              <w:t>a</w:t>
            </w:r>
            <w:proofErr w:type="spellEnd"/>
            <w:r w:rsidRPr="00DD6785">
              <w:rPr>
                <w:rFonts w:ascii="Arial Narrow" w:hAnsi="Arial Narrow"/>
                <w:sz w:val="22"/>
              </w:rPr>
              <w:t>)</w:t>
            </w:r>
          </w:p>
        </w:tc>
        <w:tc>
          <w:tcPr>
            <w:tcW w:w="1559" w:type="dxa"/>
            <w:tcBorders>
              <w:top w:val="nil"/>
              <w:left w:val="single" w:sz="4" w:space="0" w:color="auto"/>
              <w:bottom w:val="nil"/>
              <w:right w:val="nil"/>
            </w:tcBorders>
            <w:shd w:val="clear" w:color="auto" w:fill="auto"/>
          </w:tcPr>
          <w:p w14:paraId="02E9FD7C" w14:textId="77777777" w:rsidR="00F027B4" w:rsidRPr="00BF5438" w:rsidRDefault="00F027B4" w:rsidP="00F37C53">
            <w:pPr>
              <w:keepNext/>
              <w:autoSpaceDE/>
              <w:autoSpaceDN/>
              <w:adjustRightInd/>
              <w:jc w:val="center"/>
              <w:rPr>
                <w:rFonts w:ascii="Arial Narrow" w:hAnsi="Arial Narrow"/>
                <w:sz w:val="22"/>
                <w:szCs w:val="22"/>
              </w:rPr>
            </w:pPr>
            <w:r w:rsidRPr="00BF5438">
              <w:rPr>
                <w:rFonts w:ascii="Arial Narrow" w:hAnsi="Arial Narrow"/>
                <w:sz w:val="22"/>
                <w:szCs w:val="22"/>
              </w:rPr>
              <w:t>9.3 (7.7, 11.1)</w:t>
            </w:r>
          </w:p>
        </w:tc>
        <w:tc>
          <w:tcPr>
            <w:tcW w:w="1437" w:type="dxa"/>
            <w:tcBorders>
              <w:top w:val="nil"/>
              <w:left w:val="nil"/>
              <w:bottom w:val="nil"/>
              <w:right w:val="single" w:sz="4" w:space="0" w:color="auto"/>
            </w:tcBorders>
            <w:shd w:val="clear" w:color="auto" w:fill="auto"/>
          </w:tcPr>
          <w:p w14:paraId="65AE3724" w14:textId="77777777" w:rsidR="00F027B4" w:rsidRPr="00BF5438" w:rsidRDefault="00F027B4" w:rsidP="00F37C53">
            <w:pPr>
              <w:keepNext/>
              <w:autoSpaceDE/>
              <w:autoSpaceDN/>
              <w:adjustRightInd/>
              <w:jc w:val="center"/>
              <w:rPr>
                <w:rFonts w:ascii="Arial Narrow" w:hAnsi="Arial Narrow"/>
                <w:sz w:val="22"/>
                <w:szCs w:val="22"/>
              </w:rPr>
            </w:pPr>
            <w:r w:rsidRPr="00BF5438">
              <w:rPr>
                <w:rFonts w:ascii="Arial Narrow" w:hAnsi="Arial Narrow"/>
                <w:sz w:val="22"/>
                <w:szCs w:val="22"/>
              </w:rPr>
              <w:t>8.8 (5.9, 10.9)</w:t>
            </w:r>
          </w:p>
        </w:tc>
        <w:tc>
          <w:tcPr>
            <w:tcW w:w="1559" w:type="dxa"/>
            <w:tcBorders>
              <w:top w:val="nil"/>
              <w:left w:val="single" w:sz="4" w:space="0" w:color="auto"/>
              <w:bottom w:val="nil"/>
              <w:right w:val="nil"/>
            </w:tcBorders>
            <w:shd w:val="clear" w:color="auto" w:fill="auto"/>
          </w:tcPr>
          <w:p w14:paraId="678649A7" w14:textId="77777777" w:rsidR="00F027B4" w:rsidRPr="00BF5438" w:rsidRDefault="00F027B4" w:rsidP="00F37C53">
            <w:pPr>
              <w:keepNext/>
              <w:autoSpaceDE/>
              <w:autoSpaceDN/>
              <w:adjustRightInd/>
              <w:jc w:val="center"/>
              <w:rPr>
                <w:rFonts w:ascii="Arial Narrow" w:hAnsi="Arial Narrow"/>
                <w:sz w:val="22"/>
                <w:szCs w:val="22"/>
              </w:rPr>
            </w:pPr>
            <w:r w:rsidRPr="00BF5438">
              <w:rPr>
                <w:rFonts w:ascii="Arial Narrow" w:hAnsi="Arial Narrow"/>
                <w:sz w:val="22"/>
                <w:szCs w:val="22"/>
              </w:rPr>
              <w:t>11.0 (8.0, 13.9)</w:t>
            </w:r>
          </w:p>
        </w:tc>
        <w:tc>
          <w:tcPr>
            <w:tcW w:w="1418" w:type="dxa"/>
            <w:tcBorders>
              <w:top w:val="nil"/>
              <w:left w:val="nil"/>
              <w:bottom w:val="nil"/>
              <w:right w:val="single" w:sz="4" w:space="0" w:color="auto"/>
            </w:tcBorders>
            <w:shd w:val="clear" w:color="auto" w:fill="auto"/>
          </w:tcPr>
          <w:p w14:paraId="25C479E4" w14:textId="77777777" w:rsidR="00F027B4" w:rsidRPr="00BF5438" w:rsidRDefault="00F027B4" w:rsidP="00F37C53">
            <w:pPr>
              <w:keepNext/>
              <w:autoSpaceDE/>
              <w:autoSpaceDN/>
              <w:adjustRightInd/>
              <w:jc w:val="center"/>
              <w:rPr>
                <w:rFonts w:ascii="Arial Narrow" w:hAnsi="Arial Narrow"/>
                <w:sz w:val="22"/>
                <w:szCs w:val="22"/>
              </w:rPr>
            </w:pPr>
            <w:r w:rsidRPr="00BF5438">
              <w:rPr>
                <w:rFonts w:ascii="Arial Narrow" w:hAnsi="Arial Narrow"/>
                <w:sz w:val="22"/>
                <w:szCs w:val="22"/>
              </w:rPr>
              <w:t>8.8 5.9 (9.3)</w:t>
            </w:r>
          </w:p>
        </w:tc>
      </w:tr>
      <w:tr w:rsidR="00F027B4" w:rsidRPr="00D518DD" w14:paraId="6A05C6AB" w14:textId="77777777" w:rsidTr="00F027B4">
        <w:tc>
          <w:tcPr>
            <w:tcW w:w="3227" w:type="dxa"/>
            <w:tcBorders>
              <w:top w:val="nil"/>
              <w:left w:val="single" w:sz="4" w:space="0" w:color="auto"/>
              <w:bottom w:val="nil"/>
              <w:right w:val="single" w:sz="4" w:space="0" w:color="auto"/>
            </w:tcBorders>
            <w:shd w:val="clear" w:color="auto" w:fill="auto"/>
          </w:tcPr>
          <w:p w14:paraId="6CC7BC34" w14:textId="77777777" w:rsidR="00F027B4" w:rsidRPr="00DD6785" w:rsidRDefault="00F027B4" w:rsidP="00F37C53">
            <w:pPr>
              <w:keepNext/>
              <w:autoSpaceDE/>
              <w:autoSpaceDN/>
              <w:adjustRightInd/>
              <w:jc w:val="right"/>
              <w:rPr>
                <w:rFonts w:ascii="Arial Narrow" w:hAnsi="Arial Narrow"/>
                <w:sz w:val="22"/>
              </w:rPr>
            </w:pPr>
            <w:r w:rsidRPr="00DD6785">
              <w:rPr>
                <w:rFonts w:ascii="Arial Narrow" w:hAnsi="Arial Narrow"/>
                <w:sz w:val="22"/>
              </w:rPr>
              <w:t>Hazard Ratio (95</w:t>
            </w:r>
            <w:r>
              <w:rPr>
                <w:rFonts w:ascii="Arial Narrow" w:hAnsi="Arial Narrow"/>
                <w:sz w:val="22"/>
              </w:rPr>
              <w:t xml:space="preserve"> </w:t>
            </w:r>
            <w:r w:rsidRPr="00DD6785">
              <w:rPr>
                <w:rFonts w:ascii="Arial Narrow" w:hAnsi="Arial Narrow"/>
                <w:sz w:val="22"/>
              </w:rPr>
              <w:t>% CI)</w:t>
            </w:r>
          </w:p>
        </w:tc>
        <w:tc>
          <w:tcPr>
            <w:tcW w:w="2996" w:type="dxa"/>
            <w:gridSpan w:val="2"/>
            <w:tcBorders>
              <w:top w:val="nil"/>
              <w:left w:val="single" w:sz="4" w:space="0" w:color="auto"/>
              <w:bottom w:val="nil"/>
              <w:right w:val="single" w:sz="4" w:space="0" w:color="auto"/>
            </w:tcBorders>
            <w:shd w:val="clear" w:color="auto" w:fill="auto"/>
          </w:tcPr>
          <w:p w14:paraId="458BFE5E" w14:textId="77777777" w:rsidR="00F027B4" w:rsidRPr="00BF5438" w:rsidRDefault="00F027B4" w:rsidP="00F37C53">
            <w:pPr>
              <w:keepNext/>
              <w:autoSpaceDE/>
              <w:autoSpaceDN/>
              <w:adjustRightInd/>
              <w:jc w:val="center"/>
              <w:rPr>
                <w:rFonts w:ascii="Arial Narrow" w:hAnsi="Arial Narrow"/>
                <w:sz w:val="22"/>
                <w:szCs w:val="22"/>
              </w:rPr>
            </w:pPr>
            <w:r w:rsidRPr="00BF5438">
              <w:rPr>
                <w:rFonts w:ascii="Arial Narrow" w:hAnsi="Arial Narrow"/>
                <w:sz w:val="22"/>
                <w:szCs w:val="22"/>
              </w:rPr>
              <w:t>0.75 (0.57,0.99)</w:t>
            </w:r>
          </w:p>
        </w:tc>
        <w:tc>
          <w:tcPr>
            <w:tcW w:w="2977" w:type="dxa"/>
            <w:gridSpan w:val="2"/>
            <w:tcBorders>
              <w:top w:val="nil"/>
              <w:left w:val="single" w:sz="4" w:space="0" w:color="auto"/>
              <w:bottom w:val="nil"/>
              <w:right w:val="single" w:sz="4" w:space="0" w:color="auto"/>
            </w:tcBorders>
            <w:shd w:val="clear" w:color="auto" w:fill="auto"/>
          </w:tcPr>
          <w:p w14:paraId="26AA3025" w14:textId="77777777" w:rsidR="00F027B4" w:rsidRPr="00BF5438" w:rsidRDefault="00F027B4" w:rsidP="00F37C53">
            <w:pPr>
              <w:keepNext/>
              <w:autoSpaceDE/>
              <w:autoSpaceDN/>
              <w:adjustRightInd/>
              <w:jc w:val="center"/>
              <w:rPr>
                <w:rFonts w:ascii="Arial Narrow" w:hAnsi="Arial Narrow"/>
                <w:sz w:val="22"/>
                <w:szCs w:val="22"/>
              </w:rPr>
            </w:pPr>
            <w:r w:rsidRPr="00BF5438">
              <w:rPr>
                <w:rFonts w:ascii="Arial Narrow" w:hAnsi="Arial Narrow"/>
                <w:sz w:val="22"/>
                <w:szCs w:val="22"/>
              </w:rPr>
              <w:t>0.67 ( 0.53, 0.84)</w:t>
            </w:r>
          </w:p>
        </w:tc>
      </w:tr>
      <w:tr w:rsidR="00F027B4" w:rsidRPr="00D518DD" w14:paraId="08691958" w14:textId="77777777" w:rsidTr="00F027B4">
        <w:tc>
          <w:tcPr>
            <w:tcW w:w="3227" w:type="dxa"/>
            <w:tcBorders>
              <w:top w:val="nil"/>
              <w:left w:val="single" w:sz="4" w:space="0" w:color="auto"/>
              <w:bottom w:val="single" w:sz="4" w:space="0" w:color="auto"/>
              <w:right w:val="single" w:sz="4" w:space="0" w:color="auto"/>
            </w:tcBorders>
            <w:shd w:val="clear" w:color="auto" w:fill="auto"/>
          </w:tcPr>
          <w:p w14:paraId="7AA3760B" w14:textId="77777777" w:rsidR="00F027B4" w:rsidRPr="00DD6785" w:rsidRDefault="00F027B4" w:rsidP="00F37C53">
            <w:pPr>
              <w:keepNext/>
              <w:autoSpaceDE/>
              <w:autoSpaceDN/>
              <w:adjustRightInd/>
              <w:jc w:val="right"/>
              <w:rPr>
                <w:rFonts w:ascii="Arial Narrow" w:hAnsi="Arial Narrow"/>
                <w:sz w:val="22"/>
              </w:rPr>
            </w:pPr>
            <w:r w:rsidRPr="00DD6785">
              <w:rPr>
                <w:rFonts w:ascii="Arial Narrow" w:hAnsi="Arial Narrow"/>
                <w:sz w:val="22"/>
              </w:rPr>
              <w:t>p value (log-rank test)</w:t>
            </w:r>
          </w:p>
        </w:tc>
        <w:tc>
          <w:tcPr>
            <w:tcW w:w="2996" w:type="dxa"/>
            <w:gridSpan w:val="2"/>
            <w:tcBorders>
              <w:top w:val="nil"/>
              <w:left w:val="single" w:sz="4" w:space="0" w:color="auto"/>
              <w:bottom w:val="single" w:sz="4" w:space="0" w:color="auto"/>
              <w:right w:val="single" w:sz="4" w:space="0" w:color="auto"/>
            </w:tcBorders>
            <w:shd w:val="clear" w:color="auto" w:fill="auto"/>
          </w:tcPr>
          <w:p w14:paraId="6BF481B9" w14:textId="77777777" w:rsidR="00F027B4" w:rsidRPr="00BF5438" w:rsidRDefault="00F027B4" w:rsidP="00F37C53">
            <w:pPr>
              <w:keepNext/>
              <w:autoSpaceDE/>
              <w:autoSpaceDN/>
              <w:adjustRightInd/>
              <w:jc w:val="center"/>
              <w:rPr>
                <w:rFonts w:ascii="Arial Narrow" w:hAnsi="Arial Narrow"/>
                <w:sz w:val="22"/>
                <w:szCs w:val="22"/>
              </w:rPr>
            </w:pPr>
            <w:r w:rsidRPr="00BF5438">
              <w:rPr>
                <w:rFonts w:ascii="Arial Narrow" w:hAnsi="Arial Narrow"/>
                <w:sz w:val="22"/>
                <w:szCs w:val="22"/>
              </w:rPr>
              <w:t>0.035</w:t>
            </w:r>
          </w:p>
        </w:tc>
        <w:tc>
          <w:tcPr>
            <w:tcW w:w="2977" w:type="dxa"/>
            <w:gridSpan w:val="2"/>
            <w:tcBorders>
              <w:top w:val="nil"/>
              <w:left w:val="single" w:sz="4" w:space="0" w:color="auto"/>
              <w:bottom w:val="single" w:sz="4" w:space="0" w:color="auto"/>
              <w:right w:val="single" w:sz="4" w:space="0" w:color="auto"/>
            </w:tcBorders>
            <w:shd w:val="clear" w:color="auto" w:fill="auto"/>
          </w:tcPr>
          <w:p w14:paraId="1E218E9F" w14:textId="77777777" w:rsidR="00F027B4" w:rsidRPr="00BF5438" w:rsidRDefault="00F027B4" w:rsidP="00F37C53">
            <w:pPr>
              <w:keepNext/>
              <w:autoSpaceDE/>
              <w:autoSpaceDN/>
              <w:adjustRightInd/>
              <w:jc w:val="center"/>
              <w:rPr>
                <w:rFonts w:ascii="Arial Narrow" w:hAnsi="Arial Narrow"/>
                <w:sz w:val="22"/>
                <w:szCs w:val="22"/>
              </w:rPr>
            </w:pPr>
            <w:r w:rsidRPr="00BF5438">
              <w:rPr>
                <w:rFonts w:ascii="Arial Narrow" w:hAnsi="Arial Narrow"/>
                <w:sz w:val="22"/>
                <w:szCs w:val="22"/>
              </w:rPr>
              <w:t>&lt; 0.001</w:t>
            </w:r>
          </w:p>
        </w:tc>
      </w:tr>
      <w:tr w:rsidR="00F027B4" w:rsidRPr="00D518DD" w14:paraId="082A0661" w14:textId="77777777" w:rsidTr="00F027B4">
        <w:tc>
          <w:tcPr>
            <w:tcW w:w="3227" w:type="dxa"/>
            <w:tcBorders>
              <w:top w:val="single" w:sz="4" w:space="0" w:color="auto"/>
              <w:left w:val="nil"/>
              <w:bottom w:val="single" w:sz="4" w:space="0" w:color="auto"/>
              <w:right w:val="single" w:sz="4" w:space="0" w:color="auto"/>
            </w:tcBorders>
            <w:shd w:val="clear" w:color="auto" w:fill="auto"/>
          </w:tcPr>
          <w:p w14:paraId="0099FEE6" w14:textId="77777777" w:rsidR="00F027B4" w:rsidRPr="000F70F6" w:rsidRDefault="00F027B4" w:rsidP="00F37C53">
            <w:pPr>
              <w:keepNext/>
              <w:autoSpaceDE/>
              <w:autoSpaceDN/>
              <w:adjustRightInd/>
              <w:jc w:val="left"/>
              <w:rPr>
                <w:rFonts w:ascii="Arial" w:hAnsi="Arial" w:cs="Arial"/>
                <w:b/>
                <w:sz w:val="20"/>
                <w:szCs w:val="20"/>
              </w:rPr>
            </w:pPr>
          </w:p>
        </w:tc>
        <w:tc>
          <w:tcPr>
            <w:tcW w:w="1559" w:type="dxa"/>
            <w:tcBorders>
              <w:top w:val="single" w:sz="4" w:space="0" w:color="auto"/>
              <w:left w:val="single" w:sz="4" w:space="0" w:color="auto"/>
              <w:bottom w:val="single" w:sz="4" w:space="0" w:color="auto"/>
              <w:right w:val="nil"/>
            </w:tcBorders>
            <w:shd w:val="clear" w:color="auto" w:fill="auto"/>
          </w:tcPr>
          <w:p w14:paraId="2ED45EC0" w14:textId="77777777" w:rsidR="00F027B4" w:rsidRPr="000F70F6" w:rsidRDefault="00F027B4" w:rsidP="00F37C53">
            <w:pPr>
              <w:keepNext/>
              <w:autoSpaceDE/>
              <w:autoSpaceDN/>
              <w:adjustRightInd/>
              <w:jc w:val="center"/>
              <w:rPr>
                <w:rFonts w:ascii="Arial" w:hAnsi="Arial" w:cs="Arial"/>
                <w:b/>
                <w:sz w:val="20"/>
                <w:szCs w:val="20"/>
              </w:rPr>
            </w:pPr>
            <w:r w:rsidRPr="000F70F6">
              <w:rPr>
                <w:rFonts w:ascii="Arial" w:hAnsi="Arial" w:cs="Arial"/>
                <w:b/>
                <w:sz w:val="20"/>
                <w:szCs w:val="20"/>
              </w:rPr>
              <w:t>(N=210)</w:t>
            </w:r>
          </w:p>
        </w:tc>
        <w:tc>
          <w:tcPr>
            <w:tcW w:w="1437" w:type="dxa"/>
            <w:tcBorders>
              <w:top w:val="single" w:sz="4" w:space="0" w:color="auto"/>
              <w:left w:val="nil"/>
              <w:bottom w:val="single" w:sz="4" w:space="0" w:color="auto"/>
              <w:right w:val="single" w:sz="4" w:space="0" w:color="auto"/>
            </w:tcBorders>
            <w:shd w:val="clear" w:color="auto" w:fill="auto"/>
          </w:tcPr>
          <w:p w14:paraId="2443B123" w14:textId="77777777" w:rsidR="00F027B4" w:rsidRPr="000F70F6" w:rsidRDefault="00F027B4" w:rsidP="00F37C53">
            <w:pPr>
              <w:keepNext/>
              <w:autoSpaceDE/>
              <w:autoSpaceDN/>
              <w:adjustRightInd/>
              <w:jc w:val="center"/>
              <w:rPr>
                <w:rFonts w:ascii="Arial" w:hAnsi="Arial" w:cs="Arial"/>
                <w:b/>
                <w:sz w:val="20"/>
                <w:szCs w:val="20"/>
              </w:rPr>
            </w:pPr>
            <w:r w:rsidRPr="000F70F6">
              <w:rPr>
                <w:rFonts w:ascii="Arial" w:hAnsi="Arial" w:cs="Arial"/>
                <w:b/>
                <w:sz w:val="20"/>
                <w:szCs w:val="20"/>
              </w:rPr>
              <w:t>(N=210)</w:t>
            </w:r>
          </w:p>
        </w:tc>
        <w:tc>
          <w:tcPr>
            <w:tcW w:w="1559" w:type="dxa"/>
            <w:tcBorders>
              <w:top w:val="single" w:sz="4" w:space="0" w:color="auto"/>
              <w:left w:val="single" w:sz="4" w:space="0" w:color="auto"/>
              <w:bottom w:val="single" w:sz="4" w:space="0" w:color="auto"/>
              <w:right w:val="nil"/>
            </w:tcBorders>
            <w:shd w:val="clear" w:color="auto" w:fill="auto"/>
          </w:tcPr>
          <w:p w14:paraId="53EF5255" w14:textId="77777777" w:rsidR="00F027B4" w:rsidRPr="000F70F6" w:rsidRDefault="00F027B4" w:rsidP="00F37C53">
            <w:pPr>
              <w:keepNext/>
              <w:autoSpaceDE/>
              <w:autoSpaceDN/>
              <w:adjustRightInd/>
              <w:jc w:val="center"/>
              <w:rPr>
                <w:rFonts w:ascii="Arial" w:hAnsi="Arial" w:cs="Arial"/>
                <w:b/>
                <w:sz w:val="20"/>
                <w:szCs w:val="20"/>
              </w:rPr>
            </w:pPr>
            <w:r w:rsidRPr="000F70F6">
              <w:rPr>
                <w:rFonts w:ascii="Arial" w:hAnsi="Arial" w:cs="Arial"/>
                <w:b/>
                <w:sz w:val="20"/>
                <w:szCs w:val="20"/>
              </w:rPr>
              <w:t>(N=210)</w:t>
            </w:r>
          </w:p>
        </w:tc>
        <w:tc>
          <w:tcPr>
            <w:tcW w:w="1418" w:type="dxa"/>
            <w:tcBorders>
              <w:top w:val="single" w:sz="4" w:space="0" w:color="auto"/>
              <w:left w:val="nil"/>
              <w:bottom w:val="single" w:sz="4" w:space="0" w:color="auto"/>
              <w:right w:val="single" w:sz="4" w:space="0" w:color="auto"/>
            </w:tcBorders>
            <w:shd w:val="clear" w:color="auto" w:fill="auto"/>
          </w:tcPr>
          <w:p w14:paraId="1F367B6F" w14:textId="77777777" w:rsidR="00F027B4" w:rsidRPr="000F70F6" w:rsidRDefault="00F027B4" w:rsidP="00F37C53">
            <w:pPr>
              <w:keepNext/>
              <w:autoSpaceDE/>
              <w:autoSpaceDN/>
              <w:adjustRightInd/>
              <w:jc w:val="center"/>
              <w:rPr>
                <w:rFonts w:ascii="Arial" w:hAnsi="Arial" w:cs="Arial"/>
                <w:b/>
                <w:sz w:val="20"/>
                <w:szCs w:val="20"/>
              </w:rPr>
            </w:pPr>
            <w:r w:rsidRPr="000F70F6">
              <w:rPr>
                <w:rFonts w:ascii="Arial" w:hAnsi="Arial" w:cs="Arial"/>
                <w:b/>
                <w:sz w:val="20"/>
                <w:szCs w:val="20"/>
              </w:rPr>
              <w:t>(N=210)</w:t>
            </w:r>
          </w:p>
        </w:tc>
      </w:tr>
      <w:tr w:rsidR="00F027B4" w:rsidRPr="00D518DD" w14:paraId="0F08D396" w14:textId="77777777" w:rsidTr="00F027B4">
        <w:tc>
          <w:tcPr>
            <w:tcW w:w="3227" w:type="dxa"/>
            <w:tcBorders>
              <w:top w:val="single" w:sz="4" w:space="0" w:color="auto"/>
              <w:left w:val="single" w:sz="4" w:space="0" w:color="auto"/>
              <w:bottom w:val="nil"/>
              <w:right w:val="single" w:sz="4" w:space="0" w:color="auto"/>
            </w:tcBorders>
            <w:shd w:val="clear" w:color="auto" w:fill="auto"/>
          </w:tcPr>
          <w:p w14:paraId="4F435B6E" w14:textId="77777777" w:rsidR="00F027B4" w:rsidRPr="00DD6785" w:rsidRDefault="00F027B4" w:rsidP="00F37C53">
            <w:pPr>
              <w:keepNext/>
              <w:autoSpaceDE/>
              <w:autoSpaceDN/>
              <w:adjustRightInd/>
              <w:jc w:val="right"/>
              <w:rPr>
                <w:rFonts w:ascii="Arial Narrow" w:hAnsi="Arial Narrow"/>
                <w:sz w:val="20"/>
              </w:rPr>
            </w:pPr>
            <w:r w:rsidRPr="00DD6785">
              <w:rPr>
                <w:rFonts w:ascii="Arial Narrow" w:hAnsi="Arial Narrow"/>
                <w:sz w:val="20"/>
              </w:rPr>
              <w:t xml:space="preserve">Overall Response </w:t>
            </w:r>
            <w:proofErr w:type="spellStart"/>
            <w:r w:rsidRPr="00DD6785">
              <w:rPr>
                <w:rFonts w:ascii="Arial Narrow" w:hAnsi="Arial Narrow"/>
                <w:sz w:val="20"/>
              </w:rPr>
              <w:t>Rate</w:t>
            </w:r>
            <w:r w:rsidRPr="00DD6785">
              <w:rPr>
                <w:rFonts w:ascii="Arial Narrow" w:hAnsi="Arial Narrow"/>
                <w:sz w:val="20"/>
                <w:vertAlign w:val="superscript"/>
              </w:rPr>
              <w:t>b</w:t>
            </w:r>
            <w:proofErr w:type="spellEnd"/>
            <w:r w:rsidRPr="00DD6785">
              <w:rPr>
                <w:rFonts w:ascii="Arial Narrow" w:hAnsi="Arial Narrow"/>
                <w:sz w:val="20"/>
              </w:rPr>
              <w:t xml:space="preserve"> % (95</w:t>
            </w:r>
            <w:r>
              <w:rPr>
                <w:rFonts w:ascii="Arial Narrow" w:hAnsi="Arial Narrow"/>
                <w:sz w:val="20"/>
              </w:rPr>
              <w:t xml:space="preserve"> </w:t>
            </w:r>
            <w:r w:rsidRPr="00DD6785">
              <w:rPr>
                <w:rFonts w:ascii="Arial Narrow" w:hAnsi="Arial Narrow"/>
                <w:sz w:val="20"/>
              </w:rPr>
              <w:t>% CI)</w:t>
            </w:r>
          </w:p>
        </w:tc>
        <w:tc>
          <w:tcPr>
            <w:tcW w:w="1559" w:type="dxa"/>
            <w:tcBorders>
              <w:top w:val="single" w:sz="4" w:space="0" w:color="auto"/>
              <w:left w:val="single" w:sz="4" w:space="0" w:color="auto"/>
              <w:bottom w:val="nil"/>
              <w:right w:val="nil"/>
            </w:tcBorders>
            <w:shd w:val="clear" w:color="auto" w:fill="auto"/>
          </w:tcPr>
          <w:p w14:paraId="66175A88" w14:textId="77777777" w:rsidR="00F027B4" w:rsidRPr="00944CD3" w:rsidRDefault="00F027B4" w:rsidP="00F37C53">
            <w:pPr>
              <w:keepNext/>
              <w:autoSpaceDE/>
              <w:autoSpaceDN/>
              <w:adjustRightInd/>
              <w:jc w:val="center"/>
              <w:rPr>
                <w:rFonts w:ascii="Arial Narrow" w:hAnsi="Arial Narrow"/>
                <w:sz w:val="22"/>
                <w:szCs w:val="22"/>
              </w:rPr>
            </w:pPr>
            <w:r w:rsidRPr="00944CD3">
              <w:rPr>
                <w:rFonts w:ascii="Arial Narrow" w:hAnsi="Arial Narrow"/>
                <w:sz w:val="22"/>
                <w:szCs w:val="22"/>
              </w:rPr>
              <w:t>67 (59.5,73.0)</w:t>
            </w:r>
          </w:p>
        </w:tc>
        <w:tc>
          <w:tcPr>
            <w:tcW w:w="1437" w:type="dxa"/>
            <w:tcBorders>
              <w:top w:val="single" w:sz="4" w:space="0" w:color="auto"/>
              <w:left w:val="nil"/>
              <w:bottom w:val="nil"/>
              <w:right w:val="single" w:sz="4" w:space="0" w:color="auto"/>
            </w:tcBorders>
            <w:shd w:val="clear" w:color="auto" w:fill="auto"/>
          </w:tcPr>
          <w:p w14:paraId="28F90FDD" w14:textId="77777777" w:rsidR="00F027B4" w:rsidRPr="00944CD3" w:rsidRDefault="00F027B4" w:rsidP="00F37C53">
            <w:pPr>
              <w:keepNext/>
              <w:autoSpaceDE/>
              <w:autoSpaceDN/>
              <w:adjustRightInd/>
              <w:jc w:val="center"/>
              <w:rPr>
                <w:rFonts w:ascii="Arial Narrow" w:hAnsi="Arial Narrow"/>
                <w:sz w:val="22"/>
                <w:szCs w:val="22"/>
              </w:rPr>
            </w:pPr>
            <w:r w:rsidRPr="00944CD3">
              <w:rPr>
                <w:rFonts w:ascii="Arial Narrow" w:hAnsi="Arial Narrow"/>
                <w:sz w:val="22"/>
                <w:szCs w:val="22"/>
              </w:rPr>
              <w:t>51 (44.5,58.4)</w:t>
            </w:r>
          </w:p>
        </w:tc>
        <w:tc>
          <w:tcPr>
            <w:tcW w:w="1559" w:type="dxa"/>
            <w:tcBorders>
              <w:top w:val="single" w:sz="4" w:space="0" w:color="auto"/>
              <w:left w:val="single" w:sz="4" w:space="0" w:color="auto"/>
              <w:bottom w:val="nil"/>
              <w:right w:val="nil"/>
            </w:tcBorders>
            <w:shd w:val="clear" w:color="auto" w:fill="auto"/>
          </w:tcPr>
          <w:p w14:paraId="75E25FCF" w14:textId="77777777" w:rsidR="00F027B4" w:rsidRPr="00944CD3" w:rsidRDefault="00F027B4" w:rsidP="00F37C53">
            <w:pPr>
              <w:keepNext/>
              <w:autoSpaceDE/>
              <w:autoSpaceDN/>
              <w:adjustRightInd/>
              <w:jc w:val="center"/>
              <w:rPr>
                <w:rFonts w:ascii="Arial Narrow" w:hAnsi="Arial Narrow"/>
                <w:sz w:val="22"/>
                <w:szCs w:val="22"/>
              </w:rPr>
            </w:pPr>
            <w:r w:rsidRPr="00944CD3">
              <w:rPr>
                <w:rFonts w:ascii="Arial Narrow" w:hAnsi="Arial Narrow"/>
                <w:sz w:val="22"/>
                <w:szCs w:val="22"/>
              </w:rPr>
              <w:t>69 (61.8, 74.8)</w:t>
            </w:r>
          </w:p>
        </w:tc>
        <w:tc>
          <w:tcPr>
            <w:tcW w:w="1418" w:type="dxa"/>
            <w:tcBorders>
              <w:top w:val="single" w:sz="4" w:space="0" w:color="auto"/>
              <w:left w:val="nil"/>
              <w:bottom w:val="nil"/>
              <w:right w:val="single" w:sz="4" w:space="0" w:color="auto"/>
            </w:tcBorders>
            <w:shd w:val="clear" w:color="auto" w:fill="auto"/>
          </w:tcPr>
          <w:p w14:paraId="08826FD4" w14:textId="77777777" w:rsidR="00F027B4" w:rsidRPr="00944CD3" w:rsidRDefault="00F027B4" w:rsidP="00F37C53">
            <w:pPr>
              <w:keepNext/>
              <w:autoSpaceDE/>
              <w:autoSpaceDN/>
              <w:adjustRightInd/>
              <w:jc w:val="center"/>
              <w:rPr>
                <w:rFonts w:ascii="Arial Narrow" w:hAnsi="Arial Narrow"/>
                <w:sz w:val="22"/>
                <w:szCs w:val="22"/>
              </w:rPr>
            </w:pPr>
            <w:r w:rsidRPr="00944CD3">
              <w:rPr>
                <w:rFonts w:ascii="Arial Narrow" w:hAnsi="Arial Narrow"/>
                <w:sz w:val="22"/>
                <w:szCs w:val="22"/>
              </w:rPr>
              <w:t>53 (46.3, 60.2)</w:t>
            </w:r>
          </w:p>
        </w:tc>
      </w:tr>
      <w:tr w:rsidR="00F027B4" w:rsidRPr="00D518DD" w14:paraId="3AFCFE6B" w14:textId="77777777" w:rsidTr="00F027B4">
        <w:tc>
          <w:tcPr>
            <w:tcW w:w="3227" w:type="dxa"/>
            <w:tcBorders>
              <w:top w:val="nil"/>
              <w:left w:val="single" w:sz="4" w:space="0" w:color="auto"/>
              <w:bottom w:val="nil"/>
              <w:right w:val="single" w:sz="4" w:space="0" w:color="auto"/>
            </w:tcBorders>
            <w:shd w:val="clear" w:color="auto" w:fill="auto"/>
          </w:tcPr>
          <w:p w14:paraId="60A9E47A" w14:textId="77777777" w:rsidR="00F027B4" w:rsidRPr="000F70F6" w:rsidRDefault="00F027B4" w:rsidP="00F37C53">
            <w:pPr>
              <w:keepNext/>
              <w:autoSpaceDE/>
              <w:autoSpaceDN/>
              <w:adjustRightInd/>
              <w:jc w:val="center"/>
              <w:rPr>
                <w:rFonts w:ascii="Arial Narrow" w:hAnsi="Arial Narrow" w:cs="Arial"/>
                <w:sz w:val="20"/>
                <w:szCs w:val="20"/>
              </w:rPr>
            </w:pPr>
            <w:r w:rsidRPr="000F70F6">
              <w:rPr>
                <w:rFonts w:ascii="Arial Narrow" w:hAnsi="Arial Narrow" w:cs="Arial"/>
                <w:sz w:val="20"/>
                <w:szCs w:val="20"/>
              </w:rPr>
              <w:t>% Difference in response rate (</w:t>
            </w:r>
            <w:proofErr w:type="spellStart"/>
            <w:r w:rsidRPr="000F70F6">
              <w:rPr>
                <w:rFonts w:ascii="Arial Narrow" w:hAnsi="Arial Narrow" w:cs="Arial"/>
                <w:sz w:val="20"/>
                <w:szCs w:val="20"/>
              </w:rPr>
              <w:t>CR</w:t>
            </w:r>
            <w:r w:rsidRPr="000F70F6">
              <w:rPr>
                <w:rFonts w:ascii="Arial Narrow" w:hAnsi="Arial Narrow" w:cs="Arial"/>
                <w:sz w:val="20"/>
                <w:szCs w:val="20"/>
                <w:vertAlign w:val="superscript"/>
              </w:rPr>
              <w:t>c</w:t>
            </w:r>
            <w:r w:rsidRPr="000F70F6">
              <w:rPr>
                <w:rFonts w:ascii="Arial Narrow" w:hAnsi="Arial Narrow" w:cs="Arial"/>
                <w:sz w:val="20"/>
                <w:szCs w:val="20"/>
              </w:rPr>
              <w:t>+PR</w:t>
            </w:r>
            <w:r w:rsidRPr="000F70F6">
              <w:rPr>
                <w:rFonts w:ascii="Arial Narrow" w:hAnsi="Arial Narrow" w:cs="Arial"/>
                <w:sz w:val="20"/>
                <w:szCs w:val="20"/>
                <w:vertAlign w:val="superscript"/>
              </w:rPr>
              <w:t>c</w:t>
            </w:r>
            <w:proofErr w:type="spellEnd"/>
            <w:r w:rsidRPr="000F70F6">
              <w:rPr>
                <w:rFonts w:ascii="Arial Narrow" w:hAnsi="Arial Narrow" w:cs="Arial"/>
                <w:sz w:val="20"/>
                <w:szCs w:val="20"/>
              </w:rPr>
              <w:t>)</w:t>
            </w:r>
          </w:p>
        </w:tc>
        <w:tc>
          <w:tcPr>
            <w:tcW w:w="2996" w:type="dxa"/>
            <w:gridSpan w:val="2"/>
            <w:tcBorders>
              <w:top w:val="nil"/>
              <w:left w:val="single" w:sz="4" w:space="0" w:color="auto"/>
              <w:bottom w:val="nil"/>
              <w:right w:val="single" w:sz="4" w:space="0" w:color="auto"/>
            </w:tcBorders>
            <w:shd w:val="clear" w:color="auto" w:fill="auto"/>
          </w:tcPr>
          <w:p w14:paraId="70AF04FE" w14:textId="77777777" w:rsidR="00F027B4" w:rsidRPr="00944CD3" w:rsidRDefault="00F027B4" w:rsidP="00F37C53">
            <w:pPr>
              <w:keepNext/>
              <w:autoSpaceDE/>
              <w:autoSpaceDN/>
              <w:adjustRightInd/>
              <w:jc w:val="center"/>
              <w:rPr>
                <w:rFonts w:ascii="Arial Narrow" w:hAnsi="Arial Narrow"/>
                <w:sz w:val="22"/>
                <w:szCs w:val="22"/>
                <w:vertAlign w:val="superscript"/>
              </w:rPr>
            </w:pPr>
            <w:r w:rsidRPr="00944CD3">
              <w:rPr>
                <w:rFonts w:ascii="Arial Narrow" w:hAnsi="Arial Narrow"/>
                <w:sz w:val="22"/>
                <w:szCs w:val="22"/>
              </w:rPr>
              <w:t>15</w:t>
            </w:r>
            <w:r w:rsidRPr="00944CD3">
              <w:rPr>
                <w:rFonts w:ascii="Arial Narrow" w:hAnsi="Arial Narrow"/>
                <w:sz w:val="22"/>
                <w:szCs w:val="22"/>
                <w:vertAlign w:val="superscript"/>
              </w:rPr>
              <w:t>d</w:t>
            </w:r>
          </w:p>
        </w:tc>
        <w:tc>
          <w:tcPr>
            <w:tcW w:w="2977" w:type="dxa"/>
            <w:gridSpan w:val="2"/>
            <w:tcBorders>
              <w:top w:val="nil"/>
              <w:left w:val="single" w:sz="4" w:space="0" w:color="auto"/>
              <w:bottom w:val="nil"/>
              <w:right w:val="single" w:sz="4" w:space="0" w:color="auto"/>
            </w:tcBorders>
            <w:shd w:val="clear" w:color="auto" w:fill="auto"/>
          </w:tcPr>
          <w:p w14:paraId="055F7AF7" w14:textId="77777777" w:rsidR="00F027B4" w:rsidRPr="00944CD3" w:rsidRDefault="00F027B4" w:rsidP="00F37C53">
            <w:pPr>
              <w:keepNext/>
              <w:autoSpaceDE/>
              <w:autoSpaceDN/>
              <w:adjustRightInd/>
              <w:jc w:val="center"/>
              <w:rPr>
                <w:rFonts w:ascii="Arial Narrow" w:hAnsi="Arial Narrow"/>
                <w:sz w:val="22"/>
                <w:szCs w:val="22"/>
                <w:vertAlign w:val="superscript"/>
              </w:rPr>
            </w:pPr>
            <w:r w:rsidRPr="00944CD3">
              <w:rPr>
                <w:rFonts w:ascii="Arial Narrow" w:hAnsi="Arial Narrow"/>
                <w:sz w:val="22"/>
                <w:szCs w:val="22"/>
              </w:rPr>
              <w:t>15</w:t>
            </w:r>
            <w:r w:rsidRPr="00944CD3">
              <w:rPr>
                <w:rFonts w:ascii="Arial Narrow" w:hAnsi="Arial Narrow"/>
                <w:sz w:val="22"/>
                <w:szCs w:val="22"/>
                <w:vertAlign w:val="superscript"/>
              </w:rPr>
              <w:t>d</w:t>
            </w:r>
          </w:p>
        </w:tc>
      </w:tr>
      <w:tr w:rsidR="00F027B4" w:rsidRPr="00D518DD" w14:paraId="164400D6" w14:textId="77777777" w:rsidTr="00F027B4">
        <w:tc>
          <w:tcPr>
            <w:tcW w:w="3227" w:type="dxa"/>
            <w:tcBorders>
              <w:top w:val="nil"/>
              <w:left w:val="single" w:sz="4" w:space="0" w:color="auto"/>
              <w:bottom w:val="nil"/>
              <w:right w:val="single" w:sz="4" w:space="0" w:color="auto"/>
            </w:tcBorders>
            <w:shd w:val="clear" w:color="auto" w:fill="auto"/>
          </w:tcPr>
          <w:p w14:paraId="16B91A8D" w14:textId="77777777" w:rsidR="00F027B4" w:rsidRPr="00DD6785" w:rsidRDefault="00F027B4" w:rsidP="00F37C53">
            <w:pPr>
              <w:keepNext/>
              <w:autoSpaceDE/>
              <w:autoSpaceDN/>
              <w:adjustRightInd/>
              <w:jc w:val="right"/>
              <w:rPr>
                <w:rFonts w:ascii="Arial Narrow" w:hAnsi="Arial Narrow"/>
                <w:sz w:val="20"/>
              </w:rPr>
            </w:pPr>
            <w:r w:rsidRPr="00DD6785">
              <w:rPr>
                <w:rFonts w:ascii="Arial Narrow" w:hAnsi="Arial Narrow"/>
                <w:sz w:val="20"/>
              </w:rPr>
              <w:t>95</w:t>
            </w:r>
            <w:r>
              <w:rPr>
                <w:rFonts w:ascii="Arial Narrow" w:hAnsi="Arial Narrow"/>
                <w:sz w:val="20"/>
              </w:rPr>
              <w:t xml:space="preserve"> </w:t>
            </w:r>
            <w:r w:rsidRPr="00DD6785">
              <w:rPr>
                <w:rFonts w:ascii="Arial Narrow" w:hAnsi="Arial Narrow"/>
                <w:sz w:val="20"/>
              </w:rPr>
              <w:t>% CI for difference</w:t>
            </w:r>
          </w:p>
        </w:tc>
        <w:tc>
          <w:tcPr>
            <w:tcW w:w="2996" w:type="dxa"/>
            <w:gridSpan w:val="2"/>
            <w:tcBorders>
              <w:top w:val="nil"/>
              <w:left w:val="single" w:sz="4" w:space="0" w:color="auto"/>
              <w:bottom w:val="nil"/>
              <w:right w:val="single" w:sz="4" w:space="0" w:color="auto"/>
            </w:tcBorders>
            <w:shd w:val="clear" w:color="auto" w:fill="auto"/>
          </w:tcPr>
          <w:p w14:paraId="563C583B" w14:textId="77777777" w:rsidR="00F027B4" w:rsidRPr="00944CD3" w:rsidRDefault="00F027B4" w:rsidP="00F37C53">
            <w:pPr>
              <w:keepNext/>
              <w:autoSpaceDE/>
              <w:autoSpaceDN/>
              <w:adjustRightInd/>
              <w:jc w:val="center"/>
              <w:rPr>
                <w:rFonts w:ascii="Arial Narrow" w:hAnsi="Arial Narrow"/>
                <w:sz w:val="22"/>
                <w:szCs w:val="22"/>
              </w:rPr>
            </w:pPr>
            <w:r w:rsidRPr="00944CD3">
              <w:rPr>
                <w:rFonts w:ascii="Arial Narrow" w:hAnsi="Arial Narrow"/>
                <w:sz w:val="22"/>
                <w:szCs w:val="22"/>
              </w:rPr>
              <w:t>(5.9, 24.5)</w:t>
            </w:r>
          </w:p>
        </w:tc>
        <w:tc>
          <w:tcPr>
            <w:tcW w:w="2977" w:type="dxa"/>
            <w:gridSpan w:val="2"/>
            <w:tcBorders>
              <w:top w:val="nil"/>
              <w:left w:val="single" w:sz="4" w:space="0" w:color="auto"/>
              <w:bottom w:val="nil"/>
              <w:right w:val="single" w:sz="4" w:space="0" w:color="auto"/>
            </w:tcBorders>
            <w:shd w:val="clear" w:color="auto" w:fill="auto"/>
          </w:tcPr>
          <w:p w14:paraId="6411B46F" w14:textId="77777777" w:rsidR="00F027B4" w:rsidRPr="00944CD3" w:rsidRDefault="00F027B4" w:rsidP="00F37C53">
            <w:pPr>
              <w:keepNext/>
              <w:autoSpaceDE/>
              <w:autoSpaceDN/>
              <w:adjustRightInd/>
              <w:jc w:val="center"/>
              <w:rPr>
                <w:rFonts w:ascii="Arial Narrow" w:hAnsi="Arial Narrow"/>
                <w:sz w:val="22"/>
                <w:szCs w:val="22"/>
              </w:rPr>
            </w:pPr>
            <w:r w:rsidRPr="00944CD3">
              <w:rPr>
                <w:rFonts w:ascii="Arial Narrow" w:hAnsi="Arial Narrow"/>
                <w:sz w:val="22"/>
                <w:szCs w:val="22"/>
              </w:rPr>
              <w:t>(6.0, 24.5)</w:t>
            </w:r>
          </w:p>
        </w:tc>
      </w:tr>
      <w:tr w:rsidR="00F027B4" w:rsidRPr="00D518DD" w14:paraId="711E03DE" w14:textId="77777777" w:rsidTr="00F027B4">
        <w:tc>
          <w:tcPr>
            <w:tcW w:w="3227" w:type="dxa"/>
            <w:tcBorders>
              <w:top w:val="nil"/>
              <w:left w:val="single" w:sz="4" w:space="0" w:color="auto"/>
              <w:bottom w:val="nil"/>
              <w:right w:val="single" w:sz="4" w:space="0" w:color="auto"/>
            </w:tcBorders>
            <w:shd w:val="clear" w:color="auto" w:fill="auto"/>
          </w:tcPr>
          <w:p w14:paraId="49E0C48B" w14:textId="77777777" w:rsidR="00F027B4" w:rsidRPr="00DD6785" w:rsidRDefault="00F027B4" w:rsidP="00F37C53">
            <w:pPr>
              <w:keepNext/>
              <w:autoSpaceDE/>
              <w:autoSpaceDN/>
              <w:adjustRightInd/>
              <w:jc w:val="right"/>
              <w:rPr>
                <w:rFonts w:ascii="Arial Narrow" w:hAnsi="Arial Narrow"/>
                <w:sz w:val="20"/>
              </w:rPr>
            </w:pPr>
            <w:r w:rsidRPr="00DD6785">
              <w:rPr>
                <w:rFonts w:ascii="Arial Narrow" w:hAnsi="Arial Narrow"/>
                <w:sz w:val="20"/>
              </w:rPr>
              <w:t>p value</w:t>
            </w:r>
          </w:p>
        </w:tc>
        <w:tc>
          <w:tcPr>
            <w:tcW w:w="2996" w:type="dxa"/>
            <w:gridSpan w:val="2"/>
            <w:tcBorders>
              <w:top w:val="nil"/>
              <w:left w:val="single" w:sz="4" w:space="0" w:color="auto"/>
              <w:bottom w:val="nil"/>
              <w:right w:val="single" w:sz="4" w:space="0" w:color="auto"/>
            </w:tcBorders>
            <w:shd w:val="clear" w:color="auto" w:fill="auto"/>
          </w:tcPr>
          <w:p w14:paraId="4EE0E82E" w14:textId="77777777" w:rsidR="00F027B4" w:rsidRPr="00944CD3" w:rsidRDefault="00F027B4" w:rsidP="00F37C53">
            <w:pPr>
              <w:keepNext/>
              <w:autoSpaceDE/>
              <w:autoSpaceDN/>
              <w:adjustRightInd/>
              <w:jc w:val="center"/>
              <w:rPr>
                <w:rFonts w:ascii="Arial Narrow" w:hAnsi="Arial Narrow"/>
                <w:sz w:val="22"/>
                <w:szCs w:val="22"/>
              </w:rPr>
            </w:pPr>
            <w:r w:rsidRPr="00944CD3">
              <w:rPr>
                <w:rFonts w:ascii="Arial Narrow" w:hAnsi="Arial Narrow"/>
                <w:sz w:val="22"/>
                <w:szCs w:val="22"/>
              </w:rPr>
              <w:t>0.0014</w:t>
            </w:r>
          </w:p>
        </w:tc>
        <w:tc>
          <w:tcPr>
            <w:tcW w:w="2977" w:type="dxa"/>
            <w:gridSpan w:val="2"/>
            <w:tcBorders>
              <w:top w:val="nil"/>
              <w:left w:val="single" w:sz="4" w:space="0" w:color="auto"/>
              <w:bottom w:val="nil"/>
              <w:right w:val="single" w:sz="4" w:space="0" w:color="auto"/>
            </w:tcBorders>
            <w:shd w:val="clear" w:color="auto" w:fill="auto"/>
          </w:tcPr>
          <w:p w14:paraId="253804D4" w14:textId="77777777" w:rsidR="00F027B4" w:rsidRPr="00944CD3" w:rsidRDefault="00F027B4" w:rsidP="00F37C53">
            <w:pPr>
              <w:keepNext/>
              <w:autoSpaceDE/>
              <w:autoSpaceDN/>
              <w:adjustRightInd/>
              <w:jc w:val="center"/>
              <w:rPr>
                <w:rFonts w:ascii="Arial Narrow" w:hAnsi="Arial Narrow"/>
                <w:sz w:val="22"/>
                <w:szCs w:val="22"/>
              </w:rPr>
            </w:pPr>
            <w:r w:rsidRPr="00944CD3">
              <w:rPr>
                <w:rFonts w:ascii="Arial Narrow" w:hAnsi="Arial Narrow"/>
                <w:sz w:val="22"/>
                <w:szCs w:val="22"/>
              </w:rPr>
              <w:t>0.0014</w:t>
            </w:r>
          </w:p>
        </w:tc>
      </w:tr>
      <w:tr w:rsidR="00F027B4" w:rsidRPr="00D518DD" w14:paraId="505DA399" w14:textId="77777777" w:rsidTr="00F027B4">
        <w:tc>
          <w:tcPr>
            <w:tcW w:w="3227" w:type="dxa"/>
            <w:tcBorders>
              <w:top w:val="nil"/>
              <w:left w:val="single" w:sz="4" w:space="0" w:color="auto"/>
              <w:bottom w:val="single" w:sz="4" w:space="0" w:color="auto"/>
              <w:right w:val="single" w:sz="4" w:space="0" w:color="auto"/>
            </w:tcBorders>
            <w:shd w:val="clear" w:color="auto" w:fill="auto"/>
          </w:tcPr>
          <w:p w14:paraId="273DD56D" w14:textId="77777777" w:rsidR="00F027B4" w:rsidRPr="00DD6785" w:rsidRDefault="00F027B4" w:rsidP="00F37C53">
            <w:pPr>
              <w:keepNext/>
              <w:autoSpaceDE/>
              <w:autoSpaceDN/>
              <w:adjustRightInd/>
              <w:jc w:val="right"/>
              <w:rPr>
                <w:rFonts w:ascii="Arial Narrow" w:hAnsi="Arial Narrow"/>
                <w:sz w:val="20"/>
              </w:rPr>
            </w:pPr>
            <w:r w:rsidRPr="00DD6785">
              <w:rPr>
                <w:rFonts w:ascii="Arial Narrow" w:hAnsi="Arial Narrow"/>
                <w:sz w:val="20"/>
              </w:rPr>
              <w:t>Median duration of response (months) (95 % CI)</w:t>
            </w:r>
          </w:p>
        </w:tc>
        <w:tc>
          <w:tcPr>
            <w:tcW w:w="1559" w:type="dxa"/>
            <w:tcBorders>
              <w:top w:val="nil"/>
              <w:left w:val="single" w:sz="4" w:space="0" w:color="auto"/>
              <w:bottom w:val="single" w:sz="4" w:space="0" w:color="auto"/>
              <w:right w:val="nil"/>
            </w:tcBorders>
            <w:shd w:val="clear" w:color="auto" w:fill="auto"/>
          </w:tcPr>
          <w:p w14:paraId="0A31729F" w14:textId="77777777" w:rsidR="00F027B4" w:rsidRPr="00944CD3" w:rsidRDefault="00F027B4" w:rsidP="00F37C53">
            <w:pPr>
              <w:keepNext/>
              <w:autoSpaceDE/>
              <w:autoSpaceDN/>
              <w:adjustRightInd/>
              <w:jc w:val="center"/>
              <w:rPr>
                <w:rFonts w:ascii="Arial Narrow" w:hAnsi="Arial Narrow"/>
                <w:sz w:val="22"/>
                <w:szCs w:val="22"/>
              </w:rPr>
            </w:pPr>
            <w:r w:rsidRPr="00944CD3">
              <w:rPr>
                <w:rFonts w:ascii="Arial Narrow" w:hAnsi="Arial Narrow"/>
                <w:sz w:val="22"/>
                <w:szCs w:val="22"/>
              </w:rPr>
              <w:t>9.2</w:t>
            </w:r>
            <w:r w:rsidRPr="00944CD3">
              <w:rPr>
                <w:rFonts w:ascii="Arial Narrow" w:hAnsi="Arial Narrow"/>
                <w:sz w:val="22"/>
                <w:szCs w:val="22"/>
                <w:vertAlign w:val="superscript"/>
              </w:rPr>
              <w:t xml:space="preserve">e </w:t>
            </w:r>
            <w:r w:rsidRPr="00944CD3">
              <w:rPr>
                <w:rFonts w:ascii="Arial Narrow" w:hAnsi="Arial Narrow"/>
                <w:sz w:val="22"/>
                <w:szCs w:val="22"/>
              </w:rPr>
              <w:t>(7.4, NR)</w:t>
            </w:r>
          </w:p>
        </w:tc>
        <w:tc>
          <w:tcPr>
            <w:tcW w:w="1437" w:type="dxa"/>
            <w:tcBorders>
              <w:top w:val="nil"/>
              <w:left w:val="nil"/>
              <w:bottom w:val="single" w:sz="4" w:space="0" w:color="auto"/>
              <w:right w:val="single" w:sz="4" w:space="0" w:color="auto"/>
            </w:tcBorders>
            <w:shd w:val="clear" w:color="auto" w:fill="auto"/>
          </w:tcPr>
          <w:p w14:paraId="2606F4D6" w14:textId="77777777" w:rsidR="00F027B4" w:rsidRPr="00944CD3" w:rsidRDefault="00F027B4" w:rsidP="00F37C53">
            <w:pPr>
              <w:keepNext/>
              <w:autoSpaceDE/>
              <w:autoSpaceDN/>
              <w:adjustRightInd/>
              <w:rPr>
                <w:rFonts w:ascii="Arial Narrow" w:hAnsi="Arial Narrow"/>
                <w:sz w:val="22"/>
                <w:szCs w:val="22"/>
              </w:rPr>
            </w:pPr>
            <w:r w:rsidRPr="00944CD3">
              <w:rPr>
                <w:rFonts w:ascii="Arial Narrow" w:hAnsi="Arial Narrow"/>
                <w:sz w:val="22"/>
                <w:szCs w:val="22"/>
              </w:rPr>
              <w:t>10.2</w:t>
            </w:r>
            <w:r w:rsidRPr="00944CD3">
              <w:rPr>
                <w:rFonts w:ascii="Arial Narrow" w:hAnsi="Arial Narrow"/>
                <w:sz w:val="22"/>
                <w:szCs w:val="22"/>
                <w:vertAlign w:val="superscript"/>
              </w:rPr>
              <w:t xml:space="preserve">e </w:t>
            </w:r>
            <w:r w:rsidRPr="00944CD3">
              <w:rPr>
                <w:rFonts w:ascii="Arial Narrow" w:hAnsi="Arial Narrow"/>
                <w:sz w:val="22"/>
                <w:szCs w:val="22"/>
              </w:rPr>
              <w:t>(7.5, NR)</w:t>
            </w:r>
          </w:p>
        </w:tc>
        <w:tc>
          <w:tcPr>
            <w:tcW w:w="1559" w:type="dxa"/>
            <w:tcBorders>
              <w:top w:val="nil"/>
              <w:left w:val="single" w:sz="4" w:space="0" w:color="auto"/>
              <w:bottom w:val="single" w:sz="4" w:space="0" w:color="auto"/>
              <w:right w:val="nil"/>
            </w:tcBorders>
            <w:shd w:val="clear" w:color="auto" w:fill="auto"/>
          </w:tcPr>
          <w:p w14:paraId="73EB7C9F" w14:textId="77777777" w:rsidR="00F027B4" w:rsidRPr="00944CD3" w:rsidRDefault="00F027B4" w:rsidP="00F37C53">
            <w:pPr>
              <w:keepNext/>
              <w:autoSpaceDE/>
              <w:autoSpaceDN/>
              <w:adjustRightInd/>
              <w:jc w:val="center"/>
              <w:rPr>
                <w:rFonts w:ascii="Arial Narrow" w:hAnsi="Arial Narrow"/>
                <w:sz w:val="22"/>
                <w:szCs w:val="22"/>
              </w:rPr>
            </w:pPr>
            <w:r w:rsidRPr="00944CD3">
              <w:rPr>
                <w:rFonts w:ascii="Arial Narrow" w:hAnsi="Arial Narrow"/>
                <w:sz w:val="22"/>
                <w:szCs w:val="22"/>
              </w:rPr>
              <w:t>12.9 (9.4, 19.5)</w:t>
            </w:r>
          </w:p>
        </w:tc>
        <w:tc>
          <w:tcPr>
            <w:tcW w:w="1418" w:type="dxa"/>
            <w:tcBorders>
              <w:top w:val="nil"/>
              <w:left w:val="nil"/>
              <w:bottom w:val="single" w:sz="4" w:space="0" w:color="auto"/>
              <w:right w:val="single" w:sz="4" w:space="0" w:color="auto"/>
            </w:tcBorders>
            <w:shd w:val="clear" w:color="auto" w:fill="auto"/>
          </w:tcPr>
          <w:p w14:paraId="2C18D986" w14:textId="77777777" w:rsidR="00F027B4" w:rsidRPr="00944CD3" w:rsidRDefault="00F027B4" w:rsidP="00F37C53">
            <w:pPr>
              <w:keepNext/>
              <w:autoSpaceDE/>
              <w:autoSpaceDN/>
              <w:adjustRightInd/>
              <w:jc w:val="center"/>
              <w:rPr>
                <w:rFonts w:ascii="Arial Narrow" w:hAnsi="Arial Narrow"/>
                <w:sz w:val="22"/>
                <w:szCs w:val="22"/>
              </w:rPr>
            </w:pPr>
            <w:r w:rsidRPr="00944CD3">
              <w:rPr>
                <w:rFonts w:ascii="Arial Narrow" w:hAnsi="Arial Narrow"/>
                <w:sz w:val="22"/>
                <w:szCs w:val="22"/>
              </w:rPr>
              <w:t>10.6 (9.1,13.8)</w:t>
            </w:r>
          </w:p>
        </w:tc>
      </w:tr>
    </w:tbl>
    <w:p w14:paraId="64E0FED6" w14:textId="78680186" w:rsidR="0088047D" w:rsidRPr="00DD6785" w:rsidRDefault="0088047D" w:rsidP="00BF5438">
      <w:pPr>
        <w:pStyle w:val="Title"/>
        <w:widowControl w:val="0"/>
        <w:ind w:left="720"/>
        <w:rPr>
          <w:b w:val="0"/>
          <w:sz w:val="18"/>
        </w:rPr>
      </w:pPr>
      <w:r w:rsidRPr="00DD6785">
        <w:rPr>
          <w:b w:val="0"/>
          <w:sz w:val="18"/>
        </w:rPr>
        <w:t>*Primary data cut: 26 August 2013, Final data cut: 12 January 2015</w:t>
      </w:r>
    </w:p>
    <w:p w14:paraId="269D3B19" w14:textId="77777777" w:rsidR="0088047D" w:rsidRPr="000F70F6" w:rsidRDefault="0088047D" w:rsidP="00BF5438">
      <w:pPr>
        <w:widowControl w:val="0"/>
        <w:autoSpaceDE/>
        <w:autoSpaceDN/>
        <w:adjustRightInd/>
        <w:spacing w:after="0" w:line="240" w:lineRule="auto"/>
        <w:ind w:left="720"/>
        <w:rPr>
          <w:rFonts w:ascii="Arial" w:hAnsi="Arial" w:cs="Arial"/>
          <w:sz w:val="18"/>
          <w:szCs w:val="18"/>
        </w:rPr>
      </w:pPr>
      <w:proofErr w:type="gramStart"/>
      <w:r w:rsidRPr="000F70F6">
        <w:rPr>
          <w:rFonts w:ascii="Arial" w:hAnsi="Arial" w:cs="Arial"/>
          <w:sz w:val="18"/>
          <w:szCs w:val="18"/>
          <w:vertAlign w:val="superscript"/>
        </w:rPr>
        <w:t>a</w:t>
      </w:r>
      <w:proofErr w:type="gramEnd"/>
      <w:r w:rsidRPr="000F70F6">
        <w:rPr>
          <w:rFonts w:ascii="Arial" w:hAnsi="Arial" w:cs="Arial"/>
          <w:sz w:val="18"/>
          <w:szCs w:val="18"/>
        </w:rPr>
        <w:t xml:space="preserve"> Confidence interval</w:t>
      </w:r>
    </w:p>
    <w:p w14:paraId="78F10260" w14:textId="77777777" w:rsidR="0088047D" w:rsidRPr="000F70F6" w:rsidRDefault="0088047D" w:rsidP="00BF5438">
      <w:pPr>
        <w:widowControl w:val="0"/>
        <w:autoSpaceDE/>
        <w:autoSpaceDN/>
        <w:adjustRightInd/>
        <w:spacing w:after="0" w:line="240" w:lineRule="auto"/>
        <w:ind w:left="720"/>
        <w:rPr>
          <w:rFonts w:ascii="Arial" w:hAnsi="Arial" w:cs="Arial"/>
          <w:sz w:val="18"/>
          <w:szCs w:val="18"/>
        </w:rPr>
      </w:pPr>
      <w:proofErr w:type="gramStart"/>
      <w:r w:rsidRPr="000F70F6">
        <w:rPr>
          <w:rFonts w:ascii="Arial" w:hAnsi="Arial" w:cs="Arial"/>
          <w:sz w:val="18"/>
          <w:szCs w:val="18"/>
          <w:vertAlign w:val="superscript"/>
        </w:rPr>
        <w:t>b</w:t>
      </w:r>
      <w:proofErr w:type="gramEnd"/>
      <w:r w:rsidRPr="000F70F6">
        <w:rPr>
          <w:rFonts w:ascii="Arial" w:hAnsi="Arial" w:cs="Arial"/>
          <w:sz w:val="18"/>
          <w:szCs w:val="18"/>
        </w:rPr>
        <w:t xml:space="preserve"> Overall Response Rate = Complete Response + Partial Response</w:t>
      </w:r>
    </w:p>
    <w:p w14:paraId="50F503FA" w14:textId="77777777" w:rsidR="0088047D" w:rsidRPr="000F70F6" w:rsidRDefault="0088047D" w:rsidP="00BF5438">
      <w:pPr>
        <w:widowControl w:val="0"/>
        <w:autoSpaceDE/>
        <w:autoSpaceDN/>
        <w:adjustRightInd/>
        <w:spacing w:after="0" w:line="240" w:lineRule="auto"/>
        <w:ind w:left="720"/>
        <w:rPr>
          <w:rFonts w:ascii="Arial" w:hAnsi="Arial" w:cs="Arial"/>
          <w:sz w:val="18"/>
          <w:szCs w:val="18"/>
        </w:rPr>
      </w:pPr>
      <w:proofErr w:type="gramStart"/>
      <w:r w:rsidRPr="000F70F6">
        <w:rPr>
          <w:rFonts w:ascii="Arial" w:hAnsi="Arial" w:cs="Arial"/>
          <w:sz w:val="18"/>
          <w:szCs w:val="18"/>
          <w:vertAlign w:val="superscript"/>
        </w:rPr>
        <w:t>c</w:t>
      </w:r>
      <w:proofErr w:type="gramEnd"/>
      <w:r w:rsidRPr="000F70F6">
        <w:rPr>
          <w:rFonts w:ascii="Arial" w:hAnsi="Arial" w:cs="Arial"/>
          <w:sz w:val="18"/>
          <w:szCs w:val="18"/>
        </w:rPr>
        <w:t xml:space="preserve"> CR: Complete Response, PR: Partial Response</w:t>
      </w:r>
    </w:p>
    <w:p w14:paraId="62A66543" w14:textId="77777777" w:rsidR="0088047D" w:rsidRPr="000F70F6" w:rsidRDefault="0088047D" w:rsidP="00BF5438">
      <w:pPr>
        <w:widowControl w:val="0"/>
        <w:autoSpaceDE/>
        <w:autoSpaceDN/>
        <w:adjustRightInd/>
        <w:spacing w:after="0" w:line="240" w:lineRule="auto"/>
        <w:ind w:left="720"/>
        <w:rPr>
          <w:rFonts w:ascii="Arial" w:hAnsi="Arial" w:cs="Arial"/>
          <w:sz w:val="18"/>
          <w:szCs w:val="18"/>
        </w:rPr>
      </w:pPr>
      <w:proofErr w:type="gramStart"/>
      <w:r w:rsidRPr="000F70F6">
        <w:rPr>
          <w:rFonts w:ascii="Arial" w:hAnsi="Arial" w:cs="Arial"/>
          <w:sz w:val="18"/>
          <w:szCs w:val="18"/>
          <w:vertAlign w:val="superscript"/>
        </w:rPr>
        <w:t>d</w:t>
      </w:r>
      <w:proofErr w:type="gramEnd"/>
      <w:r w:rsidRPr="000F70F6">
        <w:rPr>
          <w:rFonts w:ascii="Arial" w:hAnsi="Arial" w:cs="Arial"/>
          <w:sz w:val="18"/>
          <w:szCs w:val="18"/>
        </w:rPr>
        <w:t xml:space="preserve"> ORR difference calculated based on the ORR result not rounded</w:t>
      </w:r>
    </w:p>
    <w:p w14:paraId="24879435" w14:textId="77777777" w:rsidR="0088047D" w:rsidRPr="000F70F6" w:rsidRDefault="0088047D" w:rsidP="00BF5438">
      <w:pPr>
        <w:widowControl w:val="0"/>
        <w:autoSpaceDE/>
        <w:autoSpaceDN/>
        <w:adjustRightInd/>
        <w:spacing w:after="0" w:line="240" w:lineRule="auto"/>
        <w:ind w:left="720"/>
        <w:rPr>
          <w:rFonts w:ascii="Arial" w:hAnsi="Arial" w:cs="Arial"/>
          <w:sz w:val="18"/>
          <w:szCs w:val="18"/>
        </w:rPr>
      </w:pPr>
      <w:proofErr w:type="gramStart"/>
      <w:r w:rsidRPr="000F70F6">
        <w:rPr>
          <w:rFonts w:ascii="Arial" w:hAnsi="Arial" w:cs="Arial"/>
          <w:sz w:val="18"/>
          <w:szCs w:val="18"/>
          <w:vertAlign w:val="superscript"/>
        </w:rPr>
        <w:t>e</w:t>
      </w:r>
      <w:proofErr w:type="gramEnd"/>
      <w:r>
        <w:rPr>
          <w:rFonts w:ascii="Arial" w:hAnsi="Arial" w:cs="Arial"/>
          <w:sz w:val="18"/>
          <w:szCs w:val="18"/>
          <w:vertAlign w:val="superscript"/>
        </w:rPr>
        <w:t xml:space="preserve"> </w:t>
      </w:r>
      <w:r w:rsidRPr="000F70F6">
        <w:rPr>
          <w:rFonts w:ascii="Arial" w:hAnsi="Arial" w:cs="Arial"/>
          <w:sz w:val="18"/>
          <w:szCs w:val="18"/>
        </w:rPr>
        <w:t>At the time of the reporting the majority (≥</w:t>
      </w:r>
      <w:r>
        <w:rPr>
          <w:rFonts w:ascii="Arial" w:hAnsi="Arial" w:cs="Arial"/>
          <w:sz w:val="18"/>
          <w:szCs w:val="18"/>
        </w:rPr>
        <w:t xml:space="preserve"> </w:t>
      </w:r>
      <w:r w:rsidRPr="000F70F6">
        <w:rPr>
          <w:rFonts w:ascii="Arial" w:hAnsi="Arial" w:cs="Arial"/>
          <w:sz w:val="18"/>
          <w:szCs w:val="18"/>
        </w:rPr>
        <w:t>59</w:t>
      </w:r>
      <w:r>
        <w:rPr>
          <w:rFonts w:ascii="Arial" w:hAnsi="Arial" w:cs="Arial"/>
          <w:sz w:val="18"/>
          <w:szCs w:val="18"/>
        </w:rPr>
        <w:t xml:space="preserve"> </w:t>
      </w:r>
      <w:r w:rsidRPr="000F70F6">
        <w:rPr>
          <w:rFonts w:ascii="Arial" w:hAnsi="Arial" w:cs="Arial"/>
          <w:sz w:val="18"/>
          <w:szCs w:val="18"/>
        </w:rPr>
        <w:t>%) of investigator-assessed responses were still ongoing</w:t>
      </w:r>
    </w:p>
    <w:p w14:paraId="004D7911" w14:textId="77777777" w:rsidR="0088047D" w:rsidRPr="000F70F6" w:rsidRDefault="0088047D" w:rsidP="00BF5438">
      <w:pPr>
        <w:widowControl w:val="0"/>
        <w:autoSpaceDE/>
        <w:autoSpaceDN/>
        <w:adjustRightInd/>
        <w:spacing w:after="0" w:line="240" w:lineRule="auto"/>
        <w:ind w:left="720"/>
        <w:rPr>
          <w:rFonts w:ascii="Arial" w:hAnsi="Arial" w:cs="Arial"/>
          <w:sz w:val="18"/>
          <w:szCs w:val="18"/>
        </w:rPr>
      </w:pPr>
      <w:r w:rsidRPr="000F70F6">
        <w:rPr>
          <w:rFonts w:ascii="Arial" w:hAnsi="Arial" w:cs="Arial"/>
          <w:sz w:val="18"/>
          <w:szCs w:val="18"/>
        </w:rPr>
        <w:t>NR = Not reached</w:t>
      </w:r>
    </w:p>
    <w:p w14:paraId="6B6902DD" w14:textId="09F2AF65" w:rsidR="0088047D" w:rsidRDefault="0088047D" w:rsidP="0088047D">
      <w:pPr>
        <w:pStyle w:val="Title"/>
        <w:keepNext/>
        <w:ind w:left="720"/>
      </w:pPr>
      <w:r>
        <w:lastRenderedPageBreak/>
        <w:t>Figure 4</w:t>
      </w:r>
      <w:r>
        <w:tab/>
        <w:t>Kaplan-Meier Overall Survival Curves (</w:t>
      </w:r>
      <w:r w:rsidR="00CF489D">
        <w:t xml:space="preserve">Combi-d </w:t>
      </w:r>
      <w:r>
        <w:t>ITT Population)</w:t>
      </w:r>
    </w:p>
    <w:p w14:paraId="369FB9D8" w14:textId="77777777" w:rsidR="0088047D" w:rsidRDefault="0088047D" w:rsidP="0088047D">
      <w:pPr>
        <w:ind w:left="720"/>
      </w:pPr>
      <w:r w:rsidRPr="00131CDA">
        <w:rPr>
          <w:noProof/>
        </w:rPr>
        <w:drawing>
          <wp:inline distT="0" distB="0" distL="0" distR="0" wp14:anchorId="25AB0377" wp14:editId="203C24A3">
            <wp:extent cx="5643762" cy="3283334"/>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rotWithShape="1">
                    <a:blip r:embed="rId20">
                      <a:extLst>
                        <a:ext uri="{28A0092B-C50C-407E-A947-70E740481C1C}">
                          <a14:useLocalDpi xmlns:a14="http://schemas.microsoft.com/office/drawing/2010/main" val="0"/>
                        </a:ext>
                      </a:extLst>
                    </a:blip>
                    <a:srcRect l="-1" t="3333" r="848"/>
                    <a:stretch/>
                  </pic:blipFill>
                  <pic:spPr bwMode="auto">
                    <a:xfrm>
                      <a:off x="0" y="0"/>
                      <a:ext cx="5656853" cy="3290950"/>
                    </a:xfrm>
                    <a:prstGeom prst="rect">
                      <a:avLst/>
                    </a:prstGeom>
                    <a:noFill/>
                    <a:ln>
                      <a:noFill/>
                    </a:ln>
                    <a:extLst>
                      <a:ext uri="{53640926-AAD7-44D8-BBD7-CCE9431645EC}">
                        <a14:shadowObscured xmlns:a14="http://schemas.microsoft.com/office/drawing/2010/main"/>
                      </a:ext>
                    </a:extLst>
                  </pic:spPr>
                </pic:pic>
              </a:graphicData>
            </a:graphic>
          </wp:inline>
        </w:drawing>
      </w:r>
    </w:p>
    <w:p w14:paraId="5ABE89F9" w14:textId="5013C752" w:rsidR="00A454BA" w:rsidRPr="00676700" w:rsidRDefault="00A454BA" w:rsidP="005A68C3">
      <w:pPr>
        <w:keepNext/>
        <w:keepLines/>
        <w:tabs>
          <w:tab w:val="left" w:pos="567"/>
        </w:tabs>
        <w:autoSpaceDE/>
        <w:autoSpaceDN/>
        <w:adjustRightInd/>
        <w:spacing w:line="240" w:lineRule="auto"/>
        <w:ind w:left="720"/>
        <w:outlineLvl w:val="1"/>
        <w:rPr>
          <w:i/>
          <w:lang w:eastAsia="en-US"/>
        </w:rPr>
      </w:pPr>
      <w:r w:rsidRPr="00676700">
        <w:rPr>
          <w:i/>
          <w:lang w:eastAsia="en-US"/>
        </w:rPr>
        <w:t>Adjuvant treatment of melanoma</w:t>
      </w:r>
    </w:p>
    <w:p w14:paraId="5ABFFFA1" w14:textId="77777777" w:rsidR="00A454BA" w:rsidRPr="00676700" w:rsidRDefault="00A454BA" w:rsidP="00A454BA">
      <w:pPr>
        <w:ind w:left="720"/>
        <w:rPr>
          <w:u w:val="single"/>
        </w:rPr>
      </w:pPr>
      <w:r w:rsidRPr="00676700">
        <w:rPr>
          <w:u w:val="single"/>
        </w:rPr>
        <w:t>Study BRF115532 / CDRB436F2301 (COMBI-AD)</w:t>
      </w:r>
    </w:p>
    <w:p w14:paraId="12BEAC17" w14:textId="38CFD4F1" w:rsidR="00A454BA" w:rsidRDefault="00A454BA" w:rsidP="00A454BA">
      <w:pPr>
        <w:ind w:left="720"/>
      </w:pPr>
      <w:r>
        <w:t>The efficacy and safety of Tafinlar in combination with Mekinist was studied in a Phase III, multicentre, randomized, double-blind, placebo-controlled study in patients with Stage III melanoma with a BRAF V600 mutation, following complete resection.</w:t>
      </w:r>
    </w:p>
    <w:p w14:paraId="37DCB7B6" w14:textId="6CCE1DEF" w:rsidR="00A454BA" w:rsidRDefault="00A454BA" w:rsidP="00A454BA">
      <w:pPr>
        <w:ind w:left="720"/>
      </w:pPr>
      <w:r>
        <w:t xml:space="preserve">Patients were randomized 1:1 to receive either dabrafenib and trametinib combination therapy (Tafinlar 150 mg twice daily and Mekinist 2 mg once daily) or two placebos for a period of 12 months. </w:t>
      </w:r>
      <w:r w:rsidR="000826C7">
        <w:t>Enrolment</w:t>
      </w:r>
      <w:r>
        <w:t xml:space="preserve"> required complete resection of melanoma with complete lymphadenectomy within 12 weeks prior to randomization. Any prior systemic anticancer treatment, including radiotherapy, was not allowed. Patients with a history of prior malignancy, if disease free for at least 5 years, were eligible. Patients presenting with malignancies with confirmed activating RAS mutations were not eligible. Patients were stratified by BRAF mutation status (V600E or V600K) and stage of disease prior to surgery (by Stage III sub-stage, indicating different levels of lymph node involvement and primary </w:t>
      </w:r>
      <w:r w:rsidR="000826C7">
        <w:t>tumour</w:t>
      </w:r>
      <w:r>
        <w:t xml:space="preserve"> size and ulceration). The primary endpoint was investigator-assessed relapse-free survival (RFS), defined as the time from randomization to disease recurrence or death from any cause. Radiological </w:t>
      </w:r>
      <w:r w:rsidR="000826C7">
        <w:t>tumour</w:t>
      </w:r>
      <w:r>
        <w:t xml:space="preserve"> assessment was conducted every 3 months for the first two years and every 6 months thereafter, until first relapse was observed. Secondary endpoints include overall survival (OS; key secondary endpoint) and distant metastasis-free survival (DMFS).</w:t>
      </w:r>
    </w:p>
    <w:p w14:paraId="2980944A" w14:textId="007F8968" w:rsidR="00A454BA" w:rsidRDefault="00A454BA" w:rsidP="00A454BA">
      <w:pPr>
        <w:ind w:left="720"/>
      </w:pPr>
      <w:r>
        <w:t xml:space="preserve">A total of 870 patients were randomized to the combination therapy (n=438) and placebo (n=432) arms. Most patients were Caucasian (99%) and male (55%), with a median age of 51 years (18% were ≥65 years). The study included patients with all sub-stages of Stage III disease prior to resection; 18% of these patients had lymph node involvement only identifiable by microscope and no primary </w:t>
      </w:r>
      <w:r w:rsidR="000826C7">
        <w:t>tumour</w:t>
      </w:r>
      <w:r>
        <w:t xml:space="preserve"> ulceration. The majority of patients had a BRAF V600E mutation (91%). The median duration of follow-up (time from randomization to last </w:t>
      </w:r>
      <w:r>
        <w:lastRenderedPageBreak/>
        <w:t>contact or death) was 2.83 years in the dabrafenib and trametinib combination arm and 2.75 years in the placebo arm.</w:t>
      </w:r>
    </w:p>
    <w:p w14:paraId="491D912F" w14:textId="460D8122" w:rsidR="006768C7" w:rsidRDefault="00A454BA" w:rsidP="001550EB">
      <w:pPr>
        <w:widowControl w:val="0"/>
        <w:ind w:left="720"/>
      </w:pPr>
      <w:r>
        <w:t xml:space="preserve">Results for the primary analysis of RFS are presented in Figure </w:t>
      </w:r>
      <w:r w:rsidR="00C73E06">
        <w:t>5</w:t>
      </w:r>
      <w:r>
        <w:t xml:space="preserve"> and in Table 1</w:t>
      </w:r>
      <w:r w:rsidR="00944CD3">
        <w:t>7</w:t>
      </w:r>
      <w:r>
        <w:t>. The study showed a statistically significant difference for the primary outcome of RFS between treatment arms, with an estimated 53% risk reduction in the dabrafenib and trametinib combination arm as compared to the placebo arm (HR=0.47; 95% CI: 0.39, 0.58; p=1.53×10-14). Results were consistent across subgroups, including stratification factors for disease stage and BRAF V600 mutation type. Median RFS was 16.6 months for the placebo arm, and has not yet been reached for the combination arm.</w:t>
      </w:r>
    </w:p>
    <w:p w14:paraId="35D071A2" w14:textId="77777777" w:rsidR="006768C7" w:rsidRPr="00926415" w:rsidRDefault="006768C7" w:rsidP="006768C7">
      <w:pPr>
        <w:ind w:left="720"/>
      </w:pPr>
      <w:r w:rsidRPr="00926415">
        <w:t xml:space="preserve">Based on 153 events (60 (14%) in the combination arm and 93 (22%) in the placebo arm) corresponding to a 26% information fraction of the total target of 597 OS events, the estimated hazard ratio for OS was 0.57 (95% CI: 0.42, 0.79; p=0.0006). These results did not meet the pre-specified boundary to claim statistical significance at this first OS interim analysis (HR=0.50; p=0.000019). Survival estimates at 1 and 2 years from randomization were 97% and 91% in the combination arm and 94% and 83% in the placebo arm, respectively. The Kaplan-Meier curve for this OS interim analysis is shown in Figure </w:t>
      </w:r>
      <w:r>
        <w:t>6</w:t>
      </w:r>
      <w:r w:rsidRPr="00926415">
        <w:t>.</w:t>
      </w:r>
    </w:p>
    <w:p w14:paraId="032215BE" w14:textId="2674E07F" w:rsidR="00A454BA" w:rsidRPr="00A454BA" w:rsidRDefault="00A454BA" w:rsidP="005A68C3">
      <w:pPr>
        <w:keepNext/>
        <w:keepLines/>
        <w:autoSpaceDE/>
        <w:autoSpaceDN/>
        <w:adjustRightInd/>
        <w:spacing w:before="240" w:after="60" w:line="240" w:lineRule="auto"/>
        <w:ind w:left="2421" w:hanging="1701"/>
        <w:outlineLvl w:val="6"/>
        <w:rPr>
          <w:rFonts w:ascii="Arial" w:eastAsia="MS Gothic" w:hAnsi="Arial" w:cs="Arial"/>
          <w:b/>
          <w:sz w:val="22"/>
          <w:szCs w:val="20"/>
          <w:lang w:val="en-US" w:eastAsia="en-GB"/>
        </w:rPr>
      </w:pPr>
      <w:bookmarkStart w:id="7" w:name="_Toc494222217"/>
      <w:bookmarkStart w:id="8" w:name="_Toc494231760"/>
      <w:bookmarkStart w:id="9" w:name="_Toc494233140"/>
      <w:bookmarkStart w:id="10" w:name="_Toc495011618"/>
      <w:bookmarkStart w:id="11" w:name="_Toc495651905"/>
      <w:bookmarkStart w:id="12" w:name="_Toc497405348"/>
      <w:r w:rsidRPr="00A454BA">
        <w:rPr>
          <w:rFonts w:ascii="Arial" w:eastAsia="MS Gothic" w:hAnsi="Arial" w:cs="Arial"/>
          <w:b/>
          <w:sz w:val="22"/>
          <w:szCs w:val="20"/>
          <w:lang w:val="en-US" w:eastAsia="en-GB"/>
        </w:rPr>
        <w:t>Figure</w:t>
      </w:r>
      <w:r w:rsidR="00C73E06">
        <w:rPr>
          <w:rFonts w:ascii="Arial" w:eastAsia="MS Gothic" w:hAnsi="Arial" w:cs="Arial"/>
          <w:b/>
          <w:sz w:val="22"/>
          <w:szCs w:val="20"/>
          <w:lang w:val="en-US" w:eastAsia="en-GB"/>
        </w:rPr>
        <w:t xml:space="preserve"> 5</w:t>
      </w:r>
      <w:r w:rsidR="00C73E06">
        <w:rPr>
          <w:rFonts w:ascii="Arial" w:eastAsia="MS Gothic" w:hAnsi="Arial" w:cs="Arial"/>
          <w:b/>
          <w:sz w:val="22"/>
          <w:szCs w:val="20"/>
          <w:lang w:val="en-US" w:eastAsia="en-GB"/>
        </w:rPr>
        <w:tab/>
      </w:r>
      <w:r w:rsidRPr="00A454BA">
        <w:rPr>
          <w:rFonts w:ascii="Arial" w:eastAsia="MS Gothic" w:hAnsi="Arial" w:cs="Arial"/>
          <w:b/>
          <w:sz w:val="22"/>
          <w:szCs w:val="20"/>
          <w:lang w:val="en-US" w:eastAsia="en-GB"/>
        </w:rPr>
        <w:t>COMBI-AD - Relapse-free survival Kaplan-Meier curves (ITT population)</w:t>
      </w:r>
      <w:bookmarkEnd w:id="7"/>
      <w:bookmarkEnd w:id="8"/>
      <w:bookmarkEnd w:id="9"/>
      <w:bookmarkEnd w:id="10"/>
      <w:bookmarkEnd w:id="11"/>
      <w:bookmarkEnd w:id="12"/>
    </w:p>
    <w:p w14:paraId="4DA8CAA7" w14:textId="77777777" w:rsidR="00A454BA" w:rsidRPr="00A454BA" w:rsidRDefault="00A454BA" w:rsidP="00A454BA">
      <w:pPr>
        <w:autoSpaceDE/>
        <w:autoSpaceDN/>
        <w:adjustRightInd/>
        <w:spacing w:before="120" w:after="0" w:line="240" w:lineRule="auto"/>
        <w:rPr>
          <w:rFonts w:eastAsia="MS Mincho"/>
          <w:szCs w:val="20"/>
          <w:lang w:val="en-US" w:eastAsia="en-GB"/>
        </w:rPr>
      </w:pPr>
      <w:r w:rsidRPr="00A454BA">
        <w:rPr>
          <w:rFonts w:eastAsia="MS Mincho"/>
          <w:noProof/>
        </w:rPr>
        <w:drawing>
          <wp:inline distT="0" distB="0" distL="0" distR="0" wp14:anchorId="6068E1F6" wp14:editId="27E7059F">
            <wp:extent cx="6229036" cy="4445391"/>
            <wp:effectExtent l="0" t="0" r="63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30308" cy="4446299"/>
                    </a:xfrm>
                    <a:prstGeom prst="rect">
                      <a:avLst/>
                    </a:prstGeom>
                    <a:noFill/>
                    <a:ln>
                      <a:noFill/>
                    </a:ln>
                  </pic:spPr>
                </pic:pic>
              </a:graphicData>
            </a:graphic>
          </wp:inline>
        </w:drawing>
      </w:r>
    </w:p>
    <w:p w14:paraId="3AB05078" w14:textId="77777777" w:rsidR="000B696A" w:rsidRDefault="000B696A" w:rsidP="001550EB">
      <w:pPr>
        <w:autoSpaceDE/>
        <w:autoSpaceDN/>
        <w:adjustRightInd/>
        <w:spacing w:after="0" w:line="240" w:lineRule="auto"/>
        <w:jc w:val="left"/>
        <w:rPr>
          <w:rFonts w:ascii="Arial" w:eastAsia="MS Gothic" w:hAnsi="Arial" w:cs="Arial"/>
          <w:b/>
          <w:sz w:val="22"/>
          <w:szCs w:val="20"/>
          <w:lang w:val="en-US" w:eastAsia="en-GB"/>
        </w:rPr>
      </w:pPr>
      <w:bookmarkStart w:id="13" w:name="_Toc493603627"/>
      <w:bookmarkStart w:id="14" w:name="_Toc494231744"/>
      <w:bookmarkStart w:id="15" w:name="_Toc494233130"/>
      <w:bookmarkStart w:id="16" w:name="_Toc495011556"/>
      <w:bookmarkStart w:id="17" w:name="_Toc495651888"/>
      <w:bookmarkStart w:id="18" w:name="_Toc497816516"/>
    </w:p>
    <w:p w14:paraId="5F733E16" w14:textId="737DC30A" w:rsidR="00A454BA" w:rsidRPr="00A454BA" w:rsidRDefault="00A454BA" w:rsidP="001550EB">
      <w:pPr>
        <w:autoSpaceDE/>
        <w:autoSpaceDN/>
        <w:adjustRightInd/>
        <w:spacing w:after="0" w:line="240" w:lineRule="auto"/>
        <w:jc w:val="left"/>
        <w:rPr>
          <w:rFonts w:ascii="Arial" w:eastAsia="MS Gothic" w:hAnsi="Arial" w:cs="Arial"/>
          <w:b/>
          <w:sz w:val="22"/>
          <w:szCs w:val="20"/>
          <w:lang w:val="en-US" w:eastAsia="en-GB"/>
        </w:rPr>
      </w:pPr>
      <w:r w:rsidRPr="00A454BA">
        <w:rPr>
          <w:rFonts w:ascii="Arial" w:eastAsia="MS Gothic" w:hAnsi="Arial" w:cs="Arial"/>
          <w:b/>
          <w:sz w:val="22"/>
          <w:szCs w:val="20"/>
          <w:lang w:val="en-US" w:eastAsia="en-GB"/>
        </w:rPr>
        <w:t xml:space="preserve">Table </w:t>
      </w:r>
      <w:r w:rsidR="00C73E06">
        <w:rPr>
          <w:rFonts w:ascii="Arial" w:eastAsia="MS Gothic" w:hAnsi="Arial" w:cs="Arial"/>
          <w:b/>
          <w:sz w:val="22"/>
          <w:szCs w:val="20"/>
          <w:lang w:val="en-US" w:eastAsia="en-GB"/>
        </w:rPr>
        <w:t>1</w:t>
      </w:r>
      <w:r w:rsidR="00944CD3">
        <w:rPr>
          <w:rFonts w:ascii="Arial" w:eastAsia="MS Gothic" w:hAnsi="Arial" w:cs="Arial"/>
          <w:b/>
          <w:sz w:val="22"/>
          <w:szCs w:val="20"/>
          <w:lang w:val="en-US" w:eastAsia="en-GB"/>
        </w:rPr>
        <w:t>7</w:t>
      </w:r>
      <w:r w:rsidRPr="00A454BA">
        <w:rPr>
          <w:rFonts w:ascii="Arial" w:eastAsia="MS Gothic" w:hAnsi="Arial" w:cs="Arial"/>
          <w:b/>
          <w:sz w:val="22"/>
          <w:szCs w:val="20"/>
          <w:lang w:val="en-US" w:eastAsia="en-GB"/>
        </w:rPr>
        <w:tab/>
        <w:t>COMBI-AD – Relapse-free survival results</w:t>
      </w:r>
      <w:bookmarkEnd w:id="13"/>
      <w:bookmarkEnd w:id="14"/>
      <w:bookmarkEnd w:id="15"/>
      <w:bookmarkEnd w:id="16"/>
      <w:bookmarkEnd w:id="17"/>
      <w:bookmarkEnd w:id="18"/>
    </w:p>
    <w:tbl>
      <w:tblPr>
        <w:tblW w:w="9303" w:type="dxa"/>
        <w:tblInd w:w="612" w:type="dxa"/>
        <w:tblBorders>
          <w:top w:val="single" w:sz="4" w:space="0" w:color="auto"/>
          <w:bottom w:val="single" w:sz="4" w:space="0" w:color="auto"/>
        </w:tblBorders>
        <w:tblLayout w:type="fixed"/>
        <w:tblLook w:val="0000" w:firstRow="0" w:lastRow="0" w:firstColumn="0" w:lastColumn="0" w:noHBand="0" w:noVBand="0"/>
      </w:tblPr>
      <w:tblGrid>
        <w:gridCol w:w="3101"/>
        <w:gridCol w:w="3101"/>
        <w:gridCol w:w="3101"/>
      </w:tblGrid>
      <w:tr w:rsidR="00A454BA" w:rsidRPr="00A454BA" w14:paraId="1BE27450" w14:textId="77777777" w:rsidTr="00926415">
        <w:trPr>
          <w:tblHeader/>
        </w:trPr>
        <w:tc>
          <w:tcPr>
            <w:tcW w:w="3101" w:type="dxa"/>
            <w:tcBorders>
              <w:top w:val="single" w:sz="4" w:space="0" w:color="auto"/>
              <w:bottom w:val="nil"/>
            </w:tcBorders>
            <w:shd w:val="clear" w:color="auto" w:fill="auto"/>
          </w:tcPr>
          <w:p w14:paraId="6321C588" w14:textId="77777777" w:rsidR="00A454BA" w:rsidRPr="00A454BA" w:rsidRDefault="00A454BA" w:rsidP="00A454BA">
            <w:pPr>
              <w:tabs>
                <w:tab w:val="left" w:pos="284"/>
              </w:tabs>
              <w:autoSpaceDE/>
              <w:autoSpaceDN/>
              <w:adjustRightInd/>
              <w:spacing w:before="40" w:after="20" w:line="240" w:lineRule="auto"/>
              <w:jc w:val="left"/>
              <w:rPr>
                <w:rFonts w:ascii="Arial" w:eastAsia="MS Mincho" w:hAnsi="Arial" w:cs="Arial"/>
                <w:b/>
                <w:sz w:val="20"/>
                <w:lang w:val="en-US" w:eastAsia="zh-CN"/>
              </w:rPr>
            </w:pPr>
          </w:p>
        </w:tc>
        <w:tc>
          <w:tcPr>
            <w:tcW w:w="3101" w:type="dxa"/>
            <w:tcBorders>
              <w:top w:val="single" w:sz="4" w:space="0" w:color="auto"/>
              <w:bottom w:val="nil"/>
            </w:tcBorders>
            <w:shd w:val="clear" w:color="auto" w:fill="auto"/>
          </w:tcPr>
          <w:p w14:paraId="21A3CFB2"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b/>
                <w:sz w:val="20"/>
                <w:lang w:val="en-US" w:eastAsia="zh-CN"/>
              </w:rPr>
            </w:pPr>
            <w:r w:rsidRPr="00A454BA">
              <w:rPr>
                <w:rFonts w:ascii="Arial" w:eastAsia="MS Mincho" w:hAnsi="Arial" w:cs="Arial"/>
                <w:b/>
                <w:sz w:val="20"/>
                <w:lang w:val="en-US" w:eastAsia="zh-CN"/>
              </w:rPr>
              <w:t>Dabrafenib + Trametinib</w:t>
            </w:r>
          </w:p>
        </w:tc>
        <w:tc>
          <w:tcPr>
            <w:tcW w:w="3101" w:type="dxa"/>
            <w:tcBorders>
              <w:top w:val="single" w:sz="4" w:space="0" w:color="auto"/>
              <w:bottom w:val="nil"/>
            </w:tcBorders>
            <w:shd w:val="clear" w:color="auto" w:fill="auto"/>
          </w:tcPr>
          <w:p w14:paraId="2463989D"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b/>
                <w:sz w:val="20"/>
                <w:lang w:val="en-US" w:eastAsia="zh-CN"/>
              </w:rPr>
            </w:pPr>
            <w:r w:rsidRPr="00A454BA">
              <w:rPr>
                <w:rFonts w:ascii="Arial" w:eastAsia="MS Mincho" w:hAnsi="Arial" w:cs="Arial"/>
                <w:b/>
                <w:sz w:val="20"/>
                <w:lang w:val="en-US" w:eastAsia="zh-CN"/>
              </w:rPr>
              <w:t>Placebo</w:t>
            </w:r>
          </w:p>
        </w:tc>
      </w:tr>
      <w:tr w:rsidR="00A454BA" w:rsidRPr="00A454BA" w14:paraId="793AB180" w14:textId="77777777" w:rsidTr="00926415">
        <w:trPr>
          <w:tblHeader/>
        </w:trPr>
        <w:tc>
          <w:tcPr>
            <w:tcW w:w="3101" w:type="dxa"/>
            <w:tcBorders>
              <w:top w:val="nil"/>
              <w:bottom w:val="single" w:sz="4" w:space="0" w:color="auto"/>
            </w:tcBorders>
            <w:shd w:val="clear" w:color="auto" w:fill="auto"/>
          </w:tcPr>
          <w:p w14:paraId="5994DA28" w14:textId="77777777" w:rsidR="00A454BA" w:rsidRPr="00A454BA" w:rsidRDefault="00A454BA" w:rsidP="00A454BA">
            <w:pPr>
              <w:tabs>
                <w:tab w:val="left" w:pos="284"/>
              </w:tabs>
              <w:autoSpaceDE/>
              <w:autoSpaceDN/>
              <w:adjustRightInd/>
              <w:spacing w:before="40" w:after="20" w:line="240" w:lineRule="auto"/>
              <w:jc w:val="left"/>
              <w:rPr>
                <w:rFonts w:ascii="Arial" w:eastAsia="MS Mincho" w:hAnsi="Arial" w:cs="Arial"/>
                <w:b/>
                <w:sz w:val="20"/>
                <w:lang w:val="en-US" w:eastAsia="zh-CN"/>
              </w:rPr>
            </w:pPr>
            <w:r w:rsidRPr="00A454BA">
              <w:rPr>
                <w:rFonts w:ascii="Arial" w:eastAsia="MS Mincho" w:hAnsi="Arial" w:cs="Arial"/>
                <w:b/>
                <w:sz w:val="20"/>
                <w:lang w:val="en-US" w:eastAsia="zh-CN"/>
              </w:rPr>
              <w:lastRenderedPageBreak/>
              <w:t>RFS parameter</w:t>
            </w:r>
          </w:p>
        </w:tc>
        <w:tc>
          <w:tcPr>
            <w:tcW w:w="3101" w:type="dxa"/>
            <w:tcBorders>
              <w:top w:val="nil"/>
              <w:bottom w:val="single" w:sz="4" w:space="0" w:color="auto"/>
            </w:tcBorders>
            <w:shd w:val="clear" w:color="auto" w:fill="auto"/>
          </w:tcPr>
          <w:p w14:paraId="3E821A1B"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b/>
                <w:sz w:val="20"/>
                <w:lang w:val="en-US" w:eastAsia="zh-CN"/>
              </w:rPr>
            </w:pPr>
            <w:r w:rsidRPr="00A454BA">
              <w:rPr>
                <w:rFonts w:ascii="Arial" w:eastAsia="MS Mincho" w:hAnsi="Arial" w:cs="Arial"/>
                <w:b/>
                <w:sz w:val="20"/>
                <w:lang w:val="en-US" w:eastAsia="zh-CN"/>
              </w:rPr>
              <w:t>N=438</w:t>
            </w:r>
          </w:p>
        </w:tc>
        <w:tc>
          <w:tcPr>
            <w:tcW w:w="3101" w:type="dxa"/>
            <w:tcBorders>
              <w:top w:val="nil"/>
              <w:bottom w:val="single" w:sz="4" w:space="0" w:color="auto"/>
            </w:tcBorders>
            <w:shd w:val="clear" w:color="auto" w:fill="auto"/>
          </w:tcPr>
          <w:p w14:paraId="20305507"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b/>
                <w:sz w:val="20"/>
                <w:lang w:val="en-US" w:eastAsia="zh-CN"/>
              </w:rPr>
            </w:pPr>
            <w:r w:rsidRPr="00A454BA">
              <w:rPr>
                <w:rFonts w:ascii="Arial" w:eastAsia="MS Mincho" w:hAnsi="Arial" w:cs="Arial"/>
                <w:b/>
                <w:sz w:val="20"/>
                <w:lang w:val="en-US" w:eastAsia="zh-CN"/>
              </w:rPr>
              <w:t>N=432</w:t>
            </w:r>
          </w:p>
        </w:tc>
      </w:tr>
      <w:tr w:rsidR="00A454BA" w:rsidRPr="00A454BA" w14:paraId="42D9D631" w14:textId="77777777" w:rsidTr="00926415">
        <w:tc>
          <w:tcPr>
            <w:tcW w:w="3101" w:type="dxa"/>
            <w:shd w:val="clear" w:color="auto" w:fill="auto"/>
          </w:tcPr>
          <w:p w14:paraId="5BB87209" w14:textId="77777777" w:rsidR="00A454BA" w:rsidRPr="00A454BA" w:rsidRDefault="00A454BA" w:rsidP="00A454BA">
            <w:pPr>
              <w:tabs>
                <w:tab w:val="left" w:pos="284"/>
              </w:tabs>
              <w:autoSpaceDE/>
              <w:autoSpaceDN/>
              <w:adjustRightInd/>
              <w:spacing w:before="40" w:after="20" w:line="240" w:lineRule="auto"/>
              <w:ind w:left="284"/>
              <w:jc w:val="left"/>
              <w:rPr>
                <w:rFonts w:ascii="Arial" w:eastAsia="MS Mincho" w:hAnsi="Arial" w:cs="Arial"/>
                <w:sz w:val="20"/>
                <w:lang w:val="en-US" w:eastAsia="zh-CN"/>
              </w:rPr>
            </w:pPr>
            <w:r w:rsidRPr="00A454BA">
              <w:rPr>
                <w:rFonts w:ascii="Arial" w:eastAsia="MS Mincho" w:hAnsi="Arial" w:cs="Arial"/>
                <w:sz w:val="20"/>
                <w:lang w:val="en-US" w:eastAsia="zh-CN"/>
              </w:rPr>
              <w:t>Number of events, n (%)</w:t>
            </w:r>
          </w:p>
          <w:p w14:paraId="4DFBAAE5" w14:textId="77777777" w:rsidR="00A454BA" w:rsidRPr="00A454BA" w:rsidRDefault="00A454BA" w:rsidP="00A454BA">
            <w:pPr>
              <w:tabs>
                <w:tab w:val="left" w:pos="284"/>
              </w:tabs>
              <w:autoSpaceDE/>
              <w:autoSpaceDN/>
              <w:adjustRightInd/>
              <w:spacing w:before="40" w:after="20" w:line="240" w:lineRule="auto"/>
              <w:ind w:left="720"/>
              <w:jc w:val="left"/>
              <w:rPr>
                <w:rFonts w:ascii="Arial" w:eastAsia="MS Mincho" w:hAnsi="Arial" w:cs="Arial"/>
                <w:sz w:val="20"/>
                <w:lang w:val="en-US" w:eastAsia="zh-CN"/>
              </w:rPr>
            </w:pPr>
            <w:r w:rsidRPr="00A454BA">
              <w:rPr>
                <w:rFonts w:ascii="Arial" w:eastAsia="MS Mincho" w:hAnsi="Arial" w:cs="Arial"/>
                <w:sz w:val="20"/>
                <w:lang w:val="en-US" w:eastAsia="zh-CN"/>
              </w:rPr>
              <w:t>Recurrence</w:t>
            </w:r>
          </w:p>
          <w:p w14:paraId="4AD7F50C" w14:textId="77777777" w:rsidR="00A454BA" w:rsidRPr="00A454BA" w:rsidRDefault="00A454BA" w:rsidP="00A454BA">
            <w:pPr>
              <w:tabs>
                <w:tab w:val="left" w:pos="284"/>
              </w:tabs>
              <w:autoSpaceDE/>
              <w:autoSpaceDN/>
              <w:adjustRightInd/>
              <w:spacing w:before="40" w:after="20" w:line="240" w:lineRule="auto"/>
              <w:ind w:left="1440"/>
              <w:jc w:val="left"/>
              <w:rPr>
                <w:rFonts w:ascii="Arial" w:eastAsia="MS Mincho" w:hAnsi="Arial" w:cs="Arial"/>
                <w:sz w:val="20"/>
                <w:lang w:val="en-US" w:eastAsia="zh-CN"/>
              </w:rPr>
            </w:pPr>
            <w:r w:rsidRPr="00A454BA">
              <w:rPr>
                <w:rFonts w:ascii="Arial" w:eastAsia="MS Mincho" w:hAnsi="Arial" w:cs="Arial"/>
                <w:sz w:val="20"/>
                <w:lang w:val="en-US" w:eastAsia="zh-CN"/>
              </w:rPr>
              <w:t>Relapsed with distant metastasis</w:t>
            </w:r>
          </w:p>
          <w:p w14:paraId="59E0AFBD" w14:textId="77777777" w:rsidR="00A454BA" w:rsidRPr="00A454BA" w:rsidRDefault="00A454BA" w:rsidP="00A454BA">
            <w:pPr>
              <w:tabs>
                <w:tab w:val="left" w:pos="284"/>
              </w:tabs>
              <w:autoSpaceDE/>
              <w:autoSpaceDN/>
              <w:adjustRightInd/>
              <w:spacing w:before="40" w:after="20" w:line="240" w:lineRule="auto"/>
              <w:ind w:left="720"/>
              <w:jc w:val="left"/>
              <w:rPr>
                <w:rFonts w:ascii="Arial" w:eastAsia="MS Mincho" w:hAnsi="Arial" w:cs="Arial"/>
                <w:sz w:val="20"/>
                <w:lang w:val="en-US" w:eastAsia="zh-CN"/>
              </w:rPr>
            </w:pPr>
            <w:r w:rsidRPr="00A454BA">
              <w:rPr>
                <w:rFonts w:ascii="Arial" w:eastAsia="MS Mincho" w:hAnsi="Arial" w:cs="Arial"/>
                <w:sz w:val="20"/>
                <w:lang w:val="en-US" w:eastAsia="zh-CN"/>
              </w:rPr>
              <w:t>Death</w:t>
            </w:r>
          </w:p>
        </w:tc>
        <w:tc>
          <w:tcPr>
            <w:tcW w:w="3101" w:type="dxa"/>
            <w:shd w:val="clear" w:color="auto" w:fill="auto"/>
          </w:tcPr>
          <w:p w14:paraId="1BC2D275"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166 (38%)</w:t>
            </w:r>
          </w:p>
          <w:p w14:paraId="1C10A274"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163 (37%)</w:t>
            </w:r>
          </w:p>
          <w:p w14:paraId="45350EB6"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103 (24%)</w:t>
            </w:r>
          </w:p>
          <w:p w14:paraId="1F823C67"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p>
          <w:p w14:paraId="6253FE8D"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p>
          <w:p w14:paraId="4B595DD5"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3 (&lt;1%)</w:t>
            </w:r>
          </w:p>
        </w:tc>
        <w:tc>
          <w:tcPr>
            <w:tcW w:w="3101" w:type="dxa"/>
            <w:shd w:val="clear" w:color="auto" w:fill="auto"/>
          </w:tcPr>
          <w:p w14:paraId="3E71A2D3"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248 (57%)</w:t>
            </w:r>
          </w:p>
          <w:p w14:paraId="28804874"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247 (57%)</w:t>
            </w:r>
          </w:p>
          <w:p w14:paraId="5C684EC6"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133 (31%)</w:t>
            </w:r>
          </w:p>
          <w:p w14:paraId="28A2EA75"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p>
          <w:p w14:paraId="0D094CE5"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p>
          <w:p w14:paraId="38D79E1F"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1 (&lt;1%)</w:t>
            </w:r>
          </w:p>
        </w:tc>
      </w:tr>
      <w:tr w:rsidR="00A454BA" w:rsidRPr="00A454BA" w14:paraId="715392D7" w14:textId="77777777" w:rsidTr="00926415">
        <w:tc>
          <w:tcPr>
            <w:tcW w:w="3101" w:type="dxa"/>
            <w:shd w:val="clear" w:color="auto" w:fill="auto"/>
          </w:tcPr>
          <w:p w14:paraId="39FAE1DB" w14:textId="77777777" w:rsidR="00A454BA" w:rsidRPr="00A454BA" w:rsidRDefault="00A454BA" w:rsidP="00A454BA">
            <w:pPr>
              <w:tabs>
                <w:tab w:val="left" w:pos="284"/>
              </w:tabs>
              <w:autoSpaceDE/>
              <w:autoSpaceDN/>
              <w:adjustRightInd/>
              <w:spacing w:before="40" w:after="20" w:line="240" w:lineRule="auto"/>
              <w:ind w:left="284"/>
              <w:jc w:val="left"/>
              <w:rPr>
                <w:rFonts w:ascii="Arial" w:eastAsia="MS Mincho" w:hAnsi="Arial" w:cs="Arial"/>
                <w:sz w:val="20"/>
                <w:lang w:val="en-US" w:eastAsia="zh-CN"/>
              </w:rPr>
            </w:pPr>
            <w:r w:rsidRPr="00A454BA">
              <w:rPr>
                <w:rFonts w:ascii="Arial" w:eastAsia="MS Mincho" w:hAnsi="Arial" w:cs="Arial"/>
                <w:sz w:val="20"/>
                <w:lang w:val="en-US" w:eastAsia="zh-CN"/>
              </w:rPr>
              <w:t>Median (months)</w:t>
            </w:r>
          </w:p>
          <w:p w14:paraId="68B7500B" w14:textId="77777777" w:rsidR="00A454BA" w:rsidRPr="00A454BA" w:rsidRDefault="00A454BA" w:rsidP="00A454BA">
            <w:pPr>
              <w:tabs>
                <w:tab w:val="left" w:pos="284"/>
              </w:tabs>
              <w:autoSpaceDE/>
              <w:autoSpaceDN/>
              <w:adjustRightInd/>
              <w:spacing w:before="40" w:after="20" w:line="240" w:lineRule="auto"/>
              <w:ind w:left="720"/>
              <w:jc w:val="left"/>
              <w:rPr>
                <w:rFonts w:ascii="Arial" w:eastAsia="MS Mincho" w:hAnsi="Arial" w:cs="Arial"/>
                <w:sz w:val="20"/>
                <w:lang w:val="en-US" w:eastAsia="zh-CN"/>
              </w:rPr>
            </w:pPr>
            <w:r w:rsidRPr="00A454BA">
              <w:rPr>
                <w:rFonts w:ascii="Arial" w:eastAsia="MS Mincho" w:hAnsi="Arial" w:cs="Arial"/>
                <w:sz w:val="20"/>
                <w:lang w:val="en-US" w:eastAsia="zh-CN"/>
              </w:rPr>
              <w:t>(95% CI)</w:t>
            </w:r>
          </w:p>
        </w:tc>
        <w:tc>
          <w:tcPr>
            <w:tcW w:w="3101" w:type="dxa"/>
            <w:shd w:val="clear" w:color="auto" w:fill="auto"/>
          </w:tcPr>
          <w:p w14:paraId="5B86ACC2"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NE</w:t>
            </w:r>
          </w:p>
          <w:p w14:paraId="589E647E"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(44.5, NE)</w:t>
            </w:r>
          </w:p>
        </w:tc>
        <w:tc>
          <w:tcPr>
            <w:tcW w:w="3101" w:type="dxa"/>
            <w:shd w:val="clear" w:color="auto" w:fill="auto"/>
          </w:tcPr>
          <w:p w14:paraId="4F8223B1"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16.6</w:t>
            </w:r>
          </w:p>
          <w:p w14:paraId="4EA0290C"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(12.7, 22.1)</w:t>
            </w:r>
          </w:p>
        </w:tc>
      </w:tr>
      <w:tr w:rsidR="00A454BA" w:rsidRPr="00A454BA" w14:paraId="1A7E3BC0" w14:textId="77777777" w:rsidTr="00926415">
        <w:tc>
          <w:tcPr>
            <w:tcW w:w="3101" w:type="dxa"/>
            <w:shd w:val="clear" w:color="auto" w:fill="auto"/>
          </w:tcPr>
          <w:p w14:paraId="2E352802" w14:textId="77777777" w:rsidR="00A454BA" w:rsidRPr="00A454BA" w:rsidRDefault="00A454BA" w:rsidP="00A454BA">
            <w:pPr>
              <w:tabs>
                <w:tab w:val="left" w:pos="284"/>
              </w:tabs>
              <w:autoSpaceDE/>
              <w:autoSpaceDN/>
              <w:adjustRightInd/>
              <w:spacing w:before="40" w:after="20" w:line="240" w:lineRule="auto"/>
              <w:ind w:left="284"/>
              <w:jc w:val="left"/>
              <w:rPr>
                <w:rFonts w:ascii="Arial" w:eastAsia="MS Mincho" w:hAnsi="Arial" w:cs="Arial"/>
                <w:sz w:val="20"/>
                <w:lang w:val="en-US" w:eastAsia="zh-CN"/>
              </w:rPr>
            </w:pPr>
            <w:r w:rsidRPr="00A454BA">
              <w:rPr>
                <w:rFonts w:ascii="Arial" w:eastAsia="MS Mincho" w:hAnsi="Arial" w:cs="Arial"/>
                <w:sz w:val="20"/>
                <w:lang w:val="en-US" w:eastAsia="zh-CN"/>
              </w:rPr>
              <w:t>Hazard ratio</w:t>
            </w:r>
            <w:r w:rsidRPr="00A454BA">
              <w:rPr>
                <w:rFonts w:ascii="Arial" w:eastAsia="MS Mincho" w:hAnsi="Arial" w:cs="Arial"/>
                <w:sz w:val="20"/>
                <w:vertAlign w:val="superscript"/>
                <w:lang w:val="en-US" w:eastAsia="zh-CN"/>
              </w:rPr>
              <w:t>[1]</w:t>
            </w:r>
          </w:p>
          <w:p w14:paraId="484CAFC4" w14:textId="77777777" w:rsidR="00A454BA" w:rsidRPr="00A454BA" w:rsidRDefault="00A454BA" w:rsidP="00A454BA">
            <w:pPr>
              <w:tabs>
                <w:tab w:val="left" w:pos="284"/>
              </w:tabs>
              <w:autoSpaceDE/>
              <w:autoSpaceDN/>
              <w:adjustRightInd/>
              <w:spacing w:before="40" w:after="20" w:line="240" w:lineRule="auto"/>
              <w:ind w:left="720"/>
              <w:jc w:val="left"/>
              <w:rPr>
                <w:rFonts w:ascii="Arial" w:eastAsia="MS Mincho" w:hAnsi="Arial" w:cs="Arial"/>
                <w:sz w:val="20"/>
                <w:lang w:val="en-US" w:eastAsia="zh-CN"/>
              </w:rPr>
            </w:pPr>
            <w:r w:rsidRPr="00A454BA">
              <w:rPr>
                <w:rFonts w:ascii="Arial" w:eastAsia="MS Mincho" w:hAnsi="Arial" w:cs="Arial"/>
                <w:sz w:val="20"/>
                <w:lang w:val="en-US" w:eastAsia="zh-CN"/>
              </w:rPr>
              <w:t>(95% CI)</w:t>
            </w:r>
          </w:p>
          <w:p w14:paraId="40FFC047" w14:textId="77777777" w:rsidR="00A454BA" w:rsidRPr="00A454BA" w:rsidRDefault="00A454BA" w:rsidP="00A454BA">
            <w:pPr>
              <w:tabs>
                <w:tab w:val="left" w:pos="284"/>
              </w:tabs>
              <w:autoSpaceDE/>
              <w:autoSpaceDN/>
              <w:adjustRightInd/>
              <w:spacing w:before="40" w:after="20" w:line="240" w:lineRule="auto"/>
              <w:ind w:left="720"/>
              <w:jc w:val="left"/>
              <w:rPr>
                <w:rFonts w:ascii="Arial" w:eastAsia="MS Mincho" w:hAnsi="Arial" w:cs="Arial"/>
                <w:sz w:val="20"/>
                <w:lang w:val="en-US" w:eastAsia="zh-CN"/>
              </w:rPr>
            </w:pPr>
            <w:r w:rsidRPr="00A454BA">
              <w:rPr>
                <w:rFonts w:ascii="Arial" w:eastAsia="MS Mincho" w:hAnsi="Arial" w:cs="Arial"/>
                <w:sz w:val="20"/>
                <w:lang w:val="en-US" w:eastAsia="zh-CN"/>
              </w:rPr>
              <w:t>p-value</w:t>
            </w:r>
            <w:r w:rsidRPr="00A454BA">
              <w:rPr>
                <w:rFonts w:ascii="Arial" w:eastAsia="MS Mincho" w:hAnsi="Arial" w:cs="Arial"/>
                <w:sz w:val="20"/>
                <w:vertAlign w:val="superscript"/>
                <w:lang w:val="en-US" w:eastAsia="zh-CN"/>
              </w:rPr>
              <w:t>[2]</w:t>
            </w:r>
          </w:p>
        </w:tc>
        <w:tc>
          <w:tcPr>
            <w:tcW w:w="6202" w:type="dxa"/>
            <w:gridSpan w:val="2"/>
            <w:shd w:val="clear" w:color="auto" w:fill="auto"/>
          </w:tcPr>
          <w:p w14:paraId="2E8047F9"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0.47</w:t>
            </w:r>
          </w:p>
          <w:p w14:paraId="0A55EFAE"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(0.39, 0.58)</w:t>
            </w:r>
          </w:p>
          <w:p w14:paraId="1DD89FFC" w14:textId="77777777" w:rsidR="00A454BA" w:rsidRPr="00A454BA" w:rsidRDefault="00A454BA" w:rsidP="00A454BA">
            <w:pPr>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1.53×10</w:t>
            </w:r>
            <w:r w:rsidRPr="00A454BA">
              <w:rPr>
                <w:rFonts w:ascii="Arial" w:eastAsia="MS Mincho" w:hAnsi="Arial" w:cs="Arial"/>
                <w:sz w:val="20"/>
                <w:vertAlign w:val="superscript"/>
                <w:lang w:val="en-US" w:eastAsia="zh-CN"/>
              </w:rPr>
              <w:t>-14</w:t>
            </w:r>
          </w:p>
        </w:tc>
      </w:tr>
      <w:tr w:rsidR="00A454BA" w:rsidRPr="00A454BA" w14:paraId="76ED7115" w14:textId="77777777" w:rsidTr="00926415">
        <w:tc>
          <w:tcPr>
            <w:tcW w:w="3101" w:type="dxa"/>
            <w:shd w:val="clear" w:color="auto" w:fill="auto"/>
          </w:tcPr>
          <w:p w14:paraId="77C6E6E0" w14:textId="77777777" w:rsidR="00A454BA" w:rsidRPr="00A454BA" w:rsidRDefault="00A454BA" w:rsidP="00A454BA">
            <w:pPr>
              <w:keepLines/>
              <w:tabs>
                <w:tab w:val="left" w:pos="284"/>
              </w:tabs>
              <w:autoSpaceDE/>
              <w:autoSpaceDN/>
              <w:adjustRightInd/>
              <w:spacing w:before="40" w:after="20" w:line="240" w:lineRule="auto"/>
              <w:ind w:left="284"/>
              <w:jc w:val="left"/>
              <w:rPr>
                <w:rFonts w:ascii="Arial" w:eastAsia="MS Mincho" w:hAnsi="Arial" w:cs="Arial"/>
                <w:sz w:val="20"/>
                <w:lang w:val="en-US" w:eastAsia="zh-CN"/>
              </w:rPr>
            </w:pPr>
            <w:r w:rsidRPr="00A454BA">
              <w:rPr>
                <w:rFonts w:ascii="Arial" w:eastAsia="MS Mincho" w:hAnsi="Arial" w:cs="Arial"/>
                <w:sz w:val="20"/>
                <w:lang w:val="en-US" w:eastAsia="zh-CN"/>
              </w:rPr>
              <w:t>1-year rate (95% CI)</w:t>
            </w:r>
          </w:p>
        </w:tc>
        <w:tc>
          <w:tcPr>
            <w:tcW w:w="3101" w:type="dxa"/>
            <w:shd w:val="clear" w:color="auto" w:fill="auto"/>
          </w:tcPr>
          <w:p w14:paraId="24940D12" w14:textId="77777777" w:rsidR="00A454BA" w:rsidRPr="00A454BA" w:rsidRDefault="00A454BA" w:rsidP="00A454BA">
            <w:pPr>
              <w:keepLines/>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0.88 (0.85, 0.91)</w:t>
            </w:r>
          </w:p>
        </w:tc>
        <w:tc>
          <w:tcPr>
            <w:tcW w:w="3101" w:type="dxa"/>
            <w:shd w:val="clear" w:color="auto" w:fill="auto"/>
          </w:tcPr>
          <w:p w14:paraId="5EC64261" w14:textId="77777777" w:rsidR="00A454BA" w:rsidRPr="00A454BA" w:rsidRDefault="00A454BA" w:rsidP="00A454BA">
            <w:pPr>
              <w:keepLines/>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0.56 (0.51, 0.61)</w:t>
            </w:r>
          </w:p>
        </w:tc>
      </w:tr>
      <w:tr w:rsidR="00A454BA" w:rsidRPr="00A454BA" w14:paraId="1D176171" w14:textId="77777777" w:rsidTr="00926415">
        <w:tc>
          <w:tcPr>
            <w:tcW w:w="3101" w:type="dxa"/>
            <w:shd w:val="clear" w:color="auto" w:fill="auto"/>
          </w:tcPr>
          <w:p w14:paraId="0E181769" w14:textId="77777777" w:rsidR="00A454BA" w:rsidRPr="00A454BA" w:rsidRDefault="00A454BA" w:rsidP="00A454BA">
            <w:pPr>
              <w:keepLines/>
              <w:tabs>
                <w:tab w:val="left" w:pos="284"/>
              </w:tabs>
              <w:autoSpaceDE/>
              <w:autoSpaceDN/>
              <w:adjustRightInd/>
              <w:spacing w:before="40" w:after="20" w:line="240" w:lineRule="auto"/>
              <w:ind w:left="284"/>
              <w:jc w:val="left"/>
              <w:rPr>
                <w:rFonts w:ascii="Arial" w:eastAsia="MS Mincho" w:hAnsi="Arial" w:cs="Arial"/>
                <w:sz w:val="20"/>
                <w:lang w:val="en-US" w:eastAsia="zh-CN"/>
              </w:rPr>
            </w:pPr>
            <w:r w:rsidRPr="00A454BA">
              <w:rPr>
                <w:rFonts w:ascii="Arial" w:eastAsia="MS Mincho" w:hAnsi="Arial" w:cs="Arial"/>
                <w:sz w:val="20"/>
                <w:lang w:val="en-US" w:eastAsia="zh-CN"/>
              </w:rPr>
              <w:t>2-year rate (95% CI)</w:t>
            </w:r>
          </w:p>
        </w:tc>
        <w:tc>
          <w:tcPr>
            <w:tcW w:w="3101" w:type="dxa"/>
            <w:shd w:val="clear" w:color="auto" w:fill="auto"/>
          </w:tcPr>
          <w:p w14:paraId="4D46D675" w14:textId="77777777" w:rsidR="00A454BA" w:rsidRPr="00A454BA" w:rsidRDefault="00A454BA" w:rsidP="00A454BA">
            <w:pPr>
              <w:keepLines/>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0.67 (0.63, 0.72)</w:t>
            </w:r>
          </w:p>
        </w:tc>
        <w:tc>
          <w:tcPr>
            <w:tcW w:w="3101" w:type="dxa"/>
            <w:shd w:val="clear" w:color="auto" w:fill="auto"/>
          </w:tcPr>
          <w:p w14:paraId="319E3300" w14:textId="77777777" w:rsidR="00A454BA" w:rsidRPr="00A454BA" w:rsidRDefault="00A454BA" w:rsidP="00A454BA">
            <w:pPr>
              <w:keepLines/>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0.44 (0.40, 0.49)</w:t>
            </w:r>
          </w:p>
        </w:tc>
      </w:tr>
      <w:tr w:rsidR="00A454BA" w:rsidRPr="00A454BA" w14:paraId="2BC79A2E" w14:textId="77777777" w:rsidTr="00926415">
        <w:tc>
          <w:tcPr>
            <w:tcW w:w="3101" w:type="dxa"/>
            <w:shd w:val="clear" w:color="auto" w:fill="auto"/>
          </w:tcPr>
          <w:p w14:paraId="2501E8BF" w14:textId="77777777" w:rsidR="00A454BA" w:rsidRPr="00A454BA" w:rsidRDefault="00A454BA" w:rsidP="00A454BA">
            <w:pPr>
              <w:keepLines/>
              <w:tabs>
                <w:tab w:val="left" w:pos="284"/>
              </w:tabs>
              <w:autoSpaceDE/>
              <w:autoSpaceDN/>
              <w:adjustRightInd/>
              <w:spacing w:before="40" w:after="20" w:line="240" w:lineRule="auto"/>
              <w:ind w:left="284"/>
              <w:jc w:val="left"/>
              <w:rPr>
                <w:rFonts w:ascii="Arial" w:eastAsia="MS Mincho" w:hAnsi="Arial" w:cs="Arial"/>
                <w:sz w:val="20"/>
                <w:lang w:val="en-US" w:eastAsia="zh-CN"/>
              </w:rPr>
            </w:pPr>
            <w:r w:rsidRPr="00A454BA">
              <w:rPr>
                <w:rFonts w:ascii="Arial" w:eastAsia="MS Mincho" w:hAnsi="Arial" w:cs="Arial"/>
                <w:sz w:val="20"/>
                <w:lang w:val="en-US" w:eastAsia="zh-CN"/>
              </w:rPr>
              <w:t>3-year rate (95% CI)</w:t>
            </w:r>
          </w:p>
        </w:tc>
        <w:tc>
          <w:tcPr>
            <w:tcW w:w="3101" w:type="dxa"/>
            <w:shd w:val="clear" w:color="auto" w:fill="auto"/>
          </w:tcPr>
          <w:p w14:paraId="554A9FCF" w14:textId="77777777" w:rsidR="00A454BA" w:rsidRPr="00A454BA" w:rsidRDefault="00A454BA" w:rsidP="00A454BA">
            <w:pPr>
              <w:keepLines/>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0.58 (0.54, 0.64)</w:t>
            </w:r>
          </w:p>
        </w:tc>
        <w:tc>
          <w:tcPr>
            <w:tcW w:w="3101" w:type="dxa"/>
            <w:shd w:val="clear" w:color="auto" w:fill="auto"/>
          </w:tcPr>
          <w:p w14:paraId="2AE1996C" w14:textId="77777777" w:rsidR="00A454BA" w:rsidRPr="00A454BA" w:rsidRDefault="00A454BA" w:rsidP="00A454BA">
            <w:pPr>
              <w:keepLines/>
              <w:tabs>
                <w:tab w:val="left" w:pos="284"/>
              </w:tabs>
              <w:autoSpaceDE/>
              <w:autoSpaceDN/>
              <w:adjustRightInd/>
              <w:spacing w:before="40" w:after="20" w:line="240" w:lineRule="auto"/>
              <w:jc w:val="center"/>
              <w:rPr>
                <w:rFonts w:ascii="Arial" w:eastAsia="MS Mincho" w:hAnsi="Arial" w:cs="Arial"/>
                <w:sz w:val="20"/>
                <w:lang w:val="en-US" w:eastAsia="zh-CN"/>
              </w:rPr>
            </w:pPr>
            <w:r w:rsidRPr="00A454BA">
              <w:rPr>
                <w:rFonts w:ascii="Arial" w:eastAsia="MS Mincho" w:hAnsi="Arial" w:cs="Arial"/>
                <w:sz w:val="20"/>
                <w:lang w:val="en-US" w:eastAsia="zh-CN"/>
              </w:rPr>
              <w:t>0.39 (0.35, 0.44)</w:t>
            </w:r>
          </w:p>
        </w:tc>
      </w:tr>
      <w:tr w:rsidR="00A454BA" w:rsidRPr="00A454BA" w14:paraId="6A1A4205" w14:textId="77777777" w:rsidTr="00926415">
        <w:tc>
          <w:tcPr>
            <w:tcW w:w="9303" w:type="dxa"/>
            <w:gridSpan w:val="3"/>
            <w:tcBorders>
              <w:top w:val="single" w:sz="4" w:space="0" w:color="auto"/>
              <w:bottom w:val="single" w:sz="4" w:space="0" w:color="auto"/>
            </w:tcBorders>
            <w:shd w:val="clear" w:color="auto" w:fill="auto"/>
          </w:tcPr>
          <w:p w14:paraId="2372974D" w14:textId="77777777" w:rsidR="00A454BA" w:rsidRPr="00A454BA" w:rsidRDefault="00A454BA" w:rsidP="00A454BA">
            <w:pPr>
              <w:keepLines/>
              <w:autoSpaceDE/>
              <w:autoSpaceDN/>
              <w:adjustRightInd/>
              <w:spacing w:before="40" w:after="20" w:line="240" w:lineRule="auto"/>
              <w:ind w:left="459" w:hanging="459"/>
              <w:jc w:val="left"/>
              <w:rPr>
                <w:rFonts w:ascii="Arial" w:eastAsia="MS Mincho" w:hAnsi="Arial" w:cs="Arial"/>
                <w:sz w:val="18"/>
                <w:szCs w:val="18"/>
                <w:lang w:val="en-US" w:eastAsia="zh-CN"/>
              </w:rPr>
            </w:pPr>
            <w:r w:rsidRPr="00A454BA">
              <w:rPr>
                <w:rFonts w:ascii="Arial" w:eastAsia="MS Mincho" w:hAnsi="Arial" w:cs="Arial"/>
                <w:sz w:val="18"/>
                <w:szCs w:val="18"/>
                <w:lang w:val="en-US" w:eastAsia="zh-CN"/>
              </w:rPr>
              <w:t>[1]</w:t>
            </w:r>
            <w:r w:rsidRPr="00A454BA">
              <w:rPr>
                <w:rFonts w:ascii="Arial" w:eastAsia="MS Mincho" w:hAnsi="Arial" w:cs="Arial"/>
                <w:sz w:val="18"/>
                <w:szCs w:val="18"/>
                <w:lang w:val="en-US" w:eastAsia="zh-CN"/>
              </w:rPr>
              <w:tab/>
              <w:t>Hazard ratio is obtained from the stratified Pike model.</w:t>
            </w:r>
          </w:p>
          <w:p w14:paraId="7E232E79" w14:textId="77777777" w:rsidR="00A454BA" w:rsidRPr="00A454BA" w:rsidRDefault="00A454BA" w:rsidP="00A454BA">
            <w:pPr>
              <w:keepLines/>
              <w:autoSpaceDE/>
              <w:autoSpaceDN/>
              <w:adjustRightInd/>
              <w:spacing w:before="40" w:after="20" w:line="240" w:lineRule="auto"/>
              <w:ind w:left="459" w:hanging="459"/>
              <w:jc w:val="left"/>
              <w:rPr>
                <w:rFonts w:ascii="Arial" w:eastAsia="MS Mincho" w:hAnsi="Arial" w:cs="Arial"/>
                <w:sz w:val="18"/>
                <w:szCs w:val="18"/>
                <w:lang w:val="en-US" w:eastAsia="zh-CN"/>
              </w:rPr>
            </w:pPr>
            <w:r w:rsidRPr="00A454BA">
              <w:rPr>
                <w:rFonts w:ascii="Arial" w:eastAsia="MS Mincho" w:hAnsi="Arial" w:cs="Arial"/>
                <w:sz w:val="18"/>
                <w:szCs w:val="18"/>
                <w:lang w:val="en-US" w:eastAsia="zh-CN"/>
              </w:rPr>
              <w:t>[2]</w:t>
            </w:r>
            <w:r w:rsidRPr="00A454BA">
              <w:rPr>
                <w:rFonts w:ascii="Arial" w:eastAsia="MS Mincho" w:hAnsi="Arial" w:cs="Arial"/>
                <w:sz w:val="18"/>
                <w:szCs w:val="18"/>
                <w:lang w:val="en-US" w:eastAsia="zh-CN"/>
              </w:rPr>
              <w:tab/>
              <w:t>P-value is obtained from the two-sided stratified log-rank test (stratification factors were disease stage – IIIA vs. IIIB vs. IIIC – and BRAF V600 mutation type – V600E vs. V600K)</w:t>
            </w:r>
          </w:p>
          <w:p w14:paraId="26BADF6E" w14:textId="77777777" w:rsidR="00A454BA" w:rsidRPr="00A454BA" w:rsidRDefault="00A454BA" w:rsidP="00A454BA">
            <w:pPr>
              <w:keepLines/>
              <w:tabs>
                <w:tab w:val="left" w:pos="459"/>
              </w:tabs>
              <w:autoSpaceDE/>
              <w:autoSpaceDN/>
              <w:adjustRightInd/>
              <w:spacing w:before="40" w:after="20" w:line="240" w:lineRule="auto"/>
              <w:jc w:val="left"/>
              <w:rPr>
                <w:rFonts w:ascii="Arial" w:eastAsia="MS Mincho" w:hAnsi="Arial" w:cs="Arial"/>
                <w:sz w:val="18"/>
                <w:szCs w:val="18"/>
                <w:lang w:val="en-US" w:eastAsia="zh-CN"/>
              </w:rPr>
            </w:pPr>
            <w:r w:rsidRPr="00A454BA">
              <w:rPr>
                <w:rFonts w:ascii="Arial" w:eastAsia="MS Mincho" w:hAnsi="Arial" w:cs="Arial"/>
                <w:sz w:val="18"/>
                <w:szCs w:val="18"/>
                <w:lang w:val="en-US" w:eastAsia="zh-CN"/>
              </w:rPr>
              <w:tab/>
              <w:t>NE = not estimable</w:t>
            </w:r>
          </w:p>
        </w:tc>
      </w:tr>
    </w:tbl>
    <w:p w14:paraId="6668E011" w14:textId="1D153BF3" w:rsidR="00A454BA" w:rsidRPr="00A454BA" w:rsidRDefault="00A454BA" w:rsidP="00926415">
      <w:pPr>
        <w:keepNext/>
        <w:keepLines/>
        <w:autoSpaceDE/>
        <w:autoSpaceDN/>
        <w:adjustRightInd/>
        <w:spacing w:before="240" w:after="60" w:line="240" w:lineRule="auto"/>
        <w:ind w:left="2421" w:hanging="1701"/>
        <w:jc w:val="left"/>
        <w:outlineLvl w:val="6"/>
        <w:rPr>
          <w:rFonts w:ascii="Arial" w:eastAsia="MS Gothic" w:hAnsi="Arial" w:cs="Arial"/>
          <w:b/>
          <w:sz w:val="22"/>
          <w:szCs w:val="20"/>
          <w:lang w:val="en-US" w:eastAsia="en-GB"/>
        </w:rPr>
      </w:pPr>
      <w:bookmarkStart w:id="19" w:name="_Toc494222219"/>
      <w:bookmarkStart w:id="20" w:name="_Toc494231762"/>
      <w:bookmarkStart w:id="21" w:name="_Toc494233142"/>
      <w:bookmarkStart w:id="22" w:name="_Toc495011620"/>
      <w:bookmarkStart w:id="23" w:name="_Toc495651906"/>
      <w:bookmarkStart w:id="24" w:name="_Toc497405349"/>
      <w:r w:rsidRPr="00A454BA">
        <w:rPr>
          <w:rFonts w:ascii="Arial" w:eastAsia="MS Gothic" w:hAnsi="Arial" w:cs="Arial"/>
          <w:b/>
          <w:sz w:val="22"/>
          <w:szCs w:val="20"/>
          <w:lang w:val="en-US" w:eastAsia="en-GB"/>
        </w:rPr>
        <w:t xml:space="preserve">Figure </w:t>
      </w:r>
      <w:r w:rsidR="00C73E06">
        <w:rPr>
          <w:rFonts w:ascii="Arial" w:eastAsia="MS Gothic" w:hAnsi="Arial" w:cs="Arial"/>
          <w:b/>
          <w:sz w:val="22"/>
          <w:szCs w:val="20"/>
          <w:lang w:val="en-US" w:eastAsia="en-GB"/>
        </w:rPr>
        <w:t>6</w:t>
      </w:r>
      <w:r w:rsidRPr="00A454BA">
        <w:rPr>
          <w:rFonts w:ascii="Arial" w:eastAsia="MS Gothic" w:hAnsi="Arial" w:cs="Arial"/>
          <w:b/>
          <w:sz w:val="22"/>
          <w:szCs w:val="20"/>
          <w:lang w:val="en-US" w:eastAsia="en-GB"/>
        </w:rPr>
        <w:tab/>
        <w:t>COMBI-AD – Overall survival Kaplan-Meier curves (ITT Population)</w:t>
      </w:r>
      <w:bookmarkEnd w:id="19"/>
      <w:bookmarkEnd w:id="20"/>
      <w:bookmarkEnd w:id="21"/>
      <w:bookmarkEnd w:id="22"/>
      <w:bookmarkEnd w:id="23"/>
      <w:bookmarkEnd w:id="24"/>
    </w:p>
    <w:p w14:paraId="32F62703" w14:textId="11CAF948" w:rsidR="00A454BA" w:rsidRDefault="00A454BA" w:rsidP="00926415">
      <w:pPr>
        <w:ind w:left="720"/>
      </w:pPr>
      <w:r>
        <w:rPr>
          <w:noProof/>
        </w:rPr>
        <w:drawing>
          <wp:inline distT="0" distB="0" distL="0" distR="0" wp14:anchorId="5C17DD5A" wp14:editId="6268BEE3">
            <wp:extent cx="5767070" cy="411543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7070" cy="4115435"/>
                    </a:xfrm>
                    <a:prstGeom prst="rect">
                      <a:avLst/>
                    </a:prstGeom>
                    <a:noFill/>
                  </pic:spPr>
                </pic:pic>
              </a:graphicData>
            </a:graphic>
          </wp:inline>
        </w:drawing>
      </w:r>
    </w:p>
    <w:p w14:paraId="0C54DAEB" w14:textId="746CB9F8" w:rsidR="005C626F" w:rsidRDefault="005C626F">
      <w:pPr>
        <w:autoSpaceDE/>
        <w:autoSpaceDN/>
        <w:adjustRightInd/>
        <w:spacing w:after="0" w:line="240" w:lineRule="auto"/>
        <w:jc w:val="left"/>
      </w:pPr>
    </w:p>
    <w:p w14:paraId="07FDE189" w14:textId="33BC614D" w:rsidR="00D06FFC" w:rsidRPr="007C5F5A" w:rsidRDefault="00D06FFC" w:rsidP="007C5F5A">
      <w:pPr>
        <w:numPr>
          <w:ilvl w:val="0"/>
          <w:numId w:val="39"/>
        </w:numPr>
        <w:autoSpaceDE/>
        <w:autoSpaceDN/>
        <w:adjustRightInd/>
        <w:contextualSpacing/>
        <w:rPr>
          <w:b/>
        </w:rPr>
      </w:pPr>
      <w:r w:rsidRPr="007C5F5A">
        <w:rPr>
          <w:b/>
        </w:rPr>
        <w:t>Pharmacokinetic</w:t>
      </w:r>
      <w:r w:rsidR="0096446D">
        <w:rPr>
          <w:b/>
        </w:rPr>
        <w:t xml:space="preserve"> propertie</w:t>
      </w:r>
      <w:r w:rsidRPr="007C5F5A">
        <w:rPr>
          <w:b/>
        </w:rPr>
        <w:t>s</w:t>
      </w:r>
    </w:p>
    <w:p w14:paraId="07FDE18A" w14:textId="59FAFBD8" w:rsidR="00E8156F" w:rsidRPr="00254BEF" w:rsidRDefault="00E8156F" w:rsidP="00676700">
      <w:pPr>
        <w:widowControl w:val="0"/>
        <w:spacing w:before="120" w:line="240" w:lineRule="auto"/>
        <w:ind w:left="357"/>
      </w:pPr>
      <w:r w:rsidRPr="00254BEF">
        <w:t xml:space="preserve">The pharmacokinetics of </w:t>
      </w:r>
      <w:r w:rsidR="00611665">
        <w:t>TAFINLAR</w:t>
      </w:r>
      <w:r w:rsidRPr="00254BEF">
        <w:t xml:space="preserve"> were determined in patients with BRAF mutation-positive metastatic melanoma </w:t>
      </w:r>
      <w:r w:rsidR="00AF5399" w:rsidRPr="00AF5399">
        <w:t>after single dose and after repeat</w:t>
      </w:r>
      <w:r w:rsidR="00AF5399">
        <w:t xml:space="preserve"> </w:t>
      </w:r>
      <w:r w:rsidR="00C96863" w:rsidRPr="00AF5399">
        <w:t>dosing</w:t>
      </w:r>
      <w:r w:rsidRPr="00254BEF">
        <w:t xml:space="preserve"> at 150 mg twice daily with dosing </w:t>
      </w:r>
      <w:r w:rsidRPr="00254BEF">
        <w:lastRenderedPageBreak/>
        <w:t>approximately 12 hours apart.</w:t>
      </w:r>
    </w:p>
    <w:p w14:paraId="07FDE18B" w14:textId="77777777" w:rsidR="00D06FFC" w:rsidRPr="0088047D" w:rsidRDefault="00D06FFC" w:rsidP="0088047D">
      <w:pPr>
        <w:pStyle w:val="Heading3"/>
        <w:ind w:left="357"/>
        <w:rPr>
          <w:b w:val="0"/>
          <w:u w:val="single"/>
        </w:rPr>
      </w:pPr>
      <w:r w:rsidRPr="0088047D">
        <w:rPr>
          <w:b w:val="0"/>
          <w:u w:val="single"/>
        </w:rPr>
        <w:t>Absorption</w:t>
      </w:r>
    </w:p>
    <w:p w14:paraId="07FDE18C" w14:textId="77777777" w:rsidR="00912DB9" w:rsidRPr="00254BEF" w:rsidRDefault="00074D10" w:rsidP="00220835">
      <w:pPr>
        <w:widowControl w:val="0"/>
        <w:ind w:left="357"/>
      </w:pPr>
      <w:r>
        <w:t>TAFINLAR</w:t>
      </w:r>
      <w:r w:rsidR="00912DB9" w:rsidRPr="00254BEF">
        <w:t xml:space="preserve"> is absorbed orally with median time to achieve peak plasma concentration of 2 hours post-dose. Mean absolute bioavailability of oral </w:t>
      </w:r>
      <w:r w:rsidR="00A335E2">
        <w:t>TAFINLAR</w:t>
      </w:r>
      <w:r w:rsidR="00912DB9" w:rsidRPr="00254BEF">
        <w:t xml:space="preserve"> is 95</w:t>
      </w:r>
      <w:r w:rsidR="00203491">
        <w:t xml:space="preserve"> </w:t>
      </w:r>
      <w:r w:rsidR="00D25A0C">
        <w:t>%</w:t>
      </w:r>
      <w:r w:rsidR="00912DB9" w:rsidRPr="00254BEF">
        <w:t xml:space="preserve"> (90</w:t>
      </w:r>
      <w:r w:rsidR="00203491">
        <w:t xml:space="preserve"> </w:t>
      </w:r>
      <w:r w:rsidR="00D25A0C">
        <w:t>%</w:t>
      </w:r>
      <w:r w:rsidR="00912DB9" w:rsidRPr="00254BEF">
        <w:t xml:space="preserve"> CI: 81, 110</w:t>
      </w:r>
      <w:r w:rsidR="00884759">
        <w:t xml:space="preserve"> </w:t>
      </w:r>
      <w:r w:rsidR="00D25A0C">
        <w:t>%</w:t>
      </w:r>
      <w:r w:rsidR="00912DB9" w:rsidRPr="00254BEF">
        <w:t xml:space="preserve">). </w:t>
      </w:r>
      <w:r w:rsidR="00A335E2">
        <w:t>TAFINLAR</w:t>
      </w:r>
      <w:r w:rsidR="00912DB9" w:rsidRPr="005D1137">
        <w:t xml:space="preserve"> exposure (C</w:t>
      </w:r>
      <w:r w:rsidR="00912DB9" w:rsidRPr="005D1137">
        <w:rPr>
          <w:vertAlign w:val="subscript"/>
        </w:rPr>
        <w:t xml:space="preserve">max </w:t>
      </w:r>
      <w:r w:rsidR="00912DB9" w:rsidRPr="005D1137">
        <w:t xml:space="preserve">and AUC) increased in a dose proportional manner between </w:t>
      </w:r>
      <w:r w:rsidR="00E47C91">
        <w:t>75</w:t>
      </w:r>
      <w:r w:rsidR="00E47C91" w:rsidRPr="005D1137">
        <w:t xml:space="preserve"> </w:t>
      </w:r>
      <w:r w:rsidR="00912DB9" w:rsidRPr="005D1137">
        <w:t xml:space="preserve">and </w:t>
      </w:r>
      <w:r w:rsidR="00E47C91">
        <w:t>150</w:t>
      </w:r>
      <w:r w:rsidR="00E47C91" w:rsidRPr="005D1137">
        <w:t> </w:t>
      </w:r>
      <w:r w:rsidR="00912DB9" w:rsidRPr="005D1137">
        <w:t xml:space="preserve">mg following single-dose administration, but the increase was </w:t>
      </w:r>
      <w:r w:rsidR="00E47C91">
        <w:t xml:space="preserve">slightly </w:t>
      </w:r>
      <w:r w:rsidR="00912DB9" w:rsidRPr="005D1137">
        <w:t xml:space="preserve">less than dose-proportional after repeat twice daily dosing. </w:t>
      </w:r>
      <w:r w:rsidR="00912DB9" w:rsidRPr="00AF5399">
        <w:t>There was a decrease in exposure observed with repeat dosing, likely due to induction of its own metabolism. Mean accumulation AUC Day 18/Day 1 ratios averaged 0.73. Following administration of 150 mg twice daily, geometric mean C</w:t>
      </w:r>
      <w:r w:rsidR="00912DB9" w:rsidRPr="00AF5399">
        <w:rPr>
          <w:vertAlign w:val="subscript"/>
        </w:rPr>
        <w:t>max</w:t>
      </w:r>
      <w:r w:rsidR="00912DB9" w:rsidRPr="00AF5399">
        <w:t>, AUC</w:t>
      </w:r>
      <w:r w:rsidR="00912DB9" w:rsidRPr="00AF5399">
        <w:rPr>
          <w:vertAlign w:val="subscript"/>
        </w:rPr>
        <w:t>(0-</w:t>
      </w:r>
      <w:r w:rsidR="00912DB9" w:rsidRPr="00AF5399">
        <w:rPr>
          <w:vertAlign w:val="subscript"/>
        </w:rPr>
        <w:sym w:font="Symbol" w:char="F074"/>
      </w:r>
      <w:r w:rsidR="00912DB9" w:rsidRPr="00AF5399">
        <w:rPr>
          <w:vertAlign w:val="subscript"/>
        </w:rPr>
        <w:t>)</w:t>
      </w:r>
      <w:r w:rsidR="00912DB9" w:rsidRPr="00AF5399">
        <w:t xml:space="preserve"> and </w:t>
      </w:r>
      <w:proofErr w:type="spellStart"/>
      <w:r w:rsidR="00912DB9" w:rsidRPr="00AF5399">
        <w:t>predose</w:t>
      </w:r>
      <w:proofErr w:type="spellEnd"/>
      <w:r w:rsidR="00912DB9" w:rsidRPr="00AF5399">
        <w:t xml:space="preserve"> concentration (C</w:t>
      </w:r>
      <w:r w:rsidR="00912DB9" w:rsidRPr="00AF5399">
        <w:sym w:font="Symbol" w:char="F074"/>
      </w:r>
      <w:r w:rsidR="00912DB9" w:rsidRPr="00AF5399">
        <w:t xml:space="preserve">) </w:t>
      </w:r>
      <w:r w:rsidR="00697EF8">
        <w:t xml:space="preserve">at steady state </w:t>
      </w:r>
      <w:r w:rsidR="00912DB9" w:rsidRPr="00AF5399">
        <w:t>were 1</w:t>
      </w:r>
      <w:r w:rsidR="002E7116">
        <w:t>,</w:t>
      </w:r>
      <w:r w:rsidR="00912DB9" w:rsidRPr="00AF5399">
        <w:t>478 ng/m</w:t>
      </w:r>
      <w:r w:rsidR="006C288A">
        <w:t>L</w:t>
      </w:r>
      <w:r w:rsidR="00912DB9" w:rsidRPr="00AF5399">
        <w:t>, 4</w:t>
      </w:r>
      <w:r w:rsidR="002E7116">
        <w:t>,</w:t>
      </w:r>
      <w:r w:rsidR="00912DB9" w:rsidRPr="00AF5399">
        <w:t>341 ng*h</w:t>
      </w:r>
      <w:r w:rsidR="00203491">
        <w:t>ou</w:t>
      </w:r>
      <w:r w:rsidR="00912DB9" w:rsidRPr="00AF5399">
        <w:t>r/m</w:t>
      </w:r>
      <w:r w:rsidR="00203491">
        <w:t>L</w:t>
      </w:r>
      <w:r w:rsidR="00912DB9" w:rsidRPr="00AF5399">
        <w:t xml:space="preserve"> and 26 ng/m</w:t>
      </w:r>
      <w:r w:rsidR="006C288A">
        <w:t>L</w:t>
      </w:r>
      <w:r w:rsidR="00912DB9" w:rsidRPr="00AF5399">
        <w:t>, respectively.</w:t>
      </w:r>
    </w:p>
    <w:p w14:paraId="07FDE18D" w14:textId="77777777" w:rsidR="00C07792" w:rsidRPr="00C07792" w:rsidRDefault="00C07792" w:rsidP="007C5F5A">
      <w:pPr>
        <w:ind w:left="360"/>
        <w:rPr>
          <w:i/>
        </w:rPr>
      </w:pPr>
      <w:r w:rsidRPr="00C07792">
        <w:rPr>
          <w:i/>
        </w:rPr>
        <w:t xml:space="preserve">Effect of food on </w:t>
      </w:r>
      <w:r w:rsidR="00A335E2">
        <w:rPr>
          <w:i/>
        </w:rPr>
        <w:t>TAFINLAR</w:t>
      </w:r>
    </w:p>
    <w:p w14:paraId="07FDE18E" w14:textId="0F1FD929" w:rsidR="00912DB9" w:rsidRPr="00254BEF" w:rsidRDefault="00912DB9" w:rsidP="007C5F5A">
      <w:pPr>
        <w:ind w:left="360"/>
      </w:pPr>
      <w:r w:rsidRPr="00254BEF">
        <w:t xml:space="preserve">Administration of </w:t>
      </w:r>
      <w:r w:rsidR="00074D10">
        <w:t>TAFINLAR</w:t>
      </w:r>
      <w:r w:rsidRPr="00254BEF">
        <w:t xml:space="preserve"> with food reduced the bioavailability (</w:t>
      </w:r>
      <w:r w:rsidRPr="00B94D46">
        <w:t>C</w:t>
      </w:r>
      <w:r w:rsidRPr="00B94D46">
        <w:rPr>
          <w:vertAlign w:val="subscript"/>
        </w:rPr>
        <w:t>max</w:t>
      </w:r>
      <w:r w:rsidRPr="00B94D46">
        <w:t xml:space="preserve"> an</w:t>
      </w:r>
      <w:r w:rsidR="008B5619" w:rsidRPr="00B94D46">
        <w:t>d AUC decreased by 51</w:t>
      </w:r>
      <w:r w:rsidR="00203491">
        <w:t xml:space="preserve"> </w:t>
      </w:r>
      <w:r w:rsidR="00D25A0C">
        <w:t>%</w:t>
      </w:r>
      <w:r w:rsidR="008B5619" w:rsidRPr="00A70A0A">
        <w:t xml:space="preserve"> and 31</w:t>
      </w:r>
      <w:r w:rsidR="00203491">
        <w:t xml:space="preserve"> </w:t>
      </w:r>
      <w:r w:rsidR="00D25A0C">
        <w:t>%</w:t>
      </w:r>
      <w:r w:rsidRPr="00A70A0A">
        <w:t xml:space="preserve"> r</w:t>
      </w:r>
      <w:r w:rsidRPr="00B94D46">
        <w:t xml:space="preserve">espectively) </w:t>
      </w:r>
      <w:r w:rsidRPr="00254BEF">
        <w:t xml:space="preserve">and delayed absorption of </w:t>
      </w:r>
      <w:r w:rsidR="00EA16B3">
        <w:t>TAFINLAR</w:t>
      </w:r>
      <w:r w:rsidRPr="00254BEF">
        <w:t xml:space="preserve"> capsules when compared to the fasted state. </w:t>
      </w:r>
      <w:r w:rsidR="00C07792">
        <w:t xml:space="preserve">Patients should take </w:t>
      </w:r>
      <w:r w:rsidR="00EA16B3">
        <w:t xml:space="preserve">TAFINLAR </w:t>
      </w:r>
      <w:r w:rsidR="00C07792">
        <w:t xml:space="preserve">as monotherapy or in combination with </w:t>
      </w:r>
      <w:r w:rsidR="00EA16B3">
        <w:t xml:space="preserve">MEKINIST </w:t>
      </w:r>
      <w:r w:rsidR="00C07792">
        <w:t xml:space="preserve">at least one hour prior to or two hours after a meal due to the effect of food on </w:t>
      </w:r>
      <w:r w:rsidR="00EA16B3">
        <w:t xml:space="preserve">TAFINLAR </w:t>
      </w:r>
      <w:r w:rsidR="00C07792">
        <w:t>absorption</w:t>
      </w:r>
      <w:r w:rsidR="00D065A0">
        <w:t xml:space="preserve"> (see </w:t>
      </w:r>
      <w:r w:rsidR="001C1405">
        <w:t>section 4.2</w:t>
      </w:r>
      <w:r w:rsidR="00CC7798" w:rsidRPr="00CC7798">
        <w:t xml:space="preserve"> Dose and method of </w:t>
      </w:r>
      <w:r w:rsidR="00F50B9D" w:rsidRPr="00CC7798">
        <w:t>administration</w:t>
      </w:r>
      <w:r w:rsidR="00D065A0">
        <w:t>)</w:t>
      </w:r>
      <w:r w:rsidR="00C07792">
        <w:t>.</w:t>
      </w:r>
    </w:p>
    <w:p w14:paraId="07FDE18F" w14:textId="77777777" w:rsidR="00D06FFC" w:rsidRPr="00DE27DD" w:rsidRDefault="00D06FFC" w:rsidP="007C5F5A">
      <w:pPr>
        <w:pStyle w:val="Heading3"/>
        <w:ind w:left="360"/>
        <w:rPr>
          <w:b w:val="0"/>
          <w:u w:val="single"/>
        </w:rPr>
      </w:pPr>
      <w:r w:rsidRPr="00DE27DD">
        <w:rPr>
          <w:b w:val="0"/>
          <w:u w:val="single"/>
        </w:rPr>
        <w:t>Distribution</w:t>
      </w:r>
    </w:p>
    <w:p w14:paraId="07FDE190" w14:textId="769A0421" w:rsidR="00E8156F" w:rsidRPr="00254BEF" w:rsidRDefault="00074D10" w:rsidP="007C5F5A">
      <w:pPr>
        <w:ind w:left="360"/>
      </w:pPr>
      <w:r>
        <w:t xml:space="preserve">The active in TAFINLAR </w:t>
      </w:r>
      <w:r w:rsidR="00E8156F" w:rsidRPr="00254BEF">
        <w:t xml:space="preserve">binds to human plasma protein and is </w:t>
      </w:r>
      <w:r w:rsidR="00912DB9" w:rsidRPr="00254BEF">
        <w:t>99.7</w:t>
      </w:r>
      <w:r w:rsidR="00203491">
        <w:t xml:space="preserve"> </w:t>
      </w:r>
      <w:r w:rsidR="00D25A0C">
        <w:t>%</w:t>
      </w:r>
      <w:r w:rsidR="00E8156F" w:rsidRPr="00254BEF">
        <w:t xml:space="preserve"> bound.  The steady-state volume of distribution following intravenous </w:t>
      </w:r>
      <w:proofErr w:type="spellStart"/>
      <w:r w:rsidR="00E8156F" w:rsidRPr="00254BEF">
        <w:t>microdose</w:t>
      </w:r>
      <w:proofErr w:type="spellEnd"/>
      <w:r w:rsidR="00E8156F" w:rsidRPr="00254BEF">
        <w:t xml:space="preserve"> administration is </w:t>
      </w:r>
      <w:r w:rsidR="00912DB9" w:rsidRPr="00254BEF">
        <w:t>46</w:t>
      </w:r>
      <w:r w:rsidR="00E8156F" w:rsidRPr="00254BEF">
        <w:t> L.</w:t>
      </w:r>
    </w:p>
    <w:p w14:paraId="07FDE191" w14:textId="77777777" w:rsidR="00377448" w:rsidRDefault="00074D10" w:rsidP="007C5F5A">
      <w:pPr>
        <w:ind w:left="360"/>
      </w:pPr>
      <w:r>
        <w:t xml:space="preserve">TAFINLAR </w:t>
      </w:r>
      <w:r w:rsidR="00377448">
        <w:t xml:space="preserve">is a substrate of human P-glycoprotein (Pgp) and murine BCRP </w:t>
      </w:r>
      <w:r w:rsidR="00377448" w:rsidRPr="00F37FE7">
        <w:rPr>
          <w:i/>
        </w:rPr>
        <w:t>in vitro</w:t>
      </w:r>
      <w:r w:rsidR="00377448">
        <w:t xml:space="preserve">. However, these transporters have minimal impact on </w:t>
      </w:r>
      <w:r w:rsidR="00B81129">
        <w:t xml:space="preserve">TAFINLAR </w:t>
      </w:r>
      <w:r w:rsidR="00377448">
        <w:t xml:space="preserve">oral bioavailability and elimination and the risk for clinically relevant drug-drug interactions with inhibitors of Pgp or BCRP is low. </w:t>
      </w:r>
      <w:r>
        <w:t xml:space="preserve">TAFINLAR </w:t>
      </w:r>
      <w:r w:rsidR="00377448">
        <w:t xml:space="preserve">is not an </w:t>
      </w:r>
      <w:r w:rsidR="00377448" w:rsidRPr="00F37FE7">
        <w:rPr>
          <w:i/>
        </w:rPr>
        <w:t>in vitro</w:t>
      </w:r>
      <w:r w:rsidR="00377448">
        <w:t xml:space="preserve"> substrate of OATP1B1, OATP1B3 or</w:t>
      </w:r>
      <w:r w:rsidR="000C7ECB">
        <w:t xml:space="preserve"> </w:t>
      </w:r>
      <w:r w:rsidR="00377448">
        <w:t>OATP2B1 transporters.</w:t>
      </w:r>
    </w:p>
    <w:p w14:paraId="07FDE192" w14:textId="77777777" w:rsidR="00377448" w:rsidRPr="00254BEF" w:rsidRDefault="00377448" w:rsidP="007C5F5A">
      <w:pPr>
        <w:ind w:left="360"/>
      </w:pPr>
      <w:r>
        <w:t xml:space="preserve">Neither </w:t>
      </w:r>
      <w:r w:rsidR="00B81129">
        <w:t xml:space="preserve">TAFINLAR </w:t>
      </w:r>
      <w:r>
        <w:t xml:space="preserve">nor its 3 main metabolites were demonstrated to be inhibitors of Pgp </w:t>
      </w:r>
      <w:r w:rsidRPr="00F37FE7">
        <w:rPr>
          <w:i/>
        </w:rPr>
        <w:t>in vitro</w:t>
      </w:r>
      <w:r>
        <w:t>.</w:t>
      </w:r>
    </w:p>
    <w:p w14:paraId="07FDE193" w14:textId="77777777" w:rsidR="00D06FFC" w:rsidRPr="00DE27DD" w:rsidRDefault="00D06FFC" w:rsidP="007C5F5A">
      <w:pPr>
        <w:pStyle w:val="Heading3"/>
        <w:ind w:left="360"/>
        <w:rPr>
          <w:b w:val="0"/>
          <w:u w:val="single"/>
        </w:rPr>
      </w:pPr>
      <w:r w:rsidRPr="00DE27DD">
        <w:rPr>
          <w:b w:val="0"/>
          <w:u w:val="single"/>
        </w:rPr>
        <w:t>Metabolism</w:t>
      </w:r>
    </w:p>
    <w:p w14:paraId="07FDE194" w14:textId="77777777" w:rsidR="008B5619" w:rsidRPr="008B5619" w:rsidRDefault="00912DB9" w:rsidP="007C5F5A">
      <w:pPr>
        <w:ind w:left="360"/>
      </w:pPr>
      <w:r w:rsidRPr="00254BEF">
        <w:t xml:space="preserve">The metabolism of </w:t>
      </w:r>
      <w:r w:rsidR="00074D10">
        <w:t>TAFINLAR</w:t>
      </w:r>
      <w:r w:rsidRPr="00254BEF">
        <w:t xml:space="preserve"> is primarily mediated by CYP2C8 and CYP3A4 to form </w:t>
      </w:r>
      <w:proofErr w:type="spellStart"/>
      <w:r w:rsidRPr="00254BEF">
        <w:t>hydroxy-dabrafenib</w:t>
      </w:r>
      <w:proofErr w:type="spellEnd"/>
      <w:r w:rsidRPr="00254BEF">
        <w:t>, which is further oxidized via CYP3A4 to for</w:t>
      </w:r>
      <w:r w:rsidR="008B5619">
        <w:t xml:space="preserve">m carboxy-dabrafenib.  </w:t>
      </w:r>
      <w:proofErr w:type="spellStart"/>
      <w:r w:rsidR="008B5619">
        <w:t>C</w:t>
      </w:r>
      <w:r w:rsidRPr="00254BEF">
        <w:t>arboxy</w:t>
      </w:r>
      <w:r w:rsidR="008B5619">
        <w:t>-dabrafenib</w:t>
      </w:r>
      <w:proofErr w:type="spellEnd"/>
      <w:r w:rsidRPr="00254BEF">
        <w:t xml:space="preserve"> can be </w:t>
      </w:r>
      <w:proofErr w:type="spellStart"/>
      <w:r w:rsidRPr="00254BEF">
        <w:t>decarboxylated</w:t>
      </w:r>
      <w:proofErr w:type="spellEnd"/>
      <w:r w:rsidRPr="00254BEF">
        <w:t xml:space="preserve"> via a non-enzymatic process to form desmethyl-dabrafenib.  Carboxy-dabrafenib is excreted in bile and urine. Desmethyl-dabrafenib </w:t>
      </w:r>
      <w:r w:rsidR="00BE7E9A">
        <w:t>may also be</w:t>
      </w:r>
      <w:r w:rsidRPr="00254BEF">
        <w:t xml:space="preserve"> formed in the gut</w:t>
      </w:r>
      <w:r w:rsidR="008B5619">
        <w:t xml:space="preserve"> and </w:t>
      </w:r>
      <w:r w:rsidRPr="00254BEF">
        <w:t>reabsorbed</w:t>
      </w:r>
      <w:r w:rsidR="008B5619">
        <w:t>.</w:t>
      </w:r>
      <w:r w:rsidRPr="00254BEF">
        <w:t xml:space="preserve"> </w:t>
      </w:r>
      <w:r w:rsidR="008B5619" w:rsidRPr="00AF5399">
        <w:t>Desmethyl-dabrafenib is metaboli</w:t>
      </w:r>
      <w:r w:rsidR="005D7273" w:rsidRPr="00AF5399">
        <w:t>s</w:t>
      </w:r>
      <w:r w:rsidR="008B5619" w:rsidRPr="00AF5399">
        <w:t>ed by CYP3A4 to oxidative metabolites.</w:t>
      </w:r>
      <w:r w:rsidR="008B5619" w:rsidRPr="00A70A0A">
        <w:t xml:space="preserve"> </w:t>
      </w:r>
      <w:proofErr w:type="spellStart"/>
      <w:r w:rsidR="008B5619" w:rsidRPr="00A70A0A">
        <w:t>Hydroxy-dabrafenib</w:t>
      </w:r>
      <w:proofErr w:type="spellEnd"/>
      <w:r w:rsidR="008B5619" w:rsidRPr="00A70A0A">
        <w:t xml:space="preserve"> terminal half-life parallels that of parent with a half-life of 10 h</w:t>
      </w:r>
      <w:r w:rsidR="00D25A0C">
        <w:t>ou</w:t>
      </w:r>
      <w:r w:rsidR="008B5619" w:rsidRPr="00A70A0A">
        <w:t>rs while the carboxy- and desmethyl-metabolites exhibited longer half-lives (21</w:t>
      </w:r>
      <w:r w:rsidR="00AF20D7">
        <w:t xml:space="preserve"> </w:t>
      </w:r>
      <w:r w:rsidR="002E7116">
        <w:t>to</w:t>
      </w:r>
      <w:r w:rsidR="00705D1F">
        <w:t xml:space="preserve"> </w:t>
      </w:r>
      <w:r w:rsidR="008B5619" w:rsidRPr="00A70A0A">
        <w:t xml:space="preserve">22 hours). Mean metabolite to parent AUC ratios following repeat-dose administration were 0.9, 11 and 0.7 for </w:t>
      </w:r>
      <w:proofErr w:type="spellStart"/>
      <w:r w:rsidR="008B5619" w:rsidRPr="00A70A0A">
        <w:t>hydroxy</w:t>
      </w:r>
      <w:proofErr w:type="spellEnd"/>
      <w:r w:rsidR="008B5619" w:rsidRPr="00A70A0A">
        <w:t xml:space="preserve">-, </w:t>
      </w:r>
      <w:proofErr w:type="spellStart"/>
      <w:r w:rsidR="008B5619" w:rsidRPr="00A70A0A">
        <w:t>carboxy</w:t>
      </w:r>
      <w:proofErr w:type="spellEnd"/>
      <w:r w:rsidR="008B5619" w:rsidRPr="00A70A0A">
        <w:t xml:space="preserve">-, and </w:t>
      </w:r>
      <w:proofErr w:type="spellStart"/>
      <w:r w:rsidR="008B5619" w:rsidRPr="00A70A0A">
        <w:t>desmethyl-dabrafenib</w:t>
      </w:r>
      <w:proofErr w:type="spellEnd"/>
      <w:r w:rsidR="008B5619" w:rsidRPr="00A70A0A">
        <w:t xml:space="preserve">, respectively.  Based on exposure, relative potency, and pharmacokinetic properties, both </w:t>
      </w:r>
      <w:proofErr w:type="spellStart"/>
      <w:r w:rsidR="008B5619" w:rsidRPr="00A70A0A">
        <w:t>hydroxy</w:t>
      </w:r>
      <w:proofErr w:type="spellEnd"/>
      <w:r w:rsidR="008B5619" w:rsidRPr="00A70A0A">
        <w:t xml:space="preserve">- and </w:t>
      </w:r>
      <w:proofErr w:type="spellStart"/>
      <w:r w:rsidR="008B5619" w:rsidRPr="00A70A0A">
        <w:t>desmethyl-dabrafenib</w:t>
      </w:r>
      <w:proofErr w:type="spellEnd"/>
      <w:r w:rsidR="008B5619" w:rsidRPr="00A70A0A">
        <w:t xml:space="preserve"> are likely to contribute to the clinical activity of </w:t>
      </w:r>
      <w:r w:rsidR="00B81129">
        <w:t>TAFINLAR</w:t>
      </w:r>
      <w:r w:rsidR="008B5619" w:rsidRPr="00A70A0A">
        <w:t>; while the activity of carboxy-dabrafenib is not likely to be significant.</w:t>
      </w:r>
    </w:p>
    <w:p w14:paraId="07FDE195" w14:textId="77777777" w:rsidR="00D06FFC" w:rsidRPr="00DE27DD" w:rsidRDefault="00E81E59" w:rsidP="007C5F5A">
      <w:pPr>
        <w:pStyle w:val="Heading3"/>
        <w:ind w:left="360"/>
        <w:rPr>
          <w:b w:val="0"/>
          <w:u w:val="single"/>
        </w:rPr>
      </w:pPr>
      <w:r w:rsidRPr="00DE27DD">
        <w:rPr>
          <w:b w:val="0"/>
          <w:u w:val="single"/>
        </w:rPr>
        <w:t>Excretion</w:t>
      </w:r>
    </w:p>
    <w:p w14:paraId="07FDE196" w14:textId="77777777" w:rsidR="0039761F" w:rsidRDefault="0093717D" w:rsidP="007C5F5A">
      <w:pPr>
        <w:ind w:left="360"/>
      </w:pPr>
      <w:r w:rsidRPr="00254BEF">
        <w:t xml:space="preserve">Terminal half-life following IV </w:t>
      </w:r>
      <w:proofErr w:type="spellStart"/>
      <w:r w:rsidRPr="00254BEF">
        <w:t>microdose</w:t>
      </w:r>
      <w:proofErr w:type="spellEnd"/>
      <w:r w:rsidRPr="00254BEF">
        <w:t xml:space="preserve"> is 2.6 hours. </w:t>
      </w:r>
      <w:r w:rsidR="009E7A82">
        <w:t>TAFINLAR</w:t>
      </w:r>
      <w:r w:rsidRPr="00254BEF">
        <w:t xml:space="preserve"> terminal half-life is 8 hours due to a prolonged terminal phase after oral administration.  IV </w:t>
      </w:r>
      <w:r w:rsidR="008B5619">
        <w:t xml:space="preserve">plasma </w:t>
      </w:r>
      <w:r w:rsidRPr="00254BEF">
        <w:t xml:space="preserve">clearance </w:t>
      </w:r>
      <w:r w:rsidR="00E47C91" w:rsidRPr="00E47C91">
        <w:t xml:space="preserve">after single dose </w:t>
      </w:r>
      <w:r w:rsidRPr="00254BEF">
        <w:t>is 12 L/h</w:t>
      </w:r>
      <w:r w:rsidR="00884759">
        <w:t>ou</w:t>
      </w:r>
      <w:r w:rsidRPr="00254BEF">
        <w:t xml:space="preserve">r. </w:t>
      </w:r>
      <w:r w:rsidR="00E47C91" w:rsidRPr="00E47C91">
        <w:t>Following repeat oral dose administration, the oral clearance (CL/F) is 35 L/h</w:t>
      </w:r>
      <w:r w:rsidR="00884759">
        <w:t>ou</w:t>
      </w:r>
      <w:r w:rsidR="00E47C91" w:rsidRPr="00E47C91">
        <w:t xml:space="preserve">r.  </w:t>
      </w:r>
    </w:p>
    <w:p w14:paraId="07FDE197" w14:textId="77777777" w:rsidR="0093717D" w:rsidRPr="00254BEF" w:rsidRDefault="0093717D" w:rsidP="007C5F5A">
      <w:pPr>
        <w:ind w:left="360"/>
      </w:pPr>
      <w:r w:rsidRPr="00254BEF">
        <w:lastRenderedPageBreak/>
        <w:t xml:space="preserve">Faecal excretion </w:t>
      </w:r>
      <w:r w:rsidR="000A6FAF" w:rsidRPr="000A6FAF">
        <w:t>mediated via CYP3A4 and CYP2C8</w:t>
      </w:r>
      <w:r w:rsidR="000A6FAF">
        <w:t xml:space="preserve"> metabolism </w:t>
      </w:r>
      <w:r w:rsidRPr="00254BEF">
        <w:t>is the major route of elimination after oral dose, accounting for 71</w:t>
      </w:r>
      <w:r w:rsidR="00884759">
        <w:t xml:space="preserve"> </w:t>
      </w:r>
      <w:r w:rsidR="00D25A0C">
        <w:t>%</w:t>
      </w:r>
      <w:r w:rsidRPr="00254BEF">
        <w:t xml:space="preserve"> of a radioactive dose while urinary excretion accounted for </w:t>
      </w:r>
      <w:r w:rsidR="00AF5399" w:rsidRPr="00254BEF">
        <w:t>2</w:t>
      </w:r>
      <w:r w:rsidR="00AF5399">
        <w:t>3</w:t>
      </w:r>
      <w:r w:rsidR="00884759">
        <w:t xml:space="preserve"> </w:t>
      </w:r>
      <w:r w:rsidR="00D25A0C">
        <w:t>%</w:t>
      </w:r>
      <w:r w:rsidRPr="00254BEF">
        <w:t xml:space="preserve"> of radioactivity as metabolites.</w:t>
      </w:r>
    </w:p>
    <w:p w14:paraId="07FDE198" w14:textId="77777777" w:rsidR="00912DB9" w:rsidRPr="00254BEF" w:rsidRDefault="00912DB9" w:rsidP="000B4520">
      <w:pPr>
        <w:pStyle w:val="Heading4"/>
        <w:keepNext/>
        <w:ind w:left="360"/>
      </w:pPr>
      <w:r w:rsidRPr="00254BEF">
        <w:t>Special Patient Populations</w:t>
      </w:r>
    </w:p>
    <w:p w14:paraId="07FDE199" w14:textId="53DAAB45" w:rsidR="00487519" w:rsidRPr="000B4520" w:rsidRDefault="00912DB9" w:rsidP="000B4520">
      <w:pPr>
        <w:pStyle w:val="Heading4"/>
        <w:keepNext/>
        <w:ind w:left="360"/>
        <w:rPr>
          <w:i/>
          <w:u w:val="none"/>
        </w:rPr>
      </w:pPr>
      <w:r w:rsidRPr="000B4520">
        <w:rPr>
          <w:i/>
          <w:u w:val="none"/>
        </w:rPr>
        <w:t xml:space="preserve">Hepatic Impairment </w:t>
      </w:r>
    </w:p>
    <w:p w14:paraId="07FDE19A" w14:textId="06E96ACF" w:rsidR="00281BB6" w:rsidRPr="0070730F" w:rsidRDefault="00481F60" w:rsidP="000B4520">
      <w:pPr>
        <w:widowControl w:val="0"/>
        <w:ind w:left="360"/>
      </w:pPr>
      <w:r w:rsidRPr="00481F60">
        <w:rPr>
          <w:lang w:val="en-US"/>
        </w:rPr>
        <w:t>A population pharmacokinetic analysis indicates that mildly elevated bilirubin and/or AST levels</w:t>
      </w:r>
      <w:r w:rsidR="00281BB6" w:rsidRPr="00254BEF">
        <w:rPr>
          <w:rFonts w:eastAsia="MS Mincho"/>
          <w:lang w:eastAsia="ja-JP"/>
        </w:rPr>
        <w:t xml:space="preserve"> (based on National Cancer Institute [NCI] classification) </w:t>
      </w:r>
      <w:r w:rsidRPr="00481F60">
        <w:rPr>
          <w:rFonts w:eastAsia="MS Mincho"/>
          <w:lang w:eastAsia="ja-JP"/>
        </w:rPr>
        <w:t xml:space="preserve">do not significantly affect </w:t>
      </w:r>
      <w:r w:rsidR="00B81129">
        <w:rPr>
          <w:rFonts w:eastAsia="MS Mincho"/>
          <w:lang w:eastAsia="ja-JP"/>
        </w:rPr>
        <w:t>TAFINLAR</w:t>
      </w:r>
      <w:r w:rsidR="00281BB6" w:rsidRPr="00254BEF">
        <w:t xml:space="preserve"> oral clearance. </w:t>
      </w:r>
      <w:r w:rsidR="00281BB6" w:rsidRPr="00254BEF">
        <w:rPr>
          <w:rFonts w:eastAsia="MS Mincho"/>
          <w:lang w:eastAsia="ja-JP"/>
        </w:rPr>
        <w:t xml:space="preserve">In addition, mild hepatic impairment </w:t>
      </w:r>
      <w:r w:rsidRPr="00481F60">
        <w:rPr>
          <w:rFonts w:eastAsia="MS Mincho"/>
          <w:lang w:eastAsia="ja-JP"/>
        </w:rPr>
        <w:t xml:space="preserve">as defined by bilirubin and AST </w:t>
      </w:r>
      <w:r w:rsidR="00281BB6" w:rsidRPr="00254BEF">
        <w:rPr>
          <w:rFonts w:eastAsia="MS Mincho"/>
          <w:lang w:eastAsia="ja-JP"/>
        </w:rPr>
        <w:t xml:space="preserve">did not have a significant effect on </w:t>
      </w:r>
      <w:r w:rsidR="00074D10">
        <w:rPr>
          <w:rFonts w:eastAsia="MS Mincho"/>
          <w:lang w:eastAsia="ja-JP"/>
        </w:rPr>
        <w:t>TAFINLAR</w:t>
      </w:r>
      <w:r w:rsidR="00281BB6" w:rsidRPr="00254BEF">
        <w:rPr>
          <w:rFonts w:eastAsia="MS Mincho"/>
          <w:lang w:eastAsia="ja-JP"/>
        </w:rPr>
        <w:t xml:space="preserve"> metabolite plasma concentrations.</w:t>
      </w:r>
      <w:r w:rsidRPr="00481F60">
        <w:t xml:space="preserve"> </w:t>
      </w:r>
      <w:r w:rsidRPr="00481F60">
        <w:rPr>
          <w:rFonts w:eastAsia="MS Mincho"/>
          <w:lang w:eastAsia="ja-JP"/>
        </w:rPr>
        <w:t xml:space="preserve">No data are available in patients with moderate to severe hepatic impairment. As hepatic metabolism and biliary secretion are the primary routes of elimination of </w:t>
      </w:r>
      <w:r w:rsidR="00074D10">
        <w:rPr>
          <w:rFonts w:eastAsia="MS Mincho"/>
          <w:lang w:eastAsia="ja-JP"/>
        </w:rPr>
        <w:t>TAFINLAR</w:t>
      </w:r>
      <w:r w:rsidRPr="00481F60">
        <w:rPr>
          <w:rFonts w:eastAsia="MS Mincho"/>
          <w:lang w:eastAsia="ja-JP"/>
        </w:rPr>
        <w:t xml:space="preserve"> and its metabolites, a</w:t>
      </w:r>
      <w:r w:rsidR="00281BB6" w:rsidRPr="00254BEF">
        <w:t xml:space="preserve">dministration of </w:t>
      </w:r>
      <w:r w:rsidR="00074D10">
        <w:t>TAFINLAR</w:t>
      </w:r>
      <w:r w:rsidR="00281BB6" w:rsidRPr="00254BEF">
        <w:t xml:space="preserve"> should be undertaken with caution in patients with moderate to severe hepatic impairment (</w:t>
      </w:r>
      <w:r w:rsidR="00281BB6" w:rsidRPr="0039761F">
        <w:t>see</w:t>
      </w:r>
      <w:r w:rsidR="00281BB6" w:rsidRPr="00254BEF">
        <w:rPr>
          <w:i/>
        </w:rPr>
        <w:t xml:space="preserve"> </w:t>
      </w:r>
      <w:r w:rsidR="001C1405">
        <w:t>section 4.2</w:t>
      </w:r>
      <w:r w:rsidR="00CC7798" w:rsidRPr="00CC7798">
        <w:t xml:space="preserve"> Dose and method of administration</w:t>
      </w:r>
      <w:r w:rsidR="00281BB6" w:rsidRPr="00CC7798">
        <w:t>)</w:t>
      </w:r>
      <w:r w:rsidR="00281BB6" w:rsidRPr="00254BEF">
        <w:rPr>
          <w:i/>
        </w:rPr>
        <w:t>.</w:t>
      </w:r>
    </w:p>
    <w:p w14:paraId="07FDE19B" w14:textId="43B33A86" w:rsidR="00487519" w:rsidRPr="000B4520" w:rsidRDefault="00912DB9" w:rsidP="000B4520">
      <w:pPr>
        <w:pStyle w:val="Heading4"/>
        <w:keepNext/>
        <w:ind w:left="360"/>
        <w:rPr>
          <w:i/>
          <w:u w:val="none"/>
        </w:rPr>
      </w:pPr>
      <w:r w:rsidRPr="000B4520">
        <w:rPr>
          <w:i/>
          <w:u w:val="none"/>
        </w:rPr>
        <w:t xml:space="preserve">Renal Impairment </w:t>
      </w:r>
    </w:p>
    <w:p w14:paraId="07FDE19C" w14:textId="2082E893" w:rsidR="00912DB9" w:rsidRPr="007A44F3" w:rsidRDefault="00481F60" w:rsidP="000B4520">
      <w:pPr>
        <w:ind w:left="360"/>
      </w:pPr>
      <w:r w:rsidRPr="00481F60">
        <w:t xml:space="preserve">A population pharmacokinetic analysis suggests that mild renal impairment does not affect oral clearance of </w:t>
      </w:r>
      <w:r w:rsidR="00074D10">
        <w:t>TAFINLAR</w:t>
      </w:r>
      <w:r w:rsidRPr="00481F60">
        <w:t>. Although data in moderate renal impairment are limited these data may indicate no clinically relevant effect</w:t>
      </w:r>
      <w:r w:rsidR="001C1405">
        <w:t>.</w:t>
      </w:r>
      <w:r w:rsidR="00912DB9" w:rsidRPr="00D74C63">
        <w:rPr>
          <w:rFonts w:eastAsia="MS Mincho"/>
          <w:lang w:eastAsia="ja-JP"/>
        </w:rPr>
        <w:t xml:space="preserve"> No data are available in </w:t>
      </w:r>
      <w:r w:rsidR="001C1405">
        <w:rPr>
          <w:rFonts w:eastAsia="MS Mincho"/>
          <w:lang w:eastAsia="ja-JP"/>
        </w:rPr>
        <w:t>patient</w:t>
      </w:r>
      <w:r w:rsidR="00912DB9" w:rsidRPr="00D74C63">
        <w:rPr>
          <w:rFonts w:eastAsia="MS Mincho"/>
          <w:lang w:eastAsia="ja-JP"/>
        </w:rPr>
        <w:t>s with severe renal impairment</w:t>
      </w:r>
      <w:r w:rsidR="00912DB9" w:rsidRPr="007A44F3">
        <w:t xml:space="preserve"> (</w:t>
      </w:r>
      <w:r w:rsidR="00912DB9" w:rsidRPr="00D74C63">
        <w:t>see</w:t>
      </w:r>
      <w:r w:rsidR="00912DB9" w:rsidRPr="007A44F3">
        <w:t xml:space="preserve"> </w:t>
      </w:r>
      <w:r w:rsidR="001C1405">
        <w:t>section 4.2</w:t>
      </w:r>
      <w:r w:rsidR="00CC7798" w:rsidRPr="00CC7798">
        <w:t xml:space="preserve"> Dose and method of </w:t>
      </w:r>
      <w:r w:rsidR="00F50B9D" w:rsidRPr="00CC7798">
        <w:t>administration</w:t>
      </w:r>
      <w:r w:rsidR="00912DB9" w:rsidRPr="007A44F3">
        <w:t>).</w:t>
      </w:r>
    </w:p>
    <w:p w14:paraId="07FDE19D" w14:textId="63AFD7A1" w:rsidR="00B64DF0" w:rsidRPr="000B4520" w:rsidRDefault="00B64DF0" w:rsidP="000B4520">
      <w:pPr>
        <w:pStyle w:val="Heading4"/>
        <w:keepNext/>
        <w:ind w:left="360"/>
        <w:rPr>
          <w:i/>
          <w:u w:val="none"/>
        </w:rPr>
      </w:pPr>
      <w:r w:rsidRPr="000B4520">
        <w:rPr>
          <w:i/>
          <w:u w:val="none"/>
        </w:rPr>
        <w:t xml:space="preserve">Paediatric </w:t>
      </w:r>
      <w:r w:rsidR="00137F52">
        <w:rPr>
          <w:i/>
          <w:u w:val="none"/>
        </w:rPr>
        <w:t>use</w:t>
      </w:r>
    </w:p>
    <w:p w14:paraId="07FDE19E" w14:textId="77777777" w:rsidR="00B64DF0" w:rsidRPr="00BD6F1D" w:rsidRDefault="00B64DF0" w:rsidP="000B4520">
      <w:pPr>
        <w:ind w:left="360"/>
      </w:pPr>
      <w:r w:rsidRPr="00BD6F1D">
        <w:t xml:space="preserve">No studies have been conducted to investigate the pharmacokinetics of </w:t>
      </w:r>
      <w:r w:rsidR="006D2505" w:rsidRPr="00BD6F1D">
        <w:t>TAFINLAR</w:t>
      </w:r>
      <w:r w:rsidRPr="00BD6F1D">
        <w:t xml:space="preserve"> in p</w:t>
      </w:r>
      <w:r>
        <w:t>a</w:t>
      </w:r>
      <w:r w:rsidRPr="00BD6F1D">
        <w:t>ediatric patients.</w:t>
      </w:r>
    </w:p>
    <w:p w14:paraId="07FDE19F" w14:textId="7529E0C7" w:rsidR="005E7445" w:rsidRPr="000B4520" w:rsidRDefault="00137F52" w:rsidP="000B4520">
      <w:pPr>
        <w:pStyle w:val="Heading4"/>
        <w:keepNext/>
        <w:ind w:left="360"/>
        <w:rPr>
          <w:i/>
          <w:u w:val="none"/>
        </w:rPr>
      </w:pPr>
      <w:r>
        <w:rPr>
          <w:i/>
          <w:u w:val="none"/>
        </w:rPr>
        <w:t>Use in the elderly</w:t>
      </w:r>
    </w:p>
    <w:p w14:paraId="07FDE1A0" w14:textId="298A7D06" w:rsidR="00281BB6" w:rsidRPr="00254BEF" w:rsidRDefault="00912DB9" w:rsidP="000B4520">
      <w:pPr>
        <w:widowControl w:val="0"/>
        <w:ind w:left="360"/>
      </w:pPr>
      <w:r w:rsidRPr="00D74C63">
        <w:t xml:space="preserve">Based on the population </w:t>
      </w:r>
      <w:r w:rsidRPr="00D74C63">
        <w:rPr>
          <w:lang w:val="en-US"/>
        </w:rPr>
        <w:t xml:space="preserve">pharmacokinetic analysis, age had no significant effect on </w:t>
      </w:r>
      <w:r w:rsidR="00074D10">
        <w:rPr>
          <w:lang w:val="en-US"/>
        </w:rPr>
        <w:t>TAFINLAR</w:t>
      </w:r>
      <w:r w:rsidRPr="00D74C63">
        <w:rPr>
          <w:lang w:val="en-US"/>
        </w:rPr>
        <w:t xml:space="preserve"> pharmacokinetics. Age greater than 75 years </w:t>
      </w:r>
      <w:r w:rsidRPr="00D74C63">
        <w:t xml:space="preserve">was a significant predictor of carboxy- and desmethyl-dabrafenib </w:t>
      </w:r>
      <w:r w:rsidR="0039761F" w:rsidRPr="00D74C63">
        <w:t xml:space="preserve">plasma </w:t>
      </w:r>
      <w:r w:rsidRPr="00D74C63">
        <w:t>concentrations with a 40</w:t>
      </w:r>
      <w:r w:rsidR="00650A12">
        <w:t xml:space="preserve"> </w:t>
      </w:r>
      <w:r w:rsidR="00D25A0C">
        <w:t>%</w:t>
      </w:r>
      <w:r w:rsidRPr="00D74C63">
        <w:t xml:space="preserve"> greater exposure</w:t>
      </w:r>
      <w:r w:rsidRPr="00254BEF">
        <w:t xml:space="preserve"> in </w:t>
      </w:r>
      <w:r w:rsidR="00F50B9D">
        <w:t>patient</w:t>
      </w:r>
      <w:r w:rsidR="00F50B9D" w:rsidRPr="00254BEF">
        <w:t>’s</w:t>
      </w:r>
      <w:r w:rsidRPr="00254BEF">
        <w:t xml:space="preserve"> ≥ 75 years of age, relative to </w:t>
      </w:r>
      <w:r w:rsidR="001C1405">
        <w:t>patient</w:t>
      </w:r>
      <w:r w:rsidRPr="00254BEF">
        <w:t xml:space="preserve">s &lt; 75 years old. </w:t>
      </w:r>
    </w:p>
    <w:p w14:paraId="07FDE1A1" w14:textId="77777777" w:rsidR="008C2564" w:rsidRPr="000B4520" w:rsidRDefault="00912DB9" w:rsidP="00676700">
      <w:pPr>
        <w:pStyle w:val="Heading4"/>
        <w:widowControl w:val="0"/>
        <w:ind w:left="360"/>
        <w:rPr>
          <w:i/>
          <w:u w:val="none"/>
        </w:rPr>
      </w:pPr>
      <w:r w:rsidRPr="000B4520">
        <w:rPr>
          <w:i/>
          <w:u w:val="none"/>
        </w:rPr>
        <w:t xml:space="preserve">Body Weight and Gender  </w:t>
      </w:r>
    </w:p>
    <w:p w14:paraId="07FDE1A2" w14:textId="77777777" w:rsidR="00912DB9" w:rsidRPr="00254BEF" w:rsidRDefault="00912DB9" w:rsidP="00676700">
      <w:pPr>
        <w:widowControl w:val="0"/>
        <w:ind w:left="360"/>
        <w:rPr>
          <w:lang w:val="en-US"/>
        </w:rPr>
      </w:pPr>
      <w:r w:rsidRPr="00254BEF">
        <w:t xml:space="preserve">Based on the population </w:t>
      </w:r>
      <w:r w:rsidRPr="00254BEF">
        <w:rPr>
          <w:lang w:val="en-US"/>
        </w:rPr>
        <w:t xml:space="preserve">pharmacokinetic analysis, </w:t>
      </w:r>
      <w:r w:rsidRPr="00254BEF">
        <w:t xml:space="preserve">gender and weight were found to influence </w:t>
      </w:r>
      <w:r w:rsidR="00611665">
        <w:t>TAFINLAR</w:t>
      </w:r>
      <w:r w:rsidRPr="00254BEF">
        <w:t xml:space="preserve"> oral clearance; weight also impacted oral volume of distribution and distributional clearance. These pharmacokinetic differences were not considered clinically relevant</w:t>
      </w:r>
      <w:r w:rsidRPr="00A112EC">
        <w:t>.</w:t>
      </w:r>
    </w:p>
    <w:p w14:paraId="07FDE1A3" w14:textId="77777777" w:rsidR="008C2564" w:rsidRPr="000B4520" w:rsidRDefault="00912DB9" w:rsidP="00676700">
      <w:pPr>
        <w:pStyle w:val="Heading4"/>
        <w:widowControl w:val="0"/>
        <w:ind w:left="360"/>
        <w:rPr>
          <w:i/>
          <w:u w:val="none"/>
        </w:rPr>
      </w:pPr>
      <w:r w:rsidRPr="000B4520">
        <w:rPr>
          <w:i/>
          <w:u w:val="none"/>
        </w:rPr>
        <w:t>Race</w:t>
      </w:r>
      <w:r w:rsidR="000B0963" w:rsidRPr="000B4520">
        <w:rPr>
          <w:i/>
          <w:u w:val="none"/>
        </w:rPr>
        <w:t>/Ethnicity</w:t>
      </w:r>
      <w:r w:rsidRPr="000B4520">
        <w:rPr>
          <w:i/>
          <w:u w:val="none"/>
        </w:rPr>
        <w:t xml:space="preserve">  </w:t>
      </w:r>
    </w:p>
    <w:p w14:paraId="07FDE1A4" w14:textId="77777777" w:rsidR="00912DB9" w:rsidRPr="00254BEF" w:rsidRDefault="00912DB9" w:rsidP="00676700">
      <w:pPr>
        <w:widowControl w:val="0"/>
        <w:ind w:left="360"/>
        <w:rPr>
          <w:lang w:eastAsia="en-US"/>
        </w:rPr>
      </w:pPr>
      <w:r w:rsidRPr="00254BEF">
        <w:rPr>
          <w:lang w:eastAsia="en-US"/>
        </w:rPr>
        <w:t xml:space="preserve">There are insufficient data to evaluate the potential effect of race on </w:t>
      </w:r>
      <w:r w:rsidR="00074D10">
        <w:rPr>
          <w:lang w:eastAsia="en-US"/>
        </w:rPr>
        <w:t>TAFINLAR</w:t>
      </w:r>
      <w:r w:rsidRPr="00254BEF">
        <w:rPr>
          <w:lang w:eastAsia="en-US"/>
        </w:rPr>
        <w:t xml:space="preserve"> pharmacokinetics.</w:t>
      </w:r>
    </w:p>
    <w:p w14:paraId="265F029B" w14:textId="77777777" w:rsidR="00E438A1" w:rsidRPr="00E438A1" w:rsidRDefault="00E438A1" w:rsidP="00676700">
      <w:pPr>
        <w:widowControl w:val="0"/>
        <w:numPr>
          <w:ilvl w:val="0"/>
          <w:numId w:val="39"/>
        </w:numPr>
        <w:autoSpaceDE/>
        <w:autoSpaceDN/>
        <w:adjustRightInd/>
        <w:contextualSpacing/>
        <w:rPr>
          <w:b/>
        </w:rPr>
      </w:pPr>
      <w:r w:rsidRPr="00E438A1">
        <w:rPr>
          <w:b/>
        </w:rPr>
        <w:t>Preclinical Safety Data</w:t>
      </w:r>
    </w:p>
    <w:p w14:paraId="07FDE35E" w14:textId="77777777" w:rsidR="00E81E59" w:rsidRPr="00F23670" w:rsidRDefault="00E81E59" w:rsidP="00F23670">
      <w:pPr>
        <w:pStyle w:val="Heading2"/>
        <w:ind w:left="360"/>
        <w:rPr>
          <w:b w:val="0"/>
        </w:rPr>
      </w:pPr>
      <w:r w:rsidRPr="00F23670">
        <w:rPr>
          <w:b w:val="0"/>
        </w:rPr>
        <w:t>Genotoxicity</w:t>
      </w:r>
    </w:p>
    <w:p w14:paraId="07FDE35F" w14:textId="77777777" w:rsidR="002771DC" w:rsidRPr="00254BEF" w:rsidRDefault="000D5431" w:rsidP="00F23670">
      <w:pPr>
        <w:ind w:left="360"/>
      </w:pPr>
      <w:r>
        <w:t>TAFINLAR</w:t>
      </w:r>
      <w:r w:rsidR="002771DC" w:rsidRPr="00254BEF">
        <w:t xml:space="preserve"> was not mutagenic or clastogenic using </w:t>
      </w:r>
      <w:r w:rsidR="002771DC" w:rsidRPr="00A70A0A">
        <w:rPr>
          <w:i/>
        </w:rPr>
        <w:t>in vitro</w:t>
      </w:r>
      <w:r w:rsidR="002771DC" w:rsidRPr="00254BEF">
        <w:t xml:space="preserve"> tests in bacteria and cultured mammalian cells, and an </w:t>
      </w:r>
      <w:r w:rsidR="002771DC" w:rsidRPr="00A70A0A">
        <w:rPr>
          <w:i/>
        </w:rPr>
        <w:t>in vivo</w:t>
      </w:r>
      <w:r w:rsidR="002771DC" w:rsidRPr="00254BEF">
        <w:t xml:space="preserve"> rodent micronucleus assay.</w:t>
      </w:r>
    </w:p>
    <w:p w14:paraId="07FDE360" w14:textId="77777777" w:rsidR="00242B97" w:rsidRPr="00F23670" w:rsidRDefault="00242B97" w:rsidP="00F23670">
      <w:pPr>
        <w:pStyle w:val="Heading2"/>
        <w:ind w:left="360"/>
        <w:rPr>
          <w:b w:val="0"/>
        </w:rPr>
      </w:pPr>
      <w:r w:rsidRPr="00F23670">
        <w:rPr>
          <w:b w:val="0"/>
        </w:rPr>
        <w:t>Carcinogenicity</w:t>
      </w:r>
    </w:p>
    <w:p w14:paraId="07FDE361" w14:textId="40EB1AC8" w:rsidR="002771DC" w:rsidRDefault="002771DC" w:rsidP="00F23670">
      <w:pPr>
        <w:ind w:left="360"/>
      </w:pPr>
      <w:r w:rsidRPr="00254BEF">
        <w:t xml:space="preserve">Carcinogenicity studies with </w:t>
      </w:r>
      <w:r w:rsidR="000D5431">
        <w:t>TAFINLAR</w:t>
      </w:r>
      <w:r w:rsidRPr="00254BEF">
        <w:t xml:space="preserve"> have not been conducted. </w:t>
      </w:r>
      <w:r w:rsidR="00023418" w:rsidRPr="00023418">
        <w:t>An increase in cutaneous malignancies has been observed with BRAF inhibitors with preliminary evidence suggesting this occurs in patients harbouring other MAPK pathway mutations, including RAS, in skin</w:t>
      </w:r>
      <w:r w:rsidR="00697EF8">
        <w:t xml:space="preserve"> (see </w:t>
      </w:r>
      <w:r w:rsidR="001C1405">
        <w:lastRenderedPageBreak/>
        <w:t xml:space="preserve">section 4.4 </w:t>
      </w:r>
      <w:r w:rsidR="00137F52">
        <w:t xml:space="preserve">Special warnings and precautions for use </w:t>
      </w:r>
      <w:r w:rsidR="00697EF8">
        <w:t>for cuSCC, new</w:t>
      </w:r>
      <w:r w:rsidR="00FE626C">
        <w:t xml:space="preserve"> </w:t>
      </w:r>
      <w:r w:rsidR="00697EF8">
        <w:t>primary melanoma and n</w:t>
      </w:r>
      <w:r w:rsidR="00697EF8" w:rsidRPr="00697EF8">
        <w:t>on-cutaneous malignancy</w:t>
      </w:r>
      <w:r w:rsidR="00697EF8">
        <w:t>)</w:t>
      </w:r>
      <w:r w:rsidR="00023418" w:rsidRPr="00023418">
        <w:t>.</w:t>
      </w:r>
    </w:p>
    <w:p w14:paraId="5C841C76" w14:textId="77777777" w:rsidR="00352F71" w:rsidRPr="003533B2" w:rsidRDefault="00352F71" w:rsidP="003533B2">
      <w:pPr>
        <w:pStyle w:val="Heading2"/>
        <w:keepNext w:val="0"/>
        <w:numPr>
          <w:ilvl w:val="0"/>
          <w:numId w:val="34"/>
        </w:numPr>
        <w:autoSpaceDE/>
        <w:autoSpaceDN/>
        <w:adjustRightInd/>
        <w:spacing w:before="120" w:line="240" w:lineRule="auto"/>
        <w:rPr>
          <w:bCs/>
          <w:sz w:val="28"/>
          <w:szCs w:val="28"/>
          <w:lang w:val="en-AU"/>
        </w:rPr>
      </w:pPr>
      <w:r w:rsidRPr="003533B2">
        <w:rPr>
          <w:bCs/>
          <w:sz w:val="28"/>
          <w:szCs w:val="28"/>
          <w:lang w:val="en-AU"/>
        </w:rPr>
        <w:t>PHARMACEUTICAL PARTICULARS</w:t>
      </w:r>
    </w:p>
    <w:p w14:paraId="5344BC50" w14:textId="77777777" w:rsidR="00352F71" w:rsidRPr="00352F71" w:rsidRDefault="00352F71" w:rsidP="00352F71">
      <w:pPr>
        <w:numPr>
          <w:ilvl w:val="0"/>
          <w:numId w:val="32"/>
        </w:numPr>
        <w:autoSpaceDE/>
        <w:autoSpaceDN/>
        <w:adjustRightInd/>
        <w:contextualSpacing/>
        <w:rPr>
          <w:b/>
        </w:rPr>
      </w:pPr>
      <w:r w:rsidRPr="00352F71">
        <w:rPr>
          <w:b/>
        </w:rPr>
        <w:t xml:space="preserve"> List Of Excipients</w:t>
      </w:r>
    </w:p>
    <w:p w14:paraId="7F609F4D" w14:textId="4738DB93" w:rsidR="00E11C29" w:rsidRPr="003533B2" w:rsidDel="003533B2" w:rsidRDefault="00E11C29" w:rsidP="00E11C29">
      <w:pPr>
        <w:ind w:left="360"/>
      </w:pPr>
      <w:r w:rsidRPr="003533B2" w:rsidDel="003533B2">
        <w:t>T</w:t>
      </w:r>
      <w:r>
        <w:t>AFINLAR</w:t>
      </w:r>
      <w:r w:rsidRPr="003533B2" w:rsidDel="003533B2">
        <w:t xml:space="preserve"> capsules contain the following inactive ingredients: microcrystalline cellulose, magnesium stearate (vegetable source), colloidal anhydrous silica, iron oxide red, titanium dioxide, hypromellose, iron oxide black, shellac, butan-1-ol, isopropyl alcohol, propylene glycol, and ammonium hydroxide.</w:t>
      </w:r>
    </w:p>
    <w:p w14:paraId="7F8856CB" w14:textId="77777777" w:rsidR="00982724" w:rsidRPr="009E7CC5" w:rsidRDefault="00982724" w:rsidP="00220835">
      <w:pPr>
        <w:numPr>
          <w:ilvl w:val="0"/>
          <w:numId w:val="32"/>
        </w:numPr>
        <w:autoSpaceDE/>
        <w:autoSpaceDN/>
        <w:adjustRightInd/>
        <w:spacing w:after="0" w:line="240" w:lineRule="auto"/>
        <w:ind w:left="357" w:hanging="357"/>
        <w:contextualSpacing/>
        <w:rPr>
          <w:b/>
        </w:rPr>
      </w:pPr>
      <w:r w:rsidRPr="009E7CC5">
        <w:rPr>
          <w:b/>
        </w:rPr>
        <w:t>Incompatibilities</w:t>
      </w:r>
    </w:p>
    <w:p w14:paraId="2C76A095" w14:textId="0B67860B" w:rsidR="00982724" w:rsidRPr="009E7CC5" w:rsidRDefault="004C6B47" w:rsidP="00982724">
      <w:pPr>
        <w:pStyle w:val="Heading2"/>
        <w:ind w:left="360"/>
        <w:rPr>
          <w:b w:val="0"/>
          <w:u w:val="none"/>
        </w:rPr>
      </w:pPr>
      <w:r>
        <w:rPr>
          <w:b w:val="0"/>
          <w:u w:val="none"/>
        </w:rPr>
        <w:t>Incompatibilities were either not assessed or not identified as part of the registration of this medicine</w:t>
      </w:r>
      <w:r w:rsidR="00982724" w:rsidRPr="009E7CC5">
        <w:rPr>
          <w:b w:val="0"/>
          <w:u w:val="none"/>
        </w:rPr>
        <w:t>.</w:t>
      </w:r>
    </w:p>
    <w:p w14:paraId="511607F9" w14:textId="77777777" w:rsidR="00982724" w:rsidRPr="00982724" w:rsidRDefault="00982724" w:rsidP="00982724">
      <w:pPr>
        <w:numPr>
          <w:ilvl w:val="0"/>
          <w:numId w:val="32"/>
        </w:numPr>
        <w:autoSpaceDE/>
        <w:autoSpaceDN/>
        <w:adjustRightInd/>
        <w:contextualSpacing/>
        <w:rPr>
          <w:b/>
        </w:rPr>
      </w:pPr>
      <w:r w:rsidRPr="00982724">
        <w:rPr>
          <w:b/>
        </w:rPr>
        <w:t>Shelf-life</w:t>
      </w:r>
    </w:p>
    <w:p w14:paraId="553CBAD7" w14:textId="77777777" w:rsidR="00982724" w:rsidRPr="00982724" w:rsidRDefault="00982724" w:rsidP="00982724">
      <w:pPr>
        <w:autoSpaceDE/>
        <w:autoSpaceDN/>
        <w:adjustRightInd/>
        <w:spacing w:line="240" w:lineRule="auto"/>
        <w:ind w:left="360"/>
        <w:outlineLvl w:val="1"/>
        <w:rPr>
          <w:bCs/>
        </w:rPr>
      </w:pPr>
      <w:r w:rsidRPr="00982724">
        <w:rPr>
          <w:bCs/>
        </w:rPr>
        <w:t>In Australia, information on the shelf life can be found on the public summary of the Australian Register of Therapeutic Goods (ARTG). The expiry date can be found on the packaging.</w:t>
      </w:r>
    </w:p>
    <w:p w14:paraId="22B170CA" w14:textId="6B4C6A2B" w:rsidR="00982724" w:rsidRPr="00C54309" w:rsidRDefault="00982724" w:rsidP="00C54309">
      <w:pPr>
        <w:numPr>
          <w:ilvl w:val="0"/>
          <w:numId w:val="32"/>
        </w:numPr>
        <w:autoSpaceDE/>
        <w:autoSpaceDN/>
        <w:adjustRightInd/>
        <w:contextualSpacing/>
        <w:rPr>
          <w:b/>
        </w:rPr>
      </w:pPr>
      <w:r w:rsidRPr="00982724">
        <w:rPr>
          <w:b/>
        </w:rPr>
        <w:t xml:space="preserve">Special precautions for </w:t>
      </w:r>
      <w:r w:rsidRPr="00C54309">
        <w:rPr>
          <w:b/>
        </w:rPr>
        <w:t xml:space="preserve">Storage </w:t>
      </w:r>
    </w:p>
    <w:p w14:paraId="0C40AFD5" w14:textId="77777777" w:rsidR="00982724" w:rsidRPr="00254BEF" w:rsidRDefault="00982724" w:rsidP="00C54309">
      <w:pPr>
        <w:ind w:left="360"/>
      </w:pPr>
      <w:proofErr w:type="gramStart"/>
      <w:r w:rsidRPr="00254BEF">
        <w:t xml:space="preserve">Store </w:t>
      </w:r>
      <w:r>
        <w:t xml:space="preserve">TAFINLAR capsules </w:t>
      </w:r>
      <w:r w:rsidRPr="00254BEF">
        <w:t>below 30°C.</w:t>
      </w:r>
      <w:proofErr w:type="gramEnd"/>
    </w:p>
    <w:p w14:paraId="0B346427" w14:textId="77777777" w:rsidR="00982724" w:rsidRPr="00982724" w:rsidRDefault="00982724" w:rsidP="00C54309">
      <w:pPr>
        <w:numPr>
          <w:ilvl w:val="0"/>
          <w:numId w:val="32"/>
        </w:numPr>
        <w:autoSpaceDE/>
        <w:autoSpaceDN/>
        <w:adjustRightInd/>
        <w:contextualSpacing/>
        <w:rPr>
          <w:b/>
        </w:rPr>
      </w:pPr>
      <w:r w:rsidRPr="00982724">
        <w:rPr>
          <w:b/>
        </w:rPr>
        <w:t>Nature and contents of the container</w:t>
      </w:r>
    </w:p>
    <w:p w14:paraId="09EBA0D3" w14:textId="66E8F513" w:rsidR="002E4DF0" w:rsidRPr="00254BEF" w:rsidRDefault="002E4DF0" w:rsidP="00DF1553">
      <w:pPr>
        <w:ind w:left="360"/>
      </w:pPr>
      <w:r w:rsidRPr="00254BEF">
        <w:t>T</w:t>
      </w:r>
      <w:r>
        <w:t>AFINLAR</w:t>
      </w:r>
      <w:r w:rsidRPr="00254BEF">
        <w:t xml:space="preserve"> capsules are supplied in high-density polyethylene (HDPE) bottles with child resistant polypropylene closures</w:t>
      </w:r>
      <w:r>
        <w:t>. The packs</w:t>
      </w:r>
      <w:r w:rsidRPr="00254BEF">
        <w:t xml:space="preserve"> contain</w:t>
      </w:r>
      <w:r>
        <w:t xml:space="preserve"> either</w:t>
      </w:r>
      <w:r w:rsidRPr="00254BEF">
        <w:t xml:space="preserve"> 28</w:t>
      </w:r>
      <w:r>
        <w:t>*</w:t>
      </w:r>
      <w:r w:rsidRPr="00254BEF">
        <w:t xml:space="preserve"> or 120 capsules.</w:t>
      </w:r>
    </w:p>
    <w:p w14:paraId="4FCC567E" w14:textId="77777777" w:rsidR="00982724" w:rsidRPr="00254BEF" w:rsidRDefault="00982724" w:rsidP="00C54309">
      <w:pPr>
        <w:ind w:left="360"/>
      </w:pPr>
      <w:r>
        <w:t>*Not all pack sizes may be marketed.</w:t>
      </w:r>
    </w:p>
    <w:p w14:paraId="07FDE881" w14:textId="77777777" w:rsidR="00365788" w:rsidRPr="00910946" w:rsidRDefault="00365788" w:rsidP="00910946">
      <w:pPr>
        <w:numPr>
          <w:ilvl w:val="0"/>
          <w:numId w:val="32"/>
        </w:numPr>
        <w:autoSpaceDE/>
        <w:autoSpaceDN/>
        <w:adjustRightInd/>
        <w:contextualSpacing/>
        <w:rPr>
          <w:b/>
        </w:rPr>
      </w:pPr>
      <w:r w:rsidRPr="00910946">
        <w:rPr>
          <w:b/>
        </w:rPr>
        <w:t>Special precautions for disposal</w:t>
      </w:r>
    </w:p>
    <w:p w14:paraId="07FDE882" w14:textId="44BF1461" w:rsidR="00365788" w:rsidRDefault="00365788" w:rsidP="00C54309">
      <w:pPr>
        <w:ind w:left="360"/>
      </w:pPr>
      <w:r>
        <w:t>Any unused product should not be disposed of in household waste or wastewater. Return it to a pharmacist for safe disposal.</w:t>
      </w:r>
    </w:p>
    <w:p w14:paraId="14D969F0" w14:textId="77777777" w:rsidR="008679D3" w:rsidRPr="008679D3" w:rsidRDefault="008679D3" w:rsidP="008679D3">
      <w:pPr>
        <w:numPr>
          <w:ilvl w:val="0"/>
          <w:numId w:val="32"/>
        </w:numPr>
        <w:autoSpaceDE/>
        <w:autoSpaceDN/>
        <w:adjustRightInd/>
        <w:contextualSpacing/>
        <w:rPr>
          <w:b/>
        </w:rPr>
      </w:pPr>
      <w:r w:rsidRPr="008679D3">
        <w:rPr>
          <w:b/>
        </w:rPr>
        <w:t>Physicochemical properties</w:t>
      </w:r>
    </w:p>
    <w:tbl>
      <w:tblPr>
        <w:tblStyle w:val="TableGrid"/>
        <w:tblW w:w="955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1990"/>
        <w:gridCol w:w="5091"/>
      </w:tblGrid>
      <w:tr w:rsidR="00E01B03" w:rsidRPr="00E01B03" w14:paraId="55C1D63A" w14:textId="77777777" w:rsidTr="008220EB">
        <w:tc>
          <w:tcPr>
            <w:tcW w:w="2470" w:type="dxa"/>
          </w:tcPr>
          <w:p w14:paraId="7B39721A" w14:textId="77777777" w:rsidR="00E01B03" w:rsidRPr="00E01B03" w:rsidRDefault="00E01B03" w:rsidP="00E01B03">
            <w:pPr>
              <w:keepNext/>
              <w:autoSpaceDE/>
              <w:autoSpaceDN/>
              <w:adjustRightInd/>
              <w:jc w:val="left"/>
              <w:rPr>
                <w:u w:val="single"/>
              </w:rPr>
            </w:pPr>
            <w:r w:rsidRPr="00E01B03">
              <w:rPr>
                <w:u w:val="single"/>
              </w:rPr>
              <w:t xml:space="preserve">Chemical structure </w:t>
            </w:r>
          </w:p>
          <w:p w14:paraId="65DB551E" w14:textId="77777777" w:rsidR="00E01B03" w:rsidRPr="00E01B03" w:rsidRDefault="00E01B03" w:rsidP="00E01B03">
            <w:pPr>
              <w:autoSpaceDE/>
              <w:autoSpaceDN/>
              <w:adjustRightInd/>
              <w:jc w:val="left"/>
              <w:rPr>
                <w:b/>
              </w:rPr>
            </w:pPr>
          </w:p>
        </w:tc>
        <w:tc>
          <w:tcPr>
            <w:tcW w:w="7081" w:type="dxa"/>
            <w:gridSpan w:val="2"/>
          </w:tcPr>
          <w:p w14:paraId="2A5D3B8A" w14:textId="3DC08C38" w:rsidR="00E01B03" w:rsidRPr="00E01B03" w:rsidRDefault="00E01B03" w:rsidP="00E01B03">
            <w:pPr>
              <w:autoSpaceDE/>
              <w:autoSpaceDN/>
              <w:adjustRightInd/>
              <w:rPr>
                <w:b/>
              </w:rPr>
            </w:pPr>
            <w:r w:rsidRPr="00254BEF" w:rsidDel="008679D3">
              <w:object w:dxaOrig="4095" w:dyaOrig="4785" w14:anchorId="4C283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in" o:ole="">
                  <v:imagedata r:id="rId23" o:title=""/>
                  <o:lock v:ext="edit" aspectratio="f"/>
                </v:shape>
                <o:OLEObject Type="Embed" ProgID="ISISServer" ShapeID="_x0000_i1025" DrawAspect="Content" ObjectID="_1609577277" r:id="rId24"/>
              </w:object>
            </w:r>
          </w:p>
        </w:tc>
      </w:tr>
      <w:tr w:rsidR="00E01B03" w:rsidRPr="00E01B03" w14:paraId="25DFADDB" w14:textId="77777777" w:rsidTr="00220835">
        <w:tc>
          <w:tcPr>
            <w:tcW w:w="4460" w:type="dxa"/>
            <w:gridSpan w:val="2"/>
          </w:tcPr>
          <w:p w14:paraId="084458A6" w14:textId="27FBD7F4" w:rsidR="00E01B03" w:rsidRPr="00E01B03" w:rsidRDefault="00E01B03" w:rsidP="00F50B9D">
            <w:pPr>
              <w:keepNext/>
              <w:autoSpaceDE/>
              <w:autoSpaceDN/>
              <w:adjustRightInd/>
              <w:jc w:val="left"/>
              <w:rPr>
                <w:b/>
              </w:rPr>
            </w:pPr>
            <w:r w:rsidRPr="00E01B03">
              <w:rPr>
                <w:u w:val="single"/>
              </w:rPr>
              <w:t>Chemical Abstracts Service (CAS)</w:t>
            </w:r>
            <w:r>
              <w:rPr>
                <w:u w:val="single"/>
              </w:rPr>
              <w:t xml:space="preserve"> number</w:t>
            </w:r>
            <w:r w:rsidRPr="00E01B03">
              <w:rPr>
                <w:u w:val="single"/>
              </w:rPr>
              <w:t xml:space="preserve"> </w:t>
            </w:r>
          </w:p>
        </w:tc>
        <w:tc>
          <w:tcPr>
            <w:tcW w:w="5091" w:type="dxa"/>
          </w:tcPr>
          <w:p w14:paraId="41098928" w14:textId="03986903" w:rsidR="00E01B03" w:rsidRPr="00E01B03" w:rsidRDefault="00E01B03" w:rsidP="00E01B03">
            <w:pPr>
              <w:autoSpaceDE/>
              <w:autoSpaceDN/>
              <w:adjustRightInd/>
              <w:spacing w:after="0" w:line="240" w:lineRule="auto"/>
              <w:rPr>
                <w:b/>
              </w:rPr>
            </w:pPr>
            <w:r w:rsidRPr="007F4FDA" w:rsidDel="008679D3">
              <w:t>1195768-06-9</w:t>
            </w:r>
          </w:p>
        </w:tc>
      </w:tr>
      <w:tr w:rsidR="00E01B03" w:rsidRPr="00E01B03" w14:paraId="455F7310" w14:textId="77777777" w:rsidTr="008220EB">
        <w:tc>
          <w:tcPr>
            <w:tcW w:w="2470" w:type="dxa"/>
          </w:tcPr>
          <w:p w14:paraId="111D7ABC" w14:textId="77777777" w:rsidR="00E01B03" w:rsidRPr="00E01B03" w:rsidRDefault="00E01B03" w:rsidP="00E01B03">
            <w:pPr>
              <w:autoSpaceDE/>
              <w:autoSpaceDN/>
              <w:adjustRightInd/>
              <w:jc w:val="left"/>
              <w:rPr>
                <w:b/>
              </w:rPr>
            </w:pPr>
            <w:r w:rsidRPr="00E01B03">
              <w:t>Chemical name</w:t>
            </w:r>
          </w:p>
        </w:tc>
        <w:tc>
          <w:tcPr>
            <w:tcW w:w="7081" w:type="dxa"/>
            <w:gridSpan w:val="2"/>
          </w:tcPr>
          <w:p w14:paraId="4973B6BF" w14:textId="77777777" w:rsidR="00E01B03" w:rsidRPr="00C54309" w:rsidDel="008679D3" w:rsidRDefault="00E01B03" w:rsidP="00E01B03">
            <w:pPr>
              <w:spacing w:after="0" w:line="240" w:lineRule="auto"/>
            </w:pPr>
            <w:r w:rsidRPr="00C54309" w:rsidDel="008679D3">
              <w:t>N-{3-[5-(2-amino-4-pyrimidinyl)-2-(1,1-dimethylethyl)-1,3-thiazol-</w:t>
            </w:r>
          </w:p>
          <w:p w14:paraId="32FA3F69" w14:textId="0CC8C8FA" w:rsidR="00E01B03" w:rsidRPr="00E01B03" w:rsidRDefault="00E01B03" w:rsidP="00E01B03">
            <w:pPr>
              <w:spacing w:after="0" w:line="240" w:lineRule="auto"/>
              <w:rPr>
                <w:b/>
              </w:rPr>
            </w:pPr>
            <w:r w:rsidRPr="00C54309" w:rsidDel="008679D3">
              <w:t xml:space="preserve">4-yl]-2-fluorophenyl}-2,6-difluorobenzene </w:t>
            </w:r>
            <w:proofErr w:type="spellStart"/>
            <w:r w:rsidRPr="00C54309" w:rsidDel="008679D3">
              <w:t>sul</w:t>
            </w:r>
            <w:r>
              <w:t>f</w:t>
            </w:r>
            <w:r w:rsidRPr="00C54309" w:rsidDel="008679D3">
              <w:t>onamide</w:t>
            </w:r>
            <w:proofErr w:type="spellEnd"/>
            <w:r w:rsidRPr="00C54309" w:rsidDel="008679D3">
              <w:t>, methane</w:t>
            </w:r>
            <w:r>
              <w:t xml:space="preserve"> </w:t>
            </w:r>
            <w:r w:rsidRPr="00C54309" w:rsidDel="008679D3">
              <w:t>sul</w:t>
            </w:r>
            <w:r>
              <w:t>f</w:t>
            </w:r>
            <w:r w:rsidRPr="00C54309" w:rsidDel="008679D3">
              <w:t>onate salt</w:t>
            </w:r>
          </w:p>
        </w:tc>
      </w:tr>
      <w:tr w:rsidR="00E01B03" w:rsidRPr="00E01B03" w14:paraId="4AB6B8A7" w14:textId="77777777" w:rsidTr="008220EB">
        <w:tc>
          <w:tcPr>
            <w:tcW w:w="2470" w:type="dxa"/>
          </w:tcPr>
          <w:p w14:paraId="79CE176F" w14:textId="77777777" w:rsidR="00E01B03" w:rsidRPr="00E01B03" w:rsidRDefault="00E01B03" w:rsidP="00E01B03">
            <w:pPr>
              <w:autoSpaceDE/>
              <w:autoSpaceDN/>
              <w:adjustRightInd/>
              <w:jc w:val="left"/>
              <w:rPr>
                <w:b/>
              </w:rPr>
            </w:pPr>
            <w:r w:rsidRPr="00E01B03">
              <w:rPr>
                <w:lang w:val="es-ES"/>
              </w:rPr>
              <w:lastRenderedPageBreak/>
              <w:t>Molecular formula</w:t>
            </w:r>
          </w:p>
        </w:tc>
        <w:tc>
          <w:tcPr>
            <w:tcW w:w="7081" w:type="dxa"/>
            <w:gridSpan w:val="2"/>
          </w:tcPr>
          <w:p w14:paraId="7265E95E" w14:textId="4F1EA2B1" w:rsidR="00E01B03" w:rsidRPr="00E01B03" w:rsidRDefault="00E01B03" w:rsidP="00E01B03">
            <w:pPr>
              <w:spacing w:after="0" w:line="240" w:lineRule="auto"/>
              <w:rPr>
                <w:b/>
              </w:rPr>
            </w:pPr>
            <w:r w:rsidRPr="007F4FDA" w:rsidDel="008679D3">
              <w:t>C</w:t>
            </w:r>
            <w:r w:rsidRPr="00C54309" w:rsidDel="008679D3">
              <w:rPr>
                <w:vertAlign w:val="subscript"/>
              </w:rPr>
              <w:t>23</w:t>
            </w:r>
            <w:r w:rsidRPr="007F4FDA" w:rsidDel="008679D3">
              <w:t>H</w:t>
            </w:r>
            <w:r w:rsidRPr="00C54309" w:rsidDel="008679D3">
              <w:rPr>
                <w:vertAlign w:val="subscript"/>
              </w:rPr>
              <w:t>20</w:t>
            </w:r>
            <w:r w:rsidRPr="007F4FDA" w:rsidDel="008679D3">
              <w:t>F</w:t>
            </w:r>
            <w:r w:rsidRPr="00C54309" w:rsidDel="008679D3">
              <w:rPr>
                <w:vertAlign w:val="subscript"/>
              </w:rPr>
              <w:t>3</w:t>
            </w:r>
            <w:r w:rsidRPr="007F4FDA" w:rsidDel="008679D3">
              <w:t>N</w:t>
            </w:r>
            <w:r w:rsidRPr="00C54309" w:rsidDel="008679D3">
              <w:rPr>
                <w:vertAlign w:val="subscript"/>
              </w:rPr>
              <w:t>5</w:t>
            </w:r>
            <w:r w:rsidRPr="007F4FDA" w:rsidDel="008679D3">
              <w:t>O</w:t>
            </w:r>
            <w:r w:rsidRPr="00C54309" w:rsidDel="008679D3">
              <w:rPr>
                <w:vertAlign w:val="subscript"/>
              </w:rPr>
              <w:t>2</w:t>
            </w:r>
            <w:r w:rsidRPr="007F4FDA" w:rsidDel="008679D3">
              <w:t>S</w:t>
            </w:r>
            <w:r w:rsidRPr="00C54309" w:rsidDel="008679D3">
              <w:rPr>
                <w:vertAlign w:val="subscript"/>
              </w:rPr>
              <w:t>2</w:t>
            </w:r>
            <w:r w:rsidRPr="007F4FDA" w:rsidDel="008679D3">
              <w:t>. CH</w:t>
            </w:r>
            <w:r w:rsidRPr="00C54309" w:rsidDel="008679D3">
              <w:rPr>
                <w:vertAlign w:val="subscript"/>
              </w:rPr>
              <w:t>4</w:t>
            </w:r>
            <w:r w:rsidRPr="007F4FDA" w:rsidDel="008679D3">
              <w:t>O</w:t>
            </w:r>
            <w:r w:rsidRPr="00C54309" w:rsidDel="008679D3">
              <w:rPr>
                <w:vertAlign w:val="subscript"/>
              </w:rPr>
              <w:t>3</w:t>
            </w:r>
            <w:r w:rsidRPr="007F4FDA" w:rsidDel="008679D3">
              <w:t xml:space="preserve">S </w:t>
            </w:r>
          </w:p>
        </w:tc>
      </w:tr>
      <w:tr w:rsidR="00E01B03" w:rsidRPr="00E01B03" w14:paraId="28D656F3" w14:textId="77777777" w:rsidTr="008220EB">
        <w:tc>
          <w:tcPr>
            <w:tcW w:w="2470" w:type="dxa"/>
          </w:tcPr>
          <w:p w14:paraId="5ED6C219" w14:textId="77777777" w:rsidR="00E01B03" w:rsidRPr="00E01B03" w:rsidRDefault="00E01B03" w:rsidP="00E01B03">
            <w:pPr>
              <w:autoSpaceDE/>
              <w:autoSpaceDN/>
              <w:adjustRightInd/>
              <w:jc w:val="left"/>
              <w:rPr>
                <w:b/>
              </w:rPr>
            </w:pPr>
            <w:r w:rsidRPr="00E01B03">
              <w:rPr>
                <w:lang w:val="es-ES"/>
              </w:rPr>
              <w:t xml:space="preserve">Molecular </w:t>
            </w:r>
            <w:proofErr w:type="spellStart"/>
            <w:r w:rsidRPr="00E01B03">
              <w:rPr>
                <w:lang w:val="es-ES"/>
              </w:rPr>
              <w:t>weight</w:t>
            </w:r>
            <w:proofErr w:type="spellEnd"/>
          </w:p>
        </w:tc>
        <w:tc>
          <w:tcPr>
            <w:tcW w:w="7081" w:type="dxa"/>
            <w:gridSpan w:val="2"/>
          </w:tcPr>
          <w:p w14:paraId="6FE11458" w14:textId="21BF6341" w:rsidR="00E01B03" w:rsidRPr="00E01B03" w:rsidRDefault="00E01B03" w:rsidP="00E01B03">
            <w:pPr>
              <w:autoSpaceDE/>
              <w:autoSpaceDN/>
              <w:adjustRightInd/>
              <w:spacing w:after="0" w:line="240" w:lineRule="auto"/>
              <w:rPr>
                <w:b/>
              </w:rPr>
            </w:pPr>
            <w:r w:rsidRPr="007F4FDA" w:rsidDel="008679D3">
              <w:t>615.68</w:t>
            </w:r>
          </w:p>
        </w:tc>
      </w:tr>
    </w:tbl>
    <w:p w14:paraId="15C93635" w14:textId="06A570CE" w:rsidR="00E55CD0" w:rsidRDefault="00E55CD0" w:rsidP="00E55CD0">
      <w:pPr>
        <w:ind w:left="360"/>
      </w:pPr>
      <w:r w:rsidRPr="00774C10">
        <w:t>Dabrafenib mesilate is a nitrogen</w:t>
      </w:r>
      <w:r>
        <w:t>-</w:t>
      </w:r>
      <w:r w:rsidRPr="00774C10">
        <w:t xml:space="preserve"> and sulphur</w:t>
      </w:r>
      <w:r>
        <w:t xml:space="preserve">- </w:t>
      </w:r>
      <w:r w:rsidRPr="00774C10">
        <w:t>containing heterocycle possessing an</w:t>
      </w:r>
      <w:r w:rsidRPr="007F4FDA">
        <w:t xml:space="preserve"> aromatic sulphonamide.</w:t>
      </w:r>
      <w:r>
        <w:t xml:space="preserve"> It </w:t>
      </w:r>
      <w:r w:rsidRPr="00254BEF">
        <w:t>is a white to slightly coloured solid</w:t>
      </w:r>
      <w:r>
        <w:t>. I</w:t>
      </w:r>
      <w:r w:rsidRPr="00254BEF">
        <w:t>n aqueous media</w:t>
      </w:r>
      <w:r>
        <w:t xml:space="preserve">, dabrafenib mesilate </w:t>
      </w:r>
      <w:r w:rsidRPr="00254BEF">
        <w:t>is very slightly soluble at pH 1</w:t>
      </w:r>
      <w:r>
        <w:t>,</w:t>
      </w:r>
      <w:r w:rsidRPr="00254BEF">
        <w:t xml:space="preserve"> and practically insoluble above pH 4.</w:t>
      </w:r>
      <w:r w:rsidRPr="00F67A43">
        <w:t xml:space="preserve"> </w:t>
      </w:r>
      <w:r>
        <w:t>The</w:t>
      </w:r>
      <w:r w:rsidRPr="00254BEF">
        <w:t xml:space="preserve"> </w:t>
      </w:r>
      <w:r>
        <w:t>pKa of the sulphonamide moiety is 6.6, the pKa of the pyrimidine moiety is 2.2 and the</w:t>
      </w:r>
      <w:r w:rsidRPr="00F67A43">
        <w:t xml:space="preserve"> </w:t>
      </w:r>
      <w:r>
        <w:t>pKa of the thiazole moiety is -1.5. The partition coefficient (log P) is 2.9.</w:t>
      </w:r>
    </w:p>
    <w:p w14:paraId="43F048E3" w14:textId="011CEE3E" w:rsidR="008679D3" w:rsidRPr="00C54309" w:rsidRDefault="008679D3" w:rsidP="00C54309">
      <w:pPr>
        <w:pStyle w:val="Heading2"/>
        <w:keepNext w:val="0"/>
        <w:numPr>
          <w:ilvl w:val="0"/>
          <w:numId w:val="34"/>
        </w:numPr>
        <w:autoSpaceDE/>
        <w:autoSpaceDN/>
        <w:adjustRightInd/>
        <w:spacing w:before="120" w:line="240" w:lineRule="auto"/>
        <w:rPr>
          <w:bCs/>
          <w:sz w:val="28"/>
          <w:szCs w:val="28"/>
          <w:lang w:val="en-AU"/>
        </w:rPr>
      </w:pPr>
      <w:r w:rsidRPr="00C54309">
        <w:rPr>
          <w:bCs/>
          <w:sz w:val="28"/>
          <w:szCs w:val="28"/>
          <w:lang w:val="en-AU"/>
        </w:rPr>
        <w:t>MEDICINE SCHEDULE (POISON</w:t>
      </w:r>
      <w:r w:rsidR="00356313">
        <w:rPr>
          <w:bCs/>
          <w:sz w:val="28"/>
          <w:szCs w:val="28"/>
          <w:lang w:val="en-AU"/>
        </w:rPr>
        <w:t>S</w:t>
      </w:r>
      <w:r w:rsidRPr="00C54309">
        <w:rPr>
          <w:bCs/>
          <w:sz w:val="28"/>
          <w:szCs w:val="28"/>
          <w:lang w:val="en-AU"/>
        </w:rPr>
        <w:t xml:space="preserve"> STANDARD)</w:t>
      </w:r>
    </w:p>
    <w:p w14:paraId="7429100B" w14:textId="60A26B14" w:rsidR="008679D3" w:rsidRDefault="008679D3" w:rsidP="008679D3">
      <w:pPr>
        <w:ind w:left="360"/>
      </w:pPr>
      <w:r w:rsidRPr="00254BEF">
        <w:t xml:space="preserve">Schedule 4 – Prescription Only Medicine </w:t>
      </w:r>
    </w:p>
    <w:p w14:paraId="07FDE884" w14:textId="4DEC7832" w:rsidR="0077380F" w:rsidRPr="00C54309" w:rsidRDefault="0077380F" w:rsidP="00C54309">
      <w:pPr>
        <w:pStyle w:val="Heading2"/>
        <w:keepNext w:val="0"/>
        <w:numPr>
          <w:ilvl w:val="0"/>
          <w:numId w:val="34"/>
        </w:numPr>
        <w:autoSpaceDE/>
        <w:autoSpaceDN/>
        <w:adjustRightInd/>
        <w:spacing w:before="120" w:line="240" w:lineRule="auto"/>
        <w:rPr>
          <w:bCs/>
          <w:sz w:val="28"/>
          <w:szCs w:val="28"/>
          <w:lang w:val="en-AU"/>
        </w:rPr>
      </w:pPr>
      <w:r w:rsidRPr="00C54309">
        <w:rPr>
          <w:bCs/>
          <w:sz w:val="28"/>
          <w:szCs w:val="28"/>
          <w:lang w:val="en-AU"/>
        </w:rPr>
        <w:t>SPONSOR</w:t>
      </w:r>
    </w:p>
    <w:p w14:paraId="07FDE885" w14:textId="53F8237E" w:rsidR="00293923" w:rsidRDefault="00293923" w:rsidP="00AE2F78">
      <w:pPr>
        <w:widowControl w:val="0"/>
        <w:autoSpaceDE/>
        <w:autoSpaceDN/>
        <w:adjustRightInd/>
        <w:spacing w:after="0" w:line="240" w:lineRule="auto"/>
        <w:ind w:left="357"/>
        <w:jc w:val="left"/>
      </w:pPr>
      <w:r w:rsidRPr="00293923">
        <w:t>NOVARTIS Pharmaceuticals Australia Pty Limited</w:t>
      </w:r>
      <w:r w:rsidRPr="00293923">
        <w:br/>
        <w:t>ABN 18 004 244 160</w:t>
      </w:r>
      <w:r w:rsidRPr="00293923">
        <w:br/>
        <w:t>54 Waterloo Road</w:t>
      </w:r>
      <w:r w:rsidRPr="00293923">
        <w:br/>
        <w:t>Macquarie Park NSW 2113</w:t>
      </w:r>
    </w:p>
    <w:p w14:paraId="3C0283E7" w14:textId="77777777" w:rsidR="00C46AAC" w:rsidRPr="00C46AAC" w:rsidRDefault="00C46AAC" w:rsidP="00C46AAC">
      <w:pPr>
        <w:autoSpaceDE/>
        <w:autoSpaceDN/>
        <w:adjustRightInd/>
        <w:spacing w:after="0" w:line="240" w:lineRule="auto"/>
        <w:ind w:left="357"/>
        <w:jc w:val="left"/>
      </w:pPr>
      <w:r w:rsidRPr="00C46AAC">
        <w:t>Telephone 1 800 671 203</w:t>
      </w:r>
    </w:p>
    <w:p w14:paraId="478B0790" w14:textId="77777777" w:rsidR="00C46AAC" w:rsidRPr="00C46AAC" w:rsidRDefault="00C46AAC" w:rsidP="00C46AAC">
      <w:pPr>
        <w:autoSpaceDE/>
        <w:autoSpaceDN/>
        <w:adjustRightInd/>
        <w:spacing w:after="0" w:line="240" w:lineRule="auto"/>
        <w:ind w:left="357"/>
        <w:jc w:val="left"/>
      </w:pPr>
      <w:r w:rsidRPr="00C46AAC">
        <w:t>Web site: www.novartis.com.au</w:t>
      </w:r>
    </w:p>
    <w:p w14:paraId="07FDE886" w14:textId="6A522A1B" w:rsidR="00293923" w:rsidRDefault="00293923" w:rsidP="008679D3">
      <w:pPr>
        <w:autoSpaceDE/>
        <w:autoSpaceDN/>
        <w:adjustRightInd/>
        <w:ind w:left="360"/>
        <w:jc w:val="left"/>
      </w:pPr>
      <w:r w:rsidRPr="00293923">
        <w:rPr>
          <w:vertAlign w:val="superscript"/>
        </w:rPr>
        <w:t>®</w:t>
      </w:r>
      <w:r w:rsidRPr="00293923">
        <w:t xml:space="preserve"> = Registered Trademark</w:t>
      </w:r>
    </w:p>
    <w:p w14:paraId="6D263FFF" w14:textId="77777777" w:rsidR="000E71AD" w:rsidRDefault="000E71AD" w:rsidP="008679D3">
      <w:pPr>
        <w:autoSpaceDE/>
        <w:autoSpaceDN/>
        <w:adjustRightInd/>
        <w:ind w:left="360"/>
        <w:jc w:val="left"/>
      </w:pPr>
    </w:p>
    <w:p w14:paraId="07FDE88B" w14:textId="3C4F68A2" w:rsidR="00091CA9" w:rsidRPr="00C54309" w:rsidRDefault="001E3831" w:rsidP="00C54309">
      <w:pPr>
        <w:pStyle w:val="Heading2"/>
        <w:keepNext w:val="0"/>
        <w:numPr>
          <w:ilvl w:val="0"/>
          <w:numId w:val="34"/>
        </w:numPr>
        <w:autoSpaceDE/>
        <w:autoSpaceDN/>
        <w:adjustRightInd/>
        <w:spacing w:before="120" w:line="240" w:lineRule="auto"/>
        <w:rPr>
          <w:bCs/>
          <w:sz w:val="28"/>
          <w:szCs w:val="28"/>
          <w:lang w:val="en-AU"/>
        </w:rPr>
      </w:pPr>
      <w:r w:rsidRPr="00C54309">
        <w:rPr>
          <w:bCs/>
          <w:sz w:val="28"/>
          <w:szCs w:val="28"/>
          <w:lang w:val="en-AU"/>
        </w:rPr>
        <w:t xml:space="preserve">DATE OF FIRST </w:t>
      </w:r>
      <w:r w:rsidR="008A07A0">
        <w:rPr>
          <w:bCs/>
          <w:sz w:val="28"/>
          <w:szCs w:val="28"/>
          <w:lang w:val="en-AU"/>
        </w:rPr>
        <w:t>APPROVAL</w:t>
      </w:r>
    </w:p>
    <w:p w14:paraId="07FDE88C" w14:textId="3D4634B0" w:rsidR="00AC3812" w:rsidRDefault="008E1E77" w:rsidP="00C54309">
      <w:pPr>
        <w:ind w:left="360"/>
      </w:pPr>
      <w:r>
        <w:t>21 August 2013</w:t>
      </w:r>
    </w:p>
    <w:p w14:paraId="496005B9" w14:textId="77777777" w:rsidR="005C626F" w:rsidRDefault="005C626F" w:rsidP="00C54309">
      <w:pPr>
        <w:ind w:left="360"/>
      </w:pPr>
    </w:p>
    <w:p w14:paraId="07FDE892" w14:textId="4FE60C88" w:rsidR="000F70F6" w:rsidRPr="00C54309" w:rsidRDefault="004E7720" w:rsidP="00C54309">
      <w:pPr>
        <w:pStyle w:val="Heading2"/>
        <w:keepNext w:val="0"/>
        <w:numPr>
          <w:ilvl w:val="0"/>
          <w:numId w:val="34"/>
        </w:numPr>
        <w:autoSpaceDE/>
        <w:autoSpaceDN/>
        <w:adjustRightInd/>
        <w:spacing w:before="120" w:line="240" w:lineRule="auto"/>
        <w:rPr>
          <w:bCs/>
          <w:sz w:val="28"/>
          <w:szCs w:val="28"/>
          <w:lang w:val="en-AU"/>
        </w:rPr>
      </w:pPr>
      <w:r w:rsidRPr="00C54309">
        <w:rPr>
          <w:bCs/>
          <w:sz w:val="28"/>
          <w:szCs w:val="28"/>
          <w:lang w:val="en-AU"/>
        </w:rPr>
        <w:t xml:space="preserve">DATE OF </w:t>
      </w:r>
      <w:r w:rsidR="008679D3" w:rsidRPr="00C54309">
        <w:rPr>
          <w:bCs/>
          <w:sz w:val="28"/>
          <w:szCs w:val="28"/>
          <w:lang w:val="en-AU"/>
        </w:rPr>
        <w:t>REVISION</w:t>
      </w:r>
    </w:p>
    <w:p w14:paraId="641C6092" w14:textId="64E44C1A" w:rsidR="00E438A1" w:rsidRDefault="009A0B31" w:rsidP="008679D3">
      <w:pPr>
        <w:autoSpaceDE/>
        <w:autoSpaceDN/>
        <w:adjustRightInd/>
        <w:ind w:left="357"/>
        <w:rPr>
          <w:lang w:eastAsia="en-US"/>
        </w:rPr>
      </w:pPr>
      <w:r>
        <w:rPr>
          <w:lang w:eastAsia="en-US"/>
        </w:rPr>
        <w:t>06 June 2018</w:t>
      </w:r>
    </w:p>
    <w:p w14:paraId="7903DA8D" w14:textId="77777777" w:rsidR="008679D3" w:rsidRPr="008679D3" w:rsidRDefault="008679D3" w:rsidP="008679D3">
      <w:pPr>
        <w:autoSpaceDE/>
        <w:autoSpaceDN/>
        <w:adjustRightInd/>
        <w:ind w:left="357"/>
      </w:pPr>
      <w:r w:rsidRPr="008679D3">
        <w:t>Summary table of changes</w:t>
      </w:r>
    </w:p>
    <w:tbl>
      <w:tblPr>
        <w:tblStyle w:val="TableGrid"/>
        <w:tblW w:w="9010" w:type="dxa"/>
        <w:tblInd w:w="357" w:type="dxa"/>
        <w:tblBorders>
          <w:left w:val="none" w:sz="0" w:space="0" w:color="auto"/>
          <w:right w:val="none" w:sz="0" w:space="0" w:color="auto"/>
        </w:tblBorders>
        <w:tblLook w:val="04A0" w:firstRow="1" w:lastRow="0" w:firstColumn="1" w:lastColumn="0" w:noHBand="0" w:noVBand="1"/>
      </w:tblPr>
      <w:tblGrid>
        <w:gridCol w:w="1916"/>
        <w:gridCol w:w="7094"/>
      </w:tblGrid>
      <w:tr w:rsidR="008679D3" w:rsidRPr="008679D3" w14:paraId="592FCA5D" w14:textId="77777777" w:rsidTr="008679D3">
        <w:tc>
          <w:tcPr>
            <w:tcW w:w="1916" w:type="dxa"/>
            <w:tcBorders>
              <w:right w:val="nil"/>
            </w:tcBorders>
          </w:tcPr>
          <w:p w14:paraId="23E45E5E" w14:textId="77777777" w:rsidR="008679D3" w:rsidRPr="008679D3" w:rsidRDefault="008679D3" w:rsidP="008679D3">
            <w:pPr>
              <w:autoSpaceDE/>
              <w:autoSpaceDN/>
              <w:adjustRightInd/>
              <w:rPr>
                <w:b/>
              </w:rPr>
            </w:pPr>
            <w:r w:rsidRPr="008679D3">
              <w:rPr>
                <w:b/>
              </w:rPr>
              <w:t>Section changed</w:t>
            </w:r>
          </w:p>
        </w:tc>
        <w:tc>
          <w:tcPr>
            <w:tcW w:w="7094" w:type="dxa"/>
            <w:tcBorders>
              <w:left w:val="nil"/>
            </w:tcBorders>
          </w:tcPr>
          <w:p w14:paraId="0B04FB77" w14:textId="77777777" w:rsidR="008679D3" w:rsidRPr="008679D3" w:rsidRDefault="008679D3" w:rsidP="008679D3">
            <w:pPr>
              <w:autoSpaceDE/>
              <w:autoSpaceDN/>
              <w:adjustRightInd/>
              <w:rPr>
                <w:b/>
              </w:rPr>
            </w:pPr>
            <w:r w:rsidRPr="008679D3">
              <w:rPr>
                <w:b/>
              </w:rPr>
              <w:t>Summary of new information</w:t>
            </w:r>
          </w:p>
        </w:tc>
      </w:tr>
      <w:tr w:rsidR="008679D3" w:rsidRPr="008679D3" w14:paraId="770A3C9F" w14:textId="77777777" w:rsidTr="008679D3">
        <w:tc>
          <w:tcPr>
            <w:tcW w:w="1916" w:type="dxa"/>
            <w:tcBorders>
              <w:right w:val="nil"/>
            </w:tcBorders>
          </w:tcPr>
          <w:p w14:paraId="19732C3A" w14:textId="77777777" w:rsidR="008679D3" w:rsidRPr="008679D3" w:rsidRDefault="008679D3" w:rsidP="008679D3">
            <w:pPr>
              <w:autoSpaceDE/>
              <w:autoSpaceDN/>
              <w:adjustRightInd/>
            </w:pPr>
            <w:r w:rsidRPr="008679D3">
              <w:rPr>
                <w:bCs/>
                <w:color w:val="000000"/>
              </w:rPr>
              <w:t>All</w:t>
            </w:r>
          </w:p>
        </w:tc>
        <w:tc>
          <w:tcPr>
            <w:tcW w:w="7094" w:type="dxa"/>
            <w:tcBorders>
              <w:left w:val="nil"/>
            </w:tcBorders>
          </w:tcPr>
          <w:p w14:paraId="727469C2" w14:textId="66243400" w:rsidR="008679D3" w:rsidRPr="008679D3" w:rsidRDefault="008A07A0" w:rsidP="008679D3">
            <w:pPr>
              <w:autoSpaceDE/>
              <w:autoSpaceDN/>
              <w:adjustRightInd/>
            </w:pPr>
            <w:r w:rsidRPr="008A07A0">
              <w:t>Product Information has been reformatted according to TGA guidance and includes the adjuvant melanoma indication</w:t>
            </w:r>
          </w:p>
        </w:tc>
      </w:tr>
    </w:tbl>
    <w:p w14:paraId="61F4A702" w14:textId="70444289" w:rsidR="00CA435D" w:rsidRDefault="00CA435D" w:rsidP="004E7720">
      <w:pPr>
        <w:rPr>
          <w:lang w:eastAsia="en-US"/>
        </w:rPr>
      </w:pPr>
    </w:p>
    <w:p w14:paraId="446C1092" w14:textId="7750522D" w:rsidR="000B696A" w:rsidRDefault="000B696A" w:rsidP="004E7720">
      <w:pPr>
        <w:rPr>
          <w:lang w:eastAsia="en-US"/>
        </w:rPr>
      </w:pPr>
    </w:p>
    <w:p w14:paraId="5F6D8E18" w14:textId="46A3612E" w:rsidR="000B696A" w:rsidRDefault="000B696A" w:rsidP="004E7720">
      <w:pPr>
        <w:rPr>
          <w:lang w:eastAsia="en-US"/>
        </w:rPr>
      </w:pPr>
    </w:p>
    <w:p w14:paraId="04D40E49" w14:textId="6569D506" w:rsidR="000B696A" w:rsidRDefault="000B696A" w:rsidP="004E7720">
      <w:pPr>
        <w:rPr>
          <w:lang w:eastAsia="en-US"/>
        </w:rPr>
      </w:pPr>
    </w:p>
    <w:p w14:paraId="281E2E6F" w14:textId="41AAA8D9" w:rsidR="000B696A" w:rsidRDefault="000B696A" w:rsidP="004E7720">
      <w:pPr>
        <w:rPr>
          <w:lang w:eastAsia="en-US"/>
        </w:rPr>
      </w:pPr>
    </w:p>
    <w:p w14:paraId="4B1C5609" w14:textId="7F88ECFC" w:rsidR="000B696A" w:rsidRDefault="000B696A" w:rsidP="004E7720">
      <w:pPr>
        <w:rPr>
          <w:lang w:eastAsia="en-US"/>
        </w:rPr>
      </w:pPr>
    </w:p>
    <w:p w14:paraId="42F869DF" w14:textId="3E8B58D5" w:rsidR="00D87CDE" w:rsidRDefault="00D87CDE" w:rsidP="004E7720">
      <w:pPr>
        <w:rPr>
          <w:lang w:eastAsia="en-US"/>
        </w:rPr>
      </w:pPr>
    </w:p>
    <w:p w14:paraId="02DBABD7" w14:textId="38277609" w:rsidR="00D87CDE" w:rsidRDefault="00D87CDE" w:rsidP="004E7720">
      <w:pPr>
        <w:rPr>
          <w:lang w:eastAsia="en-US"/>
        </w:rPr>
      </w:pPr>
    </w:p>
    <w:p w14:paraId="5CE814C7" w14:textId="68B58B7C" w:rsidR="00D87CDE" w:rsidRDefault="00D87CDE" w:rsidP="004E7720">
      <w:pPr>
        <w:rPr>
          <w:lang w:eastAsia="en-US"/>
        </w:rPr>
      </w:pPr>
    </w:p>
    <w:p w14:paraId="17B50E42" w14:textId="3BA6FA44" w:rsidR="00D87CDE" w:rsidRDefault="00D87CDE" w:rsidP="004E7720">
      <w:pPr>
        <w:rPr>
          <w:lang w:eastAsia="en-US"/>
        </w:rPr>
      </w:pPr>
    </w:p>
    <w:p w14:paraId="0FDBCADD" w14:textId="3A54FF0E" w:rsidR="00D87CDE" w:rsidRDefault="00D87CDE" w:rsidP="004E7720">
      <w:pPr>
        <w:rPr>
          <w:lang w:eastAsia="en-US"/>
        </w:rPr>
      </w:pPr>
    </w:p>
    <w:p w14:paraId="69C98B82" w14:textId="090F7EA7" w:rsidR="00D87CDE" w:rsidRDefault="00D87CDE" w:rsidP="004E7720">
      <w:pPr>
        <w:rPr>
          <w:lang w:eastAsia="en-US"/>
        </w:rPr>
      </w:pPr>
    </w:p>
    <w:p w14:paraId="327A8B9C" w14:textId="2548601B" w:rsidR="00D87CDE" w:rsidRDefault="00D87CDE" w:rsidP="004E7720">
      <w:pPr>
        <w:rPr>
          <w:lang w:eastAsia="en-US"/>
        </w:rPr>
      </w:pPr>
    </w:p>
    <w:p w14:paraId="649BC56C" w14:textId="608E09CF" w:rsidR="00D87CDE" w:rsidRDefault="00D87CDE" w:rsidP="004E7720">
      <w:pPr>
        <w:rPr>
          <w:lang w:eastAsia="en-US"/>
        </w:rPr>
      </w:pPr>
    </w:p>
    <w:p w14:paraId="441B4382" w14:textId="197BEDC6" w:rsidR="00D87CDE" w:rsidRDefault="00D87CDE" w:rsidP="004E7720">
      <w:pPr>
        <w:rPr>
          <w:lang w:eastAsia="en-US"/>
        </w:rPr>
      </w:pPr>
    </w:p>
    <w:p w14:paraId="425D90C2" w14:textId="420C0C84" w:rsidR="00D87CDE" w:rsidRDefault="00D87CDE" w:rsidP="004E7720">
      <w:pPr>
        <w:rPr>
          <w:lang w:eastAsia="en-US"/>
        </w:rPr>
      </w:pPr>
    </w:p>
    <w:p w14:paraId="634905E2" w14:textId="77777777" w:rsidR="00D87CDE" w:rsidRDefault="00D87CDE" w:rsidP="004E7720">
      <w:pPr>
        <w:rPr>
          <w:lang w:eastAsia="en-US"/>
        </w:rPr>
      </w:pPr>
    </w:p>
    <w:p w14:paraId="195BB5ED" w14:textId="179C0346" w:rsidR="000B696A" w:rsidRDefault="000B696A" w:rsidP="004E7720">
      <w:pPr>
        <w:rPr>
          <w:lang w:eastAsia="en-US"/>
        </w:rPr>
      </w:pPr>
    </w:p>
    <w:p w14:paraId="57365205" w14:textId="66C0D7C7" w:rsidR="000B696A" w:rsidRDefault="000B696A" w:rsidP="004E7720">
      <w:pPr>
        <w:rPr>
          <w:lang w:eastAsia="en-US"/>
        </w:rPr>
      </w:pPr>
    </w:p>
    <w:p w14:paraId="0F22DB97" w14:textId="77777777" w:rsidR="00694BFD" w:rsidRDefault="00694BFD" w:rsidP="004E7720">
      <w:pPr>
        <w:rPr>
          <w:lang w:eastAsia="en-US"/>
        </w:rPr>
      </w:pPr>
    </w:p>
    <w:p w14:paraId="36FC17BA" w14:textId="26632FFB" w:rsidR="00CA435D" w:rsidRDefault="00CA435D" w:rsidP="004E7720">
      <w:pPr>
        <w:rPr>
          <w:lang w:eastAsia="en-US"/>
        </w:rPr>
      </w:pPr>
    </w:p>
    <w:p w14:paraId="46346ED3" w14:textId="0D33B658" w:rsidR="00CA435D" w:rsidRDefault="00CA435D" w:rsidP="004E7720">
      <w:pPr>
        <w:rPr>
          <w:lang w:eastAsia="en-US"/>
        </w:rPr>
      </w:pPr>
    </w:p>
    <w:p w14:paraId="13E6FC21" w14:textId="2A2E5FC8" w:rsidR="00CA435D" w:rsidRDefault="00CA435D" w:rsidP="004E7720">
      <w:pPr>
        <w:rPr>
          <w:lang w:eastAsia="en-US"/>
        </w:rPr>
      </w:pPr>
    </w:p>
    <w:p w14:paraId="501D4ED3" w14:textId="44FA3470" w:rsidR="00CA435D" w:rsidRDefault="00CA435D" w:rsidP="004E7720">
      <w:pPr>
        <w:rPr>
          <w:lang w:eastAsia="en-US"/>
        </w:rPr>
      </w:pPr>
    </w:p>
    <w:p w14:paraId="4DBA754B" w14:textId="5963003F" w:rsidR="00CA435D" w:rsidRDefault="00CA435D" w:rsidP="004E7720">
      <w:pPr>
        <w:rPr>
          <w:lang w:eastAsia="en-US"/>
        </w:rPr>
      </w:pPr>
    </w:p>
    <w:p w14:paraId="07FDE893" w14:textId="15B16C60" w:rsidR="00587990" w:rsidRPr="00293923" w:rsidRDefault="00587990" w:rsidP="00587990">
      <w:pPr>
        <w:spacing w:after="0" w:line="240" w:lineRule="auto"/>
        <w:jc w:val="left"/>
        <w:rPr>
          <w:lang w:val="en-US" w:eastAsia="en-US"/>
        </w:rPr>
      </w:pPr>
      <w:r w:rsidRPr="00293923">
        <w:rPr>
          <w:lang w:val="en-US" w:eastAsia="en-US"/>
        </w:rPr>
        <w:t>_______________________________________________________________________</w:t>
      </w:r>
    </w:p>
    <w:p w14:paraId="07FDE894" w14:textId="77777777" w:rsidR="00587990" w:rsidRPr="00B0733D" w:rsidRDefault="00587990" w:rsidP="00587990">
      <w:pPr>
        <w:spacing w:after="0" w:line="240" w:lineRule="auto"/>
        <w:jc w:val="left"/>
        <w:rPr>
          <w:sz w:val="18"/>
          <w:lang w:val="en-US"/>
        </w:rPr>
      </w:pPr>
      <w:r w:rsidRPr="00B0733D">
        <w:rPr>
          <w:sz w:val="18"/>
          <w:lang w:val="en-US"/>
        </w:rPr>
        <w:t xml:space="preserve">Internal </w:t>
      </w:r>
      <w:r w:rsidR="00BC67FB" w:rsidRPr="00BB158E">
        <w:rPr>
          <w:bCs/>
          <w:sz w:val="18"/>
          <w:szCs w:val="18"/>
          <w:lang w:val="en-US" w:eastAsia="en-US"/>
        </w:rPr>
        <w:t>document code</w:t>
      </w:r>
    </w:p>
    <w:p w14:paraId="07FDE895" w14:textId="12203B4D" w:rsidR="00587990" w:rsidRPr="00293923" w:rsidRDefault="00275518" w:rsidP="00587990">
      <w:proofErr w:type="gramStart"/>
      <w:r>
        <w:rPr>
          <w:sz w:val="18"/>
          <w:szCs w:val="18"/>
          <w:lang w:val="en-US" w:eastAsia="en-US"/>
        </w:rPr>
        <w:t>t</w:t>
      </w:r>
      <w:r w:rsidR="00587990" w:rsidRPr="00293923">
        <w:rPr>
          <w:sz w:val="18"/>
          <w:szCs w:val="18"/>
          <w:lang w:val="en-US" w:eastAsia="en-US"/>
        </w:rPr>
        <w:t>af</w:t>
      </w:r>
      <w:r w:rsidR="009A0B31">
        <w:rPr>
          <w:sz w:val="18"/>
          <w:szCs w:val="18"/>
          <w:lang w:val="en-US" w:eastAsia="en-US"/>
        </w:rPr>
        <w:t>0606</w:t>
      </w:r>
      <w:r w:rsidR="002D4B42">
        <w:rPr>
          <w:sz w:val="18"/>
          <w:szCs w:val="18"/>
          <w:lang w:val="en-US" w:eastAsia="en-US"/>
        </w:rPr>
        <w:t>18</w:t>
      </w:r>
      <w:r w:rsidR="00587990" w:rsidRPr="00293923">
        <w:rPr>
          <w:sz w:val="18"/>
          <w:szCs w:val="18"/>
          <w:lang w:val="en-US" w:eastAsia="en-US"/>
        </w:rPr>
        <w:t>i</w:t>
      </w:r>
      <w:proofErr w:type="gramEnd"/>
      <w:r w:rsidR="00587990" w:rsidRPr="00293923">
        <w:rPr>
          <w:sz w:val="18"/>
          <w:szCs w:val="18"/>
          <w:lang w:val="en-US" w:eastAsia="en-US"/>
        </w:rPr>
        <w:t xml:space="preserve"> </w:t>
      </w:r>
      <w:r w:rsidR="008679D3">
        <w:rPr>
          <w:sz w:val="18"/>
          <w:szCs w:val="18"/>
          <w:lang w:val="en-US" w:eastAsia="en-US"/>
        </w:rPr>
        <w:t>based on CDS dated 10 November 2017</w:t>
      </w:r>
    </w:p>
    <w:sectPr w:rsidR="00587990" w:rsidRPr="00293923" w:rsidSect="00676700">
      <w:headerReference w:type="default" r:id="rId25"/>
      <w:footerReference w:type="default" r:id="rId26"/>
      <w:headerReference w:type="first" r:id="rId27"/>
      <w:pgSz w:w="11906" w:h="16838" w:code="9"/>
      <w:pgMar w:top="1134" w:right="964" w:bottom="851" w:left="1134" w:header="737" w:footer="454" w:gutter="0"/>
      <w:paperSrc w:first="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DE8A4" w14:textId="77777777" w:rsidR="00137F52" w:rsidRDefault="00137F52" w:rsidP="00AE6BB4">
      <w:r>
        <w:separator/>
      </w:r>
    </w:p>
    <w:p w14:paraId="07FDE8A5" w14:textId="77777777" w:rsidR="00137F52" w:rsidRDefault="00137F52" w:rsidP="00AE6BB4"/>
  </w:endnote>
  <w:endnote w:type="continuationSeparator" w:id="0">
    <w:p w14:paraId="07FDE8A6" w14:textId="77777777" w:rsidR="00137F52" w:rsidRDefault="00137F52" w:rsidP="00AE6BB4">
      <w:r>
        <w:continuationSeparator/>
      </w:r>
    </w:p>
    <w:p w14:paraId="07FDE8A7" w14:textId="77777777" w:rsidR="00137F52" w:rsidRDefault="00137F52" w:rsidP="00AE6BB4"/>
  </w:endnote>
  <w:endnote w:type="continuationNotice" w:id="1">
    <w:p w14:paraId="07FDE8A8" w14:textId="77777777" w:rsidR="00137F52" w:rsidRDefault="00137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E8A9" w14:textId="2FF29713" w:rsidR="00137F52" w:rsidRPr="006D1293" w:rsidRDefault="00137F52" w:rsidP="004D57E7">
    <w:pPr>
      <w:pStyle w:val="Footer"/>
    </w:pPr>
    <w:r w:rsidRPr="006D1293">
      <w:t xml:space="preserve">Page </w:t>
    </w:r>
    <w:r w:rsidRPr="006D1293">
      <w:rPr>
        <w:bCs/>
      </w:rPr>
      <w:fldChar w:fldCharType="begin"/>
    </w:r>
    <w:r w:rsidRPr="006D1293">
      <w:rPr>
        <w:bCs/>
      </w:rPr>
      <w:instrText xml:space="preserve"> PAGE  \* Arabic  \* MERGEFORMAT </w:instrText>
    </w:r>
    <w:r w:rsidRPr="006D1293">
      <w:rPr>
        <w:bCs/>
      </w:rPr>
      <w:fldChar w:fldCharType="separate"/>
    </w:r>
    <w:r w:rsidR="00983473">
      <w:rPr>
        <w:bCs/>
        <w:noProof/>
      </w:rPr>
      <w:t>2</w:t>
    </w:r>
    <w:r w:rsidRPr="006D1293">
      <w:rPr>
        <w:bCs/>
      </w:rPr>
      <w:fldChar w:fldCharType="end"/>
    </w:r>
    <w:r w:rsidRPr="006D1293">
      <w:t xml:space="preserve"> of </w:t>
    </w:r>
    <w:r w:rsidRPr="006D1293">
      <w:rPr>
        <w:bCs/>
      </w:rPr>
      <w:fldChar w:fldCharType="begin"/>
    </w:r>
    <w:r w:rsidRPr="006D1293">
      <w:rPr>
        <w:bCs/>
      </w:rPr>
      <w:instrText xml:space="preserve"> NUMPAGES  \* Arabic  \* MERGEFORMAT </w:instrText>
    </w:r>
    <w:r w:rsidRPr="006D1293">
      <w:rPr>
        <w:bCs/>
      </w:rPr>
      <w:fldChar w:fldCharType="separate"/>
    </w:r>
    <w:r w:rsidR="00983473">
      <w:rPr>
        <w:bCs/>
        <w:noProof/>
      </w:rPr>
      <w:t>43</w:t>
    </w:r>
    <w:r w:rsidRPr="006D1293">
      <w:rPr>
        <w:bCs/>
      </w:rPr>
      <w:fldChar w:fldCharType="end"/>
    </w:r>
  </w:p>
  <w:p w14:paraId="07FDE8AA" w14:textId="77777777" w:rsidR="00137F52" w:rsidRDefault="00137F52" w:rsidP="007A4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DE89F" w14:textId="77777777" w:rsidR="00137F52" w:rsidRDefault="00137F52" w:rsidP="00AE6BB4">
      <w:r>
        <w:separator/>
      </w:r>
    </w:p>
    <w:p w14:paraId="07FDE8A0" w14:textId="77777777" w:rsidR="00137F52" w:rsidRDefault="00137F52" w:rsidP="00AE6BB4"/>
  </w:footnote>
  <w:footnote w:type="continuationSeparator" w:id="0">
    <w:p w14:paraId="07FDE8A1" w14:textId="77777777" w:rsidR="00137F52" w:rsidRDefault="00137F52" w:rsidP="00AE6BB4">
      <w:r>
        <w:continuationSeparator/>
      </w:r>
    </w:p>
    <w:p w14:paraId="07FDE8A2" w14:textId="77777777" w:rsidR="00137F52" w:rsidRDefault="00137F52" w:rsidP="00AE6BB4"/>
  </w:footnote>
  <w:footnote w:type="continuationNotice" w:id="1">
    <w:p w14:paraId="07FDE8A3" w14:textId="77777777" w:rsidR="00137F52" w:rsidRDefault="00137F5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983473" w:rsidRPr="002E7F61" w14:paraId="3DB1BF30" w14:textId="77777777" w:rsidTr="005E6AB3">
      <w:trPr>
        <w:trHeight w:val="590"/>
      </w:trPr>
      <w:tc>
        <w:tcPr>
          <w:tcW w:w="8720" w:type="dxa"/>
          <w:shd w:val="clear" w:color="auto" w:fill="E4F2E0"/>
        </w:tcPr>
        <w:p w14:paraId="14B9F9D3" w14:textId="77777777" w:rsidR="00983473" w:rsidRPr="002E7F61" w:rsidRDefault="00983473" w:rsidP="005E6AB3">
          <w:pPr>
            <w:pStyle w:val="Footer"/>
            <w:rPr>
              <w:b/>
              <w:sz w:val="18"/>
              <w:szCs w:val="18"/>
            </w:rPr>
          </w:pPr>
          <w:r w:rsidRPr="002E7F61">
            <w:rPr>
              <w:b/>
              <w:sz w:val="18"/>
              <w:szCs w:val="18"/>
            </w:rPr>
            <w:t xml:space="preserve">Attachment 1: Product information </w:t>
          </w:r>
          <w:r w:rsidRPr="00DA74F9">
            <w:rPr>
              <w:b/>
              <w:sz w:val="18"/>
              <w:szCs w:val="18"/>
            </w:rPr>
            <w:t xml:space="preserve">AusPAR </w:t>
          </w:r>
          <w:proofErr w:type="spellStart"/>
          <w:r w:rsidRPr="00DA74F9">
            <w:rPr>
              <w:b/>
              <w:sz w:val="18"/>
              <w:szCs w:val="18"/>
            </w:rPr>
            <w:t>Mekinist</w:t>
          </w:r>
          <w:proofErr w:type="spellEnd"/>
          <w:r w:rsidRPr="00DA74F9">
            <w:rPr>
              <w:b/>
              <w:sz w:val="18"/>
              <w:szCs w:val="18"/>
            </w:rPr>
            <w:t xml:space="preserve"> </w:t>
          </w:r>
          <w:proofErr w:type="spellStart"/>
          <w:r w:rsidRPr="00DA74F9">
            <w:rPr>
              <w:b/>
              <w:sz w:val="18"/>
              <w:szCs w:val="18"/>
            </w:rPr>
            <w:t>Tafinlar</w:t>
          </w:r>
          <w:proofErr w:type="spellEnd"/>
          <w:r w:rsidRPr="00DA74F9">
            <w:rPr>
              <w:b/>
              <w:sz w:val="18"/>
              <w:szCs w:val="18"/>
            </w:rPr>
            <w:t xml:space="preserve"> Novartis Pharmaceuticals Australia Pty Limited PM-2017-04434-1-4 and PM-2017-04435-1-4 Final 8 November 2018</w:t>
          </w:r>
          <w:r>
            <w:rPr>
              <w:b/>
              <w:sz w:val="18"/>
              <w:szCs w:val="18"/>
            </w:rPr>
            <w:t xml:space="preserve">. </w:t>
          </w:r>
          <w:r w:rsidRPr="002E7F61">
            <w:rPr>
              <w:b/>
              <w:sz w:val="18"/>
              <w:szCs w:val="18"/>
            </w:rPr>
            <w:t>This Product information was approved at the time this AusPAR was published.</w:t>
          </w:r>
        </w:p>
      </w:tc>
    </w:tr>
  </w:tbl>
  <w:p w14:paraId="39D49C8E" w14:textId="77777777" w:rsidR="00983473" w:rsidRDefault="009834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983473" w:rsidRPr="002E7F61" w14:paraId="1AD5BB5D" w14:textId="77777777" w:rsidTr="005E6AB3">
      <w:trPr>
        <w:trHeight w:val="590"/>
      </w:trPr>
      <w:tc>
        <w:tcPr>
          <w:tcW w:w="8720" w:type="dxa"/>
          <w:shd w:val="clear" w:color="auto" w:fill="E4F2E0"/>
        </w:tcPr>
        <w:p w14:paraId="0E9F92F7" w14:textId="77777777" w:rsidR="00983473" w:rsidRPr="002E7F61" w:rsidRDefault="00983473" w:rsidP="005E6AB3">
          <w:pPr>
            <w:pStyle w:val="Footer"/>
            <w:rPr>
              <w:b/>
              <w:sz w:val="18"/>
              <w:szCs w:val="18"/>
            </w:rPr>
          </w:pPr>
          <w:r w:rsidRPr="002E7F61">
            <w:rPr>
              <w:b/>
              <w:sz w:val="18"/>
              <w:szCs w:val="18"/>
            </w:rPr>
            <w:t xml:space="preserve">Attachment 1: Product information </w:t>
          </w:r>
          <w:r w:rsidRPr="00DA74F9">
            <w:rPr>
              <w:b/>
              <w:sz w:val="18"/>
              <w:szCs w:val="18"/>
            </w:rPr>
            <w:t xml:space="preserve">AusPAR </w:t>
          </w:r>
          <w:proofErr w:type="spellStart"/>
          <w:r w:rsidRPr="00DA74F9">
            <w:rPr>
              <w:b/>
              <w:sz w:val="18"/>
              <w:szCs w:val="18"/>
            </w:rPr>
            <w:t>Mekinist</w:t>
          </w:r>
          <w:proofErr w:type="spellEnd"/>
          <w:r w:rsidRPr="00DA74F9">
            <w:rPr>
              <w:b/>
              <w:sz w:val="18"/>
              <w:szCs w:val="18"/>
            </w:rPr>
            <w:t xml:space="preserve"> </w:t>
          </w:r>
          <w:proofErr w:type="spellStart"/>
          <w:r w:rsidRPr="00DA74F9">
            <w:rPr>
              <w:b/>
              <w:sz w:val="18"/>
              <w:szCs w:val="18"/>
            </w:rPr>
            <w:t>Tafinlar</w:t>
          </w:r>
          <w:proofErr w:type="spellEnd"/>
          <w:r w:rsidRPr="00DA74F9">
            <w:rPr>
              <w:b/>
              <w:sz w:val="18"/>
              <w:szCs w:val="18"/>
            </w:rPr>
            <w:t xml:space="preserve"> Novartis Pharmaceuticals Australia Pty Limited PM-2017-04434-1-4 and PM-2017-04435-1-4 Final 8 November 2018</w:t>
          </w:r>
          <w:r>
            <w:rPr>
              <w:b/>
              <w:sz w:val="18"/>
              <w:szCs w:val="18"/>
            </w:rPr>
            <w:t xml:space="preserve">. </w:t>
          </w:r>
          <w:r w:rsidRPr="002E7F61">
            <w:rPr>
              <w:b/>
              <w:sz w:val="18"/>
              <w:szCs w:val="18"/>
            </w:rPr>
            <w:t>This Product information was approved at the time this AusPAR was published.</w:t>
          </w:r>
        </w:p>
      </w:tc>
    </w:tr>
  </w:tbl>
  <w:p w14:paraId="07FDE8AB" w14:textId="608D3E91" w:rsidR="00137F52" w:rsidRPr="00220258" w:rsidRDefault="00137F52" w:rsidP="00983473">
    <w:pPr>
      <w:widowControl w:val="0"/>
      <w:autoSpaceDE/>
      <w:autoSpaceDN/>
      <w:adjustRightInd/>
      <w:spacing w:before="120" w:line="240" w:lineRule="auto"/>
      <w:jc w:val="left"/>
      <w:rPr>
        <w:rFonts w:ascii="Arial" w:hAnsi="Arial"/>
        <w:b/>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010"/>
    <w:multiLevelType w:val="hybridMultilevel"/>
    <w:tmpl w:val="AE0440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2CB4D07"/>
    <w:multiLevelType w:val="hybridMultilevel"/>
    <w:tmpl w:val="73C02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F00D8"/>
    <w:multiLevelType w:val="hybridMultilevel"/>
    <w:tmpl w:val="1EDC56E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FE73B25"/>
    <w:multiLevelType w:val="hybridMultilevel"/>
    <w:tmpl w:val="8EC24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F012D"/>
    <w:multiLevelType w:val="hybridMultilevel"/>
    <w:tmpl w:val="98B286E6"/>
    <w:lvl w:ilvl="0" w:tplc="D9B80F0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A2BD9"/>
    <w:multiLevelType w:val="hybridMultilevel"/>
    <w:tmpl w:val="225ED03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2F86E5B"/>
    <w:multiLevelType w:val="hybridMultilevel"/>
    <w:tmpl w:val="584AA3E6"/>
    <w:lvl w:ilvl="0" w:tplc="D9B80F0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40D6D"/>
    <w:multiLevelType w:val="hybridMultilevel"/>
    <w:tmpl w:val="9206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09026C"/>
    <w:multiLevelType w:val="hybridMultilevel"/>
    <w:tmpl w:val="96A6F786"/>
    <w:lvl w:ilvl="0" w:tplc="D9B80F0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5A09D3"/>
    <w:multiLevelType w:val="hybridMultilevel"/>
    <w:tmpl w:val="45D09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0756525"/>
    <w:multiLevelType w:val="hybridMultilevel"/>
    <w:tmpl w:val="04AEF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551B60"/>
    <w:multiLevelType w:val="hybridMultilevel"/>
    <w:tmpl w:val="D5C0D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D81616"/>
    <w:multiLevelType w:val="hybridMultilevel"/>
    <w:tmpl w:val="F0B28FBA"/>
    <w:lvl w:ilvl="0" w:tplc="07549E02">
      <w:start w:val="1"/>
      <w:numFmt w:val="decimal"/>
      <w:lvlText w:val="6.%1"/>
      <w:lvlJc w:val="left"/>
      <w:pPr>
        <w:ind w:left="360" w:hanging="360"/>
      </w:pPr>
      <w:rPr>
        <w:rFonts w:hint="default"/>
        <w:strike w:val="0"/>
        <w:dstrike w:val="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C766AD4"/>
    <w:multiLevelType w:val="hybridMultilevel"/>
    <w:tmpl w:val="3298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35190D"/>
    <w:multiLevelType w:val="singleLevel"/>
    <w:tmpl w:val="6EA66680"/>
    <w:lvl w:ilvl="0">
      <w:start w:val="1"/>
      <w:numFmt w:val="bullet"/>
      <w:pStyle w:val="listbull"/>
      <w:lvlText w:val=""/>
      <w:lvlJc w:val="left"/>
      <w:pPr>
        <w:tabs>
          <w:tab w:val="num" w:pos="432"/>
        </w:tabs>
        <w:ind w:left="432" w:hanging="432"/>
      </w:pPr>
      <w:rPr>
        <w:rFonts w:ascii="Symbol" w:hAnsi="Symbol" w:hint="default"/>
      </w:rPr>
    </w:lvl>
  </w:abstractNum>
  <w:abstractNum w:abstractNumId="15">
    <w:nsid w:val="30835912"/>
    <w:multiLevelType w:val="hybridMultilevel"/>
    <w:tmpl w:val="B37C3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43C0FE8"/>
    <w:multiLevelType w:val="hybridMultilevel"/>
    <w:tmpl w:val="C9AE8D22"/>
    <w:lvl w:ilvl="0" w:tplc="0C09000F">
      <w:start w:val="1"/>
      <w:numFmt w:val="decimal"/>
      <w:lvlText w:val="%1."/>
      <w:lvlJc w:val="left"/>
      <w:pPr>
        <w:ind w:left="360" w:hanging="360"/>
      </w:pPr>
      <w:rPr>
        <w:rFonts w:hint="default"/>
        <w:strike w:val="0"/>
        <w:dstrike w:val="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34D4557B"/>
    <w:multiLevelType w:val="hybridMultilevel"/>
    <w:tmpl w:val="19507FBE"/>
    <w:lvl w:ilvl="0" w:tplc="D9B80F0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C4821"/>
    <w:multiLevelType w:val="hybridMultilevel"/>
    <w:tmpl w:val="D3064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B088F"/>
    <w:multiLevelType w:val="hybridMultilevel"/>
    <w:tmpl w:val="FA3A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B02396"/>
    <w:multiLevelType w:val="hybridMultilevel"/>
    <w:tmpl w:val="AE964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884462E"/>
    <w:multiLevelType w:val="singleLevel"/>
    <w:tmpl w:val="9A309680"/>
    <w:lvl w:ilvl="0">
      <w:start w:val="1"/>
      <w:numFmt w:val="bullet"/>
      <w:lvlText w:val=""/>
      <w:lvlJc w:val="left"/>
      <w:pPr>
        <w:tabs>
          <w:tab w:val="num" w:pos="357"/>
        </w:tabs>
        <w:ind w:left="357" w:hanging="357"/>
      </w:pPr>
      <w:rPr>
        <w:rFonts w:ascii="Symbol" w:hAnsi="Symbol" w:hint="default"/>
      </w:rPr>
    </w:lvl>
  </w:abstractNum>
  <w:abstractNum w:abstractNumId="22">
    <w:nsid w:val="4C424486"/>
    <w:multiLevelType w:val="hybridMultilevel"/>
    <w:tmpl w:val="52E48E80"/>
    <w:lvl w:ilvl="0" w:tplc="C0A63B5A">
      <w:start w:val="1"/>
      <w:numFmt w:val="decimal"/>
      <w:lvlText w:val="5.%1"/>
      <w:lvlJc w:val="left"/>
      <w:pPr>
        <w:ind w:left="360" w:hanging="360"/>
      </w:pPr>
      <w:rPr>
        <w:rFonts w:hint="default"/>
        <w:strike w:val="0"/>
        <w:dstrike w:val="0"/>
        <w:vertAlign w:val="baseline"/>
      </w:rPr>
    </w:lvl>
    <w:lvl w:ilvl="1" w:tplc="D05E6282">
      <w:start w:val="1"/>
      <w:numFmt w:val="decimal"/>
      <w:lvlText w:val="4.%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4E26523A"/>
    <w:multiLevelType w:val="hybridMultilevel"/>
    <w:tmpl w:val="8766C848"/>
    <w:lvl w:ilvl="0" w:tplc="D9B80F0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DC6444"/>
    <w:multiLevelType w:val="hybridMultilevel"/>
    <w:tmpl w:val="817E3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6D57342"/>
    <w:multiLevelType w:val="hybridMultilevel"/>
    <w:tmpl w:val="A8E86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8435BA7"/>
    <w:multiLevelType w:val="hybridMultilevel"/>
    <w:tmpl w:val="2ED8773C"/>
    <w:lvl w:ilvl="0" w:tplc="D05E6282">
      <w:start w:val="1"/>
      <w:numFmt w:val="decimal"/>
      <w:lvlText w:val="4.%1"/>
      <w:lvlJc w:val="left"/>
      <w:pPr>
        <w:ind w:left="360" w:hanging="360"/>
      </w:pPr>
      <w:rPr>
        <w:rFonts w:hint="default"/>
        <w:strike w:val="0"/>
        <w:dstrike w:val="0"/>
        <w:vertAlign w:val="baseline"/>
      </w:rPr>
    </w:lvl>
    <w:lvl w:ilvl="1" w:tplc="D05E6282">
      <w:start w:val="1"/>
      <w:numFmt w:val="decimal"/>
      <w:lvlText w:val="4.%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65A07A9F"/>
    <w:multiLevelType w:val="hybridMultilevel"/>
    <w:tmpl w:val="16844C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68751159"/>
    <w:multiLevelType w:val="hybridMultilevel"/>
    <w:tmpl w:val="84507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8F00CB9"/>
    <w:multiLevelType w:val="hybridMultilevel"/>
    <w:tmpl w:val="814A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16145F"/>
    <w:multiLevelType w:val="hybridMultilevel"/>
    <w:tmpl w:val="9EFA8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CCB03E3"/>
    <w:multiLevelType w:val="hybridMultilevel"/>
    <w:tmpl w:val="A27E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011A83"/>
    <w:multiLevelType w:val="hybridMultilevel"/>
    <w:tmpl w:val="7B00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086F29"/>
    <w:multiLevelType w:val="hybridMultilevel"/>
    <w:tmpl w:val="A730519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nsid w:val="6EE2114F"/>
    <w:multiLevelType w:val="hybridMultilevel"/>
    <w:tmpl w:val="67766F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73590125"/>
    <w:multiLevelType w:val="hybridMultilevel"/>
    <w:tmpl w:val="197053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3606852"/>
    <w:multiLevelType w:val="hybridMultilevel"/>
    <w:tmpl w:val="D7A6B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39E51F6"/>
    <w:multiLevelType w:val="hybridMultilevel"/>
    <w:tmpl w:val="FEA6A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57F5806"/>
    <w:multiLevelType w:val="hybridMultilevel"/>
    <w:tmpl w:val="1A22D2D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nsid w:val="75BC0E41"/>
    <w:multiLevelType w:val="hybridMultilevel"/>
    <w:tmpl w:val="0D9EBBA6"/>
    <w:lvl w:ilvl="0" w:tplc="D05E6282">
      <w:start w:val="1"/>
      <w:numFmt w:val="decimal"/>
      <w:lvlText w:val="4.%1"/>
      <w:lvlJc w:val="left"/>
      <w:pPr>
        <w:ind w:left="360" w:hanging="360"/>
      </w:pPr>
      <w:rPr>
        <w:rFonts w:hint="default"/>
        <w:strike w:val="0"/>
        <w:dstrike w:val="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nsid w:val="7AFF5E30"/>
    <w:multiLevelType w:val="hybridMultilevel"/>
    <w:tmpl w:val="391E8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151EA2"/>
    <w:multiLevelType w:val="hybridMultilevel"/>
    <w:tmpl w:val="2E3E86FE"/>
    <w:lvl w:ilvl="0" w:tplc="D9B80F0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902496"/>
    <w:multiLevelType w:val="hybridMultilevel"/>
    <w:tmpl w:val="3670F75E"/>
    <w:lvl w:ilvl="0" w:tplc="D9B80F0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CD675C6"/>
    <w:multiLevelType w:val="hybridMultilevel"/>
    <w:tmpl w:val="E6E68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9F1997"/>
    <w:multiLevelType w:val="hybridMultilevel"/>
    <w:tmpl w:val="B48AB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E640954"/>
    <w:multiLevelType w:val="hybridMultilevel"/>
    <w:tmpl w:val="C666A8B0"/>
    <w:lvl w:ilvl="0" w:tplc="D9B80F02">
      <w:numFmt w:val="bullet"/>
      <w:lvlText w:val="•"/>
      <w:lvlJc w:val="left"/>
      <w:pPr>
        <w:ind w:left="360" w:hanging="360"/>
      </w:pPr>
      <w:rPr>
        <w:rFonts w:ascii="Times New Roman" w:eastAsia="Times New Roman" w:hAnsi="Times New Roman" w:cs="Times New Roman" w:hint="default"/>
      </w:rPr>
    </w:lvl>
    <w:lvl w:ilvl="1" w:tplc="14F8BF4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4E30AC"/>
    <w:multiLevelType w:val="hybridMultilevel"/>
    <w:tmpl w:val="D3A4EB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7FF22C8A"/>
    <w:multiLevelType w:val="hybridMultilevel"/>
    <w:tmpl w:val="F5462A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9"/>
  </w:num>
  <w:num w:numId="3">
    <w:abstractNumId w:val="15"/>
  </w:num>
  <w:num w:numId="4">
    <w:abstractNumId w:val="10"/>
  </w:num>
  <w:num w:numId="5">
    <w:abstractNumId w:val="28"/>
  </w:num>
  <w:num w:numId="6">
    <w:abstractNumId w:val="9"/>
  </w:num>
  <w:num w:numId="7">
    <w:abstractNumId w:val="13"/>
  </w:num>
  <w:num w:numId="8">
    <w:abstractNumId w:val="32"/>
  </w:num>
  <w:num w:numId="9">
    <w:abstractNumId w:val="36"/>
  </w:num>
  <w:num w:numId="10">
    <w:abstractNumId w:val="20"/>
  </w:num>
  <w:num w:numId="11">
    <w:abstractNumId w:val="37"/>
  </w:num>
  <w:num w:numId="12">
    <w:abstractNumId w:val="7"/>
  </w:num>
  <w:num w:numId="13">
    <w:abstractNumId w:val="3"/>
  </w:num>
  <w:num w:numId="14">
    <w:abstractNumId w:val="47"/>
  </w:num>
  <w:num w:numId="15">
    <w:abstractNumId w:val="18"/>
  </w:num>
  <w:num w:numId="16">
    <w:abstractNumId w:val="40"/>
  </w:num>
  <w:num w:numId="17">
    <w:abstractNumId w:val="1"/>
  </w:num>
  <w:num w:numId="18">
    <w:abstractNumId w:val="31"/>
  </w:num>
  <w:num w:numId="19">
    <w:abstractNumId w:val="43"/>
  </w:num>
  <w:num w:numId="20">
    <w:abstractNumId w:val="42"/>
  </w:num>
  <w:num w:numId="21">
    <w:abstractNumId w:val="41"/>
  </w:num>
  <w:num w:numId="22">
    <w:abstractNumId w:val="30"/>
  </w:num>
  <w:num w:numId="23">
    <w:abstractNumId w:val="25"/>
  </w:num>
  <w:num w:numId="24">
    <w:abstractNumId w:val="29"/>
  </w:num>
  <w:num w:numId="25">
    <w:abstractNumId w:val="6"/>
  </w:num>
  <w:num w:numId="26">
    <w:abstractNumId w:val="17"/>
  </w:num>
  <w:num w:numId="27">
    <w:abstractNumId w:val="23"/>
  </w:num>
  <w:num w:numId="28">
    <w:abstractNumId w:val="45"/>
  </w:num>
  <w:num w:numId="29">
    <w:abstractNumId w:val="8"/>
  </w:num>
  <w:num w:numId="30">
    <w:abstractNumId w:val="4"/>
  </w:num>
  <w:num w:numId="31">
    <w:abstractNumId w:val="27"/>
  </w:num>
  <w:num w:numId="32">
    <w:abstractNumId w:val="12"/>
  </w:num>
  <w:num w:numId="33">
    <w:abstractNumId w:val="46"/>
  </w:num>
  <w:num w:numId="34">
    <w:abstractNumId w:val="34"/>
  </w:num>
  <w:num w:numId="35">
    <w:abstractNumId w:val="39"/>
  </w:num>
  <w:num w:numId="36">
    <w:abstractNumId w:val="26"/>
  </w:num>
  <w:num w:numId="37">
    <w:abstractNumId w:val="5"/>
  </w:num>
  <w:num w:numId="38">
    <w:abstractNumId w:val="16"/>
  </w:num>
  <w:num w:numId="39">
    <w:abstractNumId w:val="22"/>
  </w:num>
  <w:num w:numId="40">
    <w:abstractNumId w:val="21"/>
  </w:num>
  <w:num w:numId="41">
    <w:abstractNumId w:val="0"/>
  </w:num>
  <w:num w:numId="42">
    <w:abstractNumId w:val="44"/>
  </w:num>
  <w:num w:numId="43">
    <w:abstractNumId w:val="24"/>
  </w:num>
  <w:num w:numId="44">
    <w:abstractNumId w:val="33"/>
  </w:num>
  <w:num w:numId="45">
    <w:abstractNumId w:val="38"/>
  </w:num>
  <w:num w:numId="46">
    <w:abstractNumId w:val="11"/>
  </w:num>
  <w:num w:numId="47">
    <w:abstractNumId w:val="35"/>
  </w:num>
  <w:num w:numId="4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80F"/>
    <w:rsid w:val="00000044"/>
    <w:rsid w:val="00000F96"/>
    <w:rsid w:val="00000FDD"/>
    <w:rsid w:val="000012F7"/>
    <w:rsid w:val="00003922"/>
    <w:rsid w:val="00003F0A"/>
    <w:rsid w:val="00005856"/>
    <w:rsid w:val="00005F48"/>
    <w:rsid w:val="000076F9"/>
    <w:rsid w:val="00010844"/>
    <w:rsid w:val="00010B2E"/>
    <w:rsid w:val="00011286"/>
    <w:rsid w:val="00011EAE"/>
    <w:rsid w:val="000123DA"/>
    <w:rsid w:val="000144CC"/>
    <w:rsid w:val="00016A8D"/>
    <w:rsid w:val="00021C35"/>
    <w:rsid w:val="00023418"/>
    <w:rsid w:val="00027AFD"/>
    <w:rsid w:val="00032A76"/>
    <w:rsid w:val="0003428E"/>
    <w:rsid w:val="000379CC"/>
    <w:rsid w:val="00040349"/>
    <w:rsid w:val="00042F99"/>
    <w:rsid w:val="000467AC"/>
    <w:rsid w:val="00047CE1"/>
    <w:rsid w:val="00051F9A"/>
    <w:rsid w:val="00052FF9"/>
    <w:rsid w:val="00053140"/>
    <w:rsid w:val="00053893"/>
    <w:rsid w:val="00054386"/>
    <w:rsid w:val="00057332"/>
    <w:rsid w:val="0005769D"/>
    <w:rsid w:val="00057F27"/>
    <w:rsid w:val="00062E80"/>
    <w:rsid w:val="00063752"/>
    <w:rsid w:val="00064A55"/>
    <w:rsid w:val="00064D50"/>
    <w:rsid w:val="00066D30"/>
    <w:rsid w:val="00066E44"/>
    <w:rsid w:val="00070FFF"/>
    <w:rsid w:val="00071334"/>
    <w:rsid w:val="00071CE4"/>
    <w:rsid w:val="00074685"/>
    <w:rsid w:val="00074D10"/>
    <w:rsid w:val="00074D69"/>
    <w:rsid w:val="000752BA"/>
    <w:rsid w:val="000771A7"/>
    <w:rsid w:val="0008094E"/>
    <w:rsid w:val="00080B89"/>
    <w:rsid w:val="0008119A"/>
    <w:rsid w:val="000826C7"/>
    <w:rsid w:val="00083734"/>
    <w:rsid w:val="00083B9E"/>
    <w:rsid w:val="0008414C"/>
    <w:rsid w:val="000846EF"/>
    <w:rsid w:val="000849F6"/>
    <w:rsid w:val="000858E9"/>
    <w:rsid w:val="000868EB"/>
    <w:rsid w:val="00086990"/>
    <w:rsid w:val="00087C2E"/>
    <w:rsid w:val="000909A8"/>
    <w:rsid w:val="00091CA9"/>
    <w:rsid w:val="000924DE"/>
    <w:rsid w:val="00096BAB"/>
    <w:rsid w:val="00097C2A"/>
    <w:rsid w:val="000A0809"/>
    <w:rsid w:val="000A0958"/>
    <w:rsid w:val="000A0D39"/>
    <w:rsid w:val="000A1059"/>
    <w:rsid w:val="000A4C9D"/>
    <w:rsid w:val="000A50B6"/>
    <w:rsid w:val="000A650B"/>
    <w:rsid w:val="000A6D13"/>
    <w:rsid w:val="000A6FAF"/>
    <w:rsid w:val="000A798F"/>
    <w:rsid w:val="000B0963"/>
    <w:rsid w:val="000B2195"/>
    <w:rsid w:val="000B2AB2"/>
    <w:rsid w:val="000B2B52"/>
    <w:rsid w:val="000B3F7C"/>
    <w:rsid w:val="000B4520"/>
    <w:rsid w:val="000B5812"/>
    <w:rsid w:val="000B5B52"/>
    <w:rsid w:val="000B696A"/>
    <w:rsid w:val="000B6F2A"/>
    <w:rsid w:val="000B71C1"/>
    <w:rsid w:val="000B77C6"/>
    <w:rsid w:val="000C029F"/>
    <w:rsid w:val="000C1805"/>
    <w:rsid w:val="000C33F5"/>
    <w:rsid w:val="000C3F5F"/>
    <w:rsid w:val="000C458C"/>
    <w:rsid w:val="000C5A83"/>
    <w:rsid w:val="000C7575"/>
    <w:rsid w:val="000C7ECB"/>
    <w:rsid w:val="000D059D"/>
    <w:rsid w:val="000D1EE3"/>
    <w:rsid w:val="000D310B"/>
    <w:rsid w:val="000D5431"/>
    <w:rsid w:val="000E0CBE"/>
    <w:rsid w:val="000E1437"/>
    <w:rsid w:val="000E1AE9"/>
    <w:rsid w:val="000E350D"/>
    <w:rsid w:val="000E71AD"/>
    <w:rsid w:val="000E7849"/>
    <w:rsid w:val="000F30C7"/>
    <w:rsid w:val="000F3B04"/>
    <w:rsid w:val="000F3D44"/>
    <w:rsid w:val="000F48C9"/>
    <w:rsid w:val="000F49F3"/>
    <w:rsid w:val="000F70F6"/>
    <w:rsid w:val="00100DEF"/>
    <w:rsid w:val="001018D6"/>
    <w:rsid w:val="00102401"/>
    <w:rsid w:val="001025A6"/>
    <w:rsid w:val="00102A42"/>
    <w:rsid w:val="00102A45"/>
    <w:rsid w:val="001032DC"/>
    <w:rsid w:val="0010404D"/>
    <w:rsid w:val="0011013A"/>
    <w:rsid w:val="00110243"/>
    <w:rsid w:val="00112554"/>
    <w:rsid w:val="001130B4"/>
    <w:rsid w:val="00114C2A"/>
    <w:rsid w:val="00116A72"/>
    <w:rsid w:val="00121728"/>
    <w:rsid w:val="0012382D"/>
    <w:rsid w:val="00123E73"/>
    <w:rsid w:val="0012487D"/>
    <w:rsid w:val="00125A42"/>
    <w:rsid w:val="00126416"/>
    <w:rsid w:val="0013067E"/>
    <w:rsid w:val="00131CDA"/>
    <w:rsid w:val="001342C0"/>
    <w:rsid w:val="00134BBA"/>
    <w:rsid w:val="00135002"/>
    <w:rsid w:val="00135F92"/>
    <w:rsid w:val="00136C8E"/>
    <w:rsid w:val="00137F52"/>
    <w:rsid w:val="00140A11"/>
    <w:rsid w:val="001423A0"/>
    <w:rsid w:val="001447EC"/>
    <w:rsid w:val="00147238"/>
    <w:rsid w:val="0014737E"/>
    <w:rsid w:val="00150BA2"/>
    <w:rsid w:val="00151A31"/>
    <w:rsid w:val="00151EA3"/>
    <w:rsid w:val="001550EB"/>
    <w:rsid w:val="001564DD"/>
    <w:rsid w:val="00156A6A"/>
    <w:rsid w:val="00156D83"/>
    <w:rsid w:val="00162040"/>
    <w:rsid w:val="00162729"/>
    <w:rsid w:val="001629D5"/>
    <w:rsid w:val="00162AA0"/>
    <w:rsid w:val="00162B4D"/>
    <w:rsid w:val="0016389B"/>
    <w:rsid w:val="001657A5"/>
    <w:rsid w:val="00170689"/>
    <w:rsid w:val="00171817"/>
    <w:rsid w:val="00171D0F"/>
    <w:rsid w:val="00172257"/>
    <w:rsid w:val="00175D50"/>
    <w:rsid w:val="00177398"/>
    <w:rsid w:val="0017792A"/>
    <w:rsid w:val="001779F3"/>
    <w:rsid w:val="00181F40"/>
    <w:rsid w:val="00184DC7"/>
    <w:rsid w:val="00186EF2"/>
    <w:rsid w:val="001879F5"/>
    <w:rsid w:val="001907E6"/>
    <w:rsid w:val="00197076"/>
    <w:rsid w:val="00197457"/>
    <w:rsid w:val="001A3375"/>
    <w:rsid w:val="001B2BCA"/>
    <w:rsid w:val="001B3C0E"/>
    <w:rsid w:val="001B5D16"/>
    <w:rsid w:val="001B5D7C"/>
    <w:rsid w:val="001B7FA8"/>
    <w:rsid w:val="001C1405"/>
    <w:rsid w:val="001C33C9"/>
    <w:rsid w:val="001C7153"/>
    <w:rsid w:val="001C7F62"/>
    <w:rsid w:val="001D080C"/>
    <w:rsid w:val="001D275A"/>
    <w:rsid w:val="001D3486"/>
    <w:rsid w:val="001D4521"/>
    <w:rsid w:val="001D5A97"/>
    <w:rsid w:val="001E116E"/>
    <w:rsid w:val="001E13C3"/>
    <w:rsid w:val="001E18A0"/>
    <w:rsid w:val="001E31F4"/>
    <w:rsid w:val="001E3831"/>
    <w:rsid w:val="001E3B9A"/>
    <w:rsid w:val="001E6411"/>
    <w:rsid w:val="001F44D2"/>
    <w:rsid w:val="001F715E"/>
    <w:rsid w:val="00201DA9"/>
    <w:rsid w:val="002029C5"/>
    <w:rsid w:val="0020311B"/>
    <w:rsid w:val="00203491"/>
    <w:rsid w:val="002045D8"/>
    <w:rsid w:val="0020529F"/>
    <w:rsid w:val="00205AF4"/>
    <w:rsid w:val="00205DF5"/>
    <w:rsid w:val="0020645C"/>
    <w:rsid w:val="002075C8"/>
    <w:rsid w:val="002117FF"/>
    <w:rsid w:val="00211F60"/>
    <w:rsid w:val="00212E1F"/>
    <w:rsid w:val="002144A4"/>
    <w:rsid w:val="00215F9D"/>
    <w:rsid w:val="00216A61"/>
    <w:rsid w:val="00216F1C"/>
    <w:rsid w:val="00217FCE"/>
    <w:rsid w:val="00220258"/>
    <w:rsid w:val="00220835"/>
    <w:rsid w:val="00226ED6"/>
    <w:rsid w:val="00230AC3"/>
    <w:rsid w:val="002316BD"/>
    <w:rsid w:val="00231743"/>
    <w:rsid w:val="00235B55"/>
    <w:rsid w:val="00235FBD"/>
    <w:rsid w:val="00236E6E"/>
    <w:rsid w:val="00241029"/>
    <w:rsid w:val="00242B97"/>
    <w:rsid w:val="00243A30"/>
    <w:rsid w:val="00245469"/>
    <w:rsid w:val="002477D0"/>
    <w:rsid w:val="002515FF"/>
    <w:rsid w:val="00251753"/>
    <w:rsid w:val="00253DD7"/>
    <w:rsid w:val="00254BEF"/>
    <w:rsid w:val="00257429"/>
    <w:rsid w:val="00263170"/>
    <w:rsid w:val="00265C2F"/>
    <w:rsid w:val="002661C1"/>
    <w:rsid w:val="00266838"/>
    <w:rsid w:val="00270434"/>
    <w:rsid w:val="00271505"/>
    <w:rsid w:val="0027489C"/>
    <w:rsid w:val="00275319"/>
    <w:rsid w:val="00275518"/>
    <w:rsid w:val="00275754"/>
    <w:rsid w:val="00275A00"/>
    <w:rsid w:val="002771DC"/>
    <w:rsid w:val="0028086C"/>
    <w:rsid w:val="00281BB6"/>
    <w:rsid w:val="00283A2E"/>
    <w:rsid w:val="00283EEF"/>
    <w:rsid w:val="002842ED"/>
    <w:rsid w:val="0028470F"/>
    <w:rsid w:val="00284C3C"/>
    <w:rsid w:val="0029198E"/>
    <w:rsid w:val="00293105"/>
    <w:rsid w:val="00293923"/>
    <w:rsid w:val="0029565F"/>
    <w:rsid w:val="00295B57"/>
    <w:rsid w:val="00297C4F"/>
    <w:rsid w:val="002A1A76"/>
    <w:rsid w:val="002A1D26"/>
    <w:rsid w:val="002A359F"/>
    <w:rsid w:val="002A3D20"/>
    <w:rsid w:val="002B33F6"/>
    <w:rsid w:val="002B421A"/>
    <w:rsid w:val="002C1495"/>
    <w:rsid w:val="002C1632"/>
    <w:rsid w:val="002C7CE4"/>
    <w:rsid w:val="002D035F"/>
    <w:rsid w:val="002D0DDB"/>
    <w:rsid w:val="002D129A"/>
    <w:rsid w:val="002D2B91"/>
    <w:rsid w:val="002D4B42"/>
    <w:rsid w:val="002D5D36"/>
    <w:rsid w:val="002D7BAE"/>
    <w:rsid w:val="002E02F2"/>
    <w:rsid w:val="002E461E"/>
    <w:rsid w:val="002E4DF0"/>
    <w:rsid w:val="002E7116"/>
    <w:rsid w:val="002E716A"/>
    <w:rsid w:val="002E7AC9"/>
    <w:rsid w:val="002F1C3B"/>
    <w:rsid w:val="002F3B49"/>
    <w:rsid w:val="002F5443"/>
    <w:rsid w:val="0030180F"/>
    <w:rsid w:val="0030435D"/>
    <w:rsid w:val="00307E7E"/>
    <w:rsid w:val="0031228D"/>
    <w:rsid w:val="003140D6"/>
    <w:rsid w:val="003156AA"/>
    <w:rsid w:val="00316D06"/>
    <w:rsid w:val="003174E7"/>
    <w:rsid w:val="003179C8"/>
    <w:rsid w:val="00323519"/>
    <w:rsid w:val="00325852"/>
    <w:rsid w:val="00325C9B"/>
    <w:rsid w:val="00325EBD"/>
    <w:rsid w:val="0032783F"/>
    <w:rsid w:val="003278E1"/>
    <w:rsid w:val="00330944"/>
    <w:rsid w:val="00330ECC"/>
    <w:rsid w:val="00330F12"/>
    <w:rsid w:val="003311F9"/>
    <w:rsid w:val="0033212B"/>
    <w:rsid w:val="00332A46"/>
    <w:rsid w:val="00333FEB"/>
    <w:rsid w:val="0035087C"/>
    <w:rsid w:val="00350962"/>
    <w:rsid w:val="00352F71"/>
    <w:rsid w:val="00353192"/>
    <w:rsid w:val="003533B2"/>
    <w:rsid w:val="0035373F"/>
    <w:rsid w:val="00353EFE"/>
    <w:rsid w:val="0035484E"/>
    <w:rsid w:val="0035507E"/>
    <w:rsid w:val="003552E7"/>
    <w:rsid w:val="00356313"/>
    <w:rsid w:val="0035779C"/>
    <w:rsid w:val="00360E15"/>
    <w:rsid w:val="00364D85"/>
    <w:rsid w:val="003656B1"/>
    <w:rsid w:val="00365788"/>
    <w:rsid w:val="00365D1F"/>
    <w:rsid w:val="00367C13"/>
    <w:rsid w:val="00373083"/>
    <w:rsid w:val="00373D3B"/>
    <w:rsid w:val="00375BDB"/>
    <w:rsid w:val="00377448"/>
    <w:rsid w:val="0037797F"/>
    <w:rsid w:val="00382592"/>
    <w:rsid w:val="0038265B"/>
    <w:rsid w:val="00383B5A"/>
    <w:rsid w:val="00387850"/>
    <w:rsid w:val="003949DF"/>
    <w:rsid w:val="003961A2"/>
    <w:rsid w:val="00397520"/>
    <w:rsid w:val="0039761F"/>
    <w:rsid w:val="003A0356"/>
    <w:rsid w:val="003A08A6"/>
    <w:rsid w:val="003A185D"/>
    <w:rsid w:val="003A1E7C"/>
    <w:rsid w:val="003A212F"/>
    <w:rsid w:val="003A21A0"/>
    <w:rsid w:val="003A3924"/>
    <w:rsid w:val="003A4A74"/>
    <w:rsid w:val="003B0279"/>
    <w:rsid w:val="003B0EF9"/>
    <w:rsid w:val="003B0EFE"/>
    <w:rsid w:val="003B2FC9"/>
    <w:rsid w:val="003B7745"/>
    <w:rsid w:val="003B77CA"/>
    <w:rsid w:val="003B7F99"/>
    <w:rsid w:val="003C00DA"/>
    <w:rsid w:val="003C15C7"/>
    <w:rsid w:val="003C36B8"/>
    <w:rsid w:val="003C370F"/>
    <w:rsid w:val="003C51F6"/>
    <w:rsid w:val="003C556D"/>
    <w:rsid w:val="003C5A5F"/>
    <w:rsid w:val="003C6242"/>
    <w:rsid w:val="003C6652"/>
    <w:rsid w:val="003C678C"/>
    <w:rsid w:val="003C7166"/>
    <w:rsid w:val="003D1BBC"/>
    <w:rsid w:val="003D27A6"/>
    <w:rsid w:val="003D3058"/>
    <w:rsid w:val="003E06FC"/>
    <w:rsid w:val="003E1CFE"/>
    <w:rsid w:val="003E212D"/>
    <w:rsid w:val="003E285B"/>
    <w:rsid w:val="003E378A"/>
    <w:rsid w:val="003E477B"/>
    <w:rsid w:val="003E69D2"/>
    <w:rsid w:val="003F0152"/>
    <w:rsid w:val="003F25A5"/>
    <w:rsid w:val="003F47FB"/>
    <w:rsid w:val="0040145A"/>
    <w:rsid w:val="00411120"/>
    <w:rsid w:val="00411677"/>
    <w:rsid w:val="00413838"/>
    <w:rsid w:val="00414528"/>
    <w:rsid w:val="00420E20"/>
    <w:rsid w:val="00420EA6"/>
    <w:rsid w:val="004212B9"/>
    <w:rsid w:val="00422A91"/>
    <w:rsid w:val="00422CCF"/>
    <w:rsid w:val="0042722D"/>
    <w:rsid w:val="00431A12"/>
    <w:rsid w:val="00433709"/>
    <w:rsid w:val="00433890"/>
    <w:rsid w:val="00433FA0"/>
    <w:rsid w:val="00434B87"/>
    <w:rsid w:val="004358D3"/>
    <w:rsid w:val="0043762C"/>
    <w:rsid w:val="00441DF7"/>
    <w:rsid w:val="00441FA5"/>
    <w:rsid w:val="0044327D"/>
    <w:rsid w:val="00447061"/>
    <w:rsid w:val="0045078A"/>
    <w:rsid w:val="00450814"/>
    <w:rsid w:val="00451C12"/>
    <w:rsid w:val="0045239A"/>
    <w:rsid w:val="004555E5"/>
    <w:rsid w:val="00463492"/>
    <w:rsid w:val="0046418E"/>
    <w:rsid w:val="004658F3"/>
    <w:rsid w:val="0046604B"/>
    <w:rsid w:val="00466928"/>
    <w:rsid w:val="004672B8"/>
    <w:rsid w:val="004728B5"/>
    <w:rsid w:val="004742A1"/>
    <w:rsid w:val="00475ED5"/>
    <w:rsid w:val="00481A56"/>
    <w:rsid w:val="00481F60"/>
    <w:rsid w:val="00482743"/>
    <w:rsid w:val="0048363C"/>
    <w:rsid w:val="00484917"/>
    <w:rsid w:val="00485A84"/>
    <w:rsid w:val="004868C8"/>
    <w:rsid w:val="00487519"/>
    <w:rsid w:val="00487601"/>
    <w:rsid w:val="0049066C"/>
    <w:rsid w:val="0049135D"/>
    <w:rsid w:val="0049165F"/>
    <w:rsid w:val="00492A43"/>
    <w:rsid w:val="00495E08"/>
    <w:rsid w:val="004965C4"/>
    <w:rsid w:val="004A0E22"/>
    <w:rsid w:val="004A2573"/>
    <w:rsid w:val="004A73D6"/>
    <w:rsid w:val="004B03B0"/>
    <w:rsid w:val="004B121B"/>
    <w:rsid w:val="004B1441"/>
    <w:rsid w:val="004B1504"/>
    <w:rsid w:val="004B19BB"/>
    <w:rsid w:val="004B1C3B"/>
    <w:rsid w:val="004B7572"/>
    <w:rsid w:val="004C06D6"/>
    <w:rsid w:val="004C4650"/>
    <w:rsid w:val="004C4A2D"/>
    <w:rsid w:val="004C4BE7"/>
    <w:rsid w:val="004C6204"/>
    <w:rsid w:val="004C6B47"/>
    <w:rsid w:val="004C7251"/>
    <w:rsid w:val="004C73F6"/>
    <w:rsid w:val="004C74C8"/>
    <w:rsid w:val="004D0AE6"/>
    <w:rsid w:val="004D0C8C"/>
    <w:rsid w:val="004D41BC"/>
    <w:rsid w:val="004D4EBA"/>
    <w:rsid w:val="004D57E7"/>
    <w:rsid w:val="004D794E"/>
    <w:rsid w:val="004E1851"/>
    <w:rsid w:val="004E51EE"/>
    <w:rsid w:val="004E7720"/>
    <w:rsid w:val="004F15F6"/>
    <w:rsid w:val="004F640B"/>
    <w:rsid w:val="004F6A93"/>
    <w:rsid w:val="004F7CEF"/>
    <w:rsid w:val="00501619"/>
    <w:rsid w:val="005030DF"/>
    <w:rsid w:val="005038DE"/>
    <w:rsid w:val="00503CE8"/>
    <w:rsid w:val="0050429F"/>
    <w:rsid w:val="0050463C"/>
    <w:rsid w:val="00506804"/>
    <w:rsid w:val="00507F23"/>
    <w:rsid w:val="00513B19"/>
    <w:rsid w:val="00513F1C"/>
    <w:rsid w:val="00515B7B"/>
    <w:rsid w:val="005162D6"/>
    <w:rsid w:val="00517A18"/>
    <w:rsid w:val="00520F0C"/>
    <w:rsid w:val="005228C5"/>
    <w:rsid w:val="00525CE1"/>
    <w:rsid w:val="005260C4"/>
    <w:rsid w:val="00527BA7"/>
    <w:rsid w:val="00530171"/>
    <w:rsid w:val="0053246F"/>
    <w:rsid w:val="00533D7C"/>
    <w:rsid w:val="00533E58"/>
    <w:rsid w:val="0053613C"/>
    <w:rsid w:val="005365A5"/>
    <w:rsid w:val="00537ACF"/>
    <w:rsid w:val="0054163D"/>
    <w:rsid w:val="0054711B"/>
    <w:rsid w:val="00547CC2"/>
    <w:rsid w:val="00547E35"/>
    <w:rsid w:val="0055207D"/>
    <w:rsid w:val="00552DCC"/>
    <w:rsid w:val="00560C91"/>
    <w:rsid w:val="00561EE1"/>
    <w:rsid w:val="0056694D"/>
    <w:rsid w:val="00570C21"/>
    <w:rsid w:val="00571510"/>
    <w:rsid w:val="005717C5"/>
    <w:rsid w:val="00571EE2"/>
    <w:rsid w:val="005727BD"/>
    <w:rsid w:val="00573523"/>
    <w:rsid w:val="005741DD"/>
    <w:rsid w:val="00575A05"/>
    <w:rsid w:val="00576DB8"/>
    <w:rsid w:val="00580022"/>
    <w:rsid w:val="00580ADF"/>
    <w:rsid w:val="0058347E"/>
    <w:rsid w:val="00583B74"/>
    <w:rsid w:val="0058519B"/>
    <w:rsid w:val="00585BF7"/>
    <w:rsid w:val="00586343"/>
    <w:rsid w:val="0058718A"/>
    <w:rsid w:val="00587990"/>
    <w:rsid w:val="00587E73"/>
    <w:rsid w:val="00590475"/>
    <w:rsid w:val="0059068F"/>
    <w:rsid w:val="00590C2C"/>
    <w:rsid w:val="00595396"/>
    <w:rsid w:val="00595E69"/>
    <w:rsid w:val="00596446"/>
    <w:rsid w:val="005A006B"/>
    <w:rsid w:val="005A02E2"/>
    <w:rsid w:val="005A2017"/>
    <w:rsid w:val="005A2C8E"/>
    <w:rsid w:val="005A4222"/>
    <w:rsid w:val="005A4D97"/>
    <w:rsid w:val="005A6278"/>
    <w:rsid w:val="005A68C3"/>
    <w:rsid w:val="005B0493"/>
    <w:rsid w:val="005B303E"/>
    <w:rsid w:val="005B5DE2"/>
    <w:rsid w:val="005B7D9A"/>
    <w:rsid w:val="005C0B93"/>
    <w:rsid w:val="005C16A3"/>
    <w:rsid w:val="005C2FAE"/>
    <w:rsid w:val="005C3C81"/>
    <w:rsid w:val="005C4254"/>
    <w:rsid w:val="005C4986"/>
    <w:rsid w:val="005C626F"/>
    <w:rsid w:val="005C6D78"/>
    <w:rsid w:val="005C6E6E"/>
    <w:rsid w:val="005C7035"/>
    <w:rsid w:val="005D1137"/>
    <w:rsid w:val="005D14FF"/>
    <w:rsid w:val="005D4CB3"/>
    <w:rsid w:val="005D4F67"/>
    <w:rsid w:val="005D5DF9"/>
    <w:rsid w:val="005D64B4"/>
    <w:rsid w:val="005D7273"/>
    <w:rsid w:val="005E27E9"/>
    <w:rsid w:val="005E289B"/>
    <w:rsid w:val="005E32FB"/>
    <w:rsid w:val="005E384E"/>
    <w:rsid w:val="005E458D"/>
    <w:rsid w:val="005E4CDA"/>
    <w:rsid w:val="005E549E"/>
    <w:rsid w:val="005E7445"/>
    <w:rsid w:val="005E7888"/>
    <w:rsid w:val="005F13C7"/>
    <w:rsid w:val="005F15D9"/>
    <w:rsid w:val="005F4EFA"/>
    <w:rsid w:val="005F4FC6"/>
    <w:rsid w:val="005F5EE6"/>
    <w:rsid w:val="005F6018"/>
    <w:rsid w:val="00600A2B"/>
    <w:rsid w:val="00603B48"/>
    <w:rsid w:val="0060731B"/>
    <w:rsid w:val="00611665"/>
    <w:rsid w:val="00611746"/>
    <w:rsid w:val="00611794"/>
    <w:rsid w:val="00611B46"/>
    <w:rsid w:val="0061276F"/>
    <w:rsid w:val="00615AD5"/>
    <w:rsid w:val="0061709E"/>
    <w:rsid w:val="00617A72"/>
    <w:rsid w:val="00621499"/>
    <w:rsid w:val="00621A30"/>
    <w:rsid w:val="006236C6"/>
    <w:rsid w:val="0063059B"/>
    <w:rsid w:val="006320DA"/>
    <w:rsid w:val="006340AC"/>
    <w:rsid w:val="0063508A"/>
    <w:rsid w:val="006362B1"/>
    <w:rsid w:val="00637663"/>
    <w:rsid w:val="006428CC"/>
    <w:rsid w:val="00642CB2"/>
    <w:rsid w:val="00645363"/>
    <w:rsid w:val="00647C82"/>
    <w:rsid w:val="00650654"/>
    <w:rsid w:val="0065086D"/>
    <w:rsid w:val="00650A12"/>
    <w:rsid w:val="00653461"/>
    <w:rsid w:val="00653B34"/>
    <w:rsid w:val="00653DC3"/>
    <w:rsid w:val="0065455C"/>
    <w:rsid w:val="00655062"/>
    <w:rsid w:val="00655429"/>
    <w:rsid w:val="00655B6D"/>
    <w:rsid w:val="006566D6"/>
    <w:rsid w:val="00656A10"/>
    <w:rsid w:val="00657B9B"/>
    <w:rsid w:val="00662220"/>
    <w:rsid w:val="006630F0"/>
    <w:rsid w:val="0066416F"/>
    <w:rsid w:val="0066567E"/>
    <w:rsid w:val="006666ED"/>
    <w:rsid w:val="00670B7E"/>
    <w:rsid w:val="00671B1B"/>
    <w:rsid w:val="0067259C"/>
    <w:rsid w:val="00676700"/>
    <w:rsid w:val="006768C7"/>
    <w:rsid w:val="0068152C"/>
    <w:rsid w:val="00682B74"/>
    <w:rsid w:val="0068448F"/>
    <w:rsid w:val="00684775"/>
    <w:rsid w:val="0068696A"/>
    <w:rsid w:val="00693A1B"/>
    <w:rsid w:val="00694BFD"/>
    <w:rsid w:val="00694F9B"/>
    <w:rsid w:val="006976E7"/>
    <w:rsid w:val="00697766"/>
    <w:rsid w:val="00697EF8"/>
    <w:rsid w:val="006A0D8E"/>
    <w:rsid w:val="006A11C2"/>
    <w:rsid w:val="006A1496"/>
    <w:rsid w:val="006A2803"/>
    <w:rsid w:val="006A554D"/>
    <w:rsid w:val="006A5DFF"/>
    <w:rsid w:val="006B0C70"/>
    <w:rsid w:val="006B4C71"/>
    <w:rsid w:val="006B7024"/>
    <w:rsid w:val="006C1643"/>
    <w:rsid w:val="006C2024"/>
    <w:rsid w:val="006C288A"/>
    <w:rsid w:val="006C372D"/>
    <w:rsid w:val="006C3A59"/>
    <w:rsid w:val="006C554D"/>
    <w:rsid w:val="006C591E"/>
    <w:rsid w:val="006D1293"/>
    <w:rsid w:val="006D2505"/>
    <w:rsid w:val="006E108B"/>
    <w:rsid w:val="006E311F"/>
    <w:rsid w:val="006E37C3"/>
    <w:rsid w:val="006E53B7"/>
    <w:rsid w:val="006F2B84"/>
    <w:rsid w:val="006F4754"/>
    <w:rsid w:val="006F7E2B"/>
    <w:rsid w:val="00703E59"/>
    <w:rsid w:val="00704B18"/>
    <w:rsid w:val="00705D1F"/>
    <w:rsid w:val="0070698C"/>
    <w:rsid w:val="0070730F"/>
    <w:rsid w:val="007101BB"/>
    <w:rsid w:val="007101C0"/>
    <w:rsid w:val="00710E6D"/>
    <w:rsid w:val="007147B9"/>
    <w:rsid w:val="00715E88"/>
    <w:rsid w:val="00721613"/>
    <w:rsid w:val="007220DE"/>
    <w:rsid w:val="007227EB"/>
    <w:rsid w:val="007243A8"/>
    <w:rsid w:val="00724B6A"/>
    <w:rsid w:val="00725331"/>
    <w:rsid w:val="00726DD2"/>
    <w:rsid w:val="00726E86"/>
    <w:rsid w:val="00735A23"/>
    <w:rsid w:val="00735A28"/>
    <w:rsid w:val="00736CE3"/>
    <w:rsid w:val="00736F6C"/>
    <w:rsid w:val="00742D04"/>
    <w:rsid w:val="00744766"/>
    <w:rsid w:val="00747D2C"/>
    <w:rsid w:val="00750FA9"/>
    <w:rsid w:val="0075229F"/>
    <w:rsid w:val="00754D64"/>
    <w:rsid w:val="007570E1"/>
    <w:rsid w:val="00760470"/>
    <w:rsid w:val="00760633"/>
    <w:rsid w:val="00763B46"/>
    <w:rsid w:val="00763B64"/>
    <w:rsid w:val="00765966"/>
    <w:rsid w:val="007668A5"/>
    <w:rsid w:val="00766CE3"/>
    <w:rsid w:val="00767BCC"/>
    <w:rsid w:val="00770397"/>
    <w:rsid w:val="007715A7"/>
    <w:rsid w:val="00772C19"/>
    <w:rsid w:val="0077380F"/>
    <w:rsid w:val="00774C10"/>
    <w:rsid w:val="00774EA3"/>
    <w:rsid w:val="00775F26"/>
    <w:rsid w:val="0078175F"/>
    <w:rsid w:val="00784E94"/>
    <w:rsid w:val="00785641"/>
    <w:rsid w:val="007862CA"/>
    <w:rsid w:val="007866AD"/>
    <w:rsid w:val="00790BC3"/>
    <w:rsid w:val="007935B7"/>
    <w:rsid w:val="007960E7"/>
    <w:rsid w:val="00796D87"/>
    <w:rsid w:val="00797584"/>
    <w:rsid w:val="007A0105"/>
    <w:rsid w:val="007A0414"/>
    <w:rsid w:val="007A1AC1"/>
    <w:rsid w:val="007A4294"/>
    <w:rsid w:val="007A44F3"/>
    <w:rsid w:val="007A58FC"/>
    <w:rsid w:val="007B5986"/>
    <w:rsid w:val="007B7A64"/>
    <w:rsid w:val="007C054A"/>
    <w:rsid w:val="007C2AA2"/>
    <w:rsid w:val="007C3043"/>
    <w:rsid w:val="007C3BC1"/>
    <w:rsid w:val="007C5316"/>
    <w:rsid w:val="007C5F5A"/>
    <w:rsid w:val="007C6B71"/>
    <w:rsid w:val="007D1404"/>
    <w:rsid w:val="007D2B0C"/>
    <w:rsid w:val="007D4E4A"/>
    <w:rsid w:val="007D6A89"/>
    <w:rsid w:val="007D7E29"/>
    <w:rsid w:val="007E0C5E"/>
    <w:rsid w:val="007E0D99"/>
    <w:rsid w:val="007E1F4E"/>
    <w:rsid w:val="007E207B"/>
    <w:rsid w:val="007E215A"/>
    <w:rsid w:val="007E2A9E"/>
    <w:rsid w:val="007E3AE9"/>
    <w:rsid w:val="007E6105"/>
    <w:rsid w:val="007F01C3"/>
    <w:rsid w:val="007F01F4"/>
    <w:rsid w:val="007F4F58"/>
    <w:rsid w:val="007F4FDA"/>
    <w:rsid w:val="008033AC"/>
    <w:rsid w:val="00803688"/>
    <w:rsid w:val="00803BF9"/>
    <w:rsid w:val="00803F0D"/>
    <w:rsid w:val="008047C6"/>
    <w:rsid w:val="00807A70"/>
    <w:rsid w:val="00811F3D"/>
    <w:rsid w:val="0081442F"/>
    <w:rsid w:val="00814A3F"/>
    <w:rsid w:val="008155EF"/>
    <w:rsid w:val="00815E4A"/>
    <w:rsid w:val="0081688D"/>
    <w:rsid w:val="008176B7"/>
    <w:rsid w:val="00821BC3"/>
    <w:rsid w:val="0082714E"/>
    <w:rsid w:val="00830174"/>
    <w:rsid w:val="00830D01"/>
    <w:rsid w:val="00830E6C"/>
    <w:rsid w:val="00832C01"/>
    <w:rsid w:val="00836761"/>
    <w:rsid w:val="008367A6"/>
    <w:rsid w:val="00837418"/>
    <w:rsid w:val="0084123B"/>
    <w:rsid w:val="00841A9B"/>
    <w:rsid w:val="00842274"/>
    <w:rsid w:val="00843476"/>
    <w:rsid w:val="00843F78"/>
    <w:rsid w:val="0084413B"/>
    <w:rsid w:val="00846AEC"/>
    <w:rsid w:val="00847A48"/>
    <w:rsid w:val="00847CB2"/>
    <w:rsid w:val="008524C6"/>
    <w:rsid w:val="00855CAB"/>
    <w:rsid w:val="00857431"/>
    <w:rsid w:val="008626D9"/>
    <w:rsid w:val="0086389A"/>
    <w:rsid w:val="00865540"/>
    <w:rsid w:val="0086662C"/>
    <w:rsid w:val="00866674"/>
    <w:rsid w:val="008679D3"/>
    <w:rsid w:val="008716DA"/>
    <w:rsid w:val="00871746"/>
    <w:rsid w:val="00874129"/>
    <w:rsid w:val="00876C11"/>
    <w:rsid w:val="0088047D"/>
    <w:rsid w:val="00881391"/>
    <w:rsid w:val="00881855"/>
    <w:rsid w:val="0088236C"/>
    <w:rsid w:val="00884759"/>
    <w:rsid w:val="0088481A"/>
    <w:rsid w:val="00884B0D"/>
    <w:rsid w:val="00885177"/>
    <w:rsid w:val="00885651"/>
    <w:rsid w:val="00886DAC"/>
    <w:rsid w:val="00887AE8"/>
    <w:rsid w:val="00892318"/>
    <w:rsid w:val="008942B7"/>
    <w:rsid w:val="008A07A0"/>
    <w:rsid w:val="008A1236"/>
    <w:rsid w:val="008A1618"/>
    <w:rsid w:val="008A18C7"/>
    <w:rsid w:val="008A276A"/>
    <w:rsid w:val="008A5311"/>
    <w:rsid w:val="008A5351"/>
    <w:rsid w:val="008A55CB"/>
    <w:rsid w:val="008A6A1B"/>
    <w:rsid w:val="008B0ED0"/>
    <w:rsid w:val="008B14CC"/>
    <w:rsid w:val="008B17CE"/>
    <w:rsid w:val="008B5619"/>
    <w:rsid w:val="008B56A5"/>
    <w:rsid w:val="008B57FE"/>
    <w:rsid w:val="008B6356"/>
    <w:rsid w:val="008C2564"/>
    <w:rsid w:val="008C3BAE"/>
    <w:rsid w:val="008C61B2"/>
    <w:rsid w:val="008C6EED"/>
    <w:rsid w:val="008C6F38"/>
    <w:rsid w:val="008D05BD"/>
    <w:rsid w:val="008D16D8"/>
    <w:rsid w:val="008D2D30"/>
    <w:rsid w:val="008D35E5"/>
    <w:rsid w:val="008D3982"/>
    <w:rsid w:val="008D74FA"/>
    <w:rsid w:val="008D78B4"/>
    <w:rsid w:val="008E0F90"/>
    <w:rsid w:val="008E1E77"/>
    <w:rsid w:val="008E6909"/>
    <w:rsid w:val="008E7297"/>
    <w:rsid w:val="008E774D"/>
    <w:rsid w:val="008E7831"/>
    <w:rsid w:val="008F5921"/>
    <w:rsid w:val="008F69DD"/>
    <w:rsid w:val="008F6B52"/>
    <w:rsid w:val="008F6D29"/>
    <w:rsid w:val="008F7DFC"/>
    <w:rsid w:val="0090168D"/>
    <w:rsid w:val="009051B8"/>
    <w:rsid w:val="00910946"/>
    <w:rsid w:val="0091249B"/>
    <w:rsid w:val="00912DB9"/>
    <w:rsid w:val="00913671"/>
    <w:rsid w:val="009139B8"/>
    <w:rsid w:val="00914E57"/>
    <w:rsid w:val="00916D6F"/>
    <w:rsid w:val="00917B92"/>
    <w:rsid w:val="0092108F"/>
    <w:rsid w:val="00921BBF"/>
    <w:rsid w:val="009221A3"/>
    <w:rsid w:val="00922BF3"/>
    <w:rsid w:val="00926415"/>
    <w:rsid w:val="00926E7E"/>
    <w:rsid w:val="0093397B"/>
    <w:rsid w:val="0093449D"/>
    <w:rsid w:val="009347F6"/>
    <w:rsid w:val="0093494E"/>
    <w:rsid w:val="00936C01"/>
    <w:rsid w:val="0093717D"/>
    <w:rsid w:val="00940A29"/>
    <w:rsid w:val="0094104A"/>
    <w:rsid w:val="00941A6E"/>
    <w:rsid w:val="00942924"/>
    <w:rsid w:val="009449AE"/>
    <w:rsid w:val="00944CD3"/>
    <w:rsid w:val="00946E1A"/>
    <w:rsid w:val="009501F8"/>
    <w:rsid w:val="009541EA"/>
    <w:rsid w:val="00955A10"/>
    <w:rsid w:val="00956082"/>
    <w:rsid w:val="0095734D"/>
    <w:rsid w:val="00957718"/>
    <w:rsid w:val="009602E1"/>
    <w:rsid w:val="00960AE1"/>
    <w:rsid w:val="00960BB3"/>
    <w:rsid w:val="0096418F"/>
    <w:rsid w:val="0096446D"/>
    <w:rsid w:val="009650E5"/>
    <w:rsid w:val="00966955"/>
    <w:rsid w:val="0097083A"/>
    <w:rsid w:val="0097411A"/>
    <w:rsid w:val="00976C45"/>
    <w:rsid w:val="00977C50"/>
    <w:rsid w:val="00982469"/>
    <w:rsid w:val="00982724"/>
    <w:rsid w:val="00983473"/>
    <w:rsid w:val="009849D5"/>
    <w:rsid w:val="00985331"/>
    <w:rsid w:val="00985448"/>
    <w:rsid w:val="00985856"/>
    <w:rsid w:val="00985F7C"/>
    <w:rsid w:val="00986F4F"/>
    <w:rsid w:val="00990AFB"/>
    <w:rsid w:val="00990B1E"/>
    <w:rsid w:val="00991F4B"/>
    <w:rsid w:val="00992B8B"/>
    <w:rsid w:val="00994866"/>
    <w:rsid w:val="009972B7"/>
    <w:rsid w:val="009A0B31"/>
    <w:rsid w:val="009A2683"/>
    <w:rsid w:val="009A63F9"/>
    <w:rsid w:val="009B0200"/>
    <w:rsid w:val="009B476D"/>
    <w:rsid w:val="009B4B1F"/>
    <w:rsid w:val="009B63C2"/>
    <w:rsid w:val="009B7462"/>
    <w:rsid w:val="009C01F4"/>
    <w:rsid w:val="009C366A"/>
    <w:rsid w:val="009C3E82"/>
    <w:rsid w:val="009C6D5C"/>
    <w:rsid w:val="009D2B4C"/>
    <w:rsid w:val="009D2BA6"/>
    <w:rsid w:val="009D3CCE"/>
    <w:rsid w:val="009D4C32"/>
    <w:rsid w:val="009D648F"/>
    <w:rsid w:val="009D66D3"/>
    <w:rsid w:val="009E02A2"/>
    <w:rsid w:val="009E041D"/>
    <w:rsid w:val="009E2ADC"/>
    <w:rsid w:val="009E4777"/>
    <w:rsid w:val="009E6265"/>
    <w:rsid w:val="009E76F1"/>
    <w:rsid w:val="009E7A82"/>
    <w:rsid w:val="009F088A"/>
    <w:rsid w:val="009F129A"/>
    <w:rsid w:val="009F16BD"/>
    <w:rsid w:val="009F194D"/>
    <w:rsid w:val="009F2902"/>
    <w:rsid w:val="009F4022"/>
    <w:rsid w:val="009F5C01"/>
    <w:rsid w:val="009F6D57"/>
    <w:rsid w:val="009F761C"/>
    <w:rsid w:val="00A0245A"/>
    <w:rsid w:val="00A035CD"/>
    <w:rsid w:val="00A05443"/>
    <w:rsid w:val="00A06D92"/>
    <w:rsid w:val="00A07DCD"/>
    <w:rsid w:val="00A10CD7"/>
    <w:rsid w:val="00A112EC"/>
    <w:rsid w:val="00A125E6"/>
    <w:rsid w:val="00A139E8"/>
    <w:rsid w:val="00A13ACB"/>
    <w:rsid w:val="00A15C15"/>
    <w:rsid w:val="00A15C91"/>
    <w:rsid w:val="00A169D2"/>
    <w:rsid w:val="00A22C73"/>
    <w:rsid w:val="00A26A37"/>
    <w:rsid w:val="00A32A15"/>
    <w:rsid w:val="00A335E2"/>
    <w:rsid w:val="00A339AD"/>
    <w:rsid w:val="00A341C3"/>
    <w:rsid w:val="00A34AD6"/>
    <w:rsid w:val="00A35E4A"/>
    <w:rsid w:val="00A36833"/>
    <w:rsid w:val="00A37934"/>
    <w:rsid w:val="00A411BD"/>
    <w:rsid w:val="00A438C1"/>
    <w:rsid w:val="00A454BA"/>
    <w:rsid w:val="00A46954"/>
    <w:rsid w:val="00A51E10"/>
    <w:rsid w:val="00A529FE"/>
    <w:rsid w:val="00A5425E"/>
    <w:rsid w:val="00A548FB"/>
    <w:rsid w:val="00A57284"/>
    <w:rsid w:val="00A57B4E"/>
    <w:rsid w:val="00A62BA0"/>
    <w:rsid w:val="00A63187"/>
    <w:rsid w:val="00A64ACF"/>
    <w:rsid w:val="00A650BF"/>
    <w:rsid w:val="00A658DA"/>
    <w:rsid w:val="00A70A0A"/>
    <w:rsid w:val="00A70AAC"/>
    <w:rsid w:val="00A7271C"/>
    <w:rsid w:val="00A729D8"/>
    <w:rsid w:val="00A73987"/>
    <w:rsid w:val="00A74A84"/>
    <w:rsid w:val="00A74CD4"/>
    <w:rsid w:val="00A77EA5"/>
    <w:rsid w:val="00A81DC3"/>
    <w:rsid w:val="00A83524"/>
    <w:rsid w:val="00A83554"/>
    <w:rsid w:val="00A83578"/>
    <w:rsid w:val="00A83DC6"/>
    <w:rsid w:val="00A85834"/>
    <w:rsid w:val="00A869C0"/>
    <w:rsid w:val="00A926F6"/>
    <w:rsid w:val="00A93928"/>
    <w:rsid w:val="00AA0E0D"/>
    <w:rsid w:val="00AA1ED8"/>
    <w:rsid w:val="00AA2327"/>
    <w:rsid w:val="00AA3EE0"/>
    <w:rsid w:val="00AA4447"/>
    <w:rsid w:val="00AB01FC"/>
    <w:rsid w:val="00AB0293"/>
    <w:rsid w:val="00AB319F"/>
    <w:rsid w:val="00AB392D"/>
    <w:rsid w:val="00AB3A7C"/>
    <w:rsid w:val="00AB4AE5"/>
    <w:rsid w:val="00AC3812"/>
    <w:rsid w:val="00AC5CDB"/>
    <w:rsid w:val="00AC6C51"/>
    <w:rsid w:val="00AC772B"/>
    <w:rsid w:val="00AC7EF4"/>
    <w:rsid w:val="00AD2C82"/>
    <w:rsid w:val="00AD4523"/>
    <w:rsid w:val="00AE04F0"/>
    <w:rsid w:val="00AE22E2"/>
    <w:rsid w:val="00AE2F78"/>
    <w:rsid w:val="00AE36D6"/>
    <w:rsid w:val="00AE49B1"/>
    <w:rsid w:val="00AE6BB4"/>
    <w:rsid w:val="00AE6FBF"/>
    <w:rsid w:val="00AF0769"/>
    <w:rsid w:val="00AF1974"/>
    <w:rsid w:val="00AF20D7"/>
    <w:rsid w:val="00AF3350"/>
    <w:rsid w:val="00AF3EB4"/>
    <w:rsid w:val="00AF5399"/>
    <w:rsid w:val="00B00991"/>
    <w:rsid w:val="00B02949"/>
    <w:rsid w:val="00B0372F"/>
    <w:rsid w:val="00B03E2C"/>
    <w:rsid w:val="00B05371"/>
    <w:rsid w:val="00B0733D"/>
    <w:rsid w:val="00B07EF5"/>
    <w:rsid w:val="00B1085E"/>
    <w:rsid w:val="00B10DAB"/>
    <w:rsid w:val="00B1137E"/>
    <w:rsid w:val="00B11EC1"/>
    <w:rsid w:val="00B1292F"/>
    <w:rsid w:val="00B13DFC"/>
    <w:rsid w:val="00B1509C"/>
    <w:rsid w:val="00B1558B"/>
    <w:rsid w:val="00B15F1D"/>
    <w:rsid w:val="00B16327"/>
    <w:rsid w:val="00B1635E"/>
    <w:rsid w:val="00B1687F"/>
    <w:rsid w:val="00B17A43"/>
    <w:rsid w:val="00B20483"/>
    <w:rsid w:val="00B212FD"/>
    <w:rsid w:val="00B231E7"/>
    <w:rsid w:val="00B25C5B"/>
    <w:rsid w:val="00B26341"/>
    <w:rsid w:val="00B2638F"/>
    <w:rsid w:val="00B26E46"/>
    <w:rsid w:val="00B30AAF"/>
    <w:rsid w:val="00B32005"/>
    <w:rsid w:val="00B33542"/>
    <w:rsid w:val="00B34BDF"/>
    <w:rsid w:val="00B34D42"/>
    <w:rsid w:val="00B369A6"/>
    <w:rsid w:val="00B36C2A"/>
    <w:rsid w:val="00B37B34"/>
    <w:rsid w:val="00B406A1"/>
    <w:rsid w:val="00B43210"/>
    <w:rsid w:val="00B457DF"/>
    <w:rsid w:val="00B47098"/>
    <w:rsid w:val="00B470BE"/>
    <w:rsid w:val="00B47B0C"/>
    <w:rsid w:val="00B50C47"/>
    <w:rsid w:val="00B52FD4"/>
    <w:rsid w:val="00B53164"/>
    <w:rsid w:val="00B550C8"/>
    <w:rsid w:val="00B57901"/>
    <w:rsid w:val="00B605D6"/>
    <w:rsid w:val="00B60AE6"/>
    <w:rsid w:val="00B61721"/>
    <w:rsid w:val="00B63373"/>
    <w:rsid w:val="00B64DF0"/>
    <w:rsid w:val="00B67074"/>
    <w:rsid w:val="00B73A11"/>
    <w:rsid w:val="00B7621E"/>
    <w:rsid w:val="00B773EE"/>
    <w:rsid w:val="00B80123"/>
    <w:rsid w:val="00B803CC"/>
    <w:rsid w:val="00B81129"/>
    <w:rsid w:val="00B86A7B"/>
    <w:rsid w:val="00B87255"/>
    <w:rsid w:val="00B93799"/>
    <w:rsid w:val="00B94D46"/>
    <w:rsid w:val="00B961C3"/>
    <w:rsid w:val="00B9630B"/>
    <w:rsid w:val="00BA03BE"/>
    <w:rsid w:val="00BA0B21"/>
    <w:rsid w:val="00BA1924"/>
    <w:rsid w:val="00BA546D"/>
    <w:rsid w:val="00BA5AA5"/>
    <w:rsid w:val="00BA7511"/>
    <w:rsid w:val="00BA7B47"/>
    <w:rsid w:val="00BB0C59"/>
    <w:rsid w:val="00BB158E"/>
    <w:rsid w:val="00BB2744"/>
    <w:rsid w:val="00BB5599"/>
    <w:rsid w:val="00BB5A6A"/>
    <w:rsid w:val="00BB6451"/>
    <w:rsid w:val="00BC4AB8"/>
    <w:rsid w:val="00BC6471"/>
    <w:rsid w:val="00BC67FB"/>
    <w:rsid w:val="00BC69FF"/>
    <w:rsid w:val="00BC6FDF"/>
    <w:rsid w:val="00BC7F72"/>
    <w:rsid w:val="00BD3B05"/>
    <w:rsid w:val="00BD4959"/>
    <w:rsid w:val="00BD5772"/>
    <w:rsid w:val="00BD6CBF"/>
    <w:rsid w:val="00BD6F1D"/>
    <w:rsid w:val="00BE3FD6"/>
    <w:rsid w:val="00BE7E9A"/>
    <w:rsid w:val="00BF02A9"/>
    <w:rsid w:val="00BF1A67"/>
    <w:rsid w:val="00BF1F9D"/>
    <w:rsid w:val="00BF2C33"/>
    <w:rsid w:val="00BF3D27"/>
    <w:rsid w:val="00BF5438"/>
    <w:rsid w:val="00BF6ADD"/>
    <w:rsid w:val="00BF7074"/>
    <w:rsid w:val="00C01F95"/>
    <w:rsid w:val="00C04862"/>
    <w:rsid w:val="00C05225"/>
    <w:rsid w:val="00C07792"/>
    <w:rsid w:val="00C13F96"/>
    <w:rsid w:val="00C13FB1"/>
    <w:rsid w:val="00C15891"/>
    <w:rsid w:val="00C224CD"/>
    <w:rsid w:val="00C224CF"/>
    <w:rsid w:val="00C228D4"/>
    <w:rsid w:val="00C22D9F"/>
    <w:rsid w:val="00C24953"/>
    <w:rsid w:val="00C24E02"/>
    <w:rsid w:val="00C259FB"/>
    <w:rsid w:val="00C272CC"/>
    <w:rsid w:val="00C3138F"/>
    <w:rsid w:val="00C330F3"/>
    <w:rsid w:val="00C37832"/>
    <w:rsid w:val="00C429E9"/>
    <w:rsid w:val="00C42AF2"/>
    <w:rsid w:val="00C43BEA"/>
    <w:rsid w:val="00C46AAC"/>
    <w:rsid w:val="00C47B4B"/>
    <w:rsid w:val="00C504BE"/>
    <w:rsid w:val="00C5427A"/>
    <w:rsid w:val="00C54309"/>
    <w:rsid w:val="00C556BA"/>
    <w:rsid w:val="00C6274F"/>
    <w:rsid w:val="00C62BDC"/>
    <w:rsid w:val="00C63332"/>
    <w:rsid w:val="00C65F9A"/>
    <w:rsid w:val="00C70AA7"/>
    <w:rsid w:val="00C72D13"/>
    <w:rsid w:val="00C733EA"/>
    <w:rsid w:val="00C73C07"/>
    <w:rsid w:val="00C73DC2"/>
    <w:rsid w:val="00C73E06"/>
    <w:rsid w:val="00C76AF5"/>
    <w:rsid w:val="00C76EE4"/>
    <w:rsid w:val="00C77ABA"/>
    <w:rsid w:val="00C80387"/>
    <w:rsid w:val="00C80CFA"/>
    <w:rsid w:val="00C81B56"/>
    <w:rsid w:val="00C8345E"/>
    <w:rsid w:val="00C84C75"/>
    <w:rsid w:val="00C854F7"/>
    <w:rsid w:val="00C86279"/>
    <w:rsid w:val="00C9135A"/>
    <w:rsid w:val="00C94890"/>
    <w:rsid w:val="00C96157"/>
    <w:rsid w:val="00C965D2"/>
    <w:rsid w:val="00C96863"/>
    <w:rsid w:val="00C96A80"/>
    <w:rsid w:val="00C97007"/>
    <w:rsid w:val="00C974B5"/>
    <w:rsid w:val="00CA10EE"/>
    <w:rsid w:val="00CA14BD"/>
    <w:rsid w:val="00CA2602"/>
    <w:rsid w:val="00CA268C"/>
    <w:rsid w:val="00CA33DE"/>
    <w:rsid w:val="00CA36D4"/>
    <w:rsid w:val="00CA435D"/>
    <w:rsid w:val="00CA55AD"/>
    <w:rsid w:val="00CA6593"/>
    <w:rsid w:val="00CB06AD"/>
    <w:rsid w:val="00CB20DE"/>
    <w:rsid w:val="00CC0221"/>
    <w:rsid w:val="00CC336E"/>
    <w:rsid w:val="00CC3AD9"/>
    <w:rsid w:val="00CC5612"/>
    <w:rsid w:val="00CC7798"/>
    <w:rsid w:val="00CD273F"/>
    <w:rsid w:val="00CD48BE"/>
    <w:rsid w:val="00CD5E35"/>
    <w:rsid w:val="00CE28A0"/>
    <w:rsid w:val="00CE2B4F"/>
    <w:rsid w:val="00CE30D2"/>
    <w:rsid w:val="00CE35D4"/>
    <w:rsid w:val="00CE5BBF"/>
    <w:rsid w:val="00CE671C"/>
    <w:rsid w:val="00CF216D"/>
    <w:rsid w:val="00CF24B9"/>
    <w:rsid w:val="00CF2694"/>
    <w:rsid w:val="00CF3B7A"/>
    <w:rsid w:val="00CF489D"/>
    <w:rsid w:val="00CF5389"/>
    <w:rsid w:val="00CF5759"/>
    <w:rsid w:val="00CF7664"/>
    <w:rsid w:val="00D007F4"/>
    <w:rsid w:val="00D04B12"/>
    <w:rsid w:val="00D065A0"/>
    <w:rsid w:val="00D067B3"/>
    <w:rsid w:val="00D069F5"/>
    <w:rsid w:val="00D06FFC"/>
    <w:rsid w:val="00D0769A"/>
    <w:rsid w:val="00D0777C"/>
    <w:rsid w:val="00D07CC4"/>
    <w:rsid w:val="00D10044"/>
    <w:rsid w:val="00D10571"/>
    <w:rsid w:val="00D10F31"/>
    <w:rsid w:val="00D11949"/>
    <w:rsid w:val="00D12615"/>
    <w:rsid w:val="00D14007"/>
    <w:rsid w:val="00D14FA0"/>
    <w:rsid w:val="00D17BC4"/>
    <w:rsid w:val="00D20442"/>
    <w:rsid w:val="00D21521"/>
    <w:rsid w:val="00D22F49"/>
    <w:rsid w:val="00D259D0"/>
    <w:rsid w:val="00D25A0C"/>
    <w:rsid w:val="00D26D10"/>
    <w:rsid w:val="00D30907"/>
    <w:rsid w:val="00D33712"/>
    <w:rsid w:val="00D3663D"/>
    <w:rsid w:val="00D367F1"/>
    <w:rsid w:val="00D37BE1"/>
    <w:rsid w:val="00D4066B"/>
    <w:rsid w:val="00D40732"/>
    <w:rsid w:val="00D4135B"/>
    <w:rsid w:val="00D42AB2"/>
    <w:rsid w:val="00D438AF"/>
    <w:rsid w:val="00D44214"/>
    <w:rsid w:val="00D45836"/>
    <w:rsid w:val="00D4677C"/>
    <w:rsid w:val="00D518DD"/>
    <w:rsid w:val="00D52899"/>
    <w:rsid w:val="00D560D2"/>
    <w:rsid w:val="00D57A4B"/>
    <w:rsid w:val="00D57EEB"/>
    <w:rsid w:val="00D600FA"/>
    <w:rsid w:val="00D60294"/>
    <w:rsid w:val="00D61D8E"/>
    <w:rsid w:val="00D62C6D"/>
    <w:rsid w:val="00D6342B"/>
    <w:rsid w:val="00D6469A"/>
    <w:rsid w:val="00D72430"/>
    <w:rsid w:val="00D72558"/>
    <w:rsid w:val="00D727BD"/>
    <w:rsid w:val="00D72976"/>
    <w:rsid w:val="00D732DE"/>
    <w:rsid w:val="00D74C63"/>
    <w:rsid w:val="00D76285"/>
    <w:rsid w:val="00D777D8"/>
    <w:rsid w:val="00D80F2F"/>
    <w:rsid w:val="00D80F8A"/>
    <w:rsid w:val="00D82BBD"/>
    <w:rsid w:val="00D86603"/>
    <w:rsid w:val="00D86F61"/>
    <w:rsid w:val="00D87C03"/>
    <w:rsid w:val="00D87CDE"/>
    <w:rsid w:val="00D92474"/>
    <w:rsid w:val="00D97478"/>
    <w:rsid w:val="00DA292D"/>
    <w:rsid w:val="00DA571D"/>
    <w:rsid w:val="00DA5B4D"/>
    <w:rsid w:val="00DA7730"/>
    <w:rsid w:val="00DA7A33"/>
    <w:rsid w:val="00DA7B04"/>
    <w:rsid w:val="00DB00DA"/>
    <w:rsid w:val="00DB2073"/>
    <w:rsid w:val="00DB20C0"/>
    <w:rsid w:val="00DB2958"/>
    <w:rsid w:val="00DB45B9"/>
    <w:rsid w:val="00DB4863"/>
    <w:rsid w:val="00DB4E63"/>
    <w:rsid w:val="00DB58B5"/>
    <w:rsid w:val="00DB62E4"/>
    <w:rsid w:val="00DB64B0"/>
    <w:rsid w:val="00DB68A2"/>
    <w:rsid w:val="00DC0E44"/>
    <w:rsid w:val="00DC1CA5"/>
    <w:rsid w:val="00DC45EC"/>
    <w:rsid w:val="00DC5409"/>
    <w:rsid w:val="00DC55DA"/>
    <w:rsid w:val="00DC5853"/>
    <w:rsid w:val="00DC5B77"/>
    <w:rsid w:val="00DD1B59"/>
    <w:rsid w:val="00DD27E7"/>
    <w:rsid w:val="00DD3644"/>
    <w:rsid w:val="00DD4C53"/>
    <w:rsid w:val="00DD6785"/>
    <w:rsid w:val="00DE045D"/>
    <w:rsid w:val="00DE0839"/>
    <w:rsid w:val="00DE0935"/>
    <w:rsid w:val="00DE1C21"/>
    <w:rsid w:val="00DE27DD"/>
    <w:rsid w:val="00DE2D2C"/>
    <w:rsid w:val="00DE63EC"/>
    <w:rsid w:val="00DE7B09"/>
    <w:rsid w:val="00DF0086"/>
    <w:rsid w:val="00DF03AB"/>
    <w:rsid w:val="00DF14C7"/>
    <w:rsid w:val="00DF1553"/>
    <w:rsid w:val="00DF59EA"/>
    <w:rsid w:val="00DF6EB2"/>
    <w:rsid w:val="00DF7A5B"/>
    <w:rsid w:val="00E00E44"/>
    <w:rsid w:val="00E01B03"/>
    <w:rsid w:val="00E03C62"/>
    <w:rsid w:val="00E03E39"/>
    <w:rsid w:val="00E040E8"/>
    <w:rsid w:val="00E06710"/>
    <w:rsid w:val="00E069E6"/>
    <w:rsid w:val="00E1145B"/>
    <w:rsid w:val="00E11C29"/>
    <w:rsid w:val="00E13077"/>
    <w:rsid w:val="00E15959"/>
    <w:rsid w:val="00E15D53"/>
    <w:rsid w:val="00E1634D"/>
    <w:rsid w:val="00E16D7E"/>
    <w:rsid w:val="00E17279"/>
    <w:rsid w:val="00E17428"/>
    <w:rsid w:val="00E209D4"/>
    <w:rsid w:val="00E2106F"/>
    <w:rsid w:val="00E2484B"/>
    <w:rsid w:val="00E25C61"/>
    <w:rsid w:val="00E26DB7"/>
    <w:rsid w:val="00E30FFD"/>
    <w:rsid w:val="00E353DB"/>
    <w:rsid w:val="00E40A2D"/>
    <w:rsid w:val="00E41129"/>
    <w:rsid w:val="00E41536"/>
    <w:rsid w:val="00E4356E"/>
    <w:rsid w:val="00E438A1"/>
    <w:rsid w:val="00E449D2"/>
    <w:rsid w:val="00E47BEA"/>
    <w:rsid w:val="00E47C91"/>
    <w:rsid w:val="00E5433A"/>
    <w:rsid w:val="00E54D58"/>
    <w:rsid w:val="00E55CD0"/>
    <w:rsid w:val="00E56500"/>
    <w:rsid w:val="00E61C39"/>
    <w:rsid w:val="00E66F1D"/>
    <w:rsid w:val="00E700F3"/>
    <w:rsid w:val="00E7062C"/>
    <w:rsid w:val="00E70735"/>
    <w:rsid w:val="00E710FC"/>
    <w:rsid w:val="00E71BD3"/>
    <w:rsid w:val="00E71F3D"/>
    <w:rsid w:val="00E72D13"/>
    <w:rsid w:val="00E743D9"/>
    <w:rsid w:val="00E74700"/>
    <w:rsid w:val="00E75AC3"/>
    <w:rsid w:val="00E767A5"/>
    <w:rsid w:val="00E771CC"/>
    <w:rsid w:val="00E8070F"/>
    <w:rsid w:val="00E8156F"/>
    <w:rsid w:val="00E81C9A"/>
    <w:rsid w:val="00E81E59"/>
    <w:rsid w:val="00E834E3"/>
    <w:rsid w:val="00E85DB6"/>
    <w:rsid w:val="00E87050"/>
    <w:rsid w:val="00E940DE"/>
    <w:rsid w:val="00E96C81"/>
    <w:rsid w:val="00EA0A02"/>
    <w:rsid w:val="00EA16B3"/>
    <w:rsid w:val="00EA2A7D"/>
    <w:rsid w:val="00EA7E2D"/>
    <w:rsid w:val="00EB031B"/>
    <w:rsid w:val="00EB075B"/>
    <w:rsid w:val="00EB1D2B"/>
    <w:rsid w:val="00EB275C"/>
    <w:rsid w:val="00EC1BFB"/>
    <w:rsid w:val="00EC2254"/>
    <w:rsid w:val="00EC4A7C"/>
    <w:rsid w:val="00EC57E2"/>
    <w:rsid w:val="00EC6BEA"/>
    <w:rsid w:val="00ED130A"/>
    <w:rsid w:val="00EE1F93"/>
    <w:rsid w:val="00EE3517"/>
    <w:rsid w:val="00EE6C48"/>
    <w:rsid w:val="00EE7764"/>
    <w:rsid w:val="00EF02FD"/>
    <w:rsid w:val="00EF0892"/>
    <w:rsid w:val="00EF3080"/>
    <w:rsid w:val="00EF4437"/>
    <w:rsid w:val="00EF55A1"/>
    <w:rsid w:val="00EF5885"/>
    <w:rsid w:val="00EF711C"/>
    <w:rsid w:val="00F01D32"/>
    <w:rsid w:val="00F027B4"/>
    <w:rsid w:val="00F03D6D"/>
    <w:rsid w:val="00F077B8"/>
    <w:rsid w:val="00F07B29"/>
    <w:rsid w:val="00F12DF4"/>
    <w:rsid w:val="00F132EB"/>
    <w:rsid w:val="00F13801"/>
    <w:rsid w:val="00F149F8"/>
    <w:rsid w:val="00F16625"/>
    <w:rsid w:val="00F2249B"/>
    <w:rsid w:val="00F23670"/>
    <w:rsid w:val="00F2521E"/>
    <w:rsid w:val="00F2524C"/>
    <w:rsid w:val="00F27DE0"/>
    <w:rsid w:val="00F30E06"/>
    <w:rsid w:val="00F3375B"/>
    <w:rsid w:val="00F3397A"/>
    <w:rsid w:val="00F369A0"/>
    <w:rsid w:val="00F37C53"/>
    <w:rsid w:val="00F37FE7"/>
    <w:rsid w:val="00F40460"/>
    <w:rsid w:val="00F413AA"/>
    <w:rsid w:val="00F43BB5"/>
    <w:rsid w:val="00F44367"/>
    <w:rsid w:val="00F46D42"/>
    <w:rsid w:val="00F50B9D"/>
    <w:rsid w:val="00F511B8"/>
    <w:rsid w:val="00F531BA"/>
    <w:rsid w:val="00F531D1"/>
    <w:rsid w:val="00F53A7F"/>
    <w:rsid w:val="00F5584A"/>
    <w:rsid w:val="00F55C6A"/>
    <w:rsid w:val="00F5662E"/>
    <w:rsid w:val="00F57082"/>
    <w:rsid w:val="00F600B9"/>
    <w:rsid w:val="00F63EC1"/>
    <w:rsid w:val="00F64003"/>
    <w:rsid w:val="00F65388"/>
    <w:rsid w:val="00F67A43"/>
    <w:rsid w:val="00F67B2E"/>
    <w:rsid w:val="00F71BCC"/>
    <w:rsid w:val="00F71E31"/>
    <w:rsid w:val="00F71F35"/>
    <w:rsid w:val="00F73AF0"/>
    <w:rsid w:val="00F73EFB"/>
    <w:rsid w:val="00F7461A"/>
    <w:rsid w:val="00F74A55"/>
    <w:rsid w:val="00F74A90"/>
    <w:rsid w:val="00F75079"/>
    <w:rsid w:val="00F753A2"/>
    <w:rsid w:val="00F75843"/>
    <w:rsid w:val="00F8436B"/>
    <w:rsid w:val="00F84BE8"/>
    <w:rsid w:val="00F90E1E"/>
    <w:rsid w:val="00F917C4"/>
    <w:rsid w:val="00F9335A"/>
    <w:rsid w:val="00F93F0A"/>
    <w:rsid w:val="00F96F90"/>
    <w:rsid w:val="00F97CF7"/>
    <w:rsid w:val="00FA01AF"/>
    <w:rsid w:val="00FA08CB"/>
    <w:rsid w:val="00FA16F6"/>
    <w:rsid w:val="00FA2968"/>
    <w:rsid w:val="00FA2A9D"/>
    <w:rsid w:val="00FA3183"/>
    <w:rsid w:val="00FA6109"/>
    <w:rsid w:val="00FA7F63"/>
    <w:rsid w:val="00FB000B"/>
    <w:rsid w:val="00FB0E57"/>
    <w:rsid w:val="00FB2E1F"/>
    <w:rsid w:val="00FB3912"/>
    <w:rsid w:val="00FB570F"/>
    <w:rsid w:val="00FB5CF0"/>
    <w:rsid w:val="00FC20C9"/>
    <w:rsid w:val="00FC7B91"/>
    <w:rsid w:val="00FD075C"/>
    <w:rsid w:val="00FD0F06"/>
    <w:rsid w:val="00FD1FB8"/>
    <w:rsid w:val="00FD20D0"/>
    <w:rsid w:val="00FD2E9E"/>
    <w:rsid w:val="00FD3D1D"/>
    <w:rsid w:val="00FD63F6"/>
    <w:rsid w:val="00FD7484"/>
    <w:rsid w:val="00FD7CAA"/>
    <w:rsid w:val="00FE026F"/>
    <w:rsid w:val="00FE4629"/>
    <w:rsid w:val="00FE4A54"/>
    <w:rsid w:val="00FE4DC4"/>
    <w:rsid w:val="00FE5010"/>
    <w:rsid w:val="00FE52A1"/>
    <w:rsid w:val="00FE593F"/>
    <w:rsid w:val="00FE5E1C"/>
    <w:rsid w:val="00FE626C"/>
    <w:rsid w:val="00FE6F82"/>
    <w:rsid w:val="00FF2DF9"/>
    <w:rsid w:val="00FF2FA6"/>
    <w:rsid w:val="00FF2FD0"/>
    <w:rsid w:val="00FF3B69"/>
    <w:rsid w:val="00FF5405"/>
    <w:rsid w:val="00FF6867"/>
    <w:rsid w:val="00FF7B7F"/>
    <w:rsid w:val="00FF7C60"/>
    <w:rsid w:val="00FF7EB2"/>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7FD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BB4"/>
    <w:pPr>
      <w:autoSpaceDE w:val="0"/>
      <w:autoSpaceDN w:val="0"/>
      <w:adjustRightInd w:val="0"/>
      <w:spacing w:after="120" w:line="240" w:lineRule="atLeast"/>
      <w:jc w:val="both"/>
    </w:pPr>
    <w:rPr>
      <w:sz w:val="24"/>
      <w:szCs w:val="24"/>
      <w:lang w:val="en-AU" w:eastAsia="en-AU"/>
    </w:rPr>
  </w:style>
  <w:style w:type="paragraph" w:styleId="Heading1">
    <w:name w:val="heading 1"/>
    <w:basedOn w:val="Heading4"/>
    <w:next w:val="Normal"/>
    <w:link w:val="Heading1Char"/>
    <w:qFormat/>
    <w:rsid w:val="00CF5759"/>
    <w:pPr>
      <w:keepLines/>
      <w:tabs>
        <w:tab w:val="right" w:pos="9073"/>
      </w:tabs>
      <w:outlineLvl w:val="0"/>
    </w:pPr>
    <w:rPr>
      <w:b/>
      <w:bCs/>
      <w:sz w:val="30"/>
      <w:lang w:eastAsia="en-US"/>
    </w:rPr>
  </w:style>
  <w:style w:type="paragraph" w:styleId="Heading2">
    <w:name w:val="heading 2"/>
    <w:basedOn w:val="ListParagraph"/>
    <w:link w:val="Heading2Char"/>
    <w:qFormat/>
    <w:rsid w:val="00466928"/>
    <w:pPr>
      <w:keepNext/>
      <w:outlineLvl w:val="1"/>
    </w:pPr>
    <w:rPr>
      <w:rFonts w:ascii="Times New Roman" w:hAnsi="Times New Roman" w:cs="Times New Roman"/>
      <w:b/>
      <w:sz w:val="24"/>
      <w:szCs w:val="24"/>
      <w:u w:val="single"/>
      <w:lang w:val="en-US"/>
    </w:rPr>
  </w:style>
  <w:style w:type="paragraph" w:styleId="Heading3">
    <w:name w:val="heading 3"/>
    <w:basedOn w:val="Heading2"/>
    <w:next w:val="Normal"/>
    <w:link w:val="Heading3Char"/>
    <w:uiPriority w:val="9"/>
    <w:unhideWhenUsed/>
    <w:qFormat/>
    <w:rsid w:val="00487519"/>
    <w:pPr>
      <w:outlineLvl w:val="2"/>
    </w:pPr>
    <w:rPr>
      <w:u w:val="none"/>
    </w:rPr>
  </w:style>
  <w:style w:type="paragraph" w:styleId="Heading4">
    <w:name w:val="heading 4"/>
    <w:basedOn w:val="ListParagraph"/>
    <w:next w:val="Normal"/>
    <w:link w:val="Heading4Char"/>
    <w:uiPriority w:val="9"/>
    <w:unhideWhenUsed/>
    <w:qFormat/>
    <w:rsid w:val="00487519"/>
    <w:pPr>
      <w:outlineLvl w:val="3"/>
    </w:pPr>
    <w:rPr>
      <w:rFonts w:ascii="Times New Roman" w:hAnsi="Times New Roman" w:cs="Times New Roman"/>
      <w:sz w:val="24"/>
      <w:szCs w:val="24"/>
      <w:u w:val="single"/>
    </w:rPr>
  </w:style>
  <w:style w:type="paragraph" w:styleId="Heading5">
    <w:name w:val="heading 5"/>
    <w:basedOn w:val="Normal"/>
    <w:next w:val="Normal"/>
    <w:link w:val="Heading5Char"/>
    <w:uiPriority w:val="9"/>
    <w:semiHidden/>
    <w:unhideWhenUsed/>
    <w:qFormat/>
    <w:rsid w:val="001E3B9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25C5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454B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487519"/>
    <w:rPr>
      <w:sz w:val="24"/>
      <w:szCs w:val="24"/>
      <w:u w:val="single"/>
      <w:lang w:val="en-AU" w:eastAsia="en-AU"/>
    </w:rPr>
  </w:style>
  <w:style w:type="character" w:customStyle="1" w:styleId="Heading1Char">
    <w:name w:val="Heading 1 Char"/>
    <w:link w:val="Heading1"/>
    <w:rsid w:val="00CF5759"/>
    <w:rPr>
      <w:b/>
      <w:bCs/>
      <w:sz w:val="30"/>
      <w:szCs w:val="24"/>
      <w:u w:val="single"/>
      <w:lang w:val="en-AU"/>
    </w:rPr>
  </w:style>
  <w:style w:type="paragraph" w:styleId="ListParagraph">
    <w:name w:val="List Paragraph"/>
    <w:basedOn w:val="Normal"/>
    <w:uiPriority w:val="34"/>
    <w:qFormat/>
    <w:rsid w:val="00A70A0A"/>
    <w:rPr>
      <w:rFonts w:ascii="Arial" w:hAnsi="Arial" w:cs="Arial"/>
      <w:sz w:val="22"/>
      <w:szCs w:val="22"/>
    </w:rPr>
  </w:style>
  <w:style w:type="character" w:customStyle="1" w:styleId="Heading2Char">
    <w:name w:val="Heading 2 Char"/>
    <w:link w:val="Heading2"/>
    <w:rsid w:val="00466928"/>
    <w:rPr>
      <w:b/>
      <w:sz w:val="24"/>
      <w:szCs w:val="24"/>
      <w:u w:val="single"/>
      <w:lang w:eastAsia="en-AU"/>
    </w:rPr>
  </w:style>
  <w:style w:type="character" w:customStyle="1" w:styleId="Heading3Char">
    <w:name w:val="Heading 3 Char"/>
    <w:link w:val="Heading3"/>
    <w:uiPriority w:val="9"/>
    <w:rsid w:val="00487519"/>
    <w:rPr>
      <w:b/>
      <w:sz w:val="24"/>
      <w:szCs w:val="24"/>
      <w:lang w:eastAsia="en-AU"/>
    </w:rPr>
  </w:style>
  <w:style w:type="character" w:customStyle="1" w:styleId="Heading5Char">
    <w:name w:val="Heading 5 Char"/>
    <w:link w:val="Heading5"/>
    <w:uiPriority w:val="9"/>
    <w:semiHidden/>
    <w:rsid w:val="001E3B9A"/>
    <w:rPr>
      <w:rFonts w:ascii="Calibri" w:eastAsia="Times New Roman" w:hAnsi="Calibri" w:cs="Times New Roman"/>
      <w:b/>
      <w:bCs/>
      <w:i/>
      <w:iCs/>
      <w:sz w:val="26"/>
      <w:szCs w:val="26"/>
    </w:rPr>
  </w:style>
  <w:style w:type="table" w:styleId="TableGrid">
    <w:name w:val="Table Grid"/>
    <w:basedOn w:val="TableNormal"/>
    <w:uiPriority w:val="59"/>
    <w:rsid w:val="005D1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D14FF"/>
    <w:pPr>
      <w:tabs>
        <w:tab w:val="center" w:pos="4153"/>
        <w:tab w:val="right" w:pos="8306"/>
      </w:tabs>
    </w:pPr>
  </w:style>
  <w:style w:type="paragraph" w:styleId="Footer">
    <w:name w:val="footer"/>
    <w:basedOn w:val="Normal"/>
    <w:link w:val="FooterChar"/>
    <w:rsid w:val="005D14FF"/>
    <w:pPr>
      <w:tabs>
        <w:tab w:val="center" w:pos="4153"/>
        <w:tab w:val="right" w:pos="8306"/>
      </w:tabs>
    </w:pPr>
  </w:style>
  <w:style w:type="character" w:styleId="PageNumber">
    <w:name w:val="page number"/>
    <w:basedOn w:val="DefaultParagraphFont"/>
    <w:rsid w:val="005D14FF"/>
  </w:style>
  <w:style w:type="paragraph" w:customStyle="1" w:styleId="lefthead">
    <w:name w:val="left head"/>
    <w:basedOn w:val="Normal"/>
    <w:next w:val="Normal"/>
    <w:rsid w:val="006E37C3"/>
    <w:pPr>
      <w:keepNext/>
      <w:spacing w:after="240"/>
    </w:pPr>
    <w:rPr>
      <w:rFonts w:ascii="Arial" w:hAnsi="Arial"/>
      <w:b/>
      <w:sz w:val="28"/>
      <w:lang w:val="en-GB" w:eastAsia="en-US"/>
    </w:rPr>
  </w:style>
  <w:style w:type="paragraph" w:styleId="NormalWeb">
    <w:name w:val="Normal (Web)"/>
    <w:basedOn w:val="Normal"/>
    <w:uiPriority w:val="99"/>
    <w:unhideWhenUsed/>
    <w:rsid w:val="001E3B9A"/>
    <w:pPr>
      <w:spacing w:before="100" w:beforeAutospacing="1" w:after="100" w:afterAutospacing="1"/>
    </w:pPr>
  </w:style>
  <w:style w:type="character" w:styleId="HTMLTypewriter">
    <w:name w:val="HTML Typewriter"/>
    <w:uiPriority w:val="99"/>
    <w:semiHidden/>
    <w:unhideWhenUsed/>
    <w:rsid w:val="003A21A0"/>
    <w:rPr>
      <w:rFonts w:ascii="Courier New" w:eastAsia="Calibri" w:hAnsi="Courier New" w:cs="Courier New" w:hint="default"/>
      <w:sz w:val="20"/>
      <w:szCs w:val="20"/>
    </w:rPr>
  </w:style>
  <w:style w:type="character" w:styleId="CommentReference">
    <w:name w:val="annotation reference"/>
    <w:unhideWhenUsed/>
    <w:rsid w:val="00236E6E"/>
    <w:rPr>
      <w:sz w:val="16"/>
      <w:szCs w:val="16"/>
    </w:rPr>
  </w:style>
  <w:style w:type="paragraph" w:styleId="CommentText">
    <w:name w:val="annotation text"/>
    <w:basedOn w:val="Normal"/>
    <w:link w:val="CommentTextChar"/>
    <w:unhideWhenUsed/>
    <w:rsid w:val="00236E6E"/>
  </w:style>
  <w:style w:type="character" w:customStyle="1" w:styleId="CommentTextChar">
    <w:name w:val="Comment Text Char"/>
    <w:basedOn w:val="DefaultParagraphFont"/>
    <w:link w:val="CommentText"/>
    <w:rsid w:val="00236E6E"/>
  </w:style>
  <w:style w:type="paragraph" w:styleId="CommentSubject">
    <w:name w:val="annotation subject"/>
    <w:basedOn w:val="CommentText"/>
    <w:next w:val="CommentText"/>
    <w:link w:val="CommentSubjectChar"/>
    <w:uiPriority w:val="99"/>
    <w:semiHidden/>
    <w:unhideWhenUsed/>
    <w:rsid w:val="00236E6E"/>
    <w:rPr>
      <w:b/>
      <w:bCs/>
    </w:rPr>
  </w:style>
  <w:style w:type="character" w:customStyle="1" w:styleId="CommentSubjectChar">
    <w:name w:val="Comment Subject Char"/>
    <w:link w:val="CommentSubject"/>
    <w:uiPriority w:val="99"/>
    <w:semiHidden/>
    <w:rsid w:val="00236E6E"/>
    <w:rPr>
      <w:b/>
      <w:bCs/>
    </w:rPr>
  </w:style>
  <w:style w:type="paragraph" w:styleId="BalloonText">
    <w:name w:val="Balloon Text"/>
    <w:basedOn w:val="Normal"/>
    <w:link w:val="BalloonTextChar"/>
    <w:uiPriority w:val="99"/>
    <w:semiHidden/>
    <w:unhideWhenUsed/>
    <w:rsid w:val="00236E6E"/>
    <w:rPr>
      <w:rFonts w:ascii="Tahoma" w:hAnsi="Tahoma" w:cs="Tahoma"/>
      <w:sz w:val="16"/>
      <w:szCs w:val="16"/>
    </w:rPr>
  </w:style>
  <w:style w:type="character" w:customStyle="1" w:styleId="BalloonTextChar">
    <w:name w:val="Balloon Text Char"/>
    <w:link w:val="BalloonText"/>
    <w:uiPriority w:val="99"/>
    <w:semiHidden/>
    <w:rsid w:val="00236E6E"/>
    <w:rPr>
      <w:rFonts w:ascii="Tahoma" w:hAnsi="Tahoma" w:cs="Tahoma"/>
      <w:sz w:val="16"/>
      <w:szCs w:val="16"/>
    </w:rPr>
  </w:style>
  <w:style w:type="paragraph" w:customStyle="1" w:styleId="NoNumHead5">
    <w:name w:val="NoNum:Head5"/>
    <w:basedOn w:val="Normal"/>
    <w:next w:val="Normal"/>
    <w:rsid w:val="00236E6E"/>
    <w:pPr>
      <w:keepNext/>
      <w:spacing w:after="240"/>
      <w:outlineLvl w:val="0"/>
    </w:pPr>
    <w:rPr>
      <w:rFonts w:ascii="Arial" w:hAnsi="Arial"/>
      <w:b/>
      <w:i/>
      <w:sz w:val="22"/>
      <w:lang w:val="en-GB" w:eastAsia="en-GB"/>
    </w:rPr>
  </w:style>
  <w:style w:type="paragraph" w:customStyle="1" w:styleId="listbull">
    <w:name w:val="list:bull"/>
    <w:basedOn w:val="Normal"/>
    <w:link w:val="listbullChar"/>
    <w:rsid w:val="00E8156F"/>
    <w:pPr>
      <w:numPr>
        <w:numId w:val="1"/>
      </w:numPr>
      <w:tabs>
        <w:tab w:val="clear" w:pos="432"/>
      </w:tabs>
    </w:pPr>
    <w:rPr>
      <w:lang w:val="en-GB" w:eastAsia="en-GB"/>
    </w:rPr>
  </w:style>
  <w:style w:type="character" w:customStyle="1" w:styleId="listbullChar">
    <w:name w:val="list:bull Char"/>
    <w:link w:val="listbull"/>
    <w:rsid w:val="00E8156F"/>
    <w:rPr>
      <w:sz w:val="24"/>
      <w:szCs w:val="24"/>
      <w:lang w:val="en-GB" w:eastAsia="en-GB"/>
    </w:rPr>
  </w:style>
  <w:style w:type="paragraph" w:customStyle="1" w:styleId="NoNumHead2">
    <w:name w:val="NoNum:Head2"/>
    <w:basedOn w:val="Normal"/>
    <w:next w:val="Normal"/>
    <w:link w:val="NoNumHead2Char"/>
    <w:rsid w:val="00E8156F"/>
    <w:pPr>
      <w:keepNext/>
      <w:spacing w:before="120" w:after="240"/>
      <w:outlineLvl w:val="0"/>
    </w:pPr>
    <w:rPr>
      <w:rFonts w:ascii="Arial" w:hAnsi="Arial"/>
      <w:b/>
      <w:sz w:val="26"/>
      <w:lang w:val="en-GB" w:eastAsia="en-GB"/>
    </w:rPr>
  </w:style>
  <w:style w:type="character" w:customStyle="1" w:styleId="NoNumHead2Char">
    <w:name w:val="NoNum:Head2 Char"/>
    <w:link w:val="NoNumHead2"/>
    <w:rsid w:val="00912DB9"/>
    <w:rPr>
      <w:rFonts w:ascii="Arial" w:hAnsi="Arial"/>
      <w:b/>
      <w:sz w:val="26"/>
      <w:lang w:val="en-GB" w:eastAsia="en-GB"/>
    </w:rPr>
  </w:style>
  <w:style w:type="paragraph" w:customStyle="1" w:styleId="Default">
    <w:name w:val="Default"/>
    <w:rsid w:val="00517A18"/>
    <w:pPr>
      <w:autoSpaceDE w:val="0"/>
      <w:autoSpaceDN w:val="0"/>
      <w:adjustRightInd w:val="0"/>
    </w:pPr>
    <w:rPr>
      <w:color w:val="000000"/>
      <w:sz w:val="24"/>
      <w:szCs w:val="24"/>
    </w:rPr>
  </w:style>
  <w:style w:type="paragraph" w:styleId="Caption">
    <w:name w:val="caption"/>
    <w:basedOn w:val="Normal"/>
    <w:next w:val="Normal"/>
    <w:link w:val="CaptionChar"/>
    <w:qFormat/>
    <w:rsid w:val="007F4FDA"/>
    <w:pPr>
      <w:autoSpaceDE/>
      <w:autoSpaceDN/>
      <w:adjustRightInd/>
      <w:spacing w:before="120"/>
    </w:pPr>
    <w:rPr>
      <w:b/>
      <w:sz w:val="34"/>
      <w:szCs w:val="34"/>
      <w:lang w:val="en-GB" w:eastAsia="en-GB"/>
    </w:rPr>
  </w:style>
  <w:style w:type="character" w:customStyle="1" w:styleId="CaptionChar">
    <w:name w:val="Caption Char"/>
    <w:link w:val="Caption"/>
    <w:rsid w:val="007F4FDA"/>
    <w:rPr>
      <w:b/>
      <w:sz w:val="34"/>
      <w:szCs w:val="34"/>
      <w:lang w:val="en-GB" w:eastAsia="en-GB"/>
    </w:rPr>
  </w:style>
  <w:style w:type="paragraph" w:customStyle="1" w:styleId="NoNumHead4">
    <w:name w:val="NoNum:Head4"/>
    <w:basedOn w:val="Normal"/>
    <w:next w:val="Normal"/>
    <w:rsid w:val="00C43BEA"/>
    <w:pPr>
      <w:keepNext/>
      <w:spacing w:before="120" w:after="240"/>
      <w:outlineLvl w:val="0"/>
    </w:pPr>
    <w:rPr>
      <w:rFonts w:ascii="Arial" w:hAnsi="Arial"/>
      <w:b/>
      <w:sz w:val="22"/>
      <w:lang w:val="en-GB" w:eastAsia="en-GB"/>
    </w:rPr>
  </w:style>
  <w:style w:type="paragraph" w:customStyle="1" w:styleId="tabletextNS">
    <w:name w:val="table:textNS"/>
    <w:basedOn w:val="Normal"/>
    <w:link w:val="tabletextNSChar"/>
    <w:rsid w:val="00C43BEA"/>
    <w:rPr>
      <w:rFonts w:ascii="Arial Narrow" w:hAnsi="Arial Narrow"/>
      <w:lang w:val="en-GB" w:eastAsia="en-GB"/>
    </w:rPr>
  </w:style>
  <w:style w:type="character" w:customStyle="1" w:styleId="tabletextNSChar">
    <w:name w:val="table:textNS Char"/>
    <w:link w:val="tabletextNS"/>
    <w:rsid w:val="00C43BEA"/>
    <w:rPr>
      <w:rFonts w:ascii="Arial Narrow" w:hAnsi="Arial Narrow"/>
      <w:sz w:val="24"/>
      <w:szCs w:val="24"/>
      <w:lang w:val="en-GB" w:eastAsia="en-GB"/>
    </w:rPr>
  </w:style>
  <w:style w:type="paragraph" w:customStyle="1" w:styleId="NoNumHead3">
    <w:name w:val="NoNum:Head3"/>
    <w:basedOn w:val="NoNumHead2"/>
    <w:next w:val="Normal"/>
    <w:rsid w:val="001D275A"/>
    <w:rPr>
      <w:sz w:val="24"/>
    </w:rPr>
  </w:style>
  <w:style w:type="paragraph" w:customStyle="1" w:styleId="captiontable">
    <w:name w:val="caption:table"/>
    <w:basedOn w:val="Normal"/>
    <w:next w:val="Normal"/>
    <w:link w:val="captiontableChar"/>
    <w:rsid w:val="00785641"/>
    <w:pPr>
      <w:keepNext/>
      <w:spacing w:after="240"/>
      <w:ind w:left="1440" w:hanging="1440"/>
    </w:pPr>
    <w:rPr>
      <w:rFonts w:ascii="Arial" w:hAnsi="Arial"/>
      <w:b/>
      <w:sz w:val="22"/>
      <w:lang w:val="en-GB" w:eastAsia="en-GB"/>
    </w:rPr>
  </w:style>
  <w:style w:type="character" w:customStyle="1" w:styleId="captiontableChar">
    <w:name w:val="caption:table Char"/>
    <w:link w:val="captiontable"/>
    <w:locked/>
    <w:rsid w:val="00785641"/>
    <w:rPr>
      <w:rFonts w:ascii="Arial" w:hAnsi="Arial"/>
      <w:b/>
      <w:sz w:val="22"/>
      <w:lang w:val="en-GB" w:eastAsia="en-GB"/>
    </w:rPr>
  </w:style>
  <w:style w:type="character" w:customStyle="1" w:styleId="tabletextNSChar1">
    <w:name w:val="table:textNS Char1"/>
    <w:locked/>
    <w:rsid w:val="009602E1"/>
    <w:rPr>
      <w:rFonts w:ascii="Arial Narrow" w:hAnsi="Arial Narrow"/>
      <w:sz w:val="24"/>
      <w:lang w:val="en-GB"/>
    </w:rPr>
  </w:style>
  <w:style w:type="paragraph" w:styleId="Revision">
    <w:name w:val="Revision"/>
    <w:hidden/>
    <w:uiPriority w:val="99"/>
    <w:semiHidden/>
    <w:rsid w:val="005D5DF9"/>
    <w:rPr>
      <w:lang w:val="en-AU" w:eastAsia="en-AU"/>
    </w:rPr>
  </w:style>
  <w:style w:type="character" w:styleId="FollowedHyperlink">
    <w:name w:val="FollowedHyperlink"/>
    <w:uiPriority w:val="99"/>
    <w:semiHidden/>
    <w:unhideWhenUsed/>
    <w:rsid w:val="00A70A0A"/>
    <w:rPr>
      <w:color w:val="800080"/>
      <w:u w:val="single"/>
    </w:rPr>
  </w:style>
  <w:style w:type="paragraph" w:styleId="Title">
    <w:name w:val="Title"/>
    <w:basedOn w:val="Normal"/>
    <w:next w:val="Normal"/>
    <w:link w:val="TitleChar"/>
    <w:uiPriority w:val="10"/>
    <w:qFormat/>
    <w:rsid w:val="00735A23"/>
    <w:pPr>
      <w:spacing w:after="0" w:line="240" w:lineRule="auto"/>
    </w:pPr>
    <w:rPr>
      <w:rFonts w:ascii="Arial" w:hAnsi="Arial" w:cs="Arial"/>
      <w:b/>
      <w:sz w:val="22"/>
      <w:szCs w:val="22"/>
    </w:rPr>
  </w:style>
  <w:style w:type="character" w:customStyle="1" w:styleId="TitleChar">
    <w:name w:val="Title Char"/>
    <w:link w:val="Title"/>
    <w:uiPriority w:val="10"/>
    <w:rsid w:val="00735A23"/>
    <w:rPr>
      <w:rFonts w:ascii="Arial" w:hAnsi="Arial" w:cs="Arial"/>
      <w:b/>
      <w:sz w:val="22"/>
      <w:szCs w:val="22"/>
      <w:lang w:val="en-AU" w:eastAsia="en-AU"/>
    </w:rPr>
  </w:style>
  <w:style w:type="paragraph" w:styleId="TOC8">
    <w:name w:val="toc 8"/>
    <w:basedOn w:val="TOC3"/>
    <w:next w:val="Normal"/>
    <w:autoRedefine/>
    <w:semiHidden/>
    <w:rsid w:val="00697EF8"/>
    <w:pPr>
      <w:tabs>
        <w:tab w:val="left" w:pos="2088"/>
        <w:tab w:val="right" w:leader="dot" w:pos="8637"/>
      </w:tabs>
      <w:spacing w:after="0"/>
      <w:ind w:left="2088" w:right="850" w:hanging="936"/>
    </w:pPr>
    <w:rPr>
      <w:rFonts w:ascii="Arial" w:hAnsi="Arial" w:cs="Arial"/>
      <w:sz w:val="22"/>
      <w:szCs w:val="22"/>
      <w:lang w:val="en-GB" w:eastAsia="en-US"/>
    </w:rPr>
  </w:style>
  <w:style w:type="paragraph" w:customStyle="1" w:styleId="tabletext">
    <w:name w:val="table:text"/>
    <w:basedOn w:val="Normal"/>
    <w:link w:val="tabletextChar"/>
    <w:rsid w:val="00697EF8"/>
    <w:pPr>
      <w:spacing w:before="120"/>
    </w:pPr>
    <w:rPr>
      <w:rFonts w:ascii="Arial Narrow" w:hAnsi="Arial Narrow"/>
      <w:lang w:val="en-GB" w:eastAsia="en-GB"/>
    </w:rPr>
  </w:style>
  <w:style w:type="paragraph" w:styleId="TOC3">
    <w:name w:val="toc 3"/>
    <w:basedOn w:val="Normal"/>
    <w:next w:val="Normal"/>
    <w:autoRedefine/>
    <w:uiPriority w:val="39"/>
    <w:semiHidden/>
    <w:unhideWhenUsed/>
    <w:rsid w:val="00697EF8"/>
    <w:pPr>
      <w:spacing w:after="100"/>
      <w:ind w:left="400"/>
    </w:pPr>
  </w:style>
  <w:style w:type="character" w:customStyle="1" w:styleId="CSIchar">
    <w:name w:val="CSIchar"/>
    <w:rsid w:val="00330944"/>
    <w:rPr>
      <w:shd w:val="clear" w:color="auto" w:fill="CCCCCC"/>
    </w:rPr>
  </w:style>
  <w:style w:type="character" w:customStyle="1" w:styleId="CSI">
    <w:name w:val="CSI"/>
    <w:uiPriority w:val="1"/>
    <w:qFormat/>
    <w:rsid w:val="008155EF"/>
    <w:rPr>
      <w:bdr w:val="none" w:sz="0" w:space="0" w:color="auto"/>
      <w:shd w:val="clear" w:color="auto" w:fill="BFBFBF"/>
    </w:rPr>
  </w:style>
  <w:style w:type="character" w:customStyle="1" w:styleId="tabletextChar">
    <w:name w:val="table:text Char"/>
    <w:link w:val="tabletext"/>
    <w:rsid w:val="00DE1C21"/>
    <w:rPr>
      <w:rFonts w:ascii="Arial Narrow" w:hAnsi="Arial Narrow"/>
      <w:sz w:val="24"/>
      <w:szCs w:val="24"/>
      <w:lang w:val="en-GB" w:eastAsia="en-GB"/>
    </w:rPr>
  </w:style>
  <w:style w:type="paragraph" w:customStyle="1" w:styleId="Heading51">
    <w:name w:val="Heading 51"/>
    <w:basedOn w:val="Normal"/>
    <w:link w:val="heading5Char0"/>
    <w:qFormat/>
    <w:rsid w:val="009347F6"/>
    <w:pPr>
      <w:autoSpaceDE/>
      <w:autoSpaceDN/>
      <w:adjustRightInd/>
      <w:spacing w:after="0" w:line="240" w:lineRule="auto"/>
    </w:pPr>
    <w:rPr>
      <w:u w:val="single"/>
      <w:lang w:val="en-US"/>
    </w:rPr>
  </w:style>
  <w:style w:type="character" w:customStyle="1" w:styleId="heading5Char0">
    <w:name w:val="heading 5 Char"/>
    <w:link w:val="Heading51"/>
    <w:rsid w:val="009347F6"/>
    <w:rPr>
      <w:sz w:val="24"/>
      <w:szCs w:val="24"/>
      <w:u w:val="single"/>
      <w:lang w:eastAsia="en-AU"/>
    </w:rPr>
  </w:style>
  <w:style w:type="character" w:customStyle="1" w:styleId="HeaderChar">
    <w:name w:val="Header Char"/>
    <w:link w:val="Header"/>
    <w:uiPriority w:val="99"/>
    <w:rsid w:val="009347F6"/>
    <w:rPr>
      <w:sz w:val="24"/>
      <w:szCs w:val="24"/>
      <w:lang w:val="en-AU" w:eastAsia="en-AU"/>
    </w:rPr>
  </w:style>
  <w:style w:type="paragraph" w:customStyle="1" w:styleId="Text">
    <w:name w:val="Text"/>
    <w:aliases w:val="Graphic,Graphic Char Char,Graphic Char Char Char Char Char,Graphic Char Char Char Char Char Char Char C"/>
    <w:basedOn w:val="Normal"/>
    <w:link w:val="TextChar"/>
    <w:qFormat/>
    <w:rsid w:val="009347F6"/>
    <w:pPr>
      <w:autoSpaceDE/>
      <w:autoSpaceDN/>
      <w:adjustRightInd/>
      <w:spacing w:before="120" w:after="0" w:line="240" w:lineRule="auto"/>
    </w:pPr>
    <w:rPr>
      <w:rFonts w:eastAsia="MS Mincho"/>
      <w:szCs w:val="20"/>
      <w:lang w:val="en-US" w:eastAsia="zh-CN"/>
    </w:rPr>
  </w:style>
  <w:style w:type="character" w:customStyle="1" w:styleId="TextChar">
    <w:name w:val="Text Char"/>
    <w:link w:val="Text"/>
    <w:rsid w:val="009347F6"/>
    <w:rPr>
      <w:rFonts w:eastAsia="MS Mincho"/>
      <w:sz w:val="24"/>
      <w:lang w:eastAsia="zh-CN"/>
    </w:rPr>
  </w:style>
  <w:style w:type="character" w:customStyle="1" w:styleId="Heading6Char">
    <w:name w:val="Heading 6 Char"/>
    <w:basedOn w:val="DefaultParagraphFont"/>
    <w:link w:val="Heading6"/>
    <w:uiPriority w:val="9"/>
    <w:semiHidden/>
    <w:rsid w:val="00B25C5B"/>
    <w:rPr>
      <w:rFonts w:asciiTheme="majorHAnsi" w:eastAsiaTheme="majorEastAsia" w:hAnsiTheme="majorHAnsi" w:cstheme="majorBidi"/>
      <w:color w:val="1F4D78" w:themeColor="accent1" w:themeShade="7F"/>
      <w:sz w:val="24"/>
      <w:szCs w:val="24"/>
      <w:lang w:val="en-AU" w:eastAsia="en-AU"/>
    </w:rPr>
  </w:style>
  <w:style w:type="character" w:customStyle="1" w:styleId="Heading7Char">
    <w:name w:val="Heading 7 Char"/>
    <w:basedOn w:val="DefaultParagraphFont"/>
    <w:link w:val="Heading7"/>
    <w:uiPriority w:val="9"/>
    <w:semiHidden/>
    <w:rsid w:val="00A454BA"/>
    <w:rPr>
      <w:rFonts w:asciiTheme="majorHAnsi" w:eastAsiaTheme="majorEastAsia" w:hAnsiTheme="majorHAnsi" w:cstheme="majorBidi"/>
      <w:i/>
      <w:iCs/>
      <w:color w:val="1F4D78" w:themeColor="accent1" w:themeShade="7F"/>
      <w:sz w:val="24"/>
      <w:szCs w:val="24"/>
      <w:lang w:val="en-AU" w:eastAsia="en-AU"/>
    </w:rPr>
  </w:style>
  <w:style w:type="character" w:styleId="Hyperlink">
    <w:name w:val="Hyperlink"/>
    <w:uiPriority w:val="99"/>
    <w:unhideWhenUsed/>
    <w:rsid w:val="00C46AAC"/>
    <w:rPr>
      <w:color w:val="0000FF"/>
      <w:u w:val="single"/>
    </w:rPr>
  </w:style>
  <w:style w:type="character" w:customStyle="1" w:styleId="FooterChar">
    <w:name w:val="Footer Char"/>
    <w:basedOn w:val="DefaultParagraphFont"/>
    <w:link w:val="Footer"/>
    <w:rsid w:val="00983473"/>
    <w:rPr>
      <w:sz w:val="24"/>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BB4"/>
    <w:pPr>
      <w:autoSpaceDE w:val="0"/>
      <w:autoSpaceDN w:val="0"/>
      <w:adjustRightInd w:val="0"/>
      <w:spacing w:after="120" w:line="240" w:lineRule="atLeast"/>
      <w:jc w:val="both"/>
    </w:pPr>
    <w:rPr>
      <w:sz w:val="24"/>
      <w:szCs w:val="24"/>
      <w:lang w:val="en-AU" w:eastAsia="en-AU"/>
    </w:rPr>
  </w:style>
  <w:style w:type="paragraph" w:styleId="Heading1">
    <w:name w:val="heading 1"/>
    <w:basedOn w:val="Heading4"/>
    <w:next w:val="Normal"/>
    <w:link w:val="Heading1Char"/>
    <w:qFormat/>
    <w:rsid w:val="00CF5759"/>
    <w:pPr>
      <w:keepLines/>
      <w:tabs>
        <w:tab w:val="right" w:pos="9073"/>
      </w:tabs>
      <w:outlineLvl w:val="0"/>
    </w:pPr>
    <w:rPr>
      <w:b/>
      <w:bCs/>
      <w:sz w:val="30"/>
      <w:lang w:eastAsia="en-US"/>
    </w:rPr>
  </w:style>
  <w:style w:type="paragraph" w:styleId="Heading2">
    <w:name w:val="heading 2"/>
    <w:basedOn w:val="ListParagraph"/>
    <w:link w:val="Heading2Char"/>
    <w:qFormat/>
    <w:rsid w:val="00466928"/>
    <w:pPr>
      <w:keepNext/>
      <w:outlineLvl w:val="1"/>
    </w:pPr>
    <w:rPr>
      <w:rFonts w:ascii="Times New Roman" w:hAnsi="Times New Roman" w:cs="Times New Roman"/>
      <w:b/>
      <w:sz w:val="24"/>
      <w:szCs w:val="24"/>
      <w:u w:val="single"/>
      <w:lang w:val="en-US"/>
    </w:rPr>
  </w:style>
  <w:style w:type="paragraph" w:styleId="Heading3">
    <w:name w:val="heading 3"/>
    <w:basedOn w:val="Heading2"/>
    <w:next w:val="Normal"/>
    <w:link w:val="Heading3Char"/>
    <w:uiPriority w:val="9"/>
    <w:unhideWhenUsed/>
    <w:qFormat/>
    <w:rsid w:val="00487519"/>
    <w:pPr>
      <w:outlineLvl w:val="2"/>
    </w:pPr>
    <w:rPr>
      <w:u w:val="none"/>
    </w:rPr>
  </w:style>
  <w:style w:type="paragraph" w:styleId="Heading4">
    <w:name w:val="heading 4"/>
    <w:basedOn w:val="ListParagraph"/>
    <w:next w:val="Normal"/>
    <w:link w:val="Heading4Char"/>
    <w:uiPriority w:val="9"/>
    <w:unhideWhenUsed/>
    <w:qFormat/>
    <w:rsid w:val="00487519"/>
    <w:pPr>
      <w:outlineLvl w:val="3"/>
    </w:pPr>
    <w:rPr>
      <w:rFonts w:ascii="Times New Roman" w:hAnsi="Times New Roman" w:cs="Times New Roman"/>
      <w:sz w:val="24"/>
      <w:szCs w:val="24"/>
      <w:u w:val="single"/>
    </w:rPr>
  </w:style>
  <w:style w:type="paragraph" w:styleId="Heading5">
    <w:name w:val="heading 5"/>
    <w:basedOn w:val="Normal"/>
    <w:next w:val="Normal"/>
    <w:link w:val="Heading5Char"/>
    <w:uiPriority w:val="9"/>
    <w:semiHidden/>
    <w:unhideWhenUsed/>
    <w:qFormat/>
    <w:rsid w:val="001E3B9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25C5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454B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487519"/>
    <w:rPr>
      <w:sz w:val="24"/>
      <w:szCs w:val="24"/>
      <w:u w:val="single"/>
      <w:lang w:val="en-AU" w:eastAsia="en-AU"/>
    </w:rPr>
  </w:style>
  <w:style w:type="character" w:customStyle="1" w:styleId="Heading1Char">
    <w:name w:val="Heading 1 Char"/>
    <w:link w:val="Heading1"/>
    <w:rsid w:val="00CF5759"/>
    <w:rPr>
      <w:b/>
      <w:bCs/>
      <w:sz w:val="30"/>
      <w:szCs w:val="24"/>
      <w:u w:val="single"/>
      <w:lang w:val="en-AU"/>
    </w:rPr>
  </w:style>
  <w:style w:type="paragraph" w:styleId="ListParagraph">
    <w:name w:val="List Paragraph"/>
    <w:basedOn w:val="Normal"/>
    <w:uiPriority w:val="34"/>
    <w:qFormat/>
    <w:rsid w:val="00A70A0A"/>
    <w:rPr>
      <w:rFonts w:ascii="Arial" w:hAnsi="Arial" w:cs="Arial"/>
      <w:sz w:val="22"/>
      <w:szCs w:val="22"/>
    </w:rPr>
  </w:style>
  <w:style w:type="character" w:customStyle="1" w:styleId="Heading2Char">
    <w:name w:val="Heading 2 Char"/>
    <w:link w:val="Heading2"/>
    <w:rsid w:val="00466928"/>
    <w:rPr>
      <w:b/>
      <w:sz w:val="24"/>
      <w:szCs w:val="24"/>
      <w:u w:val="single"/>
      <w:lang w:eastAsia="en-AU"/>
    </w:rPr>
  </w:style>
  <w:style w:type="character" w:customStyle="1" w:styleId="Heading3Char">
    <w:name w:val="Heading 3 Char"/>
    <w:link w:val="Heading3"/>
    <w:uiPriority w:val="9"/>
    <w:rsid w:val="00487519"/>
    <w:rPr>
      <w:b/>
      <w:sz w:val="24"/>
      <w:szCs w:val="24"/>
      <w:lang w:eastAsia="en-AU"/>
    </w:rPr>
  </w:style>
  <w:style w:type="character" w:customStyle="1" w:styleId="Heading5Char">
    <w:name w:val="Heading 5 Char"/>
    <w:link w:val="Heading5"/>
    <w:uiPriority w:val="9"/>
    <w:semiHidden/>
    <w:rsid w:val="001E3B9A"/>
    <w:rPr>
      <w:rFonts w:ascii="Calibri" w:eastAsia="Times New Roman" w:hAnsi="Calibri" w:cs="Times New Roman"/>
      <w:b/>
      <w:bCs/>
      <w:i/>
      <w:iCs/>
      <w:sz w:val="26"/>
      <w:szCs w:val="26"/>
    </w:rPr>
  </w:style>
  <w:style w:type="table" w:styleId="TableGrid">
    <w:name w:val="Table Grid"/>
    <w:basedOn w:val="TableNormal"/>
    <w:uiPriority w:val="59"/>
    <w:rsid w:val="005D1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D14FF"/>
    <w:pPr>
      <w:tabs>
        <w:tab w:val="center" w:pos="4153"/>
        <w:tab w:val="right" w:pos="8306"/>
      </w:tabs>
    </w:pPr>
  </w:style>
  <w:style w:type="paragraph" w:styleId="Footer">
    <w:name w:val="footer"/>
    <w:basedOn w:val="Normal"/>
    <w:link w:val="FooterChar"/>
    <w:rsid w:val="005D14FF"/>
    <w:pPr>
      <w:tabs>
        <w:tab w:val="center" w:pos="4153"/>
        <w:tab w:val="right" w:pos="8306"/>
      </w:tabs>
    </w:pPr>
  </w:style>
  <w:style w:type="character" w:styleId="PageNumber">
    <w:name w:val="page number"/>
    <w:basedOn w:val="DefaultParagraphFont"/>
    <w:rsid w:val="005D14FF"/>
  </w:style>
  <w:style w:type="paragraph" w:customStyle="1" w:styleId="lefthead">
    <w:name w:val="left head"/>
    <w:basedOn w:val="Normal"/>
    <w:next w:val="Normal"/>
    <w:rsid w:val="006E37C3"/>
    <w:pPr>
      <w:keepNext/>
      <w:spacing w:after="240"/>
    </w:pPr>
    <w:rPr>
      <w:rFonts w:ascii="Arial" w:hAnsi="Arial"/>
      <w:b/>
      <w:sz w:val="28"/>
      <w:lang w:val="en-GB" w:eastAsia="en-US"/>
    </w:rPr>
  </w:style>
  <w:style w:type="paragraph" w:styleId="NormalWeb">
    <w:name w:val="Normal (Web)"/>
    <w:basedOn w:val="Normal"/>
    <w:uiPriority w:val="99"/>
    <w:unhideWhenUsed/>
    <w:rsid w:val="001E3B9A"/>
    <w:pPr>
      <w:spacing w:before="100" w:beforeAutospacing="1" w:after="100" w:afterAutospacing="1"/>
    </w:pPr>
  </w:style>
  <w:style w:type="character" w:styleId="HTMLTypewriter">
    <w:name w:val="HTML Typewriter"/>
    <w:uiPriority w:val="99"/>
    <w:semiHidden/>
    <w:unhideWhenUsed/>
    <w:rsid w:val="003A21A0"/>
    <w:rPr>
      <w:rFonts w:ascii="Courier New" w:eastAsia="Calibri" w:hAnsi="Courier New" w:cs="Courier New" w:hint="default"/>
      <w:sz w:val="20"/>
      <w:szCs w:val="20"/>
    </w:rPr>
  </w:style>
  <w:style w:type="character" w:styleId="CommentReference">
    <w:name w:val="annotation reference"/>
    <w:unhideWhenUsed/>
    <w:rsid w:val="00236E6E"/>
    <w:rPr>
      <w:sz w:val="16"/>
      <w:szCs w:val="16"/>
    </w:rPr>
  </w:style>
  <w:style w:type="paragraph" w:styleId="CommentText">
    <w:name w:val="annotation text"/>
    <w:basedOn w:val="Normal"/>
    <w:link w:val="CommentTextChar"/>
    <w:unhideWhenUsed/>
    <w:rsid w:val="00236E6E"/>
  </w:style>
  <w:style w:type="character" w:customStyle="1" w:styleId="CommentTextChar">
    <w:name w:val="Comment Text Char"/>
    <w:basedOn w:val="DefaultParagraphFont"/>
    <w:link w:val="CommentText"/>
    <w:rsid w:val="00236E6E"/>
  </w:style>
  <w:style w:type="paragraph" w:styleId="CommentSubject">
    <w:name w:val="annotation subject"/>
    <w:basedOn w:val="CommentText"/>
    <w:next w:val="CommentText"/>
    <w:link w:val="CommentSubjectChar"/>
    <w:uiPriority w:val="99"/>
    <w:semiHidden/>
    <w:unhideWhenUsed/>
    <w:rsid w:val="00236E6E"/>
    <w:rPr>
      <w:b/>
      <w:bCs/>
    </w:rPr>
  </w:style>
  <w:style w:type="character" w:customStyle="1" w:styleId="CommentSubjectChar">
    <w:name w:val="Comment Subject Char"/>
    <w:link w:val="CommentSubject"/>
    <w:uiPriority w:val="99"/>
    <w:semiHidden/>
    <w:rsid w:val="00236E6E"/>
    <w:rPr>
      <w:b/>
      <w:bCs/>
    </w:rPr>
  </w:style>
  <w:style w:type="paragraph" w:styleId="BalloonText">
    <w:name w:val="Balloon Text"/>
    <w:basedOn w:val="Normal"/>
    <w:link w:val="BalloonTextChar"/>
    <w:uiPriority w:val="99"/>
    <w:semiHidden/>
    <w:unhideWhenUsed/>
    <w:rsid w:val="00236E6E"/>
    <w:rPr>
      <w:rFonts w:ascii="Tahoma" w:hAnsi="Tahoma" w:cs="Tahoma"/>
      <w:sz w:val="16"/>
      <w:szCs w:val="16"/>
    </w:rPr>
  </w:style>
  <w:style w:type="character" w:customStyle="1" w:styleId="BalloonTextChar">
    <w:name w:val="Balloon Text Char"/>
    <w:link w:val="BalloonText"/>
    <w:uiPriority w:val="99"/>
    <w:semiHidden/>
    <w:rsid w:val="00236E6E"/>
    <w:rPr>
      <w:rFonts w:ascii="Tahoma" w:hAnsi="Tahoma" w:cs="Tahoma"/>
      <w:sz w:val="16"/>
      <w:szCs w:val="16"/>
    </w:rPr>
  </w:style>
  <w:style w:type="paragraph" w:customStyle="1" w:styleId="NoNumHead5">
    <w:name w:val="NoNum:Head5"/>
    <w:basedOn w:val="Normal"/>
    <w:next w:val="Normal"/>
    <w:rsid w:val="00236E6E"/>
    <w:pPr>
      <w:keepNext/>
      <w:spacing w:after="240"/>
      <w:outlineLvl w:val="0"/>
    </w:pPr>
    <w:rPr>
      <w:rFonts w:ascii="Arial" w:hAnsi="Arial"/>
      <w:b/>
      <w:i/>
      <w:sz w:val="22"/>
      <w:lang w:val="en-GB" w:eastAsia="en-GB"/>
    </w:rPr>
  </w:style>
  <w:style w:type="paragraph" w:customStyle="1" w:styleId="listbull">
    <w:name w:val="list:bull"/>
    <w:basedOn w:val="Normal"/>
    <w:link w:val="listbullChar"/>
    <w:rsid w:val="00E8156F"/>
    <w:pPr>
      <w:numPr>
        <w:numId w:val="1"/>
      </w:numPr>
      <w:tabs>
        <w:tab w:val="clear" w:pos="432"/>
      </w:tabs>
    </w:pPr>
    <w:rPr>
      <w:lang w:val="en-GB" w:eastAsia="en-GB"/>
    </w:rPr>
  </w:style>
  <w:style w:type="character" w:customStyle="1" w:styleId="listbullChar">
    <w:name w:val="list:bull Char"/>
    <w:link w:val="listbull"/>
    <w:rsid w:val="00E8156F"/>
    <w:rPr>
      <w:sz w:val="24"/>
      <w:szCs w:val="24"/>
      <w:lang w:val="en-GB" w:eastAsia="en-GB"/>
    </w:rPr>
  </w:style>
  <w:style w:type="paragraph" w:customStyle="1" w:styleId="NoNumHead2">
    <w:name w:val="NoNum:Head2"/>
    <w:basedOn w:val="Normal"/>
    <w:next w:val="Normal"/>
    <w:link w:val="NoNumHead2Char"/>
    <w:rsid w:val="00E8156F"/>
    <w:pPr>
      <w:keepNext/>
      <w:spacing w:before="120" w:after="240"/>
      <w:outlineLvl w:val="0"/>
    </w:pPr>
    <w:rPr>
      <w:rFonts w:ascii="Arial" w:hAnsi="Arial"/>
      <w:b/>
      <w:sz w:val="26"/>
      <w:lang w:val="en-GB" w:eastAsia="en-GB"/>
    </w:rPr>
  </w:style>
  <w:style w:type="character" w:customStyle="1" w:styleId="NoNumHead2Char">
    <w:name w:val="NoNum:Head2 Char"/>
    <w:link w:val="NoNumHead2"/>
    <w:rsid w:val="00912DB9"/>
    <w:rPr>
      <w:rFonts w:ascii="Arial" w:hAnsi="Arial"/>
      <w:b/>
      <w:sz w:val="26"/>
      <w:lang w:val="en-GB" w:eastAsia="en-GB"/>
    </w:rPr>
  </w:style>
  <w:style w:type="paragraph" w:customStyle="1" w:styleId="Default">
    <w:name w:val="Default"/>
    <w:rsid w:val="00517A18"/>
    <w:pPr>
      <w:autoSpaceDE w:val="0"/>
      <w:autoSpaceDN w:val="0"/>
      <w:adjustRightInd w:val="0"/>
    </w:pPr>
    <w:rPr>
      <w:color w:val="000000"/>
      <w:sz w:val="24"/>
      <w:szCs w:val="24"/>
    </w:rPr>
  </w:style>
  <w:style w:type="paragraph" w:styleId="Caption">
    <w:name w:val="caption"/>
    <w:basedOn w:val="Normal"/>
    <w:next w:val="Normal"/>
    <w:link w:val="CaptionChar"/>
    <w:qFormat/>
    <w:rsid w:val="007F4FDA"/>
    <w:pPr>
      <w:autoSpaceDE/>
      <w:autoSpaceDN/>
      <w:adjustRightInd/>
      <w:spacing w:before="120"/>
    </w:pPr>
    <w:rPr>
      <w:b/>
      <w:sz w:val="34"/>
      <w:szCs w:val="34"/>
      <w:lang w:val="en-GB" w:eastAsia="en-GB"/>
    </w:rPr>
  </w:style>
  <w:style w:type="character" w:customStyle="1" w:styleId="CaptionChar">
    <w:name w:val="Caption Char"/>
    <w:link w:val="Caption"/>
    <w:rsid w:val="007F4FDA"/>
    <w:rPr>
      <w:b/>
      <w:sz w:val="34"/>
      <w:szCs w:val="34"/>
      <w:lang w:val="en-GB" w:eastAsia="en-GB"/>
    </w:rPr>
  </w:style>
  <w:style w:type="paragraph" w:customStyle="1" w:styleId="NoNumHead4">
    <w:name w:val="NoNum:Head4"/>
    <w:basedOn w:val="Normal"/>
    <w:next w:val="Normal"/>
    <w:rsid w:val="00C43BEA"/>
    <w:pPr>
      <w:keepNext/>
      <w:spacing w:before="120" w:after="240"/>
      <w:outlineLvl w:val="0"/>
    </w:pPr>
    <w:rPr>
      <w:rFonts w:ascii="Arial" w:hAnsi="Arial"/>
      <w:b/>
      <w:sz w:val="22"/>
      <w:lang w:val="en-GB" w:eastAsia="en-GB"/>
    </w:rPr>
  </w:style>
  <w:style w:type="paragraph" w:customStyle="1" w:styleId="tabletextNS">
    <w:name w:val="table:textNS"/>
    <w:basedOn w:val="Normal"/>
    <w:link w:val="tabletextNSChar"/>
    <w:rsid w:val="00C43BEA"/>
    <w:rPr>
      <w:rFonts w:ascii="Arial Narrow" w:hAnsi="Arial Narrow"/>
      <w:lang w:val="en-GB" w:eastAsia="en-GB"/>
    </w:rPr>
  </w:style>
  <w:style w:type="character" w:customStyle="1" w:styleId="tabletextNSChar">
    <w:name w:val="table:textNS Char"/>
    <w:link w:val="tabletextNS"/>
    <w:rsid w:val="00C43BEA"/>
    <w:rPr>
      <w:rFonts w:ascii="Arial Narrow" w:hAnsi="Arial Narrow"/>
      <w:sz w:val="24"/>
      <w:szCs w:val="24"/>
      <w:lang w:val="en-GB" w:eastAsia="en-GB"/>
    </w:rPr>
  </w:style>
  <w:style w:type="paragraph" w:customStyle="1" w:styleId="NoNumHead3">
    <w:name w:val="NoNum:Head3"/>
    <w:basedOn w:val="NoNumHead2"/>
    <w:next w:val="Normal"/>
    <w:rsid w:val="001D275A"/>
    <w:rPr>
      <w:sz w:val="24"/>
    </w:rPr>
  </w:style>
  <w:style w:type="paragraph" w:customStyle="1" w:styleId="captiontable">
    <w:name w:val="caption:table"/>
    <w:basedOn w:val="Normal"/>
    <w:next w:val="Normal"/>
    <w:link w:val="captiontableChar"/>
    <w:rsid w:val="00785641"/>
    <w:pPr>
      <w:keepNext/>
      <w:spacing w:after="240"/>
      <w:ind w:left="1440" w:hanging="1440"/>
    </w:pPr>
    <w:rPr>
      <w:rFonts w:ascii="Arial" w:hAnsi="Arial"/>
      <w:b/>
      <w:sz w:val="22"/>
      <w:lang w:val="en-GB" w:eastAsia="en-GB"/>
    </w:rPr>
  </w:style>
  <w:style w:type="character" w:customStyle="1" w:styleId="captiontableChar">
    <w:name w:val="caption:table Char"/>
    <w:link w:val="captiontable"/>
    <w:locked/>
    <w:rsid w:val="00785641"/>
    <w:rPr>
      <w:rFonts w:ascii="Arial" w:hAnsi="Arial"/>
      <w:b/>
      <w:sz w:val="22"/>
      <w:lang w:val="en-GB" w:eastAsia="en-GB"/>
    </w:rPr>
  </w:style>
  <w:style w:type="character" w:customStyle="1" w:styleId="tabletextNSChar1">
    <w:name w:val="table:textNS Char1"/>
    <w:locked/>
    <w:rsid w:val="009602E1"/>
    <w:rPr>
      <w:rFonts w:ascii="Arial Narrow" w:hAnsi="Arial Narrow"/>
      <w:sz w:val="24"/>
      <w:lang w:val="en-GB"/>
    </w:rPr>
  </w:style>
  <w:style w:type="paragraph" w:styleId="Revision">
    <w:name w:val="Revision"/>
    <w:hidden/>
    <w:uiPriority w:val="99"/>
    <w:semiHidden/>
    <w:rsid w:val="005D5DF9"/>
    <w:rPr>
      <w:lang w:val="en-AU" w:eastAsia="en-AU"/>
    </w:rPr>
  </w:style>
  <w:style w:type="character" w:styleId="FollowedHyperlink">
    <w:name w:val="FollowedHyperlink"/>
    <w:uiPriority w:val="99"/>
    <w:semiHidden/>
    <w:unhideWhenUsed/>
    <w:rsid w:val="00A70A0A"/>
    <w:rPr>
      <w:color w:val="800080"/>
      <w:u w:val="single"/>
    </w:rPr>
  </w:style>
  <w:style w:type="paragraph" w:styleId="Title">
    <w:name w:val="Title"/>
    <w:basedOn w:val="Normal"/>
    <w:next w:val="Normal"/>
    <w:link w:val="TitleChar"/>
    <w:uiPriority w:val="10"/>
    <w:qFormat/>
    <w:rsid w:val="00735A23"/>
    <w:pPr>
      <w:spacing w:after="0" w:line="240" w:lineRule="auto"/>
    </w:pPr>
    <w:rPr>
      <w:rFonts w:ascii="Arial" w:hAnsi="Arial" w:cs="Arial"/>
      <w:b/>
      <w:sz w:val="22"/>
      <w:szCs w:val="22"/>
    </w:rPr>
  </w:style>
  <w:style w:type="character" w:customStyle="1" w:styleId="TitleChar">
    <w:name w:val="Title Char"/>
    <w:link w:val="Title"/>
    <w:uiPriority w:val="10"/>
    <w:rsid w:val="00735A23"/>
    <w:rPr>
      <w:rFonts w:ascii="Arial" w:hAnsi="Arial" w:cs="Arial"/>
      <w:b/>
      <w:sz w:val="22"/>
      <w:szCs w:val="22"/>
      <w:lang w:val="en-AU" w:eastAsia="en-AU"/>
    </w:rPr>
  </w:style>
  <w:style w:type="paragraph" w:styleId="TOC8">
    <w:name w:val="toc 8"/>
    <w:basedOn w:val="TOC3"/>
    <w:next w:val="Normal"/>
    <w:autoRedefine/>
    <w:semiHidden/>
    <w:rsid w:val="00697EF8"/>
    <w:pPr>
      <w:tabs>
        <w:tab w:val="left" w:pos="2088"/>
        <w:tab w:val="right" w:leader="dot" w:pos="8637"/>
      </w:tabs>
      <w:spacing w:after="0"/>
      <w:ind w:left="2088" w:right="850" w:hanging="936"/>
    </w:pPr>
    <w:rPr>
      <w:rFonts w:ascii="Arial" w:hAnsi="Arial" w:cs="Arial"/>
      <w:sz w:val="22"/>
      <w:szCs w:val="22"/>
      <w:lang w:val="en-GB" w:eastAsia="en-US"/>
    </w:rPr>
  </w:style>
  <w:style w:type="paragraph" w:customStyle="1" w:styleId="tabletext">
    <w:name w:val="table:text"/>
    <w:basedOn w:val="Normal"/>
    <w:link w:val="tabletextChar"/>
    <w:rsid w:val="00697EF8"/>
    <w:pPr>
      <w:spacing w:before="120"/>
    </w:pPr>
    <w:rPr>
      <w:rFonts w:ascii="Arial Narrow" w:hAnsi="Arial Narrow"/>
      <w:lang w:val="en-GB" w:eastAsia="en-GB"/>
    </w:rPr>
  </w:style>
  <w:style w:type="paragraph" w:styleId="TOC3">
    <w:name w:val="toc 3"/>
    <w:basedOn w:val="Normal"/>
    <w:next w:val="Normal"/>
    <w:autoRedefine/>
    <w:uiPriority w:val="39"/>
    <w:semiHidden/>
    <w:unhideWhenUsed/>
    <w:rsid w:val="00697EF8"/>
    <w:pPr>
      <w:spacing w:after="100"/>
      <w:ind w:left="400"/>
    </w:pPr>
  </w:style>
  <w:style w:type="character" w:customStyle="1" w:styleId="CSIchar">
    <w:name w:val="CSIchar"/>
    <w:rsid w:val="00330944"/>
    <w:rPr>
      <w:shd w:val="clear" w:color="auto" w:fill="CCCCCC"/>
    </w:rPr>
  </w:style>
  <w:style w:type="character" w:customStyle="1" w:styleId="CSI">
    <w:name w:val="CSI"/>
    <w:uiPriority w:val="1"/>
    <w:qFormat/>
    <w:rsid w:val="008155EF"/>
    <w:rPr>
      <w:bdr w:val="none" w:sz="0" w:space="0" w:color="auto"/>
      <w:shd w:val="clear" w:color="auto" w:fill="BFBFBF"/>
    </w:rPr>
  </w:style>
  <w:style w:type="character" w:customStyle="1" w:styleId="tabletextChar">
    <w:name w:val="table:text Char"/>
    <w:link w:val="tabletext"/>
    <w:rsid w:val="00DE1C21"/>
    <w:rPr>
      <w:rFonts w:ascii="Arial Narrow" w:hAnsi="Arial Narrow"/>
      <w:sz w:val="24"/>
      <w:szCs w:val="24"/>
      <w:lang w:val="en-GB" w:eastAsia="en-GB"/>
    </w:rPr>
  </w:style>
  <w:style w:type="paragraph" w:customStyle="1" w:styleId="Heading51">
    <w:name w:val="Heading 51"/>
    <w:basedOn w:val="Normal"/>
    <w:link w:val="heading5Char0"/>
    <w:qFormat/>
    <w:rsid w:val="009347F6"/>
    <w:pPr>
      <w:autoSpaceDE/>
      <w:autoSpaceDN/>
      <w:adjustRightInd/>
      <w:spacing w:after="0" w:line="240" w:lineRule="auto"/>
    </w:pPr>
    <w:rPr>
      <w:u w:val="single"/>
      <w:lang w:val="en-US"/>
    </w:rPr>
  </w:style>
  <w:style w:type="character" w:customStyle="1" w:styleId="heading5Char0">
    <w:name w:val="heading 5 Char"/>
    <w:link w:val="Heading51"/>
    <w:rsid w:val="009347F6"/>
    <w:rPr>
      <w:sz w:val="24"/>
      <w:szCs w:val="24"/>
      <w:u w:val="single"/>
      <w:lang w:eastAsia="en-AU"/>
    </w:rPr>
  </w:style>
  <w:style w:type="character" w:customStyle="1" w:styleId="HeaderChar">
    <w:name w:val="Header Char"/>
    <w:link w:val="Header"/>
    <w:uiPriority w:val="99"/>
    <w:rsid w:val="009347F6"/>
    <w:rPr>
      <w:sz w:val="24"/>
      <w:szCs w:val="24"/>
      <w:lang w:val="en-AU" w:eastAsia="en-AU"/>
    </w:rPr>
  </w:style>
  <w:style w:type="paragraph" w:customStyle="1" w:styleId="Text">
    <w:name w:val="Text"/>
    <w:aliases w:val="Graphic,Graphic Char Char,Graphic Char Char Char Char Char,Graphic Char Char Char Char Char Char Char C"/>
    <w:basedOn w:val="Normal"/>
    <w:link w:val="TextChar"/>
    <w:qFormat/>
    <w:rsid w:val="009347F6"/>
    <w:pPr>
      <w:autoSpaceDE/>
      <w:autoSpaceDN/>
      <w:adjustRightInd/>
      <w:spacing w:before="120" w:after="0" w:line="240" w:lineRule="auto"/>
    </w:pPr>
    <w:rPr>
      <w:rFonts w:eastAsia="MS Mincho"/>
      <w:szCs w:val="20"/>
      <w:lang w:val="en-US" w:eastAsia="zh-CN"/>
    </w:rPr>
  </w:style>
  <w:style w:type="character" w:customStyle="1" w:styleId="TextChar">
    <w:name w:val="Text Char"/>
    <w:link w:val="Text"/>
    <w:rsid w:val="009347F6"/>
    <w:rPr>
      <w:rFonts w:eastAsia="MS Mincho"/>
      <w:sz w:val="24"/>
      <w:lang w:eastAsia="zh-CN"/>
    </w:rPr>
  </w:style>
  <w:style w:type="character" w:customStyle="1" w:styleId="Heading6Char">
    <w:name w:val="Heading 6 Char"/>
    <w:basedOn w:val="DefaultParagraphFont"/>
    <w:link w:val="Heading6"/>
    <w:uiPriority w:val="9"/>
    <w:semiHidden/>
    <w:rsid w:val="00B25C5B"/>
    <w:rPr>
      <w:rFonts w:asciiTheme="majorHAnsi" w:eastAsiaTheme="majorEastAsia" w:hAnsiTheme="majorHAnsi" w:cstheme="majorBidi"/>
      <w:color w:val="1F4D78" w:themeColor="accent1" w:themeShade="7F"/>
      <w:sz w:val="24"/>
      <w:szCs w:val="24"/>
      <w:lang w:val="en-AU" w:eastAsia="en-AU"/>
    </w:rPr>
  </w:style>
  <w:style w:type="character" w:customStyle="1" w:styleId="Heading7Char">
    <w:name w:val="Heading 7 Char"/>
    <w:basedOn w:val="DefaultParagraphFont"/>
    <w:link w:val="Heading7"/>
    <w:uiPriority w:val="9"/>
    <w:semiHidden/>
    <w:rsid w:val="00A454BA"/>
    <w:rPr>
      <w:rFonts w:asciiTheme="majorHAnsi" w:eastAsiaTheme="majorEastAsia" w:hAnsiTheme="majorHAnsi" w:cstheme="majorBidi"/>
      <w:i/>
      <w:iCs/>
      <w:color w:val="1F4D78" w:themeColor="accent1" w:themeShade="7F"/>
      <w:sz w:val="24"/>
      <w:szCs w:val="24"/>
      <w:lang w:val="en-AU" w:eastAsia="en-AU"/>
    </w:rPr>
  </w:style>
  <w:style w:type="character" w:styleId="Hyperlink">
    <w:name w:val="Hyperlink"/>
    <w:uiPriority w:val="99"/>
    <w:unhideWhenUsed/>
    <w:rsid w:val="00C46AAC"/>
    <w:rPr>
      <w:color w:val="0000FF"/>
      <w:u w:val="single"/>
    </w:rPr>
  </w:style>
  <w:style w:type="character" w:customStyle="1" w:styleId="FooterChar">
    <w:name w:val="Footer Char"/>
    <w:basedOn w:val="DefaultParagraphFont"/>
    <w:link w:val="Footer"/>
    <w:rsid w:val="00983473"/>
    <w:rPr>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1160">
      <w:bodyDiv w:val="1"/>
      <w:marLeft w:val="0"/>
      <w:marRight w:val="0"/>
      <w:marTop w:val="0"/>
      <w:marBottom w:val="0"/>
      <w:divBdr>
        <w:top w:val="none" w:sz="0" w:space="0" w:color="auto"/>
        <w:left w:val="none" w:sz="0" w:space="0" w:color="auto"/>
        <w:bottom w:val="none" w:sz="0" w:space="0" w:color="auto"/>
        <w:right w:val="none" w:sz="0" w:space="0" w:color="auto"/>
      </w:divBdr>
      <w:divsChild>
        <w:div w:id="1630476581">
          <w:marLeft w:val="0"/>
          <w:marRight w:val="0"/>
          <w:marTop w:val="0"/>
          <w:marBottom w:val="0"/>
          <w:divBdr>
            <w:top w:val="none" w:sz="0" w:space="0" w:color="auto"/>
            <w:left w:val="none" w:sz="0" w:space="0" w:color="auto"/>
            <w:bottom w:val="none" w:sz="0" w:space="0" w:color="auto"/>
            <w:right w:val="none" w:sz="0" w:space="0" w:color="auto"/>
          </w:divBdr>
          <w:divsChild>
            <w:div w:id="7272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03197">
      <w:bodyDiv w:val="1"/>
      <w:marLeft w:val="0"/>
      <w:marRight w:val="0"/>
      <w:marTop w:val="0"/>
      <w:marBottom w:val="0"/>
      <w:divBdr>
        <w:top w:val="none" w:sz="0" w:space="0" w:color="auto"/>
        <w:left w:val="none" w:sz="0" w:space="0" w:color="auto"/>
        <w:bottom w:val="none" w:sz="0" w:space="0" w:color="auto"/>
        <w:right w:val="none" w:sz="0" w:space="0" w:color="auto"/>
      </w:divBdr>
      <w:divsChild>
        <w:div w:id="1857426886">
          <w:marLeft w:val="0"/>
          <w:marRight w:val="0"/>
          <w:marTop w:val="0"/>
          <w:marBottom w:val="0"/>
          <w:divBdr>
            <w:top w:val="none" w:sz="0" w:space="0" w:color="auto"/>
            <w:left w:val="none" w:sz="0" w:space="0" w:color="auto"/>
            <w:bottom w:val="none" w:sz="0" w:space="0" w:color="auto"/>
            <w:right w:val="none" w:sz="0" w:space="0" w:color="auto"/>
          </w:divBdr>
          <w:divsChild>
            <w:div w:id="80762956">
              <w:marLeft w:val="0"/>
              <w:marRight w:val="0"/>
              <w:marTop w:val="0"/>
              <w:marBottom w:val="0"/>
              <w:divBdr>
                <w:top w:val="none" w:sz="0" w:space="0" w:color="auto"/>
                <w:left w:val="none" w:sz="0" w:space="0" w:color="auto"/>
                <w:bottom w:val="none" w:sz="0" w:space="0" w:color="auto"/>
                <w:right w:val="none" w:sz="0" w:space="0" w:color="auto"/>
              </w:divBdr>
              <w:divsChild>
                <w:div w:id="247348018">
                  <w:blockQuote w:val="1"/>
                  <w:marLeft w:val="720"/>
                  <w:marRight w:val="0"/>
                  <w:marTop w:val="100"/>
                  <w:marBottom w:val="100"/>
                  <w:divBdr>
                    <w:top w:val="none" w:sz="0" w:space="0" w:color="auto"/>
                    <w:left w:val="none" w:sz="0" w:space="0" w:color="auto"/>
                    <w:bottom w:val="none" w:sz="0" w:space="0" w:color="auto"/>
                    <w:right w:val="none" w:sz="0" w:space="0" w:color="auto"/>
                  </w:divBdr>
                </w:div>
                <w:div w:id="577443526">
                  <w:blockQuote w:val="1"/>
                  <w:marLeft w:val="720"/>
                  <w:marRight w:val="0"/>
                  <w:marTop w:val="100"/>
                  <w:marBottom w:val="100"/>
                  <w:divBdr>
                    <w:top w:val="none" w:sz="0" w:space="0" w:color="auto"/>
                    <w:left w:val="none" w:sz="0" w:space="0" w:color="auto"/>
                    <w:bottom w:val="none" w:sz="0" w:space="0" w:color="auto"/>
                    <w:right w:val="none" w:sz="0" w:space="0" w:color="auto"/>
                  </w:divBdr>
                </w:div>
                <w:div w:id="20686451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1.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ga.gov.au/reporting-problems" TargetMode="External"/><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7.wmf"/><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image" Target="media/image6.png"/><Relationship Id="rId27"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r71091\My%20Documents\DRAFT%20-%20Aus%20-%20Product%20Information%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Generic_x0020_Name xmlns="17bb8c82-f074-452f-b484-641a2ea4a283">dabrafenib</Generic_x0020_Name>
    <PI_x0020_Date xmlns="17bb8c82-f074-452f-b484-641a2ea4a283">2015-07-10T00:00:00+00:00</PI_x0020_Date>
    <Dosage_x0020_Form xmlns="17bb8c82-f074-452f-b484-641a2ea4a283">Capsules</Dosage_x0020_Form>
    <Revision_x0020_Flag xmlns="17bb8c82-f074-452f-b484-641a2ea4a283" xsi:nil="true"/>
    <Brand_x0020_Name xmlns="17bb8c82-f074-452f-b484-641a2ea4a283">Tafinlar</Brand_x0020_Name>
    <Marketed xmlns="4b8f162b-5636-4821-85da-331af8dff062">true</Marketed>
    <Image xmlns="4b8f162b-5636-4821-85da-331af8dff062">
      <Url xsi:nil="true"/>
      <Description xsi:nil="true"/>
    </Imag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I Document" ma:contentTypeID="0x01010039983CF8680F544899597C3CF673966A006681E399D2676A4494415B5C34D2395C" ma:contentTypeVersion="8" ma:contentTypeDescription="PI Document Content Type" ma:contentTypeScope="" ma:versionID="ae6d61bf51b5e52cace6de957ed8ea97">
  <xsd:schema xmlns:xsd="http://www.w3.org/2001/XMLSchema" xmlns:p="http://schemas.microsoft.com/office/2006/metadata/properties" xmlns:ns2="17bb8c82-f074-452f-b484-641a2ea4a283" xmlns:ns3="4b8f162b-5636-4821-85da-331af8dff062" targetNamespace="http://schemas.microsoft.com/office/2006/metadata/properties" ma:root="true" ma:fieldsID="b2c203a00581eb0ba9fafbd06b2443a5" ns2:_="" ns3:_="">
    <xsd:import namespace="17bb8c82-f074-452f-b484-641a2ea4a283"/>
    <xsd:import namespace="4b8f162b-5636-4821-85da-331af8dff062"/>
    <xsd:element name="properties">
      <xsd:complexType>
        <xsd:sequence>
          <xsd:element name="documentManagement">
            <xsd:complexType>
              <xsd:all>
                <xsd:element ref="ns2:Revision_x0020_Flag" minOccurs="0"/>
                <xsd:element ref="ns2:Brand_x0020_Name" minOccurs="0"/>
                <xsd:element ref="ns2:Generic_x0020_Name" minOccurs="0"/>
                <xsd:element ref="ns2:PI_x0020_Date" minOccurs="0"/>
                <xsd:element ref="ns2:Dosage_x0020_Form" minOccurs="0"/>
                <xsd:element ref="ns3:Image" minOccurs="0"/>
                <xsd:element ref="ns3:Marketed" minOccurs="0"/>
              </xsd:all>
            </xsd:complexType>
          </xsd:element>
        </xsd:sequence>
      </xsd:complexType>
    </xsd:element>
  </xsd:schema>
  <xsd:schema xmlns:xsd="http://www.w3.org/2001/XMLSchema" xmlns:dms="http://schemas.microsoft.com/office/2006/documentManagement/types" targetNamespace="17bb8c82-f074-452f-b484-641a2ea4a283" elementFormDefault="qualified">
    <xsd:import namespace="http://schemas.microsoft.com/office/2006/documentManagement/types"/>
    <xsd:element name="Revision_x0020_Flag" ma:index="8" nillable="true" ma:displayName="Revision Flag" ma:default="" ma:format="Dropdown" ma:internalName="Revision_x0020_Flag">
      <xsd:simpleType>
        <xsd:restriction base="dms:Choice">
          <xsd:enumeration value="-"/>
          <xsd:enumeration value="Under Revision"/>
        </xsd:restriction>
      </xsd:simpleType>
    </xsd:element>
    <xsd:element name="Brand_x0020_Name" ma:index="9" nillable="true" ma:displayName="Brand" ma:default="Aclasta" ma:format="Dropdown" ma:internalName="Brand_x0020_Name">
      <xsd:simpleType>
        <xsd:union memberTypes="dms:Text">
          <xsd:simpleType>
            <xsd:restriction base="dms:Choice">
              <xsd:enumeration value="Aclasta"/>
              <xsd:enumeration value="Albuferon"/>
              <xsd:enumeration value="Aliskiren Portfolio"/>
              <xsd:enumeration value="Certican"/>
              <xsd:enumeration value="Cubicin"/>
              <xsd:enumeration value="Exelon"/>
              <xsd:enumeration value="Famvir"/>
              <xsd:enumeration value="Galvus"/>
              <xsd:enumeration value="Lescol XL"/>
              <xsd:enumeration value="Lucentis"/>
              <xsd:enumeration value="MS Portfolio"/>
              <xsd:enumeration value="Other CVM Pipeline Products"/>
              <xsd:enumeration value="Respiratory Portfolio"/>
              <xsd:enumeration value="Sebivo"/>
              <xsd:enumeration value="Stalevo"/>
              <xsd:enumeration value="Valsartan Portfolio"/>
            </xsd:restriction>
          </xsd:simpleType>
        </xsd:union>
      </xsd:simpleType>
    </xsd:element>
    <xsd:element name="Generic_x0020_Name" ma:index="10" nillable="true" ma:displayName="Generic Name" ma:internalName="Generic_x0020_Name">
      <xsd:simpleType>
        <xsd:restriction base="dms:Text">
          <xsd:maxLength value="255"/>
        </xsd:restriction>
      </xsd:simpleType>
    </xsd:element>
    <xsd:element name="PI_x0020_Date" ma:index="11" nillable="true" ma:displayName="PI Date" ma:format="DateOnly" ma:internalName="PI_x0020_Date">
      <xsd:simpleType>
        <xsd:restriction base="dms:DateTime"/>
      </xsd:simpleType>
    </xsd:element>
    <xsd:element name="Dosage_x0020_Form" ma:index="12" nillable="true" ma:displayName="Dosage Form" ma:default="Capsule, enteric" ma:format="Dropdown" ma:internalName="Dosage_x0020_Form">
      <xsd:simpleType>
        <xsd:union memberTypes="dms:Text">
          <xsd:simpleType>
            <xsd:restriction base="dms:Choice">
              <xsd:enumeration value="Capsule, enteric"/>
              <xsd:enumeration value="Capsule, hard"/>
              <xsd:enumeration value="Capsule, modified release"/>
              <xsd:enumeration value="Capsule, soft"/>
              <xsd:enumeration value="Capsule, other"/>
              <xsd:enumeration value="Cosmetic"/>
              <xsd:enumeration value="Cream"/>
              <xsd:enumeration value="Drug delivery system, transdermal"/>
              <xsd:enumeration value="Eye Drops"/>
              <xsd:enumeration value="Eye Drops, solution"/>
              <xsd:enumeration value="Eye Drops, suspension"/>
              <xsd:enumeration value="Gel, eye"/>
              <xsd:enumeration value="Gel"/>
              <xsd:enumeration value="Inhalation, powder for"/>
              <xsd:enumeration value="Inhalation, pressurised"/>
              <xsd:enumeration value="Inhalation"/>
              <xsd:enumeration value="Injection, concentrated"/>
              <xsd:enumeration value="Injection, diluent for"/>
              <xsd:enumeration value="Injection, powder for"/>
              <xsd:enumeration value="Injection, solution"/>
              <xsd:enumeration value="Injection, solvent for"/>
              <xsd:enumeration value="Injection"/>
              <xsd:enumeration value="Liquids"/>
              <xsd:enumeration value="Spray, nasal"/>
              <xsd:enumeration value="Nasal Drops"/>
              <xsd:enumeration value="Oral Liquid, powder for"/>
              <xsd:enumeration value="Oral Liquid, solution"/>
              <xsd:enumeration value="Oral Liquid, suspension"/>
              <xsd:enumeration value="Oral Liquid, syrup"/>
              <xsd:enumeration value="Oral Liquid"/>
              <xsd:enumeration value="Powder, oral"/>
              <xsd:enumeration value="Powder"/>
              <xsd:enumeration value="Solution, powder for irrigation"/>
              <xsd:enumeration value="Solution, powder for"/>
              <xsd:enumeration value="Solution"/>
              <xsd:enumeration value="Spray"/>
              <xsd:enumeration value="Suppository"/>
              <xsd:enumeration value="Tablet, dispersible"/>
              <xsd:enumeration value="Tablet, effervescent"/>
              <xsd:enumeration value="Tablet, enteric coated"/>
              <xsd:enumeration value="Tablet, film coated"/>
              <xsd:enumeration value="Tablet, modified release"/>
              <xsd:enumeration value="Tablet, sugar coated"/>
              <xsd:enumeration value="Tablet, uncoated"/>
            </xsd:restriction>
          </xsd:simpleType>
        </xsd:union>
      </xsd:simpleType>
    </xsd:element>
  </xsd:schema>
  <xsd:schema xmlns:xsd="http://www.w3.org/2001/XMLSchema" xmlns:dms="http://schemas.microsoft.com/office/2006/documentManagement/types" targetNamespace="4b8f162b-5636-4821-85da-331af8dff062" elementFormDefault="qualified">
    <xsd:import namespace="http://schemas.microsoft.com/office/2006/documentManagement/types"/>
    <xsd:element name="Image" ma:index="13" nillable="true" ma:displayName="-" ma:default=""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arketed" ma:index="14" nillable="true" ma:displayName="Marketed" ma:default="0" ma:internalName="Mark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18469-109B-4A04-B536-1EF458681173}">
  <ds:schemaRefs>
    <ds:schemaRef ds:uri="http://schemas.microsoft.com/office/2006/metadata/properties"/>
    <ds:schemaRef ds:uri="http://schemas.openxmlformats.org/package/2006/metadata/core-properties"/>
    <ds:schemaRef ds:uri="http://schemas.microsoft.com/office/2006/documentManagement/types"/>
    <ds:schemaRef ds:uri="4b8f162b-5636-4821-85da-331af8dff062"/>
    <ds:schemaRef ds:uri="http://purl.org/dc/terms/"/>
    <ds:schemaRef ds:uri="http://www.w3.org/XML/1998/namespace"/>
    <ds:schemaRef ds:uri="http://purl.org/dc/elements/1.1/"/>
    <ds:schemaRef ds:uri="17bb8c82-f074-452f-b484-641a2ea4a283"/>
    <ds:schemaRef ds:uri="http://purl.org/dc/dcmitype/"/>
  </ds:schemaRefs>
</ds:datastoreItem>
</file>

<file path=customXml/itemProps2.xml><?xml version="1.0" encoding="utf-8"?>
<ds:datastoreItem xmlns:ds="http://schemas.openxmlformats.org/officeDocument/2006/customXml" ds:itemID="{6ADA5E23-BDC2-496A-93E3-70B73A1014D5}">
  <ds:schemaRefs>
    <ds:schemaRef ds:uri="http://schemas.microsoft.com/office/2006/metadata/longProperties"/>
  </ds:schemaRefs>
</ds:datastoreItem>
</file>

<file path=customXml/itemProps3.xml><?xml version="1.0" encoding="utf-8"?>
<ds:datastoreItem xmlns:ds="http://schemas.openxmlformats.org/officeDocument/2006/customXml" ds:itemID="{B7296B14-6AAE-4892-B0FD-8A7BE1E6C458}">
  <ds:schemaRef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4b8f162b-5636-4821-85da-331af8dff062"/>
    <ds:schemaRef ds:uri="17bb8c82-f074-452f-b484-641a2ea4a283"/>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D0C9D052-04D9-4469-A713-7D09589C6F2F}">
  <ds:schemaRefs>
    <ds:schemaRef ds:uri="http://schemas.microsoft.com/sharepoint/v3/contenttype/forms"/>
  </ds:schemaRefs>
</ds:datastoreItem>
</file>

<file path=customXml/itemProps5.xml><?xml version="1.0" encoding="utf-8"?>
<ds:datastoreItem xmlns:ds="http://schemas.openxmlformats.org/officeDocument/2006/customXml" ds:itemID="{D280CB84-4FC7-44F8-9A2E-0F0E86A15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b8c82-f074-452f-b484-641a2ea4a283"/>
    <ds:schemaRef ds:uri="4b8f162b-5636-4821-85da-331af8dff06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2087BF35-4F7F-420F-808B-A4A9C19D86E4}">
  <ds:schemaRefs>
    <ds:schemaRef ds:uri="4b8f162b-5636-4821-85da-331af8dff062"/>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17bb8c82-f074-452f-b484-641a2ea4a283"/>
    <ds:schemaRef ds:uri="http://www.w3.org/XML/1998/namespace"/>
    <ds:schemaRef ds:uri="http://purl.org/dc/dcmitype/"/>
    <ds:schemaRef ds:uri="http://schemas.microsoft.com/office/infopath/2007/PartnerControls"/>
  </ds:schemaRefs>
</ds:datastoreItem>
</file>

<file path=customXml/itemProps7.xml><?xml version="1.0" encoding="utf-8"?>
<ds:datastoreItem xmlns:ds="http://schemas.openxmlformats.org/officeDocument/2006/customXml" ds:itemID="{06967D45-089D-42CB-9032-8AE15725085F}">
  <ds:schemaRefs>
    <ds:schemaRef ds:uri="http://schemas.openxmlformats.org/officeDocument/2006/bibliography"/>
  </ds:schemaRefs>
</ds:datastoreItem>
</file>

<file path=customXml/itemProps8.xml><?xml version="1.0" encoding="utf-8"?>
<ds:datastoreItem xmlns:ds="http://schemas.openxmlformats.org/officeDocument/2006/customXml" ds:itemID="{FBC72A3E-BAD6-4190-B0FE-1126B2A1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Aus - Product Information - Template.dot</Template>
  <TotalTime>3</TotalTime>
  <Pages>43</Pages>
  <Words>14872</Words>
  <Characters>84268</Characters>
  <Application>Microsoft Office Word</Application>
  <DocSecurity>0</DocSecurity>
  <Lines>2277</Lines>
  <Paragraphs>1652</Paragraphs>
  <ScaleCrop>false</ScaleCrop>
  <HeadingPairs>
    <vt:vector size="2" baseType="variant">
      <vt:variant>
        <vt:lpstr>Title</vt:lpstr>
      </vt:variant>
      <vt:variant>
        <vt:i4>1</vt:i4>
      </vt:variant>
    </vt:vector>
  </HeadingPairs>
  <TitlesOfParts>
    <vt:vector size="1" baseType="lpstr">
      <vt:lpstr/>
    </vt:vector>
  </TitlesOfParts>
  <Company>GlaxoSmithKline</Company>
  <LinksUpToDate>false</LinksUpToDate>
  <CharactersWithSpaces>97488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Dabrafenib</dc:title>
  <dc:subject>prescription medicines</dc:subject>
  <dc:creator>Simon Cornish</dc:creator>
  <cp:lastPrinted>2018-04-30T08:08:00Z</cp:lastPrinted>
  <dcterms:created xsi:type="dcterms:W3CDTF">2019-01-21T00:59:00Z</dcterms:created>
  <dcterms:modified xsi:type="dcterms:W3CDTF">2019-01-21T01:01:00Z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keted">
    <vt:lpwstr>1</vt:lpwstr>
  </property>
  <property fmtid="{D5CDD505-2E9C-101B-9397-08002B2CF9AE}" pid="3" name="Generic Name">
    <vt:lpwstr>dabrafenib</vt:lpwstr>
  </property>
  <property fmtid="{D5CDD505-2E9C-101B-9397-08002B2CF9AE}" pid="4" name="PI Date">
    <vt:lpwstr>2015-07-10T00:00:00Z</vt:lpwstr>
  </property>
  <property fmtid="{D5CDD505-2E9C-101B-9397-08002B2CF9AE}" pid="5" name="Dosage Form">
    <vt:lpwstr>Capsules</vt:lpwstr>
  </property>
  <property fmtid="{D5CDD505-2E9C-101B-9397-08002B2CF9AE}" pid="6" name="ContentType">
    <vt:lpwstr>PI Document</vt:lpwstr>
  </property>
  <property fmtid="{D5CDD505-2E9C-101B-9397-08002B2CF9AE}" pid="7" name="Brand Name">
    <vt:lpwstr>Tafinlar</vt:lpwstr>
  </property>
  <property fmtid="{D5CDD505-2E9C-101B-9397-08002B2CF9AE}" pid="8" name="Image">
    <vt:lpwstr>, </vt:lpwstr>
  </property>
  <property fmtid="{D5CDD505-2E9C-101B-9397-08002B2CF9AE}" pid="9" name="Revision Flag">
    <vt:lpwstr/>
  </property>
  <property fmtid="{D5CDD505-2E9C-101B-9397-08002B2CF9AE}" pid="10" name="ContentTypeId">
    <vt:lpwstr>0x01010062F47567F0551F4D89536B0F0DC67798</vt:lpwstr>
  </property>
</Properties>
</file>