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80F" w:rsidRPr="00620AF0" w:rsidRDefault="002A7572" w:rsidP="006E37C3">
      <w:pPr>
        <w:spacing w:before="120" w:after="120"/>
        <w:jc w:val="center"/>
        <w:rPr>
          <w:rFonts w:ascii="Arial" w:hAnsi="Arial" w:cs="Arial"/>
          <w:b/>
          <w:sz w:val="22"/>
          <w:szCs w:val="22"/>
        </w:rPr>
      </w:pPr>
      <w:bookmarkStart w:id="0" w:name="_GoBack"/>
      <w:bookmarkEnd w:id="0"/>
      <w:r w:rsidRPr="00620AF0">
        <w:rPr>
          <w:rFonts w:ascii="Arial" w:hAnsi="Arial" w:cs="Arial"/>
          <w:b/>
          <w:sz w:val="22"/>
          <w:szCs w:val="22"/>
        </w:rPr>
        <w:t>MEKINIST</w:t>
      </w:r>
      <w:r w:rsidR="00C556BA" w:rsidRPr="00620AF0">
        <w:rPr>
          <w:rFonts w:ascii="Arial Bold" w:hAnsi="Arial Bold" w:cs="Arial"/>
          <w:b/>
          <w:sz w:val="22"/>
          <w:szCs w:val="22"/>
          <w:vertAlign w:val="superscript"/>
        </w:rPr>
        <w:sym w:font="Symbol" w:char="F0E2"/>
      </w:r>
      <w:r w:rsidR="00004934" w:rsidRPr="00620AF0">
        <w:rPr>
          <w:rFonts w:ascii="Arial Bold" w:hAnsi="Arial Bold" w:cs="Arial"/>
          <w:b/>
          <w:sz w:val="22"/>
          <w:szCs w:val="22"/>
        </w:rPr>
        <w:t xml:space="preserve"> TABLETS</w:t>
      </w:r>
    </w:p>
    <w:p w:rsidR="007A4294" w:rsidRPr="00620AF0" w:rsidRDefault="0077380F" w:rsidP="00197076">
      <w:pPr>
        <w:spacing w:before="120"/>
        <w:jc w:val="center"/>
        <w:rPr>
          <w:rFonts w:ascii="Arial" w:hAnsi="Arial" w:cs="Arial"/>
          <w:b/>
          <w:sz w:val="22"/>
          <w:szCs w:val="22"/>
        </w:rPr>
      </w:pPr>
      <w:r w:rsidRPr="00620AF0">
        <w:rPr>
          <w:rFonts w:ascii="Arial" w:hAnsi="Arial" w:cs="Arial"/>
          <w:b/>
          <w:sz w:val="22"/>
          <w:szCs w:val="22"/>
        </w:rPr>
        <w:t>PRODUCT INFORMATION</w:t>
      </w:r>
    </w:p>
    <w:p w:rsidR="007A0414" w:rsidRPr="00620AF0" w:rsidRDefault="007A0414" w:rsidP="00197076">
      <w:pPr>
        <w:spacing w:before="120"/>
        <w:jc w:val="center"/>
        <w:rPr>
          <w:rFonts w:ascii="Arial" w:hAnsi="Arial" w:cs="Arial"/>
          <w:b/>
          <w:sz w:val="22"/>
          <w:szCs w:val="22"/>
        </w:rPr>
      </w:pPr>
    </w:p>
    <w:p w:rsidR="00E81E59" w:rsidRPr="00620AF0" w:rsidRDefault="0077380F" w:rsidP="00236E6E">
      <w:pPr>
        <w:spacing w:before="120" w:after="240"/>
        <w:jc w:val="both"/>
        <w:rPr>
          <w:rFonts w:ascii="Arial" w:hAnsi="Arial" w:cs="Arial"/>
          <w:sz w:val="22"/>
          <w:szCs w:val="22"/>
        </w:rPr>
      </w:pPr>
      <w:r w:rsidRPr="00620AF0">
        <w:rPr>
          <w:rFonts w:ascii="Arial" w:hAnsi="Arial" w:cs="Arial"/>
          <w:b/>
          <w:sz w:val="22"/>
          <w:szCs w:val="22"/>
        </w:rPr>
        <w:t>NAME OF THE MEDICINE</w:t>
      </w:r>
    </w:p>
    <w:p w:rsidR="005D14FF" w:rsidRPr="00620AF0" w:rsidRDefault="002A7572" w:rsidP="00236E6E">
      <w:pPr>
        <w:spacing w:after="120" w:line="240" w:lineRule="atLeast"/>
        <w:jc w:val="both"/>
        <w:rPr>
          <w:rFonts w:ascii="Arial" w:hAnsi="Arial" w:cs="Arial"/>
          <w:sz w:val="22"/>
          <w:szCs w:val="22"/>
        </w:rPr>
      </w:pPr>
      <w:r w:rsidRPr="00620AF0">
        <w:rPr>
          <w:rFonts w:ascii="Arial" w:hAnsi="Arial" w:cs="Arial"/>
          <w:sz w:val="22"/>
          <w:szCs w:val="22"/>
        </w:rPr>
        <w:t xml:space="preserve">Trametinib dimethyl </w:t>
      </w:r>
      <w:r w:rsidR="0086223B">
        <w:rPr>
          <w:rFonts w:ascii="Arial" w:hAnsi="Arial" w:cs="Arial"/>
          <w:sz w:val="22"/>
          <w:szCs w:val="22"/>
        </w:rPr>
        <w:t>sulfoxide</w:t>
      </w:r>
    </w:p>
    <w:p w:rsidR="00982469" w:rsidRPr="00620AF0" w:rsidRDefault="003C6FDB" w:rsidP="00236E6E">
      <w:pPr>
        <w:spacing w:after="120" w:line="240" w:lineRule="atLeast"/>
        <w:jc w:val="both"/>
        <w:rPr>
          <w:rFonts w:ascii="Arial" w:hAnsi="Arial" w:cs="Arial"/>
          <w:sz w:val="22"/>
          <w:szCs w:val="22"/>
        </w:rP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alt="Trametinib dimethyl sulfoxide" style="width:199.15pt;height:151.5pt;visibility:visible">
            <v:imagedata r:id="rId9" o:title=""/>
          </v:shape>
        </w:pict>
      </w:r>
    </w:p>
    <w:p w:rsidR="00982469" w:rsidRPr="00620AF0" w:rsidRDefault="00982469" w:rsidP="00236E6E">
      <w:pPr>
        <w:spacing w:after="120" w:line="240" w:lineRule="atLeast"/>
        <w:jc w:val="both"/>
        <w:rPr>
          <w:rFonts w:ascii="Arial" w:hAnsi="Arial" w:cs="Arial"/>
          <w:sz w:val="22"/>
          <w:szCs w:val="22"/>
        </w:rPr>
      </w:pPr>
    </w:p>
    <w:p w:rsidR="00982469" w:rsidRPr="00620AF0" w:rsidRDefault="00982469" w:rsidP="00DE48BD">
      <w:pPr>
        <w:autoSpaceDE w:val="0"/>
        <w:autoSpaceDN w:val="0"/>
        <w:adjustRightInd w:val="0"/>
        <w:spacing w:after="120" w:line="240" w:lineRule="atLeast"/>
        <w:rPr>
          <w:rFonts w:ascii="Arial" w:hAnsi="Arial" w:cs="Arial"/>
          <w:sz w:val="22"/>
          <w:szCs w:val="22"/>
        </w:rPr>
      </w:pPr>
      <w:r w:rsidRPr="00620AF0">
        <w:rPr>
          <w:rFonts w:ascii="Arial" w:hAnsi="Arial" w:cs="Arial"/>
          <w:sz w:val="22"/>
          <w:szCs w:val="22"/>
        </w:rPr>
        <w:t xml:space="preserve">It has the molecular formula </w:t>
      </w:r>
      <w:r w:rsidR="002A7572" w:rsidRPr="00620AF0">
        <w:rPr>
          <w:rFonts w:ascii="Arial" w:hAnsi="Arial" w:cs="Arial"/>
          <w:sz w:val="22"/>
          <w:szCs w:val="22"/>
        </w:rPr>
        <w:t>C</w:t>
      </w:r>
      <w:r w:rsidR="002A7572" w:rsidRPr="00620AF0">
        <w:rPr>
          <w:rFonts w:ascii="Arial" w:hAnsi="Arial" w:cs="Arial"/>
          <w:sz w:val="22"/>
          <w:szCs w:val="22"/>
          <w:vertAlign w:val="subscript"/>
        </w:rPr>
        <w:t>26</w:t>
      </w:r>
      <w:r w:rsidR="002A7572" w:rsidRPr="00620AF0">
        <w:rPr>
          <w:rFonts w:ascii="Arial" w:hAnsi="Arial" w:cs="Arial"/>
          <w:sz w:val="22"/>
          <w:szCs w:val="22"/>
        </w:rPr>
        <w:t>H</w:t>
      </w:r>
      <w:r w:rsidR="002A7572" w:rsidRPr="00620AF0">
        <w:rPr>
          <w:rFonts w:ascii="Arial" w:hAnsi="Arial" w:cs="Arial"/>
          <w:sz w:val="22"/>
          <w:szCs w:val="22"/>
          <w:vertAlign w:val="subscript"/>
        </w:rPr>
        <w:t>23</w:t>
      </w:r>
      <w:r w:rsidR="002A7572" w:rsidRPr="00620AF0">
        <w:rPr>
          <w:rFonts w:ascii="Arial" w:hAnsi="Arial" w:cs="Arial"/>
          <w:sz w:val="22"/>
          <w:szCs w:val="22"/>
        </w:rPr>
        <w:t>FIN</w:t>
      </w:r>
      <w:r w:rsidR="002A7572" w:rsidRPr="00620AF0">
        <w:rPr>
          <w:rFonts w:ascii="Arial" w:hAnsi="Arial" w:cs="Arial"/>
          <w:sz w:val="22"/>
          <w:szCs w:val="22"/>
          <w:vertAlign w:val="subscript"/>
        </w:rPr>
        <w:t>5</w:t>
      </w:r>
      <w:r w:rsidR="002A7572" w:rsidRPr="00620AF0">
        <w:rPr>
          <w:rFonts w:ascii="Arial" w:hAnsi="Arial" w:cs="Arial"/>
          <w:sz w:val="22"/>
          <w:szCs w:val="22"/>
        </w:rPr>
        <w:t>O</w:t>
      </w:r>
      <w:r w:rsidR="002A7572" w:rsidRPr="00620AF0">
        <w:rPr>
          <w:rFonts w:ascii="Arial" w:hAnsi="Arial" w:cs="Arial"/>
          <w:sz w:val="22"/>
          <w:szCs w:val="22"/>
          <w:vertAlign w:val="subscript"/>
        </w:rPr>
        <w:t>4</w:t>
      </w:r>
      <w:r w:rsidR="002A7572" w:rsidRPr="00620AF0">
        <w:rPr>
          <w:rFonts w:ascii="Arial" w:hAnsi="Arial" w:cs="Arial"/>
          <w:sz w:val="22"/>
          <w:szCs w:val="22"/>
        </w:rPr>
        <w:t>.C</w:t>
      </w:r>
      <w:r w:rsidR="002A7572" w:rsidRPr="00620AF0">
        <w:rPr>
          <w:rFonts w:ascii="Arial" w:hAnsi="Arial" w:cs="Arial"/>
          <w:sz w:val="22"/>
          <w:szCs w:val="22"/>
          <w:vertAlign w:val="subscript"/>
        </w:rPr>
        <w:t>2</w:t>
      </w:r>
      <w:r w:rsidR="002A7572" w:rsidRPr="00620AF0">
        <w:rPr>
          <w:rFonts w:ascii="Arial" w:hAnsi="Arial" w:cs="Arial"/>
          <w:sz w:val="22"/>
          <w:szCs w:val="22"/>
        </w:rPr>
        <w:t>H</w:t>
      </w:r>
      <w:r w:rsidR="002A7572" w:rsidRPr="00620AF0">
        <w:rPr>
          <w:rFonts w:ascii="Arial" w:hAnsi="Arial" w:cs="Arial"/>
          <w:sz w:val="22"/>
          <w:szCs w:val="22"/>
          <w:vertAlign w:val="subscript"/>
        </w:rPr>
        <w:t>6</w:t>
      </w:r>
      <w:r w:rsidR="002A7572" w:rsidRPr="00620AF0">
        <w:rPr>
          <w:rFonts w:ascii="Arial" w:hAnsi="Arial" w:cs="Arial"/>
          <w:sz w:val="22"/>
          <w:szCs w:val="22"/>
        </w:rPr>
        <w:t xml:space="preserve">OS </w:t>
      </w:r>
      <w:r w:rsidRPr="00620AF0">
        <w:rPr>
          <w:rFonts w:ascii="Arial" w:hAnsi="Arial" w:cs="Arial"/>
          <w:sz w:val="22"/>
          <w:szCs w:val="22"/>
        </w:rPr>
        <w:t xml:space="preserve">and a molecular weight of </w:t>
      </w:r>
      <w:r w:rsidR="00004934" w:rsidRPr="00620AF0">
        <w:rPr>
          <w:rFonts w:ascii="Arial" w:hAnsi="Arial" w:cs="Arial"/>
          <w:sz w:val="22"/>
          <w:szCs w:val="22"/>
        </w:rPr>
        <w:t>693.5</w:t>
      </w:r>
      <w:r w:rsidRPr="00620AF0">
        <w:rPr>
          <w:rFonts w:ascii="Arial" w:hAnsi="Arial" w:cs="Arial"/>
          <w:sz w:val="22"/>
          <w:szCs w:val="22"/>
        </w:rPr>
        <w:t>.</w:t>
      </w:r>
    </w:p>
    <w:p w:rsidR="00982469" w:rsidRPr="00620AF0" w:rsidRDefault="00982469" w:rsidP="00DE48BD">
      <w:pPr>
        <w:spacing w:after="120" w:line="240" w:lineRule="atLeast"/>
        <w:jc w:val="both"/>
        <w:rPr>
          <w:rFonts w:ascii="Arial" w:hAnsi="Arial" w:cs="Arial"/>
          <w:sz w:val="22"/>
          <w:szCs w:val="22"/>
        </w:rPr>
      </w:pPr>
      <w:r w:rsidRPr="00620AF0">
        <w:rPr>
          <w:rFonts w:ascii="Arial" w:hAnsi="Arial" w:cs="Arial"/>
          <w:sz w:val="22"/>
          <w:szCs w:val="22"/>
        </w:rPr>
        <w:t xml:space="preserve">CAS Registry Number: </w:t>
      </w:r>
      <w:r w:rsidR="000F46F9" w:rsidRPr="000F46F9">
        <w:rPr>
          <w:rFonts w:ascii="Arial" w:hAnsi="Arial" w:cs="Arial"/>
          <w:sz w:val="22"/>
          <w:szCs w:val="22"/>
          <w:lang w:val="en-US"/>
        </w:rPr>
        <w:t>1187431-43-1</w:t>
      </w:r>
    </w:p>
    <w:p w:rsidR="00982469" w:rsidRPr="00620AF0" w:rsidRDefault="00982469" w:rsidP="00DE48BD">
      <w:pPr>
        <w:autoSpaceDE w:val="0"/>
        <w:autoSpaceDN w:val="0"/>
        <w:adjustRightInd w:val="0"/>
        <w:spacing w:after="120" w:line="240" w:lineRule="atLeast"/>
        <w:rPr>
          <w:rFonts w:ascii="Arial" w:hAnsi="Arial" w:cs="Arial"/>
          <w:sz w:val="22"/>
          <w:szCs w:val="22"/>
        </w:rPr>
      </w:pPr>
    </w:p>
    <w:p w:rsidR="00C556BA" w:rsidRPr="00620AF0" w:rsidRDefault="00E81E59" w:rsidP="00E8156F">
      <w:pPr>
        <w:spacing w:before="120" w:after="240"/>
        <w:jc w:val="both"/>
        <w:rPr>
          <w:rFonts w:ascii="Arial" w:hAnsi="Arial" w:cs="Arial"/>
          <w:b/>
          <w:sz w:val="22"/>
          <w:szCs w:val="22"/>
        </w:rPr>
      </w:pPr>
      <w:r w:rsidRPr="00620AF0">
        <w:rPr>
          <w:rFonts w:ascii="Arial" w:hAnsi="Arial" w:cs="Arial"/>
          <w:b/>
          <w:sz w:val="22"/>
          <w:szCs w:val="22"/>
        </w:rPr>
        <w:t>DESCRIPTION</w:t>
      </w:r>
    </w:p>
    <w:p w:rsidR="002A7572" w:rsidRPr="00620AF0" w:rsidRDefault="00942010" w:rsidP="00B00380">
      <w:pPr>
        <w:spacing w:after="120" w:line="240" w:lineRule="atLeast"/>
        <w:jc w:val="both"/>
        <w:rPr>
          <w:szCs w:val="24"/>
        </w:rPr>
      </w:pPr>
      <w:r w:rsidRPr="00620AF0">
        <w:rPr>
          <w:rFonts w:ascii="Arial" w:hAnsi="Arial" w:cs="Arial"/>
          <w:sz w:val="22"/>
          <w:szCs w:val="22"/>
        </w:rPr>
        <w:t xml:space="preserve">Trametinib dimethyl </w:t>
      </w:r>
      <w:r w:rsidR="0086223B">
        <w:rPr>
          <w:rFonts w:ascii="Arial" w:hAnsi="Arial" w:cs="Arial"/>
          <w:sz w:val="22"/>
          <w:szCs w:val="22"/>
        </w:rPr>
        <w:t>sulfoxide</w:t>
      </w:r>
      <w:r w:rsidRPr="00620AF0">
        <w:rPr>
          <w:rFonts w:ascii="Arial" w:hAnsi="Arial" w:cs="Arial"/>
          <w:sz w:val="22"/>
          <w:szCs w:val="22"/>
        </w:rPr>
        <w:t xml:space="preserve"> </w:t>
      </w:r>
      <w:r w:rsidR="002A7572" w:rsidRPr="00620AF0">
        <w:rPr>
          <w:rFonts w:ascii="Arial" w:hAnsi="Arial" w:cs="Arial"/>
          <w:sz w:val="22"/>
          <w:szCs w:val="22"/>
        </w:rPr>
        <w:t>is a polycyclic, nitrogen containing heterocycle also possessing aromatic halide and amide functionality, and is a dimethyl sulfoxide solvate</w:t>
      </w:r>
      <w:r w:rsidR="00F41747">
        <w:rPr>
          <w:rFonts w:ascii="Arial" w:hAnsi="Arial" w:cs="Arial"/>
          <w:sz w:val="22"/>
          <w:szCs w:val="22"/>
        </w:rPr>
        <w:t xml:space="preserve">. </w:t>
      </w:r>
      <w:r w:rsidR="00F41747" w:rsidRPr="00F41747">
        <w:rPr>
          <w:rFonts w:ascii="Arial" w:hAnsi="Arial" w:cs="Arial"/>
          <w:sz w:val="22"/>
          <w:szCs w:val="22"/>
        </w:rPr>
        <w:t>The calculated partition coefficient of trametinib dimethyl sulfoxide is 4.99</w:t>
      </w:r>
      <w:r w:rsidR="00F41747">
        <w:rPr>
          <w:rFonts w:ascii="Arial" w:hAnsi="Arial" w:cs="Arial"/>
          <w:sz w:val="22"/>
          <w:szCs w:val="22"/>
        </w:rPr>
        <w:t>.</w:t>
      </w:r>
    </w:p>
    <w:p w:rsidR="00942010" w:rsidRPr="00620AF0" w:rsidRDefault="00004934" w:rsidP="00B00380">
      <w:pPr>
        <w:autoSpaceDE w:val="0"/>
        <w:autoSpaceDN w:val="0"/>
        <w:adjustRightInd w:val="0"/>
        <w:spacing w:after="120" w:line="240" w:lineRule="atLeast"/>
        <w:rPr>
          <w:rFonts w:ascii="Arial" w:hAnsi="Arial" w:cs="Arial"/>
          <w:i/>
          <w:iCs/>
          <w:sz w:val="22"/>
          <w:szCs w:val="22"/>
        </w:rPr>
      </w:pPr>
      <w:r w:rsidRPr="00620AF0">
        <w:rPr>
          <w:rFonts w:ascii="Arial" w:hAnsi="Arial" w:cs="Arial"/>
          <w:sz w:val="22"/>
          <w:szCs w:val="22"/>
        </w:rPr>
        <w:t xml:space="preserve">The chemical name for trametinib dimethyl </w:t>
      </w:r>
      <w:r w:rsidR="0086223B">
        <w:rPr>
          <w:rFonts w:ascii="Arial" w:hAnsi="Arial" w:cs="Arial"/>
          <w:sz w:val="22"/>
          <w:szCs w:val="22"/>
        </w:rPr>
        <w:t>sulfoxide</w:t>
      </w:r>
      <w:r w:rsidRPr="00620AF0">
        <w:rPr>
          <w:rFonts w:ascii="Arial" w:hAnsi="Arial" w:cs="Arial"/>
          <w:sz w:val="22"/>
          <w:szCs w:val="22"/>
        </w:rPr>
        <w:t xml:space="preserve"> is </w:t>
      </w:r>
      <w:r w:rsidR="00942010" w:rsidRPr="00620AF0">
        <w:rPr>
          <w:rFonts w:ascii="Arial" w:hAnsi="Arial" w:cs="Arial"/>
          <w:sz w:val="22"/>
          <w:szCs w:val="22"/>
        </w:rPr>
        <w:t>N-(3- {3-cyclopropyl-5-[(2-fluor</w:t>
      </w:r>
      <w:r w:rsidRPr="00620AF0">
        <w:rPr>
          <w:rFonts w:ascii="Arial" w:hAnsi="Arial" w:cs="Arial"/>
          <w:sz w:val="22"/>
          <w:szCs w:val="22"/>
        </w:rPr>
        <w:t>o-4-iodophenyl)amino]-6,8-dimethy</w:t>
      </w:r>
      <w:r w:rsidR="00942010" w:rsidRPr="00620AF0">
        <w:rPr>
          <w:rFonts w:ascii="Arial" w:hAnsi="Arial" w:cs="Arial"/>
          <w:sz w:val="22"/>
          <w:szCs w:val="22"/>
        </w:rPr>
        <w:t>l</w:t>
      </w:r>
      <w:r w:rsidRPr="00620AF0">
        <w:rPr>
          <w:rFonts w:ascii="Arial" w:hAnsi="Arial" w:cs="Arial"/>
          <w:sz w:val="22"/>
          <w:szCs w:val="22"/>
        </w:rPr>
        <w:t>-2 ,4,7-trioxo-3,4,6,7 -tetrahy</w:t>
      </w:r>
      <w:r w:rsidR="00942010" w:rsidRPr="00620AF0">
        <w:rPr>
          <w:rFonts w:ascii="Arial" w:hAnsi="Arial" w:cs="Arial"/>
          <w:sz w:val="22"/>
          <w:szCs w:val="22"/>
        </w:rPr>
        <w:t xml:space="preserve">dropyrido[4,3-d]pyrimidin-1 </w:t>
      </w:r>
      <w:r w:rsidRPr="00620AF0">
        <w:rPr>
          <w:rFonts w:ascii="Arial" w:hAnsi="Arial" w:cs="Arial"/>
          <w:sz w:val="22"/>
          <w:szCs w:val="22"/>
        </w:rPr>
        <w:t>(</w:t>
      </w:r>
      <w:r w:rsidR="00942010" w:rsidRPr="00620AF0">
        <w:rPr>
          <w:rFonts w:ascii="Arial" w:hAnsi="Arial" w:cs="Arial"/>
          <w:sz w:val="22"/>
          <w:szCs w:val="22"/>
        </w:rPr>
        <w:t>2H)-yl } phenyl)acetamide</w:t>
      </w:r>
      <w:r w:rsidRPr="00620AF0">
        <w:rPr>
          <w:rFonts w:ascii="Arial" w:hAnsi="Arial" w:cs="Arial"/>
          <w:sz w:val="22"/>
          <w:szCs w:val="22"/>
        </w:rPr>
        <w:t>.</w:t>
      </w:r>
    </w:p>
    <w:p w:rsidR="00982469" w:rsidRPr="00620AF0" w:rsidRDefault="00004934" w:rsidP="00B00380">
      <w:pPr>
        <w:spacing w:after="120" w:line="240" w:lineRule="atLeast"/>
        <w:rPr>
          <w:rFonts w:ascii="Arial" w:hAnsi="Arial" w:cs="Arial"/>
          <w:sz w:val="22"/>
          <w:szCs w:val="22"/>
        </w:rPr>
      </w:pPr>
      <w:r w:rsidRPr="00620AF0">
        <w:rPr>
          <w:rFonts w:ascii="Arial" w:hAnsi="Arial" w:cs="Arial"/>
          <w:sz w:val="22"/>
          <w:szCs w:val="22"/>
        </w:rPr>
        <w:t xml:space="preserve">Trametinib dimethyl </w:t>
      </w:r>
      <w:r w:rsidR="0086223B">
        <w:rPr>
          <w:rFonts w:ascii="Arial" w:hAnsi="Arial" w:cs="Arial"/>
          <w:sz w:val="22"/>
          <w:szCs w:val="22"/>
        </w:rPr>
        <w:t>sulfoxide</w:t>
      </w:r>
      <w:r w:rsidRPr="00620AF0">
        <w:rPr>
          <w:rFonts w:ascii="Arial" w:hAnsi="Arial" w:cs="Arial"/>
          <w:sz w:val="22"/>
          <w:szCs w:val="22"/>
        </w:rPr>
        <w:t xml:space="preserve"> </w:t>
      </w:r>
      <w:r w:rsidR="00982469" w:rsidRPr="00620AF0">
        <w:rPr>
          <w:rFonts w:ascii="Arial" w:hAnsi="Arial" w:cs="Arial"/>
          <w:sz w:val="22"/>
          <w:szCs w:val="22"/>
        </w:rPr>
        <w:t xml:space="preserve">is a white to </w:t>
      </w:r>
      <w:r w:rsidRPr="00620AF0">
        <w:rPr>
          <w:rFonts w:ascii="Arial" w:hAnsi="Arial" w:cs="Arial"/>
          <w:sz w:val="22"/>
          <w:szCs w:val="22"/>
        </w:rPr>
        <w:t>almost white powder</w:t>
      </w:r>
      <w:r w:rsidR="00982469" w:rsidRPr="00620AF0">
        <w:rPr>
          <w:rFonts w:ascii="Arial" w:hAnsi="Arial" w:cs="Arial"/>
          <w:sz w:val="22"/>
          <w:szCs w:val="22"/>
        </w:rPr>
        <w:t xml:space="preserve">. It is </w:t>
      </w:r>
      <w:r w:rsidRPr="00620AF0">
        <w:rPr>
          <w:rFonts w:ascii="Arial" w:hAnsi="Arial" w:cs="Arial"/>
          <w:sz w:val="22"/>
          <w:szCs w:val="22"/>
        </w:rPr>
        <w:t>almost insoluble in water.</w:t>
      </w:r>
    </w:p>
    <w:p w:rsidR="00FA736B" w:rsidRPr="00620AF0" w:rsidRDefault="00236E6E" w:rsidP="00B00380">
      <w:pPr>
        <w:spacing w:after="120" w:line="240" w:lineRule="atLeast"/>
        <w:rPr>
          <w:rFonts w:ascii="Arial" w:hAnsi="Arial" w:cs="Arial"/>
          <w:sz w:val="22"/>
          <w:szCs w:val="22"/>
          <w:lang w:val="en-US"/>
        </w:rPr>
      </w:pPr>
      <w:r w:rsidRPr="00620AF0">
        <w:rPr>
          <w:rFonts w:ascii="Arial" w:hAnsi="Arial" w:cs="Arial"/>
          <w:sz w:val="22"/>
          <w:szCs w:val="22"/>
        </w:rPr>
        <w:t xml:space="preserve">The </w:t>
      </w:r>
      <w:r w:rsidR="00004934" w:rsidRPr="00620AF0">
        <w:rPr>
          <w:rFonts w:ascii="Arial" w:hAnsi="Arial" w:cs="Arial"/>
          <w:sz w:val="22"/>
          <w:szCs w:val="22"/>
        </w:rPr>
        <w:t>MEKINIST</w:t>
      </w:r>
      <w:r w:rsidRPr="00620AF0">
        <w:rPr>
          <w:rFonts w:ascii="Arial" w:hAnsi="Arial" w:cs="Arial"/>
          <w:sz w:val="22"/>
          <w:szCs w:val="22"/>
        </w:rPr>
        <w:t xml:space="preserve"> </w:t>
      </w:r>
      <w:r w:rsidR="00004934" w:rsidRPr="00620AF0">
        <w:rPr>
          <w:rFonts w:ascii="Arial" w:hAnsi="Arial" w:cs="Arial"/>
          <w:sz w:val="22"/>
          <w:szCs w:val="22"/>
        </w:rPr>
        <w:t>tablets</w:t>
      </w:r>
      <w:r w:rsidRPr="00620AF0">
        <w:rPr>
          <w:rFonts w:ascii="Arial" w:hAnsi="Arial" w:cs="Arial"/>
          <w:sz w:val="22"/>
          <w:szCs w:val="22"/>
        </w:rPr>
        <w:t xml:space="preserve"> contain </w:t>
      </w:r>
      <w:r w:rsidR="009E51AB" w:rsidRPr="00620AF0">
        <w:rPr>
          <w:rFonts w:ascii="Arial" w:hAnsi="Arial" w:cs="Arial"/>
          <w:sz w:val="22"/>
          <w:szCs w:val="22"/>
        </w:rPr>
        <w:t xml:space="preserve">trametinib dimethyl </w:t>
      </w:r>
      <w:r w:rsidR="0086223B">
        <w:rPr>
          <w:rFonts w:ascii="Arial" w:hAnsi="Arial" w:cs="Arial"/>
          <w:sz w:val="22"/>
          <w:szCs w:val="22"/>
        </w:rPr>
        <w:t>sulfoxide</w:t>
      </w:r>
      <w:r w:rsidR="009E51AB" w:rsidRPr="00620AF0">
        <w:rPr>
          <w:rFonts w:ascii="Arial" w:hAnsi="Arial" w:cs="Arial"/>
          <w:sz w:val="22"/>
          <w:szCs w:val="22"/>
        </w:rPr>
        <w:t xml:space="preserve"> </w:t>
      </w:r>
      <w:r w:rsidR="009E51AB">
        <w:rPr>
          <w:rFonts w:ascii="Arial" w:hAnsi="Arial" w:cs="Arial"/>
          <w:sz w:val="22"/>
          <w:szCs w:val="22"/>
        </w:rPr>
        <w:t xml:space="preserve">equivalent to </w:t>
      </w:r>
      <w:r w:rsidR="00004934" w:rsidRPr="00620AF0">
        <w:rPr>
          <w:rFonts w:ascii="Arial" w:hAnsi="Arial" w:cs="Arial"/>
          <w:sz w:val="22"/>
          <w:szCs w:val="22"/>
        </w:rPr>
        <w:t>0.5, 1 or 2</w:t>
      </w:r>
      <w:r w:rsidRPr="00620AF0">
        <w:rPr>
          <w:rFonts w:ascii="Arial" w:hAnsi="Arial" w:cs="Arial"/>
          <w:sz w:val="22"/>
          <w:szCs w:val="22"/>
        </w:rPr>
        <w:t xml:space="preserve"> mg of </w:t>
      </w:r>
      <w:r w:rsidR="009E51AB">
        <w:rPr>
          <w:rFonts w:ascii="Arial" w:hAnsi="Arial" w:cs="Arial"/>
          <w:sz w:val="22"/>
          <w:szCs w:val="22"/>
        </w:rPr>
        <w:t xml:space="preserve">trametinib </w:t>
      </w:r>
      <w:r w:rsidR="00004934" w:rsidRPr="00620AF0">
        <w:rPr>
          <w:rFonts w:ascii="Arial" w:hAnsi="Arial" w:cs="Arial"/>
          <w:sz w:val="22"/>
          <w:szCs w:val="22"/>
        </w:rPr>
        <w:t>as the ac</w:t>
      </w:r>
      <w:r w:rsidRPr="00620AF0">
        <w:rPr>
          <w:rFonts w:ascii="Arial" w:hAnsi="Arial" w:cs="Arial"/>
          <w:sz w:val="22"/>
          <w:szCs w:val="22"/>
        </w:rPr>
        <w:t xml:space="preserve">tive ingredient. The </w:t>
      </w:r>
      <w:r w:rsidR="00004934" w:rsidRPr="00620AF0">
        <w:rPr>
          <w:rFonts w:ascii="Arial" w:hAnsi="Arial" w:cs="Arial"/>
          <w:sz w:val="22"/>
          <w:szCs w:val="22"/>
        </w:rPr>
        <w:t>tablets</w:t>
      </w:r>
      <w:r w:rsidRPr="00620AF0">
        <w:rPr>
          <w:rFonts w:ascii="Arial" w:hAnsi="Arial" w:cs="Arial"/>
          <w:sz w:val="22"/>
          <w:szCs w:val="22"/>
        </w:rPr>
        <w:t xml:space="preserve"> also contain </w:t>
      </w:r>
      <w:r w:rsidR="00004934" w:rsidRPr="00620AF0">
        <w:rPr>
          <w:rFonts w:ascii="Arial" w:hAnsi="Arial" w:cs="Arial"/>
          <w:sz w:val="22"/>
          <w:szCs w:val="22"/>
        </w:rPr>
        <w:t xml:space="preserve">mannitol, </w:t>
      </w:r>
      <w:r w:rsidR="005D64B4" w:rsidRPr="00620AF0">
        <w:rPr>
          <w:rFonts w:ascii="Arial" w:hAnsi="Arial" w:cs="Arial"/>
          <w:sz w:val="22"/>
          <w:szCs w:val="22"/>
        </w:rPr>
        <w:t xml:space="preserve">cellulose - </w:t>
      </w:r>
      <w:r w:rsidRPr="00620AF0">
        <w:rPr>
          <w:rFonts w:ascii="Arial" w:hAnsi="Arial" w:cs="Arial"/>
          <w:sz w:val="22"/>
          <w:szCs w:val="22"/>
        </w:rPr>
        <w:t xml:space="preserve">microcrystalline, </w:t>
      </w:r>
      <w:r w:rsidR="00004934" w:rsidRPr="00620AF0">
        <w:rPr>
          <w:rFonts w:ascii="Arial" w:hAnsi="Arial" w:cs="Arial"/>
          <w:sz w:val="22"/>
          <w:szCs w:val="22"/>
        </w:rPr>
        <w:t>hypromellose</w:t>
      </w:r>
      <w:r w:rsidRPr="00620AF0">
        <w:rPr>
          <w:rFonts w:ascii="Arial" w:hAnsi="Arial" w:cs="Arial"/>
          <w:sz w:val="22"/>
          <w:szCs w:val="22"/>
        </w:rPr>
        <w:t xml:space="preserve">, </w:t>
      </w:r>
      <w:r w:rsidR="00004934" w:rsidRPr="00620AF0">
        <w:rPr>
          <w:rFonts w:ascii="Arial" w:hAnsi="Arial" w:cs="Arial"/>
          <w:sz w:val="22"/>
          <w:szCs w:val="22"/>
        </w:rPr>
        <w:t>croscarmellose sodium, magnesium stearate, sodium lauryl sulphate</w:t>
      </w:r>
      <w:r w:rsidR="00122AEF">
        <w:rPr>
          <w:rFonts w:ascii="Arial" w:hAnsi="Arial" w:cs="Arial"/>
          <w:sz w:val="22"/>
          <w:szCs w:val="22"/>
        </w:rPr>
        <w:t>,</w:t>
      </w:r>
      <w:r w:rsidR="00004934" w:rsidRPr="00620AF0">
        <w:rPr>
          <w:rFonts w:ascii="Arial" w:hAnsi="Arial" w:cs="Arial"/>
          <w:sz w:val="22"/>
          <w:szCs w:val="22"/>
        </w:rPr>
        <w:t xml:space="preserve"> </w:t>
      </w:r>
      <w:r w:rsidR="005D64B4" w:rsidRPr="00620AF0">
        <w:rPr>
          <w:rFonts w:ascii="Arial" w:hAnsi="Arial" w:cs="Arial"/>
          <w:sz w:val="22"/>
          <w:szCs w:val="22"/>
        </w:rPr>
        <w:t>silica -</w:t>
      </w:r>
      <w:r w:rsidRPr="00620AF0">
        <w:rPr>
          <w:rFonts w:ascii="Arial" w:hAnsi="Arial" w:cs="Arial"/>
          <w:sz w:val="22"/>
          <w:szCs w:val="22"/>
        </w:rPr>
        <w:t xml:space="preserve">colloidal </w:t>
      </w:r>
      <w:r w:rsidR="005D64B4" w:rsidRPr="00620AF0">
        <w:rPr>
          <w:rFonts w:ascii="Arial" w:hAnsi="Arial" w:cs="Arial"/>
          <w:sz w:val="22"/>
          <w:szCs w:val="22"/>
        </w:rPr>
        <w:t>anhydrous</w:t>
      </w:r>
      <w:r w:rsidR="00004934" w:rsidRPr="00620AF0">
        <w:rPr>
          <w:rFonts w:ascii="Arial" w:hAnsi="Arial" w:cs="Arial"/>
          <w:sz w:val="22"/>
          <w:szCs w:val="22"/>
        </w:rPr>
        <w:t xml:space="preserve"> and </w:t>
      </w:r>
      <w:r w:rsidR="00FA736B" w:rsidRPr="00620AF0">
        <w:rPr>
          <w:rFonts w:ascii="Arial" w:hAnsi="Arial" w:cs="Arial"/>
          <w:sz w:val="22"/>
          <w:szCs w:val="22"/>
          <w:lang w:val="en-US"/>
        </w:rPr>
        <w:t>Opadry 03B120006 Yellow (0.5 mg tablet only),  Opadry OY-S-28876 White (1 mg tablet only) and Opadry YS-1-14762-A Pink (2 mg tablet only).</w:t>
      </w:r>
      <w:r w:rsidR="008641C4">
        <w:rPr>
          <w:rFonts w:ascii="Arial" w:hAnsi="Arial" w:cs="Arial"/>
          <w:sz w:val="22"/>
          <w:szCs w:val="22"/>
          <w:lang w:val="en-US"/>
        </w:rPr>
        <w:t xml:space="preserve"> </w:t>
      </w:r>
    </w:p>
    <w:p w:rsidR="00236E6E" w:rsidRPr="00620AF0" w:rsidRDefault="00236E6E" w:rsidP="00236E6E">
      <w:pPr>
        <w:autoSpaceDE w:val="0"/>
        <w:autoSpaceDN w:val="0"/>
        <w:adjustRightInd w:val="0"/>
        <w:spacing w:after="120" w:line="240" w:lineRule="atLeast"/>
        <w:rPr>
          <w:rFonts w:ascii="Arial" w:hAnsi="Arial" w:cs="Arial"/>
          <w:sz w:val="22"/>
          <w:szCs w:val="22"/>
        </w:rPr>
      </w:pPr>
    </w:p>
    <w:p w:rsidR="0077380F" w:rsidRPr="00620AF0" w:rsidRDefault="0077380F" w:rsidP="00E8156F">
      <w:pPr>
        <w:spacing w:before="120" w:after="240"/>
        <w:jc w:val="both"/>
        <w:rPr>
          <w:rFonts w:ascii="Arial" w:hAnsi="Arial" w:cs="Arial"/>
          <w:b/>
          <w:sz w:val="22"/>
          <w:szCs w:val="22"/>
        </w:rPr>
      </w:pPr>
      <w:r w:rsidRPr="00620AF0">
        <w:rPr>
          <w:rFonts w:ascii="Arial" w:hAnsi="Arial" w:cs="Arial"/>
          <w:b/>
          <w:sz w:val="22"/>
          <w:szCs w:val="22"/>
        </w:rPr>
        <w:t>PHARMACOLOGY</w:t>
      </w:r>
    </w:p>
    <w:p w:rsidR="00CC537C" w:rsidRPr="00CC537C" w:rsidRDefault="00CC537C" w:rsidP="00FA736B">
      <w:pPr>
        <w:spacing w:after="120" w:line="240" w:lineRule="atLeast"/>
        <w:rPr>
          <w:rFonts w:ascii="Arial" w:hAnsi="Arial" w:cs="Arial"/>
          <w:i/>
          <w:sz w:val="22"/>
          <w:szCs w:val="22"/>
        </w:rPr>
      </w:pPr>
      <w:r w:rsidRPr="00CC537C">
        <w:rPr>
          <w:rFonts w:ascii="Arial" w:hAnsi="Arial" w:cs="Arial"/>
          <w:i/>
          <w:sz w:val="22"/>
          <w:szCs w:val="22"/>
        </w:rPr>
        <w:t>Monotherapy</w:t>
      </w:r>
      <w:r w:rsidR="00E869DF">
        <w:rPr>
          <w:rFonts w:ascii="Arial" w:hAnsi="Arial" w:cs="Arial"/>
          <w:i/>
          <w:sz w:val="22"/>
          <w:szCs w:val="22"/>
        </w:rPr>
        <w:t>:</w:t>
      </w:r>
    </w:p>
    <w:p w:rsidR="00236E6E" w:rsidRDefault="00FA736B" w:rsidP="00FA736B">
      <w:pPr>
        <w:spacing w:after="120" w:line="240" w:lineRule="atLeast"/>
        <w:rPr>
          <w:rFonts w:ascii="Arial" w:hAnsi="Arial" w:cs="Arial"/>
          <w:sz w:val="22"/>
          <w:szCs w:val="22"/>
        </w:rPr>
      </w:pPr>
      <w:r w:rsidRPr="00620AF0">
        <w:rPr>
          <w:rFonts w:ascii="Arial" w:hAnsi="Arial" w:cs="Arial"/>
          <w:sz w:val="22"/>
          <w:szCs w:val="22"/>
        </w:rPr>
        <w:t xml:space="preserve">Trametinib is a reversible allosteric inhibitor of mitogen-activated extracellular signal regulated kinase 1 (MEK1) and MEK2 activation and kinase activity. MEK proteins are critical components of the extracellular signal-related kinase (ERK) pathway. In melanoma and other cancers, this pathway is often activated by mutated forms of BRAF which </w:t>
      </w:r>
      <w:r w:rsidRPr="00620AF0">
        <w:rPr>
          <w:rFonts w:ascii="Arial" w:hAnsi="Arial" w:cs="Arial"/>
          <w:sz w:val="22"/>
          <w:szCs w:val="22"/>
        </w:rPr>
        <w:lastRenderedPageBreak/>
        <w:t>activates MEK and stimulates tumour cell growth. Trametinib inhibits activation of MEK by BRAF and inhibits MEK kinase activity. Trametinib inhibits growth of BRAF</w:t>
      </w:r>
      <w:r w:rsidRPr="00620AF0">
        <w:rPr>
          <w:rFonts w:ascii="Arial" w:hAnsi="Arial" w:cs="Arial"/>
          <w:sz w:val="22"/>
          <w:szCs w:val="22"/>
          <w:vertAlign w:val="superscript"/>
        </w:rPr>
        <w:t xml:space="preserve"> V600</w:t>
      </w:r>
      <w:r w:rsidRPr="00620AF0">
        <w:rPr>
          <w:rFonts w:ascii="Arial" w:hAnsi="Arial" w:cs="Arial"/>
          <w:sz w:val="22"/>
          <w:szCs w:val="22"/>
        </w:rPr>
        <w:t xml:space="preserve"> mutant melanoma cell lines and demonstrates anti-tumour effects in BRAF</w:t>
      </w:r>
      <w:r w:rsidRPr="00620AF0">
        <w:rPr>
          <w:rFonts w:ascii="Arial" w:hAnsi="Arial" w:cs="Arial"/>
          <w:sz w:val="22"/>
          <w:szCs w:val="22"/>
          <w:vertAlign w:val="superscript"/>
        </w:rPr>
        <w:t>V600</w:t>
      </w:r>
      <w:r w:rsidRPr="00620AF0">
        <w:rPr>
          <w:rFonts w:ascii="Arial" w:hAnsi="Arial" w:cs="Arial"/>
          <w:sz w:val="22"/>
          <w:szCs w:val="22"/>
        </w:rPr>
        <w:t xml:space="preserve"> mutant melanoma animal models.  </w:t>
      </w:r>
    </w:p>
    <w:p w:rsidR="00CC537C" w:rsidRPr="00CC537C" w:rsidRDefault="00CC537C" w:rsidP="00FA736B">
      <w:pPr>
        <w:spacing w:after="120" w:line="240" w:lineRule="atLeast"/>
        <w:rPr>
          <w:rFonts w:ascii="Arial" w:hAnsi="Arial" w:cs="Arial"/>
          <w:i/>
          <w:sz w:val="22"/>
          <w:szCs w:val="22"/>
        </w:rPr>
      </w:pPr>
      <w:r w:rsidRPr="00CC537C">
        <w:rPr>
          <w:rFonts w:ascii="Arial" w:hAnsi="Arial" w:cs="Arial"/>
          <w:i/>
          <w:sz w:val="22"/>
          <w:szCs w:val="22"/>
        </w:rPr>
        <w:t xml:space="preserve">Combination with </w:t>
      </w:r>
      <w:r w:rsidR="00240E6A">
        <w:rPr>
          <w:rFonts w:ascii="Arial" w:hAnsi="Arial" w:cs="Arial"/>
          <w:i/>
          <w:sz w:val="22"/>
          <w:szCs w:val="22"/>
        </w:rPr>
        <w:t>dabrafenib</w:t>
      </w:r>
      <w:r w:rsidR="00E869DF">
        <w:rPr>
          <w:rFonts w:ascii="Arial" w:hAnsi="Arial" w:cs="Arial"/>
          <w:i/>
          <w:sz w:val="22"/>
          <w:szCs w:val="22"/>
        </w:rPr>
        <w:t>:</w:t>
      </w:r>
    </w:p>
    <w:p w:rsidR="00CC537C" w:rsidRPr="00CC537C" w:rsidRDefault="00240E6A" w:rsidP="00CC537C">
      <w:pPr>
        <w:spacing w:after="120" w:line="240" w:lineRule="atLeast"/>
        <w:rPr>
          <w:rFonts w:ascii="Arial" w:eastAsia="MS Mincho" w:hAnsi="Arial" w:cs="Arial"/>
          <w:sz w:val="22"/>
          <w:szCs w:val="22"/>
          <w:lang w:val="en-US" w:eastAsia="en-US"/>
        </w:rPr>
      </w:pPr>
      <w:r>
        <w:rPr>
          <w:rFonts w:ascii="Arial" w:eastAsia="MS Mincho" w:hAnsi="Arial" w:cs="Arial"/>
          <w:sz w:val="22"/>
          <w:szCs w:val="22"/>
          <w:lang w:val="en-GB" w:eastAsia="en-US"/>
        </w:rPr>
        <w:t>Dabrafenib</w:t>
      </w:r>
      <w:r w:rsidR="00CC537C" w:rsidRPr="00CC537C">
        <w:rPr>
          <w:rFonts w:ascii="Arial" w:eastAsia="MS Mincho" w:hAnsi="Arial" w:cs="Arial"/>
          <w:sz w:val="22"/>
          <w:szCs w:val="22"/>
          <w:lang w:val="en-GB" w:eastAsia="en-US"/>
        </w:rPr>
        <w:t xml:space="preserve"> is a</w:t>
      </w:r>
      <w:r w:rsidR="004A7977">
        <w:rPr>
          <w:rFonts w:ascii="Arial" w:eastAsia="MS Mincho" w:hAnsi="Arial" w:cs="Arial"/>
          <w:sz w:val="22"/>
          <w:szCs w:val="22"/>
          <w:lang w:val="en-GB" w:eastAsia="en-US"/>
        </w:rPr>
        <w:t>n</w:t>
      </w:r>
      <w:r w:rsidR="00CC537C" w:rsidRPr="00CC537C">
        <w:rPr>
          <w:rFonts w:ascii="Arial" w:eastAsia="MS Mincho" w:hAnsi="Arial" w:cs="Arial"/>
          <w:sz w:val="22"/>
          <w:szCs w:val="22"/>
          <w:lang w:val="en-GB" w:eastAsia="en-US"/>
        </w:rPr>
        <w:t xml:space="preserve"> ATP-competitive inhibitor of BRAF V600 mutant kinases and wild type BRAF and CRAF kinases. </w:t>
      </w:r>
      <w:r w:rsidR="004A7977">
        <w:rPr>
          <w:rFonts w:ascii="Arial" w:eastAsia="MS Mincho" w:hAnsi="Arial" w:cs="Arial"/>
          <w:sz w:val="22"/>
          <w:szCs w:val="22"/>
          <w:lang w:val="en-GB" w:eastAsia="en-US"/>
        </w:rPr>
        <w:t>M</w:t>
      </w:r>
      <w:r w:rsidR="00CC537C" w:rsidRPr="00CC537C">
        <w:rPr>
          <w:rFonts w:ascii="Arial" w:eastAsia="MS Mincho" w:hAnsi="Arial" w:cs="Arial"/>
          <w:sz w:val="22"/>
          <w:szCs w:val="22"/>
          <w:lang w:val="en-GB" w:eastAsia="en-US"/>
        </w:rPr>
        <w:t>utations in BRAF lead to constitutive activation of the RAS/RAF/MEK/ERK pathway and stimulation of tumo</w:t>
      </w:r>
      <w:r w:rsidR="00D45771">
        <w:rPr>
          <w:rFonts w:ascii="Arial" w:eastAsia="MS Mincho" w:hAnsi="Arial" w:cs="Arial"/>
          <w:sz w:val="22"/>
          <w:szCs w:val="22"/>
          <w:lang w:val="en-GB" w:eastAsia="en-US"/>
        </w:rPr>
        <w:t>u</w:t>
      </w:r>
      <w:r w:rsidR="00CC537C" w:rsidRPr="00CC537C">
        <w:rPr>
          <w:rFonts w:ascii="Arial" w:eastAsia="MS Mincho" w:hAnsi="Arial" w:cs="Arial"/>
          <w:sz w:val="22"/>
          <w:szCs w:val="22"/>
          <w:lang w:val="en-GB" w:eastAsia="en-US"/>
        </w:rPr>
        <w:t xml:space="preserve">r cell growth. </w:t>
      </w:r>
      <w:r>
        <w:rPr>
          <w:rFonts w:ascii="Arial" w:eastAsia="MS Mincho" w:hAnsi="Arial" w:cs="Arial"/>
          <w:sz w:val="22"/>
          <w:szCs w:val="22"/>
          <w:lang w:val="en-GB" w:eastAsia="en-US"/>
        </w:rPr>
        <w:t>Dabrafenib</w:t>
      </w:r>
      <w:r w:rsidR="00CC537C" w:rsidRPr="00CC537C">
        <w:rPr>
          <w:rFonts w:ascii="Arial" w:eastAsia="MS Mincho" w:hAnsi="Arial" w:cs="Arial"/>
          <w:sz w:val="22"/>
          <w:szCs w:val="22"/>
          <w:lang w:val="en-GB" w:eastAsia="en-US"/>
        </w:rPr>
        <w:t xml:space="preserve"> and trametinib inhibit two critical kinases in this pathway, BRAF and MEK, and the combination provides concomitant inhibition of the pathway. </w:t>
      </w:r>
      <w:r w:rsidR="00BB782B">
        <w:rPr>
          <w:rFonts w:ascii="Arial" w:eastAsia="MS Mincho" w:hAnsi="Arial" w:cs="Arial"/>
          <w:sz w:val="22"/>
          <w:szCs w:val="22"/>
          <w:lang w:val="en-GB" w:eastAsia="en-US"/>
        </w:rPr>
        <w:t>C</w:t>
      </w:r>
      <w:r w:rsidR="00CC537C" w:rsidRPr="00CC537C">
        <w:rPr>
          <w:rFonts w:ascii="Arial" w:eastAsia="MS Mincho" w:hAnsi="Arial" w:cs="Arial"/>
          <w:sz w:val="22"/>
          <w:szCs w:val="22"/>
          <w:lang w:val="en-GB" w:eastAsia="en-US"/>
        </w:rPr>
        <w:t xml:space="preserve">ombination of </w:t>
      </w:r>
      <w:r>
        <w:rPr>
          <w:rFonts w:ascii="Arial" w:eastAsia="MS Mincho" w:hAnsi="Arial" w:cs="Arial"/>
          <w:sz w:val="22"/>
          <w:szCs w:val="22"/>
          <w:lang w:val="en-GB" w:eastAsia="en-US"/>
        </w:rPr>
        <w:t>dabrafenib</w:t>
      </w:r>
      <w:r w:rsidR="00CC537C" w:rsidRPr="00CC537C">
        <w:rPr>
          <w:rFonts w:ascii="Arial" w:eastAsia="MS Mincho" w:hAnsi="Arial" w:cs="Arial"/>
          <w:sz w:val="22"/>
          <w:szCs w:val="22"/>
          <w:lang w:val="en-GB" w:eastAsia="en-US"/>
        </w:rPr>
        <w:t xml:space="preserve"> with trametinib is synergistic in BRAF V600 mutation positive melanoma cell lines in vitro and delays the emergence of resistance in vivo in BRAF V600 mutation positive melanoma xenografts.</w:t>
      </w:r>
    </w:p>
    <w:p w:rsidR="00CC537C" w:rsidRPr="00620AF0" w:rsidRDefault="00CC537C" w:rsidP="00FA736B">
      <w:pPr>
        <w:spacing w:after="120" w:line="240" w:lineRule="atLeast"/>
        <w:rPr>
          <w:rFonts w:ascii="Arial" w:eastAsia="MS Mincho" w:hAnsi="Arial" w:cs="Arial"/>
          <w:sz w:val="22"/>
          <w:szCs w:val="22"/>
          <w:lang w:val="en-US" w:eastAsia="en-US"/>
        </w:rPr>
      </w:pPr>
    </w:p>
    <w:p w:rsidR="00236E6E" w:rsidRPr="00620AF0" w:rsidRDefault="00236E6E" w:rsidP="00E8156F">
      <w:pPr>
        <w:pStyle w:val="NoNumHead5"/>
        <w:spacing w:after="120" w:line="240" w:lineRule="atLeast"/>
        <w:rPr>
          <w:rFonts w:cs="Arial"/>
          <w:i w:val="0"/>
          <w:szCs w:val="22"/>
        </w:rPr>
      </w:pPr>
      <w:r w:rsidRPr="00620AF0">
        <w:rPr>
          <w:rFonts w:cs="Arial"/>
          <w:i w:val="0"/>
          <w:szCs w:val="22"/>
        </w:rPr>
        <w:t>Pharmacodynamic Effects</w:t>
      </w:r>
    </w:p>
    <w:p w:rsidR="00FA736B" w:rsidRPr="00620AF0" w:rsidRDefault="00FA736B" w:rsidP="00FA736B">
      <w:pPr>
        <w:spacing w:after="120" w:line="240" w:lineRule="atLeast"/>
        <w:rPr>
          <w:rFonts w:ascii="Arial" w:hAnsi="Arial" w:cs="Arial"/>
          <w:sz w:val="22"/>
          <w:szCs w:val="22"/>
        </w:rPr>
      </w:pPr>
      <w:r w:rsidRPr="00620AF0">
        <w:rPr>
          <w:rFonts w:ascii="Arial" w:hAnsi="Arial" w:cs="Arial"/>
          <w:sz w:val="22"/>
          <w:szCs w:val="22"/>
        </w:rPr>
        <w:t>In subjects with BRAF mutant melanoma, administration of trametinib resulted in dose-dependent changes in tumour biomarkers including inhibition of phosphorylated ERK, inhibition of Ki67 (a marker of cell proliferation)</w:t>
      </w:r>
      <w:proofErr w:type="gramStart"/>
      <w:r w:rsidRPr="00620AF0">
        <w:rPr>
          <w:rFonts w:ascii="Arial" w:hAnsi="Arial" w:cs="Arial"/>
          <w:sz w:val="22"/>
          <w:szCs w:val="22"/>
        </w:rPr>
        <w:t>,and</w:t>
      </w:r>
      <w:proofErr w:type="gramEnd"/>
      <w:r w:rsidRPr="00620AF0">
        <w:rPr>
          <w:rFonts w:ascii="Arial" w:hAnsi="Arial" w:cs="Arial"/>
          <w:sz w:val="22"/>
          <w:szCs w:val="22"/>
        </w:rPr>
        <w:t xml:space="preserve"> increases in p27 ( a marker of apoptosis). The mean trametinib concentrations observed following repeat dose administration of 2 mg once daily exceeds the preclinical target concentration over the 24-hr dosing interval, thereby providing sustained inhibition of the MEK pathway.  </w:t>
      </w:r>
    </w:p>
    <w:p w:rsidR="00FA736B" w:rsidRPr="00620AF0" w:rsidRDefault="00FA736B" w:rsidP="00FA736B">
      <w:pPr>
        <w:spacing w:after="120" w:line="240" w:lineRule="atLeast"/>
        <w:rPr>
          <w:rFonts w:ascii="Arial" w:hAnsi="Arial" w:cs="Arial"/>
          <w:i/>
          <w:iCs/>
          <w:sz w:val="22"/>
          <w:szCs w:val="22"/>
          <w:u w:val="single"/>
        </w:rPr>
      </w:pPr>
      <w:r w:rsidRPr="00620AF0">
        <w:rPr>
          <w:rFonts w:ascii="Arial" w:hAnsi="Arial" w:cs="Arial"/>
          <w:i/>
          <w:iCs/>
          <w:sz w:val="22"/>
          <w:szCs w:val="22"/>
          <w:u w:val="single"/>
        </w:rPr>
        <w:t>QT Prolongation</w:t>
      </w:r>
    </w:p>
    <w:p w:rsidR="00236E6E" w:rsidRPr="00620AF0" w:rsidRDefault="00FA736B" w:rsidP="00FA736B">
      <w:pPr>
        <w:spacing w:after="120" w:line="240" w:lineRule="atLeast"/>
        <w:rPr>
          <w:rFonts w:ascii="Arial" w:hAnsi="Arial" w:cs="Arial"/>
          <w:i/>
          <w:sz w:val="22"/>
          <w:szCs w:val="22"/>
        </w:rPr>
      </w:pPr>
      <w:r w:rsidRPr="00620AF0">
        <w:rPr>
          <w:rFonts w:ascii="Arial" w:eastAsia="Batang" w:hAnsi="Arial" w:cs="Arial"/>
          <w:sz w:val="22"/>
          <w:szCs w:val="22"/>
          <w:lang w:eastAsia="ko-KR"/>
        </w:rPr>
        <w:t>The QT prolongation potential of trametinib was assessed as part of</w:t>
      </w:r>
      <w:r w:rsidRPr="00620AF0">
        <w:rPr>
          <w:rFonts w:ascii="Arial" w:hAnsi="Arial" w:cs="Arial"/>
          <w:sz w:val="22"/>
          <w:szCs w:val="22"/>
        </w:rPr>
        <w:t xml:space="preserve"> the first time in human study to determine the relationship between the independently manually-read QTc interval and plasma concentrations of trametinib using a nonlinear mixed effects model</w:t>
      </w:r>
      <w:r w:rsidRPr="00620AF0">
        <w:rPr>
          <w:rFonts w:ascii="Arial" w:eastAsia="Batang" w:hAnsi="Arial" w:cs="Arial"/>
          <w:sz w:val="22"/>
          <w:szCs w:val="22"/>
          <w:lang w:eastAsia="ko-KR"/>
        </w:rPr>
        <w:t xml:space="preserve">. </w:t>
      </w:r>
      <w:r w:rsidRPr="00620AF0">
        <w:rPr>
          <w:rFonts w:ascii="Arial" w:hAnsi="Arial" w:cs="Arial"/>
          <w:sz w:val="22"/>
          <w:szCs w:val="22"/>
        </w:rPr>
        <w:t>Data were available in 50 subjects with a total of 498 matched QTc values.  Based on the concentration-QTc analysis, trametinib showed no apparent potential to alter the QTc interval. At the mean C</w:t>
      </w:r>
      <w:r w:rsidRPr="00620AF0">
        <w:rPr>
          <w:rFonts w:ascii="Arial" w:hAnsi="Arial" w:cs="Arial"/>
          <w:sz w:val="22"/>
          <w:szCs w:val="22"/>
          <w:vertAlign w:val="subscript"/>
        </w:rPr>
        <w:t>max</w:t>
      </w:r>
      <w:r w:rsidRPr="00620AF0">
        <w:rPr>
          <w:rFonts w:ascii="Arial" w:hAnsi="Arial" w:cs="Arial"/>
          <w:sz w:val="22"/>
          <w:szCs w:val="22"/>
        </w:rPr>
        <w:t xml:space="preserve"> value observed at the recommended dose of 2 mg once daily, the median increase in QTc is 2.2 msec (90% CI: 0.2, 4.0)</w:t>
      </w:r>
      <w:r w:rsidRPr="00620AF0">
        <w:rPr>
          <w:rFonts w:ascii="Arial" w:hAnsi="Arial" w:cs="Arial"/>
          <w:i/>
          <w:sz w:val="22"/>
          <w:szCs w:val="22"/>
        </w:rPr>
        <w:t>.</w:t>
      </w:r>
    </w:p>
    <w:p w:rsidR="00CA384E" w:rsidRPr="00620AF0" w:rsidRDefault="00CA384E" w:rsidP="00CA384E">
      <w:pPr>
        <w:spacing w:after="120" w:line="240" w:lineRule="atLeast"/>
        <w:jc w:val="both"/>
        <w:rPr>
          <w:rFonts w:ascii="Arial" w:hAnsi="Arial" w:cs="Arial"/>
          <w:b/>
          <w:sz w:val="22"/>
          <w:szCs w:val="22"/>
        </w:rPr>
      </w:pPr>
      <w:r w:rsidRPr="00620AF0">
        <w:rPr>
          <w:rFonts w:ascii="Arial" w:hAnsi="Arial" w:cs="Arial"/>
          <w:b/>
          <w:sz w:val="22"/>
          <w:szCs w:val="22"/>
        </w:rPr>
        <w:t xml:space="preserve">Determination of BRAF mutation status </w:t>
      </w:r>
    </w:p>
    <w:p w:rsidR="00CA384E" w:rsidRPr="00620AF0" w:rsidRDefault="00CA384E" w:rsidP="00656020">
      <w:pPr>
        <w:spacing w:after="120" w:line="240" w:lineRule="atLeast"/>
        <w:rPr>
          <w:rFonts w:ascii="Arial" w:hAnsi="Arial" w:cs="Arial"/>
          <w:sz w:val="22"/>
          <w:szCs w:val="22"/>
        </w:rPr>
      </w:pPr>
      <w:r w:rsidRPr="00620AF0">
        <w:rPr>
          <w:rFonts w:ascii="Arial" w:hAnsi="Arial" w:cs="Arial"/>
          <w:sz w:val="22"/>
          <w:szCs w:val="22"/>
        </w:rPr>
        <w:t>In the Phase II and III clinical trials, screening for eligibility required central testing for BRAF</w:t>
      </w:r>
      <w:r w:rsidRPr="00620AF0">
        <w:rPr>
          <w:rFonts w:ascii="Arial" w:hAnsi="Arial" w:cs="Arial"/>
          <w:sz w:val="22"/>
          <w:szCs w:val="22"/>
          <w:vertAlign w:val="superscript"/>
        </w:rPr>
        <w:t>V600</w:t>
      </w:r>
      <w:r w:rsidRPr="00620AF0">
        <w:rPr>
          <w:rFonts w:ascii="Arial" w:hAnsi="Arial" w:cs="Arial"/>
          <w:sz w:val="22"/>
          <w:szCs w:val="22"/>
        </w:rPr>
        <w:t xml:space="preserve"> mutation using a BRAF mutation assay conducted on the most recent tumour sample available. Primary tumour or tumour from a metastatic site was tested with an investigational use only assay (IUO) developed by Response Genetics Inc. (RGI). The RGI IUO is an allele-specific polymerase chain reaction (PCR) assay performed on DNA extracted from formalin-fixed paraffin-embedded (FFPE) tumour tissue. The assay was specifically designed to differentiate between the V600E and V600K mutations. Only subjects with BRAF</w:t>
      </w:r>
      <w:r w:rsidRPr="00620AF0">
        <w:rPr>
          <w:rFonts w:ascii="Arial" w:hAnsi="Arial" w:cs="Arial"/>
          <w:sz w:val="22"/>
          <w:szCs w:val="22"/>
          <w:vertAlign w:val="superscript"/>
        </w:rPr>
        <w:t>V600E or V600K</w:t>
      </w:r>
      <w:r w:rsidRPr="00620AF0">
        <w:rPr>
          <w:rFonts w:ascii="Arial" w:hAnsi="Arial" w:cs="Arial"/>
          <w:sz w:val="22"/>
          <w:szCs w:val="22"/>
        </w:rPr>
        <w:t xml:space="preserve"> mutation positive tumours were eligible for study participation.</w:t>
      </w:r>
    </w:p>
    <w:p w:rsidR="00CA384E" w:rsidRPr="00620AF0" w:rsidRDefault="00CA384E" w:rsidP="00FA736B">
      <w:pPr>
        <w:spacing w:after="120" w:line="240" w:lineRule="atLeast"/>
        <w:rPr>
          <w:rFonts w:ascii="Arial" w:eastAsia="MS Mincho" w:hAnsi="Arial" w:cs="Arial"/>
          <w:sz w:val="22"/>
          <w:szCs w:val="22"/>
          <w:lang w:val="en-US" w:eastAsia="en-US"/>
        </w:rPr>
      </w:pPr>
    </w:p>
    <w:p w:rsidR="00D06FFC" w:rsidRPr="00620AF0" w:rsidRDefault="00D06FFC" w:rsidP="00E8156F">
      <w:pPr>
        <w:spacing w:after="120"/>
        <w:jc w:val="both"/>
        <w:rPr>
          <w:rFonts w:ascii="Arial" w:hAnsi="Arial" w:cs="Arial"/>
          <w:b/>
          <w:sz w:val="22"/>
          <w:szCs w:val="22"/>
        </w:rPr>
      </w:pPr>
      <w:r w:rsidRPr="00620AF0">
        <w:rPr>
          <w:rFonts w:ascii="Arial" w:hAnsi="Arial" w:cs="Arial"/>
          <w:b/>
          <w:sz w:val="22"/>
          <w:szCs w:val="22"/>
        </w:rPr>
        <w:t>Pharmacokinetics</w:t>
      </w:r>
      <w:r w:rsidR="005D14FF" w:rsidRPr="00620AF0">
        <w:rPr>
          <w:rFonts w:ascii="Arial" w:hAnsi="Arial" w:cs="Arial"/>
          <w:b/>
          <w:sz w:val="22"/>
          <w:szCs w:val="22"/>
        </w:rPr>
        <w:t>:</w:t>
      </w:r>
    </w:p>
    <w:p w:rsidR="00D06FFC" w:rsidRPr="00620AF0" w:rsidRDefault="00D06FFC" w:rsidP="00656020">
      <w:pPr>
        <w:spacing w:after="120" w:line="240" w:lineRule="atLeast"/>
        <w:rPr>
          <w:rFonts w:ascii="Arial" w:hAnsi="Arial" w:cs="Arial"/>
          <w:b/>
          <w:i/>
          <w:sz w:val="22"/>
          <w:szCs w:val="22"/>
        </w:rPr>
      </w:pPr>
      <w:r w:rsidRPr="00620AF0">
        <w:rPr>
          <w:rFonts w:ascii="Arial" w:hAnsi="Arial" w:cs="Arial"/>
          <w:b/>
          <w:i/>
          <w:sz w:val="22"/>
          <w:szCs w:val="22"/>
        </w:rPr>
        <w:t>Absorption</w:t>
      </w:r>
    </w:p>
    <w:p w:rsidR="002B2E9E" w:rsidRPr="00620AF0" w:rsidRDefault="00DE48BD" w:rsidP="00DE48BD">
      <w:pPr>
        <w:spacing w:after="120" w:line="240" w:lineRule="atLeast"/>
        <w:rPr>
          <w:rFonts w:ascii="Arial" w:hAnsi="Arial" w:cs="Arial"/>
          <w:sz w:val="22"/>
          <w:szCs w:val="22"/>
        </w:rPr>
      </w:pPr>
      <w:r w:rsidRPr="00620AF0">
        <w:rPr>
          <w:rFonts w:ascii="Arial" w:hAnsi="Arial" w:cs="Arial"/>
          <w:sz w:val="22"/>
          <w:szCs w:val="22"/>
        </w:rPr>
        <w:t>Trametinib is absorbed orally with median time to achieve peak concentrations of 1.5 hours post-dose. The mean absolute bioavailability of a single 2 mg tablet dose is 72% relative to an intravenous (IV) microdose. The increase in exposure (C</w:t>
      </w:r>
      <w:r w:rsidRPr="00620AF0">
        <w:rPr>
          <w:rFonts w:ascii="Arial" w:hAnsi="Arial" w:cs="Arial"/>
          <w:sz w:val="22"/>
          <w:szCs w:val="22"/>
          <w:vertAlign w:val="subscript"/>
        </w:rPr>
        <w:t>max</w:t>
      </w:r>
      <w:r w:rsidRPr="00620AF0">
        <w:rPr>
          <w:rFonts w:ascii="Arial" w:hAnsi="Arial" w:cs="Arial"/>
          <w:sz w:val="22"/>
          <w:szCs w:val="22"/>
        </w:rPr>
        <w:t xml:space="preserve"> and AUC) was dose-proportional following repeat dosing. Following administration of 2 mg daily, geometric mean C</w:t>
      </w:r>
      <w:r w:rsidRPr="00620AF0">
        <w:rPr>
          <w:rFonts w:ascii="Arial" w:hAnsi="Arial" w:cs="Arial"/>
          <w:sz w:val="22"/>
          <w:szCs w:val="22"/>
          <w:vertAlign w:val="subscript"/>
        </w:rPr>
        <w:t>max</w:t>
      </w:r>
      <w:r w:rsidRPr="00620AF0">
        <w:rPr>
          <w:rFonts w:ascii="Arial" w:hAnsi="Arial" w:cs="Arial"/>
          <w:sz w:val="22"/>
          <w:szCs w:val="22"/>
        </w:rPr>
        <w:t>, AUC</w:t>
      </w:r>
      <w:r w:rsidRPr="00620AF0">
        <w:rPr>
          <w:rFonts w:ascii="Arial" w:hAnsi="Arial" w:cs="Arial"/>
          <w:sz w:val="22"/>
          <w:szCs w:val="22"/>
          <w:vertAlign w:val="subscript"/>
        </w:rPr>
        <w:t>(0-t)</w:t>
      </w:r>
      <w:r w:rsidRPr="00620AF0">
        <w:rPr>
          <w:rFonts w:ascii="Arial" w:hAnsi="Arial" w:cs="Arial"/>
          <w:sz w:val="22"/>
          <w:szCs w:val="22"/>
        </w:rPr>
        <w:t xml:space="preserve"> and predose concentration were 22.2 ng/mL, 370 ng*hr/mL </w:t>
      </w:r>
      <w:r w:rsidRPr="00620AF0">
        <w:rPr>
          <w:rFonts w:ascii="Arial" w:hAnsi="Arial" w:cs="Arial"/>
          <w:sz w:val="22"/>
          <w:szCs w:val="22"/>
        </w:rPr>
        <w:lastRenderedPageBreak/>
        <w:t xml:space="preserve">and 12.1 ng/mL, respectively with a low peak:trough ratio (1.8). Inter-subject variability was low (&lt;28%).  </w:t>
      </w:r>
    </w:p>
    <w:p w:rsidR="00DE48BD" w:rsidRPr="00620AF0" w:rsidRDefault="00DE48BD" w:rsidP="00DE48BD">
      <w:pPr>
        <w:spacing w:after="120" w:line="240" w:lineRule="atLeast"/>
        <w:rPr>
          <w:rFonts w:ascii="Arial" w:hAnsi="Arial" w:cs="Arial"/>
          <w:sz w:val="22"/>
          <w:szCs w:val="22"/>
        </w:rPr>
      </w:pPr>
      <w:r w:rsidRPr="00620AF0">
        <w:rPr>
          <w:rFonts w:ascii="Arial" w:hAnsi="Arial" w:cs="Arial"/>
          <w:sz w:val="22"/>
          <w:szCs w:val="22"/>
        </w:rPr>
        <w:t>Administration of a single dose of trametinib with a high-fat, high-calorie meal resulted in a 70% and 10% decrease in C</w:t>
      </w:r>
      <w:r w:rsidRPr="00620AF0">
        <w:rPr>
          <w:rFonts w:ascii="Arial" w:hAnsi="Arial" w:cs="Arial"/>
          <w:sz w:val="22"/>
          <w:szCs w:val="22"/>
          <w:vertAlign w:val="subscript"/>
        </w:rPr>
        <w:t xml:space="preserve">max </w:t>
      </w:r>
      <w:r w:rsidRPr="00620AF0">
        <w:rPr>
          <w:rFonts w:ascii="Arial" w:hAnsi="Arial" w:cs="Arial"/>
          <w:sz w:val="22"/>
          <w:szCs w:val="22"/>
        </w:rPr>
        <w:t xml:space="preserve">and AUC, respectively compared to fasted conditions </w:t>
      </w:r>
      <w:r w:rsidRPr="00620AF0">
        <w:rPr>
          <w:rFonts w:ascii="Arial" w:hAnsi="Arial" w:cs="Arial"/>
          <w:i/>
          <w:sz w:val="22"/>
          <w:szCs w:val="22"/>
        </w:rPr>
        <w:t>(see DOSAGE AND ADMINISTRATION)</w:t>
      </w:r>
      <w:r w:rsidRPr="00620AF0">
        <w:rPr>
          <w:rFonts w:ascii="Arial" w:hAnsi="Arial" w:cs="Arial"/>
          <w:sz w:val="22"/>
          <w:szCs w:val="22"/>
        </w:rPr>
        <w:t xml:space="preserve">. </w:t>
      </w:r>
    </w:p>
    <w:p w:rsidR="00D06FFC" w:rsidRPr="00620AF0" w:rsidRDefault="00D06FFC" w:rsidP="00656020">
      <w:pPr>
        <w:spacing w:after="120" w:line="240" w:lineRule="atLeast"/>
        <w:rPr>
          <w:rFonts w:ascii="Arial" w:hAnsi="Arial" w:cs="Arial"/>
          <w:b/>
          <w:i/>
          <w:sz w:val="22"/>
          <w:szCs w:val="22"/>
        </w:rPr>
      </w:pPr>
      <w:r w:rsidRPr="00620AF0">
        <w:rPr>
          <w:rFonts w:ascii="Arial" w:hAnsi="Arial" w:cs="Arial"/>
          <w:b/>
          <w:i/>
          <w:sz w:val="22"/>
          <w:szCs w:val="22"/>
        </w:rPr>
        <w:t>Distribution</w:t>
      </w:r>
    </w:p>
    <w:p w:rsidR="00DE48BD" w:rsidRPr="00620AF0" w:rsidRDefault="00DE48BD" w:rsidP="00DE48BD">
      <w:pPr>
        <w:spacing w:after="120" w:line="240" w:lineRule="atLeast"/>
        <w:rPr>
          <w:rFonts w:ascii="Arial" w:hAnsi="Arial" w:cs="Arial"/>
          <w:sz w:val="22"/>
          <w:szCs w:val="22"/>
        </w:rPr>
      </w:pPr>
      <w:r w:rsidRPr="00620AF0">
        <w:rPr>
          <w:rStyle w:val="LBLLevel3"/>
          <w:rFonts w:cs="Arial"/>
          <w:sz w:val="22"/>
          <w:szCs w:val="22"/>
          <w:u w:val="none"/>
        </w:rPr>
        <w:t xml:space="preserve">Binding </w:t>
      </w:r>
      <w:r w:rsidRPr="00620AF0">
        <w:rPr>
          <w:rFonts w:ascii="Arial" w:hAnsi="Arial" w:cs="Arial"/>
          <w:sz w:val="22"/>
          <w:szCs w:val="22"/>
        </w:rPr>
        <w:t>of trametinib to human plasma proteins is 97.4%. Trametinib has a volume of distribution of 1060 L determined following administration of a 5</w:t>
      </w:r>
      <w:r w:rsidRPr="00620AF0">
        <w:rPr>
          <w:rFonts w:ascii="Arial" w:hAnsi="Arial" w:cs="Arial"/>
          <w:sz w:val="22"/>
          <w:szCs w:val="22"/>
        </w:rPr>
        <w:sym w:font="Symbol" w:char="F06D"/>
      </w:r>
      <w:r w:rsidRPr="00620AF0">
        <w:rPr>
          <w:rFonts w:ascii="Arial" w:hAnsi="Arial" w:cs="Arial"/>
          <w:sz w:val="22"/>
          <w:szCs w:val="22"/>
        </w:rPr>
        <w:t>g IV microdose.</w:t>
      </w:r>
    </w:p>
    <w:p w:rsidR="00D06FFC" w:rsidRPr="00620AF0" w:rsidRDefault="00D06FFC" w:rsidP="00656020">
      <w:pPr>
        <w:spacing w:after="120" w:line="240" w:lineRule="atLeast"/>
        <w:rPr>
          <w:rFonts w:ascii="Arial" w:hAnsi="Arial" w:cs="Arial"/>
          <w:b/>
          <w:i/>
          <w:sz w:val="22"/>
          <w:szCs w:val="22"/>
        </w:rPr>
      </w:pPr>
      <w:r w:rsidRPr="00620AF0">
        <w:rPr>
          <w:rFonts w:ascii="Arial" w:hAnsi="Arial" w:cs="Arial"/>
          <w:b/>
          <w:i/>
          <w:sz w:val="22"/>
          <w:szCs w:val="22"/>
        </w:rPr>
        <w:t>Metabolism</w:t>
      </w:r>
    </w:p>
    <w:p w:rsidR="00DE48BD" w:rsidRPr="00620AF0" w:rsidRDefault="00DE48BD" w:rsidP="00DE48BD">
      <w:pPr>
        <w:autoSpaceDE w:val="0"/>
        <w:autoSpaceDN w:val="0"/>
        <w:adjustRightInd w:val="0"/>
        <w:spacing w:after="120" w:line="240" w:lineRule="atLeast"/>
        <w:rPr>
          <w:rFonts w:ascii="Arial" w:hAnsi="Arial" w:cs="Arial"/>
          <w:sz w:val="22"/>
          <w:szCs w:val="22"/>
        </w:rPr>
      </w:pPr>
      <w:r w:rsidRPr="00620AF0">
        <w:rPr>
          <w:rFonts w:ascii="Arial" w:hAnsi="Arial" w:cs="Arial"/>
          <w:i/>
          <w:sz w:val="22"/>
          <w:szCs w:val="22"/>
        </w:rPr>
        <w:t>In vitro</w:t>
      </w:r>
      <w:r w:rsidRPr="00620AF0">
        <w:rPr>
          <w:rFonts w:ascii="Arial" w:hAnsi="Arial" w:cs="Arial"/>
          <w:sz w:val="22"/>
          <w:szCs w:val="22"/>
        </w:rPr>
        <w:t xml:space="preserve"> studies demonstra</w:t>
      </w:r>
      <w:r w:rsidR="00D45771">
        <w:rPr>
          <w:rFonts w:ascii="Arial" w:hAnsi="Arial" w:cs="Arial"/>
          <w:sz w:val="22"/>
          <w:szCs w:val="22"/>
        </w:rPr>
        <w:t>ted that trametinib is metabolis</w:t>
      </w:r>
      <w:r w:rsidRPr="00620AF0">
        <w:rPr>
          <w:rFonts w:ascii="Arial" w:hAnsi="Arial" w:cs="Arial"/>
          <w:sz w:val="22"/>
          <w:szCs w:val="22"/>
        </w:rPr>
        <w:t>ed predominantly via deacetylation alone or with mono-oxygenation or in combination with glucuronidation biotransformation pathways. The deacetylation is mediated by hydrolytic enzymes, such as carboxyl-esterases or amidases.</w:t>
      </w:r>
    </w:p>
    <w:p w:rsidR="00DE48BD" w:rsidRPr="00620AF0" w:rsidRDefault="00DE48BD" w:rsidP="00DE48BD">
      <w:pPr>
        <w:autoSpaceDE w:val="0"/>
        <w:autoSpaceDN w:val="0"/>
        <w:adjustRightInd w:val="0"/>
        <w:spacing w:after="120" w:line="240" w:lineRule="atLeast"/>
        <w:rPr>
          <w:rFonts w:ascii="Arial" w:hAnsi="Arial" w:cs="Arial"/>
          <w:sz w:val="22"/>
          <w:szCs w:val="22"/>
        </w:rPr>
      </w:pPr>
      <w:r w:rsidRPr="00620AF0">
        <w:rPr>
          <w:rFonts w:ascii="Arial" w:hAnsi="Arial" w:cs="Arial"/>
          <w:sz w:val="22"/>
          <w:szCs w:val="22"/>
        </w:rPr>
        <w:t>Following a single dose of [</w:t>
      </w:r>
      <w:r w:rsidRPr="00620AF0">
        <w:rPr>
          <w:rFonts w:ascii="Arial" w:hAnsi="Arial" w:cs="Arial"/>
          <w:sz w:val="22"/>
          <w:szCs w:val="22"/>
          <w:vertAlign w:val="superscript"/>
        </w:rPr>
        <w:t>14</w:t>
      </w:r>
      <w:r w:rsidRPr="00620AF0">
        <w:rPr>
          <w:rFonts w:ascii="Arial" w:hAnsi="Arial" w:cs="Arial"/>
          <w:sz w:val="22"/>
          <w:szCs w:val="22"/>
        </w:rPr>
        <w:t xml:space="preserve">C]-trametinib, about 50% of circulating radioactivity is represented as parent.  However, based on metabolite profiling after repeat dosing of trametinib, </w:t>
      </w:r>
      <w:r w:rsidRPr="00620AF0">
        <w:rPr>
          <w:rFonts w:ascii="Arial" w:hAnsi="Arial" w:cs="Arial"/>
          <w:sz w:val="22"/>
          <w:szCs w:val="22"/>
        </w:rPr>
        <w:sym w:font="Symbol" w:char="F0B3"/>
      </w:r>
      <w:r w:rsidRPr="00620AF0">
        <w:rPr>
          <w:rFonts w:ascii="Arial" w:hAnsi="Arial" w:cs="Arial"/>
          <w:sz w:val="22"/>
          <w:szCs w:val="22"/>
        </w:rPr>
        <w:t>75% of drug related material in plasma is parent.</w:t>
      </w:r>
    </w:p>
    <w:p w:rsidR="00D06FFC" w:rsidRPr="00620AF0" w:rsidRDefault="00E81E59" w:rsidP="00656020">
      <w:pPr>
        <w:spacing w:after="120" w:line="240" w:lineRule="atLeast"/>
        <w:rPr>
          <w:rFonts w:ascii="Arial" w:hAnsi="Arial" w:cs="Arial"/>
          <w:b/>
          <w:i/>
          <w:sz w:val="22"/>
          <w:szCs w:val="22"/>
        </w:rPr>
      </w:pPr>
      <w:r w:rsidRPr="00620AF0">
        <w:rPr>
          <w:rFonts w:ascii="Arial" w:hAnsi="Arial" w:cs="Arial"/>
          <w:b/>
          <w:i/>
          <w:sz w:val="22"/>
          <w:szCs w:val="22"/>
        </w:rPr>
        <w:t>Excretion</w:t>
      </w:r>
    </w:p>
    <w:p w:rsidR="00DE48BD" w:rsidRPr="00620AF0" w:rsidRDefault="00DE48BD" w:rsidP="00DE48BD">
      <w:pPr>
        <w:spacing w:after="120" w:line="240" w:lineRule="atLeast"/>
        <w:rPr>
          <w:rFonts w:ascii="Arial" w:hAnsi="Arial" w:cs="Arial"/>
          <w:sz w:val="22"/>
          <w:szCs w:val="22"/>
        </w:rPr>
      </w:pPr>
      <w:r w:rsidRPr="00620AF0">
        <w:rPr>
          <w:rFonts w:ascii="Arial" w:hAnsi="Arial" w:cs="Arial"/>
          <w:sz w:val="22"/>
          <w:szCs w:val="22"/>
        </w:rPr>
        <w:t>Trametinib accumulates with repeat daily dosing with a mean accumulation ratio of 6.0 following a 2 mg once daily dose.  Mean terminal half-life is 5.3 days</w:t>
      </w:r>
      <w:r w:rsidR="00C8040A">
        <w:rPr>
          <w:rFonts w:ascii="Arial" w:hAnsi="Arial" w:cs="Arial"/>
          <w:sz w:val="22"/>
          <w:szCs w:val="22"/>
        </w:rPr>
        <w:t xml:space="preserve"> (range 3.4-9.0</w:t>
      </w:r>
      <w:r w:rsidRPr="00620AF0">
        <w:rPr>
          <w:rFonts w:ascii="Arial" w:hAnsi="Arial" w:cs="Arial"/>
          <w:sz w:val="22"/>
          <w:szCs w:val="22"/>
        </w:rPr>
        <w:t xml:space="preserve">) after single dose administration. Steady-state </w:t>
      </w:r>
      <w:r w:rsidR="00C8040A">
        <w:rPr>
          <w:rFonts w:ascii="Arial" w:hAnsi="Arial" w:cs="Arial"/>
          <w:sz w:val="22"/>
          <w:szCs w:val="22"/>
        </w:rPr>
        <w:t>is generally</w:t>
      </w:r>
      <w:r w:rsidRPr="00620AF0">
        <w:rPr>
          <w:rFonts w:ascii="Arial" w:hAnsi="Arial" w:cs="Arial"/>
          <w:sz w:val="22"/>
          <w:szCs w:val="22"/>
        </w:rPr>
        <w:t xml:space="preserve"> achieved by Day 15. Trametinib plasma IV clearance is 3.21 L/hr.</w:t>
      </w:r>
    </w:p>
    <w:p w:rsidR="00DE48BD" w:rsidRPr="00620AF0" w:rsidRDefault="00DE48BD" w:rsidP="00DE48BD">
      <w:pPr>
        <w:spacing w:after="120" w:line="240" w:lineRule="atLeast"/>
        <w:rPr>
          <w:rFonts w:ascii="Arial" w:hAnsi="Arial" w:cs="Arial"/>
          <w:sz w:val="22"/>
          <w:szCs w:val="22"/>
        </w:rPr>
      </w:pPr>
      <w:r w:rsidRPr="00620AF0">
        <w:rPr>
          <w:rFonts w:ascii="Arial" w:hAnsi="Arial" w:cs="Arial"/>
          <w:sz w:val="22"/>
          <w:szCs w:val="22"/>
        </w:rPr>
        <w:t>Total dose recovery is low after a 10-day collection period (&lt;50%) following administration of a single oral dose of radiolabel</w:t>
      </w:r>
      <w:r w:rsidR="00D45771">
        <w:rPr>
          <w:rFonts w:ascii="Arial" w:hAnsi="Arial" w:cs="Arial"/>
          <w:sz w:val="22"/>
          <w:szCs w:val="22"/>
        </w:rPr>
        <w:t>l</w:t>
      </w:r>
      <w:r w:rsidRPr="00620AF0">
        <w:rPr>
          <w:rFonts w:ascii="Arial" w:hAnsi="Arial" w:cs="Arial"/>
          <w:sz w:val="22"/>
          <w:szCs w:val="22"/>
        </w:rPr>
        <w:t>ed trametinib as a solution, due to the long half-life. Faecal excretion is the major route of elimination after [</w:t>
      </w:r>
      <w:r w:rsidRPr="00620AF0">
        <w:rPr>
          <w:rFonts w:ascii="Arial" w:hAnsi="Arial" w:cs="Arial"/>
          <w:sz w:val="22"/>
          <w:szCs w:val="22"/>
          <w:vertAlign w:val="superscript"/>
        </w:rPr>
        <w:t>14</w:t>
      </w:r>
      <w:r w:rsidRPr="00620AF0">
        <w:rPr>
          <w:rFonts w:ascii="Arial" w:hAnsi="Arial" w:cs="Arial"/>
          <w:sz w:val="22"/>
          <w:szCs w:val="22"/>
        </w:rPr>
        <w:t>C]-trametinib oral dose, accounting for &gt;80% of excreted radioactivity recovered while urinary excretion accounted for &lt;19% of excreted radioactivity recovered. Less than 0.1% of the excreted dose was recovered as parent in urine.</w:t>
      </w:r>
    </w:p>
    <w:p w:rsidR="00CA384E" w:rsidRPr="00620AF0" w:rsidRDefault="00CA384E" w:rsidP="00DE48BD">
      <w:pPr>
        <w:spacing w:after="120" w:line="240" w:lineRule="atLeast"/>
        <w:rPr>
          <w:rFonts w:ascii="Arial" w:hAnsi="Arial" w:cs="Arial"/>
          <w:sz w:val="22"/>
          <w:szCs w:val="22"/>
        </w:rPr>
      </w:pPr>
    </w:p>
    <w:p w:rsidR="00CA384E" w:rsidRPr="00620AF0" w:rsidRDefault="00CA384E" w:rsidP="00CA384E">
      <w:pPr>
        <w:pStyle w:val="NoNumHead4"/>
        <w:spacing w:after="120" w:line="240" w:lineRule="atLeast"/>
        <w:rPr>
          <w:rFonts w:cs="Arial"/>
          <w:i/>
          <w:szCs w:val="22"/>
        </w:rPr>
      </w:pPr>
      <w:r w:rsidRPr="00620AF0">
        <w:rPr>
          <w:rFonts w:cs="Arial"/>
          <w:i/>
          <w:szCs w:val="22"/>
        </w:rPr>
        <w:t>Special Patient Populations</w:t>
      </w:r>
    </w:p>
    <w:p w:rsidR="00CA384E" w:rsidRPr="00620AF0" w:rsidRDefault="00CA384E" w:rsidP="00CA384E">
      <w:pPr>
        <w:spacing w:after="120" w:line="240" w:lineRule="atLeast"/>
        <w:rPr>
          <w:rStyle w:val="LBLLevel3"/>
          <w:rFonts w:cs="Arial"/>
          <w:sz w:val="22"/>
          <w:szCs w:val="22"/>
        </w:rPr>
      </w:pPr>
      <w:r w:rsidRPr="00620AF0">
        <w:rPr>
          <w:rStyle w:val="LBLLevel3"/>
          <w:rFonts w:cs="Arial"/>
          <w:sz w:val="22"/>
          <w:szCs w:val="22"/>
        </w:rPr>
        <w:t>Hepatic Impairment</w:t>
      </w:r>
    </w:p>
    <w:p w:rsidR="00CA384E" w:rsidRPr="00620AF0" w:rsidRDefault="00CA384E" w:rsidP="00CA384E">
      <w:pPr>
        <w:spacing w:after="120" w:line="240" w:lineRule="atLeast"/>
        <w:rPr>
          <w:rFonts w:ascii="Arial" w:hAnsi="Arial" w:cs="Arial"/>
          <w:sz w:val="22"/>
          <w:szCs w:val="22"/>
        </w:rPr>
      </w:pPr>
      <w:r w:rsidRPr="00620AF0">
        <w:rPr>
          <w:rFonts w:ascii="Arial" w:hAnsi="Arial" w:cs="Arial"/>
          <w:sz w:val="22"/>
          <w:szCs w:val="22"/>
        </w:rPr>
        <w:t>The pharmacokinetic</w:t>
      </w:r>
      <w:r w:rsidR="00D45771">
        <w:rPr>
          <w:rFonts w:ascii="Arial" w:hAnsi="Arial" w:cs="Arial"/>
          <w:sz w:val="22"/>
          <w:szCs w:val="22"/>
        </w:rPr>
        <w:t>s of trametinib were characteris</w:t>
      </w:r>
      <w:r w:rsidRPr="00620AF0">
        <w:rPr>
          <w:rFonts w:ascii="Arial" w:hAnsi="Arial" w:cs="Arial"/>
          <w:sz w:val="22"/>
          <w:szCs w:val="22"/>
        </w:rPr>
        <w:t xml:space="preserve">ed in 64 patients enrolled in clinical trials with trametinib who had mild hepatic impairment (defined by National Cancer Institute classification) using a population pharmacokinetic analysis. Trametinib oral clearance and thus exposure to trametinib was not significantly different in these patients relative to patients with normal hepatic function. No data are available in patients with moderate or severe hepatic impairment </w:t>
      </w:r>
      <w:r w:rsidRPr="00620AF0">
        <w:rPr>
          <w:rFonts w:ascii="Arial" w:hAnsi="Arial" w:cs="Arial"/>
          <w:i/>
          <w:sz w:val="22"/>
          <w:szCs w:val="22"/>
        </w:rPr>
        <w:t>(</w:t>
      </w:r>
      <w:r w:rsidRPr="00620AF0">
        <w:rPr>
          <w:rFonts w:ascii="Arial" w:hAnsi="Arial" w:cs="Arial"/>
          <w:sz w:val="22"/>
          <w:szCs w:val="22"/>
        </w:rPr>
        <w:t>see DOSAGE AND ADMINISTRATION</w:t>
      </w:r>
      <w:r w:rsidRPr="00620AF0">
        <w:rPr>
          <w:rFonts w:ascii="Arial" w:hAnsi="Arial" w:cs="Arial"/>
          <w:i/>
          <w:sz w:val="22"/>
          <w:szCs w:val="22"/>
        </w:rPr>
        <w:t>)</w:t>
      </w:r>
      <w:r w:rsidRPr="00620AF0">
        <w:rPr>
          <w:rFonts w:ascii="Arial" w:hAnsi="Arial" w:cs="Arial"/>
          <w:sz w:val="22"/>
          <w:szCs w:val="22"/>
        </w:rPr>
        <w:t xml:space="preserve">.  </w:t>
      </w:r>
    </w:p>
    <w:p w:rsidR="00CA384E" w:rsidRPr="00620AF0" w:rsidRDefault="00CA384E" w:rsidP="00CA384E">
      <w:pPr>
        <w:pStyle w:val="CommentText"/>
        <w:spacing w:after="120" w:line="240" w:lineRule="atLeast"/>
        <w:rPr>
          <w:rStyle w:val="LBLLevel3"/>
          <w:rFonts w:eastAsia="Calibri" w:cs="Arial"/>
          <w:sz w:val="22"/>
          <w:szCs w:val="22"/>
          <w:lang w:val="en-US"/>
        </w:rPr>
      </w:pPr>
      <w:r w:rsidRPr="00620AF0">
        <w:rPr>
          <w:rStyle w:val="LBLLevel3"/>
          <w:rFonts w:eastAsia="Calibri" w:cs="Arial"/>
          <w:sz w:val="22"/>
          <w:szCs w:val="22"/>
          <w:lang w:val="en-US"/>
        </w:rPr>
        <w:t>Renal Impairment</w:t>
      </w:r>
    </w:p>
    <w:p w:rsidR="00CA384E" w:rsidRPr="00620AF0" w:rsidRDefault="00CA384E" w:rsidP="00CA384E">
      <w:pPr>
        <w:pStyle w:val="CommentText"/>
        <w:spacing w:after="120" w:line="240" w:lineRule="atLeast"/>
        <w:rPr>
          <w:rFonts w:ascii="Arial" w:hAnsi="Arial" w:cs="Arial"/>
          <w:sz w:val="22"/>
          <w:szCs w:val="22"/>
        </w:rPr>
      </w:pPr>
      <w:r w:rsidRPr="00620AF0">
        <w:rPr>
          <w:rFonts w:ascii="Arial" w:eastAsia="MS Mincho" w:hAnsi="Arial" w:cs="Arial"/>
          <w:sz w:val="22"/>
          <w:szCs w:val="22"/>
          <w:lang w:eastAsia="ja-JP"/>
        </w:rPr>
        <w:t xml:space="preserve">Renal impairment is unlikely to have a clinically relevant effect on trametinib pharmacokinetics given the low renal excretion of trametinib.  </w:t>
      </w:r>
      <w:r w:rsidRPr="00620AF0">
        <w:rPr>
          <w:rFonts w:ascii="Arial" w:hAnsi="Arial" w:cs="Arial"/>
          <w:sz w:val="22"/>
          <w:szCs w:val="22"/>
        </w:rPr>
        <w:t>The pharmacokinetic</w:t>
      </w:r>
      <w:r w:rsidR="00D45771">
        <w:rPr>
          <w:rFonts w:ascii="Arial" w:hAnsi="Arial" w:cs="Arial"/>
          <w:sz w:val="22"/>
          <w:szCs w:val="22"/>
        </w:rPr>
        <w:t>s of trametinib were characteris</w:t>
      </w:r>
      <w:r w:rsidRPr="00620AF0">
        <w:rPr>
          <w:rFonts w:ascii="Arial" w:hAnsi="Arial" w:cs="Arial"/>
          <w:sz w:val="22"/>
          <w:szCs w:val="22"/>
        </w:rPr>
        <w:t xml:space="preserve">ed in 223 patients enrolled in clinical trials with trametinib who had mild renal impairment and 35 </w:t>
      </w:r>
      <w:r w:rsidRPr="00620AF0">
        <w:rPr>
          <w:rFonts w:ascii="Arial" w:eastAsia="MS Mincho" w:hAnsi="Arial" w:cs="Arial"/>
          <w:sz w:val="22"/>
          <w:szCs w:val="22"/>
          <w:lang w:eastAsia="ja-JP"/>
        </w:rPr>
        <w:t xml:space="preserve">patients with moderate renal impairment using a population </w:t>
      </w:r>
      <w:r w:rsidRPr="00620AF0">
        <w:rPr>
          <w:rFonts w:ascii="Arial" w:hAnsi="Arial" w:cs="Arial"/>
          <w:sz w:val="22"/>
          <w:szCs w:val="22"/>
        </w:rPr>
        <w:t>pharmacokinetic analysis</w:t>
      </w:r>
      <w:r w:rsidRPr="00620AF0">
        <w:rPr>
          <w:rFonts w:ascii="Arial" w:eastAsia="MS Mincho" w:hAnsi="Arial" w:cs="Arial"/>
          <w:sz w:val="22"/>
          <w:szCs w:val="22"/>
          <w:lang w:eastAsia="ja-JP"/>
        </w:rPr>
        <w:t>. Mild and moderate renal impairment had no effect on trametinib e</w:t>
      </w:r>
      <w:r w:rsidRPr="00620AF0">
        <w:rPr>
          <w:rFonts w:ascii="Arial" w:hAnsi="Arial" w:cs="Arial"/>
          <w:sz w:val="22"/>
          <w:szCs w:val="22"/>
        </w:rPr>
        <w:t xml:space="preserve">xposure (&lt;6% for either group). </w:t>
      </w:r>
      <w:r w:rsidRPr="00620AF0">
        <w:rPr>
          <w:rFonts w:ascii="Arial" w:eastAsia="MS Mincho" w:hAnsi="Arial" w:cs="Arial"/>
          <w:sz w:val="22"/>
          <w:szCs w:val="22"/>
          <w:lang w:eastAsia="ja-JP"/>
        </w:rPr>
        <w:t xml:space="preserve">No data are available in patients with severe renal impairment </w:t>
      </w:r>
      <w:r w:rsidRPr="00620AF0">
        <w:rPr>
          <w:rFonts w:ascii="Arial" w:eastAsia="MS Mincho" w:hAnsi="Arial" w:cs="Arial"/>
          <w:i/>
          <w:sz w:val="22"/>
          <w:szCs w:val="22"/>
          <w:lang w:eastAsia="ja-JP"/>
        </w:rPr>
        <w:t>(</w:t>
      </w:r>
      <w:r w:rsidRPr="00620AF0">
        <w:rPr>
          <w:rFonts w:ascii="Arial" w:hAnsi="Arial" w:cs="Arial"/>
          <w:sz w:val="22"/>
          <w:szCs w:val="22"/>
        </w:rPr>
        <w:t>see DOSAGE AND ADMINISTRATION</w:t>
      </w:r>
      <w:r w:rsidRPr="00620AF0">
        <w:rPr>
          <w:rFonts w:ascii="Arial" w:eastAsia="MS Mincho" w:hAnsi="Arial" w:cs="Arial"/>
          <w:i/>
          <w:sz w:val="22"/>
          <w:szCs w:val="22"/>
          <w:lang w:eastAsia="ja-JP"/>
        </w:rPr>
        <w:t>)</w:t>
      </w:r>
      <w:r w:rsidRPr="00620AF0">
        <w:rPr>
          <w:rFonts w:ascii="Arial" w:eastAsia="MS Mincho" w:hAnsi="Arial" w:cs="Arial"/>
          <w:sz w:val="22"/>
          <w:szCs w:val="22"/>
          <w:lang w:eastAsia="ja-JP"/>
        </w:rPr>
        <w:t xml:space="preserve">. </w:t>
      </w:r>
    </w:p>
    <w:p w:rsidR="004B64AC" w:rsidRDefault="004B64AC" w:rsidP="00CA384E">
      <w:pPr>
        <w:pStyle w:val="CommentText"/>
        <w:spacing w:after="120" w:line="240" w:lineRule="atLeast"/>
        <w:rPr>
          <w:rStyle w:val="LBLLevel3"/>
          <w:rFonts w:cs="Arial"/>
          <w:sz w:val="22"/>
          <w:szCs w:val="22"/>
        </w:rPr>
      </w:pPr>
    </w:p>
    <w:p w:rsidR="004B64AC" w:rsidRDefault="004B64AC" w:rsidP="00CA384E">
      <w:pPr>
        <w:pStyle w:val="CommentText"/>
        <w:spacing w:after="120" w:line="240" w:lineRule="atLeast"/>
        <w:rPr>
          <w:rStyle w:val="LBLLevel3"/>
          <w:rFonts w:cs="Arial"/>
          <w:sz w:val="22"/>
          <w:szCs w:val="22"/>
        </w:rPr>
      </w:pPr>
    </w:p>
    <w:p w:rsidR="00CA384E" w:rsidRPr="00620AF0" w:rsidRDefault="00CA384E" w:rsidP="00B7767E">
      <w:pPr>
        <w:pStyle w:val="CommentText"/>
        <w:keepNext/>
        <w:spacing w:after="120" w:line="240" w:lineRule="atLeast"/>
        <w:rPr>
          <w:rStyle w:val="LBLLevel3"/>
          <w:rFonts w:cs="Arial"/>
          <w:sz w:val="22"/>
          <w:szCs w:val="22"/>
        </w:rPr>
      </w:pPr>
      <w:r w:rsidRPr="00620AF0">
        <w:rPr>
          <w:rStyle w:val="LBLLevel3"/>
          <w:rFonts w:cs="Arial"/>
          <w:sz w:val="22"/>
          <w:szCs w:val="22"/>
        </w:rPr>
        <w:t>Elderly</w:t>
      </w:r>
    </w:p>
    <w:p w:rsidR="00CA384E" w:rsidRPr="00620AF0" w:rsidRDefault="00CA384E" w:rsidP="00CA384E">
      <w:pPr>
        <w:pStyle w:val="CommentText"/>
        <w:spacing w:after="120" w:line="240" w:lineRule="atLeast"/>
        <w:rPr>
          <w:rStyle w:val="LBLLevel3"/>
          <w:rFonts w:cs="Arial"/>
          <w:sz w:val="22"/>
          <w:szCs w:val="22"/>
        </w:rPr>
      </w:pPr>
      <w:r w:rsidRPr="00620AF0">
        <w:rPr>
          <w:rFonts w:ascii="Arial" w:hAnsi="Arial" w:cs="Arial"/>
          <w:sz w:val="22"/>
          <w:szCs w:val="22"/>
        </w:rPr>
        <w:t xml:space="preserve">Based on the population pharmacokinetics analysis, age had no relevant clinical effect on trametinib pharmacokinetics. </w:t>
      </w:r>
    </w:p>
    <w:p w:rsidR="00CA384E" w:rsidRPr="00620AF0" w:rsidRDefault="00CA384E" w:rsidP="00CA384E">
      <w:pPr>
        <w:pStyle w:val="CommentText"/>
        <w:spacing w:after="120" w:line="240" w:lineRule="atLeast"/>
        <w:rPr>
          <w:rStyle w:val="LBLLevel3"/>
          <w:rFonts w:cs="Arial"/>
          <w:sz w:val="22"/>
          <w:szCs w:val="22"/>
        </w:rPr>
      </w:pPr>
      <w:r w:rsidRPr="00620AF0">
        <w:rPr>
          <w:rStyle w:val="LBLLevel3"/>
          <w:rFonts w:cs="Arial"/>
          <w:sz w:val="22"/>
          <w:szCs w:val="22"/>
        </w:rPr>
        <w:t>Children</w:t>
      </w:r>
    </w:p>
    <w:p w:rsidR="00CA384E" w:rsidRDefault="00CA384E" w:rsidP="00CA384E">
      <w:pPr>
        <w:pStyle w:val="CommentText"/>
        <w:spacing w:after="120" w:line="240" w:lineRule="atLeast"/>
        <w:rPr>
          <w:rFonts w:ascii="Arial" w:hAnsi="Arial" w:cs="Arial"/>
          <w:sz w:val="22"/>
          <w:szCs w:val="22"/>
        </w:rPr>
      </w:pPr>
      <w:r w:rsidRPr="00620AF0">
        <w:rPr>
          <w:rFonts w:ascii="Arial" w:hAnsi="Arial" w:cs="Arial"/>
          <w:sz w:val="22"/>
          <w:szCs w:val="22"/>
        </w:rPr>
        <w:t>No studies have been conducted to investigate the pharmacokinetics of trametinib in paediatric patients.</w:t>
      </w:r>
    </w:p>
    <w:p w:rsidR="00CB3B33" w:rsidRPr="00620AF0" w:rsidRDefault="00CB3B33" w:rsidP="00CA384E">
      <w:pPr>
        <w:pStyle w:val="CommentText"/>
        <w:spacing w:after="120" w:line="240" w:lineRule="atLeast"/>
        <w:rPr>
          <w:rStyle w:val="LBLLevel3"/>
          <w:rFonts w:cs="Arial"/>
          <w:b/>
          <w:sz w:val="22"/>
          <w:szCs w:val="22"/>
        </w:rPr>
      </w:pPr>
    </w:p>
    <w:p w:rsidR="00CA384E" w:rsidRPr="00620AF0" w:rsidRDefault="00CA384E" w:rsidP="00CA384E">
      <w:pPr>
        <w:pStyle w:val="CommentText"/>
        <w:spacing w:after="120" w:line="240" w:lineRule="atLeast"/>
        <w:rPr>
          <w:rStyle w:val="LBLLevel3"/>
          <w:rFonts w:cs="Arial"/>
          <w:i/>
          <w:sz w:val="22"/>
          <w:szCs w:val="22"/>
          <w:u w:val="none"/>
        </w:rPr>
      </w:pPr>
      <w:r w:rsidRPr="00620AF0">
        <w:rPr>
          <w:rStyle w:val="LBLLevel3"/>
          <w:rFonts w:cs="Arial"/>
          <w:b/>
          <w:i/>
          <w:sz w:val="22"/>
          <w:szCs w:val="22"/>
          <w:u w:val="none"/>
        </w:rPr>
        <w:t>Drug Interactions</w:t>
      </w:r>
    </w:p>
    <w:p w:rsidR="00CA384E" w:rsidRPr="000A10D5" w:rsidRDefault="00CA384E" w:rsidP="00CA384E">
      <w:pPr>
        <w:pStyle w:val="CommentText"/>
        <w:spacing w:after="120" w:line="240" w:lineRule="atLeast"/>
        <w:rPr>
          <w:rFonts w:ascii="Arial" w:hAnsi="Arial" w:cs="Arial"/>
          <w:sz w:val="22"/>
          <w:szCs w:val="22"/>
        </w:rPr>
      </w:pPr>
      <w:bookmarkStart w:id="1" w:name="_Toc323311009"/>
      <w:r w:rsidRPr="00620AF0">
        <w:rPr>
          <w:rStyle w:val="LBLLevel3"/>
          <w:rFonts w:cs="Arial"/>
          <w:sz w:val="22"/>
          <w:szCs w:val="22"/>
        </w:rPr>
        <w:t>Effects</w:t>
      </w:r>
      <w:r w:rsidR="00D45771">
        <w:rPr>
          <w:rStyle w:val="LBLLevel3"/>
          <w:rFonts w:cs="Arial"/>
          <w:sz w:val="22"/>
          <w:szCs w:val="22"/>
        </w:rPr>
        <w:t xml:space="preserve"> of Trametinib on Drug Metabolis</w:t>
      </w:r>
      <w:r w:rsidRPr="00620AF0">
        <w:rPr>
          <w:rStyle w:val="LBLLevel3"/>
          <w:rFonts w:cs="Arial"/>
          <w:sz w:val="22"/>
          <w:szCs w:val="22"/>
        </w:rPr>
        <w:t>ing Enzymes and Transporters</w:t>
      </w:r>
      <w:bookmarkEnd w:id="1"/>
      <w:r w:rsidRPr="00620AF0">
        <w:rPr>
          <w:rFonts w:ascii="Arial" w:hAnsi="Arial" w:cs="Arial"/>
          <w:sz w:val="22"/>
          <w:szCs w:val="22"/>
        </w:rPr>
        <w:t xml:space="preserve">: </w:t>
      </w:r>
      <w:r w:rsidR="009364DC" w:rsidRPr="002638FD">
        <w:rPr>
          <w:rFonts w:ascii="Arial" w:hAnsi="Arial" w:cs="Arial"/>
          <w:sz w:val="22"/>
          <w:szCs w:val="22"/>
          <w:lang w:val="en-GB"/>
        </w:rPr>
        <w:t xml:space="preserve">There are limited in vivo data about the effect of trametinib on the pharmacokinetics of other drugs. Considerations of both the low efficacious dose and </w:t>
      </w:r>
      <w:r w:rsidR="009364DC" w:rsidRPr="002638FD">
        <w:rPr>
          <w:rFonts w:ascii="Arial" w:hAnsi="Arial" w:cs="Arial"/>
          <w:sz w:val="22"/>
          <w:szCs w:val="22"/>
        </w:rPr>
        <w:t>i</w:t>
      </w:r>
      <w:r w:rsidRPr="002638FD">
        <w:rPr>
          <w:rFonts w:ascii="Arial" w:hAnsi="Arial" w:cs="Arial"/>
          <w:sz w:val="22"/>
          <w:szCs w:val="22"/>
        </w:rPr>
        <w:t>n vitro data suggest that trametinib is unlikely to affect the pharmacokinetics of other drugs. Based on in vitro studies, trametinib is not an inhibitor of CYP1A2, CYP2A</w:t>
      </w:r>
      <w:r w:rsidRPr="00620AF0">
        <w:rPr>
          <w:rFonts w:ascii="Arial" w:hAnsi="Arial" w:cs="Arial"/>
          <w:sz w:val="22"/>
          <w:szCs w:val="22"/>
        </w:rPr>
        <w:t xml:space="preserve">6, CYP2B6, CYP2D6 and CYP3A4. Trametinib was found to be an </w:t>
      </w:r>
      <w:r w:rsidRPr="00620AF0">
        <w:rPr>
          <w:rFonts w:ascii="Arial" w:hAnsi="Arial" w:cs="Arial"/>
          <w:i/>
          <w:sz w:val="22"/>
          <w:szCs w:val="22"/>
        </w:rPr>
        <w:t>in vitro</w:t>
      </w:r>
      <w:r w:rsidRPr="00620AF0">
        <w:rPr>
          <w:rFonts w:ascii="Arial" w:hAnsi="Arial" w:cs="Arial"/>
          <w:sz w:val="22"/>
          <w:szCs w:val="22"/>
        </w:rPr>
        <w:t xml:space="preserve"> inhibitor of CYP2C8, CYP2C9 and CYP2C19,</w:t>
      </w:r>
      <w:r w:rsidR="00F25E7A">
        <w:rPr>
          <w:rFonts w:ascii="Arial" w:hAnsi="Arial" w:cs="Arial"/>
          <w:sz w:val="22"/>
          <w:szCs w:val="22"/>
        </w:rPr>
        <w:t xml:space="preserve"> </w:t>
      </w:r>
      <w:r w:rsidRPr="00620AF0">
        <w:rPr>
          <w:rFonts w:ascii="Arial" w:hAnsi="Arial" w:cs="Arial"/>
          <w:sz w:val="22"/>
          <w:szCs w:val="22"/>
        </w:rPr>
        <w:t xml:space="preserve">an inducer of CYP3A4 and an inhibitor of the transporters OATP1B1, OATP1B3, Pgp and BCRP. However, based on the low </w:t>
      </w:r>
      <w:r w:rsidR="00977203">
        <w:rPr>
          <w:rFonts w:ascii="Arial" w:hAnsi="Arial" w:cs="Arial"/>
          <w:sz w:val="22"/>
          <w:szCs w:val="22"/>
        </w:rPr>
        <w:t xml:space="preserve">efficacious dose and </w:t>
      </w:r>
      <w:r w:rsidRPr="00620AF0">
        <w:rPr>
          <w:rFonts w:ascii="Arial" w:hAnsi="Arial" w:cs="Arial"/>
          <w:sz w:val="22"/>
          <w:szCs w:val="22"/>
        </w:rPr>
        <w:t>clinical trametinib systemic exposure (</w:t>
      </w:r>
      <w:r w:rsidRPr="00620AF0">
        <w:rPr>
          <w:rFonts w:ascii="Arial" w:hAnsi="Arial" w:cs="Arial"/>
          <w:sz w:val="22"/>
          <w:szCs w:val="22"/>
          <w:lang w:val="en-US"/>
        </w:rPr>
        <w:t xml:space="preserve">0.04 </w:t>
      </w:r>
      <w:r w:rsidRPr="00620AF0">
        <w:rPr>
          <w:rFonts w:ascii="Arial" w:hAnsi="Arial" w:cs="Arial"/>
          <w:sz w:val="22"/>
          <w:szCs w:val="22"/>
          <w:lang w:val="en-US"/>
        </w:rPr>
        <w:sym w:font="Symbol" w:char="F06D"/>
      </w:r>
      <w:r w:rsidRPr="00620AF0">
        <w:rPr>
          <w:rFonts w:ascii="Arial" w:hAnsi="Arial" w:cs="Arial"/>
          <w:sz w:val="22"/>
          <w:szCs w:val="22"/>
          <w:lang w:val="en-US"/>
        </w:rPr>
        <w:t>M</w:t>
      </w:r>
      <w:r w:rsidRPr="00620AF0">
        <w:rPr>
          <w:rFonts w:ascii="Arial" w:hAnsi="Arial" w:cs="Arial"/>
          <w:sz w:val="22"/>
          <w:szCs w:val="22"/>
        </w:rPr>
        <w:t xml:space="preserve">) relative to the </w:t>
      </w:r>
      <w:r w:rsidRPr="00620AF0">
        <w:rPr>
          <w:rFonts w:ascii="Arial" w:hAnsi="Arial" w:cs="Arial"/>
          <w:i/>
          <w:sz w:val="22"/>
          <w:szCs w:val="22"/>
        </w:rPr>
        <w:t xml:space="preserve">in vitro </w:t>
      </w:r>
      <w:r w:rsidRPr="00620AF0">
        <w:rPr>
          <w:rFonts w:ascii="Arial" w:hAnsi="Arial" w:cs="Arial"/>
          <w:sz w:val="22"/>
          <w:szCs w:val="22"/>
        </w:rPr>
        <w:t xml:space="preserve">inhibition or induction values </w:t>
      </w:r>
      <w:proofErr w:type="gramStart"/>
      <w:r w:rsidRPr="002B2F16">
        <w:rPr>
          <w:rFonts w:ascii="Arial" w:hAnsi="Arial" w:cs="Arial"/>
          <w:sz w:val="22"/>
          <w:szCs w:val="22"/>
        </w:rPr>
        <w:t>(</w:t>
      </w:r>
      <w:r w:rsidR="003F2D18" w:rsidRPr="002B2F16">
        <w:rPr>
          <w:rFonts w:ascii="Arial Narrow" w:hAnsi="Arial Narrow" w:cs="Arial"/>
          <w:sz w:val="17"/>
          <w:szCs w:val="17"/>
          <w:lang w:val="en-GB" w:eastAsia="en-GB"/>
        </w:rPr>
        <w:t xml:space="preserve"> </w:t>
      </w:r>
      <w:r w:rsidR="003F2D18" w:rsidRPr="002B2F16">
        <w:rPr>
          <w:rFonts w:ascii="Arial" w:hAnsi="Arial" w:cs="Arial"/>
          <w:sz w:val="22"/>
          <w:szCs w:val="22"/>
          <w:lang w:val="en-GB"/>
        </w:rPr>
        <w:t>IC</w:t>
      </w:r>
      <w:r w:rsidR="003F2D18" w:rsidRPr="002B2F16">
        <w:rPr>
          <w:rFonts w:ascii="Arial" w:hAnsi="Arial" w:cs="Arial"/>
          <w:sz w:val="22"/>
          <w:szCs w:val="22"/>
          <w:vertAlign w:val="subscript"/>
          <w:lang w:val="en-GB"/>
        </w:rPr>
        <w:t>50</w:t>
      </w:r>
      <w:proofErr w:type="gramEnd"/>
      <w:r w:rsidR="003F2D18" w:rsidRPr="002B2F16">
        <w:rPr>
          <w:rFonts w:ascii="Arial" w:hAnsi="Arial" w:cs="Arial"/>
          <w:sz w:val="22"/>
          <w:szCs w:val="22"/>
          <w:lang w:val="en-GB"/>
        </w:rPr>
        <w:t xml:space="preserve"> or EC</w:t>
      </w:r>
      <w:r w:rsidR="003F2D18" w:rsidRPr="002B2F16">
        <w:rPr>
          <w:rFonts w:ascii="Arial" w:hAnsi="Arial" w:cs="Arial"/>
          <w:sz w:val="22"/>
          <w:szCs w:val="22"/>
          <w:vertAlign w:val="subscript"/>
          <w:lang w:val="en-GB"/>
        </w:rPr>
        <w:t xml:space="preserve">50 </w:t>
      </w:r>
      <w:r w:rsidR="003F2D18" w:rsidRPr="002B2F16">
        <w:rPr>
          <w:rFonts w:ascii="Arial" w:hAnsi="Arial" w:cs="Arial"/>
          <w:sz w:val="22"/>
          <w:szCs w:val="22"/>
          <w:lang w:val="en-GB"/>
        </w:rPr>
        <w:t>≥0.34</w:t>
      </w:r>
      <w:r w:rsidRPr="00620AF0">
        <w:rPr>
          <w:rFonts w:ascii="Arial" w:hAnsi="Arial" w:cs="Arial"/>
          <w:sz w:val="22"/>
          <w:szCs w:val="22"/>
        </w:rPr>
        <w:t xml:space="preserve"> </w:t>
      </w:r>
      <w:r w:rsidRPr="00620AF0">
        <w:rPr>
          <w:rFonts w:ascii="Arial" w:hAnsi="Arial" w:cs="Arial"/>
          <w:sz w:val="22"/>
          <w:szCs w:val="22"/>
        </w:rPr>
        <w:sym w:font="Symbol" w:char="F06D"/>
      </w:r>
      <w:r w:rsidRPr="00620AF0">
        <w:rPr>
          <w:rFonts w:ascii="Arial" w:hAnsi="Arial" w:cs="Arial"/>
          <w:sz w:val="22"/>
          <w:szCs w:val="22"/>
        </w:rPr>
        <w:t xml:space="preserve">M), trametinib is not considered to be </w:t>
      </w:r>
      <w:r w:rsidRPr="00620AF0">
        <w:rPr>
          <w:rFonts w:ascii="Arial" w:hAnsi="Arial" w:cs="Arial"/>
          <w:i/>
          <w:sz w:val="22"/>
          <w:szCs w:val="22"/>
        </w:rPr>
        <w:t>in vivo</w:t>
      </w:r>
      <w:r w:rsidRPr="00620AF0">
        <w:rPr>
          <w:rFonts w:ascii="Arial" w:hAnsi="Arial" w:cs="Arial"/>
          <w:sz w:val="22"/>
          <w:szCs w:val="22"/>
        </w:rPr>
        <w:t xml:space="preserve"> inhibitor of these enzymes/transporters. Repeat dose administration of once-daily 2 mg trametinib had no effect on the single dose C</w:t>
      </w:r>
      <w:r w:rsidRPr="00620AF0">
        <w:rPr>
          <w:rFonts w:ascii="Arial" w:hAnsi="Arial" w:cs="Arial"/>
          <w:sz w:val="22"/>
          <w:szCs w:val="22"/>
          <w:vertAlign w:val="subscript"/>
        </w:rPr>
        <w:t>max</w:t>
      </w:r>
      <w:r w:rsidRPr="00620AF0">
        <w:rPr>
          <w:rFonts w:ascii="Arial" w:hAnsi="Arial" w:cs="Arial"/>
          <w:sz w:val="22"/>
          <w:szCs w:val="22"/>
        </w:rPr>
        <w:t xml:space="preserve"> and AUC of </w:t>
      </w:r>
      <w:r w:rsidR="00240E6A">
        <w:rPr>
          <w:rFonts w:ascii="Arial" w:hAnsi="Arial" w:cs="Arial"/>
          <w:sz w:val="22"/>
          <w:szCs w:val="22"/>
        </w:rPr>
        <w:t>dabrafen</w:t>
      </w:r>
      <w:r w:rsidR="00240E6A" w:rsidRPr="000A10D5">
        <w:rPr>
          <w:rFonts w:ascii="Arial" w:hAnsi="Arial" w:cs="Arial"/>
          <w:sz w:val="22"/>
          <w:szCs w:val="22"/>
        </w:rPr>
        <w:t>ib</w:t>
      </w:r>
      <w:r w:rsidRPr="000A10D5">
        <w:rPr>
          <w:rFonts w:ascii="Arial" w:hAnsi="Arial" w:cs="Arial"/>
          <w:sz w:val="22"/>
          <w:szCs w:val="22"/>
        </w:rPr>
        <w:t>, a CYP2C8/CYP3A4 substrate</w:t>
      </w:r>
      <w:r w:rsidR="008F01EA" w:rsidRPr="000A10D5">
        <w:rPr>
          <w:rFonts w:ascii="Arial" w:hAnsi="Arial" w:cs="Arial"/>
          <w:sz w:val="22"/>
          <w:szCs w:val="22"/>
        </w:rPr>
        <w:t xml:space="preserve">, </w:t>
      </w:r>
      <w:r w:rsidR="008F01EA" w:rsidRPr="000A10D5">
        <w:rPr>
          <w:rFonts w:ascii="Arial" w:hAnsi="Arial" w:cs="Arial"/>
          <w:sz w:val="22"/>
          <w:szCs w:val="22"/>
          <w:lang w:val="en-GB"/>
        </w:rPr>
        <w:t>while a small increase in exposure was noted with repeat dose dabrafenib as discussed below.</w:t>
      </w:r>
      <w:r w:rsidRPr="000A10D5">
        <w:rPr>
          <w:rFonts w:ascii="Arial" w:hAnsi="Arial" w:cs="Arial"/>
          <w:sz w:val="22"/>
          <w:szCs w:val="22"/>
        </w:rPr>
        <w:t xml:space="preserve">  </w:t>
      </w:r>
    </w:p>
    <w:p w:rsidR="00CA384E" w:rsidRPr="00620AF0" w:rsidRDefault="00CA384E" w:rsidP="00CA384E">
      <w:pPr>
        <w:pStyle w:val="NoNumHead3"/>
        <w:keepNext w:val="0"/>
        <w:spacing w:after="120" w:line="240" w:lineRule="atLeast"/>
        <w:rPr>
          <w:rFonts w:eastAsia="MS Mincho" w:cs="Arial"/>
          <w:b w:val="0"/>
          <w:snapToGrid w:val="0"/>
          <w:sz w:val="22"/>
          <w:szCs w:val="22"/>
          <w:lang w:val="en-US" w:eastAsia="en-US"/>
        </w:rPr>
      </w:pPr>
      <w:bookmarkStart w:id="2" w:name="_Ref323306964"/>
      <w:bookmarkStart w:id="3" w:name="_Toc323311010"/>
      <w:r w:rsidRPr="007C685E">
        <w:rPr>
          <w:rStyle w:val="LBLLevel3"/>
          <w:rFonts w:cs="Arial"/>
          <w:b w:val="0"/>
          <w:sz w:val="22"/>
          <w:szCs w:val="22"/>
        </w:rPr>
        <w:t>Effects of Other Drugs on Trametinib</w:t>
      </w:r>
      <w:bookmarkEnd w:id="2"/>
      <w:bookmarkEnd w:id="3"/>
      <w:r w:rsidRPr="000A10D5">
        <w:rPr>
          <w:rFonts w:cs="Arial"/>
          <w:b w:val="0"/>
          <w:sz w:val="22"/>
          <w:szCs w:val="22"/>
        </w:rPr>
        <w:t xml:space="preserve">: In vitro data suggest that </w:t>
      </w:r>
      <w:r w:rsidRPr="00620AF0">
        <w:rPr>
          <w:rFonts w:cs="Arial"/>
          <w:b w:val="0"/>
          <w:sz w:val="22"/>
          <w:szCs w:val="22"/>
        </w:rPr>
        <w:t>trametinib is unlikely to be affected by other drugs.  Trametinib is not a substrate of the efflux transporters P-gp or BCRP. Trametinib is deacetylated via h</w:t>
      </w:r>
      <w:r w:rsidRPr="006E1840">
        <w:rPr>
          <w:rFonts w:cs="Arial"/>
          <w:b w:val="0"/>
          <w:sz w:val="22"/>
          <w:szCs w:val="22"/>
        </w:rPr>
        <w:t xml:space="preserve">ydrolytic enzymes which are not generally associated with drug interaction risk. </w:t>
      </w:r>
      <w:r w:rsidR="006E1840" w:rsidRPr="006E1840">
        <w:rPr>
          <w:rFonts w:cs="Arial"/>
          <w:b w:val="0"/>
          <w:sz w:val="22"/>
          <w:szCs w:val="22"/>
          <w:lang w:val="en-AU"/>
        </w:rPr>
        <w:t xml:space="preserve">Trametinib is a substrate of CYP3A4, but this plays a minor role in the metabolism of trametinib. </w:t>
      </w:r>
      <w:r w:rsidRPr="006E1840">
        <w:rPr>
          <w:rFonts w:cs="Arial"/>
          <w:b w:val="0"/>
          <w:sz w:val="22"/>
          <w:szCs w:val="22"/>
        </w:rPr>
        <w:t xml:space="preserve">Following concomitant administration of trametinib and </w:t>
      </w:r>
      <w:r w:rsidR="00240E6A" w:rsidRPr="006E1840">
        <w:rPr>
          <w:rFonts w:cs="Arial"/>
          <w:b w:val="0"/>
          <w:sz w:val="22"/>
          <w:szCs w:val="22"/>
        </w:rPr>
        <w:t>dabrafenib</w:t>
      </w:r>
      <w:r w:rsidRPr="006E1840">
        <w:rPr>
          <w:rFonts w:cs="Arial"/>
          <w:b w:val="0"/>
          <w:sz w:val="22"/>
          <w:szCs w:val="22"/>
        </w:rPr>
        <w:t>, a CYP3A4 inducer, repeat-</w:t>
      </w:r>
      <w:r w:rsidRPr="00620AF0">
        <w:rPr>
          <w:rFonts w:cs="Arial"/>
          <w:b w:val="0"/>
          <w:sz w:val="22"/>
          <w:szCs w:val="22"/>
        </w:rPr>
        <w:t>dose C</w:t>
      </w:r>
      <w:r w:rsidRPr="00620AF0">
        <w:rPr>
          <w:rFonts w:cs="Arial"/>
          <w:b w:val="0"/>
          <w:sz w:val="22"/>
          <w:szCs w:val="22"/>
          <w:vertAlign w:val="subscript"/>
        </w:rPr>
        <w:t xml:space="preserve">max </w:t>
      </w:r>
      <w:r w:rsidRPr="00620AF0">
        <w:rPr>
          <w:rFonts w:cs="Arial"/>
          <w:b w:val="0"/>
          <w:sz w:val="22"/>
          <w:szCs w:val="22"/>
        </w:rPr>
        <w:t xml:space="preserve">and AUC of trametinib were </w:t>
      </w:r>
      <w:r w:rsidR="004325B2" w:rsidRPr="004325B2">
        <w:rPr>
          <w:rFonts w:cs="Arial"/>
          <w:b w:val="0"/>
          <w:sz w:val="22"/>
          <w:szCs w:val="22"/>
          <w:lang w:val="en-AU"/>
        </w:rPr>
        <w:t>generally</w:t>
      </w:r>
      <w:r w:rsidR="004325B2" w:rsidRPr="004325B2">
        <w:rPr>
          <w:rFonts w:cs="Arial"/>
          <w:sz w:val="22"/>
          <w:szCs w:val="22"/>
          <w:lang w:val="en-AU"/>
        </w:rPr>
        <w:t xml:space="preserve"> </w:t>
      </w:r>
      <w:r w:rsidRPr="00620AF0">
        <w:rPr>
          <w:rFonts w:cs="Arial"/>
          <w:b w:val="0"/>
          <w:sz w:val="22"/>
          <w:szCs w:val="22"/>
        </w:rPr>
        <w:t>consistent with the exposure observed in monotherapy</w:t>
      </w:r>
      <w:r w:rsidR="00AC72CA" w:rsidRPr="00AC72CA">
        <w:rPr>
          <w:rFonts w:cs="Arial"/>
          <w:b w:val="0"/>
          <w:sz w:val="22"/>
          <w:szCs w:val="22"/>
          <w:lang w:val="en-AU"/>
        </w:rPr>
        <w:t>, although a small decrease in bioavailability was estimated as discussed below.</w:t>
      </w:r>
    </w:p>
    <w:p w:rsidR="0033556D" w:rsidRPr="00F25E7A" w:rsidRDefault="00BD31AF" w:rsidP="0033556D">
      <w:pPr>
        <w:pStyle w:val="CommentText"/>
        <w:spacing w:after="120" w:line="240" w:lineRule="atLeast"/>
        <w:rPr>
          <w:rFonts w:ascii="Arial" w:hAnsi="Arial" w:cs="Arial"/>
          <w:sz w:val="22"/>
          <w:szCs w:val="22"/>
          <w:lang w:val="en-GB"/>
        </w:rPr>
      </w:pPr>
      <w:r>
        <w:rPr>
          <w:rFonts w:ascii="Arial" w:hAnsi="Arial" w:cs="Arial"/>
          <w:sz w:val="22"/>
          <w:szCs w:val="22"/>
          <w:u w:val="single"/>
          <w:lang w:val="en-GB"/>
        </w:rPr>
        <w:t>Combination with D</w:t>
      </w:r>
      <w:r w:rsidR="0033556D" w:rsidRPr="0033556D">
        <w:rPr>
          <w:rFonts w:ascii="Arial" w:hAnsi="Arial" w:cs="Arial"/>
          <w:sz w:val="22"/>
          <w:szCs w:val="22"/>
          <w:u w:val="single"/>
          <w:lang w:val="en-GB"/>
        </w:rPr>
        <w:t>abrafenib:</w:t>
      </w:r>
      <w:r w:rsidR="0033556D">
        <w:rPr>
          <w:rFonts w:ascii="Arial" w:hAnsi="Arial" w:cs="Arial"/>
          <w:sz w:val="22"/>
          <w:szCs w:val="22"/>
          <w:lang w:val="en-GB"/>
        </w:rPr>
        <w:t xml:space="preserve"> </w:t>
      </w:r>
      <w:r w:rsidR="0033556D" w:rsidRPr="00F25E7A">
        <w:rPr>
          <w:rFonts w:ascii="Arial" w:hAnsi="Arial" w:cs="Arial"/>
          <w:sz w:val="22"/>
          <w:szCs w:val="22"/>
          <w:lang w:val="en-GB"/>
        </w:rPr>
        <w:t xml:space="preserve">Co-administration of repeat dosing of </w:t>
      </w:r>
      <w:r w:rsidR="0033556D">
        <w:rPr>
          <w:rFonts w:ascii="Arial" w:hAnsi="Arial" w:cs="Arial"/>
          <w:sz w:val="22"/>
          <w:szCs w:val="22"/>
          <w:lang w:val="en-GB"/>
        </w:rPr>
        <w:t>dabrafenib</w:t>
      </w:r>
      <w:r w:rsidR="0033556D" w:rsidRPr="00F25E7A">
        <w:rPr>
          <w:rFonts w:ascii="Arial" w:hAnsi="Arial" w:cs="Arial"/>
          <w:sz w:val="22"/>
          <w:szCs w:val="22"/>
          <w:lang w:val="en-GB"/>
        </w:rPr>
        <w:t xml:space="preserve"> 150 mg twice daily and trametinib 2 mg once daily resulted in an increase of 16% and 23% for </w:t>
      </w:r>
      <w:r w:rsidR="0033556D">
        <w:rPr>
          <w:rFonts w:ascii="Arial" w:hAnsi="Arial" w:cs="Arial"/>
          <w:sz w:val="22"/>
          <w:szCs w:val="22"/>
          <w:lang w:val="en-GB"/>
        </w:rPr>
        <w:t>dabrafenib</w:t>
      </w:r>
      <w:r w:rsidR="0033556D" w:rsidRPr="00F25E7A">
        <w:rPr>
          <w:rFonts w:ascii="Arial" w:hAnsi="Arial" w:cs="Arial"/>
          <w:sz w:val="22"/>
          <w:szCs w:val="22"/>
          <w:lang w:val="en-GB"/>
        </w:rPr>
        <w:t xml:space="preserve"> C</w:t>
      </w:r>
      <w:r w:rsidR="0033556D" w:rsidRPr="00F25E7A">
        <w:rPr>
          <w:rFonts w:ascii="Arial" w:hAnsi="Arial" w:cs="Arial"/>
          <w:sz w:val="22"/>
          <w:szCs w:val="22"/>
          <w:vertAlign w:val="subscript"/>
          <w:lang w:val="en-GB"/>
        </w:rPr>
        <w:t>max</w:t>
      </w:r>
      <w:r w:rsidR="0033556D" w:rsidRPr="00F25E7A">
        <w:rPr>
          <w:rFonts w:ascii="Arial" w:hAnsi="Arial" w:cs="Arial"/>
          <w:sz w:val="22"/>
          <w:szCs w:val="22"/>
          <w:lang w:val="en-GB"/>
        </w:rPr>
        <w:t xml:space="preserve"> and AUC, respectively.</w:t>
      </w:r>
      <w:r w:rsidR="0033556D">
        <w:rPr>
          <w:rFonts w:ascii="Arial" w:hAnsi="Arial" w:cs="Arial"/>
          <w:sz w:val="22"/>
          <w:szCs w:val="22"/>
          <w:lang w:val="en-GB"/>
        </w:rPr>
        <w:t xml:space="preserve"> A small decrease in trametinib bioavailability, corresponding to a decrease in AUC of 16%, was estimated when trametinib is administered in combination with dabrafenib using a population pharmacokinetic analysis.</w:t>
      </w:r>
    </w:p>
    <w:p w:rsidR="00E8070F" w:rsidRPr="00620AF0" w:rsidRDefault="00E8070F" w:rsidP="00656020">
      <w:pPr>
        <w:spacing w:after="120" w:line="240" w:lineRule="atLeast"/>
        <w:rPr>
          <w:rFonts w:ascii="Arial" w:hAnsi="Arial" w:cs="Arial"/>
          <w:sz w:val="22"/>
          <w:szCs w:val="22"/>
        </w:rPr>
      </w:pPr>
    </w:p>
    <w:p w:rsidR="0077380F" w:rsidRPr="00620AF0" w:rsidRDefault="0077380F" w:rsidP="00053893">
      <w:pPr>
        <w:jc w:val="both"/>
        <w:rPr>
          <w:rFonts w:ascii="Arial" w:hAnsi="Arial" w:cs="Arial"/>
          <w:b/>
          <w:sz w:val="22"/>
          <w:szCs w:val="22"/>
        </w:rPr>
      </w:pPr>
      <w:r w:rsidRPr="00620AF0">
        <w:rPr>
          <w:rFonts w:ascii="Arial" w:hAnsi="Arial" w:cs="Arial"/>
          <w:b/>
          <w:sz w:val="22"/>
          <w:szCs w:val="22"/>
        </w:rPr>
        <w:t>CLINICAL TRIALS</w:t>
      </w:r>
    </w:p>
    <w:p w:rsidR="00B00380" w:rsidRPr="00620AF0" w:rsidRDefault="00B00380" w:rsidP="002B2E9E">
      <w:pPr>
        <w:spacing w:after="120" w:line="240" w:lineRule="atLeast"/>
        <w:rPr>
          <w:rFonts w:ascii="Arial" w:hAnsi="Arial" w:cs="Arial"/>
          <w:sz w:val="22"/>
          <w:szCs w:val="22"/>
        </w:rPr>
      </w:pPr>
    </w:p>
    <w:p w:rsidR="00B00380" w:rsidRPr="00620AF0" w:rsidRDefault="00F25E7A" w:rsidP="002B2E9E">
      <w:pPr>
        <w:spacing w:after="120" w:line="240" w:lineRule="atLeast"/>
        <w:rPr>
          <w:rFonts w:ascii="Arial" w:hAnsi="Arial" w:cs="Arial"/>
          <w:b/>
          <w:sz w:val="22"/>
          <w:szCs w:val="22"/>
        </w:rPr>
      </w:pPr>
      <w:r>
        <w:rPr>
          <w:rFonts w:ascii="Arial" w:hAnsi="Arial" w:cs="Arial"/>
          <w:b/>
          <w:sz w:val="22"/>
          <w:szCs w:val="22"/>
        </w:rPr>
        <w:t>M</w:t>
      </w:r>
      <w:r w:rsidR="00B00380" w:rsidRPr="00620AF0">
        <w:rPr>
          <w:rFonts w:ascii="Arial" w:hAnsi="Arial" w:cs="Arial"/>
          <w:b/>
          <w:sz w:val="22"/>
          <w:szCs w:val="22"/>
        </w:rPr>
        <w:t>onotherapy</w:t>
      </w:r>
    </w:p>
    <w:p w:rsidR="002B2E9E" w:rsidRPr="00620AF0" w:rsidRDefault="002B2E9E" w:rsidP="002B2E9E">
      <w:pPr>
        <w:spacing w:after="120" w:line="240" w:lineRule="atLeast"/>
        <w:rPr>
          <w:rFonts w:ascii="Arial" w:hAnsi="Arial" w:cs="Arial"/>
          <w:b/>
          <w:sz w:val="22"/>
          <w:szCs w:val="22"/>
        </w:rPr>
      </w:pPr>
      <w:r w:rsidRPr="00620AF0">
        <w:rPr>
          <w:rFonts w:ascii="Arial" w:hAnsi="Arial" w:cs="Arial"/>
          <w:sz w:val="22"/>
          <w:szCs w:val="22"/>
        </w:rPr>
        <w:t xml:space="preserve">The efficacy and safety of </w:t>
      </w:r>
      <w:r w:rsidR="000810CE" w:rsidRPr="00620AF0">
        <w:rPr>
          <w:rFonts w:ascii="Arial" w:hAnsi="Arial" w:cs="Arial"/>
          <w:sz w:val="22"/>
          <w:szCs w:val="22"/>
        </w:rPr>
        <w:t>MEKINIST</w:t>
      </w:r>
      <w:r w:rsidRPr="00620AF0">
        <w:rPr>
          <w:rFonts w:ascii="Arial" w:hAnsi="Arial" w:cs="Arial"/>
          <w:sz w:val="22"/>
          <w:szCs w:val="22"/>
        </w:rPr>
        <w:t xml:space="preserve"> in patients with BRAF mutant melanoma (V600E and V60</w:t>
      </w:r>
      <w:r w:rsidR="00D45771">
        <w:rPr>
          <w:rFonts w:ascii="Arial" w:hAnsi="Arial" w:cs="Arial"/>
          <w:sz w:val="22"/>
          <w:szCs w:val="22"/>
        </w:rPr>
        <w:t>0K) were evaluated in a randomis</w:t>
      </w:r>
      <w:r w:rsidRPr="00620AF0">
        <w:rPr>
          <w:rFonts w:ascii="Arial" w:hAnsi="Arial" w:cs="Arial"/>
          <w:sz w:val="22"/>
          <w:szCs w:val="22"/>
        </w:rPr>
        <w:t>ed open label study</w:t>
      </w:r>
      <w:r w:rsidR="00CB4887">
        <w:rPr>
          <w:rFonts w:ascii="Arial" w:hAnsi="Arial" w:cs="Arial"/>
          <w:sz w:val="22"/>
          <w:szCs w:val="22"/>
        </w:rPr>
        <w:t xml:space="preserve"> (</w:t>
      </w:r>
      <w:r w:rsidR="00CB4887" w:rsidRPr="00CB4887">
        <w:rPr>
          <w:rFonts w:ascii="Arial" w:hAnsi="Arial" w:cs="Arial"/>
          <w:sz w:val="22"/>
          <w:szCs w:val="22"/>
        </w:rPr>
        <w:t>MEK114267</w:t>
      </w:r>
      <w:r w:rsidR="00CB4887">
        <w:rPr>
          <w:rFonts w:ascii="Arial" w:hAnsi="Arial" w:cs="Arial"/>
          <w:sz w:val="22"/>
          <w:szCs w:val="22"/>
        </w:rPr>
        <w:t>)</w:t>
      </w:r>
      <w:r w:rsidRPr="00620AF0">
        <w:rPr>
          <w:rFonts w:ascii="Arial" w:hAnsi="Arial" w:cs="Arial"/>
          <w:sz w:val="22"/>
          <w:szCs w:val="22"/>
        </w:rPr>
        <w:t>.</w:t>
      </w:r>
      <w:r w:rsidRPr="00620AF0">
        <w:rPr>
          <w:rFonts w:ascii="Arial" w:hAnsi="Arial" w:cs="Arial"/>
          <w:b/>
          <w:sz w:val="22"/>
          <w:szCs w:val="22"/>
        </w:rPr>
        <w:t xml:space="preserve"> </w:t>
      </w:r>
      <w:r w:rsidRPr="00620AF0">
        <w:rPr>
          <w:rFonts w:ascii="Arial" w:hAnsi="Arial" w:cs="Arial"/>
          <w:sz w:val="22"/>
          <w:szCs w:val="22"/>
        </w:rPr>
        <w:t>Measurement of patients BRAF</w:t>
      </w:r>
      <w:r w:rsidRPr="00620AF0">
        <w:rPr>
          <w:rFonts w:ascii="Arial" w:hAnsi="Arial" w:cs="Arial"/>
          <w:sz w:val="22"/>
          <w:szCs w:val="22"/>
          <w:vertAlign w:val="superscript"/>
        </w:rPr>
        <w:t xml:space="preserve">V600 </w:t>
      </w:r>
      <w:r w:rsidRPr="00620AF0">
        <w:rPr>
          <w:rFonts w:ascii="Arial" w:hAnsi="Arial" w:cs="Arial"/>
          <w:sz w:val="22"/>
          <w:szCs w:val="22"/>
        </w:rPr>
        <w:t xml:space="preserve">mutation status was required. Screening included central testing of BRAF mutation (V600E and V600K) using a BRAF mutation assay conducted on the most recent tumour sample available. </w:t>
      </w:r>
    </w:p>
    <w:p w:rsidR="002B2E9E" w:rsidRPr="00620AF0" w:rsidRDefault="002B2E9E" w:rsidP="002B2E9E">
      <w:pPr>
        <w:spacing w:after="120" w:line="240" w:lineRule="atLeast"/>
        <w:rPr>
          <w:rFonts w:ascii="Arial" w:hAnsi="Arial" w:cs="Arial"/>
          <w:sz w:val="22"/>
          <w:szCs w:val="22"/>
        </w:rPr>
      </w:pPr>
      <w:r w:rsidRPr="00620AF0">
        <w:rPr>
          <w:rFonts w:ascii="Arial" w:hAnsi="Arial" w:cs="Arial"/>
          <w:sz w:val="22"/>
          <w:szCs w:val="22"/>
        </w:rPr>
        <w:t>Patients (N = 322) who were treatment naïve or may have received one prior chemotherapy treatment in the metastatic setting [Intent to Treat</w:t>
      </w:r>
      <w:r w:rsidR="00D45771">
        <w:rPr>
          <w:rFonts w:ascii="Arial" w:hAnsi="Arial" w:cs="Arial"/>
          <w:sz w:val="22"/>
          <w:szCs w:val="22"/>
        </w:rPr>
        <w:t xml:space="preserve"> (ITT) population] were randomis</w:t>
      </w:r>
      <w:r w:rsidRPr="00620AF0">
        <w:rPr>
          <w:rFonts w:ascii="Arial" w:hAnsi="Arial" w:cs="Arial"/>
          <w:sz w:val="22"/>
          <w:szCs w:val="22"/>
        </w:rPr>
        <w:t xml:space="preserve">ed 2:1 to receive </w:t>
      </w:r>
      <w:r w:rsidR="000810CE" w:rsidRPr="00620AF0">
        <w:rPr>
          <w:rFonts w:ascii="Arial" w:hAnsi="Arial" w:cs="Arial"/>
          <w:sz w:val="22"/>
          <w:szCs w:val="22"/>
        </w:rPr>
        <w:t>MEKINIST</w:t>
      </w:r>
      <w:r w:rsidRPr="00620AF0">
        <w:rPr>
          <w:rFonts w:ascii="Arial" w:hAnsi="Arial" w:cs="Arial"/>
          <w:sz w:val="22"/>
          <w:szCs w:val="22"/>
        </w:rPr>
        <w:t xml:space="preserve"> 2 mg once daily or chemotherapy (dacarbazine </w:t>
      </w:r>
      <w:r w:rsidRPr="00620AF0">
        <w:rPr>
          <w:rFonts w:ascii="Arial" w:hAnsi="Arial" w:cs="Arial"/>
          <w:sz w:val="22"/>
          <w:szCs w:val="22"/>
        </w:rPr>
        <w:lastRenderedPageBreak/>
        <w:t>1000 mg/m</w:t>
      </w:r>
      <w:r w:rsidRPr="00620AF0">
        <w:rPr>
          <w:rFonts w:ascii="Arial" w:hAnsi="Arial" w:cs="Arial"/>
          <w:sz w:val="22"/>
          <w:szCs w:val="22"/>
          <w:vertAlign w:val="superscript"/>
        </w:rPr>
        <w:t xml:space="preserve">2 </w:t>
      </w:r>
      <w:r w:rsidRPr="00620AF0">
        <w:rPr>
          <w:rFonts w:ascii="Arial" w:hAnsi="Arial" w:cs="Arial"/>
          <w:sz w:val="22"/>
          <w:szCs w:val="22"/>
        </w:rPr>
        <w:t>every 3 weeks or paclitaxel 175 mg/m</w:t>
      </w:r>
      <w:r w:rsidRPr="00620AF0">
        <w:rPr>
          <w:rFonts w:ascii="Arial" w:hAnsi="Arial" w:cs="Arial"/>
          <w:sz w:val="22"/>
          <w:szCs w:val="22"/>
          <w:vertAlign w:val="superscript"/>
        </w:rPr>
        <w:t>2</w:t>
      </w:r>
      <w:r w:rsidRPr="00620AF0">
        <w:rPr>
          <w:rFonts w:ascii="Arial" w:hAnsi="Arial" w:cs="Arial"/>
          <w:sz w:val="22"/>
          <w:szCs w:val="22"/>
        </w:rPr>
        <w:t xml:space="preserve"> every 3 weeks). Treatment for all patients continued until disease progression, death or withdrawal. </w:t>
      </w:r>
    </w:p>
    <w:p w:rsidR="002B2E9E" w:rsidRPr="00620AF0" w:rsidRDefault="002B2E9E" w:rsidP="002B2E9E">
      <w:pPr>
        <w:spacing w:after="120" w:line="240" w:lineRule="atLeast"/>
        <w:rPr>
          <w:rFonts w:ascii="Arial" w:hAnsi="Arial" w:cs="Arial"/>
          <w:sz w:val="22"/>
          <w:szCs w:val="22"/>
        </w:rPr>
      </w:pPr>
      <w:r w:rsidRPr="00620AF0">
        <w:rPr>
          <w:rFonts w:ascii="Arial" w:hAnsi="Arial" w:cs="Arial"/>
          <w:sz w:val="22"/>
          <w:szCs w:val="22"/>
        </w:rPr>
        <w:t xml:space="preserve">The primary endpoint of the study was to evaluate the efficacy of </w:t>
      </w:r>
      <w:r w:rsidR="000810CE" w:rsidRPr="00620AF0">
        <w:rPr>
          <w:rFonts w:ascii="Arial" w:hAnsi="Arial" w:cs="Arial"/>
          <w:sz w:val="22"/>
          <w:szCs w:val="22"/>
        </w:rPr>
        <w:t>MEKINIST</w:t>
      </w:r>
      <w:r w:rsidRPr="00620AF0">
        <w:rPr>
          <w:rFonts w:ascii="Arial" w:hAnsi="Arial" w:cs="Arial"/>
          <w:sz w:val="22"/>
          <w:szCs w:val="22"/>
        </w:rPr>
        <w:t xml:space="preserve"> compared to chemotherapy with respect to progression-free survival (PFS) in patients with advanced/metastatic BRAF</w:t>
      </w:r>
      <w:r w:rsidRPr="00620AF0">
        <w:rPr>
          <w:rFonts w:ascii="Arial" w:hAnsi="Arial" w:cs="Arial"/>
          <w:sz w:val="22"/>
          <w:szCs w:val="22"/>
          <w:vertAlign w:val="superscript"/>
        </w:rPr>
        <w:t>V600E</w:t>
      </w:r>
      <w:r w:rsidRPr="00620AF0">
        <w:rPr>
          <w:rFonts w:ascii="Arial" w:hAnsi="Arial" w:cs="Arial"/>
          <w:sz w:val="22"/>
          <w:szCs w:val="22"/>
        </w:rPr>
        <w:t xml:space="preserve"> mutation-positive melanoma without a prior history of brain metastases (N = 273) which is considered the primary efficacy population. The secondary endpoints were progression-free survival in the ITT population and overall survival (OS), overall response rate (ORR), and duration of response in the primary efficacy population and ITT population. Patients in the chemotherapy arm were allowed to cross-over to the </w:t>
      </w:r>
      <w:r w:rsidR="000810CE" w:rsidRPr="00620AF0">
        <w:rPr>
          <w:rFonts w:ascii="Arial" w:hAnsi="Arial" w:cs="Arial"/>
          <w:sz w:val="22"/>
          <w:szCs w:val="22"/>
        </w:rPr>
        <w:t>MEKINIST</w:t>
      </w:r>
      <w:r w:rsidRPr="00620AF0">
        <w:rPr>
          <w:rFonts w:ascii="Arial" w:hAnsi="Arial" w:cs="Arial"/>
          <w:sz w:val="22"/>
          <w:szCs w:val="22"/>
        </w:rPr>
        <w:t xml:space="preserve"> arm after independent confirmation of progression. A total of 51 (47%) of patients with confirmed disease progression in the chemotherapy arm</w:t>
      </w:r>
      <w:r w:rsidR="00F25E7A">
        <w:rPr>
          <w:rFonts w:ascii="Arial" w:hAnsi="Arial" w:cs="Arial"/>
          <w:sz w:val="22"/>
          <w:szCs w:val="22"/>
        </w:rPr>
        <w:t>,</w:t>
      </w:r>
      <w:r w:rsidRPr="00620AF0">
        <w:rPr>
          <w:rFonts w:ascii="Arial" w:hAnsi="Arial" w:cs="Arial"/>
          <w:sz w:val="22"/>
          <w:szCs w:val="22"/>
        </w:rPr>
        <w:t xml:space="preserve"> crossed over to receive </w:t>
      </w:r>
      <w:r w:rsidR="000810CE" w:rsidRPr="00620AF0">
        <w:rPr>
          <w:rFonts w:ascii="Arial" w:hAnsi="Arial" w:cs="Arial"/>
          <w:sz w:val="22"/>
          <w:szCs w:val="22"/>
        </w:rPr>
        <w:t>MEKINIST</w:t>
      </w:r>
      <w:r w:rsidRPr="00620AF0">
        <w:rPr>
          <w:rFonts w:ascii="Arial" w:hAnsi="Arial" w:cs="Arial"/>
          <w:sz w:val="22"/>
          <w:szCs w:val="22"/>
        </w:rPr>
        <w:t xml:space="preserve">. </w:t>
      </w:r>
    </w:p>
    <w:p w:rsidR="002B2E9E" w:rsidRPr="00620AF0" w:rsidRDefault="002B2E9E" w:rsidP="002B2E9E">
      <w:pPr>
        <w:spacing w:after="120" w:line="240" w:lineRule="atLeast"/>
        <w:rPr>
          <w:rFonts w:ascii="Arial" w:hAnsi="Arial" w:cs="Arial"/>
          <w:sz w:val="22"/>
          <w:szCs w:val="22"/>
        </w:rPr>
      </w:pPr>
      <w:r w:rsidRPr="00620AF0">
        <w:rPr>
          <w:rFonts w:ascii="Arial" w:hAnsi="Arial" w:cs="Arial"/>
          <w:sz w:val="22"/>
          <w:szCs w:val="22"/>
        </w:rPr>
        <w:t xml:space="preserve">Baseline characteristics were balanced between treatment groups in the primary efficacy population and the ITT population. In the ITT population, the majority of patients were male (54%) and all were Caucasian (100%). The median age was 54 years (22% were </w:t>
      </w:r>
      <w:r w:rsidRPr="00620AF0">
        <w:rPr>
          <w:rFonts w:ascii="Arial" w:hAnsi="Arial" w:cs="Arial"/>
          <w:sz w:val="22"/>
          <w:szCs w:val="22"/>
        </w:rPr>
        <w:sym w:font="Symbol" w:char="F0B3"/>
      </w:r>
      <w:r w:rsidRPr="00620AF0">
        <w:rPr>
          <w:rFonts w:ascii="Arial" w:hAnsi="Arial" w:cs="Arial"/>
          <w:sz w:val="22"/>
          <w:szCs w:val="22"/>
        </w:rPr>
        <w:t>65 years), most patients (64%) had ECOG performance status of 0, and 11 patients (3%) had history of brain metastases. Most patients (87%) in the ITT population had BRAF</w:t>
      </w:r>
      <w:r w:rsidRPr="00620AF0">
        <w:rPr>
          <w:rFonts w:ascii="Arial" w:hAnsi="Arial" w:cs="Arial"/>
          <w:sz w:val="22"/>
          <w:szCs w:val="22"/>
          <w:vertAlign w:val="superscript"/>
        </w:rPr>
        <w:t>V600E</w:t>
      </w:r>
      <w:r w:rsidRPr="00620AF0">
        <w:rPr>
          <w:rFonts w:ascii="Arial" w:hAnsi="Arial" w:cs="Arial"/>
          <w:sz w:val="22"/>
          <w:szCs w:val="22"/>
        </w:rPr>
        <w:t xml:space="preserve"> mutation and 12% of patients had BRAF</w:t>
      </w:r>
      <w:r w:rsidRPr="00620AF0">
        <w:rPr>
          <w:rFonts w:ascii="Arial" w:hAnsi="Arial" w:cs="Arial"/>
          <w:sz w:val="22"/>
          <w:szCs w:val="22"/>
          <w:vertAlign w:val="superscript"/>
        </w:rPr>
        <w:t>V600K</w:t>
      </w:r>
      <w:r w:rsidRPr="00620AF0">
        <w:rPr>
          <w:rFonts w:ascii="Arial" w:hAnsi="Arial" w:cs="Arial"/>
          <w:sz w:val="22"/>
          <w:szCs w:val="22"/>
        </w:rPr>
        <w:t xml:space="preserve">. Most patients (66%) received no prior chemotherapy for advanced or metastatic disease. </w:t>
      </w:r>
    </w:p>
    <w:p w:rsidR="002B2E9E" w:rsidRPr="00620AF0" w:rsidRDefault="002B2E9E" w:rsidP="002B2E9E">
      <w:pPr>
        <w:spacing w:after="120" w:line="240" w:lineRule="atLeast"/>
        <w:rPr>
          <w:rFonts w:ascii="Arial" w:hAnsi="Arial" w:cs="Arial"/>
          <w:sz w:val="22"/>
          <w:szCs w:val="22"/>
        </w:rPr>
      </w:pPr>
      <w:r w:rsidRPr="00620AF0">
        <w:rPr>
          <w:rFonts w:ascii="Arial" w:hAnsi="Arial" w:cs="Arial"/>
          <w:sz w:val="22"/>
          <w:szCs w:val="22"/>
        </w:rPr>
        <w:t xml:space="preserve">The efficacy results in the primary efficacy population were consistent with those in the ITT population; therefore, only the efficacy data for the ITT population are presented in Table </w:t>
      </w:r>
      <w:r w:rsidR="004A6CA8" w:rsidRPr="00E869DF">
        <w:rPr>
          <w:rFonts w:ascii="Arial" w:hAnsi="Arial" w:cs="Arial"/>
          <w:sz w:val="22"/>
          <w:szCs w:val="22"/>
        </w:rPr>
        <w:t>1</w:t>
      </w:r>
      <w:r w:rsidRPr="00620AF0">
        <w:rPr>
          <w:rFonts w:ascii="Arial" w:hAnsi="Arial" w:cs="Arial"/>
          <w:sz w:val="22"/>
          <w:szCs w:val="22"/>
        </w:rPr>
        <w:t>.</w:t>
      </w:r>
    </w:p>
    <w:p w:rsidR="002B2E9E" w:rsidRPr="00620AF0" w:rsidRDefault="002B2E9E" w:rsidP="002B2E9E">
      <w:pPr>
        <w:pStyle w:val="Caption"/>
        <w:keepNext/>
        <w:keepLines/>
        <w:spacing w:line="240" w:lineRule="atLeast"/>
        <w:rPr>
          <w:rFonts w:ascii="Arial" w:hAnsi="Arial" w:cs="Arial"/>
          <w:sz w:val="22"/>
          <w:szCs w:val="22"/>
        </w:rPr>
      </w:pPr>
      <w:proofErr w:type="gramStart"/>
      <w:r w:rsidRPr="00620AF0">
        <w:rPr>
          <w:rFonts w:ascii="Arial" w:hAnsi="Arial" w:cs="Arial"/>
          <w:sz w:val="22"/>
          <w:szCs w:val="22"/>
        </w:rPr>
        <w:t xml:space="preserve">Table </w:t>
      </w:r>
      <w:r w:rsidR="004A6CA8">
        <w:rPr>
          <w:rFonts w:ascii="Arial" w:hAnsi="Arial" w:cs="Arial"/>
          <w:sz w:val="22"/>
          <w:szCs w:val="22"/>
        </w:rPr>
        <w:t>1</w:t>
      </w:r>
      <w:r w:rsidR="00E869DF">
        <w:rPr>
          <w:rFonts w:ascii="Arial" w:hAnsi="Arial" w:cs="Arial"/>
          <w:sz w:val="22"/>
          <w:szCs w:val="22"/>
        </w:rPr>
        <w:t>.</w:t>
      </w:r>
      <w:proofErr w:type="gramEnd"/>
      <w:r w:rsidRPr="00620AF0">
        <w:rPr>
          <w:rFonts w:ascii="Arial" w:hAnsi="Arial" w:cs="Arial"/>
          <w:sz w:val="22"/>
          <w:szCs w:val="22"/>
        </w:rPr>
        <w:t xml:space="preserve"> Investigator</w:t>
      </w:r>
      <w:r w:rsidR="000D4433">
        <w:rPr>
          <w:rFonts w:ascii="Arial" w:hAnsi="Arial" w:cs="Arial"/>
          <w:sz w:val="22"/>
          <w:szCs w:val="22"/>
        </w:rPr>
        <w:t>-</w:t>
      </w:r>
      <w:r w:rsidRPr="00620AF0">
        <w:rPr>
          <w:rFonts w:ascii="Arial" w:hAnsi="Arial" w:cs="Arial"/>
          <w:sz w:val="22"/>
          <w:szCs w:val="22"/>
        </w:rPr>
        <w:t>Assessed Efficacy Results (ITT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6"/>
        <w:gridCol w:w="2814"/>
        <w:gridCol w:w="2812"/>
      </w:tblGrid>
      <w:tr w:rsidR="002B2E9E" w:rsidRPr="00620AF0" w:rsidTr="00681AC5">
        <w:tc>
          <w:tcPr>
            <w:tcW w:w="1889" w:type="pct"/>
          </w:tcPr>
          <w:p w:rsidR="002B2E9E" w:rsidRPr="00620AF0" w:rsidRDefault="002B2E9E" w:rsidP="002B2E9E">
            <w:pPr>
              <w:keepNext/>
              <w:keepLines/>
              <w:tabs>
                <w:tab w:val="left" w:pos="274"/>
                <w:tab w:val="left" w:pos="547"/>
                <w:tab w:val="left" w:pos="821"/>
                <w:tab w:val="left" w:pos="1094"/>
              </w:tabs>
              <w:spacing w:line="240" w:lineRule="atLeast"/>
              <w:rPr>
                <w:rFonts w:ascii="Arial" w:hAnsi="Arial" w:cs="Arial"/>
                <w:b/>
              </w:rPr>
            </w:pPr>
            <w:r w:rsidRPr="00620AF0">
              <w:rPr>
                <w:rFonts w:ascii="Arial" w:hAnsi="Arial" w:cs="Arial"/>
                <w:b/>
              </w:rPr>
              <w:t>Endpoint</w:t>
            </w:r>
          </w:p>
        </w:tc>
        <w:tc>
          <w:tcPr>
            <w:tcW w:w="1556" w:type="pct"/>
          </w:tcPr>
          <w:p w:rsidR="002B2E9E" w:rsidRPr="00620AF0" w:rsidRDefault="000810CE" w:rsidP="002B2E9E">
            <w:pPr>
              <w:keepNext/>
              <w:keepLines/>
              <w:tabs>
                <w:tab w:val="left" w:pos="274"/>
                <w:tab w:val="left" w:pos="547"/>
                <w:tab w:val="left" w:pos="821"/>
                <w:tab w:val="left" w:pos="1094"/>
              </w:tabs>
              <w:spacing w:line="240" w:lineRule="atLeast"/>
              <w:jc w:val="center"/>
              <w:rPr>
                <w:rFonts w:ascii="Arial" w:hAnsi="Arial" w:cs="Arial"/>
              </w:rPr>
            </w:pPr>
            <w:r w:rsidRPr="00620AF0">
              <w:rPr>
                <w:rFonts w:ascii="Arial" w:hAnsi="Arial" w:cs="Arial"/>
                <w:b/>
              </w:rPr>
              <w:t>MEKINIST</w:t>
            </w:r>
          </w:p>
        </w:tc>
        <w:tc>
          <w:tcPr>
            <w:tcW w:w="1555" w:type="pct"/>
          </w:tcPr>
          <w:p w:rsidR="002B2E9E" w:rsidRPr="00620AF0" w:rsidRDefault="002B2E9E" w:rsidP="002B2E9E">
            <w:pPr>
              <w:keepNext/>
              <w:keepLines/>
              <w:tabs>
                <w:tab w:val="left" w:pos="274"/>
                <w:tab w:val="left" w:pos="547"/>
                <w:tab w:val="left" w:pos="821"/>
                <w:tab w:val="left" w:pos="1094"/>
              </w:tabs>
              <w:spacing w:line="240" w:lineRule="atLeast"/>
              <w:jc w:val="center"/>
              <w:rPr>
                <w:rFonts w:ascii="Arial" w:hAnsi="Arial" w:cs="Arial"/>
              </w:rPr>
            </w:pPr>
            <w:r w:rsidRPr="00620AF0">
              <w:rPr>
                <w:rFonts w:ascii="Arial" w:hAnsi="Arial" w:cs="Arial"/>
                <w:b/>
              </w:rPr>
              <w:t>Chemotherapy</w:t>
            </w:r>
            <w:r w:rsidRPr="00620AF0">
              <w:rPr>
                <w:rFonts w:ascii="Arial" w:hAnsi="Arial" w:cs="Arial"/>
                <w:b/>
                <w:vertAlign w:val="superscript"/>
              </w:rPr>
              <w:t>a</w:t>
            </w:r>
          </w:p>
        </w:tc>
      </w:tr>
      <w:tr w:rsidR="002B2E9E" w:rsidRPr="00620AF0" w:rsidTr="00681AC5">
        <w:tc>
          <w:tcPr>
            <w:tcW w:w="1889" w:type="pct"/>
            <w:tcBorders>
              <w:bottom w:val="single" w:sz="4" w:space="0" w:color="auto"/>
            </w:tcBorders>
          </w:tcPr>
          <w:p w:rsidR="002B2E9E" w:rsidRPr="00620AF0" w:rsidRDefault="002B2E9E" w:rsidP="002B2E9E">
            <w:pPr>
              <w:keepNext/>
              <w:keepLines/>
              <w:tabs>
                <w:tab w:val="left" w:pos="274"/>
                <w:tab w:val="left" w:pos="547"/>
                <w:tab w:val="left" w:pos="821"/>
                <w:tab w:val="left" w:pos="1094"/>
              </w:tabs>
              <w:spacing w:line="240" w:lineRule="atLeast"/>
              <w:rPr>
                <w:rFonts w:ascii="Arial" w:hAnsi="Arial" w:cs="Arial"/>
                <w:b/>
              </w:rPr>
            </w:pPr>
            <w:r w:rsidRPr="00620AF0">
              <w:rPr>
                <w:rFonts w:ascii="Arial" w:hAnsi="Arial" w:cs="Arial"/>
                <w:b/>
              </w:rPr>
              <w:t>Progression-Free Survival</w:t>
            </w:r>
          </w:p>
        </w:tc>
        <w:tc>
          <w:tcPr>
            <w:tcW w:w="1556" w:type="pct"/>
            <w:tcBorders>
              <w:bottom w:val="single" w:sz="4" w:space="0" w:color="auto"/>
            </w:tcBorders>
          </w:tcPr>
          <w:p w:rsidR="002B2E9E" w:rsidRPr="00620AF0" w:rsidRDefault="002B2E9E" w:rsidP="002B2E9E">
            <w:pPr>
              <w:keepNext/>
              <w:keepLines/>
              <w:tabs>
                <w:tab w:val="left" w:pos="274"/>
                <w:tab w:val="left" w:pos="547"/>
                <w:tab w:val="left" w:pos="821"/>
                <w:tab w:val="left" w:pos="1094"/>
              </w:tabs>
              <w:spacing w:line="240" w:lineRule="atLeast"/>
              <w:jc w:val="center"/>
              <w:rPr>
                <w:rFonts w:ascii="Arial" w:hAnsi="Arial" w:cs="Arial"/>
              </w:rPr>
            </w:pPr>
            <w:r w:rsidRPr="00620AF0">
              <w:rPr>
                <w:rFonts w:ascii="Arial" w:hAnsi="Arial" w:cs="Arial"/>
                <w:b/>
              </w:rPr>
              <w:t>(N = 214)</w:t>
            </w:r>
          </w:p>
        </w:tc>
        <w:tc>
          <w:tcPr>
            <w:tcW w:w="1555" w:type="pct"/>
            <w:tcBorders>
              <w:bottom w:val="single" w:sz="4" w:space="0" w:color="auto"/>
            </w:tcBorders>
          </w:tcPr>
          <w:p w:rsidR="002B2E9E" w:rsidRPr="00620AF0" w:rsidRDefault="002B2E9E" w:rsidP="002B2E9E">
            <w:pPr>
              <w:keepNext/>
              <w:keepLines/>
              <w:tabs>
                <w:tab w:val="left" w:pos="274"/>
                <w:tab w:val="left" w:pos="547"/>
                <w:tab w:val="left" w:pos="821"/>
                <w:tab w:val="left" w:pos="1094"/>
              </w:tabs>
              <w:spacing w:line="240" w:lineRule="atLeast"/>
              <w:jc w:val="center"/>
              <w:rPr>
                <w:rFonts w:ascii="Arial" w:hAnsi="Arial" w:cs="Arial"/>
              </w:rPr>
            </w:pPr>
            <w:r w:rsidRPr="00620AF0">
              <w:rPr>
                <w:rFonts w:ascii="Arial" w:hAnsi="Arial" w:cs="Arial"/>
                <w:b/>
              </w:rPr>
              <w:t>(N = 108)</w:t>
            </w:r>
          </w:p>
        </w:tc>
      </w:tr>
      <w:tr w:rsidR="002B2E9E" w:rsidRPr="00620AF0" w:rsidTr="00681AC5">
        <w:tc>
          <w:tcPr>
            <w:tcW w:w="1889" w:type="pct"/>
            <w:tcBorders>
              <w:bottom w:val="nil"/>
            </w:tcBorders>
          </w:tcPr>
          <w:p w:rsidR="002B2E9E" w:rsidRPr="00620AF0" w:rsidRDefault="000A3884" w:rsidP="000A3884">
            <w:pPr>
              <w:keepNext/>
              <w:keepLines/>
              <w:tabs>
                <w:tab w:val="left" w:pos="274"/>
                <w:tab w:val="left" w:pos="547"/>
                <w:tab w:val="left" w:pos="821"/>
                <w:tab w:val="left" w:pos="1094"/>
              </w:tabs>
              <w:spacing w:line="240" w:lineRule="atLeast"/>
              <w:rPr>
                <w:rFonts w:ascii="Arial" w:hAnsi="Arial" w:cs="Arial"/>
              </w:rPr>
            </w:pPr>
            <w:r w:rsidRPr="00620AF0">
              <w:rPr>
                <w:rFonts w:ascii="Arial" w:hAnsi="Arial" w:cs="Arial"/>
              </w:rPr>
              <w:t xml:space="preserve">Median , </w:t>
            </w:r>
            <w:r w:rsidR="002B2E9E" w:rsidRPr="00620AF0">
              <w:rPr>
                <w:rFonts w:ascii="Arial" w:hAnsi="Arial" w:cs="Arial"/>
              </w:rPr>
              <w:t>months</w:t>
            </w:r>
            <w:r w:rsidRPr="00620AF0">
              <w:rPr>
                <w:rFonts w:ascii="Arial" w:hAnsi="Arial" w:cs="Arial"/>
              </w:rPr>
              <w:t xml:space="preserve"> </w:t>
            </w:r>
            <w:r w:rsidR="002B2E9E" w:rsidRPr="00620AF0">
              <w:rPr>
                <w:rFonts w:ascii="Arial" w:hAnsi="Arial" w:cs="Arial"/>
              </w:rPr>
              <w:t>(95% CI)</w:t>
            </w:r>
          </w:p>
        </w:tc>
        <w:tc>
          <w:tcPr>
            <w:tcW w:w="1556" w:type="pct"/>
            <w:tcBorders>
              <w:bottom w:val="nil"/>
              <w:right w:val="nil"/>
            </w:tcBorders>
          </w:tcPr>
          <w:p w:rsidR="002B2E9E" w:rsidRPr="00620AF0" w:rsidRDefault="002B2E9E" w:rsidP="000A3884">
            <w:pPr>
              <w:keepNext/>
              <w:keepLines/>
              <w:tabs>
                <w:tab w:val="left" w:pos="274"/>
                <w:tab w:val="left" w:pos="547"/>
                <w:tab w:val="left" w:pos="821"/>
                <w:tab w:val="left" w:pos="1094"/>
              </w:tabs>
              <w:spacing w:line="240" w:lineRule="atLeast"/>
              <w:jc w:val="center"/>
              <w:rPr>
                <w:rFonts w:ascii="Arial" w:hAnsi="Arial" w:cs="Arial"/>
              </w:rPr>
            </w:pPr>
            <w:r w:rsidRPr="00620AF0">
              <w:rPr>
                <w:rFonts w:ascii="Arial" w:hAnsi="Arial" w:cs="Arial"/>
              </w:rPr>
              <w:t>4.8</w:t>
            </w:r>
            <w:r w:rsidR="000A3884" w:rsidRPr="00620AF0">
              <w:rPr>
                <w:rFonts w:ascii="Arial" w:hAnsi="Arial" w:cs="Arial"/>
              </w:rPr>
              <w:t xml:space="preserve"> </w:t>
            </w:r>
            <w:r w:rsidRPr="00620AF0">
              <w:rPr>
                <w:rFonts w:ascii="Arial" w:hAnsi="Arial" w:cs="Arial"/>
              </w:rPr>
              <w:t>(4.3, 4.9)</w:t>
            </w:r>
          </w:p>
        </w:tc>
        <w:tc>
          <w:tcPr>
            <w:tcW w:w="1555" w:type="pct"/>
            <w:tcBorders>
              <w:left w:val="nil"/>
              <w:bottom w:val="nil"/>
            </w:tcBorders>
          </w:tcPr>
          <w:p w:rsidR="002B2E9E" w:rsidRPr="00620AF0" w:rsidRDefault="002B2E9E" w:rsidP="000A3884">
            <w:pPr>
              <w:keepNext/>
              <w:keepLines/>
              <w:tabs>
                <w:tab w:val="left" w:pos="274"/>
                <w:tab w:val="left" w:pos="547"/>
                <w:tab w:val="left" w:pos="821"/>
                <w:tab w:val="left" w:pos="1094"/>
              </w:tabs>
              <w:spacing w:line="240" w:lineRule="atLeast"/>
              <w:jc w:val="center"/>
              <w:rPr>
                <w:rFonts w:ascii="Arial" w:hAnsi="Arial" w:cs="Arial"/>
              </w:rPr>
            </w:pPr>
            <w:r w:rsidRPr="00620AF0">
              <w:rPr>
                <w:rFonts w:ascii="Arial" w:hAnsi="Arial" w:cs="Arial"/>
              </w:rPr>
              <w:t>1.5</w:t>
            </w:r>
            <w:r w:rsidR="000A3884" w:rsidRPr="00620AF0">
              <w:rPr>
                <w:rFonts w:ascii="Arial" w:hAnsi="Arial" w:cs="Arial"/>
              </w:rPr>
              <w:t xml:space="preserve"> </w:t>
            </w:r>
            <w:r w:rsidRPr="00620AF0">
              <w:rPr>
                <w:rFonts w:ascii="Arial" w:hAnsi="Arial" w:cs="Arial"/>
              </w:rPr>
              <w:t>(1.4, 2.7)</w:t>
            </w:r>
          </w:p>
        </w:tc>
      </w:tr>
      <w:tr w:rsidR="002B2E9E" w:rsidRPr="00620AF0" w:rsidTr="000A3884">
        <w:tc>
          <w:tcPr>
            <w:tcW w:w="1889" w:type="pct"/>
            <w:tcBorders>
              <w:top w:val="nil"/>
              <w:bottom w:val="single" w:sz="4" w:space="0" w:color="auto"/>
            </w:tcBorders>
          </w:tcPr>
          <w:p w:rsidR="002B2E9E" w:rsidRPr="00620AF0" w:rsidRDefault="002B2E9E" w:rsidP="002B2E9E">
            <w:pPr>
              <w:keepNext/>
              <w:tabs>
                <w:tab w:val="left" w:pos="274"/>
                <w:tab w:val="left" w:pos="547"/>
                <w:tab w:val="left" w:pos="821"/>
                <w:tab w:val="left" w:pos="1094"/>
              </w:tabs>
              <w:spacing w:line="240" w:lineRule="atLeast"/>
              <w:rPr>
                <w:rFonts w:ascii="Arial" w:hAnsi="Arial" w:cs="Arial"/>
                <w:i/>
              </w:rPr>
            </w:pPr>
            <w:r w:rsidRPr="00620AF0">
              <w:rPr>
                <w:rFonts w:ascii="Arial" w:hAnsi="Arial" w:cs="Arial"/>
              </w:rPr>
              <w:t>Hazard Ratio</w:t>
            </w:r>
            <w:r w:rsidR="000A3884" w:rsidRPr="00620AF0">
              <w:rPr>
                <w:rFonts w:ascii="Arial" w:hAnsi="Arial" w:cs="Arial"/>
              </w:rPr>
              <w:t xml:space="preserve"> </w:t>
            </w:r>
            <w:r w:rsidRPr="00620AF0">
              <w:rPr>
                <w:rFonts w:ascii="Arial" w:hAnsi="Arial" w:cs="Arial"/>
              </w:rPr>
              <w:t>(95% CI)</w:t>
            </w:r>
          </w:p>
          <w:p w:rsidR="002B2E9E" w:rsidRPr="00620AF0" w:rsidRDefault="002B2E9E" w:rsidP="002B2E9E">
            <w:pPr>
              <w:keepNext/>
              <w:tabs>
                <w:tab w:val="left" w:pos="274"/>
                <w:tab w:val="left" w:pos="547"/>
                <w:tab w:val="left" w:pos="821"/>
                <w:tab w:val="left" w:pos="1094"/>
              </w:tabs>
              <w:spacing w:line="240" w:lineRule="atLeast"/>
              <w:rPr>
                <w:rFonts w:ascii="Arial" w:hAnsi="Arial" w:cs="Arial"/>
              </w:rPr>
            </w:pPr>
            <w:r w:rsidRPr="00620AF0">
              <w:rPr>
                <w:rFonts w:ascii="Arial" w:hAnsi="Arial" w:cs="Arial"/>
              </w:rPr>
              <w:tab/>
            </w:r>
            <w:r w:rsidRPr="00620AF0">
              <w:rPr>
                <w:rFonts w:ascii="Arial" w:hAnsi="Arial" w:cs="Arial"/>
                <w:i/>
              </w:rPr>
              <w:t>P</w:t>
            </w:r>
            <w:r w:rsidRPr="00620AF0">
              <w:rPr>
                <w:rFonts w:ascii="Arial" w:hAnsi="Arial" w:cs="Arial"/>
              </w:rPr>
              <w:t xml:space="preserve"> value</w:t>
            </w:r>
          </w:p>
        </w:tc>
        <w:tc>
          <w:tcPr>
            <w:tcW w:w="3111" w:type="pct"/>
            <w:gridSpan w:val="2"/>
            <w:tcBorders>
              <w:top w:val="nil"/>
              <w:bottom w:val="single" w:sz="4" w:space="0" w:color="auto"/>
            </w:tcBorders>
          </w:tcPr>
          <w:p w:rsidR="002B2E9E" w:rsidRPr="00620AF0" w:rsidRDefault="002B2E9E" w:rsidP="002B2E9E">
            <w:pPr>
              <w:keepNext/>
              <w:tabs>
                <w:tab w:val="left" w:pos="274"/>
                <w:tab w:val="left" w:pos="547"/>
                <w:tab w:val="left" w:pos="821"/>
                <w:tab w:val="left" w:pos="1094"/>
              </w:tabs>
              <w:spacing w:line="240" w:lineRule="atLeast"/>
              <w:jc w:val="center"/>
              <w:rPr>
                <w:rFonts w:ascii="Arial" w:hAnsi="Arial" w:cs="Arial"/>
              </w:rPr>
            </w:pPr>
            <w:r w:rsidRPr="00620AF0">
              <w:rPr>
                <w:rFonts w:ascii="Arial" w:hAnsi="Arial" w:cs="Arial"/>
              </w:rPr>
              <w:t>0.45</w:t>
            </w:r>
            <w:r w:rsidR="000A3884" w:rsidRPr="00620AF0">
              <w:rPr>
                <w:rFonts w:ascii="Arial" w:hAnsi="Arial" w:cs="Arial"/>
              </w:rPr>
              <w:t xml:space="preserve"> </w:t>
            </w:r>
            <w:r w:rsidRPr="00620AF0">
              <w:rPr>
                <w:rFonts w:ascii="Arial" w:hAnsi="Arial" w:cs="Arial"/>
              </w:rPr>
              <w:t>(0.33, 0.63)</w:t>
            </w:r>
          </w:p>
          <w:p w:rsidR="002B2E9E" w:rsidRPr="00620AF0" w:rsidRDefault="002B2E9E" w:rsidP="002B2E9E">
            <w:pPr>
              <w:keepNext/>
              <w:tabs>
                <w:tab w:val="left" w:pos="274"/>
                <w:tab w:val="left" w:pos="547"/>
                <w:tab w:val="left" w:pos="821"/>
                <w:tab w:val="left" w:pos="1094"/>
              </w:tabs>
              <w:spacing w:line="240" w:lineRule="atLeast"/>
              <w:jc w:val="center"/>
              <w:rPr>
                <w:rFonts w:ascii="Arial" w:hAnsi="Arial" w:cs="Arial"/>
              </w:rPr>
            </w:pPr>
            <w:r w:rsidRPr="00620AF0">
              <w:rPr>
                <w:rFonts w:ascii="Arial" w:hAnsi="Arial" w:cs="Arial"/>
              </w:rPr>
              <w:t>&lt;0.0001</w:t>
            </w:r>
          </w:p>
        </w:tc>
      </w:tr>
      <w:tr w:rsidR="002B2E9E" w:rsidRPr="00620AF0" w:rsidTr="00681AC5">
        <w:trPr>
          <w:trHeight w:val="278"/>
        </w:trPr>
        <w:tc>
          <w:tcPr>
            <w:tcW w:w="1889" w:type="pct"/>
            <w:tcBorders>
              <w:bottom w:val="nil"/>
            </w:tcBorders>
          </w:tcPr>
          <w:p w:rsidR="002B2E9E" w:rsidRPr="00620AF0" w:rsidRDefault="002B2E9E" w:rsidP="002B2E9E">
            <w:pPr>
              <w:keepNext/>
              <w:tabs>
                <w:tab w:val="left" w:pos="274"/>
                <w:tab w:val="left" w:pos="547"/>
                <w:tab w:val="left" w:pos="821"/>
                <w:tab w:val="left" w:pos="1094"/>
              </w:tabs>
              <w:spacing w:line="240" w:lineRule="atLeast"/>
              <w:rPr>
                <w:rFonts w:ascii="Arial" w:hAnsi="Arial" w:cs="Arial"/>
                <w:b/>
              </w:rPr>
            </w:pPr>
            <w:r w:rsidRPr="00620AF0">
              <w:rPr>
                <w:rFonts w:ascii="Arial" w:hAnsi="Arial" w:cs="Arial"/>
                <w:b/>
              </w:rPr>
              <w:t>Overall Survival</w:t>
            </w:r>
          </w:p>
        </w:tc>
        <w:tc>
          <w:tcPr>
            <w:tcW w:w="1556" w:type="pct"/>
            <w:tcBorders>
              <w:bottom w:val="nil"/>
              <w:right w:val="nil"/>
            </w:tcBorders>
          </w:tcPr>
          <w:p w:rsidR="002B2E9E" w:rsidRPr="00620AF0" w:rsidRDefault="002B2E9E" w:rsidP="002B2E9E">
            <w:pPr>
              <w:keepNext/>
              <w:spacing w:line="240" w:lineRule="atLeast"/>
              <w:jc w:val="center"/>
              <w:rPr>
                <w:rFonts w:ascii="Arial" w:hAnsi="Arial" w:cs="Arial"/>
              </w:rPr>
            </w:pPr>
          </w:p>
        </w:tc>
        <w:tc>
          <w:tcPr>
            <w:tcW w:w="1555" w:type="pct"/>
            <w:tcBorders>
              <w:left w:val="nil"/>
              <w:bottom w:val="nil"/>
            </w:tcBorders>
          </w:tcPr>
          <w:p w:rsidR="002B2E9E" w:rsidRPr="00620AF0" w:rsidRDefault="002B2E9E" w:rsidP="002B2E9E">
            <w:pPr>
              <w:keepNext/>
              <w:spacing w:line="240" w:lineRule="atLeast"/>
              <w:jc w:val="center"/>
              <w:rPr>
                <w:rFonts w:ascii="Arial" w:hAnsi="Arial" w:cs="Arial"/>
              </w:rPr>
            </w:pPr>
          </w:p>
        </w:tc>
      </w:tr>
      <w:tr w:rsidR="002B2E9E" w:rsidRPr="00620AF0" w:rsidTr="00681AC5">
        <w:tc>
          <w:tcPr>
            <w:tcW w:w="1889" w:type="pct"/>
            <w:tcBorders>
              <w:top w:val="nil"/>
              <w:bottom w:val="nil"/>
            </w:tcBorders>
          </w:tcPr>
          <w:p w:rsidR="002B2E9E" w:rsidRPr="00620AF0" w:rsidRDefault="002B2E9E" w:rsidP="002B2E9E">
            <w:pPr>
              <w:keepNext/>
              <w:tabs>
                <w:tab w:val="left" w:pos="274"/>
                <w:tab w:val="left" w:pos="547"/>
                <w:tab w:val="left" w:pos="821"/>
                <w:tab w:val="left" w:pos="1094"/>
              </w:tabs>
              <w:spacing w:line="240" w:lineRule="atLeast"/>
              <w:rPr>
                <w:rFonts w:ascii="Arial" w:hAnsi="Arial" w:cs="Arial"/>
              </w:rPr>
            </w:pPr>
            <w:r w:rsidRPr="00620AF0">
              <w:rPr>
                <w:rFonts w:ascii="Arial" w:hAnsi="Arial" w:cs="Arial"/>
              </w:rPr>
              <w:t>Died, n (%)</w:t>
            </w:r>
          </w:p>
        </w:tc>
        <w:tc>
          <w:tcPr>
            <w:tcW w:w="1556" w:type="pct"/>
            <w:tcBorders>
              <w:top w:val="nil"/>
              <w:bottom w:val="nil"/>
              <w:right w:val="nil"/>
            </w:tcBorders>
          </w:tcPr>
          <w:p w:rsidR="002B2E9E" w:rsidRPr="00620AF0" w:rsidRDefault="002B2E9E" w:rsidP="002B2E9E">
            <w:pPr>
              <w:keepNext/>
              <w:spacing w:line="240" w:lineRule="atLeast"/>
              <w:jc w:val="center"/>
              <w:rPr>
                <w:rFonts w:ascii="Arial" w:hAnsi="Arial" w:cs="Arial"/>
              </w:rPr>
            </w:pPr>
            <w:r w:rsidRPr="00620AF0">
              <w:rPr>
                <w:rFonts w:ascii="Arial" w:hAnsi="Arial" w:cs="Arial"/>
              </w:rPr>
              <w:t>35 (16)</w:t>
            </w:r>
          </w:p>
        </w:tc>
        <w:tc>
          <w:tcPr>
            <w:tcW w:w="1555" w:type="pct"/>
            <w:tcBorders>
              <w:top w:val="nil"/>
              <w:left w:val="nil"/>
              <w:bottom w:val="nil"/>
            </w:tcBorders>
          </w:tcPr>
          <w:p w:rsidR="002B2E9E" w:rsidRPr="00620AF0" w:rsidRDefault="002B2E9E" w:rsidP="002B2E9E">
            <w:pPr>
              <w:keepNext/>
              <w:spacing w:line="240" w:lineRule="atLeast"/>
              <w:jc w:val="center"/>
              <w:rPr>
                <w:rFonts w:ascii="Arial" w:hAnsi="Arial" w:cs="Arial"/>
              </w:rPr>
            </w:pPr>
            <w:r w:rsidRPr="00620AF0">
              <w:rPr>
                <w:rFonts w:ascii="Arial" w:hAnsi="Arial" w:cs="Arial"/>
              </w:rPr>
              <w:t>29 (27)</w:t>
            </w:r>
          </w:p>
        </w:tc>
      </w:tr>
      <w:tr w:rsidR="002B2E9E" w:rsidRPr="00620AF0" w:rsidTr="000A3884">
        <w:tc>
          <w:tcPr>
            <w:tcW w:w="1889" w:type="pct"/>
            <w:tcBorders>
              <w:top w:val="nil"/>
              <w:bottom w:val="nil"/>
            </w:tcBorders>
          </w:tcPr>
          <w:p w:rsidR="002B2E9E" w:rsidRPr="00620AF0" w:rsidRDefault="002B2E9E" w:rsidP="000A3884">
            <w:pPr>
              <w:pStyle w:val="listdashnospace"/>
              <w:keepNext/>
              <w:numPr>
                <w:ilvl w:val="0"/>
                <w:numId w:val="0"/>
              </w:numPr>
              <w:spacing w:line="240" w:lineRule="atLeast"/>
              <w:rPr>
                <w:rFonts w:ascii="Arial" w:hAnsi="Arial" w:cs="Arial"/>
                <w:sz w:val="20"/>
              </w:rPr>
            </w:pPr>
            <w:r w:rsidRPr="00620AF0">
              <w:rPr>
                <w:rFonts w:ascii="Arial" w:hAnsi="Arial" w:cs="Arial"/>
                <w:sz w:val="20"/>
              </w:rPr>
              <w:t>Hazard Ratio</w:t>
            </w:r>
            <w:r w:rsidR="000A3884" w:rsidRPr="00620AF0">
              <w:rPr>
                <w:rFonts w:ascii="Arial" w:hAnsi="Arial" w:cs="Arial"/>
                <w:sz w:val="20"/>
              </w:rPr>
              <w:t xml:space="preserve"> </w:t>
            </w:r>
            <w:r w:rsidRPr="00620AF0">
              <w:rPr>
                <w:rFonts w:ascii="Arial" w:hAnsi="Arial" w:cs="Arial"/>
                <w:sz w:val="20"/>
              </w:rPr>
              <w:t>(95% CI)</w:t>
            </w:r>
          </w:p>
          <w:p w:rsidR="002B2E9E" w:rsidRPr="00620AF0" w:rsidRDefault="002B2E9E" w:rsidP="002B2E9E">
            <w:pPr>
              <w:keepNext/>
              <w:tabs>
                <w:tab w:val="left" w:pos="274"/>
                <w:tab w:val="left" w:pos="547"/>
                <w:tab w:val="left" w:pos="821"/>
                <w:tab w:val="left" w:pos="1094"/>
              </w:tabs>
              <w:spacing w:line="240" w:lineRule="atLeast"/>
              <w:rPr>
                <w:rFonts w:ascii="Arial" w:hAnsi="Arial" w:cs="Arial"/>
              </w:rPr>
            </w:pPr>
            <w:r w:rsidRPr="00620AF0">
              <w:rPr>
                <w:rFonts w:ascii="Arial" w:hAnsi="Arial" w:cs="Arial"/>
              </w:rPr>
              <w:tab/>
            </w:r>
            <w:r w:rsidRPr="00620AF0">
              <w:rPr>
                <w:rFonts w:ascii="Arial" w:hAnsi="Arial" w:cs="Arial"/>
                <w:i/>
              </w:rPr>
              <w:t>P</w:t>
            </w:r>
            <w:r w:rsidRPr="00620AF0">
              <w:rPr>
                <w:rFonts w:ascii="Arial" w:hAnsi="Arial" w:cs="Arial"/>
              </w:rPr>
              <w:t xml:space="preserve"> value</w:t>
            </w:r>
          </w:p>
        </w:tc>
        <w:tc>
          <w:tcPr>
            <w:tcW w:w="3111" w:type="pct"/>
            <w:gridSpan w:val="2"/>
            <w:tcBorders>
              <w:top w:val="nil"/>
              <w:bottom w:val="nil"/>
            </w:tcBorders>
          </w:tcPr>
          <w:p w:rsidR="002B2E9E" w:rsidRPr="00620AF0" w:rsidRDefault="002B2E9E" w:rsidP="002B2E9E">
            <w:pPr>
              <w:keepNext/>
              <w:spacing w:line="240" w:lineRule="atLeast"/>
              <w:jc w:val="center"/>
              <w:rPr>
                <w:rFonts w:ascii="Arial" w:hAnsi="Arial" w:cs="Arial"/>
              </w:rPr>
            </w:pPr>
            <w:r w:rsidRPr="00620AF0">
              <w:rPr>
                <w:rFonts w:ascii="Arial" w:hAnsi="Arial" w:cs="Arial"/>
              </w:rPr>
              <w:t>0.54</w:t>
            </w:r>
            <w:r w:rsidR="000A3884" w:rsidRPr="00620AF0">
              <w:rPr>
                <w:rFonts w:ascii="Arial" w:hAnsi="Arial" w:cs="Arial"/>
              </w:rPr>
              <w:t xml:space="preserve"> </w:t>
            </w:r>
            <w:r w:rsidRPr="00620AF0">
              <w:rPr>
                <w:rFonts w:ascii="Arial" w:hAnsi="Arial" w:cs="Arial"/>
              </w:rPr>
              <w:t>(0.32, 0.92)</w:t>
            </w:r>
          </w:p>
          <w:p w:rsidR="002B2E9E" w:rsidRPr="00620AF0" w:rsidRDefault="002B2E9E" w:rsidP="002B2E9E">
            <w:pPr>
              <w:keepNext/>
              <w:tabs>
                <w:tab w:val="left" w:pos="274"/>
                <w:tab w:val="left" w:pos="547"/>
                <w:tab w:val="left" w:pos="821"/>
                <w:tab w:val="left" w:pos="1094"/>
              </w:tabs>
              <w:spacing w:line="240" w:lineRule="atLeast"/>
              <w:jc w:val="center"/>
              <w:rPr>
                <w:rFonts w:ascii="Arial" w:hAnsi="Arial" w:cs="Arial"/>
              </w:rPr>
            </w:pPr>
            <w:r w:rsidRPr="00620AF0">
              <w:rPr>
                <w:rFonts w:ascii="Arial" w:hAnsi="Arial" w:cs="Arial"/>
              </w:rPr>
              <w:t>0.0136</w:t>
            </w:r>
          </w:p>
        </w:tc>
      </w:tr>
      <w:tr w:rsidR="002B2E9E" w:rsidRPr="00620AF0" w:rsidTr="00681AC5">
        <w:tc>
          <w:tcPr>
            <w:tcW w:w="1889" w:type="pct"/>
            <w:tcBorders>
              <w:top w:val="nil"/>
            </w:tcBorders>
          </w:tcPr>
          <w:p w:rsidR="002B2E9E" w:rsidRPr="00620AF0" w:rsidRDefault="002B2E9E" w:rsidP="000A3884">
            <w:pPr>
              <w:pStyle w:val="listdashnospace"/>
              <w:numPr>
                <w:ilvl w:val="0"/>
                <w:numId w:val="0"/>
              </w:numPr>
              <w:tabs>
                <w:tab w:val="left" w:pos="270"/>
              </w:tabs>
              <w:spacing w:line="240" w:lineRule="atLeast"/>
              <w:rPr>
                <w:rFonts w:ascii="Arial" w:hAnsi="Arial" w:cs="Arial"/>
                <w:sz w:val="20"/>
              </w:rPr>
            </w:pPr>
            <w:r w:rsidRPr="00620AF0">
              <w:rPr>
                <w:rFonts w:ascii="Arial" w:hAnsi="Arial" w:cs="Arial"/>
                <w:sz w:val="20"/>
              </w:rPr>
              <w:t>Survival at 6 months (%)</w:t>
            </w:r>
            <w:r w:rsidR="000A3884" w:rsidRPr="00620AF0">
              <w:rPr>
                <w:rFonts w:ascii="Arial" w:hAnsi="Arial" w:cs="Arial"/>
                <w:sz w:val="20"/>
              </w:rPr>
              <w:t xml:space="preserve"> </w:t>
            </w:r>
            <w:r w:rsidRPr="00620AF0">
              <w:rPr>
                <w:rFonts w:ascii="Arial" w:hAnsi="Arial" w:cs="Arial"/>
                <w:sz w:val="20"/>
              </w:rPr>
              <w:t>(95% CI)</w:t>
            </w:r>
          </w:p>
        </w:tc>
        <w:tc>
          <w:tcPr>
            <w:tcW w:w="1556" w:type="pct"/>
            <w:tcBorders>
              <w:top w:val="nil"/>
              <w:right w:val="nil"/>
            </w:tcBorders>
          </w:tcPr>
          <w:p w:rsidR="002B2E9E" w:rsidRPr="00620AF0" w:rsidRDefault="002B2E9E" w:rsidP="000A3884">
            <w:pPr>
              <w:spacing w:line="240" w:lineRule="atLeast"/>
              <w:jc w:val="center"/>
              <w:rPr>
                <w:rFonts w:ascii="Arial" w:hAnsi="Arial" w:cs="Arial"/>
              </w:rPr>
            </w:pPr>
            <w:r w:rsidRPr="00620AF0">
              <w:rPr>
                <w:rFonts w:ascii="Arial" w:hAnsi="Arial" w:cs="Arial"/>
              </w:rPr>
              <w:t>81</w:t>
            </w:r>
            <w:r w:rsidR="000A3884" w:rsidRPr="00620AF0">
              <w:rPr>
                <w:rFonts w:ascii="Arial" w:hAnsi="Arial" w:cs="Arial"/>
              </w:rPr>
              <w:t xml:space="preserve"> </w:t>
            </w:r>
            <w:r w:rsidRPr="00620AF0">
              <w:rPr>
                <w:rFonts w:ascii="Arial" w:hAnsi="Arial" w:cs="Arial"/>
              </w:rPr>
              <w:t>(73, 86)</w:t>
            </w:r>
          </w:p>
        </w:tc>
        <w:tc>
          <w:tcPr>
            <w:tcW w:w="1555" w:type="pct"/>
            <w:tcBorders>
              <w:top w:val="nil"/>
              <w:left w:val="nil"/>
            </w:tcBorders>
          </w:tcPr>
          <w:p w:rsidR="002B2E9E" w:rsidRPr="00620AF0" w:rsidRDefault="002B2E9E" w:rsidP="000A3884">
            <w:pPr>
              <w:spacing w:line="240" w:lineRule="atLeast"/>
              <w:jc w:val="center"/>
              <w:rPr>
                <w:rFonts w:ascii="Arial" w:hAnsi="Arial" w:cs="Arial"/>
              </w:rPr>
            </w:pPr>
            <w:r w:rsidRPr="00620AF0">
              <w:rPr>
                <w:rFonts w:ascii="Arial" w:hAnsi="Arial" w:cs="Arial"/>
              </w:rPr>
              <w:t>67</w:t>
            </w:r>
            <w:r w:rsidR="000A3884" w:rsidRPr="00620AF0">
              <w:rPr>
                <w:rFonts w:ascii="Arial" w:hAnsi="Arial" w:cs="Arial"/>
              </w:rPr>
              <w:t xml:space="preserve"> </w:t>
            </w:r>
            <w:r w:rsidRPr="00620AF0">
              <w:rPr>
                <w:rFonts w:ascii="Arial" w:hAnsi="Arial" w:cs="Arial"/>
              </w:rPr>
              <w:t>(55, 77)</w:t>
            </w:r>
          </w:p>
        </w:tc>
      </w:tr>
      <w:tr w:rsidR="002B2E9E" w:rsidRPr="00620AF0" w:rsidTr="00681AC5">
        <w:tc>
          <w:tcPr>
            <w:tcW w:w="1889" w:type="pct"/>
          </w:tcPr>
          <w:p w:rsidR="002B2E9E" w:rsidRPr="00620AF0" w:rsidRDefault="002B2E9E" w:rsidP="002B2E9E">
            <w:pPr>
              <w:keepNext/>
              <w:keepLines/>
              <w:tabs>
                <w:tab w:val="left" w:pos="240"/>
              </w:tabs>
              <w:spacing w:line="240" w:lineRule="atLeast"/>
              <w:rPr>
                <w:rFonts w:ascii="Arial" w:hAnsi="Arial" w:cs="Arial"/>
              </w:rPr>
            </w:pPr>
            <w:r w:rsidRPr="00620AF0">
              <w:rPr>
                <w:rFonts w:ascii="Arial" w:eastAsia="MS Mincho" w:hAnsi="Arial" w:cs="Arial"/>
                <w:b/>
                <w:lang w:eastAsia="ja-JP"/>
              </w:rPr>
              <w:t>Overall Response Rate (%)</w:t>
            </w:r>
          </w:p>
        </w:tc>
        <w:tc>
          <w:tcPr>
            <w:tcW w:w="1556" w:type="pct"/>
          </w:tcPr>
          <w:p w:rsidR="002B2E9E" w:rsidRPr="00620AF0" w:rsidRDefault="002B2E9E" w:rsidP="002B2E9E">
            <w:pPr>
              <w:spacing w:line="240" w:lineRule="atLeast"/>
              <w:jc w:val="center"/>
              <w:rPr>
                <w:rFonts w:ascii="Arial" w:hAnsi="Arial" w:cs="Arial"/>
              </w:rPr>
            </w:pPr>
            <w:r w:rsidRPr="00620AF0">
              <w:rPr>
                <w:rFonts w:ascii="Arial" w:hAnsi="Arial" w:cs="Arial"/>
              </w:rPr>
              <w:t>22</w:t>
            </w:r>
          </w:p>
        </w:tc>
        <w:tc>
          <w:tcPr>
            <w:tcW w:w="1555" w:type="pct"/>
          </w:tcPr>
          <w:p w:rsidR="002B2E9E" w:rsidRPr="00620AF0" w:rsidRDefault="002B2E9E" w:rsidP="002B2E9E">
            <w:pPr>
              <w:spacing w:line="240" w:lineRule="atLeast"/>
              <w:jc w:val="center"/>
              <w:rPr>
                <w:rFonts w:ascii="Arial" w:hAnsi="Arial" w:cs="Arial"/>
              </w:rPr>
            </w:pPr>
            <w:r w:rsidRPr="00620AF0">
              <w:rPr>
                <w:rFonts w:ascii="Arial" w:hAnsi="Arial" w:cs="Arial"/>
              </w:rPr>
              <w:t>8</w:t>
            </w:r>
          </w:p>
        </w:tc>
      </w:tr>
    </w:tbl>
    <w:p w:rsidR="00681AC5" w:rsidRPr="00135D8D" w:rsidRDefault="00681AC5" w:rsidP="00656020">
      <w:pPr>
        <w:keepNext/>
        <w:ind w:left="567"/>
        <w:rPr>
          <w:rFonts w:ascii="Arial" w:hAnsi="Arial" w:cs="Arial"/>
          <w:sz w:val="18"/>
          <w:szCs w:val="18"/>
        </w:rPr>
      </w:pPr>
      <w:r w:rsidRPr="00135D8D">
        <w:rPr>
          <w:rFonts w:ascii="Arial" w:hAnsi="Arial" w:cs="Arial"/>
          <w:sz w:val="18"/>
          <w:szCs w:val="18"/>
          <w:lang w:val="en-GB"/>
        </w:rPr>
        <w:t xml:space="preserve">At the time of the data cut off, 51 patients (47%) on the chemotherapy arm had crossed over to the </w:t>
      </w:r>
      <w:r w:rsidR="00632731">
        <w:rPr>
          <w:rFonts w:ascii="Arial" w:hAnsi="Arial" w:cs="Arial"/>
          <w:sz w:val="18"/>
          <w:szCs w:val="18"/>
          <w:lang w:val="en-GB"/>
        </w:rPr>
        <w:t xml:space="preserve">MEKINIST </w:t>
      </w:r>
      <w:r w:rsidRPr="00135D8D">
        <w:rPr>
          <w:rFonts w:ascii="Arial" w:hAnsi="Arial" w:cs="Arial"/>
          <w:sz w:val="18"/>
          <w:szCs w:val="18"/>
          <w:lang w:val="en-GB"/>
        </w:rPr>
        <w:t>arm after disease progression. These patients are included in the OS analysis.</w:t>
      </w:r>
    </w:p>
    <w:p w:rsidR="002B2E9E" w:rsidRPr="00135D8D" w:rsidRDefault="002B2E9E" w:rsidP="00656020">
      <w:pPr>
        <w:keepNext/>
        <w:ind w:left="567"/>
        <w:rPr>
          <w:rFonts w:ascii="Arial" w:hAnsi="Arial" w:cs="Arial"/>
          <w:sz w:val="18"/>
          <w:szCs w:val="18"/>
        </w:rPr>
      </w:pPr>
      <w:r w:rsidRPr="00135D8D">
        <w:rPr>
          <w:rFonts w:ascii="Arial" w:hAnsi="Arial" w:cs="Arial"/>
          <w:sz w:val="18"/>
          <w:szCs w:val="18"/>
        </w:rPr>
        <w:t>ITT</w:t>
      </w:r>
      <w:r w:rsidR="00656020">
        <w:rPr>
          <w:rFonts w:ascii="Arial" w:hAnsi="Arial" w:cs="Arial"/>
          <w:sz w:val="18"/>
          <w:szCs w:val="18"/>
        </w:rPr>
        <w:t xml:space="preserve"> = </w:t>
      </w:r>
      <w:r w:rsidRPr="00135D8D">
        <w:rPr>
          <w:rFonts w:ascii="Arial" w:hAnsi="Arial" w:cs="Arial"/>
          <w:sz w:val="18"/>
          <w:szCs w:val="18"/>
        </w:rPr>
        <w:t xml:space="preserve">Intent to </w:t>
      </w:r>
      <w:r w:rsidR="00656020">
        <w:rPr>
          <w:rFonts w:ascii="Arial" w:hAnsi="Arial" w:cs="Arial"/>
          <w:sz w:val="18"/>
          <w:szCs w:val="18"/>
        </w:rPr>
        <w:t>t</w:t>
      </w:r>
      <w:r w:rsidRPr="00135D8D">
        <w:rPr>
          <w:rFonts w:ascii="Arial" w:hAnsi="Arial" w:cs="Arial"/>
          <w:sz w:val="18"/>
          <w:szCs w:val="18"/>
        </w:rPr>
        <w:t>reat; PFS = Progression-free survival; CI = </w:t>
      </w:r>
      <w:r w:rsidR="00656020">
        <w:rPr>
          <w:rFonts w:ascii="Arial" w:hAnsi="Arial" w:cs="Arial"/>
          <w:sz w:val="18"/>
          <w:szCs w:val="18"/>
        </w:rPr>
        <w:t>C</w:t>
      </w:r>
      <w:r w:rsidRPr="00135D8D">
        <w:rPr>
          <w:rFonts w:ascii="Arial" w:hAnsi="Arial" w:cs="Arial"/>
          <w:sz w:val="18"/>
          <w:szCs w:val="18"/>
        </w:rPr>
        <w:t>onfidence interval.</w:t>
      </w:r>
    </w:p>
    <w:p w:rsidR="002B2E9E" w:rsidRPr="00135D8D" w:rsidRDefault="002B2E9E" w:rsidP="00656020">
      <w:pPr>
        <w:ind w:left="567"/>
        <w:rPr>
          <w:rFonts w:ascii="Arial" w:hAnsi="Arial" w:cs="Arial"/>
          <w:sz w:val="18"/>
          <w:szCs w:val="18"/>
        </w:rPr>
      </w:pPr>
      <w:r w:rsidRPr="00135D8D">
        <w:rPr>
          <w:rFonts w:ascii="Arial" w:hAnsi="Arial" w:cs="Arial"/>
          <w:sz w:val="18"/>
          <w:szCs w:val="18"/>
          <w:vertAlign w:val="superscript"/>
        </w:rPr>
        <w:t>a</w:t>
      </w:r>
      <w:r w:rsidRPr="00135D8D">
        <w:rPr>
          <w:rFonts w:ascii="Arial" w:hAnsi="Arial" w:cs="Arial"/>
          <w:sz w:val="18"/>
          <w:szCs w:val="18"/>
        </w:rPr>
        <w:tab/>
        <w:t>Chemotherapy included patients on dacarbazine (DTIC) 1000 mg/m</w:t>
      </w:r>
      <w:r w:rsidRPr="00135D8D">
        <w:rPr>
          <w:rFonts w:ascii="Arial" w:hAnsi="Arial" w:cs="Arial"/>
          <w:sz w:val="18"/>
          <w:szCs w:val="18"/>
          <w:vertAlign w:val="superscript"/>
        </w:rPr>
        <w:t xml:space="preserve">2 </w:t>
      </w:r>
      <w:r w:rsidRPr="00135D8D">
        <w:rPr>
          <w:rFonts w:ascii="Arial" w:hAnsi="Arial" w:cs="Arial"/>
          <w:sz w:val="18"/>
          <w:szCs w:val="18"/>
        </w:rPr>
        <w:t>every 3 weeks or paclitaxel 175 mg/m</w:t>
      </w:r>
      <w:r w:rsidRPr="00135D8D">
        <w:rPr>
          <w:rFonts w:ascii="Arial" w:hAnsi="Arial" w:cs="Arial"/>
          <w:sz w:val="18"/>
          <w:szCs w:val="18"/>
          <w:vertAlign w:val="superscript"/>
        </w:rPr>
        <w:t>2</w:t>
      </w:r>
      <w:r w:rsidRPr="00135D8D">
        <w:rPr>
          <w:rFonts w:ascii="Arial" w:hAnsi="Arial" w:cs="Arial"/>
          <w:sz w:val="18"/>
          <w:szCs w:val="18"/>
        </w:rPr>
        <w:t xml:space="preserve"> every 3 weeks.</w:t>
      </w:r>
    </w:p>
    <w:p w:rsidR="002B2E9E" w:rsidRPr="00620AF0" w:rsidRDefault="002B2E9E" w:rsidP="000A3884">
      <w:pPr>
        <w:pStyle w:val="Caption"/>
        <w:keepNext/>
        <w:keepLines/>
        <w:rPr>
          <w:rFonts w:ascii="Arial" w:hAnsi="Arial" w:cs="Arial"/>
          <w:sz w:val="22"/>
          <w:szCs w:val="22"/>
        </w:rPr>
      </w:pPr>
      <w:proofErr w:type="gramStart"/>
      <w:r w:rsidRPr="00620AF0">
        <w:rPr>
          <w:rFonts w:ascii="Arial" w:hAnsi="Arial" w:cs="Arial"/>
          <w:sz w:val="22"/>
          <w:szCs w:val="22"/>
        </w:rPr>
        <w:lastRenderedPageBreak/>
        <w:t>Figure 1.</w:t>
      </w:r>
      <w:proofErr w:type="gramEnd"/>
      <w:r w:rsidRPr="00620AF0">
        <w:rPr>
          <w:rFonts w:ascii="Arial" w:hAnsi="Arial" w:cs="Arial"/>
          <w:sz w:val="22"/>
          <w:szCs w:val="22"/>
        </w:rPr>
        <w:t xml:space="preserve"> Investigator-Assessed Progression-Free Survival (ITT population)</w:t>
      </w:r>
    </w:p>
    <w:p w:rsidR="002B2E9E" w:rsidRPr="00620AF0" w:rsidRDefault="003C6FDB" w:rsidP="000A3884">
      <w:pPr>
        <w:ind w:left="360"/>
      </w:pPr>
      <w:r>
        <w:rPr>
          <w:noProof/>
          <w:lang w:val="en-GB" w:eastAsia="en-GB"/>
        </w:rPr>
        <w:pict>
          <v:shape id="Picture 6" o:spid="_x0000_i1026" type="#_x0000_t75" alt="Figure 1. Investigator-Assessed Progression-Free Survival (ITT population)" style="width:431.65pt;height:295.15pt;visibility:visible">
            <v:imagedata r:id="rId10" o:title="pfs_tram"/>
          </v:shape>
        </w:pict>
      </w:r>
    </w:p>
    <w:p w:rsidR="002B2E9E" w:rsidRPr="00620AF0" w:rsidRDefault="002B2E9E" w:rsidP="000A3884">
      <w:pPr>
        <w:spacing w:after="120" w:line="240" w:lineRule="atLeast"/>
        <w:rPr>
          <w:rFonts w:ascii="Arial" w:hAnsi="Arial" w:cs="Arial"/>
          <w:sz w:val="22"/>
          <w:szCs w:val="22"/>
        </w:rPr>
      </w:pPr>
      <w:r w:rsidRPr="00620AF0">
        <w:rPr>
          <w:rFonts w:ascii="Arial" w:hAnsi="Arial" w:cs="Arial"/>
          <w:sz w:val="22"/>
          <w:szCs w:val="22"/>
        </w:rPr>
        <w:t xml:space="preserve">The PFS result was consistent in the subgroup of patients with V600K mutation positive melanoma (HR = 0.50; [95% CI: 0.18, 1.35], p=0.0788). </w:t>
      </w:r>
    </w:p>
    <w:p w:rsidR="004B2F12" w:rsidRPr="004B2F12" w:rsidRDefault="00F81E71" w:rsidP="000A3884">
      <w:pPr>
        <w:spacing w:after="120" w:line="240" w:lineRule="atLeast"/>
        <w:rPr>
          <w:rFonts w:ascii="Arial" w:hAnsi="Arial" w:cs="Arial"/>
          <w:i/>
          <w:sz w:val="22"/>
          <w:szCs w:val="22"/>
          <w:u w:val="single"/>
        </w:rPr>
      </w:pPr>
      <w:r w:rsidRPr="00F81E71">
        <w:rPr>
          <w:rFonts w:ascii="Arial" w:hAnsi="Arial" w:cs="Arial"/>
          <w:i/>
          <w:sz w:val="22"/>
          <w:szCs w:val="22"/>
          <w:u w:val="single"/>
        </w:rPr>
        <w:t>BRAF pre-treated treatment</w:t>
      </w:r>
    </w:p>
    <w:p w:rsidR="00C603AF" w:rsidRDefault="002B2E9E" w:rsidP="000A3884">
      <w:pPr>
        <w:spacing w:after="120" w:line="240" w:lineRule="atLeast"/>
        <w:rPr>
          <w:rFonts w:ascii="Arial" w:hAnsi="Arial" w:cs="Arial"/>
          <w:sz w:val="22"/>
          <w:szCs w:val="22"/>
        </w:rPr>
      </w:pPr>
      <w:r w:rsidRPr="00620AF0">
        <w:rPr>
          <w:rFonts w:ascii="Arial" w:hAnsi="Arial" w:cs="Arial"/>
          <w:sz w:val="22"/>
          <w:szCs w:val="22"/>
        </w:rPr>
        <w:t xml:space="preserve">In a single arm Phase II study, </w:t>
      </w:r>
      <w:r w:rsidR="004B2F12">
        <w:rPr>
          <w:rFonts w:ascii="Arial" w:hAnsi="Arial" w:cs="Arial"/>
          <w:sz w:val="22"/>
          <w:szCs w:val="22"/>
        </w:rPr>
        <w:t xml:space="preserve">designed to evaluate the objective response rate, safety and pharmacokinetics following dosing of MEKINST at 2.0 mg QD in patients with BRAF V600E, V600K, or V600D mutation-positive metastatic melanoma, two separate cohorts were enrolled: Cohort A- patients with prior treatment with a BRAF inhibitor either with or without other prior therapy. Cohort B- patients with </w:t>
      </w:r>
      <w:proofErr w:type="gramStart"/>
      <w:r w:rsidR="004B2F12">
        <w:rPr>
          <w:rFonts w:ascii="Arial" w:hAnsi="Arial" w:cs="Arial"/>
          <w:sz w:val="22"/>
          <w:szCs w:val="22"/>
        </w:rPr>
        <w:t>at least 1 prior chemotherapy</w:t>
      </w:r>
      <w:proofErr w:type="gramEnd"/>
      <w:r w:rsidR="004B2F12">
        <w:rPr>
          <w:rFonts w:ascii="Arial" w:hAnsi="Arial" w:cs="Arial"/>
          <w:sz w:val="22"/>
          <w:szCs w:val="22"/>
        </w:rPr>
        <w:t xml:space="preserve"> or immunotherapy, without prior treatment with a BRAF inhibitor.</w:t>
      </w:r>
      <w:r w:rsidR="00C603AF">
        <w:rPr>
          <w:rFonts w:ascii="Arial" w:hAnsi="Arial" w:cs="Arial"/>
          <w:sz w:val="22"/>
          <w:szCs w:val="22"/>
        </w:rPr>
        <w:t xml:space="preserve"> </w:t>
      </w:r>
    </w:p>
    <w:p w:rsidR="002B2E9E" w:rsidRPr="00620AF0" w:rsidRDefault="00C603AF" w:rsidP="000A3884">
      <w:pPr>
        <w:spacing w:after="120" w:line="240" w:lineRule="atLeast"/>
        <w:rPr>
          <w:rFonts w:ascii="Arial" w:hAnsi="Arial" w:cs="Arial"/>
          <w:sz w:val="22"/>
          <w:szCs w:val="22"/>
        </w:rPr>
      </w:pPr>
      <w:r>
        <w:rPr>
          <w:rFonts w:ascii="Arial" w:hAnsi="Arial" w:cs="Arial"/>
          <w:sz w:val="22"/>
          <w:szCs w:val="22"/>
        </w:rPr>
        <w:t xml:space="preserve">In Cohort A of this study, </w:t>
      </w:r>
      <w:r w:rsidR="00DD0412">
        <w:rPr>
          <w:rFonts w:ascii="Arial" w:hAnsi="Arial" w:cs="Arial"/>
          <w:sz w:val="22"/>
          <w:szCs w:val="22"/>
        </w:rPr>
        <w:t>MEKINIST</w:t>
      </w:r>
      <w:r w:rsidR="002B2E9E" w:rsidRPr="00620AF0">
        <w:rPr>
          <w:rFonts w:ascii="Arial" w:hAnsi="Arial" w:cs="Arial"/>
          <w:sz w:val="22"/>
          <w:szCs w:val="22"/>
        </w:rPr>
        <w:t xml:space="preserve"> did not demonstrate clinical activity in patients who progressed on a prior BRAF inhibitor therapy in one of the cohorts </w:t>
      </w:r>
      <w:r w:rsidR="002B2E9E" w:rsidRPr="00620AF0">
        <w:rPr>
          <w:rFonts w:ascii="Arial" w:hAnsi="Arial" w:cs="Arial"/>
          <w:i/>
          <w:sz w:val="22"/>
          <w:szCs w:val="22"/>
        </w:rPr>
        <w:t>(</w:t>
      </w:r>
      <w:r w:rsidR="002B2E9E" w:rsidRPr="00620AF0">
        <w:rPr>
          <w:rFonts w:ascii="Arial" w:hAnsi="Arial" w:cs="Arial"/>
          <w:sz w:val="22"/>
          <w:szCs w:val="22"/>
        </w:rPr>
        <w:t xml:space="preserve">see </w:t>
      </w:r>
      <w:r w:rsidR="00856A66" w:rsidRPr="00620AF0">
        <w:rPr>
          <w:rFonts w:ascii="Arial" w:hAnsi="Arial" w:cs="Arial"/>
          <w:sz w:val="22"/>
          <w:szCs w:val="22"/>
        </w:rPr>
        <w:t>INDICATIONS</w:t>
      </w:r>
      <w:r w:rsidR="002B2E9E" w:rsidRPr="00620AF0">
        <w:rPr>
          <w:rFonts w:ascii="Arial" w:hAnsi="Arial" w:cs="Arial"/>
          <w:i/>
          <w:sz w:val="22"/>
          <w:szCs w:val="22"/>
        </w:rPr>
        <w:t>)</w:t>
      </w:r>
      <w:r w:rsidR="002B2E9E" w:rsidRPr="00620AF0">
        <w:rPr>
          <w:rFonts w:ascii="Arial" w:hAnsi="Arial" w:cs="Arial"/>
          <w:sz w:val="22"/>
          <w:szCs w:val="22"/>
        </w:rPr>
        <w:t>.</w:t>
      </w:r>
    </w:p>
    <w:p w:rsidR="004F640B" w:rsidRPr="00620AF0" w:rsidRDefault="00240E6A" w:rsidP="00656020">
      <w:pPr>
        <w:spacing w:after="120"/>
        <w:rPr>
          <w:rFonts w:ascii="Arial" w:hAnsi="Arial" w:cs="Arial"/>
          <w:b/>
          <w:sz w:val="22"/>
          <w:szCs w:val="22"/>
        </w:rPr>
      </w:pPr>
      <w:r>
        <w:rPr>
          <w:rFonts w:ascii="Arial" w:hAnsi="Arial" w:cs="Arial"/>
          <w:b/>
          <w:sz w:val="22"/>
          <w:szCs w:val="22"/>
        </w:rPr>
        <w:t>Combination with dabrafenib</w:t>
      </w:r>
    </w:p>
    <w:p w:rsidR="004404CD" w:rsidRDefault="008B7F67" w:rsidP="008B7F67">
      <w:pPr>
        <w:spacing w:after="120" w:line="240" w:lineRule="atLeast"/>
        <w:rPr>
          <w:rFonts w:ascii="Arial" w:hAnsi="Arial" w:cs="Arial"/>
          <w:sz w:val="22"/>
          <w:szCs w:val="22"/>
        </w:rPr>
      </w:pPr>
      <w:r w:rsidRPr="00620AF0">
        <w:rPr>
          <w:rFonts w:ascii="Arial" w:hAnsi="Arial" w:cs="Arial"/>
          <w:sz w:val="22"/>
          <w:szCs w:val="22"/>
        </w:rPr>
        <w:t>In an open-label study</w:t>
      </w:r>
      <w:r w:rsidR="00902814">
        <w:rPr>
          <w:rFonts w:ascii="Arial" w:hAnsi="Arial" w:cs="Arial"/>
          <w:sz w:val="22"/>
          <w:szCs w:val="22"/>
        </w:rPr>
        <w:t xml:space="preserve"> (BRF113220)</w:t>
      </w:r>
      <w:r w:rsidRPr="00620AF0">
        <w:rPr>
          <w:rFonts w:ascii="Arial" w:hAnsi="Arial" w:cs="Arial"/>
          <w:sz w:val="22"/>
          <w:szCs w:val="22"/>
        </w:rPr>
        <w:t xml:space="preserve">, the safety, pharmacokinetics, pharmacodynamics and clinical </w:t>
      </w:r>
      <w:r w:rsidR="004A6CA8">
        <w:rPr>
          <w:rFonts w:ascii="Arial" w:hAnsi="Arial" w:cs="Arial"/>
          <w:sz w:val="22"/>
          <w:szCs w:val="22"/>
        </w:rPr>
        <w:t>activity</w:t>
      </w:r>
      <w:r w:rsidRPr="00620AF0">
        <w:rPr>
          <w:rFonts w:ascii="Arial" w:hAnsi="Arial" w:cs="Arial"/>
          <w:sz w:val="22"/>
          <w:szCs w:val="22"/>
        </w:rPr>
        <w:t xml:space="preserve"> of </w:t>
      </w:r>
      <w:r w:rsidR="00554516">
        <w:rPr>
          <w:rFonts w:ascii="Arial" w:hAnsi="Arial" w:cs="Arial"/>
          <w:sz w:val="22"/>
          <w:szCs w:val="22"/>
        </w:rPr>
        <w:t>MEKINIST</w:t>
      </w:r>
      <w:r w:rsidRPr="00620AF0">
        <w:rPr>
          <w:rFonts w:ascii="Arial" w:hAnsi="Arial" w:cs="Arial"/>
          <w:sz w:val="22"/>
          <w:szCs w:val="22"/>
        </w:rPr>
        <w:t xml:space="preserve"> and </w:t>
      </w:r>
      <w:r w:rsidR="00240E6A">
        <w:rPr>
          <w:rFonts w:ascii="Arial" w:hAnsi="Arial" w:cs="Arial"/>
          <w:sz w:val="22"/>
          <w:szCs w:val="22"/>
        </w:rPr>
        <w:t>dabrafenib</w:t>
      </w:r>
      <w:r w:rsidRPr="00620AF0">
        <w:rPr>
          <w:rFonts w:ascii="Arial" w:hAnsi="Arial" w:cs="Arial"/>
          <w:sz w:val="22"/>
          <w:szCs w:val="22"/>
        </w:rPr>
        <w:t xml:space="preserve"> in combination were evaluated</w:t>
      </w:r>
      <w:r w:rsidR="004A6CA8">
        <w:rPr>
          <w:rFonts w:ascii="Arial" w:hAnsi="Arial" w:cs="Arial"/>
          <w:sz w:val="22"/>
          <w:szCs w:val="22"/>
        </w:rPr>
        <w:t xml:space="preserve"> in patients </w:t>
      </w:r>
      <w:r w:rsidR="004A6CA8" w:rsidRPr="004A6CA8">
        <w:rPr>
          <w:rFonts w:ascii="Arial" w:hAnsi="Arial" w:cs="Arial"/>
          <w:sz w:val="22"/>
          <w:szCs w:val="22"/>
          <w:lang w:val="en-GB"/>
        </w:rPr>
        <w:t>with BRAF V600 mutation-positive melanoma</w:t>
      </w:r>
      <w:r w:rsidRPr="00620AF0">
        <w:rPr>
          <w:rFonts w:ascii="Arial" w:hAnsi="Arial" w:cs="Arial"/>
          <w:sz w:val="22"/>
          <w:szCs w:val="22"/>
        </w:rPr>
        <w:t>. This study had four parts, A-D</w:t>
      </w:r>
      <w:r w:rsidR="004404CD">
        <w:rPr>
          <w:rFonts w:ascii="Arial" w:hAnsi="Arial" w:cs="Arial"/>
          <w:sz w:val="22"/>
          <w:szCs w:val="22"/>
        </w:rPr>
        <w:t>:</w:t>
      </w:r>
      <w:r w:rsidRPr="00620AF0">
        <w:rPr>
          <w:rFonts w:ascii="Arial" w:hAnsi="Arial" w:cs="Arial"/>
          <w:sz w:val="22"/>
          <w:szCs w:val="22"/>
        </w:rPr>
        <w:t xml:space="preserve"> </w:t>
      </w:r>
    </w:p>
    <w:p w:rsidR="004404CD" w:rsidRPr="000D4433" w:rsidRDefault="00F81E71" w:rsidP="004404CD">
      <w:pPr>
        <w:pStyle w:val="tabletext"/>
        <w:numPr>
          <w:ilvl w:val="0"/>
          <w:numId w:val="28"/>
        </w:numPr>
        <w:spacing w:after="0"/>
        <w:rPr>
          <w:rFonts w:ascii="Arial" w:hAnsi="Arial" w:cs="Arial"/>
          <w:sz w:val="22"/>
          <w:szCs w:val="22"/>
        </w:rPr>
      </w:pPr>
      <w:r w:rsidRPr="00F81E71">
        <w:rPr>
          <w:rFonts w:ascii="Arial" w:hAnsi="Arial" w:cs="Arial"/>
          <w:sz w:val="22"/>
          <w:szCs w:val="22"/>
        </w:rPr>
        <w:t>Part A: drug / drug interaction study (n=8),</w:t>
      </w:r>
    </w:p>
    <w:p w:rsidR="004404CD" w:rsidRPr="000D4433" w:rsidRDefault="00F81E71" w:rsidP="004404CD">
      <w:pPr>
        <w:pStyle w:val="tabletext"/>
        <w:numPr>
          <w:ilvl w:val="0"/>
          <w:numId w:val="28"/>
        </w:numPr>
        <w:spacing w:after="0"/>
        <w:rPr>
          <w:rFonts w:ascii="Arial" w:hAnsi="Arial" w:cs="Arial"/>
          <w:sz w:val="22"/>
          <w:szCs w:val="22"/>
        </w:rPr>
      </w:pPr>
      <w:r w:rsidRPr="00F81E71">
        <w:rPr>
          <w:rFonts w:ascii="Arial" w:hAnsi="Arial" w:cs="Arial"/>
          <w:sz w:val="22"/>
          <w:szCs w:val="22"/>
        </w:rPr>
        <w:t>Part B: dose escalation and expansion study (n=</w:t>
      </w:r>
      <w:r w:rsidR="00EB7C99">
        <w:rPr>
          <w:rFonts w:ascii="Arial" w:hAnsi="Arial" w:cs="Arial"/>
          <w:sz w:val="22"/>
          <w:szCs w:val="22"/>
        </w:rPr>
        <w:t>135</w:t>
      </w:r>
      <w:r w:rsidRPr="00F81E71">
        <w:rPr>
          <w:rFonts w:ascii="Arial" w:hAnsi="Arial" w:cs="Arial"/>
          <w:sz w:val="22"/>
          <w:szCs w:val="22"/>
        </w:rPr>
        <w:t>),</w:t>
      </w:r>
    </w:p>
    <w:p w:rsidR="004404CD" w:rsidRPr="000D4433" w:rsidRDefault="00F81E71" w:rsidP="004404CD">
      <w:pPr>
        <w:pStyle w:val="tabletext"/>
        <w:numPr>
          <w:ilvl w:val="0"/>
          <w:numId w:val="28"/>
        </w:numPr>
        <w:spacing w:after="0"/>
        <w:rPr>
          <w:rFonts w:ascii="Arial" w:hAnsi="Arial" w:cs="Arial"/>
          <w:sz w:val="22"/>
          <w:szCs w:val="22"/>
        </w:rPr>
      </w:pPr>
      <w:r w:rsidRPr="00F81E71">
        <w:rPr>
          <w:rFonts w:ascii="Arial" w:hAnsi="Arial" w:cs="Arial"/>
          <w:sz w:val="22"/>
          <w:szCs w:val="22"/>
        </w:rPr>
        <w:t>Part C: see description below</w:t>
      </w:r>
    </w:p>
    <w:p w:rsidR="004404CD" w:rsidRPr="000D4433" w:rsidRDefault="00F81E71" w:rsidP="004404CD">
      <w:pPr>
        <w:pStyle w:val="tabletext"/>
        <w:numPr>
          <w:ilvl w:val="0"/>
          <w:numId w:val="28"/>
        </w:numPr>
        <w:spacing w:after="0"/>
        <w:rPr>
          <w:rFonts w:ascii="Arial" w:hAnsi="Arial" w:cs="Arial"/>
          <w:sz w:val="22"/>
          <w:szCs w:val="22"/>
        </w:rPr>
      </w:pPr>
      <w:r w:rsidRPr="00F81E71">
        <w:rPr>
          <w:rFonts w:ascii="Arial" w:hAnsi="Arial" w:cs="Arial"/>
          <w:sz w:val="22"/>
          <w:szCs w:val="22"/>
        </w:rPr>
        <w:t>Part D: pharmacokinetic and safety evaluation of Hydroxy Propyl Methyl Cellulose (HPMC) dabrafenib capsules (n=</w:t>
      </w:r>
      <w:r w:rsidR="00EB7C99">
        <w:rPr>
          <w:rFonts w:ascii="Arial" w:hAnsi="Arial" w:cs="Arial"/>
          <w:sz w:val="22"/>
          <w:szCs w:val="22"/>
        </w:rPr>
        <w:t>110</w:t>
      </w:r>
      <w:r w:rsidRPr="00F81E71">
        <w:rPr>
          <w:rFonts w:ascii="Arial" w:hAnsi="Arial" w:cs="Arial"/>
          <w:sz w:val="22"/>
          <w:szCs w:val="22"/>
        </w:rPr>
        <w:t xml:space="preserve">). </w:t>
      </w:r>
    </w:p>
    <w:p w:rsidR="004404CD" w:rsidRDefault="004404CD" w:rsidP="008B7F67">
      <w:pPr>
        <w:spacing w:after="120" w:line="240" w:lineRule="atLeast"/>
        <w:rPr>
          <w:rFonts w:ascii="Arial" w:hAnsi="Arial" w:cs="Arial"/>
          <w:sz w:val="22"/>
          <w:szCs w:val="22"/>
        </w:rPr>
      </w:pPr>
    </w:p>
    <w:p w:rsidR="008B7F67" w:rsidRPr="00620AF0" w:rsidRDefault="008B7F67" w:rsidP="008B7F67">
      <w:pPr>
        <w:spacing w:after="120" w:line="240" w:lineRule="atLeast"/>
        <w:rPr>
          <w:rFonts w:ascii="Arial" w:hAnsi="Arial" w:cs="Arial"/>
          <w:sz w:val="22"/>
          <w:szCs w:val="22"/>
        </w:rPr>
      </w:pPr>
      <w:r w:rsidRPr="00620AF0">
        <w:rPr>
          <w:rFonts w:ascii="Arial" w:hAnsi="Arial" w:cs="Arial"/>
          <w:sz w:val="22"/>
          <w:szCs w:val="22"/>
        </w:rPr>
        <w:t>The determination of BRAF mutation positive status was required and was established by institutional laboratory for all patients enrolled in Parts A-D.</w:t>
      </w:r>
    </w:p>
    <w:p w:rsidR="00B85D79" w:rsidRDefault="008B7F67" w:rsidP="001F3783">
      <w:pPr>
        <w:spacing w:before="100" w:beforeAutospacing="1" w:after="120" w:line="240" w:lineRule="atLeast"/>
        <w:rPr>
          <w:rFonts w:ascii="Arial" w:hAnsi="Arial" w:cs="Arial"/>
          <w:sz w:val="22"/>
          <w:szCs w:val="22"/>
          <w:lang w:val="en-GB"/>
        </w:rPr>
      </w:pPr>
      <w:r w:rsidRPr="00620AF0">
        <w:rPr>
          <w:rFonts w:ascii="Arial" w:hAnsi="Arial" w:cs="Arial"/>
          <w:sz w:val="22"/>
          <w:szCs w:val="22"/>
        </w:rPr>
        <w:lastRenderedPageBreak/>
        <w:t>P</w:t>
      </w:r>
      <w:r w:rsidR="00D45771">
        <w:rPr>
          <w:rFonts w:ascii="Arial" w:hAnsi="Arial" w:cs="Arial"/>
          <w:sz w:val="22"/>
          <w:szCs w:val="22"/>
        </w:rPr>
        <w:t>art C was an open-label randomis</w:t>
      </w:r>
      <w:r w:rsidRPr="00620AF0">
        <w:rPr>
          <w:rFonts w:ascii="Arial" w:hAnsi="Arial" w:cs="Arial"/>
          <w:sz w:val="22"/>
          <w:szCs w:val="22"/>
        </w:rPr>
        <w:t xml:space="preserve">ed three-arm phase II study to assess safety and efficacy of </w:t>
      </w:r>
      <w:r w:rsidR="00240E6A">
        <w:rPr>
          <w:rFonts w:ascii="Arial" w:hAnsi="Arial" w:cs="Arial"/>
          <w:sz w:val="22"/>
          <w:szCs w:val="22"/>
        </w:rPr>
        <w:t>dabrafenib</w:t>
      </w:r>
      <w:r w:rsidRPr="00620AF0">
        <w:rPr>
          <w:rFonts w:ascii="Arial" w:hAnsi="Arial" w:cs="Arial"/>
          <w:sz w:val="22"/>
          <w:szCs w:val="22"/>
        </w:rPr>
        <w:t xml:space="preserve"> at 150 mg given twice daily in combination with two different doses of </w:t>
      </w:r>
      <w:r w:rsidR="00554516">
        <w:rPr>
          <w:rFonts w:ascii="Arial" w:hAnsi="Arial" w:cs="Arial"/>
          <w:sz w:val="22"/>
          <w:szCs w:val="22"/>
        </w:rPr>
        <w:t>MEKINIST</w:t>
      </w:r>
      <w:r w:rsidRPr="00620AF0">
        <w:rPr>
          <w:rFonts w:ascii="Arial" w:hAnsi="Arial" w:cs="Arial"/>
          <w:sz w:val="22"/>
          <w:szCs w:val="22"/>
        </w:rPr>
        <w:t xml:space="preserve"> (1 mg once daily and 2 mg once daily) relative to </w:t>
      </w:r>
      <w:r w:rsidR="00240E6A">
        <w:rPr>
          <w:rFonts w:ascii="Arial" w:hAnsi="Arial" w:cs="Arial"/>
          <w:sz w:val="22"/>
          <w:szCs w:val="22"/>
        </w:rPr>
        <w:t>dabrafenib</w:t>
      </w:r>
      <w:r w:rsidRPr="00620AF0">
        <w:rPr>
          <w:rFonts w:ascii="Arial" w:hAnsi="Arial" w:cs="Arial"/>
          <w:sz w:val="22"/>
          <w:szCs w:val="22"/>
        </w:rPr>
        <w:t xml:space="preserve"> alone (150 mg twice daily) in 162 patients.</w:t>
      </w:r>
      <w:r w:rsidR="00B85D79" w:rsidRPr="00B85D79">
        <w:rPr>
          <w:sz w:val="24"/>
          <w:lang w:val="en-GB" w:eastAsia="en-GB"/>
        </w:rPr>
        <w:t xml:space="preserve"> </w:t>
      </w:r>
      <w:r w:rsidR="00B85D79" w:rsidRPr="00B85D79">
        <w:rPr>
          <w:rFonts w:ascii="Arial" w:hAnsi="Arial" w:cs="Arial"/>
          <w:sz w:val="22"/>
          <w:szCs w:val="22"/>
          <w:lang w:val="en-GB"/>
        </w:rPr>
        <w:t>The primary efficacy endpoints were PF</w:t>
      </w:r>
      <w:r w:rsidR="00B85D79">
        <w:rPr>
          <w:rFonts w:ascii="Arial" w:hAnsi="Arial" w:cs="Arial"/>
          <w:sz w:val="22"/>
          <w:szCs w:val="22"/>
          <w:lang w:val="en-GB"/>
        </w:rPr>
        <w:t xml:space="preserve">S, ORR, and duration of response. </w:t>
      </w:r>
      <w:r w:rsidR="00B85D79" w:rsidRPr="00620AF0">
        <w:rPr>
          <w:rFonts w:ascii="Arial" w:hAnsi="Arial" w:cs="Arial"/>
          <w:sz w:val="22"/>
          <w:szCs w:val="22"/>
        </w:rPr>
        <w:t xml:space="preserve">Patients on the </w:t>
      </w:r>
      <w:r w:rsidR="00B85D79">
        <w:rPr>
          <w:rFonts w:ascii="Arial" w:hAnsi="Arial" w:cs="Arial"/>
          <w:sz w:val="22"/>
          <w:szCs w:val="22"/>
        </w:rPr>
        <w:t>dabrafenib</w:t>
      </w:r>
      <w:r w:rsidR="00B85D79" w:rsidRPr="00620AF0">
        <w:rPr>
          <w:rFonts w:ascii="Arial" w:hAnsi="Arial" w:cs="Arial"/>
          <w:sz w:val="22"/>
          <w:szCs w:val="22"/>
        </w:rPr>
        <w:t xml:space="preserve"> monotherapy arm were permitted to cross-over to the full-dose combination arm (150 mg </w:t>
      </w:r>
      <w:r w:rsidR="00B85D79">
        <w:rPr>
          <w:rFonts w:ascii="Arial" w:hAnsi="Arial" w:cs="Arial"/>
          <w:sz w:val="22"/>
          <w:szCs w:val="22"/>
        </w:rPr>
        <w:t>dabrafenib</w:t>
      </w:r>
      <w:r w:rsidR="00B85D79" w:rsidRPr="00620AF0">
        <w:rPr>
          <w:rFonts w:ascii="Arial" w:hAnsi="Arial" w:cs="Arial"/>
          <w:sz w:val="22"/>
          <w:szCs w:val="22"/>
        </w:rPr>
        <w:t xml:space="preserve"> plus 2 mg </w:t>
      </w:r>
      <w:r w:rsidR="00B85D79">
        <w:rPr>
          <w:rFonts w:ascii="Arial" w:hAnsi="Arial" w:cs="Arial"/>
          <w:sz w:val="22"/>
          <w:szCs w:val="22"/>
        </w:rPr>
        <w:t>MEKINIST</w:t>
      </w:r>
      <w:r w:rsidR="00B85D79" w:rsidRPr="00620AF0">
        <w:rPr>
          <w:rFonts w:ascii="Arial" w:hAnsi="Arial" w:cs="Arial"/>
          <w:sz w:val="22"/>
          <w:szCs w:val="22"/>
        </w:rPr>
        <w:t xml:space="preserve">) upon progression. A total of 43 patients (81%) in the </w:t>
      </w:r>
      <w:r w:rsidR="00B85D79">
        <w:rPr>
          <w:rFonts w:ascii="Arial" w:hAnsi="Arial" w:cs="Arial"/>
          <w:sz w:val="22"/>
          <w:szCs w:val="22"/>
        </w:rPr>
        <w:t>dabrafenib</w:t>
      </w:r>
      <w:r w:rsidR="00B85D79" w:rsidRPr="00620AF0">
        <w:rPr>
          <w:rFonts w:ascii="Arial" w:hAnsi="Arial" w:cs="Arial"/>
          <w:sz w:val="22"/>
          <w:szCs w:val="22"/>
        </w:rPr>
        <w:t xml:space="preserve"> monotherapy arm with disease progression crossed over to receive </w:t>
      </w:r>
      <w:r w:rsidR="00B85D79">
        <w:rPr>
          <w:rFonts w:ascii="Arial" w:hAnsi="Arial" w:cs="Arial"/>
          <w:sz w:val="22"/>
          <w:szCs w:val="22"/>
        </w:rPr>
        <w:t>dabrafenib</w:t>
      </w:r>
      <w:r w:rsidR="00B85D79" w:rsidRPr="00620AF0">
        <w:rPr>
          <w:rFonts w:ascii="Arial" w:hAnsi="Arial" w:cs="Arial"/>
          <w:sz w:val="22"/>
          <w:szCs w:val="22"/>
        </w:rPr>
        <w:t xml:space="preserve"> 150 mg and </w:t>
      </w:r>
      <w:r w:rsidR="00B85D79">
        <w:rPr>
          <w:rFonts w:ascii="Arial" w:hAnsi="Arial" w:cs="Arial"/>
          <w:sz w:val="22"/>
          <w:szCs w:val="22"/>
        </w:rPr>
        <w:t>MEKINIST</w:t>
      </w:r>
      <w:r w:rsidR="00B85D79" w:rsidRPr="00620AF0">
        <w:rPr>
          <w:rFonts w:ascii="Arial" w:hAnsi="Arial" w:cs="Arial"/>
          <w:sz w:val="22"/>
          <w:szCs w:val="22"/>
        </w:rPr>
        <w:t xml:space="preserve"> 2 mg combination.</w:t>
      </w:r>
    </w:p>
    <w:p w:rsidR="008B7F67" w:rsidRPr="00620AF0" w:rsidRDefault="008B7F67" w:rsidP="008B7F67">
      <w:pPr>
        <w:spacing w:before="100" w:beforeAutospacing="1" w:after="120" w:line="240" w:lineRule="atLeast"/>
        <w:rPr>
          <w:rFonts w:ascii="Arial" w:hAnsi="Arial" w:cs="Arial"/>
          <w:sz w:val="22"/>
          <w:szCs w:val="22"/>
        </w:rPr>
      </w:pPr>
      <w:r w:rsidRPr="00620AF0">
        <w:rPr>
          <w:rFonts w:ascii="Arial" w:hAnsi="Arial" w:cs="Arial"/>
          <w:sz w:val="22"/>
          <w:szCs w:val="22"/>
        </w:rPr>
        <w:t xml:space="preserve">Baseline characteristics were balanced between treatment groups. </w:t>
      </w:r>
      <w:r w:rsidR="001F3783" w:rsidRPr="001F3783">
        <w:rPr>
          <w:rFonts w:ascii="Arial" w:hAnsi="Arial" w:cs="Arial"/>
          <w:sz w:val="22"/>
          <w:szCs w:val="22"/>
          <w:lang w:val="en-GB"/>
        </w:rPr>
        <w:t xml:space="preserve">The majority of patients were male (57%) and Caucasian (&gt;99%). The median age was 53 years, most patients (66%) had ECOG performance status of 0, and 13 patients (8%) had history of brain metastases in all treatment arms. </w:t>
      </w:r>
      <w:r w:rsidRPr="00620AF0">
        <w:rPr>
          <w:rFonts w:ascii="Arial" w:hAnsi="Arial" w:cs="Arial"/>
          <w:sz w:val="22"/>
          <w:szCs w:val="22"/>
        </w:rPr>
        <w:t xml:space="preserve"> Most patients (85%) in all treatment arms had BRAF V600E mutation and 15% of patients had BRAF V600K.</w:t>
      </w:r>
    </w:p>
    <w:p w:rsidR="008B7F67" w:rsidRPr="00620AF0" w:rsidRDefault="008B7F67" w:rsidP="008B7F67">
      <w:pPr>
        <w:spacing w:before="100" w:beforeAutospacing="1" w:after="120" w:line="240" w:lineRule="atLeast"/>
        <w:rPr>
          <w:rFonts w:ascii="Arial" w:hAnsi="Arial" w:cs="Arial"/>
          <w:sz w:val="22"/>
          <w:szCs w:val="22"/>
        </w:rPr>
      </w:pPr>
      <w:r w:rsidRPr="00620AF0">
        <w:rPr>
          <w:rFonts w:ascii="Arial" w:hAnsi="Arial" w:cs="Arial"/>
          <w:sz w:val="22"/>
          <w:szCs w:val="22"/>
        </w:rPr>
        <w:t xml:space="preserve">The </w:t>
      </w:r>
      <w:r w:rsidR="00B85D79">
        <w:rPr>
          <w:rFonts w:ascii="Arial" w:hAnsi="Arial" w:cs="Arial"/>
          <w:sz w:val="22"/>
          <w:szCs w:val="22"/>
        </w:rPr>
        <w:t xml:space="preserve">results of </w:t>
      </w:r>
      <w:r w:rsidRPr="00620AF0">
        <w:rPr>
          <w:rFonts w:ascii="Arial" w:hAnsi="Arial" w:cs="Arial"/>
          <w:sz w:val="22"/>
          <w:szCs w:val="22"/>
        </w:rPr>
        <w:t>efficacy endpoint</w:t>
      </w:r>
      <w:r w:rsidR="00B85D79">
        <w:rPr>
          <w:rFonts w:ascii="Arial" w:hAnsi="Arial" w:cs="Arial"/>
          <w:sz w:val="22"/>
          <w:szCs w:val="22"/>
        </w:rPr>
        <w:t>s</w:t>
      </w:r>
      <w:r w:rsidRPr="00620AF0">
        <w:rPr>
          <w:rFonts w:ascii="Arial" w:hAnsi="Arial" w:cs="Arial"/>
          <w:sz w:val="22"/>
          <w:szCs w:val="22"/>
        </w:rPr>
        <w:t xml:space="preserve"> for part C </w:t>
      </w:r>
      <w:r w:rsidR="00B85D79">
        <w:rPr>
          <w:rFonts w:ascii="Arial" w:hAnsi="Arial" w:cs="Arial"/>
          <w:sz w:val="22"/>
          <w:szCs w:val="22"/>
        </w:rPr>
        <w:t xml:space="preserve">based </w:t>
      </w:r>
      <w:r w:rsidRPr="00620AF0">
        <w:rPr>
          <w:rFonts w:ascii="Arial" w:hAnsi="Arial" w:cs="Arial"/>
          <w:sz w:val="22"/>
          <w:szCs w:val="22"/>
        </w:rPr>
        <w:t xml:space="preserve">on investigator assessment </w:t>
      </w:r>
      <w:r w:rsidR="00B85D79">
        <w:rPr>
          <w:rFonts w:ascii="Arial" w:hAnsi="Arial" w:cs="Arial"/>
          <w:sz w:val="22"/>
          <w:szCs w:val="22"/>
        </w:rPr>
        <w:t>are</w:t>
      </w:r>
      <w:r w:rsidRPr="00620AF0">
        <w:rPr>
          <w:rFonts w:ascii="Arial" w:hAnsi="Arial" w:cs="Arial"/>
          <w:sz w:val="22"/>
          <w:szCs w:val="22"/>
        </w:rPr>
        <w:t xml:space="preserve"> presented in Table </w:t>
      </w:r>
      <w:r w:rsidR="00F81E71" w:rsidRPr="00F81E71">
        <w:rPr>
          <w:rFonts w:ascii="Arial" w:hAnsi="Arial" w:cs="Arial"/>
          <w:sz w:val="22"/>
          <w:szCs w:val="22"/>
        </w:rPr>
        <w:t>2; with Kaplan-Meier curves of investigator-assessed progression-free survival presented in Figure 2.</w:t>
      </w:r>
    </w:p>
    <w:p w:rsidR="008B7F67" w:rsidRPr="007A4219" w:rsidRDefault="008B7F67" w:rsidP="008B7F67">
      <w:pPr>
        <w:pStyle w:val="Caption"/>
        <w:spacing w:before="100" w:beforeAutospacing="1" w:line="240" w:lineRule="atLeast"/>
        <w:rPr>
          <w:rFonts w:ascii="Arial" w:hAnsi="Arial" w:cs="Arial"/>
          <w:sz w:val="22"/>
          <w:szCs w:val="22"/>
        </w:rPr>
      </w:pPr>
      <w:r w:rsidRPr="007A4219">
        <w:rPr>
          <w:rFonts w:ascii="Arial" w:hAnsi="Arial" w:cs="Arial"/>
          <w:sz w:val="22"/>
          <w:szCs w:val="22"/>
        </w:rPr>
        <w:t xml:space="preserve">Table </w:t>
      </w:r>
      <w:r w:rsidR="00B85D79">
        <w:rPr>
          <w:rFonts w:ascii="Arial" w:hAnsi="Arial" w:cs="Arial"/>
          <w:sz w:val="22"/>
          <w:szCs w:val="22"/>
        </w:rPr>
        <w:t>2</w:t>
      </w:r>
      <w:r w:rsidRPr="007A4219">
        <w:rPr>
          <w:rFonts w:ascii="Arial" w:hAnsi="Arial" w:cs="Arial"/>
          <w:sz w:val="22"/>
          <w:szCs w:val="22"/>
        </w:rPr>
        <w:t xml:space="preserve"> Investigator</w:t>
      </w:r>
      <w:r w:rsidR="000D4433">
        <w:rPr>
          <w:rFonts w:ascii="Arial" w:hAnsi="Arial" w:cs="Arial"/>
          <w:sz w:val="22"/>
          <w:szCs w:val="22"/>
        </w:rPr>
        <w:t>-A</w:t>
      </w:r>
      <w:r w:rsidRPr="007A4219">
        <w:rPr>
          <w:rFonts w:ascii="Arial" w:hAnsi="Arial" w:cs="Arial"/>
          <w:sz w:val="22"/>
          <w:szCs w:val="22"/>
        </w:rPr>
        <w:t xml:space="preserve">ssessed </w:t>
      </w:r>
      <w:r w:rsidR="000D4433">
        <w:rPr>
          <w:rFonts w:ascii="Arial" w:hAnsi="Arial" w:cs="Arial"/>
          <w:sz w:val="22"/>
          <w:szCs w:val="22"/>
        </w:rPr>
        <w:t>E</w:t>
      </w:r>
      <w:r w:rsidRPr="007A4219">
        <w:rPr>
          <w:rFonts w:ascii="Arial" w:hAnsi="Arial" w:cs="Arial"/>
          <w:sz w:val="22"/>
          <w:szCs w:val="22"/>
        </w:rPr>
        <w:t xml:space="preserve">fficacy </w:t>
      </w:r>
      <w:r w:rsidR="000D4433">
        <w:rPr>
          <w:rFonts w:ascii="Arial" w:hAnsi="Arial" w:cs="Arial"/>
          <w:sz w:val="22"/>
          <w:szCs w:val="22"/>
        </w:rPr>
        <w:t>Endpoints (ITT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890"/>
        <w:gridCol w:w="2295"/>
        <w:gridCol w:w="2481"/>
      </w:tblGrid>
      <w:tr w:rsidR="001F3783" w:rsidRPr="007A4219" w:rsidTr="0054253C">
        <w:tc>
          <w:tcPr>
            <w:tcW w:w="1314" w:type="pct"/>
          </w:tcPr>
          <w:p w:rsidR="002863FA" w:rsidRDefault="001F3783">
            <w:pPr>
              <w:spacing w:before="120"/>
              <w:jc w:val="both"/>
              <w:rPr>
                <w:rFonts w:ascii="Arial" w:hAnsi="Arial" w:cs="Arial"/>
                <w:b/>
                <w:sz w:val="22"/>
                <w:szCs w:val="22"/>
                <w:lang w:val="en-GB"/>
              </w:rPr>
            </w:pPr>
            <w:r w:rsidRPr="007A4219">
              <w:rPr>
                <w:rFonts w:ascii="Arial" w:hAnsi="Arial" w:cs="Arial"/>
                <w:b/>
                <w:sz w:val="22"/>
                <w:szCs w:val="22"/>
                <w:lang w:val="en-GB"/>
              </w:rPr>
              <w:t>Endpoint</w:t>
            </w:r>
          </w:p>
        </w:tc>
        <w:tc>
          <w:tcPr>
            <w:tcW w:w="1045" w:type="pct"/>
          </w:tcPr>
          <w:p w:rsidR="002863FA" w:rsidRDefault="00240E6A">
            <w:pPr>
              <w:spacing w:before="120"/>
              <w:jc w:val="both"/>
              <w:rPr>
                <w:rFonts w:ascii="Arial" w:hAnsi="Arial" w:cs="Arial"/>
                <w:b/>
                <w:sz w:val="22"/>
                <w:szCs w:val="22"/>
                <w:lang w:val="en-GB"/>
              </w:rPr>
            </w:pPr>
            <w:r>
              <w:rPr>
                <w:rFonts w:ascii="Arial" w:hAnsi="Arial" w:cs="Arial"/>
                <w:b/>
                <w:sz w:val="22"/>
                <w:szCs w:val="22"/>
                <w:lang w:val="en-GB"/>
              </w:rPr>
              <w:t>Dabrafenib</w:t>
            </w:r>
            <w:r w:rsidR="001F3783" w:rsidRPr="007A4219">
              <w:rPr>
                <w:rFonts w:ascii="Arial" w:hAnsi="Arial" w:cs="Arial"/>
                <w:b/>
                <w:sz w:val="22"/>
                <w:szCs w:val="22"/>
                <w:lang w:val="en-GB"/>
              </w:rPr>
              <w:t xml:space="preserve"> </w:t>
            </w:r>
          </w:p>
          <w:p w:rsidR="002863FA" w:rsidRDefault="001F3783">
            <w:pPr>
              <w:spacing w:before="120"/>
              <w:jc w:val="both"/>
              <w:rPr>
                <w:rFonts w:ascii="Arial" w:hAnsi="Arial" w:cs="Arial"/>
                <w:b/>
                <w:sz w:val="22"/>
                <w:szCs w:val="22"/>
                <w:lang w:val="en-GB"/>
              </w:rPr>
            </w:pPr>
            <w:r w:rsidRPr="007A4219">
              <w:rPr>
                <w:rFonts w:ascii="Arial" w:hAnsi="Arial" w:cs="Arial"/>
                <w:b/>
                <w:sz w:val="22"/>
                <w:szCs w:val="22"/>
                <w:lang w:val="en-GB"/>
              </w:rPr>
              <w:t xml:space="preserve">150 mg BID </w:t>
            </w:r>
          </w:p>
          <w:p w:rsidR="002863FA" w:rsidRDefault="001F3783">
            <w:pPr>
              <w:spacing w:before="120"/>
              <w:jc w:val="both"/>
              <w:rPr>
                <w:rFonts w:ascii="Arial" w:hAnsi="Arial" w:cs="Arial"/>
                <w:b/>
                <w:sz w:val="22"/>
                <w:szCs w:val="22"/>
                <w:lang w:val="en-GB"/>
              </w:rPr>
            </w:pPr>
            <w:r w:rsidRPr="007A4219">
              <w:rPr>
                <w:rFonts w:ascii="Arial" w:hAnsi="Arial" w:cs="Arial"/>
                <w:b/>
                <w:sz w:val="22"/>
                <w:szCs w:val="22"/>
                <w:lang w:val="en-GB"/>
              </w:rPr>
              <w:t>Monotherapy</w:t>
            </w:r>
          </w:p>
          <w:p w:rsidR="002863FA" w:rsidRDefault="001F3783">
            <w:pPr>
              <w:spacing w:before="120"/>
              <w:jc w:val="both"/>
              <w:rPr>
                <w:rFonts w:ascii="Arial" w:hAnsi="Arial" w:cs="Arial"/>
                <w:b/>
                <w:sz w:val="22"/>
                <w:szCs w:val="22"/>
                <w:lang w:val="en-GB"/>
              </w:rPr>
            </w:pPr>
            <w:r w:rsidRPr="007A4219">
              <w:rPr>
                <w:rFonts w:ascii="Arial" w:hAnsi="Arial" w:cs="Arial"/>
                <w:b/>
                <w:sz w:val="22"/>
                <w:szCs w:val="22"/>
                <w:lang w:val="en-GB"/>
              </w:rPr>
              <w:t>(N = 54)</w:t>
            </w:r>
          </w:p>
        </w:tc>
        <w:tc>
          <w:tcPr>
            <w:tcW w:w="1269" w:type="pct"/>
          </w:tcPr>
          <w:p w:rsidR="002863FA" w:rsidRDefault="00240E6A">
            <w:pPr>
              <w:spacing w:before="120"/>
              <w:rPr>
                <w:rFonts w:ascii="Arial" w:hAnsi="Arial" w:cs="Arial"/>
                <w:b/>
                <w:sz w:val="22"/>
                <w:szCs w:val="22"/>
                <w:lang w:val="en-GB"/>
              </w:rPr>
            </w:pPr>
            <w:r>
              <w:rPr>
                <w:rFonts w:ascii="Arial" w:hAnsi="Arial" w:cs="Arial"/>
                <w:b/>
                <w:sz w:val="22"/>
                <w:szCs w:val="22"/>
                <w:lang w:val="en-GB"/>
              </w:rPr>
              <w:t>Dabrafenib</w:t>
            </w:r>
            <w:r w:rsidR="001F3783" w:rsidRPr="007A4219">
              <w:rPr>
                <w:rFonts w:ascii="Arial" w:hAnsi="Arial" w:cs="Arial"/>
                <w:b/>
                <w:sz w:val="22"/>
                <w:szCs w:val="22"/>
                <w:lang w:val="en-GB"/>
              </w:rPr>
              <w:t xml:space="preserve"> </w:t>
            </w:r>
          </w:p>
          <w:p w:rsidR="002863FA" w:rsidRDefault="001F3783">
            <w:pPr>
              <w:spacing w:before="120"/>
              <w:rPr>
                <w:rFonts w:ascii="Arial" w:hAnsi="Arial" w:cs="Arial"/>
                <w:b/>
                <w:sz w:val="22"/>
                <w:szCs w:val="22"/>
                <w:lang w:val="en-GB"/>
              </w:rPr>
            </w:pPr>
            <w:r w:rsidRPr="007A4219">
              <w:rPr>
                <w:rFonts w:ascii="Arial" w:hAnsi="Arial" w:cs="Arial"/>
                <w:b/>
                <w:sz w:val="22"/>
                <w:szCs w:val="22"/>
                <w:lang w:val="en-GB"/>
              </w:rPr>
              <w:t>150 mg BID</w:t>
            </w:r>
            <w:r w:rsidR="0054253C">
              <w:rPr>
                <w:rFonts w:ascii="Arial" w:hAnsi="Arial" w:cs="Arial"/>
                <w:b/>
                <w:sz w:val="22"/>
                <w:szCs w:val="22"/>
                <w:lang w:val="en-GB"/>
              </w:rPr>
              <w:t xml:space="preserve"> plus</w:t>
            </w:r>
            <w:r w:rsidRPr="007A4219">
              <w:rPr>
                <w:rFonts w:ascii="Arial" w:hAnsi="Arial" w:cs="Arial"/>
                <w:b/>
                <w:sz w:val="22"/>
                <w:szCs w:val="22"/>
                <w:lang w:val="en-GB"/>
              </w:rPr>
              <w:t xml:space="preserve"> MEKINIST 1mg QD Combination</w:t>
            </w:r>
          </w:p>
          <w:p w:rsidR="002863FA" w:rsidRDefault="001F3783">
            <w:pPr>
              <w:spacing w:before="120"/>
              <w:rPr>
                <w:rFonts w:ascii="Arial" w:hAnsi="Arial" w:cs="Arial"/>
                <w:sz w:val="22"/>
                <w:szCs w:val="22"/>
                <w:lang w:val="en-GB"/>
              </w:rPr>
            </w:pPr>
            <w:r w:rsidRPr="007A4219">
              <w:rPr>
                <w:rFonts w:ascii="Arial" w:hAnsi="Arial" w:cs="Arial"/>
                <w:b/>
                <w:sz w:val="22"/>
                <w:szCs w:val="22"/>
                <w:lang w:val="en-GB"/>
              </w:rPr>
              <w:t>(N = 54)</w:t>
            </w:r>
          </w:p>
        </w:tc>
        <w:tc>
          <w:tcPr>
            <w:tcW w:w="1372" w:type="pct"/>
          </w:tcPr>
          <w:p w:rsidR="002863FA" w:rsidRDefault="00240E6A">
            <w:pPr>
              <w:spacing w:before="120"/>
              <w:rPr>
                <w:rFonts w:ascii="Arial" w:hAnsi="Arial" w:cs="Arial"/>
                <w:b/>
                <w:sz w:val="22"/>
                <w:szCs w:val="22"/>
                <w:lang w:val="en-GB"/>
              </w:rPr>
            </w:pPr>
            <w:r>
              <w:rPr>
                <w:rFonts w:ascii="Arial" w:hAnsi="Arial" w:cs="Arial"/>
                <w:b/>
                <w:sz w:val="22"/>
                <w:szCs w:val="22"/>
                <w:lang w:val="en-GB"/>
              </w:rPr>
              <w:t>Dabrafenib</w:t>
            </w:r>
          </w:p>
          <w:p w:rsidR="002863FA" w:rsidRDefault="001F3783">
            <w:pPr>
              <w:spacing w:before="120"/>
              <w:rPr>
                <w:rFonts w:ascii="Arial" w:hAnsi="Arial" w:cs="Arial"/>
                <w:b/>
                <w:sz w:val="22"/>
                <w:szCs w:val="22"/>
                <w:lang w:val="en-GB"/>
              </w:rPr>
            </w:pPr>
            <w:r w:rsidRPr="007A4219">
              <w:rPr>
                <w:rFonts w:ascii="Arial" w:hAnsi="Arial" w:cs="Arial"/>
                <w:b/>
                <w:sz w:val="22"/>
                <w:szCs w:val="22"/>
                <w:lang w:val="en-GB"/>
              </w:rPr>
              <w:t xml:space="preserve"> 150 mg BID</w:t>
            </w:r>
            <w:r w:rsidR="0054253C">
              <w:rPr>
                <w:rFonts w:ascii="Arial" w:hAnsi="Arial" w:cs="Arial"/>
                <w:b/>
                <w:sz w:val="22"/>
                <w:szCs w:val="22"/>
                <w:lang w:val="en-GB"/>
              </w:rPr>
              <w:t xml:space="preserve"> plus</w:t>
            </w:r>
            <w:r w:rsidRPr="007A4219">
              <w:rPr>
                <w:rFonts w:ascii="Arial" w:hAnsi="Arial" w:cs="Arial"/>
                <w:b/>
                <w:sz w:val="22"/>
                <w:szCs w:val="22"/>
                <w:lang w:val="en-GB"/>
              </w:rPr>
              <w:t xml:space="preserve"> MEKINIST 2mg QD  Combination</w:t>
            </w:r>
          </w:p>
          <w:p w:rsidR="002863FA" w:rsidRDefault="001F3783">
            <w:pPr>
              <w:spacing w:before="120"/>
              <w:rPr>
                <w:rFonts w:ascii="Arial" w:hAnsi="Arial" w:cs="Arial"/>
                <w:sz w:val="22"/>
                <w:szCs w:val="22"/>
                <w:lang w:val="en-GB"/>
              </w:rPr>
            </w:pPr>
            <w:r w:rsidRPr="007A4219">
              <w:rPr>
                <w:rFonts w:ascii="Arial" w:hAnsi="Arial" w:cs="Arial"/>
                <w:b/>
                <w:sz w:val="22"/>
                <w:szCs w:val="22"/>
                <w:lang w:val="en-GB"/>
              </w:rPr>
              <w:t>(N = 54)</w:t>
            </w:r>
          </w:p>
        </w:tc>
      </w:tr>
      <w:tr w:rsidR="001F3783" w:rsidRPr="007A4219" w:rsidTr="0054253C">
        <w:trPr>
          <w:trHeight w:val="485"/>
        </w:trPr>
        <w:tc>
          <w:tcPr>
            <w:tcW w:w="1314" w:type="pct"/>
          </w:tcPr>
          <w:p w:rsidR="002863FA" w:rsidRDefault="001F3783">
            <w:pPr>
              <w:spacing w:before="120"/>
              <w:jc w:val="both"/>
              <w:rPr>
                <w:rFonts w:ascii="Arial" w:hAnsi="Arial" w:cs="Arial"/>
                <w:b/>
                <w:sz w:val="22"/>
                <w:szCs w:val="22"/>
                <w:lang w:val="en-GB"/>
              </w:rPr>
            </w:pPr>
            <w:r w:rsidRPr="007A4219">
              <w:rPr>
                <w:rFonts w:ascii="Arial" w:hAnsi="Arial" w:cs="Arial"/>
                <w:b/>
                <w:sz w:val="22"/>
                <w:szCs w:val="22"/>
                <w:lang w:val="en-GB"/>
              </w:rPr>
              <w:t>Progression-Free Survival</w:t>
            </w:r>
          </w:p>
        </w:tc>
        <w:tc>
          <w:tcPr>
            <w:tcW w:w="3686" w:type="pct"/>
            <w:gridSpan w:val="3"/>
          </w:tcPr>
          <w:p w:rsidR="002863FA" w:rsidRDefault="002863FA">
            <w:pPr>
              <w:spacing w:before="120"/>
              <w:jc w:val="both"/>
              <w:rPr>
                <w:rFonts w:ascii="Arial" w:hAnsi="Arial" w:cs="Arial"/>
                <w:sz w:val="22"/>
                <w:szCs w:val="22"/>
                <w:lang w:val="en-GB"/>
              </w:rPr>
            </w:pPr>
          </w:p>
        </w:tc>
      </w:tr>
      <w:tr w:rsidR="001F3783" w:rsidRPr="007A4219" w:rsidTr="0054253C">
        <w:tc>
          <w:tcPr>
            <w:tcW w:w="1314" w:type="pct"/>
          </w:tcPr>
          <w:p w:rsidR="002863FA" w:rsidRDefault="001F3783">
            <w:pPr>
              <w:spacing w:before="120"/>
              <w:rPr>
                <w:rFonts w:ascii="Arial" w:hAnsi="Arial" w:cs="Arial"/>
                <w:sz w:val="22"/>
                <w:szCs w:val="22"/>
                <w:lang w:val="en-GB"/>
              </w:rPr>
            </w:pPr>
            <w:r w:rsidRPr="007A4219">
              <w:rPr>
                <w:rFonts w:ascii="Arial" w:hAnsi="Arial" w:cs="Arial"/>
                <w:sz w:val="22"/>
                <w:szCs w:val="22"/>
                <w:lang w:val="en-GB"/>
              </w:rPr>
              <w:t>Median PFS (months)</w:t>
            </w:r>
          </w:p>
          <w:p w:rsidR="002863FA" w:rsidRDefault="001F3783">
            <w:pPr>
              <w:spacing w:before="120"/>
              <w:jc w:val="both"/>
              <w:rPr>
                <w:rFonts w:ascii="Arial" w:hAnsi="Arial" w:cs="Arial"/>
                <w:sz w:val="22"/>
                <w:szCs w:val="22"/>
                <w:lang w:val="en-GB"/>
              </w:rPr>
            </w:pPr>
            <w:r w:rsidRPr="007A4219">
              <w:rPr>
                <w:rFonts w:ascii="Arial" w:hAnsi="Arial" w:cs="Arial"/>
                <w:sz w:val="22"/>
                <w:szCs w:val="22"/>
                <w:lang w:val="en-GB"/>
              </w:rPr>
              <w:t>(95% CI)</w:t>
            </w:r>
          </w:p>
        </w:tc>
        <w:tc>
          <w:tcPr>
            <w:tcW w:w="1045" w:type="pct"/>
          </w:tcPr>
          <w:p w:rsidR="002863FA" w:rsidRDefault="001F3783">
            <w:pPr>
              <w:spacing w:before="120"/>
              <w:jc w:val="center"/>
              <w:rPr>
                <w:rFonts w:ascii="Arial" w:hAnsi="Arial" w:cs="Arial"/>
                <w:sz w:val="22"/>
                <w:szCs w:val="22"/>
                <w:lang w:val="en-GB"/>
              </w:rPr>
            </w:pPr>
            <w:r w:rsidRPr="007A4219">
              <w:rPr>
                <w:rFonts w:ascii="Arial" w:hAnsi="Arial" w:cs="Arial"/>
                <w:sz w:val="22"/>
                <w:szCs w:val="22"/>
                <w:lang w:val="en-GB"/>
              </w:rPr>
              <w:t>5.8</w:t>
            </w:r>
          </w:p>
          <w:p w:rsidR="002863FA" w:rsidRDefault="001F3783">
            <w:pPr>
              <w:spacing w:before="120"/>
              <w:jc w:val="center"/>
              <w:rPr>
                <w:rFonts w:ascii="Arial" w:hAnsi="Arial" w:cs="Arial"/>
                <w:sz w:val="22"/>
                <w:szCs w:val="22"/>
                <w:lang w:val="en-GB"/>
              </w:rPr>
            </w:pPr>
            <w:r w:rsidRPr="007A4219">
              <w:rPr>
                <w:rFonts w:ascii="Arial" w:hAnsi="Arial" w:cs="Arial"/>
                <w:sz w:val="22"/>
                <w:szCs w:val="22"/>
                <w:lang w:val="en-GB"/>
              </w:rPr>
              <w:t>(4.6, 7.4)</w:t>
            </w:r>
          </w:p>
        </w:tc>
        <w:tc>
          <w:tcPr>
            <w:tcW w:w="1269" w:type="pct"/>
          </w:tcPr>
          <w:p w:rsidR="002863FA" w:rsidRDefault="001F3783">
            <w:pPr>
              <w:spacing w:before="120"/>
              <w:jc w:val="center"/>
              <w:rPr>
                <w:rFonts w:ascii="Arial" w:hAnsi="Arial" w:cs="Arial"/>
                <w:sz w:val="22"/>
                <w:szCs w:val="22"/>
                <w:lang w:val="en-GB"/>
              </w:rPr>
            </w:pPr>
            <w:r w:rsidRPr="007A4219">
              <w:rPr>
                <w:rFonts w:ascii="Arial" w:hAnsi="Arial" w:cs="Arial"/>
                <w:sz w:val="22"/>
                <w:szCs w:val="22"/>
                <w:lang w:val="en-GB"/>
              </w:rPr>
              <w:t>9.2</w:t>
            </w:r>
          </w:p>
          <w:p w:rsidR="002863FA" w:rsidRDefault="001F3783">
            <w:pPr>
              <w:spacing w:before="120"/>
              <w:jc w:val="center"/>
              <w:rPr>
                <w:rFonts w:ascii="Arial" w:hAnsi="Arial" w:cs="Arial"/>
                <w:sz w:val="22"/>
                <w:szCs w:val="22"/>
                <w:lang w:val="en-GB"/>
              </w:rPr>
            </w:pPr>
            <w:r w:rsidRPr="007A4219">
              <w:rPr>
                <w:rFonts w:ascii="Arial" w:hAnsi="Arial" w:cs="Arial"/>
                <w:sz w:val="22"/>
                <w:szCs w:val="22"/>
                <w:lang w:val="en-GB"/>
              </w:rPr>
              <w:t>(6.4, 11.0)</w:t>
            </w:r>
          </w:p>
        </w:tc>
        <w:tc>
          <w:tcPr>
            <w:tcW w:w="1372" w:type="pct"/>
          </w:tcPr>
          <w:p w:rsidR="002863FA" w:rsidRDefault="001F3783">
            <w:pPr>
              <w:spacing w:before="120"/>
              <w:jc w:val="center"/>
              <w:rPr>
                <w:rFonts w:ascii="Arial" w:hAnsi="Arial" w:cs="Arial"/>
                <w:sz w:val="22"/>
                <w:szCs w:val="22"/>
                <w:lang w:val="en-GB"/>
              </w:rPr>
            </w:pPr>
            <w:r w:rsidRPr="007A4219">
              <w:rPr>
                <w:rFonts w:ascii="Arial" w:hAnsi="Arial" w:cs="Arial"/>
                <w:sz w:val="22"/>
                <w:szCs w:val="22"/>
                <w:lang w:val="en-GB"/>
              </w:rPr>
              <w:t>9.4</w:t>
            </w:r>
          </w:p>
          <w:p w:rsidR="002863FA" w:rsidRDefault="001F3783">
            <w:pPr>
              <w:spacing w:before="120"/>
              <w:jc w:val="center"/>
              <w:rPr>
                <w:rFonts w:ascii="Arial" w:hAnsi="Arial" w:cs="Arial"/>
                <w:sz w:val="22"/>
                <w:szCs w:val="22"/>
                <w:lang w:val="en-GB"/>
              </w:rPr>
            </w:pPr>
            <w:r w:rsidRPr="007A4219">
              <w:rPr>
                <w:rFonts w:ascii="Arial" w:hAnsi="Arial" w:cs="Arial"/>
                <w:sz w:val="22"/>
                <w:szCs w:val="22"/>
                <w:lang w:val="en-GB"/>
              </w:rPr>
              <w:t>(8.6, 16.7)</w:t>
            </w:r>
          </w:p>
        </w:tc>
      </w:tr>
      <w:tr w:rsidR="001F3783" w:rsidRPr="007A4219" w:rsidTr="00B04F53">
        <w:tc>
          <w:tcPr>
            <w:tcW w:w="1314" w:type="pct"/>
            <w:tcBorders>
              <w:bottom w:val="single" w:sz="4" w:space="0" w:color="auto"/>
            </w:tcBorders>
          </w:tcPr>
          <w:p w:rsidR="002863FA" w:rsidRDefault="001F3783">
            <w:pPr>
              <w:spacing w:before="120"/>
              <w:rPr>
                <w:rFonts w:ascii="Arial" w:hAnsi="Arial" w:cs="Arial"/>
                <w:sz w:val="22"/>
                <w:szCs w:val="22"/>
                <w:lang w:val="en-GB"/>
              </w:rPr>
            </w:pPr>
            <w:r w:rsidRPr="007A4219">
              <w:rPr>
                <w:rFonts w:ascii="Arial" w:hAnsi="Arial" w:cs="Arial"/>
                <w:sz w:val="22"/>
                <w:szCs w:val="22"/>
                <w:lang w:val="en-GB"/>
              </w:rPr>
              <w:t>Hazard Ratio</w:t>
            </w:r>
          </w:p>
          <w:p w:rsidR="002863FA" w:rsidRDefault="001F3783">
            <w:pPr>
              <w:spacing w:before="120"/>
              <w:rPr>
                <w:rFonts w:ascii="Arial" w:hAnsi="Arial" w:cs="Arial"/>
                <w:i/>
                <w:sz w:val="22"/>
                <w:szCs w:val="22"/>
                <w:lang w:val="en-GB"/>
              </w:rPr>
            </w:pPr>
            <w:r w:rsidRPr="007A4219">
              <w:rPr>
                <w:rFonts w:ascii="Arial" w:hAnsi="Arial" w:cs="Arial"/>
                <w:sz w:val="22"/>
                <w:szCs w:val="22"/>
                <w:lang w:val="en-GB"/>
              </w:rPr>
              <w:t>(95% CI)</w:t>
            </w:r>
          </w:p>
          <w:p w:rsidR="002863FA" w:rsidRDefault="001F3783">
            <w:pPr>
              <w:spacing w:before="120"/>
              <w:rPr>
                <w:rFonts w:ascii="Arial" w:hAnsi="Arial" w:cs="Arial"/>
                <w:sz w:val="22"/>
                <w:szCs w:val="22"/>
                <w:lang w:val="en-GB"/>
              </w:rPr>
            </w:pPr>
            <w:r w:rsidRPr="007A4219">
              <w:rPr>
                <w:rFonts w:ascii="Arial" w:hAnsi="Arial" w:cs="Arial"/>
                <w:i/>
                <w:sz w:val="22"/>
                <w:szCs w:val="22"/>
                <w:lang w:val="en-GB"/>
              </w:rPr>
              <w:t>P</w:t>
            </w:r>
            <w:r w:rsidRPr="007A4219">
              <w:rPr>
                <w:rFonts w:ascii="Arial" w:hAnsi="Arial" w:cs="Arial"/>
                <w:sz w:val="22"/>
                <w:szCs w:val="22"/>
                <w:lang w:val="en-GB"/>
              </w:rPr>
              <w:t xml:space="preserve"> value</w:t>
            </w:r>
          </w:p>
        </w:tc>
        <w:tc>
          <w:tcPr>
            <w:tcW w:w="1045" w:type="pct"/>
            <w:tcBorders>
              <w:bottom w:val="single" w:sz="4" w:space="0" w:color="auto"/>
            </w:tcBorders>
          </w:tcPr>
          <w:p w:rsidR="002863FA" w:rsidRDefault="002863FA">
            <w:pPr>
              <w:spacing w:before="120"/>
              <w:jc w:val="center"/>
              <w:rPr>
                <w:rFonts w:ascii="Arial" w:hAnsi="Arial" w:cs="Arial"/>
                <w:sz w:val="22"/>
                <w:szCs w:val="22"/>
                <w:lang w:val="en-GB"/>
              </w:rPr>
            </w:pPr>
          </w:p>
        </w:tc>
        <w:tc>
          <w:tcPr>
            <w:tcW w:w="1269" w:type="pct"/>
            <w:tcBorders>
              <w:bottom w:val="single" w:sz="4" w:space="0" w:color="auto"/>
            </w:tcBorders>
          </w:tcPr>
          <w:p w:rsidR="002863FA" w:rsidRDefault="001F3783">
            <w:pPr>
              <w:spacing w:before="120"/>
              <w:jc w:val="center"/>
              <w:rPr>
                <w:rFonts w:ascii="Arial" w:hAnsi="Arial" w:cs="Arial"/>
                <w:sz w:val="22"/>
                <w:szCs w:val="22"/>
                <w:lang w:val="en-GB"/>
              </w:rPr>
            </w:pPr>
            <w:r w:rsidRPr="007A4219">
              <w:rPr>
                <w:rFonts w:ascii="Arial" w:hAnsi="Arial" w:cs="Arial"/>
                <w:sz w:val="22"/>
                <w:szCs w:val="22"/>
                <w:lang w:val="en-GB"/>
              </w:rPr>
              <w:t>0.56</w:t>
            </w:r>
          </w:p>
          <w:p w:rsidR="002863FA" w:rsidRDefault="001F3783">
            <w:pPr>
              <w:spacing w:before="120"/>
              <w:jc w:val="center"/>
              <w:rPr>
                <w:rFonts w:ascii="Arial" w:hAnsi="Arial" w:cs="Arial"/>
                <w:sz w:val="22"/>
                <w:szCs w:val="22"/>
                <w:lang w:val="en-GB"/>
              </w:rPr>
            </w:pPr>
            <w:r w:rsidRPr="007A4219">
              <w:rPr>
                <w:rFonts w:ascii="Arial" w:hAnsi="Arial" w:cs="Arial"/>
                <w:sz w:val="22"/>
                <w:szCs w:val="22"/>
                <w:lang w:val="en-GB"/>
              </w:rPr>
              <w:t>(0.37, 0.87)</w:t>
            </w:r>
          </w:p>
          <w:p w:rsidR="002863FA" w:rsidRDefault="001F3783">
            <w:pPr>
              <w:spacing w:before="120"/>
              <w:jc w:val="center"/>
              <w:rPr>
                <w:rFonts w:ascii="Arial" w:hAnsi="Arial" w:cs="Arial"/>
                <w:sz w:val="22"/>
                <w:szCs w:val="22"/>
                <w:lang w:val="en-GB"/>
              </w:rPr>
            </w:pPr>
            <w:r w:rsidRPr="007A4219">
              <w:rPr>
                <w:rFonts w:ascii="Arial" w:hAnsi="Arial" w:cs="Arial"/>
                <w:sz w:val="22"/>
                <w:szCs w:val="22"/>
                <w:lang w:val="en-GB"/>
              </w:rPr>
              <w:t>0.0057</w:t>
            </w:r>
          </w:p>
        </w:tc>
        <w:tc>
          <w:tcPr>
            <w:tcW w:w="1372" w:type="pct"/>
            <w:tcBorders>
              <w:bottom w:val="single" w:sz="4" w:space="0" w:color="auto"/>
            </w:tcBorders>
          </w:tcPr>
          <w:p w:rsidR="002863FA" w:rsidRDefault="001F3783">
            <w:pPr>
              <w:spacing w:before="120"/>
              <w:jc w:val="center"/>
              <w:rPr>
                <w:rFonts w:ascii="Arial" w:hAnsi="Arial" w:cs="Arial"/>
                <w:sz w:val="22"/>
                <w:szCs w:val="22"/>
                <w:lang w:val="en-GB"/>
              </w:rPr>
            </w:pPr>
            <w:r w:rsidRPr="007A4219">
              <w:rPr>
                <w:rFonts w:ascii="Arial" w:hAnsi="Arial" w:cs="Arial"/>
                <w:sz w:val="22"/>
                <w:szCs w:val="22"/>
                <w:lang w:val="en-GB"/>
              </w:rPr>
              <w:t>0.39</w:t>
            </w:r>
          </w:p>
          <w:p w:rsidR="002863FA" w:rsidRDefault="001F3783">
            <w:pPr>
              <w:spacing w:before="120"/>
              <w:jc w:val="center"/>
              <w:rPr>
                <w:rFonts w:ascii="Arial" w:hAnsi="Arial" w:cs="Arial"/>
                <w:sz w:val="22"/>
                <w:szCs w:val="22"/>
                <w:lang w:val="en-GB"/>
              </w:rPr>
            </w:pPr>
            <w:r w:rsidRPr="007A4219">
              <w:rPr>
                <w:rFonts w:ascii="Arial" w:hAnsi="Arial" w:cs="Arial"/>
                <w:sz w:val="22"/>
                <w:szCs w:val="22"/>
                <w:lang w:val="en-GB"/>
              </w:rPr>
              <w:t>(0.25, 0.62)</w:t>
            </w:r>
          </w:p>
          <w:p w:rsidR="002863FA" w:rsidRDefault="001F3783">
            <w:pPr>
              <w:spacing w:before="120"/>
              <w:jc w:val="center"/>
              <w:rPr>
                <w:rFonts w:ascii="Arial" w:hAnsi="Arial" w:cs="Arial"/>
                <w:sz w:val="22"/>
                <w:szCs w:val="22"/>
                <w:lang w:val="en-GB"/>
              </w:rPr>
            </w:pPr>
            <w:r w:rsidRPr="007A4219">
              <w:rPr>
                <w:rFonts w:ascii="Arial" w:hAnsi="Arial" w:cs="Arial"/>
                <w:sz w:val="22"/>
                <w:szCs w:val="22"/>
                <w:lang w:val="en-GB"/>
              </w:rPr>
              <w:t>&lt;0.0001</w:t>
            </w:r>
          </w:p>
        </w:tc>
      </w:tr>
      <w:tr w:rsidR="001F3783" w:rsidRPr="007A4219" w:rsidTr="00B04F53">
        <w:tc>
          <w:tcPr>
            <w:tcW w:w="1314" w:type="pct"/>
            <w:tcBorders>
              <w:bottom w:val="nil"/>
            </w:tcBorders>
          </w:tcPr>
          <w:p w:rsidR="002863FA" w:rsidRDefault="001F3783">
            <w:pPr>
              <w:spacing w:before="120"/>
              <w:rPr>
                <w:rFonts w:ascii="Arial" w:hAnsi="Arial" w:cs="Arial"/>
                <w:b/>
                <w:sz w:val="22"/>
                <w:szCs w:val="22"/>
                <w:lang w:val="en-GB"/>
              </w:rPr>
            </w:pPr>
            <w:r w:rsidRPr="007A4219">
              <w:rPr>
                <w:rFonts w:ascii="Arial" w:hAnsi="Arial" w:cs="Arial"/>
                <w:b/>
                <w:sz w:val="22"/>
                <w:szCs w:val="22"/>
                <w:lang w:val="en-GB"/>
              </w:rPr>
              <w:t>Overall Response Rate (%)</w:t>
            </w:r>
          </w:p>
        </w:tc>
        <w:tc>
          <w:tcPr>
            <w:tcW w:w="1045" w:type="pct"/>
            <w:tcBorders>
              <w:bottom w:val="nil"/>
            </w:tcBorders>
          </w:tcPr>
          <w:p w:rsidR="002863FA" w:rsidRDefault="001F3783">
            <w:pPr>
              <w:spacing w:before="120"/>
              <w:jc w:val="center"/>
              <w:rPr>
                <w:rFonts w:ascii="Arial" w:hAnsi="Arial" w:cs="Arial"/>
                <w:sz w:val="22"/>
                <w:szCs w:val="22"/>
                <w:lang w:val="en-GB"/>
              </w:rPr>
            </w:pPr>
            <w:r w:rsidRPr="007A4219">
              <w:rPr>
                <w:rFonts w:ascii="Arial" w:hAnsi="Arial" w:cs="Arial"/>
                <w:sz w:val="22"/>
                <w:szCs w:val="22"/>
                <w:lang w:val="en-GB"/>
              </w:rPr>
              <w:t>54</w:t>
            </w:r>
          </w:p>
        </w:tc>
        <w:tc>
          <w:tcPr>
            <w:tcW w:w="1269" w:type="pct"/>
            <w:tcBorders>
              <w:bottom w:val="nil"/>
            </w:tcBorders>
          </w:tcPr>
          <w:p w:rsidR="002863FA" w:rsidRDefault="001F3783">
            <w:pPr>
              <w:spacing w:before="120"/>
              <w:jc w:val="center"/>
              <w:rPr>
                <w:rFonts w:ascii="Arial" w:hAnsi="Arial" w:cs="Arial"/>
                <w:sz w:val="22"/>
                <w:szCs w:val="22"/>
                <w:lang w:val="en-GB"/>
              </w:rPr>
            </w:pPr>
            <w:r w:rsidRPr="007A4219">
              <w:rPr>
                <w:rFonts w:ascii="Arial" w:hAnsi="Arial" w:cs="Arial"/>
                <w:sz w:val="22"/>
                <w:szCs w:val="22"/>
                <w:lang w:val="en-GB"/>
              </w:rPr>
              <w:t>50</w:t>
            </w:r>
          </w:p>
        </w:tc>
        <w:tc>
          <w:tcPr>
            <w:tcW w:w="1372" w:type="pct"/>
            <w:tcBorders>
              <w:bottom w:val="nil"/>
            </w:tcBorders>
          </w:tcPr>
          <w:p w:rsidR="002863FA" w:rsidRDefault="001F3783">
            <w:pPr>
              <w:spacing w:before="120"/>
              <w:jc w:val="center"/>
              <w:rPr>
                <w:rFonts w:ascii="Arial" w:hAnsi="Arial" w:cs="Arial"/>
                <w:sz w:val="22"/>
                <w:szCs w:val="22"/>
                <w:lang w:val="en-GB"/>
              </w:rPr>
            </w:pPr>
            <w:r w:rsidRPr="007A4219">
              <w:rPr>
                <w:rFonts w:ascii="Arial" w:hAnsi="Arial" w:cs="Arial"/>
                <w:sz w:val="22"/>
                <w:szCs w:val="22"/>
                <w:lang w:val="en-GB"/>
              </w:rPr>
              <w:t>76</w:t>
            </w:r>
          </w:p>
        </w:tc>
      </w:tr>
      <w:tr w:rsidR="00B04F53" w:rsidRPr="007A4219" w:rsidTr="00B04F53">
        <w:tc>
          <w:tcPr>
            <w:tcW w:w="1314" w:type="pct"/>
            <w:tcBorders>
              <w:top w:val="nil"/>
            </w:tcBorders>
          </w:tcPr>
          <w:p w:rsidR="00B04F53" w:rsidRPr="00B04F53" w:rsidRDefault="00B04F53" w:rsidP="00B04F53">
            <w:pPr>
              <w:spacing w:before="120"/>
              <w:jc w:val="both"/>
              <w:rPr>
                <w:rFonts w:ascii="Arial" w:hAnsi="Arial" w:cs="Arial"/>
                <w:sz w:val="22"/>
                <w:szCs w:val="22"/>
                <w:lang w:val="en-GB"/>
              </w:rPr>
            </w:pPr>
            <w:r w:rsidRPr="00B04F53">
              <w:rPr>
                <w:rFonts w:ascii="Arial" w:hAnsi="Arial" w:cs="Arial"/>
                <w:sz w:val="22"/>
                <w:szCs w:val="22"/>
                <w:lang w:val="en-GB"/>
              </w:rPr>
              <w:t>(95% CI)</w:t>
            </w:r>
          </w:p>
          <w:p w:rsidR="00B04F53" w:rsidRDefault="00B04F53" w:rsidP="00B04F53">
            <w:pPr>
              <w:spacing w:before="120"/>
              <w:rPr>
                <w:rFonts w:ascii="Arial" w:hAnsi="Arial" w:cs="Arial"/>
                <w:sz w:val="22"/>
                <w:szCs w:val="22"/>
                <w:lang w:val="en-GB"/>
              </w:rPr>
            </w:pPr>
            <w:r w:rsidRPr="00B04F53">
              <w:rPr>
                <w:rFonts w:ascii="Arial" w:hAnsi="Arial" w:cs="Arial"/>
                <w:i/>
                <w:sz w:val="22"/>
                <w:szCs w:val="22"/>
                <w:lang w:val="en-GB"/>
              </w:rPr>
              <w:t>P</w:t>
            </w:r>
            <w:r w:rsidRPr="00B04F53">
              <w:rPr>
                <w:rFonts w:ascii="Arial" w:hAnsi="Arial" w:cs="Arial"/>
                <w:sz w:val="22"/>
                <w:szCs w:val="22"/>
                <w:lang w:val="en-GB"/>
              </w:rPr>
              <w:t xml:space="preserve"> value</w:t>
            </w:r>
          </w:p>
          <w:p w:rsidR="00B04F53" w:rsidRDefault="00B04F53" w:rsidP="00B04F53">
            <w:pPr>
              <w:spacing w:before="120"/>
              <w:rPr>
                <w:rFonts w:ascii="Arial" w:hAnsi="Arial" w:cs="Arial"/>
                <w:sz w:val="22"/>
                <w:szCs w:val="22"/>
                <w:lang w:val="en-GB"/>
              </w:rPr>
            </w:pPr>
            <w:r>
              <w:rPr>
                <w:rFonts w:ascii="Arial" w:hAnsi="Arial" w:cs="Arial"/>
                <w:sz w:val="22"/>
                <w:szCs w:val="22"/>
                <w:lang w:val="en-GB"/>
              </w:rPr>
              <w:t>CR</w:t>
            </w:r>
          </w:p>
          <w:p w:rsidR="00B04F53" w:rsidRPr="007A4219" w:rsidRDefault="00B04F53" w:rsidP="00B04F53">
            <w:pPr>
              <w:spacing w:before="120"/>
              <w:jc w:val="both"/>
              <w:rPr>
                <w:rFonts w:ascii="Arial" w:hAnsi="Arial" w:cs="Arial"/>
                <w:b/>
                <w:sz w:val="22"/>
                <w:szCs w:val="22"/>
                <w:lang w:val="en-GB"/>
              </w:rPr>
            </w:pPr>
            <w:r>
              <w:rPr>
                <w:rFonts w:ascii="Arial" w:hAnsi="Arial" w:cs="Arial"/>
                <w:sz w:val="22"/>
                <w:szCs w:val="22"/>
                <w:lang w:val="en-GB"/>
              </w:rPr>
              <w:t>PR</w:t>
            </w:r>
          </w:p>
        </w:tc>
        <w:tc>
          <w:tcPr>
            <w:tcW w:w="1045" w:type="pct"/>
            <w:tcBorders>
              <w:top w:val="nil"/>
            </w:tcBorders>
          </w:tcPr>
          <w:p w:rsidR="002863FA" w:rsidRDefault="00B04F53">
            <w:pPr>
              <w:spacing w:before="120"/>
              <w:jc w:val="center"/>
              <w:rPr>
                <w:rFonts w:ascii="Arial" w:hAnsi="Arial" w:cs="Arial"/>
                <w:sz w:val="22"/>
                <w:szCs w:val="22"/>
                <w:lang w:val="en-GB"/>
              </w:rPr>
            </w:pPr>
            <w:r w:rsidRPr="00B04F53">
              <w:rPr>
                <w:rFonts w:ascii="Arial" w:hAnsi="Arial" w:cs="Arial"/>
                <w:sz w:val="22"/>
                <w:szCs w:val="22"/>
                <w:lang w:val="en-GB"/>
              </w:rPr>
              <w:t>(39.6, 67.4)</w:t>
            </w:r>
          </w:p>
          <w:p w:rsidR="002863FA" w:rsidRDefault="002863FA">
            <w:pPr>
              <w:spacing w:before="120"/>
              <w:jc w:val="center"/>
              <w:rPr>
                <w:rFonts w:ascii="Arial" w:hAnsi="Arial" w:cs="Arial"/>
                <w:sz w:val="22"/>
                <w:szCs w:val="22"/>
                <w:lang w:val="en-GB"/>
              </w:rPr>
            </w:pPr>
          </w:p>
          <w:p w:rsidR="002863FA" w:rsidRDefault="00B04F53">
            <w:pPr>
              <w:spacing w:before="120"/>
              <w:jc w:val="center"/>
              <w:rPr>
                <w:rFonts w:ascii="Arial" w:hAnsi="Arial" w:cs="Arial"/>
                <w:sz w:val="22"/>
                <w:szCs w:val="22"/>
                <w:lang w:val="en-GB"/>
              </w:rPr>
            </w:pPr>
            <w:r>
              <w:rPr>
                <w:rFonts w:ascii="Arial" w:hAnsi="Arial" w:cs="Arial"/>
                <w:sz w:val="22"/>
                <w:szCs w:val="22"/>
                <w:lang w:val="en-GB"/>
              </w:rPr>
              <w:t>4</w:t>
            </w:r>
          </w:p>
          <w:p w:rsidR="002863FA" w:rsidRDefault="00B04F53">
            <w:pPr>
              <w:spacing w:before="120"/>
              <w:jc w:val="center"/>
              <w:rPr>
                <w:rFonts w:ascii="Arial" w:hAnsi="Arial" w:cs="Arial"/>
                <w:sz w:val="22"/>
                <w:szCs w:val="22"/>
                <w:lang w:val="en-GB"/>
              </w:rPr>
            </w:pPr>
            <w:r>
              <w:rPr>
                <w:rFonts w:ascii="Arial" w:hAnsi="Arial" w:cs="Arial"/>
                <w:sz w:val="22"/>
                <w:szCs w:val="22"/>
                <w:lang w:val="en-GB"/>
              </w:rPr>
              <w:t>50</w:t>
            </w:r>
          </w:p>
        </w:tc>
        <w:tc>
          <w:tcPr>
            <w:tcW w:w="1269" w:type="pct"/>
            <w:tcBorders>
              <w:top w:val="nil"/>
            </w:tcBorders>
          </w:tcPr>
          <w:p w:rsidR="002863FA" w:rsidRDefault="00B04F53">
            <w:pPr>
              <w:spacing w:before="120"/>
              <w:jc w:val="center"/>
              <w:rPr>
                <w:rFonts w:ascii="Arial" w:hAnsi="Arial" w:cs="Arial"/>
                <w:sz w:val="22"/>
                <w:szCs w:val="22"/>
                <w:lang w:val="en-GB"/>
              </w:rPr>
            </w:pPr>
            <w:r w:rsidRPr="00B04F53">
              <w:rPr>
                <w:rFonts w:ascii="Arial" w:hAnsi="Arial" w:cs="Arial"/>
                <w:sz w:val="22"/>
                <w:szCs w:val="22"/>
                <w:lang w:val="en-GB"/>
              </w:rPr>
              <w:t>(36.1, 63.9)</w:t>
            </w:r>
          </w:p>
          <w:p w:rsidR="002863FA" w:rsidRDefault="00B04F53">
            <w:pPr>
              <w:spacing w:before="120"/>
              <w:jc w:val="center"/>
              <w:rPr>
                <w:rFonts w:ascii="Arial" w:hAnsi="Arial" w:cs="Arial"/>
                <w:sz w:val="22"/>
                <w:szCs w:val="22"/>
                <w:lang w:val="en-GB"/>
              </w:rPr>
            </w:pPr>
            <w:r w:rsidRPr="00B04F53">
              <w:rPr>
                <w:rFonts w:ascii="Arial" w:hAnsi="Arial" w:cs="Arial"/>
                <w:sz w:val="22"/>
                <w:szCs w:val="22"/>
                <w:lang w:val="en-GB"/>
              </w:rPr>
              <w:t>0.7730</w:t>
            </w:r>
          </w:p>
          <w:p w:rsidR="002863FA" w:rsidRDefault="00F72942">
            <w:pPr>
              <w:spacing w:before="120"/>
              <w:jc w:val="center"/>
              <w:rPr>
                <w:rFonts w:ascii="Arial" w:hAnsi="Arial" w:cs="Arial"/>
                <w:sz w:val="22"/>
                <w:szCs w:val="22"/>
                <w:lang w:val="en-GB"/>
              </w:rPr>
            </w:pPr>
            <w:r>
              <w:rPr>
                <w:rFonts w:ascii="Arial" w:hAnsi="Arial" w:cs="Arial"/>
                <w:sz w:val="22"/>
                <w:szCs w:val="22"/>
                <w:lang w:val="en-GB"/>
              </w:rPr>
              <w:t>6</w:t>
            </w:r>
          </w:p>
          <w:p w:rsidR="002863FA" w:rsidRDefault="00F72942">
            <w:pPr>
              <w:spacing w:before="120"/>
              <w:jc w:val="center"/>
              <w:rPr>
                <w:rFonts w:ascii="Arial" w:hAnsi="Arial" w:cs="Arial"/>
                <w:sz w:val="22"/>
                <w:szCs w:val="22"/>
                <w:lang w:val="en-GB"/>
              </w:rPr>
            </w:pPr>
            <w:r>
              <w:rPr>
                <w:rFonts w:ascii="Arial" w:hAnsi="Arial" w:cs="Arial"/>
                <w:sz w:val="22"/>
                <w:szCs w:val="22"/>
                <w:lang w:val="en-GB"/>
              </w:rPr>
              <w:t>44</w:t>
            </w:r>
          </w:p>
        </w:tc>
        <w:tc>
          <w:tcPr>
            <w:tcW w:w="1372" w:type="pct"/>
            <w:tcBorders>
              <w:top w:val="nil"/>
            </w:tcBorders>
          </w:tcPr>
          <w:p w:rsidR="002863FA" w:rsidRDefault="00B04F53">
            <w:pPr>
              <w:spacing w:before="120"/>
              <w:jc w:val="center"/>
              <w:rPr>
                <w:rFonts w:ascii="Arial" w:hAnsi="Arial" w:cs="Arial"/>
                <w:sz w:val="22"/>
                <w:szCs w:val="22"/>
                <w:lang w:val="en-GB"/>
              </w:rPr>
            </w:pPr>
            <w:r w:rsidRPr="00B04F53">
              <w:rPr>
                <w:rFonts w:ascii="Arial" w:hAnsi="Arial" w:cs="Arial"/>
                <w:sz w:val="22"/>
                <w:szCs w:val="22"/>
                <w:lang w:val="en-GB"/>
              </w:rPr>
              <w:t>(62.4, 86.5)</w:t>
            </w:r>
          </w:p>
          <w:p w:rsidR="002863FA" w:rsidRDefault="00B04F53">
            <w:pPr>
              <w:spacing w:before="120"/>
              <w:jc w:val="center"/>
              <w:rPr>
                <w:rFonts w:ascii="Arial" w:hAnsi="Arial" w:cs="Arial"/>
                <w:sz w:val="22"/>
                <w:szCs w:val="22"/>
                <w:lang w:val="en-GB"/>
              </w:rPr>
            </w:pPr>
            <w:r w:rsidRPr="00B04F53">
              <w:rPr>
                <w:rFonts w:ascii="Arial" w:hAnsi="Arial" w:cs="Arial"/>
                <w:sz w:val="22"/>
                <w:szCs w:val="22"/>
                <w:lang w:val="en-GB"/>
              </w:rPr>
              <w:t>0.0264</w:t>
            </w:r>
          </w:p>
          <w:p w:rsidR="002863FA" w:rsidRDefault="00F72942">
            <w:pPr>
              <w:spacing w:before="120"/>
              <w:jc w:val="center"/>
              <w:rPr>
                <w:rFonts w:ascii="Arial" w:hAnsi="Arial" w:cs="Arial"/>
                <w:sz w:val="22"/>
                <w:szCs w:val="22"/>
                <w:lang w:val="en-GB"/>
              </w:rPr>
            </w:pPr>
            <w:r>
              <w:rPr>
                <w:rFonts w:ascii="Arial" w:hAnsi="Arial" w:cs="Arial"/>
                <w:sz w:val="22"/>
                <w:szCs w:val="22"/>
                <w:lang w:val="en-GB"/>
              </w:rPr>
              <w:t>9</w:t>
            </w:r>
          </w:p>
          <w:p w:rsidR="002863FA" w:rsidRDefault="00F72942">
            <w:pPr>
              <w:spacing w:before="120"/>
              <w:jc w:val="center"/>
              <w:rPr>
                <w:rFonts w:ascii="Arial" w:hAnsi="Arial" w:cs="Arial"/>
                <w:sz w:val="22"/>
                <w:szCs w:val="22"/>
                <w:lang w:val="en-GB"/>
              </w:rPr>
            </w:pPr>
            <w:r>
              <w:rPr>
                <w:rFonts w:ascii="Arial" w:hAnsi="Arial" w:cs="Arial"/>
                <w:sz w:val="22"/>
                <w:szCs w:val="22"/>
                <w:lang w:val="en-GB"/>
              </w:rPr>
              <w:t>67</w:t>
            </w:r>
          </w:p>
        </w:tc>
      </w:tr>
      <w:tr w:rsidR="001F3783" w:rsidRPr="007A4219" w:rsidTr="0054253C">
        <w:tc>
          <w:tcPr>
            <w:tcW w:w="1314" w:type="pct"/>
          </w:tcPr>
          <w:p w:rsidR="002863FA" w:rsidRDefault="001F3783">
            <w:pPr>
              <w:spacing w:before="120"/>
              <w:jc w:val="both"/>
              <w:rPr>
                <w:rFonts w:ascii="Arial" w:hAnsi="Arial" w:cs="Arial"/>
                <w:b/>
                <w:sz w:val="22"/>
                <w:szCs w:val="22"/>
                <w:lang w:val="en-GB"/>
              </w:rPr>
            </w:pPr>
            <w:r w:rsidRPr="007A4219">
              <w:rPr>
                <w:rFonts w:ascii="Arial" w:hAnsi="Arial" w:cs="Arial"/>
                <w:b/>
                <w:sz w:val="22"/>
                <w:szCs w:val="22"/>
                <w:lang w:val="en-GB"/>
              </w:rPr>
              <w:t>Median Duration of Response (months)</w:t>
            </w:r>
          </w:p>
        </w:tc>
        <w:tc>
          <w:tcPr>
            <w:tcW w:w="1045" w:type="pct"/>
          </w:tcPr>
          <w:p w:rsidR="002863FA" w:rsidRDefault="001F3783">
            <w:pPr>
              <w:spacing w:before="120"/>
              <w:jc w:val="center"/>
              <w:rPr>
                <w:rFonts w:ascii="Arial" w:hAnsi="Arial" w:cs="Arial"/>
                <w:sz w:val="22"/>
                <w:szCs w:val="22"/>
                <w:lang w:val="en-GB"/>
              </w:rPr>
            </w:pPr>
            <w:r w:rsidRPr="007A4219">
              <w:rPr>
                <w:rFonts w:ascii="Arial" w:hAnsi="Arial" w:cs="Arial"/>
                <w:sz w:val="22"/>
                <w:szCs w:val="22"/>
                <w:lang w:val="en-GB"/>
              </w:rPr>
              <w:t>5.6</w:t>
            </w:r>
          </w:p>
        </w:tc>
        <w:tc>
          <w:tcPr>
            <w:tcW w:w="1269" w:type="pct"/>
          </w:tcPr>
          <w:p w:rsidR="002863FA" w:rsidRDefault="001F3783">
            <w:pPr>
              <w:spacing w:before="120"/>
              <w:jc w:val="center"/>
              <w:rPr>
                <w:rFonts w:ascii="Arial" w:hAnsi="Arial" w:cs="Arial"/>
                <w:sz w:val="22"/>
                <w:szCs w:val="22"/>
                <w:lang w:val="en-GB"/>
              </w:rPr>
            </w:pPr>
            <w:r w:rsidRPr="007A4219">
              <w:rPr>
                <w:rFonts w:ascii="Arial" w:hAnsi="Arial" w:cs="Arial"/>
                <w:sz w:val="22"/>
                <w:szCs w:val="22"/>
                <w:lang w:val="en-GB"/>
              </w:rPr>
              <w:t>9.5</w:t>
            </w:r>
          </w:p>
        </w:tc>
        <w:tc>
          <w:tcPr>
            <w:tcW w:w="1372" w:type="pct"/>
          </w:tcPr>
          <w:p w:rsidR="002863FA" w:rsidRDefault="001F3783">
            <w:pPr>
              <w:spacing w:before="120"/>
              <w:jc w:val="center"/>
              <w:rPr>
                <w:rFonts w:ascii="Arial" w:hAnsi="Arial" w:cs="Arial"/>
                <w:sz w:val="22"/>
                <w:szCs w:val="22"/>
                <w:lang w:val="en-GB"/>
              </w:rPr>
            </w:pPr>
            <w:r w:rsidRPr="007A4219">
              <w:rPr>
                <w:rFonts w:ascii="Arial" w:hAnsi="Arial" w:cs="Arial"/>
                <w:sz w:val="22"/>
                <w:szCs w:val="22"/>
                <w:lang w:val="en-GB"/>
              </w:rPr>
              <w:t>10.5</w:t>
            </w:r>
          </w:p>
        </w:tc>
      </w:tr>
    </w:tbl>
    <w:p w:rsidR="001F3783" w:rsidRPr="00656020" w:rsidRDefault="001F3783" w:rsidP="00656020">
      <w:pPr>
        <w:spacing w:before="120" w:after="240"/>
        <w:rPr>
          <w:rFonts w:ascii="Arial" w:hAnsi="Arial" w:cs="Arial"/>
          <w:sz w:val="18"/>
          <w:szCs w:val="18"/>
          <w:lang w:val="en-GB"/>
        </w:rPr>
      </w:pPr>
      <w:r w:rsidRPr="00656020">
        <w:rPr>
          <w:rFonts w:ascii="Arial" w:hAnsi="Arial" w:cs="Arial"/>
          <w:sz w:val="18"/>
          <w:szCs w:val="18"/>
          <w:lang w:val="en-GB"/>
        </w:rPr>
        <w:t>BID = twice daily; QD = once daily; PFS = Progression-free survival; CI = confidence interval</w:t>
      </w:r>
      <w:r w:rsidR="00F954B9" w:rsidRPr="00656020">
        <w:rPr>
          <w:rFonts w:ascii="Arial" w:hAnsi="Arial" w:cs="Arial"/>
          <w:sz w:val="18"/>
          <w:szCs w:val="18"/>
          <w:lang w:val="en-GB"/>
        </w:rPr>
        <w:t>; CR = Complete response; PR = Partial response</w:t>
      </w:r>
    </w:p>
    <w:p w:rsidR="00FF1D67" w:rsidRDefault="00FF1D67" w:rsidP="00FF1D67">
      <w:pPr>
        <w:spacing w:before="120" w:after="240"/>
        <w:jc w:val="both"/>
        <w:rPr>
          <w:rFonts w:ascii="Arial" w:hAnsi="Arial" w:cs="Arial"/>
          <w:sz w:val="22"/>
          <w:szCs w:val="22"/>
          <w:lang w:val="en-GB"/>
        </w:rPr>
      </w:pPr>
    </w:p>
    <w:p w:rsidR="00FF1D67" w:rsidRDefault="00FF1D67" w:rsidP="00FF1D67">
      <w:pPr>
        <w:spacing w:before="120" w:after="240"/>
        <w:jc w:val="both"/>
        <w:rPr>
          <w:rFonts w:ascii="Arial" w:hAnsi="Arial" w:cs="Arial"/>
          <w:sz w:val="22"/>
          <w:szCs w:val="22"/>
          <w:lang w:val="en-GB"/>
        </w:rPr>
      </w:pPr>
    </w:p>
    <w:p w:rsidR="00FF1D67" w:rsidRPr="00656020" w:rsidRDefault="00FF1D67" w:rsidP="00FF1D67">
      <w:pPr>
        <w:spacing w:before="120" w:after="240"/>
        <w:jc w:val="both"/>
        <w:rPr>
          <w:rFonts w:ascii="Arial" w:hAnsi="Arial" w:cs="Arial"/>
          <w:b/>
          <w:sz w:val="22"/>
          <w:szCs w:val="22"/>
          <w:lang w:val="en-GB"/>
        </w:rPr>
      </w:pPr>
      <w:r w:rsidRPr="00656020">
        <w:rPr>
          <w:rFonts w:ascii="Arial" w:hAnsi="Arial" w:cs="Arial"/>
          <w:b/>
          <w:sz w:val="22"/>
          <w:szCs w:val="22"/>
          <w:lang w:val="en-GB"/>
        </w:rPr>
        <w:t>Figure 2 Investigator-Assessed Progression-Free Survival (ITT population)</w:t>
      </w:r>
    </w:p>
    <w:p w:rsidR="00FF1D67" w:rsidRPr="00FF1D67" w:rsidRDefault="003C6FDB" w:rsidP="00656020">
      <w:pPr>
        <w:spacing w:before="120" w:after="240"/>
        <w:rPr>
          <w:rFonts w:ascii="Arial" w:hAnsi="Arial" w:cs="Arial"/>
          <w:sz w:val="22"/>
          <w:szCs w:val="22"/>
          <w:lang w:val="en-GB"/>
        </w:rPr>
      </w:pPr>
      <w:r>
        <w:rPr>
          <w:noProof/>
          <w:szCs w:val="24"/>
          <w:lang w:val="en-GB" w:eastAsia="en-GB"/>
        </w:rPr>
        <w:pict>
          <v:shape id="Picture 1" o:spid="_x0000_i1027" type="#_x0000_t75" alt="Figure 2 Investigator-Assessed Progression-Free Survival (ITT population)" style="width:431.25pt;height:333.4pt;visibility:visible">
            <v:imagedata r:id="rId11" o:title="figure_12_56"/>
          </v:shape>
        </w:pict>
      </w:r>
    </w:p>
    <w:p w:rsidR="0024798A" w:rsidRPr="0024798A" w:rsidRDefault="0024798A" w:rsidP="00656020">
      <w:pPr>
        <w:spacing w:before="120" w:after="240"/>
        <w:rPr>
          <w:rFonts w:ascii="Arial" w:hAnsi="Arial" w:cs="Arial"/>
          <w:sz w:val="22"/>
          <w:szCs w:val="22"/>
          <w:lang w:val="en-GB"/>
        </w:rPr>
      </w:pPr>
      <w:r w:rsidRPr="0024798A">
        <w:rPr>
          <w:rFonts w:ascii="Arial" w:hAnsi="Arial" w:cs="Arial"/>
          <w:sz w:val="22"/>
          <w:szCs w:val="22"/>
          <w:lang w:val="en-GB"/>
        </w:rPr>
        <w:t>The investigator-assessed O</w:t>
      </w:r>
      <w:r w:rsidR="00656020">
        <w:rPr>
          <w:rFonts w:ascii="Arial" w:hAnsi="Arial" w:cs="Arial"/>
          <w:sz w:val="22"/>
          <w:szCs w:val="22"/>
          <w:lang w:val="en-GB"/>
        </w:rPr>
        <w:t>RR</w:t>
      </w:r>
      <w:r w:rsidRPr="0024798A">
        <w:rPr>
          <w:rFonts w:ascii="Arial" w:hAnsi="Arial" w:cs="Arial"/>
          <w:sz w:val="22"/>
          <w:szCs w:val="22"/>
          <w:lang w:val="en-GB"/>
        </w:rPr>
        <w:t xml:space="preserve">, Duration of Response, and PFS were consistent in the subgroup of patients with BRAF V600E and BRAF V600K mutation positive melanoma receiving 150 mg dabrafenib plus 2 mg </w:t>
      </w:r>
      <w:r w:rsidR="00632731">
        <w:rPr>
          <w:rFonts w:ascii="Arial" w:hAnsi="Arial" w:cs="Arial"/>
          <w:sz w:val="22"/>
          <w:szCs w:val="22"/>
          <w:lang w:val="en-GB"/>
        </w:rPr>
        <w:t>MEKINIST</w:t>
      </w:r>
      <w:r w:rsidR="00632731" w:rsidRPr="0024798A">
        <w:rPr>
          <w:rFonts w:ascii="Arial" w:hAnsi="Arial" w:cs="Arial"/>
          <w:sz w:val="22"/>
          <w:szCs w:val="22"/>
          <w:lang w:val="en-GB"/>
        </w:rPr>
        <w:t xml:space="preserve"> </w:t>
      </w:r>
      <w:r w:rsidRPr="0024798A">
        <w:rPr>
          <w:rFonts w:ascii="Arial" w:hAnsi="Arial" w:cs="Arial"/>
          <w:sz w:val="22"/>
          <w:szCs w:val="22"/>
          <w:lang w:val="en-GB"/>
        </w:rPr>
        <w:t>combination.</w:t>
      </w:r>
    </w:p>
    <w:p w:rsidR="00D764B0" w:rsidRDefault="00D764B0" w:rsidP="00656020">
      <w:pPr>
        <w:spacing w:before="120" w:after="240"/>
        <w:rPr>
          <w:rFonts w:ascii="Arial" w:hAnsi="Arial" w:cs="Arial"/>
          <w:sz w:val="22"/>
          <w:szCs w:val="22"/>
          <w:lang w:val="en-GB"/>
        </w:rPr>
      </w:pPr>
      <w:r w:rsidRPr="00D764B0">
        <w:rPr>
          <w:rFonts w:ascii="Arial" w:hAnsi="Arial" w:cs="Arial"/>
          <w:sz w:val="22"/>
          <w:szCs w:val="22"/>
          <w:lang w:val="en-GB"/>
        </w:rPr>
        <w:t xml:space="preserve">A retrospective blinded independent committee review (BICR) was conducted and had the following results: 61% ORR (95 CI: 46.9%, 74.1%; </w:t>
      </w:r>
      <w:r w:rsidRPr="00D764B0">
        <w:rPr>
          <w:rFonts w:ascii="Arial" w:hAnsi="Arial" w:cs="Arial"/>
          <w:i/>
          <w:sz w:val="22"/>
          <w:szCs w:val="22"/>
          <w:lang w:val="en-GB"/>
        </w:rPr>
        <w:t>P</w:t>
      </w:r>
      <w:r w:rsidRPr="00D764B0">
        <w:rPr>
          <w:rFonts w:ascii="Arial" w:hAnsi="Arial" w:cs="Arial"/>
          <w:sz w:val="22"/>
          <w:szCs w:val="22"/>
          <w:lang w:val="en-GB"/>
        </w:rPr>
        <w:t xml:space="preserve"> = 0.1486) for the 150 mg dabrafenib plus 2 mg </w:t>
      </w:r>
      <w:r w:rsidR="00632731">
        <w:rPr>
          <w:rFonts w:ascii="Arial" w:hAnsi="Arial" w:cs="Arial"/>
          <w:sz w:val="22"/>
          <w:szCs w:val="22"/>
          <w:lang w:val="en-GB"/>
        </w:rPr>
        <w:t>MEKINIST</w:t>
      </w:r>
      <w:r w:rsidRPr="00D764B0">
        <w:rPr>
          <w:rFonts w:ascii="Arial" w:hAnsi="Arial" w:cs="Arial"/>
          <w:sz w:val="22"/>
          <w:szCs w:val="22"/>
          <w:lang w:val="en-GB"/>
        </w:rPr>
        <w:t xml:space="preserve">combination, 39% (95% CI: 25.9, 53.1; </w:t>
      </w:r>
      <w:r w:rsidRPr="00D764B0">
        <w:rPr>
          <w:rFonts w:ascii="Arial" w:hAnsi="Arial" w:cs="Arial"/>
          <w:i/>
          <w:sz w:val="22"/>
          <w:szCs w:val="22"/>
          <w:lang w:val="en-GB"/>
        </w:rPr>
        <w:t>P</w:t>
      </w:r>
      <w:r w:rsidRPr="00D764B0">
        <w:rPr>
          <w:rFonts w:ascii="Arial" w:hAnsi="Arial" w:cs="Arial"/>
          <w:sz w:val="22"/>
          <w:szCs w:val="22"/>
          <w:lang w:val="en-GB"/>
        </w:rPr>
        <w:t> = 0.5008) for the 150 mg dabrafenib plus 1 mg</w:t>
      </w:r>
      <w:r w:rsidR="00632731">
        <w:rPr>
          <w:rFonts w:ascii="Arial" w:hAnsi="Arial" w:cs="Arial"/>
          <w:sz w:val="22"/>
          <w:szCs w:val="22"/>
          <w:lang w:val="en-GB"/>
        </w:rPr>
        <w:t xml:space="preserve"> MEKINIST</w:t>
      </w:r>
      <w:r w:rsidRPr="00D764B0">
        <w:rPr>
          <w:rFonts w:ascii="Arial" w:hAnsi="Arial" w:cs="Arial"/>
          <w:sz w:val="22"/>
          <w:szCs w:val="22"/>
          <w:lang w:val="en-GB"/>
        </w:rPr>
        <w:t xml:space="preserve"> combination, and 46% (95 % CI: 32.6%, 60.4%) for the dabrafenib monotherapy group. The median PFS was 9.2 months (95% CI: 7.6, NR; </w:t>
      </w:r>
      <w:r w:rsidRPr="00D764B0">
        <w:rPr>
          <w:rFonts w:ascii="Arial" w:hAnsi="Arial" w:cs="Arial"/>
          <w:i/>
          <w:sz w:val="22"/>
          <w:szCs w:val="22"/>
          <w:lang w:val="en-GB"/>
        </w:rPr>
        <w:t>P</w:t>
      </w:r>
      <w:r w:rsidRPr="00D764B0">
        <w:rPr>
          <w:rFonts w:ascii="Arial" w:hAnsi="Arial" w:cs="Arial"/>
          <w:sz w:val="22"/>
          <w:szCs w:val="22"/>
          <w:lang w:val="en-GB"/>
        </w:rPr>
        <w:t xml:space="preserve"> = 0.0121) and 8.3 months (95% CI: 5.6, 11.3; </w:t>
      </w:r>
      <w:r w:rsidRPr="00D764B0">
        <w:rPr>
          <w:rFonts w:ascii="Arial" w:hAnsi="Arial" w:cs="Arial"/>
          <w:i/>
          <w:sz w:val="22"/>
          <w:szCs w:val="22"/>
          <w:lang w:val="en-GB"/>
        </w:rPr>
        <w:t>P</w:t>
      </w:r>
      <w:r w:rsidRPr="00D764B0">
        <w:rPr>
          <w:rFonts w:ascii="Arial" w:hAnsi="Arial" w:cs="Arial"/>
          <w:sz w:val="22"/>
          <w:szCs w:val="22"/>
          <w:lang w:val="en-GB"/>
        </w:rPr>
        <w:t xml:space="preserve"> = 0.1721) for patients treated with 150 mg dabrafenib plus 2 mg </w:t>
      </w:r>
      <w:r w:rsidR="00632731">
        <w:rPr>
          <w:rFonts w:ascii="Arial" w:hAnsi="Arial" w:cs="Arial"/>
          <w:sz w:val="22"/>
          <w:szCs w:val="22"/>
          <w:lang w:val="en-GB"/>
        </w:rPr>
        <w:t>MEKINIST</w:t>
      </w:r>
      <w:r w:rsidR="00632731" w:rsidRPr="00D764B0">
        <w:rPr>
          <w:rFonts w:ascii="Arial" w:hAnsi="Arial" w:cs="Arial"/>
          <w:sz w:val="22"/>
          <w:szCs w:val="22"/>
          <w:lang w:val="en-GB"/>
        </w:rPr>
        <w:t xml:space="preserve"> </w:t>
      </w:r>
      <w:r w:rsidRPr="00D764B0">
        <w:rPr>
          <w:rFonts w:ascii="Arial" w:hAnsi="Arial" w:cs="Arial"/>
          <w:sz w:val="22"/>
          <w:szCs w:val="22"/>
          <w:lang w:val="en-GB"/>
        </w:rPr>
        <w:t xml:space="preserve">combination and 150 mg dabrafenib plus 1 mg </w:t>
      </w:r>
      <w:r w:rsidR="00632731">
        <w:rPr>
          <w:rFonts w:ascii="Arial" w:hAnsi="Arial" w:cs="Arial"/>
          <w:sz w:val="22"/>
          <w:szCs w:val="22"/>
          <w:lang w:val="en-GB"/>
        </w:rPr>
        <w:t xml:space="preserve">MEKINIST </w:t>
      </w:r>
      <w:r w:rsidRPr="00D764B0">
        <w:rPr>
          <w:rFonts w:ascii="Arial" w:hAnsi="Arial" w:cs="Arial"/>
          <w:sz w:val="22"/>
          <w:szCs w:val="22"/>
          <w:lang w:val="en-GB"/>
        </w:rPr>
        <w:t>combination arms respectively, and 7.3 months (95% CI: 5.5, 9.4) for patients treated with dabrafenib monotherapy.</w:t>
      </w:r>
    </w:p>
    <w:p w:rsidR="00E869DF" w:rsidRDefault="003E46D0" w:rsidP="00656020">
      <w:pPr>
        <w:spacing w:before="120" w:after="240"/>
        <w:rPr>
          <w:rFonts w:ascii="Arial" w:hAnsi="Arial" w:cs="Arial"/>
          <w:i/>
          <w:sz w:val="22"/>
          <w:szCs w:val="22"/>
          <w:u w:val="single"/>
          <w:lang w:val="en-GB"/>
        </w:rPr>
      </w:pPr>
      <w:r w:rsidRPr="00E869DF">
        <w:rPr>
          <w:rFonts w:ascii="Arial" w:hAnsi="Arial" w:cs="Arial"/>
          <w:i/>
          <w:sz w:val="22"/>
          <w:szCs w:val="22"/>
          <w:u w:val="single"/>
          <w:lang w:val="en-GB"/>
        </w:rPr>
        <w:t>Prior BRAF inhibitor therapy</w:t>
      </w:r>
    </w:p>
    <w:p w:rsidR="007A4219" w:rsidRPr="004A4BB0" w:rsidRDefault="003E46D0" w:rsidP="00656020">
      <w:pPr>
        <w:spacing w:before="120" w:after="240"/>
        <w:rPr>
          <w:rFonts w:ascii="Arial" w:hAnsi="Arial" w:cs="Arial"/>
          <w:b/>
          <w:sz w:val="22"/>
          <w:szCs w:val="22"/>
          <w:lang w:val="en-GB"/>
        </w:rPr>
      </w:pPr>
      <w:r w:rsidRPr="003E46D0">
        <w:rPr>
          <w:rFonts w:ascii="Arial" w:hAnsi="Arial" w:cs="Arial"/>
          <w:sz w:val="22"/>
          <w:szCs w:val="22"/>
          <w:lang w:val="en-GB"/>
        </w:rPr>
        <w:t xml:space="preserve">Part B of this open-label study included a cohort of 26 patients that had progressed on a BRAF inhibitor. The combination of 150 mg dabrafenib with 2 mg </w:t>
      </w:r>
      <w:r w:rsidR="00632731">
        <w:rPr>
          <w:rFonts w:ascii="Arial" w:hAnsi="Arial" w:cs="Arial"/>
          <w:sz w:val="22"/>
          <w:szCs w:val="22"/>
          <w:lang w:val="en-GB"/>
        </w:rPr>
        <w:t>MEKINIST</w:t>
      </w:r>
      <w:r w:rsidR="00632731" w:rsidRPr="003E46D0">
        <w:rPr>
          <w:rFonts w:ascii="Arial" w:hAnsi="Arial" w:cs="Arial"/>
          <w:sz w:val="22"/>
          <w:szCs w:val="22"/>
          <w:lang w:val="en-GB"/>
        </w:rPr>
        <w:t xml:space="preserve"> </w:t>
      </w:r>
      <w:r w:rsidRPr="003E46D0">
        <w:rPr>
          <w:rFonts w:ascii="Arial" w:hAnsi="Arial" w:cs="Arial"/>
          <w:sz w:val="22"/>
          <w:szCs w:val="22"/>
          <w:lang w:val="en-GB"/>
        </w:rPr>
        <w:t xml:space="preserve">demonstrated limited clinical activity in patients who had progressed on a BRAF inhibitor. The Investigator-assessed ORR was 15% (95% CI: 4.4, 34.9) and the median PFS was 3.6 months (95% CI: 1.9, 5.2). Similar results were seen in the 43 patients who crossed over from dabrafenib monotherapy to the combination of 150 mg dabrafenib plus 2 mg </w:t>
      </w:r>
      <w:r w:rsidR="00632731">
        <w:rPr>
          <w:rFonts w:ascii="Arial" w:hAnsi="Arial" w:cs="Arial"/>
          <w:sz w:val="22"/>
          <w:szCs w:val="22"/>
          <w:lang w:val="en-GB"/>
        </w:rPr>
        <w:lastRenderedPageBreak/>
        <w:t>MEKINIST</w:t>
      </w:r>
      <w:r w:rsidR="00632731" w:rsidRPr="003E46D0" w:rsidDel="00632731">
        <w:rPr>
          <w:rFonts w:ascii="Arial" w:hAnsi="Arial" w:cs="Arial"/>
          <w:sz w:val="22"/>
          <w:szCs w:val="22"/>
          <w:lang w:val="en-GB"/>
        </w:rPr>
        <w:t xml:space="preserve"> </w:t>
      </w:r>
      <w:r w:rsidRPr="003E46D0">
        <w:rPr>
          <w:rFonts w:ascii="Arial" w:hAnsi="Arial" w:cs="Arial"/>
          <w:sz w:val="22"/>
          <w:szCs w:val="22"/>
          <w:lang w:val="en-GB"/>
        </w:rPr>
        <w:t>in Part C of this study. In these patients a 9 % (95% CI: 2.6, 22.1) ORR was observed with a median PFS of 3.6 months (95% CI: 1.8, 3.9).</w:t>
      </w:r>
    </w:p>
    <w:p w:rsidR="004B64AC" w:rsidRDefault="004B64AC" w:rsidP="00053893">
      <w:pPr>
        <w:spacing w:before="120" w:after="240"/>
        <w:jc w:val="both"/>
        <w:rPr>
          <w:rFonts w:ascii="Arial" w:hAnsi="Arial" w:cs="Arial"/>
          <w:b/>
          <w:sz w:val="22"/>
          <w:szCs w:val="22"/>
        </w:rPr>
      </w:pPr>
    </w:p>
    <w:p w:rsidR="0077380F" w:rsidRPr="00620AF0" w:rsidRDefault="0077380F" w:rsidP="00656020">
      <w:pPr>
        <w:spacing w:before="120" w:after="240"/>
        <w:rPr>
          <w:rFonts w:ascii="Arial" w:hAnsi="Arial" w:cs="Arial"/>
          <w:b/>
          <w:sz w:val="22"/>
          <w:szCs w:val="22"/>
        </w:rPr>
      </w:pPr>
      <w:r w:rsidRPr="00620AF0">
        <w:rPr>
          <w:rFonts w:ascii="Arial" w:hAnsi="Arial" w:cs="Arial"/>
          <w:b/>
          <w:sz w:val="22"/>
          <w:szCs w:val="22"/>
        </w:rPr>
        <w:t>INDICATIONS</w:t>
      </w:r>
    </w:p>
    <w:p w:rsidR="009737E2" w:rsidRDefault="009737E2" w:rsidP="009737E2">
      <w:pPr>
        <w:spacing w:after="120" w:line="240" w:lineRule="atLeast"/>
        <w:rPr>
          <w:rFonts w:ascii="Arial" w:hAnsi="Arial" w:cs="Arial"/>
          <w:noProof/>
          <w:sz w:val="22"/>
          <w:szCs w:val="22"/>
        </w:rPr>
      </w:pPr>
      <w:r w:rsidRPr="009737E2">
        <w:rPr>
          <w:rFonts w:ascii="Arial" w:hAnsi="Arial" w:cs="Arial"/>
          <w:noProof/>
          <w:sz w:val="22"/>
          <w:szCs w:val="22"/>
        </w:rPr>
        <w:t>MEKINIST in combination with dabrafenib is indicated for the treatment of patients with BRAFV600 mutation positive unresectable Stage III or metastatic (Stage IV) melanoma.</w:t>
      </w:r>
    </w:p>
    <w:p w:rsidR="0092047E" w:rsidRPr="0092047E" w:rsidRDefault="0092047E" w:rsidP="0092047E">
      <w:pPr>
        <w:spacing w:after="120" w:line="240" w:lineRule="atLeast"/>
        <w:rPr>
          <w:rFonts w:ascii="Arial" w:hAnsi="Arial" w:cs="Arial"/>
          <w:noProof/>
          <w:sz w:val="22"/>
          <w:szCs w:val="22"/>
          <w:lang w:val="en-GB"/>
        </w:rPr>
      </w:pPr>
      <w:r w:rsidRPr="0092047E">
        <w:rPr>
          <w:rFonts w:ascii="Arial" w:hAnsi="Arial" w:cs="Arial"/>
          <w:noProof/>
          <w:sz w:val="22"/>
          <w:szCs w:val="22"/>
          <w:lang w:val="en-GB"/>
        </w:rPr>
        <w:t xml:space="preserve">MEKINIST as a monotherapy is indicated for the treatment of patients with BRAFV600 mutation positive unresectable Stage III or metastatic (Stage IV) melanoma and in whom either there is intolerance to BRAF inhibitors or BRAF inhibitors cannot be used. </w:t>
      </w:r>
    </w:p>
    <w:p w:rsidR="0092047E" w:rsidRPr="009737E2" w:rsidRDefault="0092047E" w:rsidP="0092047E">
      <w:pPr>
        <w:spacing w:after="120" w:line="240" w:lineRule="atLeast"/>
        <w:rPr>
          <w:rFonts w:ascii="Arial" w:hAnsi="Arial" w:cs="Arial"/>
          <w:noProof/>
          <w:sz w:val="22"/>
          <w:szCs w:val="22"/>
          <w:lang w:val="en-GB"/>
        </w:rPr>
      </w:pPr>
      <w:r w:rsidRPr="0092047E">
        <w:rPr>
          <w:rFonts w:ascii="Arial" w:hAnsi="Arial" w:cs="Arial"/>
          <w:noProof/>
          <w:sz w:val="22"/>
          <w:szCs w:val="22"/>
          <w:lang w:val="en-GB"/>
        </w:rPr>
        <w:t>MEKINIST as monotherapy has not demonstrated clinical activity in patients who have progressed on BRAF inhibitor therapy (see CLINICAL TRIALS).</w:t>
      </w:r>
    </w:p>
    <w:p w:rsidR="004A4BB0" w:rsidRPr="00620AF0" w:rsidRDefault="004A4BB0" w:rsidP="00656020">
      <w:pPr>
        <w:spacing w:before="120" w:after="120" w:line="240" w:lineRule="atLeast"/>
        <w:rPr>
          <w:rFonts w:ascii="Arial" w:hAnsi="Arial" w:cs="Arial"/>
          <w:b/>
          <w:sz w:val="22"/>
          <w:szCs w:val="22"/>
        </w:rPr>
      </w:pPr>
    </w:p>
    <w:p w:rsidR="0077380F" w:rsidRPr="00620AF0" w:rsidRDefault="0077380F" w:rsidP="00656020">
      <w:pPr>
        <w:spacing w:before="120" w:after="240"/>
        <w:rPr>
          <w:rFonts w:ascii="Arial" w:hAnsi="Arial" w:cs="Arial"/>
          <w:b/>
          <w:sz w:val="22"/>
          <w:szCs w:val="22"/>
        </w:rPr>
      </w:pPr>
      <w:r w:rsidRPr="00620AF0">
        <w:rPr>
          <w:rFonts w:ascii="Arial" w:hAnsi="Arial" w:cs="Arial"/>
          <w:b/>
          <w:sz w:val="22"/>
          <w:szCs w:val="22"/>
        </w:rPr>
        <w:t>CONTRAINDICATIONS</w:t>
      </w:r>
    </w:p>
    <w:p w:rsidR="004F640B" w:rsidRPr="00620AF0" w:rsidRDefault="00916BEE" w:rsidP="00656020">
      <w:pPr>
        <w:spacing w:after="240" w:line="240" w:lineRule="atLeast"/>
        <w:rPr>
          <w:rFonts w:ascii="Arial" w:hAnsi="Arial" w:cs="Arial"/>
          <w:b/>
          <w:sz w:val="22"/>
          <w:szCs w:val="22"/>
        </w:rPr>
      </w:pPr>
      <w:r w:rsidRPr="00620AF0">
        <w:rPr>
          <w:rFonts w:ascii="Arial" w:hAnsi="Arial"/>
          <w:sz w:val="22"/>
          <w:szCs w:val="22"/>
          <w:lang w:val="en-GB"/>
        </w:rPr>
        <w:t>MEKINIST</w:t>
      </w:r>
      <w:r w:rsidR="00517A18" w:rsidRPr="00620AF0">
        <w:rPr>
          <w:rFonts w:ascii="Arial" w:hAnsi="Arial"/>
          <w:sz w:val="22"/>
          <w:szCs w:val="22"/>
          <w:lang w:val="en-GB"/>
        </w:rPr>
        <w:t xml:space="preserve"> </w:t>
      </w:r>
      <w:r w:rsidR="004C7251" w:rsidRPr="00620AF0">
        <w:rPr>
          <w:rFonts w:ascii="Arial" w:hAnsi="Arial"/>
          <w:sz w:val="22"/>
          <w:szCs w:val="22"/>
          <w:lang w:val="en-GB"/>
        </w:rPr>
        <w:t>is contraindicated in patients</w:t>
      </w:r>
      <w:r w:rsidR="00517A18" w:rsidRPr="00620AF0">
        <w:rPr>
          <w:rFonts w:ascii="Arial" w:hAnsi="Arial"/>
          <w:sz w:val="22"/>
          <w:szCs w:val="22"/>
          <w:lang w:val="en-GB"/>
        </w:rPr>
        <w:t xml:space="preserve"> with known hypersensitivity to </w:t>
      </w:r>
      <w:r w:rsidR="004C7251" w:rsidRPr="00620AF0">
        <w:rPr>
          <w:rFonts w:ascii="Arial" w:hAnsi="Arial"/>
          <w:sz w:val="22"/>
          <w:szCs w:val="22"/>
          <w:lang w:val="en-GB"/>
        </w:rPr>
        <w:t xml:space="preserve">the active substance </w:t>
      </w:r>
      <w:r w:rsidRPr="00620AF0">
        <w:rPr>
          <w:rFonts w:ascii="Arial" w:hAnsi="Arial"/>
          <w:sz w:val="22"/>
          <w:szCs w:val="22"/>
          <w:lang w:val="en-GB"/>
        </w:rPr>
        <w:t>trametinib dimethyl sulfoxide</w:t>
      </w:r>
      <w:r w:rsidR="004C7251" w:rsidRPr="00620AF0">
        <w:rPr>
          <w:rFonts w:ascii="Arial" w:hAnsi="Arial"/>
          <w:sz w:val="22"/>
          <w:szCs w:val="22"/>
          <w:lang w:val="en-GB"/>
        </w:rPr>
        <w:t xml:space="preserve"> or </w:t>
      </w:r>
      <w:r w:rsidR="00517A18" w:rsidRPr="00620AF0">
        <w:rPr>
          <w:rFonts w:ascii="Arial" w:hAnsi="Arial"/>
          <w:sz w:val="22"/>
          <w:szCs w:val="22"/>
          <w:lang w:val="en-GB"/>
        </w:rPr>
        <w:t xml:space="preserve">any </w:t>
      </w:r>
      <w:r w:rsidR="004C7251" w:rsidRPr="00620AF0">
        <w:rPr>
          <w:rFonts w:ascii="Arial" w:hAnsi="Arial"/>
          <w:sz w:val="22"/>
          <w:szCs w:val="22"/>
          <w:lang w:val="en-GB"/>
        </w:rPr>
        <w:t>of the excipients (See DESCRIPTION).</w:t>
      </w:r>
    </w:p>
    <w:p w:rsidR="0077380F" w:rsidRPr="00620AF0" w:rsidRDefault="0077380F" w:rsidP="00656020">
      <w:pPr>
        <w:spacing w:before="120" w:after="240" w:line="240" w:lineRule="atLeast"/>
        <w:rPr>
          <w:rFonts w:ascii="Arial" w:hAnsi="Arial" w:cs="Arial"/>
          <w:b/>
          <w:sz w:val="22"/>
          <w:szCs w:val="22"/>
        </w:rPr>
      </w:pPr>
      <w:r w:rsidRPr="00620AF0">
        <w:rPr>
          <w:rFonts w:ascii="Arial" w:hAnsi="Arial" w:cs="Arial"/>
          <w:b/>
          <w:sz w:val="22"/>
          <w:szCs w:val="22"/>
        </w:rPr>
        <w:t>PRECAUTIONS</w:t>
      </w:r>
    </w:p>
    <w:p w:rsidR="00A21891" w:rsidRDefault="005626C0" w:rsidP="00656020">
      <w:pPr>
        <w:suppressLineNumbers/>
        <w:autoSpaceDE w:val="0"/>
        <w:autoSpaceDN w:val="0"/>
        <w:adjustRightInd w:val="0"/>
        <w:spacing w:after="120" w:line="240" w:lineRule="atLeast"/>
        <w:rPr>
          <w:rFonts w:ascii="Arial" w:hAnsi="Arial" w:cs="Arial"/>
          <w:b/>
          <w:noProof/>
          <w:sz w:val="22"/>
          <w:szCs w:val="22"/>
          <w:lang w:val="en-GB"/>
        </w:rPr>
      </w:pPr>
      <w:r w:rsidRPr="00F565E0">
        <w:rPr>
          <w:rFonts w:ascii="Arial" w:hAnsi="Arial" w:cs="Arial"/>
          <w:b/>
          <w:noProof/>
          <w:sz w:val="22"/>
          <w:szCs w:val="22"/>
          <w:lang w:val="en-GB"/>
        </w:rPr>
        <w:t>BRAF V600 testing</w:t>
      </w:r>
    </w:p>
    <w:p w:rsidR="005626C0" w:rsidRDefault="005626C0" w:rsidP="00656020">
      <w:pPr>
        <w:suppressLineNumbers/>
        <w:autoSpaceDE w:val="0"/>
        <w:autoSpaceDN w:val="0"/>
        <w:adjustRightInd w:val="0"/>
        <w:spacing w:after="120" w:line="240" w:lineRule="atLeast"/>
        <w:rPr>
          <w:rFonts w:ascii="Arial" w:hAnsi="Arial" w:cs="Arial"/>
          <w:noProof/>
          <w:sz w:val="22"/>
          <w:szCs w:val="22"/>
          <w:lang w:val="en-GB"/>
        </w:rPr>
      </w:pPr>
      <w:r w:rsidRPr="00F565E0">
        <w:rPr>
          <w:rFonts w:ascii="Arial" w:hAnsi="Arial" w:cs="Arial"/>
          <w:noProof/>
          <w:sz w:val="22"/>
          <w:szCs w:val="22"/>
          <w:lang w:val="en-GB"/>
        </w:rPr>
        <w:t xml:space="preserve">Confirmation of BRAF V600 mutation using an approved/validated test is required for selection of patients appropriate for </w:t>
      </w:r>
      <w:r w:rsidR="00632731">
        <w:rPr>
          <w:rFonts w:ascii="Arial" w:hAnsi="Arial" w:cs="Arial"/>
          <w:sz w:val="22"/>
          <w:szCs w:val="22"/>
          <w:lang w:val="en-GB"/>
        </w:rPr>
        <w:t>MEKINIST</w:t>
      </w:r>
      <w:r w:rsidRPr="00F565E0">
        <w:rPr>
          <w:rFonts w:ascii="Arial" w:hAnsi="Arial" w:cs="Arial"/>
          <w:noProof/>
          <w:sz w:val="22"/>
          <w:szCs w:val="22"/>
          <w:lang w:val="en-GB"/>
        </w:rPr>
        <w:t xml:space="preserve"> monotherapy and in combination with </w:t>
      </w:r>
      <w:r>
        <w:rPr>
          <w:rFonts w:ascii="Arial" w:hAnsi="Arial" w:cs="Arial"/>
          <w:noProof/>
          <w:sz w:val="22"/>
          <w:szCs w:val="22"/>
          <w:lang w:val="en-GB"/>
        </w:rPr>
        <w:t>dabrafenib</w:t>
      </w:r>
      <w:r w:rsidRPr="00F565E0">
        <w:rPr>
          <w:rFonts w:ascii="Arial" w:hAnsi="Arial" w:cs="Arial"/>
          <w:noProof/>
          <w:sz w:val="22"/>
          <w:szCs w:val="22"/>
          <w:lang w:val="en-GB"/>
        </w:rPr>
        <w:t xml:space="preserve">. Patients enrolled in the melanoma clinical studies were required to have BRAF V600 mutation status measured. The safety and efficacy of </w:t>
      </w:r>
      <w:r w:rsidR="000E0FC0">
        <w:rPr>
          <w:rFonts w:ascii="Arial" w:hAnsi="Arial" w:cs="Arial"/>
          <w:noProof/>
          <w:sz w:val="22"/>
          <w:szCs w:val="22"/>
          <w:lang w:val="en-GB"/>
        </w:rPr>
        <w:t>MEKINIST</w:t>
      </w:r>
      <w:r w:rsidRPr="00F565E0">
        <w:rPr>
          <w:rFonts w:ascii="Arial" w:hAnsi="Arial" w:cs="Arial"/>
          <w:noProof/>
          <w:sz w:val="22"/>
          <w:szCs w:val="22"/>
          <w:lang w:val="en-GB"/>
        </w:rPr>
        <w:t xml:space="preserve"> have not been evaluated in patients whose melanoma tested negative for the BRAF V</w:t>
      </w:r>
      <w:r w:rsidRPr="00F565E0">
        <w:rPr>
          <w:rFonts w:ascii="Arial" w:hAnsi="Arial" w:cs="Arial"/>
          <w:noProof/>
          <w:sz w:val="22"/>
          <w:szCs w:val="22"/>
          <w:vertAlign w:val="superscript"/>
          <w:lang w:val="en-GB"/>
        </w:rPr>
        <w:t>600</w:t>
      </w:r>
      <w:r w:rsidRPr="00F565E0">
        <w:rPr>
          <w:rFonts w:ascii="Arial" w:hAnsi="Arial" w:cs="Arial"/>
          <w:noProof/>
          <w:sz w:val="22"/>
          <w:szCs w:val="22"/>
          <w:lang w:val="en-GB"/>
        </w:rPr>
        <w:t xml:space="preserve"> mutation.</w:t>
      </w:r>
    </w:p>
    <w:p w:rsidR="0092047E" w:rsidRDefault="0092047E" w:rsidP="0092047E">
      <w:pPr>
        <w:suppressLineNumbers/>
        <w:autoSpaceDE w:val="0"/>
        <w:autoSpaceDN w:val="0"/>
        <w:adjustRightInd w:val="0"/>
        <w:spacing w:after="120" w:line="240" w:lineRule="atLeast"/>
        <w:rPr>
          <w:rFonts w:ascii="Arial" w:hAnsi="Arial" w:cs="Arial"/>
          <w:b/>
          <w:noProof/>
          <w:sz w:val="22"/>
          <w:szCs w:val="22"/>
        </w:rPr>
      </w:pPr>
      <w:r w:rsidRPr="0092047E">
        <w:rPr>
          <w:rFonts w:ascii="Arial" w:hAnsi="Arial" w:cs="Arial"/>
          <w:b/>
          <w:noProof/>
          <w:sz w:val="22"/>
          <w:szCs w:val="22"/>
        </w:rPr>
        <w:t>Non-Cutaneous Malignancies</w:t>
      </w:r>
    </w:p>
    <w:p w:rsidR="008C42E7" w:rsidRPr="008C42E7" w:rsidRDefault="008C42E7" w:rsidP="008C42E7">
      <w:pPr>
        <w:suppressLineNumbers/>
        <w:autoSpaceDE w:val="0"/>
        <w:autoSpaceDN w:val="0"/>
        <w:adjustRightInd w:val="0"/>
        <w:spacing w:after="120" w:line="240" w:lineRule="atLeast"/>
        <w:rPr>
          <w:rFonts w:ascii="Arial" w:hAnsi="Arial" w:cs="Arial"/>
          <w:noProof/>
          <w:sz w:val="22"/>
          <w:szCs w:val="22"/>
        </w:rPr>
      </w:pPr>
      <w:r w:rsidRPr="008C42E7">
        <w:rPr>
          <w:rFonts w:ascii="Arial" w:hAnsi="Arial" w:cs="Arial"/>
          <w:noProof/>
          <w:sz w:val="22"/>
          <w:szCs w:val="22"/>
        </w:rPr>
        <w:t>New primary malignancies</w:t>
      </w:r>
      <w:r>
        <w:rPr>
          <w:rFonts w:ascii="Arial" w:hAnsi="Arial" w:cs="Arial"/>
          <w:noProof/>
          <w:sz w:val="22"/>
          <w:szCs w:val="22"/>
        </w:rPr>
        <w:t xml:space="preserve"> </w:t>
      </w:r>
      <w:r w:rsidRPr="008C42E7">
        <w:rPr>
          <w:rFonts w:ascii="Arial" w:hAnsi="Arial" w:cs="Arial"/>
          <w:noProof/>
          <w:sz w:val="22"/>
          <w:szCs w:val="22"/>
        </w:rPr>
        <w:t>can occur when MEKINIST is used in combination with dabrafenib and with dabrafenib as a single agent [refer to Full Prescribing Information for dabrafenib].</w:t>
      </w:r>
    </w:p>
    <w:p w:rsidR="0092047E" w:rsidRPr="0092047E" w:rsidRDefault="0092047E" w:rsidP="0092047E">
      <w:pPr>
        <w:suppressLineNumbers/>
        <w:autoSpaceDE w:val="0"/>
        <w:autoSpaceDN w:val="0"/>
        <w:adjustRightInd w:val="0"/>
        <w:spacing w:after="120" w:line="240" w:lineRule="atLeast"/>
        <w:rPr>
          <w:rFonts w:ascii="Arial" w:hAnsi="Arial" w:cs="Arial"/>
          <w:noProof/>
          <w:sz w:val="22"/>
          <w:szCs w:val="22"/>
        </w:rPr>
      </w:pPr>
      <w:r w:rsidRPr="0092047E">
        <w:rPr>
          <w:rFonts w:ascii="Arial" w:hAnsi="Arial" w:cs="Arial"/>
          <w:noProof/>
          <w:sz w:val="22"/>
          <w:szCs w:val="22"/>
        </w:rPr>
        <w:t>Based on its mechanism of action, dabrafenib may promote growth and development of</w:t>
      </w:r>
      <w:r>
        <w:rPr>
          <w:rFonts w:ascii="Arial" w:hAnsi="Arial" w:cs="Arial"/>
          <w:noProof/>
          <w:sz w:val="22"/>
          <w:szCs w:val="22"/>
        </w:rPr>
        <w:t xml:space="preserve"> </w:t>
      </w:r>
      <w:r w:rsidRPr="0092047E">
        <w:rPr>
          <w:rFonts w:ascii="Arial" w:hAnsi="Arial" w:cs="Arial"/>
          <w:noProof/>
          <w:sz w:val="22"/>
          <w:szCs w:val="22"/>
        </w:rPr>
        <w:t>malignancies with activation of RAS through mutation or other mechanisms (refer to the Product Information for dabrafenib</w:t>
      </w:r>
      <w:r>
        <w:rPr>
          <w:rFonts w:ascii="Arial" w:hAnsi="Arial" w:cs="Arial"/>
          <w:noProof/>
          <w:sz w:val="22"/>
          <w:szCs w:val="22"/>
        </w:rPr>
        <w:t>)</w:t>
      </w:r>
      <w:r w:rsidRPr="0092047E">
        <w:rPr>
          <w:rFonts w:ascii="Arial" w:hAnsi="Arial" w:cs="Arial"/>
          <w:noProof/>
          <w:sz w:val="22"/>
          <w:szCs w:val="22"/>
        </w:rPr>
        <w:t>. In patients receiving MEKINIST in combination with dabrafenib, four cases of non-cutaneous malignancies were identified: KRAS mutation-positive pancreatic adenocarcinoma (n = 1), recurrent NRAS mutation-positive colorectal carcinoma (n = 1), head and neck carcinoma (n = 1), and glioblastoma (n = 1). Monitor patients receiving the combination closely for signs or symptoms of non-cutaneous malignancies. If used in</w:t>
      </w:r>
      <w:r>
        <w:rPr>
          <w:rFonts w:ascii="Arial" w:hAnsi="Arial" w:cs="Arial"/>
          <w:noProof/>
          <w:sz w:val="22"/>
          <w:szCs w:val="22"/>
        </w:rPr>
        <w:t xml:space="preserve"> </w:t>
      </w:r>
      <w:r w:rsidRPr="0092047E">
        <w:rPr>
          <w:rFonts w:ascii="Arial" w:hAnsi="Arial" w:cs="Arial"/>
          <w:noProof/>
          <w:sz w:val="22"/>
          <w:szCs w:val="22"/>
        </w:rPr>
        <w:t>combination with dabrafenib, no dose modification is required for MEKINIST in patients who develop non-cutaneous malignancies. Permanently discontinue dabrafenib in patients who develop RAS mutation-positive non-cutaneous malignancies</w:t>
      </w:r>
      <w:r w:rsidR="007D7938">
        <w:rPr>
          <w:rFonts w:ascii="Arial" w:hAnsi="Arial" w:cs="Arial"/>
          <w:noProof/>
          <w:sz w:val="22"/>
          <w:szCs w:val="22"/>
        </w:rPr>
        <w:t xml:space="preserve"> (see DOSAGE AND ADMINISTRATION)</w:t>
      </w:r>
      <w:r w:rsidRPr="0092047E">
        <w:rPr>
          <w:rFonts w:ascii="Arial" w:hAnsi="Arial" w:cs="Arial"/>
          <w:noProof/>
          <w:sz w:val="22"/>
          <w:szCs w:val="22"/>
        </w:rPr>
        <w:t>.</w:t>
      </w:r>
    </w:p>
    <w:p w:rsidR="00902814" w:rsidRPr="00902814" w:rsidRDefault="00902814" w:rsidP="00902814">
      <w:pPr>
        <w:spacing w:after="120" w:line="240" w:lineRule="atLeast"/>
        <w:rPr>
          <w:rFonts w:ascii="Arial" w:hAnsi="Arial" w:cs="Arial"/>
          <w:b/>
          <w:noProof/>
          <w:sz w:val="22"/>
          <w:szCs w:val="22"/>
        </w:rPr>
      </w:pPr>
      <w:r w:rsidRPr="00902814">
        <w:rPr>
          <w:rFonts w:ascii="Arial" w:hAnsi="Arial" w:cs="Arial"/>
          <w:b/>
          <w:noProof/>
          <w:sz w:val="22"/>
          <w:szCs w:val="22"/>
        </w:rPr>
        <w:t>H</w:t>
      </w:r>
      <w:r w:rsidR="00D67401">
        <w:rPr>
          <w:rFonts w:ascii="Arial" w:hAnsi="Arial" w:cs="Arial"/>
          <w:b/>
          <w:noProof/>
          <w:sz w:val="22"/>
          <w:szCs w:val="22"/>
        </w:rPr>
        <w:t>a</w:t>
      </w:r>
      <w:r w:rsidRPr="00902814">
        <w:rPr>
          <w:rFonts w:ascii="Arial" w:hAnsi="Arial" w:cs="Arial"/>
          <w:b/>
          <w:noProof/>
          <w:sz w:val="22"/>
          <w:szCs w:val="22"/>
        </w:rPr>
        <w:t>emorrhage</w:t>
      </w:r>
    </w:p>
    <w:p w:rsidR="005B4A0F" w:rsidRDefault="00902814" w:rsidP="00902814">
      <w:pPr>
        <w:spacing w:after="120" w:line="240" w:lineRule="atLeast"/>
        <w:rPr>
          <w:rFonts w:ascii="Arial" w:hAnsi="Arial" w:cs="Arial"/>
          <w:noProof/>
          <w:sz w:val="22"/>
          <w:szCs w:val="22"/>
        </w:rPr>
      </w:pPr>
      <w:r w:rsidRPr="00902814">
        <w:rPr>
          <w:rFonts w:ascii="Arial" w:hAnsi="Arial" w:cs="Arial"/>
          <w:noProof/>
          <w:sz w:val="22"/>
          <w:szCs w:val="22"/>
        </w:rPr>
        <w:t>H</w:t>
      </w:r>
      <w:r w:rsidR="00D67401">
        <w:rPr>
          <w:rFonts w:ascii="Arial" w:hAnsi="Arial" w:cs="Arial"/>
          <w:noProof/>
          <w:sz w:val="22"/>
          <w:szCs w:val="22"/>
        </w:rPr>
        <w:t>a</w:t>
      </w:r>
      <w:r w:rsidRPr="00902814">
        <w:rPr>
          <w:rFonts w:ascii="Arial" w:hAnsi="Arial" w:cs="Arial"/>
          <w:noProof/>
          <w:sz w:val="22"/>
          <w:szCs w:val="22"/>
        </w:rPr>
        <w:t xml:space="preserve">emorrhages, including major </w:t>
      </w:r>
      <w:r w:rsidR="00D67401">
        <w:rPr>
          <w:rFonts w:ascii="Arial" w:hAnsi="Arial" w:cs="Arial"/>
          <w:noProof/>
          <w:sz w:val="22"/>
          <w:szCs w:val="22"/>
        </w:rPr>
        <w:t>haem</w:t>
      </w:r>
      <w:r w:rsidRPr="00902814">
        <w:rPr>
          <w:rFonts w:ascii="Arial" w:hAnsi="Arial" w:cs="Arial"/>
          <w:noProof/>
          <w:sz w:val="22"/>
          <w:szCs w:val="22"/>
        </w:rPr>
        <w:t>orrhages defined as symptomatic bleeding in a critical area or</w:t>
      </w:r>
      <w:r>
        <w:rPr>
          <w:rFonts w:ascii="Arial" w:hAnsi="Arial" w:cs="Arial"/>
          <w:noProof/>
          <w:sz w:val="22"/>
          <w:szCs w:val="22"/>
        </w:rPr>
        <w:t xml:space="preserve"> </w:t>
      </w:r>
      <w:r w:rsidRPr="00902814">
        <w:rPr>
          <w:rFonts w:ascii="Arial" w:hAnsi="Arial" w:cs="Arial"/>
          <w:noProof/>
          <w:sz w:val="22"/>
          <w:szCs w:val="22"/>
        </w:rPr>
        <w:t xml:space="preserve">organ, can occur when MEKINIST is used in combination with dabrafenib. </w:t>
      </w:r>
    </w:p>
    <w:p w:rsidR="00902814" w:rsidRPr="00902814" w:rsidRDefault="00902814" w:rsidP="00902814">
      <w:pPr>
        <w:spacing w:after="120" w:line="240" w:lineRule="atLeast"/>
        <w:rPr>
          <w:rFonts w:ascii="Arial" w:hAnsi="Arial" w:cs="Arial"/>
          <w:noProof/>
          <w:sz w:val="22"/>
          <w:szCs w:val="22"/>
        </w:rPr>
      </w:pPr>
      <w:r w:rsidRPr="00902814">
        <w:rPr>
          <w:rFonts w:ascii="Arial" w:hAnsi="Arial" w:cs="Arial"/>
          <w:noProof/>
          <w:sz w:val="22"/>
          <w:szCs w:val="22"/>
        </w:rPr>
        <w:t xml:space="preserve">In </w:t>
      </w:r>
      <w:r>
        <w:rPr>
          <w:rFonts w:ascii="Arial" w:hAnsi="Arial" w:cs="Arial"/>
          <w:noProof/>
          <w:sz w:val="22"/>
          <w:szCs w:val="22"/>
        </w:rPr>
        <w:t xml:space="preserve">Study </w:t>
      </w:r>
      <w:r w:rsidRPr="005B4A0F">
        <w:rPr>
          <w:rFonts w:ascii="Arial" w:hAnsi="Arial" w:cs="Arial"/>
          <w:noProof/>
          <w:sz w:val="22"/>
          <w:szCs w:val="22"/>
        </w:rPr>
        <w:t>BRF113220</w:t>
      </w:r>
      <w:r w:rsidRPr="00902814">
        <w:rPr>
          <w:rFonts w:ascii="Arial" w:hAnsi="Arial" w:cs="Arial"/>
          <w:noProof/>
          <w:sz w:val="22"/>
          <w:szCs w:val="22"/>
        </w:rPr>
        <w:t xml:space="preserve">, treatment with MEKINIST in combination with dabrafenib resulted in an increased incidence and severity of any </w:t>
      </w:r>
      <w:r w:rsidR="00D67401">
        <w:rPr>
          <w:rFonts w:ascii="Arial" w:hAnsi="Arial" w:cs="Arial"/>
          <w:noProof/>
          <w:sz w:val="22"/>
          <w:szCs w:val="22"/>
        </w:rPr>
        <w:t>haem</w:t>
      </w:r>
      <w:r w:rsidRPr="00902814">
        <w:rPr>
          <w:rFonts w:ascii="Arial" w:hAnsi="Arial" w:cs="Arial"/>
          <w:noProof/>
          <w:sz w:val="22"/>
          <w:szCs w:val="22"/>
        </w:rPr>
        <w:t xml:space="preserve">orrhagic event: 16% (9/55) of patients </w:t>
      </w:r>
      <w:r w:rsidRPr="00902814">
        <w:rPr>
          <w:rFonts w:ascii="Arial" w:hAnsi="Arial" w:cs="Arial"/>
          <w:noProof/>
          <w:sz w:val="22"/>
          <w:szCs w:val="22"/>
        </w:rPr>
        <w:lastRenderedPageBreak/>
        <w:t xml:space="preserve">treated with MEKINIST in combination with dabrafenib compared with 2% (1/53) of patients treated with dabrafenib as a single agent. The major </w:t>
      </w:r>
      <w:r w:rsidR="00D67401">
        <w:rPr>
          <w:rFonts w:ascii="Arial" w:hAnsi="Arial" w:cs="Arial"/>
          <w:noProof/>
          <w:sz w:val="22"/>
          <w:szCs w:val="22"/>
        </w:rPr>
        <w:t>haem</w:t>
      </w:r>
      <w:r w:rsidRPr="00902814">
        <w:rPr>
          <w:rFonts w:ascii="Arial" w:hAnsi="Arial" w:cs="Arial"/>
          <w:noProof/>
          <w:sz w:val="22"/>
          <w:szCs w:val="22"/>
        </w:rPr>
        <w:t xml:space="preserve">orrhagic events of intracranial or gastric </w:t>
      </w:r>
      <w:r w:rsidR="00D67401">
        <w:rPr>
          <w:rFonts w:ascii="Arial" w:hAnsi="Arial" w:cs="Arial"/>
          <w:noProof/>
          <w:sz w:val="22"/>
          <w:szCs w:val="22"/>
        </w:rPr>
        <w:t>haem</w:t>
      </w:r>
      <w:r w:rsidRPr="00902814">
        <w:rPr>
          <w:rFonts w:ascii="Arial" w:hAnsi="Arial" w:cs="Arial"/>
          <w:noProof/>
          <w:sz w:val="22"/>
          <w:szCs w:val="22"/>
        </w:rPr>
        <w:t xml:space="preserve">orrhage occurred in 5% (3/55) of patients treated with MEKINIST in combination with dabrafenib compared with none of the 53 patients treated with dabrafenib as a single agent. Intracranial </w:t>
      </w:r>
      <w:r w:rsidR="00D67401">
        <w:rPr>
          <w:rFonts w:ascii="Arial" w:hAnsi="Arial" w:cs="Arial"/>
          <w:noProof/>
          <w:sz w:val="22"/>
          <w:szCs w:val="22"/>
        </w:rPr>
        <w:t>haem</w:t>
      </w:r>
      <w:r w:rsidRPr="00902814">
        <w:rPr>
          <w:rFonts w:ascii="Arial" w:hAnsi="Arial" w:cs="Arial"/>
          <w:noProof/>
          <w:sz w:val="22"/>
          <w:szCs w:val="22"/>
        </w:rPr>
        <w:t>orrhage was fatal in two (4%) patients receiving the combination of MEKINIST and dabrafenib.</w:t>
      </w:r>
    </w:p>
    <w:p w:rsidR="00902814" w:rsidRPr="00902814" w:rsidRDefault="00902814" w:rsidP="00902814">
      <w:pPr>
        <w:spacing w:after="120" w:line="240" w:lineRule="atLeast"/>
        <w:rPr>
          <w:rFonts w:ascii="Arial" w:hAnsi="Arial" w:cs="Arial"/>
          <w:noProof/>
          <w:sz w:val="22"/>
          <w:szCs w:val="22"/>
        </w:rPr>
      </w:pPr>
      <w:r w:rsidRPr="00902814">
        <w:rPr>
          <w:rFonts w:ascii="Arial" w:hAnsi="Arial" w:cs="Arial"/>
          <w:noProof/>
          <w:sz w:val="22"/>
          <w:szCs w:val="22"/>
        </w:rPr>
        <w:t xml:space="preserve">Permanently discontinue MEKINIST, and also permanently discontinue dabrafenib if administered in combination, for all Grade 4 </w:t>
      </w:r>
      <w:r w:rsidR="00D67401">
        <w:rPr>
          <w:rFonts w:ascii="Arial" w:hAnsi="Arial" w:cs="Arial"/>
          <w:noProof/>
          <w:sz w:val="22"/>
          <w:szCs w:val="22"/>
        </w:rPr>
        <w:t>haem</w:t>
      </w:r>
      <w:r w:rsidRPr="00902814">
        <w:rPr>
          <w:rFonts w:ascii="Arial" w:hAnsi="Arial" w:cs="Arial"/>
          <w:noProof/>
          <w:sz w:val="22"/>
          <w:szCs w:val="22"/>
        </w:rPr>
        <w:t xml:space="preserve">orrhagic events and for any Grade 3 </w:t>
      </w:r>
      <w:r w:rsidR="00D67401">
        <w:rPr>
          <w:rFonts w:ascii="Arial" w:hAnsi="Arial" w:cs="Arial"/>
          <w:noProof/>
          <w:sz w:val="22"/>
          <w:szCs w:val="22"/>
        </w:rPr>
        <w:t>haem</w:t>
      </w:r>
      <w:r w:rsidRPr="00902814">
        <w:rPr>
          <w:rFonts w:ascii="Arial" w:hAnsi="Arial" w:cs="Arial"/>
          <w:noProof/>
          <w:sz w:val="22"/>
          <w:szCs w:val="22"/>
        </w:rPr>
        <w:t xml:space="preserve">orrhagic events that do not improve. Withhold MEKINIST for up to 3 weeks for Grade 3 </w:t>
      </w:r>
      <w:r w:rsidR="00D67401">
        <w:rPr>
          <w:rFonts w:ascii="Arial" w:hAnsi="Arial" w:cs="Arial"/>
          <w:noProof/>
          <w:sz w:val="22"/>
          <w:szCs w:val="22"/>
        </w:rPr>
        <w:t>haem</w:t>
      </w:r>
      <w:r w:rsidRPr="00902814">
        <w:rPr>
          <w:rFonts w:ascii="Arial" w:hAnsi="Arial" w:cs="Arial"/>
          <w:noProof/>
          <w:sz w:val="22"/>
          <w:szCs w:val="22"/>
        </w:rPr>
        <w:t xml:space="preserve">orrhagic events; if improved resume at a lower dose level. Withhold dabrafenib for Grade 3 </w:t>
      </w:r>
      <w:r w:rsidR="00D67401">
        <w:rPr>
          <w:rFonts w:ascii="Arial" w:hAnsi="Arial" w:cs="Arial"/>
          <w:noProof/>
          <w:sz w:val="22"/>
          <w:szCs w:val="22"/>
        </w:rPr>
        <w:t>haem</w:t>
      </w:r>
      <w:r w:rsidRPr="00902814">
        <w:rPr>
          <w:rFonts w:ascii="Arial" w:hAnsi="Arial" w:cs="Arial"/>
          <w:noProof/>
          <w:sz w:val="22"/>
          <w:szCs w:val="22"/>
        </w:rPr>
        <w:t>orrhagic events; if improved resume at a lower dose level</w:t>
      </w:r>
      <w:r w:rsidR="007D7938">
        <w:rPr>
          <w:rFonts w:ascii="Arial" w:hAnsi="Arial" w:cs="Arial"/>
          <w:noProof/>
          <w:sz w:val="22"/>
          <w:szCs w:val="22"/>
        </w:rPr>
        <w:t xml:space="preserve"> (see DOSAGE AND ADMINISTRATION)</w:t>
      </w:r>
      <w:r w:rsidRPr="00902814">
        <w:rPr>
          <w:rFonts w:ascii="Arial" w:hAnsi="Arial" w:cs="Arial"/>
          <w:noProof/>
          <w:sz w:val="22"/>
          <w:szCs w:val="22"/>
        </w:rPr>
        <w:t>.</w:t>
      </w:r>
    </w:p>
    <w:p w:rsidR="00B62DFE" w:rsidRDefault="00D37853" w:rsidP="00B62DFE">
      <w:pPr>
        <w:spacing w:after="120" w:line="240" w:lineRule="atLeast"/>
        <w:rPr>
          <w:rFonts w:ascii="Arial" w:hAnsi="Arial" w:cs="Arial"/>
          <w:b/>
          <w:noProof/>
          <w:sz w:val="22"/>
          <w:szCs w:val="22"/>
        </w:rPr>
      </w:pPr>
      <w:r>
        <w:rPr>
          <w:rFonts w:ascii="Arial" w:hAnsi="Arial" w:cs="Arial"/>
          <w:b/>
          <w:noProof/>
          <w:sz w:val="22"/>
          <w:szCs w:val="22"/>
        </w:rPr>
        <w:t>Cardiomyopathy</w:t>
      </w:r>
    </w:p>
    <w:p w:rsidR="00A645EF" w:rsidRPr="00A645EF" w:rsidRDefault="00A645EF" w:rsidP="00A645EF">
      <w:pPr>
        <w:spacing w:after="120" w:line="240" w:lineRule="atLeast"/>
        <w:rPr>
          <w:rFonts w:ascii="Arial" w:hAnsi="Arial" w:cs="Arial"/>
          <w:noProof/>
          <w:sz w:val="22"/>
          <w:szCs w:val="22"/>
          <w:lang w:val="en-GB"/>
        </w:rPr>
      </w:pPr>
      <w:r w:rsidRPr="00A645EF">
        <w:rPr>
          <w:rFonts w:ascii="Arial" w:hAnsi="Arial" w:cs="Arial"/>
          <w:noProof/>
          <w:sz w:val="22"/>
          <w:szCs w:val="22"/>
          <w:lang w:val="en-GB"/>
        </w:rPr>
        <w:t>Across clinical trials of MEKINIST at the recommended dose (N = 329), 11% of patients developed evidence of cardiomyopathy (decrease in left ventricular ejection fraction, or LVEF, below institutional lower limits of normal with an absolute decrease in LVEF ≥10% below baseline) and 5% demonstrated a decrease in LVEF below institutional lower limits of normal with an absolute decrease in LVEF of ≥20% below baseline.</w:t>
      </w:r>
    </w:p>
    <w:p w:rsidR="00A645EF" w:rsidRPr="00A645EF" w:rsidRDefault="00A645EF" w:rsidP="00A645EF">
      <w:pPr>
        <w:spacing w:after="120" w:line="240" w:lineRule="atLeast"/>
        <w:rPr>
          <w:rFonts w:ascii="Arial" w:hAnsi="Arial" w:cs="Arial"/>
          <w:noProof/>
          <w:sz w:val="22"/>
          <w:szCs w:val="22"/>
          <w:lang w:val="en-GB"/>
        </w:rPr>
      </w:pPr>
      <w:r w:rsidRPr="00A645EF">
        <w:rPr>
          <w:rFonts w:ascii="Arial" w:hAnsi="Arial" w:cs="Arial"/>
          <w:noProof/>
          <w:sz w:val="22"/>
          <w:szCs w:val="22"/>
          <w:lang w:val="en-GB"/>
        </w:rPr>
        <w:t xml:space="preserve">LVEF should be evaluated by echocardiogram or multigated acquisition (MUGA) scan in all patients prior to initiation of treatment with </w:t>
      </w:r>
      <w:r w:rsidR="001B0249">
        <w:rPr>
          <w:rFonts w:ascii="Arial" w:hAnsi="Arial" w:cs="Arial"/>
          <w:noProof/>
          <w:sz w:val="22"/>
          <w:szCs w:val="22"/>
          <w:lang w:val="en-GB"/>
        </w:rPr>
        <w:t>MEKINIST</w:t>
      </w:r>
      <w:r w:rsidRPr="00A645EF">
        <w:rPr>
          <w:rFonts w:ascii="Arial" w:hAnsi="Arial" w:cs="Arial"/>
          <w:noProof/>
          <w:sz w:val="22"/>
          <w:szCs w:val="22"/>
          <w:lang w:val="en-GB"/>
        </w:rPr>
        <w:t>, one month after initiation of therapy, and then at approximately 3 monthly intervals while on treatment.</w:t>
      </w:r>
    </w:p>
    <w:p w:rsidR="00A645EF" w:rsidRPr="00A645EF" w:rsidRDefault="001B0249" w:rsidP="00A645EF">
      <w:pPr>
        <w:spacing w:after="120" w:line="240" w:lineRule="atLeast"/>
        <w:rPr>
          <w:rFonts w:ascii="Arial" w:hAnsi="Arial" w:cs="Arial"/>
          <w:noProof/>
          <w:sz w:val="22"/>
          <w:szCs w:val="22"/>
          <w:lang w:val="en-GB"/>
        </w:rPr>
      </w:pPr>
      <w:r>
        <w:rPr>
          <w:rFonts w:ascii="Arial" w:hAnsi="Arial" w:cs="Arial"/>
          <w:noProof/>
          <w:sz w:val="22"/>
          <w:szCs w:val="22"/>
          <w:lang w:val="en-GB"/>
        </w:rPr>
        <w:t>MEKINIST</w:t>
      </w:r>
      <w:r w:rsidRPr="00A645EF">
        <w:rPr>
          <w:rFonts w:ascii="Arial" w:hAnsi="Arial" w:cs="Arial"/>
          <w:noProof/>
          <w:sz w:val="22"/>
          <w:szCs w:val="22"/>
          <w:lang w:val="en-GB"/>
        </w:rPr>
        <w:t xml:space="preserve"> </w:t>
      </w:r>
      <w:r w:rsidR="00A645EF" w:rsidRPr="00A645EF">
        <w:rPr>
          <w:rFonts w:ascii="Arial" w:hAnsi="Arial" w:cs="Arial"/>
          <w:noProof/>
          <w:sz w:val="22"/>
          <w:szCs w:val="22"/>
          <w:lang w:val="en-GB"/>
        </w:rPr>
        <w:t xml:space="preserve">should be interrupted in patients who have an asymptomatic, absolute decrease of </w:t>
      </w:r>
      <w:r w:rsidR="00635577" w:rsidRPr="007D7938">
        <w:rPr>
          <w:rFonts w:ascii="Arial" w:hAnsi="Arial" w:cs="Arial"/>
          <w:noProof/>
          <w:sz w:val="22"/>
          <w:szCs w:val="22"/>
          <w:lang w:val="en-GB"/>
        </w:rPr>
        <w:t>≥</w:t>
      </w:r>
      <w:r w:rsidR="00A645EF" w:rsidRPr="00A645EF">
        <w:rPr>
          <w:rFonts w:ascii="Arial" w:hAnsi="Arial" w:cs="Arial"/>
          <w:noProof/>
          <w:sz w:val="22"/>
          <w:szCs w:val="22"/>
          <w:lang w:val="en-GB"/>
        </w:rPr>
        <w:t xml:space="preserve"> 10 % in LVEF compared to baseline and the ejection fraction is below the institution’s lower limit of normal (LLN). If </w:t>
      </w:r>
      <w:r>
        <w:rPr>
          <w:rFonts w:ascii="Arial" w:hAnsi="Arial" w:cs="Arial"/>
          <w:noProof/>
          <w:sz w:val="22"/>
          <w:szCs w:val="22"/>
          <w:lang w:val="en-GB"/>
        </w:rPr>
        <w:t>MEKINIST</w:t>
      </w:r>
      <w:r w:rsidRPr="00A645EF">
        <w:rPr>
          <w:rFonts w:ascii="Arial" w:hAnsi="Arial" w:cs="Arial"/>
          <w:noProof/>
          <w:sz w:val="22"/>
          <w:szCs w:val="22"/>
          <w:lang w:val="en-GB"/>
        </w:rPr>
        <w:t xml:space="preserve"> </w:t>
      </w:r>
      <w:r w:rsidR="00A645EF" w:rsidRPr="00A645EF">
        <w:rPr>
          <w:rFonts w:ascii="Arial" w:hAnsi="Arial" w:cs="Arial"/>
          <w:noProof/>
          <w:sz w:val="22"/>
          <w:szCs w:val="22"/>
          <w:lang w:val="en-GB"/>
        </w:rPr>
        <w:t xml:space="preserve">is being used in combination with dabrafenib then therapy with dabrafenib may be continued at the same dose. If the LVEF recovers, treatment with </w:t>
      </w:r>
      <w:r>
        <w:rPr>
          <w:rFonts w:ascii="Arial" w:hAnsi="Arial" w:cs="Arial"/>
          <w:noProof/>
          <w:sz w:val="22"/>
          <w:szCs w:val="22"/>
          <w:lang w:val="en-GB"/>
        </w:rPr>
        <w:t>MEKINIST</w:t>
      </w:r>
      <w:r w:rsidRPr="00A645EF">
        <w:rPr>
          <w:rFonts w:ascii="Arial" w:hAnsi="Arial" w:cs="Arial"/>
          <w:noProof/>
          <w:sz w:val="22"/>
          <w:szCs w:val="22"/>
          <w:lang w:val="en-GB"/>
        </w:rPr>
        <w:t xml:space="preserve"> </w:t>
      </w:r>
      <w:r w:rsidR="00A645EF" w:rsidRPr="00A645EF">
        <w:rPr>
          <w:rFonts w:ascii="Arial" w:hAnsi="Arial" w:cs="Arial"/>
          <w:noProof/>
          <w:sz w:val="22"/>
          <w:szCs w:val="22"/>
          <w:lang w:val="en-GB"/>
        </w:rPr>
        <w:t>may be restarted, but the dose should be reduced by one dose level with careful monitoring.</w:t>
      </w:r>
    </w:p>
    <w:p w:rsidR="00A645EF" w:rsidRPr="00A645EF" w:rsidRDefault="00A645EF" w:rsidP="00A645EF">
      <w:pPr>
        <w:spacing w:after="120" w:line="240" w:lineRule="atLeast"/>
        <w:rPr>
          <w:rFonts w:ascii="Arial" w:hAnsi="Arial" w:cs="Arial"/>
          <w:noProof/>
          <w:sz w:val="22"/>
          <w:szCs w:val="22"/>
        </w:rPr>
      </w:pPr>
      <w:r w:rsidRPr="00A645EF">
        <w:rPr>
          <w:rFonts w:ascii="Arial" w:hAnsi="Arial" w:cs="Arial"/>
          <w:noProof/>
          <w:sz w:val="22"/>
          <w:szCs w:val="22"/>
          <w:lang w:val="en-GB"/>
        </w:rPr>
        <w:t xml:space="preserve">With Grade 3 or 4 left ventricular cardiac dysfunction or if LVEF does not recover </w:t>
      </w:r>
      <w:r w:rsidR="001B0249">
        <w:rPr>
          <w:rFonts w:ascii="Arial" w:hAnsi="Arial" w:cs="Arial"/>
          <w:noProof/>
          <w:sz w:val="22"/>
          <w:szCs w:val="22"/>
          <w:lang w:val="en-GB"/>
        </w:rPr>
        <w:t>MEKINIST</w:t>
      </w:r>
      <w:r w:rsidR="001B0249" w:rsidRPr="00A645EF">
        <w:rPr>
          <w:rFonts w:ascii="Arial" w:hAnsi="Arial" w:cs="Arial"/>
          <w:noProof/>
          <w:sz w:val="22"/>
          <w:szCs w:val="22"/>
          <w:lang w:val="en-GB"/>
        </w:rPr>
        <w:t xml:space="preserve"> </w:t>
      </w:r>
      <w:r w:rsidRPr="00A645EF">
        <w:rPr>
          <w:rFonts w:ascii="Arial" w:hAnsi="Arial" w:cs="Arial"/>
          <w:noProof/>
          <w:sz w:val="22"/>
          <w:szCs w:val="22"/>
          <w:lang w:val="en-GB"/>
        </w:rPr>
        <w:t xml:space="preserve">should be permanently discontinued. If </w:t>
      </w:r>
      <w:r w:rsidR="001B0249">
        <w:rPr>
          <w:rFonts w:ascii="Arial" w:hAnsi="Arial" w:cs="Arial"/>
          <w:noProof/>
          <w:sz w:val="22"/>
          <w:szCs w:val="22"/>
          <w:lang w:val="en-GB"/>
        </w:rPr>
        <w:t>MEKINIST</w:t>
      </w:r>
      <w:r w:rsidR="001B0249" w:rsidRPr="00A645EF">
        <w:rPr>
          <w:rFonts w:ascii="Arial" w:hAnsi="Arial" w:cs="Arial"/>
          <w:noProof/>
          <w:sz w:val="22"/>
          <w:szCs w:val="22"/>
          <w:lang w:val="en-GB"/>
        </w:rPr>
        <w:t xml:space="preserve"> </w:t>
      </w:r>
      <w:r w:rsidRPr="00A645EF">
        <w:rPr>
          <w:rFonts w:ascii="Arial" w:hAnsi="Arial" w:cs="Arial"/>
          <w:noProof/>
          <w:sz w:val="22"/>
          <w:szCs w:val="22"/>
          <w:lang w:val="en-GB"/>
        </w:rPr>
        <w:t xml:space="preserve">is being used in combination with dabrafenib then therapy with dabrafenib </w:t>
      </w:r>
      <w:r w:rsidR="00635577" w:rsidRPr="00485BB3">
        <w:rPr>
          <w:rFonts w:ascii="Arial" w:hAnsi="Arial" w:cs="Arial"/>
          <w:noProof/>
          <w:sz w:val="22"/>
          <w:szCs w:val="22"/>
          <w:lang w:val="en-GB"/>
        </w:rPr>
        <w:t>s</w:t>
      </w:r>
      <w:r w:rsidR="00635577" w:rsidRPr="009917B5">
        <w:rPr>
          <w:rFonts w:ascii="Arial" w:hAnsi="Arial" w:cs="Arial"/>
          <w:sz w:val="22"/>
          <w:szCs w:val="22"/>
        </w:rPr>
        <w:t>hould be withheld and resumed at the same dose upon recovery of cardiac function</w:t>
      </w:r>
      <w:r w:rsidR="007D7938">
        <w:rPr>
          <w:rFonts w:ascii="Arial" w:hAnsi="Arial" w:cs="Arial"/>
          <w:noProof/>
          <w:sz w:val="22"/>
          <w:szCs w:val="22"/>
          <w:lang w:val="en-GB"/>
        </w:rPr>
        <w:t xml:space="preserve"> </w:t>
      </w:r>
      <w:r w:rsidR="007D7938">
        <w:rPr>
          <w:rFonts w:ascii="Arial" w:hAnsi="Arial" w:cs="Arial"/>
          <w:noProof/>
          <w:sz w:val="22"/>
          <w:szCs w:val="22"/>
        </w:rPr>
        <w:t>(see DOSAGE AND ADMINISTRATION)</w:t>
      </w:r>
      <w:r w:rsidRPr="00A645EF">
        <w:rPr>
          <w:rFonts w:ascii="Arial" w:hAnsi="Arial" w:cs="Arial"/>
          <w:noProof/>
          <w:sz w:val="22"/>
          <w:szCs w:val="22"/>
          <w:lang w:val="en-GB"/>
        </w:rPr>
        <w:t>.</w:t>
      </w:r>
    </w:p>
    <w:p w:rsidR="008A70AC" w:rsidRPr="00B7767E" w:rsidRDefault="008A70AC" w:rsidP="008A70AC">
      <w:pPr>
        <w:pStyle w:val="BodytextAgency"/>
        <w:ind w:right="-421"/>
        <w:rPr>
          <w:rFonts w:ascii="Arial" w:hAnsi="Arial" w:cs="Arial"/>
          <w:b/>
          <w:sz w:val="22"/>
          <w:szCs w:val="22"/>
          <w:lang w:val="en-GB"/>
        </w:rPr>
      </w:pPr>
      <w:r w:rsidRPr="00B7767E">
        <w:rPr>
          <w:rFonts w:ascii="Arial" w:hAnsi="Arial" w:cs="Arial"/>
          <w:b/>
          <w:sz w:val="22"/>
          <w:szCs w:val="22"/>
          <w:lang w:val="en-GB"/>
        </w:rPr>
        <w:t>Ocular Adverse Events</w:t>
      </w:r>
    </w:p>
    <w:p w:rsidR="008A70AC" w:rsidRPr="008A70AC" w:rsidRDefault="008A70AC" w:rsidP="008A70AC">
      <w:pPr>
        <w:pStyle w:val="BodytextAgency"/>
        <w:ind w:right="-421"/>
        <w:rPr>
          <w:rFonts w:ascii="Arial" w:hAnsi="Arial" w:cs="Arial"/>
          <w:sz w:val="22"/>
          <w:szCs w:val="22"/>
          <w:lang w:val="en-GB"/>
        </w:rPr>
      </w:pPr>
      <w:r w:rsidRPr="008A70AC">
        <w:rPr>
          <w:rFonts w:ascii="Arial" w:hAnsi="Arial" w:cs="Arial"/>
          <w:sz w:val="22"/>
          <w:szCs w:val="22"/>
          <w:lang w:val="en-GB"/>
        </w:rPr>
        <w:t>The data from clinical trials demonstrates that when all reported ocular events are pooled, there was a higher reported rate in the subjects treated with combination therapy than monotherapy (20% vs 13%, respectively).  The median exposure time for combination therapy was substantially longer than MEKINIST monotherapy (6.41 vs. 3.84 months, respectively).</w:t>
      </w:r>
    </w:p>
    <w:p w:rsidR="008A70AC" w:rsidRPr="008A70AC" w:rsidRDefault="008A70AC" w:rsidP="008A70AC">
      <w:pPr>
        <w:pStyle w:val="BodytextAgency"/>
        <w:ind w:right="-421"/>
        <w:rPr>
          <w:rFonts w:ascii="Arial" w:hAnsi="Arial" w:cs="Arial"/>
          <w:sz w:val="22"/>
          <w:szCs w:val="22"/>
          <w:lang w:val="en-GB"/>
        </w:rPr>
      </w:pPr>
      <w:r w:rsidRPr="008A70AC">
        <w:rPr>
          <w:rFonts w:ascii="Arial" w:hAnsi="Arial" w:cs="Arial"/>
          <w:sz w:val="22"/>
          <w:szCs w:val="22"/>
          <w:lang w:val="en-GB"/>
        </w:rPr>
        <w:t xml:space="preserve">Disorders associated with visual disturbance, including retinal pigment epithelial detachment (RPED) and retinal vein occlusion (RVO), have been observed with </w:t>
      </w:r>
      <w:r w:rsidR="000E0FC0">
        <w:rPr>
          <w:rFonts w:ascii="Arial" w:hAnsi="Arial" w:cs="Arial"/>
          <w:sz w:val="22"/>
          <w:szCs w:val="22"/>
          <w:lang w:val="en-GB"/>
        </w:rPr>
        <w:t>MEKINIST</w:t>
      </w:r>
      <w:r w:rsidRPr="008A70AC">
        <w:rPr>
          <w:rFonts w:ascii="Arial" w:hAnsi="Arial" w:cs="Arial"/>
          <w:sz w:val="22"/>
          <w:szCs w:val="22"/>
          <w:lang w:val="en-GB"/>
        </w:rPr>
        <w:t xml:space="preserve"> as monotherapy and in combination with dabrafenib. Symptoms such as blurred vision, decreased acuity, and other visual phenomena have been reported in the clinical trials with MEKINIST (see ADVERSE EFFECTS).</w:t>
      </w:r>
      <w:r w:rsidRPr="008A70AC">
        <w:rPr>
          <w:rFonts w:ascii="Arial" w:hAnsi="Arial" w:cs="Arial"/>
          <w:sz w:val="22"/>
          <w:szCs w:val="22"/>
        </w:rPr>
        <w:t xml:space="preserve"> </w:t>
      </w:r>
      <w:r w:rsidRPr="008A70AC">
        <w:rPr>
          <w:rFonts w:ascii="Arial" w:hAnsi="Arial" w:cs="Arial"/>
          <w:sz w:val="22"/>
          <w:szCs w:val="22"/>
          <w:lang w:val="en-GB"/>
        </w:rPr>
        <w:t>If patients report new visual disturbances such as diminished central vision, blurry vision, or loss of vision at any time while on MEKINIST therapy, a prompt ophthalmological assessment is recommended.</w:t>
      </w:r>
    </w:p>
    <w:p w:rsidR="008A70AC" w:rsidRPr="00B7767E" w:rsidRDefault="008A70AC" w:rsidP="008A70AC">
      <w:pPr>
        <w:pStyle w:val="BodytextAgency"/>
        <w:ind w:right="-421"/>
        <w:rPr>
          <w:rFonts w:ascii="Arial" w:hAnsi="Arial" w:cs="Arial"/>
          <w:b/>
          <w:sz w:val="22"/>
          <w:szCs w:val="22"/>
          <w:lang w:val="en-GB"/>
        </w:rPr>
      </w:pPr>
      <w:r w:rsidRPr="00B7767E">
        <w:rPr>
          <w:rFonts w:ascii="Arial" w:hAnsi="Arial" w:cs="Arial"/>
          <w:b/>
          <w:sz w:val="22"/>
          <w:szCs w:val="22"/>
          <w:lang w:val="en-GB"/>
        </w:rPr>
        <w:t xml:space="preserve">Retinal Pigment Epithelial Detachment (RPED) </w:t>
      </w:r>
    </w:p>
    <w:p w:rsidR="008A70AC" w:rsidRPr="008A70AC" w:rsidRDefault="00215B5B" w:rsidP="008A70AC">
      <w:pPr>
        <w:pStyle w:val="BodytextAgency"/>
        <w:ind w:right="-421"/>
        <w:rPr>
          <w:rFonts w:ascii="Arial" w:hAnsi="Arial" w:cs="Arial"/>
          <w:sz w:val="22"/>
          <w:szCs w:val="22"/>
          <w:lang w:val="en-GB"/>
        </w:rPr>
      </w:pPr>
      <w:r w:rsidRPr="00215B5B">
        <w:rPr>
          <w:rFonts w:ascii="Arial" w:hAnsi="Arial" w:cs="Arial"/>
          <w:sz w:val="22"/>
          <w:szCs w:val="22"/>
          <w:lang w:val="en-GB"/>
        </w:rPr>
        <w:t xml:space="preserve">Retinal pigment epithelial detachments (RPED) can occur during treatment with MEKINIST. Across all clinical trials of MEKINIST, the incidence of RPED was 0.8% (14/1749).  Retinal </w:t>
      </w:r>
      <w:r w:rsidRPr="00215B5B">
        <w:rPr>
          <w:rFonts w:ascii="Arial" w:hAnsi="Arial" w:cs="Arial"/>
          <w:sz w:val="22"/>
          <w:szCs w:val="22"/>
          <w:lang w:val="en-GB"/>
        </w:rPr>
        <w:lastRenderedPageBreak/>
        <w:t xml:space="preserve">detachments were often bilateral and multifocal, occurring in the macular region of the retina. RPED led to reduction in visual acuity that resolved after a median of 11.5 days (range: 3 to 71 days) following the interruption of dosing with MEKINIST, although Ocular Coherence Tomography (OCT) abnormalities persisted beyond a month in at least several cases. </w:t>
      </w:r>
    </w:p>
    <w:p w:rsidR="008A70AC" w:rsidRDefault="00215B5B" w:rsidP="008A70AC">
      <w:pPr>
        <w:rPr>
          <w:rFonts w:ascii="Arial" w:hAnsi="Arial" w:cs="Arial"/>
          <w:sz w:val="22"/>
          <w:szCs w:val="22"/>
        </w:rPr>
      </w:pPr>
      <w:r w:rsidRPr="00215B5B">
        <w:rPr>
          <w:rFonts w:ascii="Arial" w:hAnsi="Arial" w:cs="Arial"/>
          <w:sz w:val="22"/>
          <w:szCs w:val="22"/>
        </w:rPr>
        <w:t xml:space="preserve">If RPED is diagnosed, follow the dose modification schedule in Table 9 (see DOSAGE AND ADMINISTRATION). </w:t>
      </w:r>
    </w:p>
    <w:p w:rsidR="008A70AC" w:rsidRPr="008A70AC" w:rsidRDefault="008A70AC" w:rsidP="008A70AC">
      <w:pPr>
        <w:rPr>
          <w:rFonts w:ascii="Arial" w:hAnsi="Arial" w:cs="Arial"/>
          <w:sz w:val="22"/>
          <w:szCs w:val="22"/>
        </w:rPr>
      </w:pPr>
    </w:p>
    <w:p w:rsidR="008A70AC" w:rsidRPr="00B7767E" w:rsidRDefault="008A70AC" w:rsidP="008A70AC">
      <w:pPr>
        <w:pStyle w:val="BodytextAgency"/>
        <w:ind w:right="-421"/>
        <w:rPr>
          <w:rFonts w:ascii="Arial" w:hAnsi="Arial" w:cs="Arial"/>
          <w:b/>
          <w:sz w:val="22"/>
          <w:szCs w:val="22"/>
          <w:lang w:val="en-GB"/>
        </w:rPr>
      </w:pPr>
      <w:r w:rsidRPr="00B7767E">
        <w:rPr>
          <w:rFonts w:ascii="Arial" w:hAnsi="Arial" w:cs="Arial"/>
          <w:b/>
          <w:sz w:val="22"/>
          <w:szCs w:val="22"/>
          <w:lang w:val="en-GB"/>
        </w:rPr>
        <w:t xml:space="preserve">Retinal Vein Occlusion (RVO) </w:t>
      </w:r>
    </w:p>
    <w:p w:rsidR="008A70AC" w:rsidRPr="008A70AC" w:rsidRDefault="00215B5B" w:rsidP="008A70AC">
      <w:pPr>
        <w:pStyle w:val="BodytextAgency"/>
        <w:ind w:right="-421"/>
        <w:rPr>
          <w:rFonts w:ascii="Arial" w:hAnsi="Arial" w:cs="Arial"/>
          <w:sz w:val="22"/>
          <w:szCs w:val="22"/>
          <w:lang w:val="en-GB"/>
        </w:rPr>
      </w:pPr>
      <w:r w:rsidRPr="00215B5B">
        <w:rPr>
          <w:rFonts w:ascii="Arial" w:hAnsi="Arial" w:cs="Arial"/>
          <w:sz w:val="22"/>
          <w:szCs w:val="22"/>
          <w:lang w:val="en-GB"/>
        </w:rPr>
        <w:t xml:space="preserve">Across all clinical trials of MEKINIST, the incidence of RVO was 0.2% (4/1749). An RVO may lead to macular edema, decreased visual function, neovascularization, and glaucoma. </w:t>
      </w:r>
    </w:p>
    <w:p w:rsidR="008A70AC" w:rsidRDefault="00215B5B" w:rsidP="008A70AC">
      <w:pPr>
        <w:pStyle w:val="BodytextAgency"/>
        <w:ind w:right="-421"/>
        <w:rPr>
          <w:rFonts w:ascii="Arial" w:hAnsi="Arial" w:cs="Arial"/>
          <w:sz w:val="22"/>
          <w:szCs w:val="22"/>
          <w:lang w:val="en-GB"/>
        </w:rPr>
      </w:pPr>
      <w:r w:rsidRPr="00215B5B">
        <w:rPr>
          <w:rFonts w:ascii="Arial" w:hAnsi="Arial" w:cs="Arial"/>
          <w:sz w:val="22"/>
          <w:szCs w:val="22"/>
          <w:lang w:val="en-GB"/>
        </w:rPr>
        <w:t>Urgently (within 24 hours) perform ophthalmological evaluation for patient-reported loss of vision or other visual disturbances. Permanently discontinue MEKINIST in patients with documented retinal vein occlusion.</w:t>
      </w:r>
    </w:p>
    <w:p w:rsidR="00F93D5C" w:rsidRPr="008429D6" w:rsidRDefault="00F93D5C" w:rsidP="00F93D5C">
      <w:pPr>
        <w:suppressLineNumbers/>
        <w:autoSpaceDE w:val="0"/>
        <w:autoSpaceDN w:val="0"/>
        <w:adjustRightInd w:val="0"/>
        <w:spacing w:after="120" w:line="240" w:lineRule="atLeast"/>
        <w:rPr>
          <w:rFonts w:ascii="Arial" w:hAnsi="Arial" w:cs="Arial"/>
          <w:b/>
          <w:noProof/>
          <w:sz w:val="22"/>
          <w:szCs w:val="22"/>
          <w:lang w:val="en-GB"/>
        </w:rPr>
      </w:pPr>
      <w:r w:rsidRPr="00767127">
        <w:rPr>
          <w:rFonts w:ascii="Arial" w:hAnsi="Arial" w:cs="Arial"/>
          <w:b/>
          <w:noProof/>
          <w:sz w:val="22"/>
          <w:szCs w:val="22"/>
          <w:lang w:val="en-GB"/>
        </w:rPr>
        <w:t>Interstitial lung disease (ILD)/</w:t>
      </w:r>
      <w:r w:rsidRPr="008429D6">
        <w:rPr>
          <w:rFonts w:ascii="Arial" w:hAnsi="Arial" w:cs="Arial"/>
          <w:b/>
          <w:noProof/>
          <w:sz w:val="22"/>
          <w:szCs w:val="22"/>
          <w:lang w:val="en-GB"/>
        </w:rPr>
        <w:t>Pneumonitis:</w:t>
      </w:r>
    </w:p>
    <w:p w:rsidR="00F93D5C" w:rsidRPr="008429D6" w:rsidRDefault="00F93D5C" w:rsidP="00F93D5C">
      <w:pPr>
        <w:suppressLineNumbers/>
        <w:autoSpaceDE w:val="0"/>
        <w:autoSpaceDN w:val="0"/>
        <w:adjustRightInd w:val="0"/>
        <w:spacing w:after="120" w:line="240" w:lineRule="atLeast"/>
        <w:rPr>
          <w:rFonts w:ascii="Arial" w:hAnsi="Arial" w:cs="Arial"/>
          <w:noProof/>
          <w:sz w:val="22"/>
          <w:szCs w:val="22"/>
          <w:lang w:val="en-GB"/>
        </w:rPr>
      </w:pPr>
      <w:r>
        <w:rPr>
          <w:rFonts w:ascii="Arial" w:hAnsi="Arial" w:cs="Arial"/>
          <w:noProof/>
          <w:sz w:val="22"/>
          <w:szCs w:val="22"/>
          <w:lang w:val="en-GB"/>
        </w:rPr>
        <w:t>A</w:t>
      </w:r>
      <w:r w:rsidRPr="008429D6">
        <w:rPr>
          <w:rFonts w:ascii="Arial" w:hAnsi="Arial" w:cs="Arial"/>
          <w:noProof/>
          <w:sz w:val="22"/>
          <w:szCs w:val="22"/>
          <w:lang w:val="en-GB"/>
        </w:rPr>
        <w:t xml:space="preserve">ny </w:t>
      </w:r>
      <w:r>
        <w:rPr>
          <w:rFonts w:ascii="Arial" w:hAnsi="Arial" w:cs="Arial"/>
          <w:noProof/>
          <w:sz w:val="22"/>
          <w:szCs w:val="22"/>
          <w:lang w:val="en-GB"/>
        </w:rPr>
        <w:t>diagnosis</w:t>
      </w:r>
      <w:r w:rsidRPr="008429D6">
        <w:rPr>
          <w:rFonts w:ascii="Arial" w:hAnsi="Arial" w:cs="Arial"/>
          <w:noProof/>
          <w:sz w:val="22"/>
          <w:szCs w:val="22"/>
          <w:lang w:val="en-GB"/>
        </w:rPr>
        <w:t xml:space="preserve"> of </w:t>
      </w:r>
      <w:r>
        <w:rPr>
          <w:rFonts w:ascii="Arial" w:hAnsi="Arial" w:cs="Arial"/>
          <w:noProof/>
          <w:sz w:val="22"/>
          <w:szCs w:val="22"/>
          <w:lang w:val="en-GB"/>
        </w:rPr>
        <w:t xml:space="preserve">ILD or </w:t>
      </w:r>
      <w:r w:rsidRPr="008429D6">
        <w:rPr>
          <w:rFonts w:ascii="Arial" w:hAnsi="Arial" w:cs="Arial"/>
          <w:noProof/>
          <w:sz w:val="22"/>
          <w:szCs w:val="22"/>
          <w:lang w:val="en-GB"/>
        </w:rPr>
        <w:t xml:space="preserve">pneumonitis warrants immediate discontinuation of </w:t>
      </w:r>
      <w:r>
        <w:rPr>
          <w:rFonts w:ascii="Arial" w:hAnsi="Arial" w:cs="Arial"/>
          <w:noProof/>
          <w:sz w:val="22"/>
          <w:szCs w:val="22"/>
          <w:lang w:val="en-GB"/>
        </w:rPr>
        <w:t>MEKINIST</w:t>
      </w:r>
      <w:r w:rsidRPr="008429D6">
        <w:rPr>
          <w:rFonts w:ascii="Arial" w:hAnsi="Arial" w:cs="Arial"/>
          <w:noProof/>
          <w:sz w:val="22"/>
          <w:szCs w:val="22"/>
          <w:lang w:val="en-GB"/>
        </w:rPr>
        <w:t>.</w:t>
      </w:r>
    </w:p>
    <w:p w:rsidR="00F93D5C" w:rsidRDefault="00F93D5C" w:rsidP="00F93D5C">
      <w:pPr>
        <w:suppressLineNumbers/>
        <w:autoSpaceDE w:val="0"/>
        <w:autoSpaceDN w:val="0"/>
        <w:adjustRightInd w:val="0"/>
        <w:spacing w:after="120" w:line="240" w:lineRule="atLeast"/>
        <w:rPr>
          <w:rFonts w:ascii="Arial" w:hAnsi="Arial" w:cs="Arial"/>
          <w:noProof/>
          <w:sz w:val="22"/>
          <w:szCs w:val="22"/>
          <w:lang w:val="en-GB"/>
        </w:rPr>
      </w:pPr>
      <w:r w:rsidRPr="00767127">
        <w:rPr>
          <w:rFonts w:ascii="Arial" w:hAnsi="Arial" w:cs="Arial"/>
          <w:noProof/>
          <w:sz w:val="22"/>
          <w:szCs w:val="22"/>
          <w:lang w:val="en-GB"/>
        </w:rPr>
        <w:t xml:space="preserve">In a Phase 3 trial, 2% (5/211) of patients treated with </w:t>
      </w:r>
      <w:r>
        <w:rPr>
          <w:rFonts w:ascii="Arial" w:hAnsi="Arial" w:cs="Arial"/>
          <w:noProof/>
          <w:sz w:val="22"/>
          <w:szCs w:val="22"/>
          <w:lang w:val="en-GB"/>
        </w:rPr>
        <w:t>MEKINIST</w:t>
      </w:r>
      <w:r w:rsidRPr="00767127">
        <w:rPr>
          <w:rFonts w:ascii="Arial" w:hAnsi="Arial" w:cs="Arial"/>
          <w:noProof/>
          <w:sz w:val="22"/>
          <w:szCs w:val="22"/>
          <w:lang w:val="en-GB"/>
        </w:rPr>
        <w:t xml:space="preserve"> monotherapy developed ILD or pneumonitis; all five patients required hospitalisation. The median time to first presentation of ILD or pneumonitis was 160 days (range: 60 to 172 days). </w:t>
      </w:r>
    </w:p>
    <w:p w:rsidR="00F93D5C" w:rsidRDefault="00F93D5C" w:rsidP="00F93D5C">
      <w:pPr>
        <w:spacing w:after="120" w:line="240" w:lineRule="atLeast"/>
        <w:rPr>
          <w:rFonts w:ascii="Arial" w:hAnsi="Arial" w:cs="Arial"/>
          <w:sz w:val="22"/>
          <w:szCs w:val="22"/>
          <w:lang w:val="en-GB"/>
        </w:rPr>
      </w:pPr>
      <w:r w:rsidRPr="00767127">
        <w:rPr>
          <w:rFonts w:ascii="Arial" w:hAnsi="Arial" w:cs="Arial"/>
          <w:noProof/>
          <w:sz w:val="22"/>
          <w:szCs w:val="22"/>
          <w:lang w:val="en-GB"/>
        </w:rPr>
        <w:t xml:space="preserve">Withhold </w:t>
      </w:r>
      <w:r>
        <w:rPr>
          <w:rFonts w:ascii="Arial" w:hAnsi="Arial" w:cs="Arial"/>
          <w:noProof/>
          <w:sz w:val="22"/>
          <w:szCs w:val="22"/>
          <w:lang w:val="en-GB"/>
        </w:rPr>
        <w:t>MEKINIST</w:t>
      </w:r>
      <w:r w:rsidRPr="00767127">
        <w:rPr>
          <w:rFonts w:ascii="Arial" w:hAnsi="Arial" w:cs="Arial"/>
          <w:noProof/>
          <w:sz w:val="22"/>
          <w:szCs w:val="22"/>
          <w:lang w:val="en-GB"/>
        </w:rPr>
        <w:t xml:space="preserve"> in patients with suspected ILD or pneumonitis, including patients presenting with new or progressive pulmonary symptoms and findings including cough, dyspnea, hypoxia, pleural effusion, or infiltrates, pending clinical investigations. Permanently discontinue </w:t>
      </w:r>
      <w:r>
        <w:rPr>
          <w:rFonts w:ascii="Arial" w:hAnsi="Arial" w:cs="Arial"/>
          <w:noProof/>
          <w:sz w:val="22"/>
          <w:szCs w:val="22"/>
          <w:lang w:val="en-GB"/>
        </w:rPr>
        <w:t>MEKINIST</w:t>
      </w:r>
      <w:r w:rsidRPr="00767127">
        <w:rPr>
          <w:rFonts w:ascii="Arial" w:hAnsi="Arial" w:cs="Arial"/>
          <w:noProof/>
          <w:sz w:val="22"/>
          <w:szCs w:val="22"/>
          <w:lang w:val="en-GB"/>
        </w:rPr>
        <w:t xml:space="preserve"> for patients diagnosed with treatment-related ILD or pneumonitis.</w:t>
      </w:r>
      <w:r w:rsidRPr="00336469">
        <w:t xml:space="preserve"> </w:t>
      </w:r>
      <w:r w:rsidRPr="00336469">
        <w:rPr>
          <w:rFonts w:ascii="Arial" w:hAnsi="Arial" w:cs="Arial"/>
          <w:sz w:val="22"/>
          <w:szCs w:val="22"/>
        </w:rPr>
        <w:t>If MEKINIST is used in combination with dabrafenib, do not modify the dose of dabrafenib.</w:t>
      </w:r>
    </w:p>
    <w:p w:rsidR="00537E28" w:rsidRPr="00537E28" w:rsidRDefault="00537E28" w:rsidP="00537E28">
      <w:pPr>
        <w:suppressLineNumbers/>
        <w:autoSpaceDE w:val="0"/>
        <w:autoSpaceDN w:val="0"/>
        <w:adjustRightInd w:val="0"/>
        <w:spacing w:after="120" w:line="240" w:lineRule="atLeast"/>
        <w:rPr>
          <w:rFonts w:ascii="Arial" w:hAnsi="Arial" w:cs="Arial"/>
          <w:b/>
          <w:noProof/>
          <w:sz w:val="22"/>
          <w:szCs w:val="22"/>
          <w:lang w:val="en-GB"/>
        </w:rPr>
      </w:pPr>
      <w:r w:rsidRPr="00537E28">
        <w:rPr>
          <w:rFonts w:ascii="Arial" w:hAnsi="Arial" w:cs="Arial"/>
          <w:b/>
          <w:noProof/>
          <w:sz w:val="22"/>
          <w:szCs w:val="22"/>
          <w:lang w:val="en-GB"/>
        </w:rPr>
        <w:t>Pyrexia</w:t>
      </w:r>
    </w:p>
    <w:p w:rsidR="00537E28" w:rsidRPr="00537E28" w:rsidRDefault="00537E28" w:rsidP="00537E28">
      <w:pPr>
        <w:pStyle w:val="BodytextAgency"/>
        <w:rPr>
          <w:rFonts w:ascii="Arial" w:hAnsi="Arial" w:cs="Arial"/>
          <w:noProof/>
          <w:sz w:val="22"/>
          <w:szCs w:val="22"/>
        </w:rPr>
      </w:pPr>
      <w:r w:rsidRPr="00537E28">
        <w:rPr>
          <w:rFonts w:ascii="Arial" w:hAnsi="Arial" w:cs="Arial"/>
          <w:noProof/>
          <w:sz w:val="22"/>
          <w:szCs w:val="22"/>
        </w:rPr>
        <w:t xml:space="preserve">See full prescribing information for dabrafenib PRECAUTIONS. </w:t>
      </w:r>
    </w:p>
    <w:p w:rsidR="00537E28" w:rsidRPr="00537E28" w:rsidRDefault="00537E28" w:rsidP="00537E28">
      <w:pPr>
        <w:pStyle w:val="BodytextAgency"/>
        <w:rPr>
          <w:rFonts w:ascii="Arial" w:hAnsi="Arial" w:cs="Arial"/>
          <w:noProof/>
          <w:sz w:val="22"/>
          <w:szCs w:val="22"/>
        </w:rPr>
      </w:pPr>
      <w:r w:rsidRPr="00537E28">
        <w:rPr>
          <w:rFonts w:ascii="Arial" w:hAnsi="Arial" w:cs="Arial"/>
          <w:noProof/>
          <w:sz w:val="22"/>
          <w:szCs w:val="22"/>
        </w:rPr>
        <w:t xml:space="preserve">Pyrexia was reported in the clinical trials with MEKINIST monotherapy and in combination with dabrafenib. The incidence and severity of pyrexia are increased when MEKINIST is used in combination with dabrafenib (see ADVERSE EFFECTS). In patients who received the combination dose of dabrafenib 150 mg twice daily and </w:t>
      </w:r>
      <w:r w:rsidR="000E0FC0">
        <w:rPr>
          <w:rFonts w:ascii="Arial" w:hAnsi="Arial" w:cs="Arial"/>
          <w:noProof/>
          <w:sz w:val="22"/>
          <w:szCs w:val="22"/>
        </w:rPr>
        <w:t>MEKINIST</w:t>
      </w:r>
      <w:r w:rsidRPr="00537E28">
        <w:rPr>
          <w:rFonts w:ascii="Arial" w:hAnsi="Arial" w:cs="Arial"/>
          <w:noProof/>
          <w:sz w:val="22"/>
          <w:szCs w:val="22"/>
        </w:rPr>
        <w:t xml:space="preserve"> 2 mg once daily and developed pyrexia, approximately half of the first occurrences of pyrexia happened within the first month of therapy. About half of the patients who experienced pyrexia had a single event. Pyrexia may be accompanied by severe rigors, dehydration, and hypotension which in some cases can lead to acute renal insufficiency. Renal failure was reported in 7% of patients who received the combination dose of dabrafenib 150 mg twice daily and </w:t>
      </w:r>
      <w:r w:rsidR="000E0FC0">
        <w:rPr>
          <w:rFonts w:ascii="Arial" w:hAnsi="Arial" w:cs="Arial"/>
          <w:noProof/>
          <w:sz w:val="22"/>
          <w:szCs w:val="22"/>
        </w:rPr>
        <w:t>MEKINIST</w:t>
      </w:r>
      <w:r w:rsidRPr="00537E28">
        <w:rPr>
          <w:rFonts w:ascii="Arial" w:hAnsi="Arial" w:cs="Arial"/>
          <w:noProof/>
          <w:sz w:val="22"/>
          <w:szCs w:val="22"/>
        </w:rPr>
        <w:t xml:space="preserve"> 2 mg once daily, a higher frequency than observed in dabrafenib monotherapy patients (&lt;1%), and was often seen in the context of pyrexia and dehydration.</w:t>
      </w:r>
    </w:p>
    <w:p w:rsidR="00537E28" w:rsidRPr="00537E28" w:rsidRDefault="00537E28" w:rsidP="00537E28">
      <w:pPr>
        <w:pStyle w:val="BodytextAgency"/>
        <w:rPr>
          <w:rFonts w:ascii="Arial" w:hAnsi="Arial" w:cs="Arial"/>
          <w:b/>
          <w:noProof/>
          <w:sz w:val="22"/>
          <w:szCs w:val="22"/>
        </w:rPr>
      </w:pPr>
      <w:r w:rsidRPr="00537E28">
        <w:rPr>
          <w:rFonts w:ascii="Arial" w:hAnsi="Arial" w:cs="Arial"/>
          <w:noProof/>
          <w:sz w:val="22"/>
          <w:szCs w:val="22"/>
        </w:rPr>
        <w:t>For management of pyrexia see DOSAGE AND ADMINISTRATION</w:t>
      </w:r>
      <w:r w:rsidRPr="00537E28">
        <w:rPr>
          <w:rFonts w:ascii="Arial" w:hAnsi="Arial" w:cs="Arial"/>
          <w:i/>
          <w:noProof/>
          <w:sz w:val="22"/>
          <w:szCs w:val="22"/>
        </w:rPr>
        <w:t>.</w:t>
      </w:r>
    </w:p>
    <w:p w:rsidR="005626C0" w:rsidRPr="0025465D" w:rsidRDefault="0025465D" w:rsidP="00537E28">
      <w:pPr>
        <w:pStyle w:val="BodytextAgency"/>
        <w:rPr>
          <w:rFonts w:ascii="Arial" w:hAnsi="Arial" w:cs="Arial"/>
          <w:b/>
          <w:noProof/>
          <w:sz w:val="22"/>
          <w:szCs w:val="22"/>
          <w:lang w:val="en-GB"/>
        </w:rPr>
      </w:pPr>
      <w:r>
        <w:rPr>
          <w:rFonts w:ascii="Arial" w:hAnsi="Arial" w:cs="Arial"/>
          <w:b/>
          <w:noProof/>
          <w:sz w:val="22"/>
          <w:szCs w:val="22"/>
          <w:lang w:val="en-GB"/>
        </w:rPr>
        <w:t>Serious Skin Toxicity</w:t>
      </w:r>
    </w:p>
    <w:p w:rsidR="00902814" w:rsidRDefault="00902814" w:rsidP="005B4A0F">
      <w:pPr>
        <w:suppressLineNumbers/>
        <w:autoSpaceDE w:val="0"/>
        <w:autoSpaceDN w:val="0"/>
        <w:adjustRightInd w:val="0"/>
        <w:spacing w:after="120" w:line="240" w:lineRule="atLeast"/>
        <w:rPr>
          <w:rFonts w:ascii="Arial" w:hAnsi="Arial" w:cs="Arial"/>
          <w:noProof/>
          <w:sz w:val="22"/>
          <w:szCs w:val="22"/>
        </w:rPr>
      </w:pPr>
      <w:r w:rsidRPr="00902814">
        <w:rPr>
          <w:rFonts w:ascii="Arial" w:hAnsi="Arial" w:cs="Arial"/>
          <w:noProof/>
          <w:sz w:val="22"/>
          <w:szCs w:val="22"/>
        </w:rPr>
        <w:t>Serious skin toxicity can occur when MEKINIST is administered as a single agent or when used</w:t>
      </w:r>
      <w:r>
        <w:rPr>
          <w:rFonts w:ascii="Arial" w:hAnsi="Arial" w:cs="Arial"/>
          <w:noProof/>
          <w:sz w:val="22"/>
          <w:szCs w:val="22"/>
        </w:rPr>
        <w:t xml:space="preserve"> </w:t>
      </w:r>
      <w:r w:rsidRPr="00902814">
        <w:rPr>
          <w:rFonts w:ascii="Arial" w:hAnsi="Arial" w:cs="Arial"/>
          <w:noProof/>
          <w:sz w:val="22"/>
          <w:szCs w:val="22"/>
        </w:rPr>
        <w:t>in combination with dabrafenib.</w:t>
      </w:r>
      <w:r w:rsidR="005B4A0F">
        <w:rPr>
          <w:rFonts w:ascii="Arial" w:hAnsi="Arial" w:cs="Arial"/>
          <w:noProof/>
          <w:sz w:val="22"/>
          <w:szCs w:val="22"/>
        </w:rPr>
        <w:t xml:space="preserve"> </w:t>
      </w:r>
      <w:r w:rsidR="005B4A0F" w:rsidRPr="005B4A0F">
        <w:rPr>
          <w:rFonts w:ascii="Arial" w:hAnsi="Arial" w:cs="Arial"/>
          <w:noProof/>
          <w:sz w:val="22"/>
          <w:szCs w:val="22"/>
        </w:rPr>
        <w:t xml:space="preserve">Serious skin toxicity can also occur with dabrafenib as a single agent </w:t>
      </w:r>
      <w:r w:rsidR="005B4A0F">
        <w:rPr>
          <w:rFonts w:ascii="Arial" w:hAnsi="Arial" w:cs="Arial"/>
          <w:noProof/>
          <w:sz w:val="22"/>
          <w:szCs w:val="22"/>
        </w:rPr>
        <w:t>(</w:t>
      </w:r>
      <w:r w:rsidR="005B4A0F" w:rsidRPr="005B4A0F">
        <w:rPr>
          <w:rFonts w:ascii="Arial" w:hAnsi="Arial" w:cs="Arial"/>
          <w:noProof/>
          <w:sz w:val="22"/>
          <w:szCs w:val="22"/>
        </w:rPr>
        <w:t>refer to Pr</w:t>
      </w:r>
      <w:r w:rsidR="005B4A0F">
        <w:rPr>
          <w:rFonts w:ascii="Arial" w:hAnsi="Arial" w:cs="Arial"/>
          <w:noProof/>
          <w:sz w:val="22"/>
          <w:szCs w:val="22"/>
        </w:rPr>
        <w:t>oduct</w:t>
      </w:r>
      <w:r w:rsidR="005B4A0F" w:rsidRPr="005B4A0F">
        <w:rPr>
          <w:rFonts w:ascii="Arial" w:hAnsi="Arial" w:cs="Arial"/>
          <w:noProof/>
          <w:sz w:val="22"/>
          <w:szCs w:val="22"/>
        </w:rPr>
        <w:t xml:space="preserve"> Information for dabrafenib</w:t>
      </w:r>
      <w:r w:rsidR="005B4A0F">
        <w:rPr>
          <w:rFonts w:ascii="Arial" w:hAnsi="Arial" w:cs="Arial"/>
          <w:noProof/>
          <w:sz w:val="22"/>
          <w:szCs w:val="22"/>
        </w:rPr>
        <w:t>)</w:t>
      </w:r>
    </w:p>
    <w:p w:rsidR="005B4A0F" w:rsidRPr="005B4A0F" w:rsidRDefault="005B4A0F" w:rsidP="005B4A0F">
      <w:pPr>
        <w:suppressLineNumbers/>
        <w:autoSpaceDE w:val="0"/>
        <w:autoSpaceDN w:val="0"/>
        <w:adjustRightInd w:val="0"/>
        <w:spacing w:after="120" w:line="240" w:lineRule="atLeast"/>
        <w:rPr>
          <w:rFonts w:ascii="Arial" w:hAnsi="Arial" w:cs="Arial"/>
          <w:noProof/>
          <w:sz w:val="22"/>
          <w:szCs w:val="22"/>
        </w:rPr>
      </w:pPr>
      <w:r w:rsidRPr="005B4A0F">
        <w:rPr>
          <w:rFonts w:ascii="Arial" w:hAnsi="Arial" w:cs="Arial"/>
          <w:noProof/>
          <w:sz w:val="22"/>
          <w:szCs w:val="22"/>
        </w:rPr>
        <w:lastRenderedPageBreak/>
        <w:t xml:space="preserve">In </w:t>
      </w:r>
      <w:r w:rsidR="003D0E8A" w:rsidRPr="00CB4887">
        <w:rPr>
          <w:rFonts w:ascii="Arial" w:hAnsi="Arial" w:cs="Arial"/>
          <w:sz w:val="22"/>
          <w:szCs w:val="22"/>
        </w:rPr>
        <w:t>MEK114267</w:t>
      </w:r>
      <w:r w:rsidRPr="005B4A0F">
        <w:rPr>
          <w:rFonts w:ascii="Arial" w:hAnsi="Arial" w:cs="Arial"/>
          <w:noProof/>
          <w:sz w:val="22"/>
          <w:szCs w:val="22"/>
        </w:rPr>
        <w:t>, the overall incidence of any skin toxicity, the most common of which were rash,</w:t>
      </w:r>
      <w:r>
        <w:rPr>
          <w:rFonts w:ascii="Arial" w:hAnsi="Arial" w:cs="Arial"/>
          <w:noProof/>
          <w:sz w:val="22"/>
          <w:szCs w:val="22"/>
        </w:rPr>
        <w:t xml:space="preserve"> </w:t>
      </w:r>
      <w:r w:rsidRPr="005B4A0F">
        <w:rPr>
          <w:rFonts w:ascii="Arial" w:hAnsi="Arial" w:cs="Arial"/>
          <w:noProof/>
          <w:sz w:val="22"/>
          <w:szCs w:val="22"/>
        </w:rPr>
        <w:t>dermatitis acneiform rash, palmar-plantar erythrodysesthesia syndrome, and erythema, was 87% in patients treated with MEKINIST and 13% in chemotherapy-treated patients. Severe skin toxicity occurred in 12% of patients treated with MEKINIST. Skin toxicity requiring hospitalization occurred in 6% of patients treated with MEKINIST, most commonly for secondary infections of the skin requiring intravenous antibiotics or severe skin toxicity without secondary infection. In comparison, no patients treated with chemotherapy required hospitalization for severe skin toxicity or infections of the skin. The median time to onset of skin</w:t>
      </w:r>
      <w:r w:rsidRPr="005B4A0F">
        <w:t xml:space="preserve"> </w:t>
      </w:r>
      <w:r w:rsidRPr="005B4A0F">
        <w:rPr>
          <w:rFonts w:ascii="Arial" w:hAnsi="Arial" w:cs="Arial"/>
          <w:noProof/>
          <w:sz w:val="22"/>
          <w:szCs w:val="22"/>
        </w:rPr>
        <w:t>toxicity in patients treated with MEKINIST was 15 days (range: 1 to 221 days) and median time to resolution of skin toxicity was 48 days (range: 1 to 282 days). Reductions in the dose of MEKINIST were required in 12% and permanent discontinuation of MEKINIST was required in 1% of patients with skin toxicity.</w:t>
      </w:r>
    </w:p>
    <w:p w:rsidR="005B4A0F" w:rsidRPr="005B4A0F" w:rsidRDefault="005B4A0F" w:rsidP="005B4A0F">
      <w:pPr>
        <w:suppressLineNumbers/>
        <w:autoSpaceDE w:val="0"/>
        <w:autoSpaceDN w:val="0"/>
        <w:adjustRightInd w:val="0"/>
        <w:spacing w:after="120" w:line="240" w:lineRule="atLeast"/>
        <w:rPr>
          <w:rFonts w:ascii="Arial" w:hAnsi="Arial" w:cs="Arial"/>
          <w:noProof/>
          <w:sz w:val="22"/>
          <w:szCs w:val="22"/>
        </w:rPr>
      </w:pPr>
      <w:r w:rsidRPr="005B4A0F">
        <w:rPr>
          <w:rFonts w:ascii="Arial" w:hAnsi="Arial" w:cs="Arial"/>
          <w:noProof/>
          <w:sz w:val="22"/>
          <w:szCs w:val="22"/>
        </w:rPr>
        <w:t xml:space="preserve">In </w:t>
      </w:r>
      <w:r w:rsidR="003D0E8A">
        <w:rPr>
          <w:rFonts w:ascii="Arial" w:hAnsi="Arial" w:cs="Arial"/>
          <w:sz w:val="22"/>
          <w:szCs w:val="22"/>
        </w:rPr>
        <w:t>BRF113220</w:t>
      </w:r>
      <w:r w:rsidRPr="005B4A0F">
        <w:rPr>
          <w:rFonts w:ascii="Arial" w:hAnsi="Arial" w:cs="Arial"/>
          <w:noProof/>
          <w:sz w:val="22"/>
          <w:szCs w:val="22"/>
        </w:rPr>
        <w:t>, the incidence of any skin toxicity was similar for patients receiving MEKINIST in combination with dabrafenib (65% [36/55]) compared with patients receiving dabrafenib as a single agent (68% [36/53]). The median time to onset of skin toxicity in patients treated with MEKINIST in combination with dabrafenib was 37 days (range: 1 to 225 days) and median time to resolution of skin toxicity was 33 days (range: 3 to 421 days). No patient required dose reduction or permanent discontinuation of MEKINIST or dabrafenib for skin toxicity.</w:t>
      </w:r>
    </w:p>
    <w:p w:rsidR="005B4A0F" w:rsidRPr="005B4A0F" w:rsidRDefault="005B4A0F" w:rsidP="005B4A0F">
      <w:pPr>
        <w:suppressLineNumbers/>
        <w:autoSpaceDE w:val="0"/>
        <w:autoSpaceDN w:val="0"/>
        <w:adjustRightInd w:val="0"/>
        <w:spacing w:after="120" w:line="240" w:lineRule="atLeast"/>
        <w:rPr>
          <w:rFonts w:ascii="Arial" w:hAnsi="Arial" w:cs="Arial"/>
          <w:noProof/>
          <w:sz w:val="22"/>
          <w:szCs w:val="22"/>
        </w:rPr>
      </w:pPr>
      <w:r>
        <w:rPr>
          <w:rFonts w:ascii="Arial" w:hAnsi="Arial" w:cs="Arial"/>
          <w:noProof/>
          <w:sz w:val="22"/>
          <w:szCs w:val="22"/>
        </w:rPr>
        <w:t>A</w:t>
      </w:r>
      <w:r w:rsidRPr="005B4A0F">
        <w:rPr>
          <w:rFonts w:ascii="Arial" w:hAnsi="Arial" w:cs="Arial"/>
          <w:noProof/>
          <w:sz w:val="22"/>
          <w:szCs w:val="22"/>
        </w:rPr>
        <w:t>cross clinical trials of MEKINIST administered in combination with dabrafenib (n = 202), severe skin toxicity and secondary infection of the skin requiring hospitalization occurred in 2.5% (5/202) of patients treated with MEKINIST in combination with dabrafenib.</w:t>
      </w:r>
    </w:p>
    <w:p w:rsidR="005B4A0F" w:rsidRDefault="005B4A0F" w:rsidP="005B4A0F">
      <w:pPr>
        <w:suppressLineNumbers/>
        <w:autoSpaceDE w:val="0"/>
        <w:autoSpaceDN w:val="0"/>
        <w:adjustRightInd w:val="0"/>
        <w:spacing w:after="120" w:line="240" w:lineRule="atLeast"/>
        <w:rPr>
          <w:rFonts w:ascii="Arial" w:hAnsi="Arial" w:cs="Arial"/>
          <w:noProof/>
          <w:sz w:val="22"/>
          <w:szCs w:val="22"/>
        </w:rPr>
      </w:pPr>
      <w:r w:rsidRPr="0044274B">
        <w:rPr>
          <w:rFonts w:ascii="Arial" w:hAnsi="Arial" w:cs="Arial"/>
          <w:noProof/>
          <w:sz w:val="22"/>
          <w:szCs w:val="22"/>
        </w:rPr>
        <w:t>Withhold MEKINIST, and dabrafenib if used in combination, for intolerable or severe skin toxicity</w:t>
      </w:r>
      <w:r w:rsidR="00776732" w:rsidRPr="0044274B">
        <w:rPr>
          <w:rFonts w:ascii="Arial" w:hAnsi="Arial" w:cs="Arial"/>
          <w:noProof/>
          <w:sz w:val="22"/>
          <w:szCs w:val="22"/>
        </w:rPr>
        <w:t xml:space="preserve"> until further assessment</w:t>
      </w:r>
      <w:r w:rsidRPr="0044274B">
        <w:rPr>
          <w:rFonts w:ascii="Arial" w:hAnsi="Arial" w:cs="Arial"/>
          <w:noProof/>
          <w:sz w:val="22"/>
          <w:szCs w:val="22"/>
        </w:rPr>
        <w:t xml:space="preserve"> </w:t>
      </w:r>
      <w:r w:rsidR="00776732" w:rsidRPr="0044274B">
        <w:rPr>
          <w:rFonts w:ascii="Arial" w:hAnsi="Arial" w:cs="Arial"/>
          <w:noProof/>
          <w:sz w:val="22"/>
          <w:szCs w:val="22"/>
        </w:rPr>
        <w:t>(</w:t>
      </w:r>
      <w:r w:rsidRPr="0044274B">
        <w:rPr>
          <w:rFonts w:ascii="Arial" w:hAnsi="Arial" w:cs="Arial"/>
          <w:noProof/>
          <w:sz w:val="22"/>
          <w:szCs w:val="22"/>
        </w:rPr>
        <w:t>see Dosage and Administration</w:t>
      </w:r>
      <w:r w:rsidR="00776732" w:rsidRPr="0044274B">
        <w:rPr>
          <w:rFonts w:ascii="Arial" w:hAnsi="Arial" w:cs="Arial"/>
          <w:noProof/>
          <w:sz w:val="22"/>
          <w:szCs w:val="22"/>
        </w:rPr>
        <w:t>).</w:t>
      </w:r>
      <w:r w:rsidR="00767127" w:rsidRPr="00767127">
        <w:rPr>
          <w:rFonts w:ascii="Arial" w:hAnsi="Arial" w:cs="Arial"/>
          <w:noProof/>
          <w:sz w:val="22"/>
          <w:szCs w:val="22"/>
        </w:rPr>
        <w:t xml:space="preserve"> </w:t>
      </w:r>
      <w:r w:rsidR="0057653B">
        <w:rPr>
          <w:rFonts w:ascii="Arial" w:hAnsi="Arial" w:cs="Arial"/>
          <w:noProof/>
          <w:sz w:val="22"/>
          <w:szCs w:val="22"/>
        </w:rPr>
        <w:t>MEKINIST</w:t>
      </w:r>
      <w:r w:rsidR="00767127">
        <w:rPr>
          <w:rFonts w:ascii="Arial" w:hAnsi="Arial" w:cs="Arial"/>
          <w:noProof/>
          <w:sz w:val="22"/>
          <w:szCs w:val="22"/>
        </w:rPr>
        <w:t xml:space="preserve"> and dabrafenib may be resumed at a lower dose level in patients with improvement or recovery from skin toxicity within </w:t>
      </w:r>
      <w:r w:rsidR="006064D1">
        <w:rPr>
          <w:rFonts w:ascii="Arial" w:hAnsi="Arial" w:cs="Arial"/>
          <w:noProof/>
          <w:sz w:val="22"/>
          <w:szCs w:val="22"/>
        </w:rPr>
        <w:t>three</w:t>
      </w:r>
      <w:r w:rsidR="00767127">
        <w:rPr>
          <w:rFonts w:ascii="Arial" w:hAnsi="Arial" w:cs="Arial"/>
          <w:noProof/>
          <w:sz w:val="22"/>
          <w:szCs w:val="22"/>
        </w:rPr>
        <w:t xml:space="preserve"> weeks.</w:t>
      </w:r>
    </w:p>
    <w:p w:rsidR="000A75C2" w:rsidRPr="000A75C2" w:rsidRDefault="000A75C2" w:rsidP="000A75C2">
      <w:pPr>
        <w:suppressLineNumbers/>
        <w:autoSpaceDE w:val="0"/>
        <w:autoSpaceDN w:val="0"/>
        <w:adjustRightInd w:val="0"/>
        <w:spacing w:after="120" w:line="240" w:lineRule="atLeast"/>
        <w:rPr>
          <w:rFonts w:ascii="Arial" w:hAnsi="Arial" w:cs="Arial"/>
          <w:b/>
          <w:noProof/>
          <w:sz w:val="22"/>
          <w:szCs w:val="22"/>
          <w:lang w:val="en-GB"/>
        </w:rPr>
      </w:pPr>
      <w:r w:rsidRPr="000A75C2">
        <w:rPr>
          <w:rFonts w:ascii="Arial" w:hAnsi="Arial" w:cs="Arial"/>
          <w:b/>
          <w:noProof/>
          <w:sz w:val="22"/>
          <w:szCs w:val="22"/>
          <w:lang w:val="en-GB"/>
        </w:rPr>
        <w:t>Hepatic Events</w:t>
      </w:r>
    </w:p>
    <w:p w:rsidR="00767127" w:rsidRDefault="000A75C2" w:rsidP="000A75C2">
      <w:pPr>
        <w:suppressLineNumbers/>
        <w:autoSpaceDE w:val="0"/>
        <w:autoSpaceDN w:val="0"/>
        <w:adjustRightInd w:val="0"/>
        <w:spacing w:after="120" w:line="240" w:lineRule="atLeast"/>
        <w:rPr>
          <w:rFonts w:ascii="Arial" w:hAnsi="Arial" w:cs="Arial"/>
          <w:noProof/>
          <w:sz w:val="22"/>
          <w:szCs w:val="22"/>
          <w:lang w:val="en-GB"/>
        </w:rPr>
      </w:pPr>
      <w:r w:rsidRPr="000A75C2">
        <w:rPr>
          <w:rFonts w:ascii="Arial" w:hAnsi="Arial" w:cs="Arial"/>
          <w:noProof/>
          <w:sz w:val="22"/>
          <w:szCs w:val="22"/>
          <w:lang w:val="en-GB"/>
        </w:rPr>
        <w:t xml:space="preserve">Hepatic adverse events have been reported in clinical trials with </w:t>
      </w:r>
      <w:r w:rsidR="0057653B">
        <w:rPr>
          <w:rFonts w:ascii="Arial" w:hAnsi="Arial" w:cs="Arial"/>
          <w:noProof/>
          <w:sz w:val="22"/>
          <w:szCs w:val="22"/>
          <w:lang w:val="en-GB"/>
        </w:rPr>
        <w:t>MEKINIST</w:t>
      </w:r>
      <w:r w:rsidRPr="000A75C2">
        <w:rPr>
          <w:rFonts w:ascii="Arial" w:hAnsi="Arial" w:cs="Arial"/>
          <w:noProof/>
          <w:sz w:val="22"/>
          <w:szCs w:val="22"/>
          <w:lang w:val="en-GB"/>
        </w:rPr>
        <w:t xml:space="preserve"> as monotherapy and in combination with dabrafenib. It is recommended that patients receiving treatment with </w:t>
      </w:r>
      <w:r w:rsidR="0057653B">
        <w:rPr>
          <w:rFonts w:ascii="Arial" w:hAnsi="Arial" w:cs="Arial"/>
          <w:noProof/>
          <w:sz w:val="22"/>
          <w:szCs w:val="22"/>
          <w:lang w:val="en-GB"/>
        </w:rPr>
        <w:t>MEKINIST</w:t>
      </w:r>
      <w:r w:rsidRPr="000A75C2">
        <w:rPr>
          <w:rFonts w:ascii="Arial" w:hAnsi="Arial" w:cs="Arial"/>
          <w:noProof/>
          <w:sz w:val="22"/>
          <w:szCs w:val="22"/>
          <w:lang w:val="en-GB"/>
        </w:rPr>
        <w:t xml:space="preserve"> monotherapy or in combination with dabrafenib have liver function monitored every four weeks for 6 months after treatment initiation with </w:t>
      </w:r>
      <w:r w:rsidR="0057653B">
        <w:rPr>
          <w:rFonts w:ascii="Arial" w:hAnsi="Arial" w:cs="Arial"/>
          <w:noProof/>
          <w:sz w:val="22"/>
          <w:szCs w:val="22"/>
          <w:lang w:val="en-GB"/>
        </w:rPr>
        <w:t>MEKINIST</w:t>
      </w:r>
      <w:r>
        <w:rPr>
          <w:rFonts w:ascii="Arial" w:hAnsi="Arial" w:cs="Arial"/>
          <w:noProof/>
          <w:sz w:val="22"/>
          <w:szCs w:val="22"/>
          <w:lang w:val="en-GB"/>
        </w:rPr>
        <w:t xml:space="preserve"> (see</w:t>
      </w:r>
      <w:r w:rsidRPr="000A75C2">
        <w:rPr>
          <w:rFonts w:ascii="Arial" w:hAnsi="Arial" w:cs="Arial"/>
          <w:noProof/>
          <w:sz w:val="22"/>
          <w:szCs w:val="22"/>
          <w:lang w:val="en-GB"/>
        </w:rPr>
        <w:t xml:space="preserve"> ADVERSE EFFECTS)</w:t>
      </w:r>
      <w:r>
        <w:rPr>
          <w:rFonts w:ascii="Arial" w:hAnsi="Arial" w:cs="Arial"/>
          <w:noProof/>
          <w:sz w:val="22"/>
          <w:szCs w:val="22"/>
          <w:lang w:val="en-GB"/>
        </w:rPr>
        <w:t>.</w:t>
      </w:r>
    </w:p>
    <w:p w:rsidR="00C63332" w:rsidRPr="00620AF0" w:rsidRDefault="00242B97" w:rsidP="00517A18">
      <w:pPr>
        <w:spacing w:before="120" w:after="120" w:line="240" w:lineRule="atLeast"/>
        <w:rPr>
          <w:rFonts w:ascii="Arial" w:hAnsi="Arial" w:cs="Arial"/>
          <w:b/>
          <w:sz w:val="22"/>
          <w:szCs w:val="22"/>
        </w:rPr>
      </w:pPr>
      <w:r w:rsidRPr="00620AF0">
        <w:rPr>
          <w:rFonts w:ascii="Arial" w:hAnsi="Arial" w:cs="Arial"/>
          <w:b/>
          <w:sz w:val="22"/>
          <w:szCs w:val="22"/>
        </w:rPr>
        <w:t xml:space="preserve">Effects on </w:t>
      </w:r>
      <w:r w:rsidR="00C63332" w:rsidRPr="00620AF0">
        <w:rPr>
          <w:rFonts w:ascii="Arial" w:hAnsi="Arial" w:cs="Arial"/>
          <w:b/>
          <w:sz w:val="22"/>
          <w:szCs w:val="22"/>
        </w:rPr>
        <w:t>Fertility</w:t>
      </w:r>
    </w:p>
    <w:p w:rsidR="00463292" w:rsidRPr="00620AF0" w:rsidRDefault="00463292" w:rsidP="00C72BB4">
      <w:pPr>
        <w:spacing w:after="120" w:line="240" w:lineRule="atLeast"/>
        <w:rPr>
          <w:rFonts w:ascii="Arial" w:hAnsi="Arial" w:cs="Arial"/>
          <w:sz w:val="22"/>
          <w:szCs w:val="22"/>
        </w:rPr>
      </w:pPr>
      <w:r w:rsidRPr="00620AF0">
        <w:rPr>
          <w:rFonts w:ascii="Arial" w:hAnsi="Arial" w:cs="Arial"/>
          <w:sz w:val="22"/>
          <w:szCs w:val="22"/>
        </w:rPr>
        <w:t xml:space="preserve">There is no information on the effect of </w:t>
      </w:r>
      <w:r w:rsidR="000E0FC0">
        <w:rPr>
          <w:rFonts w:ascii="Arial" w:hAnsi="Arial" w:cs="Arial"/>
          <w:sz w:val="22"/>
          <w:szCs w:val="22"/>
        </w:rPr>
        <w:t>MEKINIST</w:t>
      </w:r>
      <w:r w:rsidRPr="00620AF0">
        <w:rPr>
          <w:rFonts w:ascii="Arial" w:hAnsi="Arial" w:cs="Arial"/>
          <w:sz w:val="22"/>
          <w:szCs w:val="22"/>
        </w:rPr>
        <w:t xml:space="preserve"> on human fertility. In animals, no fertility studies</w:t>
      </w:r>
      <w:r w:rsidRPr="00AE05A1">
        <w:rPr>
          <w:rFonts w:ascii="Arial" w:hAnsi="Arial" w:cs="Arial"/>
          <w:sz w:val="22"/>
          <w:szCs w:val="22"/>
        </w:rPr>
        <w:t xml:space="preserve"> have been performed, but </w:t>
      </w:r>
      <w:r w:rsidR="00AE05A1" w:rsidRPr="00AE05A1">
        <w:rPr>
          <w:rFonts w:ascii="Arial" w:hAnsi="Arial" w:cs="Arial"/>
          <w:sz w:val="22"/>
          <w:szCs w:val="22"/>
          <w:lang w:val="en-GB"/>
        </w:rPr>
        <w:t xml:space="preserve">an increase in ovarian cystic follicles and decrease in corpora lutea were seen in female rats at 0.016 mg/kg/day (0.3 times the clinical exposure based on AUC. </w:t>
      </w:r>
      <w:r w:rsidR="001D76B9">
        <w:rPr>
          <w:rFonts w:ascii="Arial" w:hAnsi="Arial" w:cs="Arial"/>
          <w:sz w:val="22"/>
          <w:szCs w:val="22"/>
        </w:rPr>
        <w:t xml:space="preserve"> </w:t>
      </w:r>
      <w:r w:rsidR="000E0FC0">
        <w:rPr>
          <w:rFonts w:ascii="Arial" w:hAnsi="Arial" w:cs="Arial"/>
          <w:sz w:val="22"/>
          <w:szCs w:val="22"/>
        </w:rPr>
        <w:t>MEKINIST</w:t>
      </w:r>
      <w:r w:rsidRPr="00AE05A1">
        <w:rPr>
          <w:rFonts w:ascii="Arial" w:hAnsi="Arial" w:cs="Arial"/>
          <w:sz w:val="22"/>
          <w:szCs w:val="22"/>
        </w:rPr>
        <w:t xml:space="preserve"> may impair</w:t>
      </w:r>
      <w:r w:rsidR="005D1624">
        <w:rPr>
          <w:rFonts w:ascii="Arial" w:hAnsi="Arial" w:cs="Arial"/>
          <w:sz w:val="22"/>
          <w:szCs w:val="22"/>
        </w:rPr>
        <w:t xml:space="preserve"> female</w:t>
      </w:r>
      <w:r w:rsidRPr="00AE05A1">
        <w:rPr>
          <w:rFonts w:ascii="Arial" w:hAnsi="Arial" w:cs="Arial"/>
          <w:sz w:val="22"/>
          <w:szCs w:val="22"/>
        </w:rPr>
        <w:t xml:space="preserve"> fertility in humans.</w:t>
      </w:r>
      <w:r w:rsidR="00C72BB4" w:rsidRPr="00AE05A1">
        <w:rPr>
          <w:rFonts w:ascii="Arial" w:hAnsi="Arial" w:cs="Arial"/>
          <w:sz w:val="22"/>
          <w:szCs w:val="22"/>
        </w:rPr>
        <w:t xml:space="preserve"> However, i</w:t>
      </w:r>
      <w:r w:rsidRPr="00AE05A1">
        <w:rPr>
          <w:rFonts w:ascii="Arial" w:hAnsi="Arial" w:cs="Arial"/>
          <w:sz w:val="22"/>
          <w:szCs w:val="22"/>
        </w:rPr>
        <w:t>n rat and dog toxicity studies up to 3 weeks in duration, there were no treatment</w:t>
      </w:r>
      <w:r w:rsidR="005D1624">
        <w:rPr>
          <w:rFonts w:ascii="Arial" w:hAnsi="Arial" w:cs="Arial"/>
          <w:sz w:val="22"/>
          <w:szCs w:val="22"/>
        </w:rPr>
        <w:t>-related</w:t>
      </w:r>
      <w:r w:rsidRPr="00AE05A1">
        <w:rPr>
          <w:rFonts w:ascii="Arial" w:hAnsi="Arial" w:cs="Arial"/>
          <w:sz w:val="22"/>
          <w:szCs w:val="22"/>
        </w:rPr>
        <w:t xml:space="preserve"> effects o</w:t>
      </w:r>
      <w:r w:rsidRPr="00620AF0">
        <w:rPr>
          <w:rFonts w:ascii="Arial" w:hAnsi="Arial" w:cs="Arial"/>
          <w:sz w:val="22"/>
          <w:szCs w:val="22"/>
        </w:rPr>
        <w:t>bserved on male reproductive tissues.</w:t>
      </w:r>
    </w:p>
    <w:p w:rsidR="00C72BB4" w:rsidRPr="00C72BB4" w:rsidRDefault="00C72BB4" w:rsidP="00C72BB4">
      <w:pPr>
        <w:spacing w:after="120" w:line="240" w:lineRule="atLeast"/>
        <w:rPr>
          <w:rFonts w:ascii="Arial" w:hAnsi="Arial" w:cs="Arial"/>
          <w:sz w:val="22"/>
          <w:szCs w:val="22"/>
          <w:lang w:val="en-GB"/>
        </w:rPr>
      </w:pPr>
      <w:r w:rsidRPr="00C72BB4">
        <w:rPr>
          <w:rFonts w:ascii="Arial" w:hAnsi="Arial" w:cs="Arial"/>
          <w:sz w:val="22"/>
          <w:szCs w:val="22"/>
          <w:u w:val="single"/>
          <w:lang w:val="en-GB"/>
        </w:rPr>
        <w:t xml:space="preserve">Men taking </w:t>
      </w:r>
      <w:r w:rsidR="004A4BB0">
        <w:rPr>
          <w:rFonts w:ascii="Arial" w:hAnsi="Arial" w:cs="Arial"/>
          <w:sz w:val="22"/>
          <w:szCs w:val="22"/>
          <w:u w:val="single"/>
          <w:lang w:val="en-GB"/>
        </w:rPr>
        <w:t>MEKINIST</w:t>
      </w:r>
      <w:r w:rsidRPr="00C72BB4">
        <w:rPr>
          <w:rFonts w:ascii="Arial" w:hAnsi="Arial" w:cs="Arial"/>
          <w:sz w:val="22"/>
          <w:szCs w:val="22"/>
          <w:u w:val="single"/>
          <w:lang w:val="en-GB"/>
        </w:rPr>
        <w:t xml:space="preserve"> in combination with </w:t>
      </w:r>
      <w:r w:rsidR="00240E6A">
        <w:rPr>
          <w:rFonts w:ascii="Arial" w:hAnsi="Arial" w:cs="Arial"/>
          <w:sz w:val="22"/>
          <w:szCs w:val="22"/>
          <w:u w:val="single"/>
          <w:lang w:val="en-GB"/>
        </w:rPr>
        <w:t>dabrafenib</w:t>
      </w:r>
      <w:r w:rsidRPr="00C72BB4">
        <w:rPr>
          <w:rFonts w:ascii="Arial" w:hAnsi="Arial" w:cs="Arial"/>
          <w:sz w:val="22"/>
          <w:szCs w:val="22"/>
          <w:lang w:val="en-GB"/>
        </w:rPr>
        <w:t xml:space="preserve">:  </w:t>
      </w:r>
      <w:r w:rsidR="00A43CB9" w:rsidRPr="00A43CB9">
        <w:rPr>
          <w:rFonts w:ascii="Arial" w:hAnsi="Arial" w:cs="Arial"/>
          <w:sz w:val="22"/>
          <w:szCs w:val="22"/>
          <w:lang w:val="en-GB"/>
        </w:rPr>
        <w:t xml:space="preserve">Male fertility studies in animals with the trametinib/dabrafenib combination have not been conducted. </w:t>
      </w:r>
      <w:r w:rsidRPr="005D1624">
        <w:rPr>
          <w:rFonts w:ascii="Arial" w:hAnsi="Arial" w:cs="Arial"/>
          <w:sz w:val="22"/>
          <w:szCs w:val="22"/>
          <w:lang w:val="en-GB"/>
        </w:rPr>
        <w:t xml:space="preserve">Effects on spermatogenesis have been observed in animals given </w:t>
      </w:r>
      <w:r w:rsidR="00240E6A" w:rsidRPr="005D1624">
        <w:rPr>
          <w:rFonts w:ascii="Arial" w:hAnsi="Arial" w:cs="Arial"/>
          <w:sz w:val="22"/>
          <w:szCs w:val="22"/>
          <w:lang w:val="en-GB"/>
        </w:rPr>
        <w:t>dabrafenib</w:t>
      </w:r>
      <w:r w:rsidRPr="005D1624">
        <w:rPr>
          <w:rFonts w:ascii="Arial" w:hAnsi="Arial" w:cs="Arial"/>
          <w:sz w:val="22"/>
          <w:szCs w:val="22"/>
          <w:lang w:val="en-GB"/>
        </w:rPr>
        <w:t xml:space="preserve">.  Male </w:t>
      </w:r>
      <w:r w:rsidRPr="00C72BB4">
        <w:rPr>
          <w:rFonts w:ascii="Arial" w:hAnsi="Arial" w:cs="Arial"/>
          <w:sz w:val="22"/>
          <w:szCs w:val="22"/>
          <w:lang w:val="en-GB"/>
        </w:rPr>
        <w:t xml:space="preserve">patients should be informed of the potential risk for impaired spermatogenesis, which may be irreversible. See prescribing information for </w:t>
      </w:r>
      <w:r w:rsidR="00240E6A">
        <w:rPr>
          <w:rFonts w:ascii="Arial" w:hAnsi="Arial" w:cs="Arial"/>
          <w:sz w:val="22"/>
          <w:szCs w:val="22"/>
          <w:lang w:val="en-GB"/>
        </w:rPr>
        <w:t>dabrafenib</w:t>
      </w:r>
      <w:r w:rsidRPr="00C72BB4">
        <w:rPr>
          <w:rFonts w:ascii="Arial" w:hAnsi="Arial" w:cs="Arial"/>
          <w:sz w:val="22"/>
          <w:szCs w:val="22"/>
          <w:lang w:val="en-GB"/>
        </w:rPr>
        <w:t xml:space="preserve"> for more detail.</w:t>
      </w:r>
    </w:p>
    <w:p w:rsidR="00C63332" w:rsidRPr="00620AF0" w:rsidRDefault="00242B97" w:rsidP="00162AA0">
      <w:pPr>
        <w:pStyle w:val="ListParagraph"/>
        <w:spacing w:after="120" w:line="240" w:lineRule="atLeast"/>
        <w:ind w:left="0"/>
        <w:contextualSpacing w:val="0"/>
        <w:rPr>
          <w:rFonts w:ascii="Arial" w:hAnsi="Arial" w:cs="Arial"/>
          <w:b/>
          <w:sz w:val="22"/>
          <w:szCs w:val="22"/>
        </w:rPr>
      </w:pPr>
      <w:r w:rsidRPr="00620AF0">
        <w:rPr>
          <w:rFonts w:ascii="Arial" w:hAnsi="Arial" w:cs="Arial"/>
          <w:b/>
          <w:sz w:val="22"/>
          <w:szCs w:val="22"/>
        </w:rPr>
        <w:t xml:space="preserve">Use in </w:t>
      </w:r>
      <w:r w:rsidR="00C63332" w:rsidRPr="00620AF0">
        <w:rPr>
          <w:rFonts w:ascii="Arial" w:hAnsi="Arial" w:cs="Arial"/>
          <w:b/>
          <w:sz w:val="22"/>
          <w:szCs w:val="22"/>
        </w:rPr>
        <w:t>Pregnancy</w:t>
      </w:r>
      <w:r w:rsidRPr="00620AF0">
        <w:rPr>
          <w:rFonts w:ascii="Arial" w:hAnsi="Arial" w:cs="Arial"/>
          <w:b/>
          <w:sz w:val="22"/>
          <w:szCs w:val="22"/>
        </w:rPr>
        <w:t xml:space="preserve"> (Category</w:t>
      </w:r>
      <w:r w:rsidR="004F640B" w:rsidRPr="00620AF0">
        <w:rPr>
          <w:rFonts w:ascii="Arial" w:hAnsi="Arial" w:cs="Arial"/>
          <w:b/>
          <w:sz w:val="22"/>
          <w:szCs w:val="22"/>
        </w:rPr>
        <w:t xml:space="preserve"> </w:t>
      </w:r>
      <w:r w:rsidR="002771DC" w:rsidRPr="00620AF0">
        <w:rPr>
          <w:rFonts w:ascii="Arial" w:hAnsi="Arial" w:cs="Arial"/>
          <w:b/>
          <w:sz w:val="22"/>
          <w:szCs w:val="22"/>
        </w:rPr>
        <w:t>D</w:t>
      </w:r>
      <w:r w:rsidRPr="00620AF0">
        <w:rPr>
          <w:rFonts w:ascii="Arial" w:hAnsi="Arial" w:cs="Arial"/>
          <w:b/>
          <w:sz w:val="22"/>
          <w:szCs w:val="22"/>
        </w:rPr>
        <w:t>)</w:t>
      </w:r>
    </w:p>
    <w:p w:rsidR="00E975AB" w:rsidRDefault="00463292" w:rsidP="00EE1069">
      <w:pPr>
        <w:spacing w:after="120" w:line="240" w:lineRule="atLeast"/>
        <w:rPr>
          <w:rFonts w:ascii="Arial" w:hAnsi="Arial" w:cs="Arial"/>
          <w:sz w:val="22"/>
          <w:szCs w:val="22"/>
        </w:rPr>
      </w:pPr>
      <w:r w:rsidRPr="00620AF0">
        <w:rPr>
          <w:rFonts w:ascii="Arial" w:hAnsi="Arial" w:cs="Arial"/>
          <w:sz w:val="22"/>
          <w:szCs w:val="22"/>
        </w:rPr>
        <w:t xml:space="preserve">There are no adequate and well-controlled studies of </w:t>
      </w:r>
      <w:r w:rsidR="00FC666C">
        <w:rPr>
          <w:rFonts w:ascii="Arial" w:hAnsi="Arial" w:cs="Arial"/>
          <w:sz w:val="22"/>
          <w:szCs w:val="22"/>
        </w:rPr>
        <w:t>MEKINIST</w:t>
      </w:r>
      <w:r w:rsidRPr="00620AF0">
        <w:rPr>
          <w:rFonts w:ascii="Arial" w:hAnsi="Arial" w:cs="Arial"/>
          <w:sz w:val="22"/>
          <w:szCs w:val="22"/>
        </w:rPr>
        <w:t xml:space="preserve"> in</w:t>
      </w:r>
      <w:r w:rsidR="00E975AB">
        <w:rPr>
          <w:rFonts w:ascii="Arial" w:hAnsi="Arial" w:cs="Arial"/>
          <w:sz w:val="22"/>
          <w:szCs w:val="22"/>
        </w:rPr>
        <w:t xml:space="preserve"> pregnant women. Animal studies</w:t>
      </w:r>
      <w:r w:rsidR="00547FB4" w:rsidRPr="00620AF0">
        <w:rPr>
          <w:rFonts w:ascii="Arial" w:hAnsi="Arial" w:cs="Arial"/>
          <w:sz w:val="22"/>
          <w:szCs w:val="22"/>
        </w:rPr>
        <w:t xml:space="preserve"> </w:t>
      </w:r>
      <w:r w:rsidR="00FC666C">
        <w:rPr>
          <w:rFonts w:ascii="Arial" w:hAnsi="Arial" w:cs="Arial"/>
          <w:sz w:val="22"/>
          <w:szCs w:val="22"/>
        </w:rPr>
        <w:t xml:space="preserve">with trametinib </w:t>
      </w:r>
      <w:r w:rsidRPr="00620AF0">
        <w:rPr>
          <w:rFonts w:ascii="Arial" w:hAnsi="Arial" w:cs="Arial"/>
          <w:sz w:val="22"/>
          <w:szCs w:val="22"/>
        </w:rPr>
        <w:t>have shown re</w:t>
      </w:r>
      <w:r w:rsidR="00E975AB">
        <w:rPr>
          <w:rFonts w:ascii="Arial" w:hAnsi="Arial" w:cs="Arial"/>
          <w:sz w:val="22"/>
          <w:szCs w:val="22"/>
        </w:rPr>
        <w:t xml:space="preserve">productive toxicity. </w:t>
      </w:r>
      <w:r w:rsidR="00FC666C">
        <w:rPr>
          <w:rFonts w:ascii="Arial" w:hAnsi="Arial" w:cs="Arial"/>
          <w:sz w:val="22"/>
          <w:szCs w:val="22"/>
        </w:rPr>
        <w:t>MEKINIST</w:t>
      </w:r>
      <w:r w:rsidR="00547FB4" w:rsidRPr="00620AF0">
        <w:rPr>
          <w:rFonts w:ascii="Arial" w:hAnsi="Arial" w:cs="Arial"/>
          <w:sz w:val="22"/>
          <w:szCs w:val="22"/>
        </w:rPr>
        <w:t xml:space="preserve"> </w:t>
      </w:r>
      <w:r w:rsidRPr="00620AF0">
        <w:rPr>
          <w:rFonts w:ascii="Arial" w:hAnsi="Arial" w:cs="Arial"/>
          <w:sz w:val="22"/>
          <w:szCs w:val="22"/>
        </w:rPr>
        <w:t xml:space="preserve">should not be administered to pregnant women or nursing mothers. Women of childbearing potential should use effective methods of contraception during therapy </w:t>
      </w:r>
      <w:r w:rsidR="00E975AB">
        <w:rPr>
          <w:rFonts w:ascii="Arial" w:hAnsi="Arial" w:cs="Arial"/>
          <w:sz w:val="22"/>
          <w:szCs w:val="22"/>
        </w:rPr>
        <w:t>and for 4 month</w:t>
      </w:r>
      <w:r w:rsidR="00EE1069" w:rsidRPr="00620AF0">
        <w:rPr>
          <w:rFonts w:ascii="Arial" w:hAnsi="Arial" w:cs="Arial"/>
          <w:sz w:val="22"/>
          <w:szCs w:val="22"/>
        </w:rPr>
        <w:t xml:space="preserve">s following </w:t>
      </w:r>
      <w:r w:rsidR="00EE1069" w:rsidRPr="00620AF0">
        <w:rPr>
          <w:rFonts w:ascii="Arial" w:hAnsi="Arial" w:cs="Arial"/>
          <w:sz w:val="22"/>
          <w:szCs w:val="22"/>
        </w:rPr>
        <w:lastRenderedPageBreak/>
        <w:t>discon</w:t>
      </w:r>
      <w:r w:rsidR="00E975AB">
        <w:rPr>
          <w:rFonts w:ascii="Arial" w:hAnsi="Arial" w:cs="Arial"/>
          <w:sz w:val="22"/>
          <w:szCs w:val="22"/>
        </w:rPr>
        <w:t>tinuation</w:t>
      </w:r>
      <w:r w:rsidR="00FC666C">
        <w:rPr>
          <w:rFonts w:ascii="Arial" w:hAnsi="Arial" w:cs="Arial"/>
          <w:sz w:val="22"/>
          <w:szCs w:val="22"/>
        </w:rPr>
        <w:t xml:space="preserve"> of MEKINIST</w:t>
      </w:r>
      <w:r w:rsidR="00E975AB">
        <w:rPr>
          <w:rFonts w:ascii="Arial" w:hAnsi="Arial" w:cs="Arial"/>
          <w:sz w:val="22"/>
          <w:szCs w:val="22"/>
        </w:rPr>
        <w:t xml:space="preserve">. </w:t>
      </w:r>
      <w:r w:rsidR="009D428F">
        <w:rPr>
          <w:rFonts w:ascii="Arial" w:hAnsi="Arial" w:cs="Arial"/>
          <w:sz w:val="22"/>
          <w:szCs w:val="22"/>
        </w:rPr>
        <w:t xml:space="preserve"> </w:t>
      </w:r>
      <w:r w:rsidR="009D428F" w:rsidRPr="009D428F">
        <w:rPr>
          <w:rFonts w:ascii="Arial" w:hAnsi="Arial" w:cs="Arial"/>
          <w:sz w:val="22"/>
          <w:szCs w:val="22"/>
        </w:rPr>
        <w:t xml:space="preserve">When MEKINIST is used in combination with dabrafenib, </w:t>
      </w:r>
      <w:r w:rsidR="001A5A64">
        <w:rPr>
          <w:rFonts w:ascii="Arial" w:hAnsi="Arial" w:cs="Arial"/>
          <w:sz w:val="22"/>
          <w:szCs w:val="22"/>
        </w:rPr>
        <w:t>patients should</w:t>
      </w:r>
      <w:r w:rsidR="009D428F" w:rsidRPr="009D428F">
        <w:rPr>
          <w:rFonts w:ascii="Arial" w:hAnsi="Arial" w:cs="Arial"/>
          <w:sz w:val="22"/>
          <w:szCs w:val="22"/>
        </w:rPr>
        <w:t xml:space="preserve"> use a non-hormonal method of contraception since dabrafenib can render hormonal contraceptives ineffective.</w:t>
      </w:r>
      <w:r w:rsidR="009D428F">
        <w:rPr>
          <w:rFonts w:ascii="Arial" w:hAnsi="Arial" w:cs="Arial"/>
          <w:sz w:val="22"/>
          <w:szCs w:val="22"/>
        </w:rPr>
        <w:t xml:space="preserve"> </w:t>
      </w:r>
      <w:r w:rsidR="00E975AB">
        <w:rPr>
          <w:rFonts w:ascii="Arial" w:hAnsi="Arial" w:cs="Arial"/>
          <w:sz w:val="22"/>
          <w:szCs w:val="22"/>
        </w:rPr>
        <w:t xml:space="preserve">If </w:t>
      </w:r>
      <w:r w:rsidR="00FC666C">
        <w:rPr>
          <w:rFonts w:ascii="Arial" w:hAnsi="Arial" w:cs="Arial"/>
          <w:sz w:val="22"/>
          <w:szCs w:val="22"/>
        </w:rPr>
        <w:t>MEKINIST</w:t>
      </w:r>
      <w:r w:rsidR="00E975AB" w:rsidRPr="00620AF0">
        <w:rPr>
          <w:rFonts w:ascii="Arial" w:hAnsi="Arial" w:cs="Arial"/>
          <w:sz w:val="22"/>
          <w:szCs w:val="22"/>
        </w:rPr>
        <w:t xml:space="preserve"> is used during pregnancy</w:t>
      </w:r>
      <w:r w:rsidR="00E975AB">
        <w:rPr>
          <w:rFonts w:ascii="Arial" w:hAnsi="Arial" w:cs="Arial"/>
          <w:sz w:val="22"/>
          <w:szCs w:val="22"/>
        </w:rPr>
        <w:t>, or i</w:t>
      </w:r>
      <w:r w:rsidR="00E975AB" w:rsidRPr="00620AF0">
        <w:rPr>
          <w:rFonts w:ascii="Arial" w:hAnsi="Arial" w:cs="Arial"/>
          <w:sz w:val="22"/>
          <w:szCs w:val="22"/>
        </w:rPr>
        <w:t xml:space="preserve">f the patient becomes pregnant </w:t>
      </w:r>
      <w:r w:rsidR="00E975AB">
        <w:rPr>
          <w:rFonts w:ascii="Arial" w:hAnsi="Arial" w:cs="Arial"/>
          <w:sz w:val="22"/>
          <w:szCs w:val="22"/>
        </w:rPr>
        <w:t xml:space="preserve">while taking </w:t>
      </w:r>
      <w:r w:rsidR="000E0FC0">
        <w:rPr>
          <w:rFonts w:ascii="Arial" w:hAnsi="Arial" w:cs="Arial"/>
          <w:sz w:val="22"/>
          <w:szCs w:val="22"/>
        </w:rPr>
        <w:t>MEKINIST</w:t>
      </w:r>
      <w:r w:rsidR="00E975AB">
        <w:rPr>
          <w:rFonts w:ascii="Arial" w:hAnsi="Arial" w:cs="Arial"/>
          <w:sz w:val="22"/>
          <w:szCs w:val="22"/>
        </w:rPr>
        <w:t xml:space="preserve">, </w:t>
      </w:r>
      <w:r w:rsidR="00E975AB" w:rsidRPr="00620AF0">
        <w:rPr>
          <w:rFonts w:ascii="Arial" w:hAnsi="Arial" w:cs="Arial"/>
          <w:sz w:val="22"/>
          <w:szCs w:val="22"/>
        </w:rPr>
        <w:t>the patient should be informed of the potential hazard to the foetus.</w:t>
      </w:r>
    </w:p>
    <w:p w:rsidR="00162AA0" w:rsidRPr="00620AF0" w:rsidRDefault="00E975AB" w:rsidP="00E869DF">
      <w:pPr>
        <w:pStyle w:val="CommentText"/>
        <w:spacing w:after="120" w:line="240" w:lineRule="atLeast"/>
      </w:pPr>
      <w:r w:rsidRPr="00620AF0">
        <w:rPr>
          <w:rFonts w:ascii="Arial" w:hAnsi="Arial" w:cs="Arial"/>
          <w:sz w:val="22"/>
          <w:szCs w:val="22"/>
        </w:rPr>
        <w:t xml:space="preserve">In </w:t>
      </w:r>
      <w:r w:rsidR="00C5459E">
        <w:rPr>
          <w:rFonts w:ascii="Arial" w:hAnsi="Arial" w:cs="Arial"/>
          <w:sz w:val="22"/>
          <w:szCs w:val="22"/>
        </w:rPr>
        <w:t xml:space="preserve">embryofetal development </w:t>
      </w:r>
      <w:r w:rsidRPr="00620AF0">
        <w:rPr>
          <w:rFonts w:ascii="Arial" w:hAnsi="Arial" w:cs="Arial"/>
          <w:sz w:val="22"/>
          <w:szCs w:val="22"/>
        </w:rPr>
        <w:t xml:space="preserve">studies in rats, maternal and developmental toxicity (decreased foetal weights) were seen at </w:t>
      </w:r>
      <w:r w:rsidRPr="00620AF0">
        <w:rPr>
          <w:rFonts w:ascii="Arial" w:hAnsi="Arial" w:cs="Arial"/>
          <w:sz w:val="22"/>
          <w:szCs w:val="22"/>
        </w:rPr>
        <w:sym w:font="Symbol" w:char="F0B3"/>
      </w:r>
      <w:r w:rsidRPr="00620AF0">
        <w:rPr>
          <w:rFonts w:ascii="Arial" w:hAnsi="Arial" w:cs="Arial"/>
          <w:sz w:val="22"/>
          <w:szCs w:val="22"/>
        </w:rPr>
        <w:t xml:space="preserve">0.031 mg/kg/day (approximately 0.3 times human clinical exposure based on AUC). In pregnant rabbits, maternal and developmental toxicity (decreased foetal body weight and increased incidence of ossification defects) was seen at </w:t>
      </w:r>
      <w:r w:rsidRPr="00620AF0">
        <w:rPr>
          <w:rFonts w:ascii="Arial" w:hAnsi="Arial" w:cs="Arial"/>
          <w:sz w:val="22"/>
          <w:szCs w:val="22"/>
        </w:rPr>
        <w:sym w:font="Symbol" w:char="F0B3"/>
      </w:r>
      <w:r w:rsidRPr="00620AF0">
        <w:rPr>
          <w:rFonts w:ascii="Arial" w:hAnsi="Arial" w:cs="Arial"/>
          <w:sz w:val="22"/>
          <w:szCs w:val="22"/>
        </w:rPr>
        <w:t>0.039 mg/kg/day (approximately 0.1 times human clinical exposure based on AUC).</w:t>
      </w:r>
    </w:p>
    <w:p w:rsidR="00C63332" w:rsidRPr="00620AF0" w:rsidRDefault="00242B97" w:rsidP="00656020">
      <w:pPr>
        <w:spacing w:after="120" w:line="240" w:lineRule="atLeast"/>
        <w:rPr>
          <w:rFonts w:ascii="Arial" w:hAnsi="Arial" w:cs="Arial"/>
          <w:b/>
          <w:sz w:val="22"/>
          <w:szCs w:val="22"/>
        </w:rPr>
      </w:pPr>
      <w:r w:rsidRPr="00620AF0">
        <w:rPr>
          <w:rFonts w:ascii="Arial" w:hAnsi="Arial" w:cs="Arial"/>
          <w:b/>
          <w:sz w:val="22"/>
          <w:szCs w:val="22"/>
        </w:rPr>
        <w:t xml:space="preserve">Use in </w:t>
      </w:r>
      <w:r w:rsidR="00C63332" w:rsidRPr="00620AF0">
        <w:rPr>
          <w:rFonts w:ascii="Arial" w:hAnsi="Arial" w:cs="Arial"/>
          <w:b/>
          <w:sz w:val="22"/>
          <w:szCs w:val="22"/>
        </w:rPr>
        <w:t>Lactation:</w:t>
      </w:r>
    </w:p>
    <w:p w:rsidR="00162AA0" w:rsidRPr="00620AF0" w:rsidRDefault="00162AA0" w:rsidP="00E869DF">
      <w:pPr>
        <w:spacing w:after="120" w:line="240" w:lineRule="atLeast"/>
        <w:rPr>
          <w:rFonts w:ascii="Arial" w:hAnsi="Arial" w:cs="Arial"/>
          <w:b/>
          <w:sz w:val="22"/>
          <w:szCs w:val="22"/>
        </w:rPr>
      </w:pPr>
      <w:r w:rsidRPr="00620AF0">
        <w:rPr>
          <w:rFonts w:ascii="Arial" w:hAnsi="Arial" w:cs="Arial"/>
          <w:sz w:val="22"/>
          <w:szCs w:val="22"/>
        </w:rPr>
        <w:t xml:space="preserve">It is not known whether </w:t>
      </w:r>
      <w:r w:rsidR="000E0FC0">
        <w:rPr>
          <w:rFonts w:ascii="Arial" w:hAnsi="Arial" w:cs="Arial"/>
          <w:sz w:val="22"/>
          <w:szCs w:val="22"/>
        </w:rPr>
        <w:t>MEKINIST</w:t>
      </w:r>
      <w:r w:rsidR="00E975AB">
        <w:rPr>
          <w:rFonts w:ascii="Arial" w:hAnsi="Arial" w:cs="Arial"/>
          <w:sz w:val="22"/>
          <w:szCs w:val="22"/>
        </w:rPr>
        <w:t xml:space="preserve"> </w:t>
      </w:r>
      <w:r w:rsidRPr="00620AF0">
        <w:rPr>
          <w:rFonts w:ascii="Arial" w:hAnsi="Arial" w:cs="Arial"/>
          <w:sz w:val="22"/>
          <w:szCs w:val="22"/>
        </w:rPr>
        <w:t xml:space="preserve">is excreted in human milk. Because many medicinal products are excreted in human milk, a risk to the </w:t>
      </w:r>
      <w:r w:rsidR="00223FCE" w:rsidRPr="00620AF0">
        <w:rPr>
          <w:rFonts w:ascii="Arial" w:hAnsi="Arial" w:cs="Arial"/>
          <w:sz w:val="22"/>
          <w:szCs w:val="22"/>
        </w:rPr>
        <w:t>suckling child</w:t>
      </w:r>
      <w:r w:rsidRPr="00620AF0">
        <w:rPr>
          <w:rFonts w:ascii="Arial" w:hAnsi="Arial" w:cs="Arial"/>
          <w:sz w:val="22"/>
          <w:szCs w:val="22"/>
        </w:rPr>
        <w:t xml:space="preserve"> cannot be excluded. A decision should be made whether to discontinue nursing or discontinue </w:t>
      </w:r>
      <w:r w:rsidR="000E0FC0">
        <w:rPr>
          <w:rFonts w:ascii="Arial" w:hAnsi="Arial" w:cs="Arial"/>
          <w:sz w:val="22"/>
          <w:szCs w:val="22"/>
        </w:rPr>
        <w:t>MEKINIST</w:t>
      </w:r>
      <w:r w:rsidRPr="00620AF0">
        <w:rPr>
          <w:rFonts w:ascii="Arial" w:hAnsi="Arial" w:cs="Arial"/>
          <w:sz w:val="22"/>
          <w:szCs w:val="22"/>
        </w:rPr>
        <w:t xml:space="preserve"> taking into account the importance of the </w:t>
      </w:r>
      <w:r w:rsidR="000E0FC0">
        <w:rPr>
          <w:rFonts w:ascii="Arial" w:hAnsi="Arial" w:cs="Arial"/>
          <w:sz w:val="22"/>
          <w:szCs w:val="22"/>
        </w:rPr>
        <w:t>MEKINIST</w:t>
      </w:r>
      <w:r w:rsidRPr="00620AF0">
        <w:rPr>
          <w:rFonts w:ascii="Arial" w:hAnsi="Arial" w:cs="Arial"/>
          <w:sz w:val="22"/>
          <w:szCs w:val="22"/>
        </w:rPr>
        <w:t xml:space="preserve"> to the mother.</w:t>
      </w:r>
    </w:p>
    <w:p w:rsidR="00242B97" w:rsidRPr="00620AF0" w:rsidRDefault="00242B97" w:rsidP="002771DC">
      <w:pPr>
        <w:spacing w:after="120" w:line="240" w:lineRule="atLeast"/>
        <w:jc w:val="both"/>
        <w:rPr>
          <w:rFonts w:ascii="Arial" w:hAnsi="Arial" w:cs="Arial"/>
          <w:b/>
          <w:sz w:val="22"/>
          <w:szCs w:val="22"/>
        </w:rPr>
      </w:pPr>
      <w:r w:rsidRPr="00620AF0">
        <w:rPr>
          <w:rFonts w:ascii="Arial" w:hAnsi="Arial" w:cs="Arial"/>
          <w:b/>
          <w:sz w:val="22"/>
          <w:szCs w:val="22"/>
        </w:rPr>
        <w:t>Paediatric Use:</w:t>
      </w:r>
    </w:p>
    <w:p w:rsidR="00E8070F" w:rsidRPr="00620AF0" w:rsidRDefault="00066E44" w:rsidP="00E869DF">
      <w:pPr>
        <w:spacing w:after="120" w:line="240" w:lineRule="atLeast"/>
        <w:rPr>
          <w:rFonts w:ascii="Arial" w:hAnsi="Arial" w:cs="Arial"/>
          <w:sz w:val="22"/>
          <w:szCs w:val="22"/>
        </w:rPr>
      </w:pPr>
      <w:r w:rsidRPr="00620AF0">
        <w:rPr>
          <w:rFonts w:ascii="Arial" w:hAnsi="Arial" w:cs="Arial"/>
          <w:sz w:val="22"/>
          <w:szCs w:val="22"/>
        </w:rPr>
        <w:t xml:space="preserve">The safety and efficacy of </w:t>
      </w:r>
      <w:r w:rsidR="00E90230">
        <w:rPr>
          <w:rFonts w:ascii="Arial" w:hAnsi="Arial" w:cs="Arial"/>
          <w:sz w:val="22"/>
          <w:szCs w:val="22"/>
        </w:rPr>
        <w:t>MEKINIST</w:t>
      </w:r>
      <w:r w:rsidR="00223FCE" w:rsidRPr="00620AF0">
        <w:rPr>
          <w:rFonts w:ascii="Arial" w:hAnsi="Arial" w:cs="Arial"/>
          <w:sz w:val="22"/>
          <w:szCs w:val="22"/>
        </w:rPr>
        <w:t xml:space="preserve"> </w:t>
      </w:r>
      <w:r w:rsidRPr="00620AF0">
        <w:rPr>
          <w:rFonts w:ascii="Arial" w:hAnsi="Arial" w:cs="Arial"/>
          <w:sz w:val="22"/>
          <w:szCs w:val="22"/>
        </w:rPr>
        <w:t>has not been yet established in children and adolescents (&lt; 18 years).</w:t>
      </w:r>
    </w:p>
    <w:p w:rsidR="00242B97" w:rsidRPr="00620AF0" w:rsidRDefault="00242B97" w:rsidP="00656020">
      <w:pPr>
        <w:spacing w:after="120" w:line="240" w:lineRule="atLeast"/>
        <w:rPr>
          <w:rFonts w:ascii="Arial" w:hAnsi="Arial" w:cs="Arial"/>
          <w:b/>
          <w:sz w:val="22"/>
          <w:szCs w:val="22"/>
        </w:rPr>
      </w:pPr>
      <w:r w:rsidRPr="00620AF0">
        <w:rPr>
          <w:rFonts w:ascii="Arial" w:hAnsi="Arial" w:cs="Arial"/>
          <w:b/>
          <w:sz w:val="22"/>
          <w:szCs w:val="22"/>
        </w:rPr>
        <w:t xml:space="preserve">Use in </w:t>
      </w:r>
      <w:r w:rsidR="00A93928" w:rsidRPr="00620AF0">
        <w:rPr>
          <w:rFonts w:ascii="Arial" w:hAnsi="Arial" w:cs="Arial"/>
          <w:b/>
          <w:sz w:val="22"/>
          <w:szCs w:val="22"/>
        </w:rPr>
        <w:t xml:space="preserve">the </w:t>
      </w:r>
      <w:r w:rsidRPr="00620AF0">
        <w:rPr>
          <w:rFonts w:ascii="Arial" w:hAnsi="Arial" w:cs="Arial"/>
          <w:b/>
          <w:sz w:val="22"/>
          <w:szCs w:val="22"/>
        </w:rPr>
        <w:t>Elderly:</w:t>
      </w:r>
    </w:p>
    <w:p w:rsidR="003C37F2" w:rsidRDefault="00AF6EA0" w:rsidP="00AF6EA0">
      <w:pPr>
        <w:spacing w:after="120" w:line="240" w:lineRule="atLeast"/>
        <w:rPr>
          <w:rFonts w:ascii="Arial" w:hAnsi="Arial" w:cs="Arial"/>
          <w:iCs/>
          <w:sz w:val="22"/>
          <w:szCs w:val="22"/>
          <w:lang w:val="en-US" w:eastAsia="en-US"/>
        </w:rPr>
      </w:pPr>
      <w:r w:rsidRPr="00620AF0">
        <w:rPr>
          <w:rFonts w:ascii="Arial" w:hAnsi="Arial" w:cs="Arial"/>
          <w:sz w:val="22"/>
          <w:szCs w:val="22"/>
        </w:rPr>
        <w:t xml:space="preserve">No </w:t>
      </w:r>
      <w:r w:rsidR="003C37F2">
        <w:rPr>
          <w:rFonts w:ascii="Arial" w:hAnsi="Arial" w:cs="Arial"/>
          <w:sz w:val="22"/>
          <w:szCs w:val="22"/>
        </w:rPr>
        <w:t xml:space="preserve">initial </w:t>
      </w:r>
      <w:r w:rsidRPr="00620AF0">
        <w:rPr>
          <w:rFonts w:ascii="Arial" w:hAnsi="Arial" w:cs="Arial"/>
          <w:sz w:val="22"/>
          <w:szCs w:val="22"/>
        </w:rPr>
        <w:t>dose adjustment</w:t>
      </w:r>
      <w:r w:rsidR="00223FCE" w:rsidRPr="00620AF0">
        <w:rPr>
          <w:rFonts w:ascii="Arial" w:hAnsi="Arial" w:cs="Arial"/>
          <w:sz w:val="22"/>
          <w:szCs w:val="22"/>
        </w:rPr>
        <w:t>s</w:t>
      </w:r>
      <w:r w:rsidRPr="00620AF0">
        <w:rPr>
          <w:rFonts w:ascii="Arial" w:hAnsi="Arial" w:cs="Arial"/>
          <w:sz w:val="22"/>
          <w:szCs w:val="22"/>
        </w:rPr>
        <w:t xml:space="preserve"> </w:t>
      </w:r>
      <w:r w:rsidR="00223FCE" w:rsidRPr="00620AF0">
        <w:rPr>
          <w:rFonts w:ascii="Arial" w:hAnsi="Arial" w:cs="Arial"/>
          <w:sz w:val="22"/>
          <w:szCs w:val="22"/>
        </w:rPr>
        <w:t>are</w:t>
      </w:r>
      <w:r w:rsidRPr="00620AF0">
        <w:rPr>
          <w:rFonts w:ascii="Arial" w:hAnsi="Arial" w:cs="Arial"/>
          <w:sz w:val="22"/>
          <w:szCs w:val="22"/>
        </w:rPr>
        <w:t xml:space="preserve"> required in patients over 65 years</w:t>
      </w:r>
      <w:r w:rsidR="003C37F2">
        <w:rPr>
          <w:rFonts w:ascii="Arial" w:hAnsi="Arial" w:cs="Arial"/>
          <w:sz w:val="22"/>
          <w:szCs w:val="22"/>
        </w:rPr>
        <w:t xml:space="preserve"> of age (see PHARMACOKINETICS)</w:t>
      </w:r>
      <w:r w:rsidR="003C37F2">
        <w:rPr>
          <w:rFonts w:ascii="Arial" w:hAnsi="Arial" w:cs="Arial"/>
          <w:iCs/>
          <w:sz w:val="22"/>
          <w:szCs w:val="22"/>
          <w:lang w:val="en-US" w:eastAsia="en-US"/>
        </w:rPr>
        <w:t xml:space="preserve">. </w:t>
      </w:r>
    </w:p>
    <w:p w:rsidR="00E8070F" w:rsidRDefault="003C37F2" w:rsidP="00E869DF">
      <w:pPr>
        <w:spacing w:after="120" w:line="240" w:lineRule="atLeast"/>
        <w:rPr>
          <w:rFonts w:ascii="Arial" w:hAnsi="Arial" w:cs="Arial"/>
          <w:sz w:val="22"/>
          <w:szCs w:val="22"/>
          <w:lang w:val="en-US" w:eastAsia="en-US"/>
        </w:rPr>
      </w:pPr>
      <w:r>
        <w:rPr>
          <w:rFonts w:ascii="Arial" w:hAnsi="Arial" w:cs="Arial"/>
          <w:iCs/>
          <w:sz w:val="22"/>
          <w:szCs w:val="22"/>
          <w:lang w:val="en-US" w:eastAsia="en-US"/>
        </w:rPr>
        <w:t>More frequent</w:t>
      </w:r>
      <w:r>
        <w:rPr>
          <w:rFonts w:ascii="Arial" w:hAnsi="Arial" w:cs="Arial"/>
          <w:sz w:val="22"/>
          <w:szCs w:val="22"/>
          <w:lang w:val="en-US" w:eastAsia="en-US"/>
        </w:rPr>
        <w:t xml:space="preserve"> dose adjustments</w:t>
      </w:r>
      <w:r w:rsidR="00355A69">
        <w:rPr>
          <w:rFonts w:ascii="Arial" w:hAnsi="Arial" w:cs="Arial"/>
          <w:sz w:val="22"/>
          <w:szCs w:val="22"/>
          <w:lang w:val="en-US" w:eastAsia="en-US"/>
        </w:rPr>
        <w:t xml:space="preserve"> (see Table 7 and Table 8)</w:t>
      </w:r>
      <w:r>
        <w:rPr>
          <w:rFonts w:ascii="Arial" w:hAnsi="Arial" w:cs="Arial"/>
          <w:sz w:val="22"/>
          <w:szCs w:val="22"/>
          <w:lang w:val="en-US" w:eastAsia="en-US"/>
        </w:rPr>
        <w:t xml:space="preserve"> may be required in patients over 65 years of age (see ADVERSE EFFECTS)</w:t>
      </w:r>
      <w:r w:rsidR="004B64AC">
        <w:rPr>
          <w:rFonts w:ascii="Arial" w:hAnsi="Arial" w:cs="Arial"/>
          <w:sz w:val="22"/>
          <w:szCs w:val="22"/>
          <w:lang w:val="en-US" w:eastAsia="en-US"/>
        </w:rPr>
        <w:t>.</w:t>
      </w:r>
      <w:r w:rsidR="0092047E">
        <w:rPr>
          <w:rFonts w:ascii="Arial" w:hAnsi="Arial" w:cs="Arial"/>
          <w:sz w:val="22"/>
          <w:szCs w:val="22"/>
          <w:lang w:val="en-US" w:eastAsia="en-US"/>
        </w:rPr>
        <w:t xml:space="preserve"> </w:t>
      </w:r>
      <w:r w:rsidR="00306EAD">
        <w:rPr>
          <w:rFonts w:ascii="Arial" w:hAnsi="Arial" w:cs="Arial"/>
          <w:noProof/>
          <w:sz w:val="22"/>
          <w:szCs w:val="22"/>
        </w:rPr>
        <w:t>A</w:t>
      </w:r>
      <w:r w:rsidR="00306EAD" w:rsidRPr="005B4A0F">
        <w:rPr>
          <w:rFonts w:ascii="Arial" w:hAnsi="Arial" w:cs="Arial"/>
          <w:noProof/>
          <w:sz w:val="22"/>
          <w:szCs w:val="22"/>
        </w:rPr>
        <w:t>cross clinical trials of MEKINIST administered in combination with dabrafenib (n = 202)</w:t>
      </w:r>
      <w:r w:rsidR="0092047E" w:rsidRPr="0092047E">
        <w:rPr>
          <w:rFonts w:ascii="Arial" w:hAnsi="Arial" w:cs="Arial"/>
          <w:sz w:val="22"/>
          <w:szCs w:val="22"/>
          <w:lang w:val="en-US" w:eastAsia="en-US"/>
        </w:rPr>
        <w:t>, adverse events resulting in dose interruption were reported for 71% of those aged ≥65 years as compared to 60% of those &lt;65 years, while adverse events resulting in dose reduction occurred in 64% of those aged ≥65 years as compared to 44% of those &lt;65 years.</w:t>
      </w:r>
    </w:p>
    <w:p w:rsidR="0092047E" w:rsidRPr="00CB4887" w:rsidRDefault="0092047E" w:rsidP="0092047E">
      <w:pPr>
        <w:spacing w:after="120" w:line="240" w:lineRule="atLeast"/>
        <w:rPr>
          <w:rFonts w:ascii="Arial" w:hAnsi="Arial" w:cs="Arial"/>
          <w:sz w:val="22"/>
          <w:szCs w:val="22"/>
          <w:lang w:val="en-US" w:eastAsia="en-US"/>
        </w:rPr>
      </w:pPr>
      <w:r w:rsidRPr="0092047E">
        <w:rPr>
          <w:rFonts w:ascii="Arial" w:hAnsi="Arial" w:cs="Arial"/>
          <w:sz w:val="22"/>
          <w:szCs w:val="22"/>
          <w:lang w:val="en-US" w:eastAsia="en-US"/>
        </w:rPr>
        <w:t xml:space="preserve">Clinical trials of MEKINIST </w:t>
      </w:r>
      <w:r w:rsidR="00CB4887">
        <w:rPr>
          <w:rFonts w:ascii="Arial" w:hAnsi="Arial" w:cs="Arial"/>
          <w:sz w:val="22"/>
          <w:szCs w:val="22"/>
          <w:lang w:val="en-US" w:eastAsia="en-US"/>
        </w:rPr>
        <w:t xml:space="preserve">administered </w:t>
      </w:r>
      <w:r w:rsidRPr="0092047E">
        <w:rPr>
          <w:rFonts w:ascii="Arial" w:hAnsi="Arial" w:cs="Arial"/>
          <w:sz w:val="22"/>
          <w:szCs w:val="22"/>
          <w:lang w:val="en-US" w:eastAsia="en-US"/>
        </w:rPr>
        <w:t xml:space="preserve">as a single agent </w:t>
      </w:r>
      <w:r w:rsidR="00CB4887">
        <w:rPr>
          <w:rFonts w:ascii="Arial" w:hAnsi="Arial" w:cs="Arial"/>
          <w:sz w:val="22"/>
          <w:szCs w:val="22"/>
          <w:lang w:val="en-US" w:eastAsia="en-US"/>
        </w:rPr>
        <w:t xml:space="preserve">or </w:t>
      </w:r>
      <w:r w:rsidR="00CB4887" w:rsidRPr="0092047E">
        <w:rPr>
          <w:rFonts w:ascii="Arial" w:hAnsi="Arial" w:cs="Arial"/>
          <w:sz w:val="22"/>
          <w:szCs w:val="22"/>
        </w:rPr>
        <w:t>in combination with dabrafenib</w:t>
      </w:r>
      <w:r w:rsidR="00CB4887" w:rsidRPr="0092047E">
        <w:rPr>
          <w:rFonts w:ascii="Arial" w:hAnsi="Arial" w:cs="Arial"/>
          <w:sz w:val="22"/>
          <w:szCs w:val="22"/>
          <w:lang w:val="en-US" w:eastAsia="en-US"/>
        </w:rPr>
        <w:t xml:space="preserve"> </w:t>
      </w:r>
      <w:r w:rsidRPr="0092047E">
        <w:rPr>
          <w:rFonts w:ascii="Arial" w:hAnsi="Arial" w:cs="Arial"/>
          <w:sz w:val="22"/>
          <w:szCs w:val="22"/>
          <w:lang w:val="en-US" w:eastAsia="en-US"/>
        </w:rPr>
        <w:t xml:space="preserve">did not include sufficient numbers of subjects aged 65 and over to determine whether they respond differently from younger subjects. In </w:t>
      </w:r>
      <w:r w:rsidR="00CB4887">
        <w:rPr>
          <w:rFonts w:ascii="Arial" w:hAnsi="Arial" w:cs="Arial"/>
          <w:sz w:val="22"/>
          <w:szCs w:val="22"/>
          <w:lang w:val="en-US" w:eastAsia="en-US"/>
        </w:rPr>
        <w:t>MEK114267</w:t>
      </w:r>
      <w:r w:rsidRPr="0092047E">
        <w:rPr>
          <w:rFonts w:ascii="Arial" w:hAnsi="Arial" w:cs="Arial"/>
          <w:sz w:val="22"/>
          <w:szCs w:val="22"/>
          <w:lang w:val="en-US" w:eastAsia="en-US"/>
        </w:rPr>
        <w:t>, 49 patients (23%) were 65 years of age and older, and 9 patients (4%) were 75 years of age and older.</w:t>
      </w:r>
      <w:r w:rsidR="00CB4887">
        <w:rPr>
          <w:rFonts w:ascii="Arial" w:hAnsi="Arial" w:cs="Arial"/>
          <w:sz w:val="22"/>
          <w:szCs w:val="22"/>
          <w:lang w:val="en-US" w:eastAsia="en-US"/>
        </w:rPr>
        <w:t xml:space="preserve"> </w:t>
      </w:r>
      <w:r w:rsidR="003E6EE7">
        <w:rPr>
          <w:rFonts w:ascii="Arial" w:hAnsi="Arial" w:cs="Arial"/>
          <w:noProof/>
          <w:sz w:val="22"/>
          <w:szCs w:val="22"/>
        </w:rPr>
        <w:t>A</w:t>
      </w:r>
      <w:r w:rsidR="003E6EE7" w:rsidRPr="005B4A0F">
        <w:rPr>
          <w:rFonts w:ascii="Arial" w:hAnsi="Arial" w:cs="Arial"/>
          <w:noProof/>
          <w:sz w:val="22"/>
          <w:szCs w:val="22"/>
        </w:rPr>
        <w:t>cross clinical trials of MEKINIST administered in combination with dabrafenib (n = 202)</w:t>
      </w:r>
      <w:r w:rsidRPr="0092047E">
        <w:rPr>
          <w:rFonts w:ascii="Arial" w:hAnsi="Arial" w:cs="Arial"/>
          <w:sz w:val="22"/>
          <w:szCs w:val="22"/>
        </w:rPr>
        <w:t xml:space="preserve">, </w:t>
      </w:r>
      <w:r w:rsidR="00EA6582">
        <w:rPr>
          <w:rFonts w:ascii="Arial" w:hAnsi="Arial" w:cs="Arial"/>
          <w:sz w:val="22"/>
          <w:szCs w:val="22"/>
        </w:rPr>
        <w:t>42</w:t>
      </w:r>
      <w:r w:rsidRPr="0092047E">
        <w:rPr>
          <w:rFonts w:ascii="Arial" w:hAnsi="Arial" w:cs="Arial"/>
          <w:sz w:val="22"/>
          <w:szCs w:val="22"/>
        </w:rPr>
        <w:t xml:space="preserve"> patients (2</w:t>
      </w:r>
      <w:r w:rsidR="00EA6582">
        <w:rPr>
          <w:rFonts w:ascii="Arial" w:hAnsi="Arial" w:cs="Arial"/>
          <w:sz w:val="22"/>
          <w:szCs w:val="22"/>
        </w:rPr>
        <w:t>1</w:t>
      </w:r>
      <w:r w:rsidRPr="0092047E">
        <w:rPr>
          <w:rFonts w:ascii="Arial" w:hAnsi="Arial" w:cs="Arial"/>
          <w:sz w:val="22"/>
          <w:szCs w:val="22"/>
        </w:rPr>
        <w:t xml:space="preserve">%) were 65 years of age and older, and </w:t>
      </w:r>
      <w:r w:rsidR="00EA6582">
        <w:rPr>
          <w:rFonts w:ascii="Arial" w:hAnsi="Arial" w:cs="Arial"/>
          <w:sz w:val="22"/>
          <w:szCs w:val="22"/>
        </w:rPr>
        <w:t>1</w:t>
      </w:r>
      <w:r w:rsidRPr="0092047E">
        <w:rPr>
          <w:rFonts w:ascii="Arial" w:hAnsi="Arial" w:cs="Arial"/>
          <w:sz w:val="22"/>
          <w:szCs w:val="22"/>
        </w:rPr>
        <w:t>2 patients (</w:t>
      </w:r>
      <w:r w:rsidR="00EA6582">
        <w:rPr>
          <w:rFonts w:ascii="Arial" w:hAnsi="Arial" w:cs="Arial"/>
          <w:sz w:val="22"/>
          <w:szCs w:val="22"/>
        </w:rPr>
        <w:t>6</w:t>
      </w:r>
      <w:r w:rsidRPr="0092047E">
        <w:rPr>
          <w:rFonts w:ascii="Arial" w:hAnsi="Arial" w:cs="Arial"/>
          <w:sz w:val="22"/>
          <w:szCs w:val="22"/>
        </w:rPr>
        <w:t>%) were 75 years of age and older.</w:t>
      </w:r>
    </w:p>
    <w:p w:rsidR="00E81E59" w:rsidRPr="00620AF0" w:rsidRDefault="00E81E59" w:rsidP="00B7767E">
      <w:pPr>
        <w:keepNext/>
        <w:spacing w:after="120" w:line="240" w:lineRule="atLeast"/>
        <w:rPr>
          <w:rFonts w:ascii="Arial" w:hAnsi="Arial" w:cs="Arial"/>
          <w:b/>
          <w:sz w:val="22"/>
          <w:szCs w:val="22"/>
        </w:rPr>
      </w:pPr>
      <w:r w:rsidRPr="00620AF0">
        <w:rPr>
          <w:rFonts w:ascii="Arial" w:hAnsi="Arial" w:cs="Arial"/>
          <w:b/>
          <w:sz w:val="22"/>
          <w:szCs w:val="22"/>
        </w:rPr>
        <w:t>Genotoxicity:</w:t>
      </w:r>
    </w:p>
    <w:p w:rsidR="00E8070F" w:rsidRPr="00620AF0" w:rsidRDefault="00AF6EA0" w:rsidP="00E869DF">
      <w:pPr>
        <w:pStyle w:val="NoNumHead2"/>
        <w:spacing w:before="0" w:after="120" w:line="240" w:lineRule="atLeast"/>
      </w:pPr>
      <w:r w:rsidRPr="00620AF0">
        <w:rPr>
          <w:rFonts w:cs="Arial"/>
          <w:b w:val="0"/>
          <w:sz w:val="22"/>
          <w:szCs w:val="22"/>
        </w:rPr>
        <w:t>Trametinib was not genotoxic in studies evaluating reverse mutations in bacteria, chromosomal aberrations in mammalian cells and micronuclei in the bone marrow of rats.</w:t>
      </w:r>
    </w:p>
    <w:p w:rsidR="00242B97" w:rsidRPr="00620AF0" w:rsidRDefault="00242B97" w:rsidP="00656020">
      <w:pPr>
        <w:spacing w:after="120" w:line="240" w:lineRule="atLeast"/>
        <w:rPr>
          <w:rFonts w:ascii="Arial" w:hAnsi="Arial" w:cs="Arial"/>
          <w:b/>
          <w:sz w:val="22"/>
          <w:szCs w:val="22"/>
        </w:rPr>
      </w:pPr>
      <w:r w:rsidRPr="00620AF0">
        <w:rPr>
          <w:rFonts w:ascii="Arial" w:hAnsi="Arial" w:cs="Arial"/>
          <w:b/>
          <w:sz w:val="22"/>
          <w:szCs w:val="22"/>
        </w:rPr>
        <w:t>Carcinogenicity:</w:t>
      </w:r>
    </w:p>
    <w:p w:rsidR="00E8070F" w:rsidRPr="00620AF0" w:rsidRDefault="002771DC" w:rsidP="00E869DF">
      <w:pPr>
        <w:pStyle w:val="ListParagraph"/>
        <w:keepNext/>
        <w:autoSpaceDE w:val="0"/>
        <w:autoSpaceDN w:val="0"/>
        <w:spacing w:after="120" w:line="240" w:lineRule="atLeast"/>
        <w:ind w:left="0"/>
        <w:contextualSpacing w:val="0"/>
      </w:pPr>
      <w:r w:rsidRPr="00620AF0">
        <w:rPr>
          <w:rFonts w:ascii="Arial" w:hAnsi="Arial" w:cs="Arial"/>
          <w:sz w:val="22"/>
          <w:szCs w:val="22"/>
        </w:rPr>
        <w:t xml:space="preserve">Carcinogenicity studies with </w:t>
      </w:r>
      <w:r w:rsidR="000E0FC0">
        <w:rPr>
          <w:rFonts w:ascii="Arial" w:hAnsi="Arial" w:cs="Arial"/>
          <w:sz w:val="22"/>
          <w:szCs w:val="22"/>
        </w:rPr>
        <w:t>MEKINIST</w:t>
      </w:r>
      <w:r w:rsidRPr="00620AF0">
        <w:rPr>
          <w:rFonts w:ascii="Arial" w:hAnsi="Arial" w:cs="Arial"/>
          <w:sz w:val="22"/>
          <w:szCs w:val="22"/>
        </w:rPr>
        <w:t xml:space="preserve"> have not been conducted. </w:t>
      </w:r>
    </w:p>
    <w:p w:rsidR="00AF6EA0" w:rsidRPr="00620AF0" w:rsidRDefault="00AF6EA0" w:rsidP="00AF6EA0">
      <w:pPr>
        <w:suppressLineNumbers/>
        <w:spacing w:after="120" w:line="240" w:lineRule="atLeast"/>
        <w:ind w:left="567" w:hanging="567"/>
        <w:outlineLvl w:val="0"/>
        <w:rPr>
          <w:rFonts w:ascii="Arial" w:hAnsi="Arial" w:cs="Arial"/>
          <w:noProof/>
          <w:sz w:val="22"/>
          <w:szCs w:val="22"/>
        </w:rPr>
      </w:pPr>
      <w:r w:rsidRPr="00620AF0">
        <w:rPr>
          <w:rFonts w:ascii="Arial" w:hAnsi="Arial" w:cs="Arial"/>
          <w:b/>
          <w:noProof/>
          <w:sz w:val="22"/>
          <w:szCs w:val="22"/>
        </w:rPr>
        <w:t>Effects on ability to drive and use machines</w:t>
      </w:r>
    </w:p>
    <w:p w:rsidR="00AF6EA0" w:rsidRPr="00620AF0" w:rsidRDefault="00AF6EA0" w:rsidP="00AF6EA0">
      <w:pPr>
        <w:suppressLineNumbers/>
        <w:spacing w:after="120" w:line="240" w:lineRule="atLeast"/>
        <w:rPr>
          <w:rFonts w:ascii="Arial" w:hAnsi="Arial" w:cs="Arial"/>
          <w:noProof/>
          <w:sz w:val="22"/>
          <w:szCs w:val="22"/>
        </w:rPr>
      </w:pPr>
      <w:r w:rsidRPr="00620AF0">
        <w:rPr>
          <w:rFonts w:ascii="Arial" w:hAnsi="Arial" w:cs="Arial"/>
          <w:noProof/>
          <w:sz w:val="22"/>
          <w:szCs w:val="22"/>
        </w:rPr>
        <w:t>There have been no studies to inves</w:t>
      </w:r>
      <w:r w:rsidR="0084740A">
        <w:rPr>
          <w:rFonts w:ascii="Arial" w:hAnsi="Arial" w:cs="Arial"/>
          <w:noProof/>
          <w:sz w:val="22"/>
          <w:szCs w:val="22"/>
        </w:rPr>
        <w:t xml:space="preserve">tigate the effect of </w:t>
      </w:r>
      <w:r w:rsidR="000E0FC0">
        <w:rPr>
          <w:rFonts w:ascii="Arial" w:hAnsi="Arial" w:cs="Arial"/>
          <w:noProof/>
          <w:sz w:val="22"/>
          <w:szCs w:val="22"/>
        </w:rPr>
        <w:t>MEKINIST</w:t>
      </w:r>
      <w:r w:rsidR="0084740A">
        <w:rPr>
          <w:rFonts w:ascii="Arial" w:hAnsi="Arial" w:cs="Arial"/>
          <w:noProof/>
          <w:sz w:val="22"/>
          <w:szCs w:val="22"/>
        </w:rPr>
        <w:t xml:space="preserve"> </w:t>
      </w:r>
      <w:r w:rsidRPr="00620AF0">
        <w:rPr>
          <w:rFonts w:ascii="Arial" w:hAnsi="Arial" w:cs="Arial"/>
          <w:noProof/>
          <w:sz w:val="22"/>
          <w:szCs w:val="22"/>
        </w:rPr>
        <w:t xml:space="preserve">on driving performance or the ability to operate machinery. A detrimental effect on such activities would not be anticipated from the pharmacology of </w:t>
      </w:r>
      <w:r w:rsidR="000E0FC0">
        <w:rPr>
          <w:rFonts w:ascii="Arial" w:hAnsi="Arial" w:cs="Arial"/>
          <w:noProof/>
          <w:sz w:val="22"/>
          <w:szCs w:val="22"/>
        </w:rPr>
        <w:t>MEKINIST</w:t>
      </w:r>
      <w:r w:rsidRPr="00620AF0">
        <w:rPr>
          <w:rFonts w:ascii="Arial" w:hAnsi="Arial" w:cs="Arial"/>
          <w:noProof/>
          <w:sz w:val="22"/>
          <w:szCs w:val="22"/>
        </w:rPr>
        <w:t xml:space="preserve">. The clinical status of the patient and the adverse event profile of </w:t>
      </w:r>
      <w:r w:rsidR="000E0FC0">
        <w:rPr>
          <w:rFonts w:ascii="Arial" w:hAnsi="Arial" w:cs="Arial"/>
          <w:noProof/>
          <w:sz w:val="22"/>
          <w:szCs w:val="22"/>
        </w:rPr>
        <w:t>MEKINIST</w:t>
      </w:r>
      <w:r w:rsidR="0084740A">
        <w:rPr>
          <w:rFonts w:ascii="Arial" w:hAnsi="Arial" w:cs="Arial"/>
          <w:sz w:val="22"/>
          <w:szCs w:val="22"/>
        </w:rPr>
        <w:t xml:space="preserve"> </w:t>
      </w:r>
      <w:r w:rsidRPr="00620AF0">
        <w:rPr>
          <w:rFonts w:ascii="Arial" w:hAnsi="Arial" w:cs="Arial"/>
          <w:noProof/>
          <w:sz w:val="22"/>
          <w:szCs w:val="22"/>
        </w:rPr>
        <w:t>should be borne in mind when considering the patient’s ability to perform tasks that require judgment, motor and cognitive skills.</w:t>
      </w:r>
    </w:p>
    <w:p w:rsidR="00E8070F" w:rsidRPr="00620AF0" w:rsidRDefault="00E8070F" w:rsidP="00656020">
      <w:pPr>
        <w:spacing w:after="120" w:line="240" w:lineRule="atLeast"/>
        <w:rPr>
          <w:rFonts w:ascii="Arial" w:hAnsi="Arial" w:cs="Arial"/>
          <w:sz w:val="22"/>
          <w:szCs w:val="22"/>
        </w:rPr>
      </w:pPr>
    </w:p>
    <w:p w:rsidR="00E81E59" w:rsidRPr="00620AF0" w:rsidRDefault="00E81E59" w:rsidP="00656020">
      <w:pPr>
        <w:spacing w:before="120" w:after="240"/>
        <w:rPr>
          <w:rFonts w:ascii="Arial" w:hAnsi="Arial" w:cs="Arial"/>
          <w:b/>
          <w:sz w:val="22"/>
          <w:szCs w:val="22"/>
        </w:rPr>
      </w:pPr>
      <w:r w:rsidRPr="00620AF0">
        <w:rPr>
          <w:rFonts w:ascii="Arial" w:hAnsi="Arial" w:cs="Arial"/>
          <w:b/>
          <w:sz w:val="22"/>
          <w:szCs w:val="22"/>
        </w:rPr>
        <w:t xml:space="preserve">INTERACTIONS WITH </w:t>
      </w:r>
      <w:r w:rsidR="004F640B" w:rsidRPr="00620AF0">
        <w:rPr>
          <w:rFonts w:ascii="Arial" w:hAnsi="Arial" w:cs="Arial"/>
          <w:b/>
          <w:sz w:val="22"/>
          <w:szCs w:val="22"/>
        </w:rPr>
        <w:t>OTHER MEDICINES</w:t>
      </w:r>
    </w:p>
    <w:p w:rsidR="00FE3ADC" w:rsidRPr="00E869DF" w:rsidRDefault="00FE3ADC" w:rsidP="00904D59">
      <w:pPr>
        <w:spacing w:after="120" w:line="240" w:lineRule="atLeast"/>
        <w:rPr>
          <w:rFonts w:ascii="Arial" w:hAnsi="Arial" w:cs="Arial"/>
          <w:i/>
          <w:sz w:val="22"/>
          <w:szCs w:val="22"/>
          <w:u w:val="single"/>
        </w:rPr>
      </w:pPr>
      <w:r w:rsidRPr="00E869DF">
        <w:rPr>
          <w:rFonts w:ascii="Arial" w:hAnsi="Arial" w:cs="Arial"/>
          <w:i/>
          <w:sz w:val="22"/>
          <w:szCs w:val="22"/>
          <w:u w:val="single"/>
        </w:rPr>
        <w:t>Monotherapy</w:t>
      </w:r>
    </w:p>
    <w:p w:rsidR="00904D59" w:rsidRPr="00620AF0" w:rsidRDefault="00904D59" w:rsidP="00904D59">
      <w:pPr>
        <w:spacing w:after="120" w:line="240" w:lineRule="atLeast"/>
        <w:rPr>
          <w:rFonts w:ascii="Arial" w:hAnsi="Arial" w:cs="Arial"/>
          <w:sz w:val="22"/>
          <w:szCs w:val="22"/>
        </w:rPr>
      </w:pPr>
      <w:r w:rsidRPr="00620AF0">
        <w:rPr>
          <w:rFonts w:ascii="Arial" w:hAnsi="Arial" w:cs="Arial"/>
          <w:sz w:val="22"/>
          <w:szCs w:val="22"/>
        </w:rPr>
        <w:t xml:space="preserve">As trametinib is metabolised predominantly via </w:t>
      </w:r>
      <w:proofErr w:type="gramStart"/>
      <w:r w:rsidRPr="00620AF0">
        <w:rPr>
          <w:rFonts w:ascii="Arial" w:hAnsi="Arial" w:cs="Arial"/>
          <w:sz w:val="22"/>
          <w:szCs w:val="22"/>
        </w:rPr>
        <w:t>deacetylation  mediated</w:t>
      </w:r>
      <w:proofErr w:type="gramEnd"/>
      <w:r w:rsidRPr="00620AF0">
        <w:rPr>
          <w:rFonts w:ascii="Arial" w:hAnsi="Arial" w:cs="Arial"/>
          <w:sz w:val="22"/>
          <w:szCs w:val="22"/>
        </w:rPr>
        <w:t xml:space="preserve"> by hydrolytic e</w:t>
      </w:r>
      <w:r w:rsidR="003878E6">
        <w:rPr>
          <w:rFonts w:ascii="Arial" w:hAnsi="Arial" w:cs="Arial"/>
          <w:sz w:val="22"/>
          <w:szCs w:val="22"/>
        </w:rPr>
        <w:t>nzymes</w:t>
      </w:r>
      <w:r w:rsidRPr="00620AF0">
        <w:rPr>
          <w:rFonts w:ascii="Arial" w:hAnsi="Arial" w:cs="Arial"/>
          <w:sz w:val="22"/>
          <w:szCs w:val="22"/>
        </w:rPr>
        <w:t xml:space="preserve">, its pharmacokinetics are unlikely to be affected by other agents through metabolic interactions.  </w:t>
      </w:r>
      <w:r w:rsidR="00A43CB9" w:rsidRPr="00A43CB9">
        <w:rPr>
          <w:rFonts w:ascii="Arial" w:hAnsi="Arial" w:cs="Arial"/>
          <w:sz w:val="22"/>
          <w:szCs w:val="22"/>
          <w:lang w:val="en-GB"/>
        </w:rPr>
        <w:t>A small, non-clinically relevant, decrease in trametinib bioavailability (16%) was noted with</w:t>
      </w:r>
      <w:r w:rsidR="008429D6" w:rsidRPr="009912F5" w:rsidDel="008429D6">
        <w:rPr>
          <w:rFonts w:ascii="Arial" w:hAnsi="Arial" w:cs="Arial"/>
          <w:sz w:val="22"/>
          <w:szCs w:val="22"/>
        </w:rPr>
        <w:t xml:space="preserve"> </w:t>
      </w:r>
      <w:r w:rsidRPr="00620AF0">
        <w:rPr>
          <w:rFonts w:ascii="Arial" w:hAnsi="Arial" w:cs="Arial"/>
          <w:sz w:val="22"/>
          <w:szCs w:val="22"/>
        </w:rPr>
        <w:t xml:space="preserve">co-administration with a CYP3A4 inducer (see PHARMACOKINETICS).  </w:t>
      </w:r>
    </w:p>
    <w:p w:rsidR="00904D59" w:rsidRPr="00620AF0" w:rsidRDefault="00904D59" w:rsidP="00904D59">
      <w:pPr>
        <w:spacing w:after="120" w:line="240" w:lineRule="atLeast"/>
        <w:rPr>
          <w:rFonts w:ascii="Arial" w:hAnsi="Arial" w:cs="Arial"/>
          <w:sz w:val="22"/>
          <w:szCs w:val="22"/>
        </w:rPr>
      </w:pPr>
      <w:r w:rsidRPr="00620AF0">
        <w:rPr>
          <w:rFonts w:ascii="Arial" w:hAnsi="Arial" w:cs="Arial"/>
          <w:sz w:val="22"/>
          <w:szCs w:val="22"/>
        </w:rPr>
        <w:t xml:space="preserve">Based on in vitro data, trametinib is unlikely to significantly affect the pharmacokinetics of other medicinal products via interactions with CYP enzymes or transporters (see PHARMACOKINETICS). </w:t>
      </w:r>
    </w:p>
    <w:p w:rsidR="00FE3ADC" w:rsidRPr="00E869DF" w:rsidRDefault="00FE3ADC" w:rsidP="00223FCE">
      <w:pPr>
        <w:spacing w:after="120" w:line="240" w:lineRule="atLeast"/>
        <w:rPr>
          <w:rFonts w:ascii="Arial" w:hAnsi="Arial" w:cs="Arial"/>
          <w:i/>
          <w:sz w:val="22"/>
          <w:szCs w:val="22"/>
          <w:u w:val="single"/>
        </w:rPr>
      </w:pPr>
      <w:r w:rsidRPr="00E869DF">
        <w:rPr>
          <w:rFonts w:ascii="Arial" w:hAnsi="Arial" w:cs="Arial"/>
          <w:i/>
          <w:sz w:val="22"/>
          <w:szCs w:val="22"/>
          <w:u w:val="single"/>
        </w:rPr>
        <w:t xml:space="preserve">Combination with </w:t>
      </w:r>
      <w:r w:rsidR="00240E6A" w:rsidRPr="00E869DF">
        <w:rPr>
          <w:rFonts w:ascii="Arial" w:hAnsi="Arial" w:cs="Arial"/>
          <w:i/>
          <w:sz w:val="22"/>
          <w:szCs w:val="22"/>
          <w:u w:val="single"/>
        </w:rPr>
        <w:t>dabrafenib</w:t>
      </w:r>
    </w:p>
    <w:p w:rsidR="00CB3B33" w:rsidRPr="00CB3B33" w:rsidRDefault="00CB3B33" w:rsidP="00CB3B33">
      <w:pPr>
        <w:spacing w:after="120" w:line="240" w:lineRule="atLeast"/>
        <w:rPr>
          <w:rFonts w:ascii="Arial" w:hAnsi="Arial" w:cs="Arial"/>
          <w:sz w:val="22"/>
          <w:szCs w:val="22"/>
          <w:lang w:val="en-GB"/>
        </w:rPr>
      </w:pPr>
      <w:r w:rsidRPr="00CB3B33">
        <w:rPr>
          <w:rFonts w:ascii="Arial" w:hAnsi="Arial" w:cs="Arial"/>
          <w:sz w:val="22"/>
          <w:szCs w:val="22"/>
          <w:lang w:val="en-GB"/>
        </w:rPr>
        <w:t xml:space="preserve">Co-administration of repeat dosing of </w:t>
      </w:r>
      <w:r w:rsidR="00240E6A">
        <w:rPr>
          <w:rFonts w:ascii="Arial" w:hAnsi="Arial" w:cs="Arial"/>
          <w:sz w:val="22"/>
          <w:szCs w:val="22"/>
          <w:lang w:val="en-GB"/>
        </w:rPr>
        <w:t>dabrafenib</w:t>
      </w:r>
      <w:r w:rsidRPr="00CB3B33">
        <w:rPr>
          <w:rFonts w:ascii="Arial" w:hAnsi="Arial" w:cs="Arial"/>
          <w:sz w:val="22"/>
          <w:szCs w:val="22"/>
          <w:lang w:val="en-GB"/>
        </w:rPr>
        <w:t xml:space="preserve"> 150 mg twice daily and </w:t>
      </w:r>
      <w:r w:rsidR="000E0FC0">
        <w:rPr>
          <w:rFonts w:ascii="Arial" w:hAnsi="Arial" w:cs="Arial"/>
          <w:sz w:val="22"/>
          <w:szCs w:val="22"/>
          <w:lang w:val="en-GB"/>
        </w:rPr>
        <w:t>MEKINIST</w:t>
      </w:r>
      <w:r w:rsidRPr="00CB3B33">
        <w:rPr>
          <w:rFonts w:ascii="Arial" w:hAnsi="Arial" w:cs="Arial"/>
          <w:sz w:val="22"/>
          <w:szCs w:val="22"/>
          <w:lang w:val="en-GB"/>
        </w:rPr>
        <w:t xml:space="preserve"> 2 mg once daily resulted in no clinically meaningful changes in </w:t>
      </w:r>
      <w:r w:rsidR="00240E6A">
        <w:rPr>
          <w:rFonts w:ascii="Arial" w:hAnsi="Arial" w:cs="Arial"/>
          <w:sz w:val="22"/>
          <w:szCs w:val="22"/>
          <w:lang w:val="en-GB"/>
        </w:rPr>
        <w:t>dabrafenib</w:t>
      </w:r>
      <w:r w:rsidRPr="00CB3B33">
        <w:rPr>
          <w:rFonts w:ascii="Arial" w:hAnsi="Arial" w:cs="Arial"/>
          <w:sz w:val="22"/>
          <w:szCs w:val="22"/>
          <w:lang w:val="en-GB"/>
        </w:rPr>
        <w:t xml:space="preserve"> or trametinib C</w:t>
      </w:r>
      <w:r w:rsidRPr="00CB3B33">
        <w:rPr>
          <w:rFonts w:ascii="Arial" w:hAnsi="Arial" w:cs="Arial"/>
          <w:sz w:val="22"/>
          <w:szCs w:val="22"/>
          <w:vertAlign w:val="subscript"/>
          <w:lang w:val="en-GB"/>
        </w:rPr>
        <w:t>max</w:t>
      </w:r>
      <w:r w:rsidRPr="00CB3B33">
        <w:rPr>
          <w:rFonts w:ascii="Arial" w:hAnsi="Arial" w:cs="Arial"/>
          <w:sz w:val="22"/>
          <w:szCs w:val="22"/>
          <w:lang w:val="en-GB"/>
        </w:rPr>
        <w:t xml:space="preserve"> and AUC (s</w:t>
      </w:r>
      <w:r>
        <w:rPr>
          <w:rFonts w:ascii="Arial" w:hAnsi="Arial" w:cs="Arial"/>
          <w:sz w:val="22"/>
          <w:szCs w:val="22"/>
          <w:lang w:val="en-GB"/>
        </w:rPr>
        <w:t>ee PHARMACOLOGY</w:t>
      </w:r>
      <w:r w:rsidRPr="00CB3B33">
        <w:rPr>
          <w:rFonts w:ascii="Arial" w:hAnsi="Arial" w:cs="Arial"/>
          <w:sz w:val="22"/>
          <w:szCs w:val="22"/>
          <w:lang w:val="en-GB"/>
        </w:rPr>
        <w:t>).</w:t>
      </w:r>
    </w:p>
    <w:p w:rsidR="00CB3B33" w:rsidRPr="00CB3B33" w:rsidRDefault="00CB3B33" w:rsidP="00CB3B33">
      <w:pPr>
        <w:spacing w:after="120" w:line="240" w:lineRule="atLeast"/>
        <w:rPr>
          <w:rFonts w:ascii="Arial" w:hAnsi="Arial" w:cs="Arial"/>
          <w:sz w:val="22"/>
          <w:szCs w:val="22"/>
          <w:lang w:val="en-GB"/>
        </w:rPr>
      </w:pPr>
      <w:r w:rsidRPr="00CB3B33">
        <w:rPr>
          <w:rFonts w:ascii="Arial" w:hAnsi="Arial" w:cs="Arial"/>
          <w:sz w:val="22"/>
          <w:szCs w:val="22"/>
          <w:lang w:val="en-GB"/>
        </w:rPr>
        <w:t xml:space="preserve">See </w:t>
      </w:r>
      <w:r w:rsidR="008429D6">
        <w:rPr>
          <w:rFonts w:ascii="Arial" w:hAnsi="Arial" w:cs="Arial"/>
          <w:sz w:val="22"/>
          <w:szCs w:val="22"/>
          <w:lang w:val="en-GB"/>
        </w:rPr>
        <w:t>Product Information</w:t>
      </w:r>
      <w:r w:rsidRPr="00CB3B33">
        <w:rPr>
          <w:rFonts w:ascii="Arial" w:hAnsi="Arial" w:cs="Arial"/>
          <w:sz w:val="22"/>
          <w:szCs w:val="22"/>
          <w:lang w:val="en-GB"/>
        </w:rPr>
        <w:t xml:space="preserve"> for </w:t>
      </w:r>
      <w:r w:rsidR="00240E6A">
        <w:rPr>
          <w:rFonts w:ascii="Arial" w:hAnsi="Arial" w:cs="Arial"/>
          <w:sz w:val="22"/>
          <w:szCs w:val="22"/>
          <w:lang w:val="en-GB"/>
        </w:rPr>
        <w:t>dabrafenib</w:t>
      </w:r>
      <w:r w:rsidRPr="00CB3B33">
        <w:rPr>
          <w:rFonts w:ascii="Arial" w:hAnsi="Arial" w:cs="Arial"/>
          <w:sz w:val="22"/>
          <w:szCs w:val="22"/>
          <w:lang w:val="en-GB"/>
        </w:rPr>
        <w:t xml:space="preserve"> for guidelines on drug interactions associated with </w:t>
      </w:r>
      <w:r w:rsidR="00240E6A">
        <w:rPr>
          <w:rFonts w:ascii="Arial" w:hAnsi="Arial" w:cs="Arial"/>
          <w:sz w:val="22"/>
          <w:szCs w:val="22"/>
          <w:lang w:val="en-GB"/>
        </w:rPr>
        <w:t>dabrafenib</w:t>
      </w:r>
      <w:r w:rsidR="003878E6">
        <w:rPr>
          <w:rFonts w:ascii="Arial" w:hAnsi="Arial" w:cs="Arial"/>
          <w:sz w:val="22"/>
          <w:szCs w:val="22"/>
          <w:lang w:val="en-GB"/>
        </w:rPr>
        <w:t xml:space="preserve"> monotherapy</w:t>
      </w:r>
      <w:r w:rsidRPr="00CB3B33">
        <w:rPr>
          <w:rFonts w:ascii="Arial" w:hAnsi="Arial" w:cs="Arial"/>
          <w:sz w:val="22"/>
          <w:szCs w:val="22"/>
          <w:lang w:val="en-GB"/>
        </w:rPr>
        <w:t>.</w:t>
      </w:r>
    </w:p>
    <w:p w:rsidR="00E869DF" w:rsidRDefault="00E869DF" w:rsidP="00656020">
      <w:pPr>
        <w:spacing w:before="120" w:after="240"/>
        <w:rPr>
          <w:rFonts w:ascii="Arial" w:hAnsi="Arial" w:cs="Arial"/>
          <w:b/>
          <w:sz w:val="22"/>
          <w:szCs w:val="22"/>
        </w:rPr>
      </w:pPr>
    </w:p>
    <w:p w:rsidR="00B965EB" w:rsidRDefault="0077380F" w:rsidP="00B965EB">
      <w:pPr>
        <w:keepNext/>
        <w:spacing w:before="120" w:after="240"/>
        <w:rPr>
          <w:rFonts w:ascii="Arial" w:hAnsi="Arial" w:cs="Arial"/>
          <w:b/>
          <w:sz w:val="22"/>
          <w:szCs w:val="22"/>
        </w:rPr>
      </w:pPr>
      <w:r w:rsidRPr="00620AF0">
        <w:rPr>
          <w:rFonts w:ascii="Arial" w:hAnsi="Arial" w:cs="Arial"/>
          <w:b/>
          <w:sz w:val="22"/>
          <w:szCs w:val="22"/>
        </w:rPr>
        <w:t>AD</w:t>
      </w:r>
      <w:smartTag w:uri="schemas-GSKSiteLocations-com/fourthcoffee" w:element="flavor">
        <w:r w:rsidRPr="00620AF0">
          <w:rPr>
            <w:rFonts w:ascii="Arial" w:hAnsi="Arial" w:cs="Arial"/>
            <w:b/>
            <w:sz w:val="22"/>
            <w:szCs w:val="22"/>
          </w:rPr>
          <w:t>VER</w:t>
        </w:r>
      </w:smartTag>
      <w:r w:rsidRPr="00620AF0">
        <w:rPr>
          <w:rFonts w:ascii="Arial" w:hAnsi="Arial" w:cs="Arial"/>
          <w:b/>
          <w:sz w:val="22"/>
          <w:szCs w:val="22"/>
        </w:rPr>
        <w:t>SE EFFECTS</w:t>
      </w:r>
    </w:p>
    <w:p w:rsidR="002863FA" w:rsidRPr="002863FA" w:rsidRDefault="002863FA" w:rsidP="00E869DF">
      <w:pPr>
        <w:rPr>
          <w:rFonts w:ascii="Arial" w:hAnsi="Arial" w:cs="Arial"/>
          <w:b/>
          <w:bCs/>
          <w:sz w:val="22"/>
          <w:szCs w:val="22"/>
          <w:lang w:val="en-US"/>
        </w:rPr>
      </w:pPr>
      <w:bookmarkStart w:id="4" w:name="_Toc156109959"/>
      <w:bookmarkStart w:id="5" w:name="_Toc157906094"/>
      <w:r w:rsidRPr="002863FA">
        <w:rPr>
          <w:rFonts w:ascii="Arial" w:hAnsi="Arial" w:cs="Arial"/>
          <w:b/>
          <w:bCs/>
          <w:sz w:val="22"/>
          <w:szCs w:val="22"/>
          <w:lang w:val="en-US"/>
        </w:rPr>
        <w:t>Clinical trial data</w:t>
      </w:r>
    </w:p>
    <w:p w:rsidR="004A4BB0" w:rsidRDefault="004A4BB0" w:rsidP="002863FA">
      <w:pPr>
        <w:rPr>
          <w:rFonts w:ascii="Arial" w:hAnsi="Arial" w:cs="Arial"/>
          <w:i/>
          <w:sz w:val="22"/>
          <w:szCs w:val="22"/>
          <w:lang w:val="en-GB"/>
        </w:rPr>
      </w:pPr>
    </w:p>
    <w:p w:rsidR="002863FA" w:rsidRPr="0018431B" w:rsidRDefault="004A4BB0" w:rsidP="002863FA">
      <w:pPr>
        <w:rPr>
          <w:rFonts w:ascii="Arial" w:hAnsi="Arial" w:cs="Arial"/>
          <w:i/>
          <w:sz w:val="22"/>
          <w:szCs w:val="22"/>
          <w:u w:val="single"/>
          <w:lang w:val="en-GB"/>
        </w:rPr>
      </w:pPr>
      <w:r w:rsidRPr="0018431B">
        <w:rPr>
          <w:rFonts w:ascii="Arial" w:hAnsi="Arial" w:cs="Arial"/>
          <w:i/>
          <w:sz w:val="22"/>
          <w:szCs w:val="22"/>
          <w:u w:val="single"/>
          <w:lang w:val="en-GB"/>
        </w:rPr>
        <w:t>M</w:t>
      </w:r>
      <w:r w:rsidR="002863FA" w:rsidRPr="0018431B">
        <w:rPr>
          <w:rFonts w:ascii="Arial" w:hAnsi="Arial" w:cs="Arial"/>
          <w:i/>
          <w:sz w:val="22"/>
          <w:szCs w:val="22"/>
          <w:u w:val="single"/>
          <w:lang w:val="en-GB"/>
        </w:rPr>
        <w:t>onotherapy</w:t>
      </w:r>
      <w:r w:rsidR="0018431B">
        <w:rPr>
          <w:rFonts w:ascii="Arial" w:hAnsi="Arial" w:cs="Arial"/>
          <w:i/>
          <w:sz w:val="22"/>
          <w:szCs w:val="22"/>
          <w:u w:val="single"/>
          <w:lang w:val="en-GB"/>
        </w:rPr>
        <w:t>:</w:t>
      </w:r>
    </w:p>
    <w:p w:rsidR="002863FA" w:rsidRPr="002863FA" w:rsidRDefault="002863FA" w:rsidP="002863FA">
      <w:pPr>
        <w:rPr>
          <w:rFonts w:ascii="Arial" w:hAnsi="Arial" w:cs="Arial"/>
          <w:sz w:val="22"/>
          <w:szCs w:val="22"/>
          <w:lang w:val="en-GB"/>
        </w:rPr>
      </w:pPr>
    </w:p>
    <w:p w:rsidR="002863FA" w:rsidRDefault="004A4BB0" w:rsidP="002863FA">
      <w:pPr>
        <w:rPr>
          <w:rFonts w:ascii="Arial" w:hAnsi="Arial" w:cs="Arial"/>
          <w:sz w:val="22"/>
          <w:szCs w:val="22"/>
          <w:lang w:val="en-GB"/>
        </w:rPr>
      </w:pPr>
      <w:r>
        <w:rPr>
          <w:rFonts w:ascii="Arial" w:hAnsi="Arial" w:cs="Arial"/>
          <w:sz w:val="22"/>
          <w:szCs w:val="22"/>
          <w:lang w:val="en-GB"/>
        </w:rPr>
        <w:t>The safety of MEKINIST</w:t>
      </w:r>
      <w:r w:rsidR="002863FA" w:rsidRPr="002863FA">
        <w:rPr>
          <w:rFonts w:ascii="Arial" w:hAnsi="Arial" w:cs="Arial"/>
          <w:sz w:val="22"/>
          <w:szCs w:val="22"/>
          <w:lang w:val="en-GB"/>
        </w:rPr>
        <w:t xml:space="preserve"> monotherapy has been evaluated in an integrated population of 329 patients with metastatic </w:t>
      </w:r>
      <w:r>
        <w:rPr>
          <w:rFonts w:ascii="Arial" w:hAnsi="Arial" w:cs="Arial"/>
          <w:sz w:val="22"/>
          <w:szCs w:val="22"/>
          <w:lang w:val="en-GB"/>
        </w:rPr>
        <w:t>melanoma treated with MEKINIST</w:t>
      </w:r>
      <w:r w:rsidR="002863FA" w:rsidRPr="002863FA">
        <w:rPr>
          <w:rFonts w:ascii="Arial" w:hAnsi="Arial" w:cs="Arial"/>
          <w:sz w:val="22"/>
          <w:szCs w:val="22"/>
          <w:lang w:val="en-GB"/>
        </w:rPr>
        <w:t xml:space="preserve"> 2 mg orally once daily. Of these patients, 211 patients were treated with </w:t>
      </w:r>
      <w:r w:rsidR="000E0FC0">
        <w:rPr>
          <w:rFonts w:ascii="Arial" w:hAnsi="Arial" w:cs="Arial"/>
          <w:sz w:val="22"/>
          <w:szCs w:val="22"/>
          <w:lang w:val="en-GB"/>
        </w:rPr>
        <w:t>MEKINIST</w:t>
      </w:r>
      <w:r w:rsidR="002863FA" w:rsidRPr="002863FA">
        <w:rPr>
          <w:rFonts w:ascii="Arial" w:hAnsi="Arial" w:cs="Arial"/>
          <w:sz w:val="22"/>
          <w:szCs w:val="22"/>
          <w:lang w:val="en-GB"/>
        </w:rPr>
        <w:t xml:space="preserve"> for BRAF mutant melanoma in a randomized open label study (</w:t>
      </w:r>
      <w:r w:rsidR="002863FA" w:rsidRPr="004A4BB0">
        <w:rPr>
          <w:rFonts w:ascii="Arial" w:hAnsi="Arial" w:cs="Arial"/>
          <w:sz w:val="22"/>
          <w:szCs w:val="22"/>
          <w:lang w:val="en-GB"/>
        </w:rPr>
        <w:t>see C</w:t>
      </w:r>
      <w:r>
        <w:rPr>
          <w:rFonts w:ascii="Arial" w:hAnsi="Arial" w:cs="Arial"/>
          <w:sz w:val="22"/>
          <w:szCs w:val="22"/>
          <w:lang w:val="en-GB"/>
        </w:rPr>
        <w:t>LINICAL TRIALS</w:t>
      </w:r>
      <w:r w:rsidR="002863FA" w:rsidRPr="002863FA">
        <w:rPr>
          <w:rFonts w:ascii="Arial" w:hAnsi="Arial" w:cs="Arial"/>
          <w:sz w:val="22"/>
          <w:szCs w:val="22"/>
          <w:lang w:val="en-GB"/>
        </w:rPr>
        <w:t>). The most common adverse reactions (</w:t>
      </w:r>
      <w:r w:rsidR="002863FA" w:rsidRPr="002863FA">
        <w:rPr>
          <w:rFonts w:ascii="Arial" w:hAnsi="Arial" w:cs="Arial"/>
          <w:sz w:val="22"/>
          <w:szCs w:val="22"/>
          <w:lang w:val="en-GB"/>
        </w:rPr>
        <w:sym w:font="Symbol" w:char="F0B3"/>
      </w:r>
      <w:r w:rsidR="002863FA" w:rsidRPr="002863FA">
        <w:rPr>
          <w:rFonts w:ascii="Arial" w:hAnsi="Arial" w:cs="Arial"/>
          <w:sz w:val="22"/>
          <w:szCs w:val="22"/>
          <w:lang w:val="en-GB"/>
        </w:rPr>
        <w:t> </w:t>
      </w:r>
      <w:r>
        <w:rPr>
          <w:rFonts w:ascii="Arial" w:hAnsi="Arial" w:cs="Arial"/>
          <w:sz w:val="22"/>
          <w:szCs w:val="22"/>
          <w:lang w:val="en-GB"/>
        </w:rPr>
        <w:t>20%) for MEKINIST</w:t>
      </w:r>
      <w:r w:rsidR="002863FA" w:rsidRPr="002863FA">
        <w:rPr>
          <w:rFonts w:ascii="Arial" w:hAnsi="Arial" w:cs="Arial"/>
          <w:sz w:val="22"/>
          <w:szCs w:val="22"/>
          <w:lang w:val="en-GB"/>
        </w:rPr>
        <w:t xml:space="preserve"> include rash, diarrhoea, fatigue, oedema peripheral, nausea, and dermatitis acneiform. In</w:t>
      </w:r>
      <w:r>
        <w:rPr>
          <w:rFonts w:ascii="Arial" w:hAnsi="Arial" w:cs="Arial"/>
          <w:sz w:val="22"/>
          <w:szCs w:val="22"/>
          <w:lang w:val="en-GB"/>
        </w:rPr>
        <w:t xml:space="preserve"> clinical trials with MEKINIST</w:t>
      </w:r>
      <w:r w:rsidR="002863FA" w:rsidRPr="002863FA">
        <w:rPr>
          <w:rFonts w:ascii="Arial" w:hAnsi="Arial" w:cs="Arial"/>
          <w:sz w:val="22"/>
          <w:szCs w:val="22"/>
          <w:lang w:val="en-GB"/>
        </w:rPr>
        <w:t xml:space="preserve">, adverse reactions of diarrhoea and rash were managed with appropriate supportive care </w:t>
      </w:r>
      <w:r w:rsidR="002863FA" w:rsidRPr="002863FA">
        <w:rPr>
          <w:rFonts w:ascii="Arial" w:hAnsi="Arial" w:cs="Arial"/>
          <w:i/>
          <w:sz w:val="22"/>
          <w:szCs w:val="22"/>
          <w:lang w:val="en-GB"/>
        </w:rPr>
        <w:t>(</w:t>
      </w:r>
      <w:r w:rsidR="002863FA" w:rsidRPr="004A4BB0">
        <w:rPr>
          <w:rFonts w:ascii="Arial" w:hAnsi="Arial" w:cs="Arial"/>
          <w:sz w:val="22"/>
          <w:szCs w:val="22"/>
          <w:lang w:val="en-GB"/>
        </w:rPr>
        <w:t>see D</w:t>
      </w:r>
      <w:r>
        <w:rPr>
          <w:rFonts w:ascii="Arial" w:hAnsi="Arial" w:cs="Arial"/>
          <w:sz w:val="22"/>
          <w:szCs w:val="22"/>
          <w:lang w:val="en-GB"/>
        </w:rPr>
        <w:t>OSAGE AND ADMINISTRATION</w:t>
      </w:r>
      <w:r w:rsidR="002863FA" w:rsidRPr="002863FA">
        <w:rPr>
          <w:rFonts w:ascii="Arial" w:hAnsi="Arial" w:cs="Arial"/>
          <w:sz w:val="22"/>
          <w:szCs w:val="22"/>
          <w:lang w:val="en-GB"/>
        </w:rPr>
        <w:t>).</w:t>
      </w:r>
    </w:p>
    <w:p w:rsidR="004A4BB0" w:rsidRPr="002863FA" w:rsidRDefault="004A4BB0" w:rsidP="002863FA">
      <w:pPr>
        <w:rPr>
          <w:rFonts w:ascii="Arial" w:hAnsi="Arial" w:cs="Arial"/>
          <w:sz w:val="22"/>
          <w:szCs w:val="22"/>
          <w:lang w:val="en-GB"/>
        </w:rPr>
      </w:pPr>
    </w:p>
    <w:p w:rsidR="002863FA" w:rsidRPr="002863FA" w:rsidRDefault="002863FA" w:rsidP="002863FA">
      <w:pPr>
        <w:rPr>
          <w:rFonts w:ascii="Arial" w:hAnsi="Arial" w:cs="Arial"/>
          <w:sz w:val="22"/>
          <w:szCs w:val="22"/>
          <w:lang w:val="en-GB"/>
        </w:rPr>
      </w:pPr>
      <w:r w:rsidRPr="002863FA">
        <w:rPr>
          <w:rFonts w:ascii="Arial" w:hAnsi="Arial" w:cs="Arial"/>
          <w:sz w:val="22"/>
          <w:szCs w:val="22"/>
          <w:lang w:val="en-GB"/>
        </w:rPr>
        <w:t>Adverse reactions are listed below by MedDRA body system organ class.</w:t>
      </w:r>
    </w:p>
    <w:p w:rsidR="002863FA" w:rsidRDefault="002863FA" w:rsidP="002863FA">
      <w:pPr>
        <w:rPr>
          <w:rFonts w:ascii="Arial" w:hAnsi="Arial" w:cs="Arial"/>
          <w:sz w:val="22"/>
          <w:szCs w:val="22"/>
          <w:lang w:val="en-GB"/>
        </w:rPr>
      </w:pPr>
      <w:r w:rsidRPr="002863FA">
        <w:rPr>
          <w:rFonts w:ascii="Arial" w:hAnsi="Arial" w:cs="Arial"/>
          <w:sz w:val="22"/>
          <w:szCs w:val="22"/>
          <w:lang w:val="en-GB"/>
        </w:rPr>
        <w:t xml:space="preserve">The following convention has been utilised for the classification of frequency: </w:t>
      </w:r>
    </w:p>
    <w:p w:rsidR="002863FA" w:rsidRPr="002863FA" w:rsidRDefault="002863FA" w:rsidP="002863FA">
      <w:pPr>
        <w:rPr>
          <w:rFonts w:ascii="Arial" w:hAnsi="Arial" w:cs="Arial"/>
          <w:sz w:val="22"/>
          <w:szCs w:val="22"/>
          <w:lang w:val="en-GB"/>
        </w:rPr>
      </w:pPr>
    </w:p>
    <w:p w:rsidR="002863FA" w:rsidRPr="002863FA" w:rsidRDefault="002863FA" w:rsidP="002863FA">
      <w:pPr>
        <w:rPr>
          <w:rFonts w:ascii="Arial" w:hAnsi="Arial" w:cs="Arial"/>
          <w:sz w:val="22"/>
          <w:szCs w:val="22"/>
          <w:lang w:val="en-GB"/>
        </w:rPr>
      </w:pPr>
      <w:r w:rsidRPr="002863FA">
        <w:rPr>
          <w:rFonts w:ascii="Arial" w:hAnsi="Arial" w:cs="Arial"/>
          <w:sz w:val="22"/>
          <w:szCs w:val="22"/>
          <w:lang w:val="en-GB"/>
        </w:rPr>
        <w:t>Very common</w:t>
      </w:r>
      <w:r w:rsidRPr="002863FA">
        <w:rPr>
          <w:rFonts w:ascii="Arial" w:hAnsi="Arial" w:cs="Arial"/>
          <w:sz w:val="22"/>
          <w:szCs w:val="22"/>
          <w:lang w:val="en-GB"/>
        </w:rPr>
        <w:tab/>
      </w:r>
      <w:r w:rsidRPr="002863FA">
        <w:rPr>
          <w:rFonts w:ascii="Arial" w:hAnsi="Arial" w:cs="Arial"/>
          <w:sz w:val="22"/>
          <w:szCs w:val="22"/>
          <w:lang w:val="en-GB"/>
        </w:rPr>
        <w:tab/>
      </w:r>
      <w:r w:rsidRPr="002863FA">
        <w:rPr>
          <w:rFonts w:ascii="Arial" w:hAnsi="Arial" w:cs="Arial"/>
          <w:sz w:val="22"/>
          <w:szCs w:val="22"/>
          <w:lang w:val="en-GB"/>
        </w:rPr>
        <w:sym w:font="Symbol" w:char="F0B3"/>
      </w:r>
      <w:r w:rsidRPr="002863FA">
        <w:rPr>
          <w:rFonts w:ascii="Arial" w:hAnsi="Arial" w:cs="Arial"/>
          <w:sz w:val="22"/>
          <w:szCs w:val="22"/>
          <w:lang w:val="en-GB"/>
        </w:rPr>
        <w:t xml:space="preserve"> 1 in 10</w:t>
      </w:r>
    </w:p>
    <w:p w:rsidR="002863FA" w:rsidRPr="002863FA" w:rsidRDefault="002863FA" w:rsidP="002863FA">
      <w:pPr>
        <w:rPr>
          <w:rFonts w:ascii="Arial" w:hAnsi="Arial" w:cs="Arial"/>
          <w:sz w:val="22"/>
          <w:szCs w:val="22"/>
          <w:lang w:val="en-GB"/>
        </w:rPr>
      </w:pPr>
      <w:r w:rsidRPr="002863FA">
        <w:rPr>
          <w:rFonts w:ascii="Arial" w:hAnsi="Arial" w:cs="Arial"/>
          <w:sz w:val="22"/>
          <w:szCs w:val="22"/>
          <w:lang w:val="en-GB"/>
        </w:rPr>
        <w:t>Common</w:t>
      </w:r>
      <w:r w:rsidRPr="002863FA">
        <w:rPr>
          <w:rFonts w:ascii="Arial" w:hAnsi="Arial" w:cs="Arial"/>
          <w:sz w:val="22"/>
          <w:szCs w:val="22"/>
          <w:lang w:val="en-GB"/>
        </w:rPr>
        <w:tab/>
      </w:r>
      <w:r w:rsidRPr="002863FA">
        <w:rPr>
          <w:rFonts w:ascii="Arial" w:hAnsi="Arial" w:cs="Arial"/>
          <w:sz w:val="22"/>
          <w:szCs w:val="22"/>
          <w:lang w:val="en-GB"/>
        </w:rPr>
        <w:tab/>
      </w:r>
      <w:r w:rsidRPr="002863FA">
        <w:rPr>
          <w:rFonts w:ascii="Arial" w:hAnsi="Arial" w:cs="Arial"/>
          <w:sz w:val="22"/>
          <w:szCs w:val="22"/>
          <w:lang w:val="en-GB"/>
        </w:rPr>
        <w:sym w:font="Symbol" w:char="F0B3"/>
      </w:r>
      <w:r w:rsidRPr="002863FA">
        <w:rPr>
          <w:rFonts w:ascii="Arial" w:hAnsi="Arial" w:cs="Arial"/>
          <w:sz w:val="22"/>
          <w:szCs w:val="22"/>
          <w:lang w:val="en-GB"/>
        </w:rPr>
        <w:t xml:space="preserve"> 1 in 100 and &lt; 1 in 10</w:t>
      </w:r>
    </w:p>
    <w:p w:rsidR="002863FA" w:rsidRPr="002863FA" w:rsidRDefault="002863FA" w:rsidP="002863FA">
      <w:pPr>
        <w:rPr>
          <w:rFonts w:ascii="Arial" w:hAnsi="Arial" w:cs="Arial"/>
          <w:sz w:val="22"/>
          <w:szCs w:val="22"/>
          <w:lang w:val="en-GB"/>
        </w:rPr>
      </w:pPr>
      <w:r w:rsidRPr="002863FA">
        <w:rPr>
          <w:rFonts w:ascii="Arial" w:hAnsi="Arial" w:cs="Arial"/>
          <w:sz w:val="22"/>
          <w:szCs w:val="22"/>
          <w:lang w:val="en-GB"/>
        </w:rPr>
        <w:t>Uncommon</w:t>
      </w:r>
      <w:r w:rsidRPr="002863FA">
        <w:rPr>
          <w:rFonts w:ascii="Arial" w:hAnsi="Arial" w:cs="Arial"/>
          <w:sz w:val="22"/>
          <w:szCs w:val="22"/>
          <w:lang w:val="en-GB"/>
        </w:rPr>
        <w:tab/>
      </w:r>
      <w:r w:rsidRPr="002863FA">
        <w:rPr>
          <w:rFonts w:ascii="Arial" w:hAnsi="Arial" w:cs="Arial"/>
          <w:sz w:val="22"/>
          <w:szCs w:val="22"/>
          <w:lang w:val="en-GB"/>
        </w:rPr>
        <w:tab/>
      </w:r>
      <w:r w:rsidRPr="002863FA">
        <w:rPr>
          <w:rFonts w:ascii="Arial" w:hAnsi="Arial" w:cs="Arial"/>
          <w:sz w:val="22"/>
          <w:szCs w:val="22"/>
          <w:lang w:val="en-GB"/>
        </w:rPr>
        <w:sym w:font="Symbol" w:char="F0B3"/>
      </w:r>
      <w:r w:rsidRPr="002863FA">
        <w:rPr>
          <w:rFonts w:ascii="Arial" w:hAnsi="Arial" w:cs="Arial"/>
          <w:sz w:val="22"/>
          <w:szCs w:val="22"/>
          <w:lang w:val="en-GB"/>
        </w:rPr>
        <w:t xml:space="preserve"> 1 in 1,000 and &lt; 1 in 100</w:t>
      </w:r>
    </w:p>
    <w:p w:rsidR="002863FA" w:rsidRPr="002863FA" w:rsidRDefault="002863FA" w:rsidP="002863FA">
      <w:pPr>
        <w:rPr>
          <w:rFonts w:ascii="Arial" w:hAnsi="Arial" w:cs="Arial"/>
          <w:sz w:val="22"/>
          <w:szCs w:val="22"/>
          <w:lang w:val="en-GB"/>
        </w:rPr>
      </w:pPr>
      <w:r w:rsidRPr="002863FA">
        <w:rPr>
          <w:rFonts w:ascii="Arial" w:hAnsi="Arial" w:cs="Arial"/>
          <w:sz w:val="22"/>
          <w:szCs w:val="22"/>
          <w:lang w:val="en-GB"/>
        </w:rPr>
        <w:t>Categories have been assigned based on absolute frequencies in the clinical trial data.</w:t>
      </w:r>
    </w:p>
    <w:p w:rsidR="00C43BEA" w:rsidRDefault="00C43BEA" w:rsidP="001D275A">
      <w:pPr>
        <w:rPr>
          <w:rFonts w:ascii="Arial" w:hAnsi="Arial" w:cs="Arial"/>
          <w:sz w:val="22"/>
          <w:szCs w:val="22"/>
        </w:rPr>
      </w:pPr>
    </w:p>
    <w:p w:rsidR="004A4BB0" w:rsidRDefault="004A4BB0" w:rsidP="001D275A">
      <w:pPr>
        <w:rPr>
          <w:rFonts w:ascii="Arial" w:hAnsi="Arial" w:cs="Arial"/>
          <w:sz w:val="22"/>
          <w:szCs w:val="22"/>
        </w:rPr>
      </w:pPr>
    </w:p>
    <w:p w:rsidR="004A4BB0" w:rsidRDefault="003B5747" w:rsidP="004A4BB0">
      <w:pPr>
        <w:rPr>
          <w:rFonts w:ascii="Arial" w:hAnsi="Arial" w:cs="Arial"/>
          <w:b/>
          <w:bCs/>
          <w:sz w:val="22"/>
          <w:szCs w:val="22"/>
          <w:lang w:val="en-GB"/>
        </w:rPr>
      </w:pPr>
      <w:r>
        <w:rPr>
          <w:rFonts w:ascii="Arial" w:hAnsi="Arial" w:cs="Arial"/>
          <w:b/>
          <w:bCs/>
          <w:sz w:val="22"/>
          <w:szCs w:val="22"/>
          <w:lang w:val="en-GB"/>
        </w:rPr>
        <w:br w:type="page"/>
      </w:r>
      <w:r w:rsidR="004A4BB0" w:rsidRPr="0018431B">
        <w:rPr>
          <w:rFonts w:ascii="Arial" w:hAnsi="Arial" w:cs="Arial"/>
          <w:b/>
          <w:bCs/>
          <w:sz w:val="22"/>
          <w:szCs w:val="22"/>
          <w:lang w:val="en-GB"/>
        </w:rPr>
        <w:lastRenderedPageBreak/>
        <w:t>Table 3</w:t>
      </w:r>
      <w:r w:rsidR="004B64AC">
        <w:rPr>
          <w:rFonts w:ascii="Arial" w:hAnsi="Arial" w:cs="Arial"/>
          <w:b/>
          <w:bCs/>
          <w:sz w:val="22"/>
          <w:szCs w:val="22"/>
          <w:lang w:val="en-GB"/>
        </w:rPr>
        <w:t>.</w:t>
      </w:r>
      <w:r w:rsidR="004A4BB0" w:rsidRPr="0018431B">
        <w:rPr>
          <w:rFonts w:ascii="Arial" w:hAnsi="Arial" w:cs="Arial"/>
          <w:b/>
          <w:bCs/>
          <w:sz w:val="22"/>
          <w:szCs w:val="22"/>
          <w:lang w:val="en-GB"/>
        </w:rPr>
        <w:t xml:space="preserve"> Adverse Reactions With MEKINIST Monotherapy</w:t>
      </w:r>
    </w:p>
    <w:p w:rsidR="0018431B" w:rsidRPr="0018431B" w:rsidRDefault="0018431B" w:rsidP="004A4BB0">
      <w:pPr>
        <w:rPr>
          <w:rFonts w:ascii="Arial" w:hAnsi="Arial" w:cs="Arial"/>
          <w:b/>
          <w:bCs/>
          <w:sz w:val="22"/>
          <w:szCs w:val="22"/>
          <w:lang w:val="en-GB"/>
        </w:rPr>
      </w:pPr>
    </w:p>
    <w:tbl>
      <w:tblPr>
        <w:tblW w:w="0" w:type="auto"/>
        <w:tblInd w:w="108" w:type="dxa"/>
        <w:tblCellMar>
          <w:left w:w="0" w:type="dxa"/>
          <w:right w:w="0" w:type="dxa"/>
        </w:tblCellMar>
        <w:tblLook w:val="04A0" w:firstRow="1" w:lastRow="0" w:firstColumn="1" w:lastColumn="0" w:noHBand="0" w:noVBand="1"/>
      </w:tblPr>
      <w:tblGrid>
        <w:gridCol w:w="1788"/>
        <w:gridCol w:w="12"/>
        <w:gridCol w:w="6839"/>
      </w:tblGrid>
      <w:tr w:rsidR="004A4BB0" w:rsidRPr="004A4BB0" w:rsidTr="004A4BB0">
        <w:trPr>
          <w:cantSplit/>
        </w:trPr>
        <w:tc>
          <w:tcPr>
            <w:tcW w:w="8639"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4BB0" w:rsidRPr="004A4BB0" w:rsidRDefault="004A4BB0" w:rsidP="004A4BB0">
            <w:pPr>
              <w:rPr>
                <w:rFonts w:ascii="Arial" w:hAnsi="Arial" w:cs="Arial"/>
                <w:b/>
                <w:sz w:val="22"/>
                <w:szCs w:val="22"/>
                <w:lang w:val="en-GB"/>
              </w:rPr>
            </w:pPr>
            <w:r w:rsidRPr="004A4BB0">
              <w:rPr>
                <w:rFonts w:ascii="Arial" w:hAnsi="Arial" w:cs="Arial"/>
                <w:b/>
                <w:sz w:val="22"/>
                <w:szCs w:val="22"/>
                <w:lang w:val="en-GB"/>
              </w:rPr>
              <w:t>Infections and Infestations</w:t>
            </w:r>
          </w:p>
        </w:tc>
      </w:tr>
      <w:tr w:rsidR="004A4BB0" w:rsidRPr="004A4BB0" w:rsidTr="004A4BB0">
        <w:trPr>
          <w:cantSplit/>
        </w:trPr>
        <w:tc>
          <w:tcPr>
            <w:tcW w:w="180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4BB0" w:rsidRPr="004A4BB0" w:rsidRDefault="004A4BB0" w:rsidP="004A4BB0">
            <w:pPr>
              <w:rPr>
                <w:rFonts w:ascii="Arial" w:hAnsi="Arial" w:cs="Arial"/>
                <w:sz w:val="22"/>
                <w:szCs w:val="22"/>
                <w:lang w:val="en-GB"/>
              </w:rPr>
            </w:pPr>
            <w:r w:rsidRPr="004A4BB0">
              <w:rPr>
                <w:rFonts w:ascii="Arial" w:hAnsi="Arial" w:cs="Arial"/>
                <w:sz w:val="22"/>
                <w:szCs w:val="22"/>
                <w:lang w:val="en-GB"/>
              </w:rPr>
              <w:t>Common</w:t>
            </w:r>
          </w:p>
        </w:tc>
        <w:tc>
          <w:tcPr>
            <w:tcW w:w="6839" w:type="dxa"/>
            <w:tcBorders>
              <w:top w:val="nil"/>
              <w:left w:val="single" w:sz="8" w:space="0" w:color="auto"/>
              <w:bottom w:val="single" w:sz="8" w:space="0" w:color="auto"/>
              <w:right w:val="single" w:sz="8" w:space="0" w:color="auto"/>
            </w:tcBorders>
          </w:tcPr>
          <w:p w:rsidR="004A4BB0" w:rsidRPr="004A4BB0" w:rsidRDefault="004A4BB0" w:rsidP="009912F5">
            <w:pPr>
              <w:ind w:left="120"/>
              <w:rPr>
                <w:rFonts w:ascii="Arial" w:hAnsi="Arial" w:cs="Arial"/>
                <w:sz w:val="22"/>
                <w:szCs w:val="22"/>
                <w:lang w:val="en-GB"/>
              </w:rPr>
            </w:pPr>
            <w:r w:rsidRPr="004A4BB0">
              <w:rPr>
                <w:rFonts w:ascii="Arial" w:hAnsi="Arial" w:cs="Arial"/>
                <w:sz w:val="22"/>
                <w:szCs w:val="22"/>
                <w:lang w:val="en-GB"/>
              </w:rPr>
              <w:t>Folliculitis</w:t>
            </w:r>
          </w:p>
          <w:p w:rsidR="004A4BB0" w:rsidRPr="004A4BB0" w:rsidRDefault="004A4BB0" w:rsidP="009912F5">
            <w:pPr>
              <w:ind w:left="120"/>
              <w:rPr>
                <w:rFonts w:ascii="Arial" w:hAnsi="Arial" w:cs="Arial"/>
                <w:sz w:val="22"/>
                <w:szCs w:val="22"/>
                <w:lang w:val="en-GB"/>
              </w:rPr>
            </w:pPr>
            <w:r w:rsidRPr="004A4BB0">
              <w:rPr>
                <w:rFonts w:ascii="Arial" w:hAnsi="Arial" w:cs="Arial"/>
                <w:sz w:val="22"/>
                <w:szCs w:val="22"/>
                <w:lang w:val="en-GB"/>
              </w:rPr>
              <w:t>Paronychia</w:t>
            </w:r>
          </w:p>
          <w:p w:rsidR="004A4BB0" w:rsidRPr="004A4BB0" w:rsidRDefault="004A4BB0" w:rsidP="009912F5">
            <w:pPr>
              <w:ind w:left="120"/>
              <w:rPr>
                <w:rFonts w:ascii="Arial" w:hAnsi="Arial" w:cs="Arial"/>
                <w:sz w:val="22"/>
                <w:szCs w:val="22"/>
                <w:lang w:val="en-GB"/>
              </w:rPr>
            </w:pPr>
            <w:r w:rsidRPr="004A4BB0">
              <w:rPr>
                <w:rFonts w:ascii="Arial" w:hAnsi="Arial" w:cs="Arial"/>
                <w:sz w:val="22"/>
                <w:szCs w:val="22"/>
                <w:lang w:val="en-GB"/>
              </w:rPr>
              <w:t>Cellulitis</w:t>
            </w:r>
          </w:p>
          <w:p w:rsidR="004A4BB0" w:rsidRPr="004A4BB0" w:rsidRDefault="004A4BB0" w:rsidP="009912F5">
            <w:pPr>
              <w:ind w:left="120"/>
              <w:rPr>
                <w:rFonts w:ascii="Arial" w:hAnsi="Arial" w:cs="Arial"/>
                <w:sz w:val="22"/>
                <w:szCs w:val="22"/>
                <w:lang w:val="en-GB"/>
              </w:rPr>
            </w:pPr>
            <w:r w:rsidRPr="004A4BB0">
              <w:rPr>
                <w:rFonts w:ascii="Arial" w:hAnsi="Arial" w:cs="Arial"/>
                <w:sz w:val="22"/>
                <w:szCs w:val="22"/>
                <w:lang w:val="en-GB"/>
              </w:rPr>
              <w:t>Rash pustular</w:t>
            </w:r>
          </w:p>
        </w:tc>
      </w:tr>
      <w:tr w:rsidR="004A4BB0" w:rsidRPr="004A4BB0" w:rsidTr="004A4BB0">
        <w:trPr>
          <w:cantSplit/>
        </w:trPr>
        <w:tc>
          <w:tcPr>
            <w:tcW w:w="863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4BB0" w:rsidRPr="004A4BB0" w:rsidRDefault="004A4BB0" w:rsidP="004A4BB0">
            <w:pPr>
              <w:rPr>
                <w:rFonts w:ascii="Arial" w:hAnsi="Arial" w:cs="Arial"/>
                <w:b/>
                <w:bCs/>
                <w:sz w:val="22"/>
                <w:szCs w:val="22"/>
                <w:lang w:val="en-GB"/>
              </w:rPr>
            </w:pPr>
            <w:r w:rsidRPr="004A4BB0">
              <w:rPr>
                <w:rFonts w:ascii="Arial" w:hAnsi="Arial" w:cs="Arial"/>
                <w:b/>
                <w:sz w:val="22"/>
                <w:szCs w:val="22"/>
                <w:lang w:val="en-GB"/>
              </w:rPr>
              <w:t>Blood and lymphatic system disorders</w:t>
            </w:r>
          </w:p>
        </w:tc>
      </w:tr>
      <w:tr w:rsidR="004A4BB0" w:rsidRPr="004A4BB0" w:rsidTr="004A4BB0">
        <w:trPr>
          <w:cantSplit/>
        </w:trPr>
        <w:tc>
          <w:tcPr>
            <w:tcW w:w="17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A4BB0" w:rsidRPr="004A4BB0" w:rsidRDefault="004A4BB0" w:rsidP="004A4BB0">
            <w:pPr>
              <w:rPr>
                <w:rFonts w:ascii="Arial" w:hAnsi="Arial" w:cs="Arial"/>
                <w:sz w:val="22"/>
                <w:szCs w:val="22"/>
                <w:lang w:val="en-GB"/>
              </w:rPr>
            </w:pPr>
            <w:r w:rsidRPr="004A4BB0">
              <w:rPr>
                <w:rFonts w:ascii="Arial" w:hAnsi="Arial" w:cs="Arial"/>
                <w:sz w:val="22"/>
                <w:szCs w:val="22"/>
                <w:lang w:val="en-GB"/>
              </w:rPr>
              <w:t>Common</w:t>
            </w:r>
          </w:p>
        </w:tc>
        <w:tc>
          <w:tcPr>
            <w:tcW w:w="685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A4BB0" w:rsidRPr="004A4BB0" w:rsidRDefault="004A4BB0" w:rsidP="004A4BB0">
            <w:pPr>
              <w:rPr>
                <w:rFonts w:ascii="Arial" w:hAnsi="Arial" w:cs="Arial"/>
                <w:sz w:val="22"/>
                <w:szCs w:val="22"/>
                <w:lang w:val="en-GB"/>
              </w:rPr>
            </w:pPr>
            <w:r w:rsidRPr="004A4BB0">
              <w:rPr>
                <w:rFonts w:ascii="Arial" w:hAnsi="Arial" w:cs="Arial"/>
                <w:sz w:val="22"/>
                <w:szCs w:val="22"/>
                <w:lang w:val="en-GB"/>
              </w:rPr>
              <w:t>Anaemia</w:t>
            </w:r>
          </w:p>
        </w:tc>
      </w:tr>
      <w:tr w:rsidR="004A4BB0" w:rsidRPr="004A4BB0" w:rsidTr="004A4BB0">
        <w:trPr>
          <w:cantSplit/>
        </w:trPr>
        <w:tc>
          <w:tcPr>
            <w:tcW w:w="863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4BB0" w:rsidRPr="004A4BB0" w:rsidRDefault="004A4BB0" w:rsidP="004A4BB0">
            <w:pPr>
              <w:rPr>
                <w:rFonts w:ascii="Arial" w:hAnsi="Arial" w:cs="Arial"/>
                <w:b/>
                <w:bCs/>
                <w:sz w:val="22"/>
                <w:szCs w:val="22"/>
                <w:lang w:val="en-GB"/>
              </w:rPr>
            </w:pPr>
            <w:r w:rsidRPr="004A4BB0">
              <w:rPr>
                <w:rFonts w:ascii="Arial" w:hAnsi="Arial" w:cs="Arial"/>
                <w:b/>
                <w:sz w:val="22"/>
                <w:szCs w:val="22"/>
                <w:lang w:val="en-GB"/>
              </w:rPr>
              <w:t>Immune system disorders</w:t>
            </w:r>
          </w:p>
        </w:tc>
      </w:tr>
      <w:tr w:rsidR="004A4BB0" w:rsidRPr="004A4BB0" w:rsidTr="004A4BB0">
        <w:trPr>
          <w:cantSplit/>
        </w:trPr>
        <w:tc>
          <w:tcPr>
            <w:tcW w:w="180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4A4BB0" w:rsidRPr="004A4BB0" w:rsidRDefault="00E946DF" w:rsidP="004A4BB0">
            <w:pPr>
              <w:rPr>
                <w:rFonts w:ascii="Arial" w:hAnsi="Arial" w:cs="Arial"/>
                <w:sz w:val="22"/>
                <w:szCs w:val="22"/>
                <w:lang w:val="en-GB"/>
              </w:rPr>
            </w:pPr>
            <w:r>
              <w:rPr>
                <w:rFonts w:ascii="Arial" w:hAnsi="Arial" w:cs="Arial"/>
                <w:sz w:val="22"/>
                <w:szCs w:val="22"/>
                <w:lang w:val="en-GB"/>
              </w:rPr>
              <w:t>C</w:t>
            </w:r>
            <w:r w:rsidR="004A4BB0" w:rsidRPr="004A4BB0">
              <w:rPr>
                <w:rFonts w:ascii="Arial" w:hAnsi="Arial" w:cs="Arial"/>
                <w:sz w:val="22"/>
                <w:szCs w:val="22"/>
                <w:lang w:val="en-GB"/>
              </w:rPr>
              <w:t>ommon</w:t>
            </w:r>
          </w:p>
        </w:tc>
        <w:tc>
          <w:tcPr>
            <w:tcW w:w="6839" w:type="dxa"/>
            <w:tcBorders>
              <w:top w:val="nil"/>
              <w:left w:val="nil"/>
              <w:bottom w:val="single" w:sz="8" w:space="0" w:color="auto"/>
              <w:right w:val="single" w:sz="8" w:space="0" w:color="auto"/>
            </w:tcBorders>
            <w:tcMar>
              <w:top w:w="0" w:type="dxa"/>
              <w:left w:w="108" w:type="dxa"/>
              <w:bottom w:w="0" w:type="dxa"/>
              <w:right w:w="108" w:type="dxa"/>
            </w:tcMar>
          </w:tcPr>
          <w:p w:rsidR="004A4BB0" w:rsidRPr="004A4BB0" w:rsidRDefault="004A4BB0" w:rsidP="004A4BB0">
            <w:pPr>
              <w:rPr>
                <w:rFonts w:ascii="Arial" w:hAnsi="Arial" w:cs="Arial"/>
                <w:sz w:val="22"/>
                <w:szCs w:val="22"/>
                <w:lang w:val="en-GB"/>
              </w:rPr>
            </w:pPr>
            <w:r w:rsidRPr="004A4BB0">
              <w:rPr>
                <w:rFonts w:ascii="Arial" w:hAnsi="Arial" w:cs="Arial"/>
                <w:sz w:val="22"/>
                <w:szCs w:val="22"/>
                <w:lang w:val="en-GB"/>
              </w:rPr>
              <w:t>Hypersensitivity</w:t>
            </w:r>
          </w:p>
          <w:p w:rsidR="004A4BB0" w:rsidRPr="004A4BB0" w:rsidRDefault="004A4BB0" w:rsidP="004A4BB0">
            <w:pPr>
              <w:rPr>
                <w:rFonts w:ascii="Arial" w:hAnsi="Arial" w:cs="Arial"/>
                <w:sz w:val="22"/>
                <w:szCs w:val="22"/>
                <w:lang w:val="en-GB"/>
              </w:rPr>
            </w:pPr>
            <w:r w:rsidRPr="004A4BB0">
              <w:rPr>
                <w:rFonts w:ascii="Arial" w:hAnsi="Arial" w:cs="Arial"/>
                <w:i/>
                <w:sz w:val="22"/>
                <w:szCs w:val="22"/>
                <w:lang w:val="en-GB"/>
              </w:rPr>
              <w:t>May present with symptoms such as fever, rash, increased liver function tests, and visual disturbances</w:t>
            </w:r>
          </w:p>
        </w:tc>
      </w:tr>
      <w:tr w:rsidR="004A4BB0" w:rsidRPr="004A4BB0" w:rsidTr="004A4BB0">
        <w:trPr>
          <w:cantSplit/>
        </w:trPr>
        <w:tc>
          <w:tcPr>
            <w:tcW w:w="863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4BB0" w:rsidRPr="004A4BB0" w:rsidRDefault="004A4BB0" w:rsidP="004A4BB0">
            <w:pPr>
              <w:rPr>
                <w:rFonts w:ascii="Arial" w:hAnsi="Arial" w:cs="Arial"/>
                <w:b/>
                <w:sz w:val="22"/>
                <w:szCs w:val="22"/>
                <w:lang w:val="en-GB"/>
              </w:rPr>
            </w:pPr>
            <w:r w:rsidRPr="004A4BB0">
              <w:rPr>
                <w:rFonts w:ascii="Arial" w:hAnsi="Arial" w:cs="Arial"/>
                <w:b/>
                <w:sz w:val="22"/>
                <w:szCs w:val="22"/>
                <w:lang w:val="en-GB"/>
              </w:rPr>
              <w:t>Metabolism and Nutrition Disorders</w:t>
            </w:r>
          </w:p>
        </w:tc>
      </w:tr>
      <w:tr w:rsidR="004A4BB0" w:rsidRPr="004A4BB0" w:rsidTr="004A4BB0">
        <w:trPr>
          <w:cantSplit/>
        </w:trPr>
        <w:tc>
          <w:tcPr>
            <w:tcW w:w="180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4BB0" w:rsidRPr="004A4BB0" w:rsidRDefault="004A4BB0" w:rsidP="004A4BB0">
            <w:pPr>
              <w:rPr>
                <w:rFonts w:ascii="Arial" w:hAnsi="Arial" w:cs="Arial"/>
                <w:sz w:val="22"/>
                <w:szCs w:val="22"/>
                <w:lang w:val="en-GB"/>
              </w:rPr>
            </w:pPr>
            <w:r w:rsidRPr="004A4BB0">
              <w:rPr>
                <w:rFonts w:ascii="Arial" w:hAnsi="Arial" w:cs="Arial"/>
                <w:sz w:val="22"/>
                <w:szCs w:val="22"/>
                <w:lang w:val="en-GB"/>
              </w:rPr>
              <w:t>Common</w:t>
            </w:r>
          </w:p>
        </w:tc>
        <w:tc>
          <w:tcPr>
            <w:tcW w:w="6839" w:type="dxa"/>
            <w:tcBorders>
              <w:top w:val="nil"/>
              <w:left w:val="single" w:sz="8" w:space="0" w:color="auto"/>
              <w:bottom w:val="single" w:sz="8" w:space="0" w:color="auto"/>
              <w:right w:val="single" w:sz="8" w:space="0" w:color="auto"/>
            </w:tcBorders>
          </w:tcPr>
          <w:p w:rsidR="004623A3" w:rsidRDefault="004A4BB0">
            <w:pPr>
              <w:ind w:left="120"/>
              <w:rPr>
                <w:rFonts w:ascii="Arial" w:hAnsi="Arial" w:cs="Arial"/>
                <w:sz w:val="22"/>
                <w:szCs w:val="22"/>
                <w:lang w:val="en-GB"/>
              </w:rPr>
            </w:pPr>
            <w:r w:rsidRPr="004A4BB0">
              <w:rPr>
                <w:rFonts w:ascii="Arial" w:hAnsi="Arial" w:cs="Arial"/>
                <w:sz w:val="22"/>
                <w:szCs w:val="22"/>
                <w:lang w:val="en-GB"/>
              </w:rPr>
              <w:t>Dehydration</w:t>
            </w:r>
          </w:p>
        </w:tc>
      </w:tr>
      <w:tr w:rsidR="004A4BB0" w:rsidRPr="004A4BB0" w:rsidTr="004A4BB0">
        <w:trPr>
          <w:cantSplit/>
        </w:trPr>
        <w:tc>
          <w:tcPr>
            <w:tcW w:w="863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4BB0" w:rsidRPr="004A4BB0" w:rsidRDefault="004A4BB0" w:rsidP="004A4BB0">
            <w:pPr>
              <w:rPr>
                <w:rFonts w:ascii="Arial" w:hAnsi="Arial" w:cs="Arial"/>
                <w:b/>
                <w:bCs/>
                <w:sz w:val="22"/>
                <w:szCs w:val="22"/>
                <w:lang w:val="en-GB"/>
              </w:rPr>
            </w:pPr>
            <w:r w:rsidRPr="004A4BB0">
              <w:rPr>
                <w:rFonts w:ascii="Arial" w:hAnsi="Arial" w:cs="Arial"/>
                <w:b/>
                <w:sz w:val="22"/>
                <w:szCs w:val="22"/>
                <w:lang w:val="en-GB"/>
              </w:rPr>
              <w:t>Eye disorders</w:t>
            </w:r>
          </w:p>
        </w:tc>
      </w:tr>
      <w:tr w:rsidR="004A4BB0" w:rsidRPr="004A4BB0" w:rsidTr="004A4BB0">
        <w:trPr>
          <w:cantSplit/>
          <w:trHeight w:val="558"/>
        </w:trPr>
        <w:tc>
          <w:tcPr>
            <w:tcW w:w="180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4A4BB0" w:rsidRPr="004A4BB0" w:rsidRDefault="004A4BB0" w:rsidP="004A4BB0">
            <w:pPr>
              <w:rPr>
                <w:rFonts w:ascii="Arial" w:hAnsi="Arial" w:cs="Arial"/>
                <w:sz w:val="22"/>
                <w:szCs w:val="22"/>
                <w:lang w:val="en-GB"/>
              </w:rPr>
            </w:pPr>
            <w:r w:rsidRPr="004A4BB0">
              <w:rPr>
                <w:rFonts w:ascii="Arial" w:hAnsi="Arial" w:cs="Arial"/>
                <w:sz w:val="22"/>
                <w:szCs w:val="22"/>
                <w:lang w:val="en-GB"/>
              </w:rPr>
              <w:t>Common</w:t>
            </w:r>
          </w:p>
        </w:tc>
        <w:tc>
          <w:tcPr>
            <w:tcW w:w="6839" w:type="dxa"/>
            <w:tcBorders>
              <w:top w:val="nil"/>
              <w:left w:val="nil"/>
              <w:bottom w:val="single" w:sz="8" w:space="0" w:color="auto"/>
              <w:right w:val="single" w:sz="8" w:space="0" w:color="auto"/>
            </w:tcBorders>
            <w:tcMar>
              <w:top w:w="0" w:type="dxa"/>
              <w:left w:w="108" w:type="dxa"/>
              <w:bottom w:w="0" w:type="dxa"/>
              <w:right w:w="108" w:type="dxa"/>
            </w:tcMar>
          </w:tcPr>
          <w:p w:rsidR="004A4BB0" w:rsidRPr="004A4BB0" w:rsidRDefault="004A4BB0" w:rsidP="004A4BB0">
            <w:pPr>
              <w:rPr>
                <w:rFonts w:ascii="Arial" w:hAnsi="Arial" w:cs="Arial"/>
                <w:sz w:val="22"/>
                <w:szCs w:val="22"/>
                <w:lang w:val="en-GB"/>
              </w:rPr>
            </w:pPr>
            <w:r w:rsidRPr="004A4BB0">
              <w:rPr>
                <w:rFonts w:ascii="Arial" w:hAnsi="Arial" w:cs="Arial"/>
                <w:sz w:val="22"/>
                <w:szCs w:val="22"/>
                <w:lang w:val="en-GB"/>
              </w:rPr>
              <w:t>Vision blurred</w:t>
            </w:r>
          </w:p>
          <w:p w:rsidR="004A4BB0" w:rsidRPr="004A4BB0" w:rsidRDefault="004A4BB0" w:rsidP="004A4BB0">
            <w:pPr>
              <w:rPr>
                <w:rFonts w:ascii="Arial" w:hAnsi="Arial" w:cs="Arial"/>
                <w:sz w:val="22"/>
                <w:szCs w:val="22"/>
                <w:lang w:val="en-GB"/>
              </w:rPr>
            </w:pPr>
            <w:r w:rsidRPr="004A4BB0">
              <w:rPr>
                <w:rFonts w:ascii="Arial" w:hAnsi="Arial" w:cs="Arial"/>
                <w:sz w:val="22"/>
                <w:szCs w:val="22"/>
                <w:lang w:val="en-GB"/>
              </w:rPr>
              <w:t>Periorbital oedema</w:t>
            </w:r>
          </w:p>
          <w:p w:rsidR="004A4BB0" w:rsidRPr="004A4BB0" w:rsidRDefault="004A4BB0" w:rsidP="004A4BB0">
            <w:pPr>
              <w:rPr>
                <w:rFonts w:ascii="Arial" w:hAnsi="Arial" w:cs="Arial"/>
                <w:sz w:val="22"/>
                <w:szCs w:val="22"/>
                <w:lang w:val="en-GB"/>
              </w:rPr>
            </w:pPr>
            <w:r w:rsidRPr="004A4BB0">
              <w:rPr>
                <w:rFonts w:ascii="Arial" w:hAnsi="Arial" w:cs="Arial"/>
                <w:sz w:val="22"/>
                <w:szCs w:val="22"/>
                <w:lang w:val="en-GB"/>
              </w:rPr>
              <w:t>Visual impairment</w:t>
            </w:r>
          </w:p>
        </w:tc>
      </w:tr>
      <w:tr w:rsidR="004A4BB0" w:rsidRPr="004A4BB0" w:rsidTr="004A4BB0">
        <w:trPr>
          <w:cantSplit/>
          <w:trHeight w:val="558"/>
        </w:trPr>
        <w:tc>
          <w:tcPr>
            <w:tcW w:w="180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4A4BB0" w:rsidRPr="004A4BB0" w:rsidRDefault="004A4BB0" w:rsidP="004A4BB0">
            <w:pPr>
              <w:rPr>
                <w:rFonts w:ascii="Arial" w:hAnsi="Arial" w:cs="Arial"/>
                <w:sz w:val="22"/>
                <w:szCs w:val="22"/>
                <w:lang w:val="en-GB"/>
              </w:rPr>
            </w:pPr>
            <w:r w:rsidRPr="004A4BB0">
              <w:rPr>
                <w:rFonts w:ascii="Arial" w:hAnsi="Arial" w:cs="Arial"/>
                <w:sz w:val="22"/>
                <w:szCs w:val="22"/>
                <w:lang w:val="en-GB"/>
              </w:rPr>
              <w:t>Uncommon</w:t>
            </w:r>
          </w:p>
        </w:tc>
        <w:tc>
          <w:tcPr>
            <w:tcW w:w="6839" w:type="dxa"/>
            <w:tcBorders>
              <w:top w:val="nil"/>
              <w:left w:val="nil"/>
              <w:bottom w:val="single" w:sz="8" w:space="0" w:color="auto"/>
              <w:right w:val="single" w:sz="8" w:space="0" w:color="auto"/>
            </w:tcBorders>
            <w:tcMar>
              <w:top w:w="0" w:type="dxa"/>
              <w:left w:w="108" w:type="dxa"/>
              <w:bottom w:w="0" w:type="dxa"/>
              <w:right w:w="108" w:type="dxa"/>
            </w:tcMar>
          </w:tcPr>
          <w:p w:rsidR="004A4BB0" w:rsidRPr="004A4BB0" w:rsidRDefault="004A4BB0" w:rsidP="004A4BB0">
            <w:pPr>
              <w:rPr>
                <w:rFonts w:ascii="Arial" w:hAnsi="Arial" w:cs="Arial"/>
                <w:sz w:val="22"/>
                <w:szCs w:val="22"/>
                <w:lang w:val="en-GB"/>
              </w:rPr>
            </w:pPr>
            <w:r w:rsidRPr="004A4BB0">
              <w:rPr>
                <w:rFonts w:ascii="Arial" w:hAnsi="Arial" w:cs="Arial"/>
                <w:sz w:val="22"/>
                <w:szCs w:val="22"/>
                <w:lang w:val="en-GB"/>
              </w:rPr>
              <w:t>Chorioretinopathy</w:t>
            </w:r>
          </w:p>
          <w:p w:rsidR="004A4BB0" w:rsidRPr="004A4BB0" w:rsidRDefault="004A4BB0" w:rsidP="004A4BB0">
            <w:pPr>
              <w:rPr>
                <w:rFonts w:ascii="Arial" w:hAnsi="Arial" w:cs="Arial"/>
                <w:sz w:val="22"/>
                <w:szCs w:val="22"/>
                <w:lang w:val="en-GB"/>
              </w:rPr>
            </w:pPr>
            <w:r w:rsidRPr="004A4BB0">
              <w:rPr>
                <w:rFonts w:ascii="Arial" w:hAnsi="Arial" w:cs="Arial"/>
                <w:sz w:val="22"/>
                <w:szCs w:val="22"/>
                <w:lang w:val="en-GB"/>
              </w:rPr>
              <w:t>Retinal vein occlusion</w:t>
            </w:r>
          </w:p>
          <w:p w:rsidR="004A4BB0" w:rsidRPr="004A4BB0" w:rsidRDefault="004A4BB0" w:rsidP="004A4BB0">
            <w:pPr>
              <w:rPr>
                <w:rFonts w:ascii="Arial" w:hAnsi="Arial" w:cs="Arial"/>
                <w:sz w:val="22"/>
                <w:szCs w:val="22"/>
                <w:lang w:val="en-GB"/>
              </w:rPr>
            </w:pPr>
            <w:r w:rsidRPr="004A4BB0">
              <w:rPr>
                <w:rFonts w:ascii="Arial" w:hAnsi="Arial" w:cs="Arial"/>
                <w:sz w:val="22"/>
                <w:szCs w:val="22"/>
                <w:lang w:val="en-GB"/>
              </w:rPr>
              <w:t>Papilloedema</w:t>
            </w:r>
          </w:p>
          <w:p w:rsidR="004A4BB0" w:rsidRPr="004A4BB0" w:rsidRDefault="004A4BB0" w:rsidP="004A4BB0">
            <w:pPr>
              <w:rPr>
                <w:rFonts w:ascii="Arial" w:hAnsi="Arial" w:cs="Arial"/>
                <w:sz w:val="22"/>
                <w:szCs w:val="22"/>
                <w:lang w:val="en-GB"/>
              </w:rPr>
            </w:pPr>
            <w:r w:rsidRPr="004A4BB0">
              <w:rPr>
                <w:rFonts w:ascii="Arial" w:hAnsi="Arial" w:cs="Arial"/>
                <w:sz w:val="22"/>
                <w:szCs w:val="22"/>
                <w:lang w:val="en-GB"/>
              </w:rPr>
              <w:t xml:space="preserve">Retinal detachment </w:t>
            </w:r>
          </w:p>
        </w:tc>
      </w:tr>
      <w:tr w:rsidR="004A4BB0" w:rsidRPr="004A4BB0" w:rsidTr="004A4BB0">
        <w:trPr>
          <w:cantSplit/>
        </w:trPr>
        <w:tc>
          <w:tcPr>
            <w:tcW w:w="863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4BB0" w:rsidRPr="004A4BB0" w:rsidRDefault="004A4BB0" w:rsidP="004A4BB0">
            <w:pPr>
              <w:rPr>
                <w:rFonts w:ascii="Arial" w:hAnsi="Arial" w:cs="Arial"/>
                <w:b/>
                <w:sz w:val="22"/>
                <w:szCs w:val="22"/>
                <w:lang w:val="en-GB"/>
              </w:rPr>
            </w:pPr>
            <w:r w:rsidRPr="004A4BB0">
              <w:rPr>
                <w:rFonts w:ascii="Arial" w:hAnsi="Arial" w:cs="Arial"/>
                <w:b/>
                <w:sz w:val="22"/>
                <w:szCs w:val="22"/>
                <w:lang w:val="en-GB"/>
              </w:rPr>
              <w:t xml:space="preserve">Cardiac disorders </w:t>
            </w:r>
          </w:p>
        </w:tc>
      </w:tr>
      <w:tr w:rsidR="004A4BB0" w:rsidRPr="004A4BB0" w:rsidTr="004A4BB0">
        <w:trPr>
          <w:cantSplit/>
        </w:trPr>
        <w:tc>
          <w:tcPr>
            <w:tcW w:w="17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A4BB0" w:rsidRPr="004A4BB0" w:rsidRDefault="004A4BB0" w:rsidP="004A4BB0">
            <w:pPr>
              <w:rPr>
                <w:rFonts w:ascii="Arial" w:hAnsi="Arial" w:cs="Arial"/>
                <w:sz w:val="22"/>
                <w:szCs w:val="22"/>
                <w:lang w:val="en-GB"/>
              </w:rPr>
            </w:pPr>
            <w:r w:rsidRPr="004A4BB0">
              <w:rPr>
                <w:rFonts w:ascii="Arial" w:hAnsi="Arial" w:cs="Arial"/>
                <w:sz w:val="22"/>
                <w:szCs w:val="22"/>
                <w:lang w:val="en-GB"/>
              </w:rPr>
              <w:t>Common</w:t>
            </w:r>
          </w:p>
        </w:tc>
        <w:tc>
          <w:tcPr>
            <w:tcW w:w="6851" w:type="dxa"/>
            <w:gridSpan w:val="2"/>
            <w:tcBorders>
              <w:top w:val="nil"/>
              <w:left w:val="nil"/>
              <w:bottom w:val="single" w:sz="8" w:space="0" w:color="auto"/>
              <w:right w:val="single" w:sz="8" w:space="0" w:color="auto"/>
            </w:tcBorders>
            <w:tcMar>
              <w:top w:w="0" w:type="dxa"/>
              <w:left w:w="108" w:type="dxa"/>
              <w:bottom w:w="0" w:type="dxa"/>
              <w:right w:w="108" w:type="dxa"/>
            </w:tcMar>
          </w:tcPr>
          <w:p w:rsidR="004A4BB0" w:rsidRPr="004A4BB0" w:rsidRDefault="004A4BB0" w:rsidP="004A4BB0">
            <w:pPr>
              <w:rPr>
                <w:rFonts w:ascii="Arial" w:hAnsi="Arial" w:cs="Arial"/>
                <w:sz w:val="22"/>
                <w:szCs w:val="22"/>
                <w:lang w:val="en-GB"/>
              </w:rPr>
            </w:pPr>
            <w:r w:rsidRPr="004A4BB0">
              <w:rPr>
                <w:rFonts w:ascii="Arial" w:hAnsi="Arial" w:cs="Arial"/>
                <w:sz w:val="22"/>
                <w:szCs w:val="22"/>
                <w:lang w:val="en-GB"/>
              </w:rPr>
              <w:t>Left ventricular dysfunction</w:t>
            </w:r>
          </w:p>
          <w:p w:rsidR="004A4BB0" w:rsidRPr="004A4BB0" w:rsidRDefault="004A4BB0" w:rsidP="004A4BB0">
            <w:pPr>
              <w:rPr>
                <w:rFonts w:ascii="Arial" w:hAnsi="Arial" w:cs="Arial"/>
                <w:sz w:val="22"/>
                <w:szCs w:val="22"/>
                <w:lang w:val="en-GB"/>
              </w:rPr>
            </w:pPr>
            <w:r w:rsidRPr="004A4BB0">
              <w:rPr>
                <w:rFonts w:ascii="Arial" w:hAnsi="Arial" w:cs="Arial"/>
                <w:sz w:val="22"/>
                <w:szCs w:val="22"/>
                <w:lang w:val="en-GB"/>
              </w:rPr>
              <w:t>Ejection fraction decreased</w:t>
            </w:r>
          </w:p>
        </w:tc>
      </w:tr>
      <w:tr w:rsidR="004A4BB0" w:rsidRPr="004A4BB0" w:rsidTr="004A4BB0">
        <w:trPr>
          <w:cantSplit/>
        </w:trPr>
        <w:tc>
          <w:tcPr>
            <w:tcW w:w="17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A4BB0" w:rsidRPr="004A4BB0" w:rsidRDefault="004A4BB0" w:rsidP="004A4BB0">
            <w:pPr>
              <w:rPr>
                <w:rFonts w:ascii="Arial" w:hAnsi="Arial" w:cs="Arial"/>
                <w:sz w:val="22"/>
                <w:szCs w:val="22"/>
                <w:lang w:val="en-GB"/>
              </w:rPr>
            </w:pPr>
            <w:r w:rsidRPr="004A4BB0">
              <w:rPr>
                <w:rFonts w:ascii="Arial" w:hAnsi="Arial" w:cs="Arial"/>
                <w:sz w:val="22"/>
                <w:szCs w:val="22"/>
                <w:lang w:val="en-GB"/>
              </w:rPr>
              <w:t>Uncommon</w:t>
            </w:r>
          </w:p>
        </w:tc>
        <w:tc>
          <w:tcPr>
            <w:tcW w:w="6851" w:type="dxa"/>
            <w:gridSpan w:val="2"/>
            <w:tcBorders>
              <w:top w:val="nil"/>
              <w:left w:val="nil"/>
              <w:bottom w:val="single" w:sz="8" w:space="0" w:color="auto"/>
              <w:right w:val="single" w:sz="8" w:space="0" w:color="auto"/>
            </w:tcBorders>
            <w:tcMar>
              <w:top w:w="0" w:type="dxa"/>
              <w:left w:w="108" w:type="dxa"/>
              <w:bottom w:w="0" w:type="dxa"/>
              <w:right w:w="108" w:type="dxa"/>
            </w:tcMar>
          </w:tcPr>
          <w:p w:rsidR="004A4BB0" w:rsidRPr="004A4BB0" w:rsidRDefault="004A4BB0" w:rsidP="004A4BB0">
            <w:pPr>
              <w:rPr>
                <w:rFonts w:ascii="Arial" w:hAnsi="Arial" w:cs="Arial"/>
                <w:sz w:val="22"/>
                <w:szCs w:val="22"/>
                <w:lang w:val="en-GB"/>
              </w:rPr>
            </w:pPr>
            <w:r w:rsidRPr="004A4BB0">
              <w:rPr>
                <w:rFonts w:ascii="Arial" w:hAnsi="Arial" w:cs="Arial"/>
                <w:sz w:val="22"/>
                <w:szCs w:val="22"/>
                <w:lang w:val="en-GB"/>
              </w:rPr>
              <w:t>Cardiac failure</w:t>
            </w:r>
          </w:p>
        </w:tc>
      </w:tr>
      <w:tr w:rsidR="004A4BB0" w:rsidRPr="004A4BB0" w:rsidTr="004A4BB0">
        <w:trPr>
          <w:cantSplit/>
        </w:trPr>
        <w:tc>
          <w:tcPr>
            <w:tcW w:w="863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4BB0" w:rsidRPr="004A4BB0" w:rsidRDefault="004A4BB0" w:rsidP="004A4BB0">
            <w:pPr>
              <w:rPr>
                <w:rFonts w:ascii="Arial" w:hAnsi="Arial" w:cs="Arial"/>
                <w:b/>
                <w:sz w:val="22"/>
                <w:szCs w:val="22"/>
                <w:lang w:val="en-GB"/>
              </w:rPr>
            </w:pPr>
            <w:r w:rsidRPr="004A4BB0">
              <w:rPr>
                <w:rFonts w:ascii="Arial" w:hAnsi="Arial" w:cs="Arial"/>
                <w:b/>
                <w:sz w:val="22"/>
                <w:szCs w:val="22"/>
                <w:lang w:val="en-GB"/>
              </w:rPr>
              <w:t>Vascular Disorders</w:t>
            </w:r>
          </w:p>
        </w:tc>
      </w:tr>
      <w:tr w:rsidR="004A4BB0" w:rsidRPr="004A4BB0" w:rsidTr="004A4BB0">
        <w:trPr>
          <w:cantSplit/>
        </w:trPr>
        <w:tc>
          <w:tcPr>
            <w:tcW w:w="180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4A4BB0" w:rsidRPr="004A4BB0" w:rsidRDefault="004A4BB0" w:rsidP="004A4BB0">
            <w:pPr>
              <w:rPr>
                <w:rFonts w:ascii="Arial" w:hAnsi="Arial" w:cs="Arial"/>
                <w:sz w:val="22"/>
                <w:szCs w:val="22"/>
                <w:lang w:val="en-GB"/>
              </w:rPr>
            </w:pPr>
            <w:r w:rsidRPr="004A4BB0">
              <w:rPr>
                <w:rFonts w:ascii="Arial" w:hAnsi="Arial" w:cs="Arial"/>
                <w:sz w:val="22"/>
                <w:szCs w:val="22"/>
                <w:lang w:val="en-GB"/>
              </w:rPr>
              <w:t>Very common</w:t>
            </w:r>
          </w:p>
        </w:tc>
        <w:tc>
          <w:tcPr>
            <w:tcW w:w="6839" w:type="dxa"/>
            <w:tcBorders>
              <w:top w:val="nil"/>
              <w:left w:val="nil"/>
              <w:bottom w:val="single" w:sz="8" w:space="0" w:color="auto"/>
              <w:right w:val="single" w:sz="8" w:space="0" w:color="auto"/>
            </w:tcBorders>
            <w:tcMar>
              <w:top w:w="0" w:type="dxa"/>
              <w:left w:w="108" w:type="dxa"/>
              <w:bottom w:w="0" w:type="dxa"/>
              <w:right w:w="108" w:type="dxa"/>
            </w:tcMar>
          </w:tcPr>
          <w:p w:rsidR="004A4BB0" w:rsidRDefault="004A4BB0" w:rsidP="004A4BB0">
            <w:pPr>
              <w:rPr>
                <w:rFonts w:ascii="Arial" w:hAnsi="Arial" w:cs="Arial"/>
                <w:sz w:val="22"/>
                <w:szCs w:val="22"/>
                <w:lang w:val="en-GB"/>
              </w:rPr>
            </w:pPr>
            <w:r w:rsidRPr="004A4BB0">
              <w:rPr>
                <w:rFonts w:ascii="Arial" w:hAnsi="Arial" w:cs="Arial"/>
                <w:sz w:val="22"/>
                <w:szCs w:val="22"/>
                <w:lang w:val="en-GB"/>
              </w:rPr>
              <w:t>Hypertension</w:t>
            </w:r>
          </w:p>
          <w:p w:rsidR="00D67401" w:rsidRPr="004A4BB0" w:rsidRDefault="00D67401" w:rsidP="004A4BB0">
            <w:pPr>
              <w:rPr>
                <w:rFonts w:ascii="Arial" w:hAnsi="Arial" w:cs="Arial"/>
                <w:sz w:val="22"/>
                <w:szCs w:val="22"/>
                <w:lang w:val="en-GB"/>
              </w:rPr>
            </w:pPr>
            <w:r w:rsidRPr="00D67401">
              <w:rPr>
                <w:rFonts w:ascii="Arial" w:hAnsi="Arial" w:cs="Arial"/>
                <w:sz w:val="22"/>
                <w:szCs w:val="22"/>
                <w:lang w:val="en-GB"/>
              </w:rPr>
              <w:t>Haemorrhage</w:t>
            </w:r>
            <w:r w:rsidR="00EE3B25" w:rsidRPr="00EE3B25">
              <w:rPr>
                <w:rFonts w:ascii="Arial" w:hAnsi="Arial" w:cs="Arial"/>
                <w:sz w:val="22"/>
                <w:szCs w:val="22"/>
                <w:vertAlign w:val="superscript"/>
                <w:lang w:val="en-GB"/>
              </w:rPr>
              <w:t>a</w:t>
            </w:r>
          </w:p>
        </w:tc>
      </w:tr>
      <w:tr w:rsidR="004A4BB0" w:rsidRPr="004A4BB0" w:rsidTr="004A4BB0">
        <w:trPr>
          <w:cantSplit/>
        </w:trPr>
        <w:tc>
          <w:tcPr>
            <w:tcW w:w="180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4A4BB0" w:rsidRPr="004A4BB0" w:rsidRDefault="004A4BB0" w:rsidP="004A4BB0">
            <w:pPr>
              <w:rPr>
                <w:rFonts w:ascii="Arial" w:hAnsi="Arial" w:cs="Arial"/>
                <w:sz w:val="22"/>
                <w:szCs w:val="22"/>
                <w:lang w:val="en-GB"/>
              </w:rPr>
            </w:pPr>
            <w:r w:rsidRPr="004A4BB0">
              <w:rPr>
                <w:rFonts w:ascii="Arial" w:hAnsi="Arial" w:cs="Arial"/>
                <w:sz w:val="22"/>
                <w:szCs w:val="22"/>
                <w:lang w:val="en-GB"/>
              </w:rPr>
              <w:t>Common</w:t>
            </w:r>
          </w:p>
        </w:tc>
        <w:tc>
          <w:tcPr>
            <w:tcW w:w="6839" w:type="dxa"/>
            <w:tcBorders>
              <w:top w:val="nil"/>
              <w:left w:val="nil"/>
              <w:bottom w:val="single" w:sz="8" w:space="0" w:color="auto"/>
              <w:right w:val="single" w:sz="8" w:space="0" w:color="auto"/>
            </w:tcBorders>
            <w:tcMar>
              <w:top w:w="0" w:type="dxa"/>
              <w:left w:w="108" w:type="dxa"/>
              <w:bottom w:w="0" w:type="dxa"/>
              <w:right w:w="108" w:type="dxa"/>
            </w:tcMar>
          </w:tcPr>
          <w:p w:rsidR="004A4BB0" w:rsidRPr="004A4BB0" w:rsidRDefault="004A4BB0" w:rsidP="004A4BB0">
            <w:pPr>
              <w:rPr>
                <w:rFonts w:ascii="Arial" w:hAnsi="Arial" w:cs="Arial"/>
                <w:sz w:val="22"/>
                <w:szCs w:val="22"/>
                <w:lang w:val="en-GB"/>
              </w:rPr>
            </w:pPr>
            <w:r w:rsidRPr="004A4BB0">
              <w:rPr>
                <w:rFonts w:ascii="Arial" w:hAnsi="Arial" w:cs="Arial"/>
                <w:sz w:val="22"/>
                <w:szCs w:val="22"/>
                <w:lang w:val="en-GB"/>
              </w:rPr>
              <w:t>Lymphoedema</w:t>
            </w:r>
          </w:p>
        </w:tc>
      </w:tr>
      <w:tr w:rsidR="004A4BB0" w:rsidRPr="004A4BB0" w:rsidTr="004A4BB0">
        <w:trPr>
          <w:cantSplit/>
        </w:trPr>
        <w:tc>
          <w:tcPr>
            <w:tcW w:w="863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4BB0" w:rsidRPr="004A4BB0" w:rsidRDefault="004A4BB0" w:rsidP="004A4BB0">
            <w:pPr>
              <w:rPr>
                <w:rFonts w:ascii="Arial" w:hAnsi="Arial" w:cs="Arial"/>
                <w:b/>
                <w:bCs/>
                <w:sz w:val="22"/>
                <w:szCs w:val="22"/>
                <w:lang w:val="en-GB"/>
              </w:rPr>
            </w:pPr>
            <w:r w:rsidRPr="004A4BB0">
              <w:rPr>
                <w:rFonts w:ascii="Arial" w:hAnsi="Arial" w:cs="Arial"/>
                <w:b/>
                <w:sz w:val="22"/>
                <w:szCs w:val="22"/>
                <w:lang w:val="en-GB"/>
              </w:rPr>
              <w:t>Respiratory, thoracic and mediastinal disorders</w:t>
            </w:r>
          </w:p>
        </w:tc>
      </w:tr>
      <w:tr w:rsidR="004A4BB0" w:rsidRPr="004A4BB0" w:rsidTr="004A4BB0">
        <w:trPr>
          <w:cantSplit/>
        </w:trPr>
        <w:tc>
          <w:tcPr>
            <w:tcW w:w="180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4A4BB0" w:rsidRPr="004A4BB0" w:rsidRDefault="004A4BB0" w:rsidP="004A4BB0">
            <w:pPr>
              <w:rPr>
                <w:rFonts w:ascii="Arial" w:hAnsi="Arial" w:cs="Arial"/>
                <w:sz w:val="22"/>
                <w:szCs w:val="22"/>
                <w:lang w:val="en-GB"/>
              </w:rPr>
            </w:pPr>
            <w:r w:rsidRPr="004A4BB0">
              <w:rPr>
                <w:rFonts w:ascii="Arial" w:hAnsi="Arial" w:cs="Arial"/>
                <w:sz w:val="22"/>
                <w:szCs w:val="22"/>
                <w:lang w:val="en-GB"/>
              </w:rPr>
              <w:t>Very common</w:t>
            </w:r>
          </w:p>
        </w:tc>
        <w:tc>
          <w:tcPr>
            <w:tcW w:w="6839" w:type="dxa"/>
            <w:tcBorders>
              <w:top w:val="nil"/>
              <w:left w:val="nil"/>
              <w:bottom w:val="single" w:sz="8" w:space="0" w:color="auto"/>
              <w:right w:val="single" w:sz="8" w:space="0" w:color="auto"/>
            </w:tcBorders>
            <w:tcMar>
              <w:top w:w="0" w:type="dxa"/>
              <w:left w:w="108" w:type="dxa"/>
              <w:bottom w:w="0" w:type="dxa"/>
              <w:right w:w="108" w:type="dxa"/>
            </w:tcMar>
          </w:tcPr>
          <w:p w:rsidR="004A4BB0" w:rsidRPr="004A4BB0" w:rsidRDefault="004A4BB0" w:rsidP="004A4BB0">
            <w:pPr>
              <w:rPr>
                <w:rFonts w:ascii="Arial" w:hAnsi="Arial" w:cs="Arial"/>
                <w:sz w:val="22"/>
                <w:szCs w:val="22"/>
                <w:lang w:val="en-GB"/>
              </w:rPr>
            </w:pPr>
            <w:r w:rsidRPr="004A4BB0">
              <w:rPr>
                <w:rFonts w:ascii="Arial" w:hAnsi="Arial" w:cs="Arial"/>
                <w:sz w:val="22"/>
                <w:szCs w:val="22"/>
                <w:lang w:val="en-GB"/>
              </w:rPr>
              <w:t>Cough</w:t>
            </w:r>
          </w:p>
          <w:p w:rsidR="004A4BB0" w:rsidRPr="004A4BB0" w:rsidRDefault="004A4BB0" w:rsidP="004A4BB0">
            <w:pPr>
              <w:rPr>
                <w:rFonts w:ascii="Arial" w:hAnsi="Arial" w:cs="Arial"/>
                <w:sz w:val="22"/>
                <w:szCs w:val="22"/>
                <w:lang w:val="en-GB"/>
              </w:rPr>
            </w:pPr>
            <w:r w:rsidRPr="004A4BB0">
              <w:rPr>
                <w:rFonts w:ascii="Arial" w:hAnsi="Arial" w:cs="Arial"/>
                <w:sz w:val="22"/>
                <w:szCs w:val="22"/>
                <w:lang w:val="en-GB"/>
              </w:rPr>
              <w:t>Dyspnoea</w:t>
            </w:r>
          </w:p>
        </w:tc>
      </w:tr>
      <w:tr w:rsidR="004A4BB0" w:rsidRPr="004A4BB0" w:rsidTr="004A4BB0">
        <w:trPr>
          <w:cantSplit/>
        </w:trPr>
        <w:tc>
          <w:tcPr>
            <w:tcW w:w="180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4A4BB0" w:rsidRPr="004A4BB0" w:rsidRDefault="004A4BB0" w:rsidP="004A4BB0">
            <w:pPr>
              <w:rPr>
                <w:rFonts w:ascii="Arial" w:hAnsi="Arial" w:cs="Arial"/>
                <w:sz w:val="22"/>
                <w:szCs w:val="22"/>
                <w:lang w:val="en-GB"/>
              </w:rPr>
            </w:pPr>
            <w:r w:rsidRPr="004A4BB0">
              <w:rPr>
                <w:rFonts w:ascii="Arial" w:hAnsi="Arial" w:cs="Arial"/>
                <w:sz w:val="22"/>
                <w:szCs w:val="22"/>
                <w:lang w:val="en-GB"/>
              </w:rPr>
              <w:t>Common</w:t>
            </w:r>
          </w:p>
        </w:tc>
        <w:tc>
          <w:tcPr>
            <w:tcW w:w="6839" w:type="dxa"/>
            <w:tcBorders>
              <w:top w:val="nil"/>
              <w:left w:val="nil"/>
              <w:bottom w:val="single" w:sz="8" w:space="0" w:color="auto"/>
              <w:right w:val="single" w:sz="8" w:space="0" w:color="auto"/>
            </w:tcBorders>
            <w:tcMar>
              <w:top w:w="0" w:type="dxa"/>
              <w:left w:w="108" w:type="dxa"/>
              <w:bottom w:w="0" w:type="dxa"/>
              <w:right w:w="108" w:type="dxa"/>
            </w:tcMar>
          </w:tcPr>
          <w:p w:rsidR="004A4BB0" w:rsidRDefault="004A4BB0" w:rsidP="004A4BB0">
            <w:pPr>
              <w:rPr>
                <w:rFonts w:ascii="Arial" w:hAnsi="Arial" w:cs="Arial"/>
                <w:sz w:val="22"/>
                <w:szCs w:val="22"/>
                <w:lang w:val="en-GB"/>
              </w:rPr>
            </w:pPr>
            <w:r w:rsidRPr="004A4BB0">
              <w:rPr>
                <w:rFonts w:ascii="Arial" w:hAnsi="Arial" w:cs="Arial"/>
                <w:sz w:val="22"/>
                <w:szCs w:val="22"/>
                <w:lang w:val="en-GB"/>
              </w:rPr>
              <w:t>Epistaxis</w:t>
            </w:r>
          </w:p>
          <w:p w:rsidR="00E946DF" w:rsidRPr="004A4BB0" w:rsidRDefault="00E946DF" w:rsidP="004A4BB0">
            <w:pPr>
              <w:rPr>
                <w:rFonts w:ascii="Arial" w:hAnsi="Arial" w:cs="Arial"/>
                <w:sz w:val="22"/>
                <w:szCs w:val="22"/>
                <w:lang w:val="en-GB"/>
              </w:rPr>
            </w:pPr>
            <w:r w:rsidRPr="004A4BB0">
              <w:rPr>
                <w:rFonts w:ascii="Arial" w:hAnsi="Arial" w:cs="Arial"/>
                <w:sz w:val="22"/>
                <w:szCs w:val="22"/>
                <w:lang w:val="en-GB"/>
              </w:rPr>
              <w:t>Pneumonitis</w:t>
            </w:r>
          </w:p>
        </w:tc>
      </w:tr>
      <w:tr w:rsidR="004A4BB0" w:rsidRPr="004A4BB0" w:rsidTr="004A4BB0">
        <w:trPr>
          <w:cantSplit/>
        </w:trPr>
        <w:tc>
          <w:tcPr>
            <w:tcW w:w="180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4A4BB0" w:rsidRPr="004A4BB0" w:rsidRDefault="004A4BB0" w:rsidP="004A4BB0">
            <w:pPr>
              <w:rPr>
                <w:rFonts w:ascii="Arial" w:hAnsi="Arial" w:cs="Arial"/>
                <w:sz w:val="22"/>
                <w:szCs w:val="22"/>
                <w:lang w:val="en-GB"/>
              </w:rPr>
            </w:pPr>
            <w:r w:rsidRPr="004A4BB0">
              <w:rPr>
                <w:rFonts w:ascii="Arial" w:hAnsi="Arial" w:cs="Arial"/>
                <w:sz w:val="22"/>
                <w:szCs w:val="22"/>
                <w:lang w:val="en-GB"/>
              </w:rPr>
              <w:t>Uncommon</w:t>
            </w:r>
          </w:p>
        </w:tc>
        <w:tc>
          <w:tcPr>
            <w:tcW w:w="6839" w:type="dxa"/>
            <w:tcBorders>
              <w:top w:val="nil"/>
              <w:left w:val="nil"/>
              <w:bottom w:val="single" w:sz="8" w:space="0" w:color="auto"/>
              <w:right w:val="single" w:sz="8" w:space="0" w:color="auto"/>
            </w:tcBorders>
            <w:tcMar>
              <w:top w:w="0" w:type="dxa"/>
              <w:left w:w="108" w:type="dxa"/>
              <w:bottom w:w="0" w:type="dxa"/>
              <w:right w:w="108" w:type="dxa"/>
            </w:tcMar>
          </w:tcPr>
          <w:p w:rsidR="004A4BB0" w:rsidRPr="004A4BB0" w:rsidRDefault="004A4BB0" w:rsidP="004A4BB0">
            <w:pPr>
              <w:rPr>
                <w:rFonts w:ascii="Arial" w:hAnsi="Arial" w:cs="Arial"/>
                <w:sz w:val="22"/>
                <w:szCs w:val="22"/>
                <w:lang w:val="en-GB"/>
              </w:rPr>
            </w:pPr>
            <w:r w:rsidRPr="004A4BB0">
              <w:rPr>
                <w:rFonts w:ascii="Arial" w:hAnsi="Arial" w:cs="Arial"/>
                <w:sz w:val="22"/>
                <w:szCs w:val="22"/>
                <w:lang w:val="en-GB"/>
              </w:rPr>
              <w:t>Interstitial lung disease</w:t>
            </w:r>
          </w:p>
        </w:tc>
      </w:tr>
      <w:tr w:rsidR="004A4BB0" w:rsidRPr="004A4BB0" w:rsidTr="004A4BB0">
        <w:trPr>
          <w:cantSplit/>
        </w:trPr>
        <w:tc>
          <w:tcPr>
            <w:tcW w:w="863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4BB0" w:rsidRPr="004A4BB0" w:rsidRDefault="004A4BB0" w:rsidP="004A4BB0">
            <w:pPr>
              <w:rPr>
                <w:rFonts w:ascii="Arial" w:hAnsi="Arial" w:cs="Arial"/>
                <w:b/>
                <w:bCs/>
                <w:sz w:val="22"/>
                <w:szCs w:val="22"/>
                <w:lang w:val="en-GB"/>
              </w:rPr>
            </w:pPr>
            <w:r w:rsidRPr="004A4BB0">
              <w:rPr>
                <w:rFonts w:ascii="Arial" w:hAnsi="Arial" w:cs="Arial"/>
                <w:b/>
                <w:sz w:val="22"/>
                <w:szCs w:val="22"/>
                <w:lang w:val="en-GB"/>
              </w:rPr>
              <w:t>Gastrointestinal disorders</w:t>
            </w:r>
          </w:p>
        </w:tc>
      </w:tr>
      <w:tr w:rsidR="004A4BB0" w:rsidRPr="004A4BB0" w:rsidTr="004A4BB0">
        <w:trPr>
          <w:cantSplit/>
        </w:trPr>
        <w:tc>
          <w:tcPr>
            <w:tcW w:w="180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4BB0" w:rsidRPr="004A4BB0" w:rsidRDefault="004A4BB0" w:rsidP="004A4BB0">
            <w:pPr>
              <w:rPr>
                <w:rFonts w:ascii="Arial" w:hAnsi="Arial" w:cs="Arial"/>
                <w:sz w:val="22"/>
                <w:szCs w:val="22"/>
                <w:lang w:val="en-GB"/>
              </w:rPr>
            </w:pPr>
            <w:r w:rsidRPr="004A4BB0">
              <w:rPr>
                <w:rFonts w:ascii="Arial" w:hAnsi="Arial" w:cs="Arial"/>
                <w:sz w:val="22"/>
                <w:szCs w:val="22"/>
                <w:lang w:val="en-GB"/>
              </w:rPr>
              <w:t>Very common</w:t>
            </w:r>
          </w:p>
        </w:tc>
        <w:tc>
          <w:tcPr>
            <w:tcW w:w="6839" w:type="dxa"/>
            <w:tcBorders>
              <w:top w:val="nil"/>
              <w:left w:val="single" w:sz="8" w:space="0" w:color="auto"/>
              <w:bottom w:val="single" w:sz="8" w:space="0" w:color="auto"/>
              <w:right w:val="single" w:sz="8" w:space="0" w:color="auto"/>
            </w:tcBorders>
          </w:tcPr>
          <w:p w:rsidR="004A4BB0" w:rsidRPr="004A4BB0" w:rsidRDefault="004A4BB0" w:rsidP="009912F5">
            <w:pPr>
              <w:ind w:left="120"/>
              <w:rPr>
                <w:rFonts w:ascii="Arial" w:hAnsi="Arial" w:cs="Arial"/>
                <w:sz w:val="22"/>
                <w:szCs w:val="22"/>
                <w:lang w:val="en-GB"/>
              </w:rPr>
            </w:pPr>
            <w:r w:rsidRPr="004A4BB0">
              <w:rPr>
                <w:rFonts w:ascii="Arial" w:hAnsi="Arial" w:cs="Arial"/>
                <w:sz w:val="22"/>
                <w:szCs w:val="22"/>
                <w:lang w:val="en-GB"/>
              </w:rPr>
              <w:t>Diarrhoea</w:t>
            </w:r>
          </w:p>
          <w:p w:rsidR="004A4BB0" w:rsidRPr="004A4BB0" w:rsidRDefault="004A4BB0" w:rsidP="009912F5">
            <w:pPr>
              <w:ind w:left="120"/>
              <w:rPr>
                <w:rFonts w:ascii="Arial" w:hAnsi="Arial" w:cs="Arial"/>
                <w:sz w:val="22"/>
                <w:szCs w:val="22"/>
                <w:lang w:val="en-GB"/>
              </w:rPr>
            </w:pPr>
            <w:r w:rsidRPr="004A4BB0">
              <w:rPr>
                <w:rFonts w:ascii="Arial" w:hAnsi="Arial" w:cs="Arial"/>
                <w:sz w:val="22"/>
                <w:szCs w:val="22"/>
                <w:lang w:val="en-GB"/>
              </w:rPr>
              <w:t>Nausea</w:t>
            </w:r>
          </w:p>
          <w:p w:rsidR="004A4BB0" w:rsidRPr="004A4BB0" w:rsidRDefault="004A4BB0" w:rsidP="009912F5">
            <w:pPr>
              <w:ind w:left="120"/>
              <w:rPr>
                <w:rFonts w:ascii="Arial" w:hAnsi="Arial" w:cs="Arial"/>
                <w:sz w:val="22"/>
                <w:szCs w:val="22"/>
                <w:lang w:val="en-GB"/>
              </w:rPr>
            </w:pPr>
            <w:r w:rsidRPr="004A4BB0">
              <w:rPr>
                <w:rFonts w:ascii="Arial" w:hAnsi="Arial" w:cs="Arial"/>
                <w:sz w:val="22"/>
                <w:szCs w:val="22"/>
                <w:lang w:val="en-GB"/>
              </w:rPr>
              <w:t>Vomiting</w:t>
            </w:r>
          </w:p>
          <w:p w:rsidR="004A4BB0" w:rsidRPr="004A4BB0" w:rsidRDefault="004A4BB0" w:rsidP="009912F5">
            <w:pPr>
              <w:ind w:left="120"/>
              <w:rPr>
                <w:rFonts w:ascii="Arial" w:hAnsi="Arial" w:cs="Arial"/>
                <w:sz w:val="22"/>
                <w:szCs w:val="22"/>
                <w:lang w:val="en-GB"/>
              </w:rPr>
            </w:pPr>
            <w:r w:rsidRPr="004A4BB0">
              <w:rPr>
                <w:rFonts w:ascii="Arial" w:hAnsi="Arial" w:cs="Arial"/>
                <w:sz w:val="22"/>
                <w:szCs w:val="22"/>
                <w:lang w:val="en-GB"/>
              </w:rPr>
              <w:t>Constipation</w:t>
            </w:r>
          </w:p>
          <w:p w:rsidR="004A4BB0" w:rsidRPr="004A4BB0" w:rsidRDefault="004A4BB0" w:rsidP="009912F5">
            <w:pPr>
              <w:ind w:left="120"/>
              <w:rPr>
                <w:rFonts w:ascii="Arial" w:hAnsi="Arial" w:cs="Arial"/>
                <w:sz w:val="22"/>
                <w:szCs w:val="22"/>
                <w:lang w:val="en-GB"/>
              </w:rPr>
            </w:pPr>
            <w:r w:rsidRPr="004A4BB0">
              <w:rPr>
                <w:rFonts w:ascii="Arial" w:hAnsi="Arial" w:cs="Arial"/>
                <w:sz w:val="22"/>
                <w:szCs w:val="22"/>
                <w:lang w:val="en-GB"/>
              </w:rPr>
              <w:t>Abdominal pain</w:t>
            </w:r>
          </w:p>
          <w:p w:rsidR="004A4BB0" w:rsidRPr="004A4BB0" w:rsidRDefault="004A4BB0" w:rsidP="009912F5">
            <w:pPr>
              <w:ind w:left="120"/>
              <w:rPr>
                <w:rFonts w:ascii="Arial" w:hAnsi="Arial" w:cs="Arial"/>
                <w:sz w:val="22"/>
                <w:szCs w:val="22"/>
                <w:lang w:val="en-GB"/>
              </w:rPr>
            </w:pPr>
            <w:r w:rsidRPr="004A4BB0">
              <w:rPr>
                <w:rFonts w:ascii="Arial" w:hAnsi="Arial" w:cs="Arial"/>
                <w:sz w:val="22"/>
                <w:szCs w:val="22"/>
                <w:lang w:val="en-GB"/>
              </w:rPr>
              <w:t>Dry Mouth</w:t>
            </w:r>
          </w:p>
        </w:tc>
      </w:tr>
      <w:tr w:rsidR="004A4BB0" w:rsidRPr="004A4BB0" w:rsidTr="004A4BB0">
        <w:trPr>
          <w:cantSplit/>
        </w:trPr>
        <w:tc>
          <w:tcPr>
            <w:tcW w:w="180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4BB0" w:rsidRPr="004A4BB0" w:rsidRDefault="004A4BB0" w:rsidP="004A4BB0">
            <w:pPr>
              <w:rPr>
                <w:rFonts w:ascii="Arial" w:hAnsi="Arial" w:cs="Arial"/>
                <w:sz w:val="22"/>
                <w:szCs w:val="22"/>
                <w:lang w:val="en-GB"/>
              </w:rPr>
            </w:pPr>
            <w:r w:rsidRPr="004A4BB0">
              <w:rPr>
                <w:rFonts w:ascii="Arial" w:hAnsi="Arial" w:cs="Arial"/>
                <w:sz w:val="22"/>
                <w:szCs w:val="22"/>
                <w:lang w:val="en-GB"/>
              </w:rPr>
              <w:t>Common</w:t>
            </w:r>
          </w:p>
        </w:tc>
        <w:tc>
          <w:tcPr>
            <w:tcW w:w="6839" w:type="dxa"/>
            <w:tcBorders>
              <w:top w:val="nil"/>
              <w:left w:val="single" w:sz="8" w:space="0" w:color="auto"/>
              <w:bottom w:val="single" w:sz="8" w:space="0" w:color="auto"/>
              <w:right w:val="single" w:sz="8" w:space="0" w:color="auto"/>
            </w:tcBorders>
          </w:tcPr>
          <w:p w:rsidR="004623A3" w:rsidRDefault="004A4BB0">
            <w:pPr>
              <w:ind w:left="120"/>
              <w:rPr>
                <w:rFonts w:ascii="Arial" w:hAnsi="Arial" w:cs="Arial"/>
                <w:sz w:val="22"/>
                <w:szCs w:val="22"/>
                <w:lang w:val="en-GB"/>
              </w:rPr>
            </w:pPr>
            <w:r w:rsidRPr="004A4BB0">
              <w:rPr>
                <w:rFonts w:ascii="Arial" w:hAnsi="Arial" w:cs="Arial"/>
                <w:sz w:val="22"/>
                <w:szCs w:val="22"/>
                <w:lang w:val="en-GB"/>
              </w:rPr>
              <w:t>Stomatitis</w:t>
            </w:r>
          </w:p>
          <w:p w:rsidR="003B5747" w:rsidRDefault="003B5747">
            <w:pPr>
              <w:ind w:left="120"/>
              <w:rPr>
                <w:rFonts w:ascii="Arial" w:hAnsi="Arial" w:cs="Arial"/>
                <w:sz w:val="22"/>
                <w:szCs w:val="22"/>
                <w:lang w:val="en-GB"/>
              </w:rPr>
            </w:pPr>
          </w:p>
        </w:tc>
      </w:tr>
      <w:tr w:rsidR="004A4BB0" w:rsidRPr="004A4BB0" w:rsidTr="00D67401">
        <w:trPr>
          <w:cantSplit/>
          <w:trHeight w:val="112"/>
        </w:trPr>
        <w:tc>
          <w:tcPr>
            <w:tcW w:w="863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4BB0" w:rsidRPr="004A4BB0" w:rsidRDefault="004A4BB0" w:rsidP="007D27A0">
            <w:pPr>
              <w:keepNext/>
              <w:rPr>
                <w:rFonts w:ascii="Arial" w:hAnsi="Arial" w:cs="Arial"/>
                <w:b/>
                <w:sz w:val="22"/>
                <w:szCs w:val="22"/>
                <w:lang w:val="en-GB"/>
              </w:rPr>
            </w:pPr>
            <w:r w:rsidRPr="004A4BB0">
              <w:rPr>
                <w:rFonts w:ascii="Arial" w:hAnsi="Arial" w:cs="Arial"/>
                <w:b/>
                <w:sz w:val="22"/>
                <w:szCs w:val="22"/>
                <w:lang w:val="en-GB"/>
              </w:rPr>
              <w:t>Hepatobiliary disorders</w:t>
            </w:r>
          </w:p>
        </w:tc>
      </w:tr>
      <w:tr w:rsidR="004A4BB0" w:rsidRPr="004A4BB0" w:rsidTr="004A4BB0">
        <w:trPr>
          <w:cantSplit/>
        </w:trPr>
        <w:tc>
          <w:tcPr>
            <w:tcW w:w="180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4BB0" w:rsidRPr="004A4BB0" w:rsidRDefault="004A4BB0" w:rsidP="004A4BB0">
            <w:pPr>
              <w:rPr>
                <w:rFonts w:ascii="Arial" w:hAnsi="Arial" w:cs="Arial"/>
                <w:b/>
                <w:sz w:val="22"/>
                <w:szCs w:val="22"/>
                <w:lang w:val="en-GB"/>
              </w:rPr>
            </w:pPr>
            <w:r w:rsidRPr="004A4BB0">
              <w:rPr>
                <w:rFonts w:ascii="Arial" w:hAnsi="Arial" w:cs="Arial"/>
                <w:sz w:val="22"/>
                <w:szCs w:val="22"/>
                <w:lang w:val="en-GB"/>
              </w:rPr>
              <w:t>Common</w:t>
            </w:r>
          </w:p>
        </w:tc>
        <w:tc>
          <w:tcPr>
            <w:tcW w:w="6839" w:type="dxa"/>
            <w:tcBorders>
              <w:top w:val="nil"/>
              <w:left w:val="single" w:sz="8" w:space="0" w:color="auto"/>
              <w:bottom w:val="single" w:sz="8" w:space="0" w:color="auto"/>
              <w:right w:val="single" w:sz="8" w:space="0" w:color="auto"/>
            </w:tcBorders>
          </w:tcPr>
          <w:p w:rsidR="004A4BB0" w:rsidRPr="004A4BB0" w:rsidRDefault="004A4BB0" w:rsidP="009912F5">
            <w:pPr>
              <w:ind w:left="120"/>
              <w:rPr>
                <w:rFonts w:ascii="Arial" w:hAnsi="Arial" w:cs="Arial"/>
                <w:sz w:val="22"/>
                <w:szCs w:val="22"/>
                <w:lang w:val="en-GB"/>
              </w:rPr>
            </w:pPr>
            <w:r w:rsidRPr="004A4BB0">
              <w:rPr>
                <w:rFonts w:ascii="Arial" w:hAnsi="Arial" w:cs="Arial"/>
                <w:sz w:val="22"/>
                <w:szCs w:val="22"/>
                <w:lang w:val="en-GB"/>
              </w:rPr>
              <w:t>Aspartate aminotransferase increased</w:t>
            </w:r>
          </w:p>
          <w:p w:rsidR="004A4BB0" w:rsidRPr="004A4BB0" w:rsidRDefault="004A4BB0" w:rsidP="009912F5">
            <w:pPr>
              <w:ind w:left="120"/>
              <w:rPr>
                <w:rFonts w:ascii="Arial" w:hAnsi="Arial" w:cs="Arial"/>
                <w:sz w:val="22"/>
                <w:szCs w:val="22"/>
                <w:lang w:val="en-GB"/>
              </w:rPr>
            </w:pPr>
            <w:r w:rsidRPr="004A4BB0">
              <w:rPr>
                <w:rFonts w:ascii="Arial" w:hAnsi="Arial" w:cs="Arial"/>
                <w:sz w:val="22"/>
                <w:szCs w:val="22"/>
                <w:lang w:val="en-GB"/>
              </w:rPr>
              <w:t>Alanine aminotransferase increased</w:t>
            </w:r>
          </w:p>
          <w:p w:rsidR="004A4BB0" w:rsidRDefault="004A4BB0" w:rsidP="009912F5">
            <w:pPr>
              <w:ind w:left="120"/>
              <w:rPr>
                <w:rFonts w:ascii="Arial" w:hAnsi="Arial" w:cs="Arial"/>
                <w:sz w:val="22"/>
                <w:szCs w:val="22"/>
                <w:lang w:val="en-GB"/>
              </w:rPr>
            </w:pPr>
            <w:r w:rsidRPr="004A4BB0">
              <w:rPr>
                <w:rFonts w:ascii="Arial" w:hAnsi="Arial" w:cs="Arial"/>
                <w:sz w:val="22"/>
                <w:szCs w:val="22"/>
                <w:lang w:val="en-GB"/>
              </w:rPr>
              <w:t>Blood alkaline phosphatase increased</w:t>
            </w:r>
          </w:p>
          <w:p w:rsidR="003B5747" w:rsidRPr="004A4BB0" w:rsidRDefault="003B5747" w:rsidP="009912F5">
            <w:pPr>
              <w:ind w:left="120"/>
              <w:rPr>
                <w:rFonts w:ascii="Arial" w:hAnsi="Arial" w:cs="Arial"/>
                <w:b/>
                <w:sz w:val="22"/>
                <w:szCs w:val="22"/>
                <w:lang w:val="en-GB"/>
              </w:rPr>
            </w:pPr>
          </w:p>
        </w:tc>
      </w:tr>
      <w:tr w:rsidR="004A4BB0" w:rsidRPr="004A4BB0" w:rsidTr="004A4BB0">
        <w:trPr>
          <w:cantSplit/>
        </w:trPr>
        <w:tc>
          <w:tcPr>
            <w:tcW w:w="863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4BB0" w:rsidRPr="004A4BB0" w:rsidRDefault="004A4BB0" w:rsidP="004A4BB0">
            <w:pPr>
              <w:rPr>
                <w:rFonts w:ascii="Arial" w:hAnsi="Arial" w:cs="Arial"/>
                <w:b/>
                <w:bCs/>
                <w:sz w:val="22"/>
                <w:szCs w:val="22"/>
                <w:lang w:val="en-GB"/>
              </w:rPr>
            </w:pPr>
            <w:r w:rsidRPr="004A4BB0">
              <w:rPr>
                <w:rFonts w:ascii="Arial" w:hAnsi="Arial" w:cs="Arial"/>
                <w:b/>
                <w:sz w:val="22"/>
                <w:szCs w:val="22"/>
                <w:lang w:val="en-GB"/>
              </w:rPr>
              <w:lastRenderedPageBreak/>
              <w:t>Skin and Subcutaneous Tissue Disorders</w:t>
            </w:r>
          </w:p>
        </w:tc>
      </w:tr>
      <w:tr w:rsidR="004A4BB0" w:rsidRPr="004A4BB0" w:rsidTr="004A4BB0">
        <w:trPr>
          <w:cantSplit/>
          <w:trHeight w:val="508"/>
        </w:trPr>
        <w:tc>
          <w:tcPr>
            <w:tcW w:w="180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4A4BB0" w:rsidRPr="004A4BB0" w:rsidRDefault="004A4BB0" w:rsidP="004A4BB0">
            <w:pPr>
              <w:rPr>
                <w:rFonts w:ascii="Arial" w:hAnsi="Arial" w:cs="Arial"/>
                <w:sz w:val="22"/>
                <w:szCs w:val="22"/>
                <w:lang w:val="en-GB"/>
              </w:rPr>
            </w:pPr>
            <w:r w:rsidRPr="004A4BB0">
              <w:rPr>
                <w:rFonts w:ascii="Arial" w:hAnsi="Arial" w:cs="Arial"/>
                <w:sz w:val="22"/>
                <w:szCs w:val="22"/>
                <w:lang w:val="en-GB"/>
              </w:rPr>
              <w:t>Very common</w:t>
            </w:r>
          </w:p>
        </w:tc>
        <w:tc>
          <w:tcPr>
            <w:tcW w:w="6839" w:type="dxa"/>
            <w:tcBorders>
              <w:top w:val="nil"/>
              <w:left w:val="nil"/>
              <w:bottom w:val="single" w:sz="8" w:space="0" w:color="auto"/>
              <w:right w:val="single" w:sz="8" w:space="0" w:color="auto"/>
            </w:tcBorders>
            <w:tcMar>
              <w:top w:w="0" w:type="dxa"/>
              <w:left w:w="108" w:type="dxa"/>
              <w:bottom w:w="0" w:type="dxa"/>
              <w:right w:w="108" w:type="dxa"/>
            </w:tcMar>
          </w:tcPr>
          <w:p w:rsidR="004A4BB0" w:rsidRPr="004A4BB0" w:rsidRDefault="004A4BB0" w:rsidP="004A4BB0">
            <w:pPr>
              <w:rPr>
                <w:rFonts w:ascii="Arial" w:hAnsi="Arial" w:cs="Arial"/>
                <w:sz w:val="22"/>
                <w:szCs w:val="22"/>
                <w:lang w:val="en-GB"/>
              </w:rPr>
            </w:pPr>
            <w:r w:rsidRPr="004A4BB0">
              <w:rPr>
                <w:rFonts w:ascii="Arial" w:hAnsi="Arial" w:cs="Arial"/>
                <w:sz w:val="22"/>
                <w:szCs w:val="22"/>
                <w:lang w:val="en-GB"/>
              </w:rPr>
              <w:t xml:space="preserve">Rash </w:t>
            </w:r>
          </w:p>
          <w:p w:rsidR="004A4BB0" w:rsidRPr="004A4BB0" w:rsidRDefault="004A4BB0" w:rsidP="004A4BB0">
            <w:pPr>
              <w:rPr>
                <w:rFonts w:ascii="Arial" w:hAnsi="Arial" w:cs="Arial"/>
                <w:sz w:val="22"/>
                <w:szCs w:val="22"/>
                <w:lang w:val="en-GB"/>
              </w:rPr>
            </w:pPr>
            <w:r w:rsidRPr="004A4BB0">
              <w:rPr>
                <w:rFonts w:ascii="Arial" w:hAnsi="Arial" w:cs="Arial"/>
                <w:sz w:val="22"/>
                <w:szCs w:val="22"/>
                <w:lang w:val="en-GB"/>
              </w:rPr>
              <w:t>Dermatitis acneiform</w:t>
            </w:r>
          </w:p>
          <w:p w:rsidR="004A4BB0" w:rsidRPr="004A4BB0" w:rsidRDefault="004A4BB0" w:rsidP="004A4BB0">
            <w:pPr>
              <w:rPr>
                <w:rFonts w:ascii="Arial" w:hAnsi="Arial" w:cs="Arial"/>
                <w:sz w:val="22"/>
                <w:szCs w:val="22"/>
                <w:lang w:val="en-GB"/>
              </w:rPr>
            </w:pPr>
            <w:r w:rsidRPr="004A4BB0">
              <w:rPr>
                <w:rFonts w:ascii="Arial" w:hAnsi="Arial" w:cs="Arial"/>
                <w:sz w:val="22"/>
                <w:szCs w:val="22"/>
                <w:lang w:val="en-GB"/>
              </w:rPr>
              <w:t>Dry skin</w:t>
            </w:r>
          </w:p>
          <w:p w:rsidR="004A4BB0" w:rsidRPr="004A4BB0" w:rsidRDefault="004A4BB0" w:rsidP="004A4BB0">
            <w:pPr>
              <w:rPr>
                <w:rFonts w:ascii="Arial" w:hAnsi="Arial" w:cs="Arial"/>
                <w:sz w:val="22"/>
                <w:szCs w:val="22"/>
                <w:lang w:val="en-GB"/>
              </w:rPr>
            </w:pPr>
            <w:r w:rsidRPr="004A4BB0">
              <w:rPr>
                <w:rFonts w:ascii="Arial" w:hAnsi="Arial" w:cs="Arial"/>
                <w:sz w:val="22"/>
                <w:szCs w:val="22"/>
                <w:lang w:val="en-GB"/>
              </w:rPr>
              <w:t>Pruritus</w:t>
            </w:r>
          </w:p>
          <w:p w:rsidR="004A4BB0" w:rsidRPr="004A4BB0" w:rsidRDefault="004A4BB0" w:rsidP="004A4BB0">
            <w:pPr>
              <w:rPr>
                <w:rFonts w:ascii="Arial" w:hAnsi="Arial" w:cs="Arial"/>
                <w:sz w:val="22"/>
                <w:szCs w:val="22"/>
                <w:lang w:val="en-GB"/>
              </w:rPr>
            </w:pPr>
            <w:r w:rsidRPr="004A4BB0">
              <w:rPr>
                <w:rFonts w:ascii="Arial" w:hAnsi="Arial" w:cs="Arial"/>
                <w:sz w:val="22"/>
                <w:szCs w:val="22"/>
                <w:lang w:val="en-GB"/>
              </w:rPr>
              <w:t>Alopecia</w:t>
            </w:r>
          </w:p>
        </w:tc>
      </w:tr>
      <w:tr w:rsidR="004A4BB0" w:rsidRPr="004A4BB0" w:rsidTr="00D67401">
        <w:trPr>
          <w:cantSplit/>
          <w:trHeight w:val="940"/>
        </w:trPr>
        <w:tc>
          <w:tcPr>
            <w:tcW w:w="180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4A4BB0" w:rsidRPr="004A4BB0" w:rsidRDefault="004A4BB0" w:rsidP="004A4BB0">
            <w:pPr>
              <w:rPr>
                <w:rFonts w:ascii="Arial" w:hAnsi="Arial" w:cs="Arial"/>
                <w:sz w:val="22"/>
                <w:szCs w:val="22"/>
                <w:lang w:val="en-GB"/>
              </w:rPr>
            </w:pPr>
            <w:r w:rsidRPr="004A4BB0">
              <w:rPr>
                <w:rFonts w:ascii="Arial" w:hAnsi="Arial" w:cs="Arial"/>
                <w:sz w:val="22"/>
                <w:szCs w:val="22"/>
                <w:lang w:val="en-GB"/>
              </w:rPr>
              <w:t>Common</w:t>
            </w:r>
          </w:p>
        </w:tc>
        <w:tc>
          <w:tcPr>
            <w:tcW w:w="6839" w:type="dxa"/>
            <w:tcBorders>
              <w:top w:val="nil"/>
              <w:left w:val="nil"/>
              <w:bottom w:val="single" w:sz="8" w:space="0" w:color="auto"/>
              <w:right w:val="single" w:sz="8" w:space="0" w:color="auto"/>
            </w:tcBorders>
            <w:tcMar>
              <w:top w:w="0" w:type="dxa"/>
              <w:left w:w="108" w:type="dxa"/>
              <w:bottom w:w="0" w:type="dxa"/>
              <w:right w:w="108" w:type="dxa"/>
            </w:tcMar>
          </w:tcPr>
          <w:p w:rsidR="004A4BB0" w:rsidRPr="004A4BB0" w:rsidRDefault="004A4BB0" w:rsidP="004A4BB0">
            <w:pPr>
              <w:rPr>
                <w:rFonts w:ascii="Arial" w:hAnsi="Arial" w:cs="Arial"/>
                <w:sz w:val="22"/>
                <w:szCs w:val="22"/>
                <w:lang w:val="en-GB"/>
              </w:rPr>
            </w:pPr>
            <w:r w:rsidRPr="004A4BB0">
              <w:rPr>
                <w:rFonts w:ascii="Arial" w:hAnsi="Arial" w:cs="Arial"/>
                <w:sz w:val="22"/>
                <w:szCs w:val="22"/>
                <w:lang w:val="en-GB"/>
              </w:rPr>
              <w:t>Skin chapped</w:t>
            </w:r>
          </w:p>
          <w:p w:rsidR="004A4BB0" w:rsidRPr="004A4BB0" w:rsidRDefault="004A4BB0" w:rsidP="004A4BB0">
            <w:pPr>
              <w:rPr>
                <w:rFonts w:ascii="Arial" w:hAnsi="Arial" w:cs="Arial"/>
                <w:sz w:val="22"/>
                <w:szCs w:val="22"/>
                <w:lang w:val="en-GB"/>
              </w:rPr>
            </w:pPr>
            <w:r w:rsidRPr="004A4BB0">
              <w:rPr>
                <w:rFonts w:ascii="Arial" w:hAnsi="Arial" w:cs="Arial"/>
                <w:sz w:val="22"/>
                <w:szCs w:val="22"/>
                <w:lang w:val="en-GB"/>
              </w:rPr>
              <w:t>Erythema</w:t>
            </w:r>
          </w:p>
          <w:p w:rsidR="004A4BB0" w:rsidRPr="004A4BB0" w:rsidRDefault="004A4BB0" w:rsidP="004A4BB0">
            <w:pPr>
              <w:rPr>
                <w:rFonts w:ascii="Arial" w:hAnsi="Arial" w:cs="Arial"/>
                <w:sz w:val="22"/>
                <w:szCs w:val="22"/>
                <w:lang w:val="en-GB"/>
              </w:rPr>
            </w:pPr>
            <w:r w:rsidRPr="004A4BB0">
              <w:rPr>
                <w:rFonts w:ascii="Arial" w:hAnsi="Arial" w:cs="Arial"/>
                <w:sz w:val="22"/>
                <w:szCs w:val="22"/>
                <w:lang w:val="en-GB"/>
              </w:rPr>
              <w:t>Palmar-plantar erythrodysaesthesia syndrome</w:t>
            </w:r>
          </w:p>
          <w:p w:rsidR="004A4BB0" w:rsidRPr="004A4BB0" w:rsidRDefault="004A4BB0" w:rsidP="004A4BB0">
            <w:pPr>
              <w:rPr>
                <w:rFonts w:ascii="Arial" w:hAnsi="Arial" w:cs="Arial"/>
                <w:sz w:val="22"/>
                <w:szCs w:val="22"/>
                <w:lang w:val="en-GB"/>
              </w:rPr>
            </w:pPr>
            <w:r w:rsidRPr="004A4BB0">
              <w:rPr>
                <w:rFonts w:ascii="Arial" w:hAnsi="Arial" w:cs="Arial"/>
                <w:sz w:val="22"/>
                <w:szCs w:val="22"/>
                <w:lang w:val="en-GB"/>
              </w:rPr>
              <w:t>Skin fissures</w:t>
            </w:r>
          </w:p>
        </w:tc>
      </w:tr>
      <w:tr w:rsidR="004A4BB0" w:rsidRPr="004A4BB0" w:rsidTr="00D67401">
        <w:trPr>
          <w:cantSplit/>
          <w:trHeight w:val="64"/>
        </w:trPr>
        <w:tc>
          <w:tcPr>
            <w:tcW w:w="863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4BB0" w:rsidRPr="004A4BB0" w:rsidRDefault="004A4BB0" w:rsidP="004A4BB0">
            <w:pPr>
              <w:rPr>
                <w:rFonts w:ascii="Arial" w:hAnsi="Arial" w:cs="Arial"/>
                <w:b/>
                <w:sz w:val="22"/>
                <w:szCs w:val="22"/>
                <w:lang w:val="en-GB"/>
              </w:rPr>
            </w:pPr>
            <w:r w:rsidRPr="004A4BB0">
              <w:rPr>
                <w:rFonts w:ascii="Arial" w:hAnsi="Arial" w:cs="Arial"/>
                <w:b/>
                <w:sz w:val="22"/>
                <w:szCs w:val="22"/>
                <w:lang w:val="en-GB"/>
              </w:rPr>
              <w:t>Musculoskeletal and connective tissue disorder</w:t>
            </w:r>
          </w:p>
        </w:tc>
      </w:tr>
      <w:tr w:rsidR="004A4BB0" w:rsidRPr="004A4BB0" w:rsidTr="004A4BB0">
        <w:trPr>
          <w:cantSplit/>
        </w:trPr>
        <w:tc>
          <w:tcPr>
            <w:tcW w:w="180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4BB0" w:rsidRPr="004A4BB0" w:rsidRDefault="004A4BB0" w:rsidP="004A4BB0">
            <w:pPr>
              <w:rPr>
                <w:rFonts w:ascii="Arial" w:hAnsi="Arial" w:cs="Arial"/>
                <w:b/>
                <w:sz w:val="22"/>
                <w:szCs w:val="22"/>
                <w:lang w:val="en-GB"/>
              </w:rPr>
            </w:pPr>
            <w:r w:rsidRPr="004A4BB0">
              <w:rPr>
                <w:rFonts w:ascii="Arial" w:hAnsi="Arial" w:cs="Arial"/>
                <w:sz w:val="22"/>
                <w:szCs w:val="22"/>
                <w:lang w:val="en-GB"/>
              </w:rPr>
              <w:t>Common</w:t>
            </w:r>
          </w:p>
        </w:tc>
        <w:tc>
          <w:tcPr>
            <w:tcW w:w="6839" w:type="dxa"/>
            <w:tcBorders>
              <w:top w:val="nil"/>
              <w:left w:val="single" w:sz="8" w:space="0" w:color="auto"/>
              <w:bottom w:val="single" w:sz="8" w:space="0" w:color="auto"/>
              <w:right w:val="single" w:sz="8" w:space="0" w:color="auto"/>
            </w:tcBorders>
          </w:tcPr>
          <w:p w:rsidR="004623A3" w:rsidRDefault="004A4BB0">
            <w:pPr>
              <w:ind w:left="120"/>
              <w:rPr>
                <w:rFonts w:ascii="Arial" w:hAnsi="Arial" w:cs="Arial"/>
                <w:b/>
                <w:sz w:val="22"/>
                <w:szCs w:val="22"/>
                <w:lang w:val="en-GB"/>
              </w:rPr>
            </w:pPr>
            <w:r w:rsidRPr="004A4BB0">
              <w:rPr>
                <w:rFonts w:ascii="Arial" w:hAnsi="Arial" w:cs="Arial"/>
                <w:sz w:val="22"/>
                <w:szCs w:val="22"/>
                <w:lang w:val="en-GB"/>
              </w:rPr>
              <w:t>Blood creatine phosphokinase increased</w:t>
            </w:r>
          </w:p>
        </w:tc>
      </w:tr>
      <w:tr w:rsidR="00D67401" w:rsidRPr="004A4BB0" w:rsidTr="004A4BB0">
        <w:trPr>
          <w:cantSplit/>
        </w:trPr>
        <w:tc>
          <w:tcPr>
            <w:tcW w:w="180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401" w:rsidRPr="004A4BB0" w:rsidRDefault="00D67401" w:rsidP="004A4BB0">
            <w:pPr>
              <w:rPr>
                <w:rFonts w:ascii="Arial" w:hAnsi="Arial" w:cs="Arial"/>
                <w:sz w:val="22"/>
                <w:szCs w:val="22"/>
                <w:lang w:val="en-GB"/>
              </w:rPr>
            </w:pPr>
            <w:r>
              <w:rPr>
                <w:rFonts w:ascii="Arial" w:hAnsi="Arial" w:cs="Arial"/>
                <w:sz w:val="22"/>
                <w:szCs w:val="22"/>
                <w:lang w:val="en-GB"/>
              </w:rPr>
              <w:t>Uncommon</w:t>
            </w:r>
          </w:p>
        </w:tc>
        <w:tc>
          <w:tcPr>
            <w:tcW w:w="6839" w:type="dxa"/>
            <w:tcBorders>
              <w:top w:val="nil"/>
              <w:left w:val="single" w:sz="8" w:space="0" w:color="auto"/>
              <w:bottom w:val="single" w:sz="8" w:space="0" w:color="auto"/>
              <w:right w:val="single" w:sz="8" w:space="0" w:color="auto"/>
            </w:tcBorders>
          </w:tcPr>
          <w:p w:rsidR="00D67401" w:rsidRPr="004A4BB0" w:rsidRDefault="00D67401">
            <w:pPr>
              <w:ind w:left="120"/>
              <w:rPr>
                <w:rFonts w:ascii="Arial" w:hAnsi="Arial" w:cs="Arial"/>
                <w:sz w:val="22"/>
                <w:szCs w:val="22"/>
                <w:lang w:val="en-GB"/>
              </w:rPr>
            </w:pPr>
            <w:r>
              <w:rPr>
                <w:rFonts w:ascii="Arial" w:hAnsi="Arial" w:cs="Arial"/>
                <w:sz w:val="22"/>
                <w:szCs w:val="22"/>
                <w:lang w:val="en-GB"/>
              </w:rPr>
              <w:t>Rhabdomyolysis</w:t>
            </w:r>
          </w:p>
        </w:tc>
      </w:tr>
      <w:tr w:rsidR="004A4BB0" w:rsidRPr="004A4BB0" w:rsidTr="004A4BB0">
        <w:trPr>
          <w:cantSplit/>
        </w:trPr>
        <w:tc>
          <w:tcPr>
            <w:tcW w:w="863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4BB0" w:rsidRPr="004A4BB0" w:rsidRDefault="004A4BB0" w:rsidP="004A4BB0">
            <w:pPr>
              <w:rPr>
                <w:rFonts w:ascii="Arial" w:hAnsi="Arial" w:cs="Arial"/>
                <w:b/>
                <w:bCs/>
                <w:sz w:val="22"/>
                <w:szCs w:val="22"/>
                <w:lang w:val="en-GB"/>
              </w:rPr>
            </w:pPr>
            <w:r w:rsidRPr="004A4BB0">
              <w:rPr>
                <w:rFonts w:ascii="Arial" w:hAnsi="Arial" w:cs="Arial"/>
                <w:b/>
                <w:sz w:val="22"/>
                <w:szCs w:val="22"/>
                <w:lang w:val="en-GB"/>
              </w:rPr>
              <w:t>General disorders</w:t>
            </w:r>
          </w:p>
        </w:tc>
      </w:tr>
      <w:tr w:rsidR="004A4BB0" w:rsidRPr="004A4BB0" w:rsidTr="004A4BB0">
        <w:trPr>
          <w:cantSplit/>
        </w:trPr>
        <w:tc>
          <w:tcPr>
            <w:tcW w:w="17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A4BB0" w:rsidRPr="004A4BB0" w:rsidRDefault="004A4BB0" w:rsidP="004A4BB0">
            <w:pPr>
              <w:rPr>
                <w:rFonts w:ascii="Arial" w:hAnsi="Arial" w:cs="Arial"/>
                <w:sz w:val="22"/>
                <w:szCs w:val="22"/>
                <w:lang w:val="en-GB"/>
              </w:rPr>
            </w:pPr>
            <w:r w:rsidRPr="004A4BB0">
              <w:rPr>
                <w:rFonts w:ascii="Arial" w:hAnsi="Arial" w:cs="Arial"/>
                <w:sz w:val="22"/>
                <w:szCs w:val="22"/>
                <w:lang w:val="en-GB"/>
              </w:rPr>
              <w:t>Very common</w:t>
            </w:r>
          </w:p>
        </w:tc>
        <w:tc>
          <w:tcPr>
            <w:tcW w:w="6851" w:type="dxa"/>
            <w:gridSpan w:val="2"/>
            <w:tcBorders>
              <w:top w:val="nil"/>
              <w:left w:val="nil"/>
              <w:bottom w:val="single" w:sz="8" w:space="0" w:color="auto"/>
              <w:right w:val="single" w:sz="8" w:space="0" w:color="auto"/>
            </w:tcBorders>
            <w:tcMar>
              <w:top w:w="0" w:type="dxa"/>
              <w:left w:w="108" w:type="dxa"/>
              <w:bottom w:w="0" w:type="dxa"/>
              <w:right w:w="108" w:type="dxa"/>
            </w:tcMar>
          </w:tcPr>
          <w:p w:rsidR="004A4BB0" w:rsidRPr="004A4BB0" w:rsidRDefault="004A4BB0" w:rsidP="004A4BB0">
            <w:pPr>
              <w:rPr>
                <w:rFonts w:ascii="Arial" w:hAnsi="Arial" w:cs="Arial"/>
                <w:sz w:val="22"/>
                <w:szCs w:val="22"/>
                <w:lang w:val="en-GB"/>
              </w:rPr>
            </w:pPr>
            <w:r w:rsidRPr="004A4BB0">
              <w:rPr>
                <w:rFonts w:ascii="Arial" w:hAnsi="Arial" w:cs="Arial"/>
                <w:sz w:val="22"/>
                <w:szCs w:val="22"/>
                <w:lang w:val="en-GB"/>
              </w:rPr>
              <w:t>Fatigue</w:t>
            </w:r>
          </w:p>
          <w:p w:rsidR="004A4BB0" w:rsidRPr="004A4BB0" w:rsidRDefault="004A4BB0" w:rsidP="004A4BB0">
            <w:pPr>
              <w:rPr>
                <w:rFonts w:ascii="Arial" w:hAnsi="Arial" w:cs="Arial"/>
                <w:sz w:val="22"/>
                <w:szCs w:val="22"/>
                <w:lang w:val="en-GB"/>
              </w:rPr>
            </w:pPr>
            <w:r w:rsidRPr="004A4BB0">
              <w:rPr>
                <w:rFonts w:ascii="Arial" w:hAnsi="Arial" w:cs="Arial"/>
                <w:sz w:val="22"/>
                <w:szCs w:val="22"/>
                <w:lang w:val="en-GB"/>
              </w:rPr>
              <w:t>Oedema peripheral</w:t>
            </w:r>
          </w:p>
          <w:p w:rsidR="004A4BB0" w:rsidRPr="004A4BB0" w:rsidRDefault="004A4BB0" w:rsidP="004A4BB0">
            <w:pPr>
              <w:rPr>
                <w:rFonts w:ascii="Arial" w:hAnsi="Arial" w:cs="Arial"/>
                <w:sz w:val="22"/>
                <w:szCs w:val="22"/>
                <w:lang w:val="en-GB"/>
              </w:rPr>
            </w:pPr>
            <w:r w:rsidRPr="004A4BB0">
              <w:rPr>
                <w:rFonts w:ascii="Arial" w:hAnsi="Arial" w:cs="Arial"/>
                <w:sz w:val="22"/>
                <w:szCs w:val="22"/>
                <w:lang w:val="en-GB"/>
              </w:rPr>
              <w:t>Pyrexia</w:t>
            </w:r>
          </w:p>
        </w:tc>
      </w:tr>
      <w:tr w:rsidR="004A4BB0" w:rsidRPr="004A4BB0" w:rsidTr="004A4BB0">
        <w:trPr>
          <w:cantSplit/>
        </w:trPr>
        <w:tc>
          <w:tcPr>
            <w:tcW w:w="17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A4BB0" w:rsidRPr="004A4BB0" w:rsidRDefault="004A4BB0" w:rsidP="004A4BB0">
            <w:pPr>
              <w:rPr>
                <w:rFonts w:ascii="Arial" w:hAnsi="Arial" w:cs="Arial"/>
                <w:sz w:val="22"/>
                <w:szCs w:val="22"/>
                <w:lang w:val="en-GB"/>
              </w:rPr>
            </w:pPr>
            <w:r w:rsidRPr="004A4BB0">
              <w:rPr>
                <w:rFonts w:ascii="Arial" w:hAnsi="Arial" w:cs="Arial"/>
                <w:sz w:val="22"/>
                <w:szCs w:val="22"/>
                <w:lang w:val="en-GB"/>
              </w:rPr>
              <w:t>Common</w:t>
            </w:r>
          </w:p>
        </w:tc>
        <w:tc>
          <w:tcPr>
            <w:tcW w:w="6851" w:type="dxa"/>
            <w:gridSpan w:val="2"/>
            <w:tcBorders>
              <w:top w:val="nil"/>
              <w:left w:val="nil"/>
              <w:bottom w:val="single" w:sz="8" w:space="0" w:color="auto"/>
              <w:right w:val="single" w:sz="8" w:space="0" w:color="auto"/>
            </w:tcBorders>
            <w:tcMar>
              <w:top w:w="0" w:type="dxa"/>
              <w:left w:w="108" w:type="dxa"/>
              <w:bottom w:w="0" w:type="dxa"/>
              <w:right w:w="108" w:type="dxa"/>
            </w:tcMar>
          </w:tcPr>
          <w:p w:rsidR="004A4BB0" w:rsidRPr="004A4BB0" w:rsidRDefault="004A4BB0" w:rsidP="004A4BB0">
            <w:pPr>
              <w:rPr>
                <w:rFonts w:ascii="Arial" w:hAnsi="Arial" w:cs="Arial"/>
                <w:sz w:val="22"/>
                <w:szCs w:val="22"/>
                <w:lang w:val="en-GB"/>
              </w:rPr>
            </w:pPr>
            <w:r w:rsidRPr="004A4BB0">
              <w:rPr>
                <w:rFonts w:ascii="Arial" w:hAnsi="Arial" w:cs="Arial"/>
                <w:sz w:val="22"/>
                <w:szCs w:val="22"/>
                <w:lang w:val="en-GB"/>
              </w:rPr>
              <w:t>Face oedema</w:t>
            </w:r>
          </w:p>
          <w:p w:rsidR="004A4BB0" w:rsidRPr="004A4BB0" w:rsidRDefault="004A4BB0" w:rsidP="004A4BB0">
            <w:pPr>
              <w:rPr>
                <w:rFonts w:ascii="Arial" w:hAnsi="Arial" w:cs="Arial"/>
                <w:sz w:val="22"/>
                <w:szCs w:val="22"/>
                <w:lang w:val="en-GB"/>
              </w:rPr>
            </w:pPr>
            <w:r w:rsidRPr="004A4BB0">
              <w:rPr>
                <w:rFonts w:ascii="Arial" w:hAnsi="Arial" w:cs="Arial"/>
                <w:sz w:val="22"/>
                <w:szCs w:val="22"/>
                <w:lang w:val="en-GB"/>
              </w:rPr>
              <w:t>Mucosal inflammation</w:t>
            </w:r>
          </w:p>
          <w:p w:rsidR="004A4BB0" w:rsidRPr="004A4BB0" w:rsidRDefault="004A4BB0" w:rsidP="004A4BB0">
            <w:pPr>
              <w:rPr>
                <w:rFonts w:ascii="Arial" w:hAnsi="Arial" w:cs="Arial"/>
                <w:sz w:val="22"/>
                <w:szCs w:val="22"/>
                <w:lang w:val="en-GB"/>
              </w:rPr>
            </w:pPr>
            <w:r w:rsidRPr="004A4BB0">
              <w:rPr>
                <w:rFonts w:ascii="Arial" w:hAnsi="Arial" w:cs="Arial"/>
                <w:sz w:val="22"/>
                <w:szCs w:val="22"/>
                <w:lang w:val="en-GB"/>
              </w:rPr>
              <w:t>Asthenia</w:t>
            </w:r>
          </w:p>
        </w:tc>
      </w:tr>
    </w:tbl>
    <w:p w:rsidR="00EE3B25" w:rsidRPr="00096C04" w:rsidRDefault="00EE3B25" w:rsidP="00EE3B25">
      <w:proofErr w:type="gramStart"/>
      <w:r>
        <w:rPr>
          <w:vertAlign w:val="superscript"/>
        </w:rPr>
        <w:t>a</w:t>
      </w:r>
      <w:r w:rsidRPr="00B1201D">
        <w:t>Events</w:t>
      </w:r>
      <w:proofErr w:type="gramEnd"/>
      <w:r w:rsidRPr="00B1201D">
        <w:t xml:space="preserve"> include: epistaxis, haematochezia, gingival bleeding, haematuria, </w:t>
      </w:r>
      <w:r w:rsidR="00FE1DC0" w:rsidRPr="00FE1DC0">
        <w:rPr>
          <w:color w:val="000000"/>
          <w:szCs w:val="22"/>
        </w:rPr>
        <w:t>melaena</w:t>
      </w:r>
      <w:r w:rsidR="00FE1DC0" w:rsidRPr="00FE1DC0">
        <w:rPr>
          <w:sz w:val="18"/>
        </w:rPr>
        <w:t xml:space="preserve"> </w:t>
      </w:r>
      <w:r w:rsidRPr="00B1201D">
        <w:t>and rectal, haemorrhoidal, gastric, vaginal, conjunctival, and post procedural haemorrhag</w:t>
      </w:r>
      <w:r>
        <w:t>e.</w:t>
      </w:r>
    </w:p>
    <w:p w:rsidR="004A4BB0" w:rsidRDefault="004A4BB0" w:rsidP="001D275A">
      <w:pPr>
        <w:rPr>
          <w:rFonts w:ascii="Arial" w:hAnsi="Arial" w:cs="Arial"/>
          <w:sz w:val="22"/>
          <w:szCs w:val="22"/>
        </w:rPr>
      </w:pPr>
    </w:p>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Table </w:t>
      </w:r>
      <w:r>
        <w:rPr>
          <w:rFonts w:ascii="Arial" w:hAnsi="Arial" w:cs="Arial"/>
          <w:sz w:val="22"/>
          <w:szCs w:val="22"/>
          <w:lang w:val="en-US"/>
        </w:rPr>
        <w:t>4 lists the very common adverse event</w:t>
      </w:r>
      <w:r w:rsidRPr="00B00FB5">
        <w:rPr>
          <w:rFonts w:ascii="Arial" w:hAnsi="Arial" w:cs="Arial"/>
          <w:sz w:val="22"/>
          <w:szCs w:val="22"/>
          <w:lang w:val="en-US"/>
        </w:rPr>
        <w:t xml:space="preserve">s </w:t>
      </w:r>
      <w:r>
        <w:rPr>
          <w:rFonts w:ascii="Arial" w:hAnsi="Arial" w:cs="Arial"/>
          <w:sz w:val="22"/>
          <w:szCs w:val="22"/>
          <w:lang w:val="en-US"/>
        </w:rPr>
        <w:t>(</w:t>
      </w:r>
      <w:r w:rsidRPr="00B00FB5">
        <w:rPr>
          <w:rFonts w:ascii="Arial" w:hAnsi="Arial" w:cs="Arial"/>
          <w:sz w:val="22"/>
          <w:szCs w:val="22"/>
          <w:lang w:val="en-US"/>
        </w:rPr>
        <w:sym w:font="Symbol" w:char="F0B3"/>
      </w:r>
      <w:r w:rsidRPr="00B00FB5">
        <w:rPr>
          <w:rFonts w:ascii="Arial" w:hAnsi="Arial" w:cs="Arial"/>
          <w:sz w:val="22"/>
          <w:szCs w:val="22"/>
          <w:lang w:val="en-US"/>
        </w:rPr>
        <w:t>10%</w:t>
      </w:r>
      <w:r>
        <w:rPr>
          <w:rFonts w:ascii="Arial" w:hAnsi="Arial" w:cs="Arial"/>
          <w:sz w:val="22"/>
          <w:szCs w:val="22"/>
          <w:lang w:val="en-US"/>
        </w:rPr>
        <w:t>)</w:t>
      </w:r>
      <w:r w:rsidRPr="00B00FB5">
        <w:rPr>
          <w:rFonts w:ascii="Arial" w:hAnsi="Arial" w:cs="Arial"/>
          <w:sz w:val="22"/>
          <w:szCs w:val="22"/>
          <w:lang w:val="en-US"/>
        </w:rPr>
        <w:t xml:space="preserve"> reported in patients receiving MEKINIST. </w:t>
      </w:r>
    </w:p>
    <w:p w:rsidR="00B00FB5" w:rsidRPr="00B00FB5" w:rsidRDefault="00B00FB5" w:rsidP="00B00FB5">
      <w:pPr>
        <w:rPr>
          <w:rFonts w:ascii="Arial" w:hAnsi="Arial" w:cs="Arial"/>
          <w:bCs/>
          <w:sz w:val="22"/>
          <w:szCs w:val="22"/>
          <w:lang w:val="en-US"/>
        </w:rPr>
      </w:pPr>
    </w:p>
    <w:p w:rsidR="00B00FB5" w:rsidRPr="00B00FB5" w:rsidRDefault="00B00FB5" w:rsidP="00B00FB5">
      <w:pPr>
        <w:rPr>
          <w:rFonts w:ascii="Arial" w:hAnsi="Arial" w:cs="Arial"/>
          <w:b/>
          <w:sz w:val="22"/>
          <w:szCs w:val="22"/>
          <w:lang w:val="en-US"/>
        </w:rPr>
      </w:pPr>
      <w:r w:rsidRPr="00B00FB5">
        <w:rPr>
          <w:rFonts w:ascii="Arial" w:hAnsi="Arial" w:cs="Arial"/>
          <w:b/>
          <w:sz w:val="22"/>
          <w:szCs w:val="22"/>
          <w:lang w:val="en-US"/>
        </w:rPr>
        <w:t>Table 4</w:t>
      </w:r>
      <w:r>
        <w:rPr>
          <w:rFonts w:ascii="Arial" w:hAnsi="Arial" w:cs="Arial"/>
          <w:b/>
          <w:sz w:val="22"/>
          <w:szCs w:val="22"/>
          <w:lang w:val="en-US"/>
        </w:rPr>
        <w:t>. Adverse Event</w:t>
      </w:r>
      <w:r w:rsidRPr="00B00FB5">
        <w:rPr>
          <w:rFonts w:ascii="Arial" w:hAnsi="Arial" w:cs="Arial"/>
          <w:b/>
          <w:sz w:val="22"/>
          <w:szCs w:val="22"/>
          <w:lang w:val="en-US"/>
        </w:rPr>
        <w:t xml:space="preserve">s (%) Occurring in </w:t>
      </w:r>
      <w:r w:rsidRPr="00B00FB5">
        <w:rPr>
          <w:rFonts w:ascii="Arial" w:hAnsi="Arial" w:cs="Arial"/>
          <w:b/>
          <w:sz w:val="22"/>
          <w:szCs w:val="22"/>
          <w:lang w:val="en-US"/>
        </w:rPr>
        <w:sym w:font="Symbol" w:char="F0B3"/>
      </w:r>
      <w:r w:rsidRPr="00B00FB5">
        <w:rPr>
          <w:rFonts w:ascii="Arial" w:hAnsi="Arial" w:cs="Arial"/>
          <w:b/>
          <w:sz w:val="22"/>
          <w:szCs w:val="22"/>
          <w:lang w:val="en-US"/>
        </w:rPr>
        <w:t xml:space="preserve">10% of Patients Treated With </w:t>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t xml:space="preserve">   </w:t>
      </w:r>
      <w:r w:rsidRPr="00B00FB5">
        <w:rPr>
          <w:rFonts w:ascii="Arial" w:hAnsi="Arial" w:cs="Arial"/>
          <w:b/>
          <w:sz w:val="22"/>
          <w:szCs w:val="22"/>
          <w:lang w:val="en-US"/>
        </w:rPr>
        <w:t>MEKINIST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1080"/>
        <w:gridCol w:w="900"/>
        <w:gridCol w:w="900"/>
        <w:gridCol w:w="1080"/>
        <w:gridCol w:w="900"/>
        <w:gridCol w:w="900"/>
      </w:tblGrid>
      <w:tr w:rsidR="00B00FB5" w:rsidRPr="00B00FB5" w:rsidTr="00E869DF">
        <w:tc>
          <w:tcPr>
            <w:tcW w:w="3258" w:type="dxa"/>
            <w:vMerge w:val="restart"/>
            <w:vAlign w:val="bottom"/>
          </w:tcPr>
          <w:p w:rsidR="00B00FB5" w:rsidRPr="00B00FB5" w:rsidRDefault="00B00FB5" w:rsidP="00B00FB5">
            <w:pPr>
              <w:rPr>
                <w:rFonts w:ascii="Arial" w:hAnsi="Arial" w:cs="Arial"/>
                <w:b/>
                <w:sz w:val="22"/>
                <w:szCs w:val="22"/>
                <w:lang w:val="en-US"/>
              </w:rPr>
            </w:pPr>
            <w:r>
              <w:rPr>
                <w:rFonts w:ascii="Arial" w:hAnsi="Arial" w:cs="Arial"/>
                <w:b/>
                <w:sz w:val="22"/>
                <w:szCs w:val="22"/>
                <w:lang w:val="en-US"/>
              </w:rPr>
              <w:t>Event</w:t>
            </w:r>
            <w:r w:rsidRPr="00B00FB5">
              <w:rPr>
                <w:rFonts w:ascii="Arial" w:hAnsi="Arial" w:cs="Arial"/>
                <w:b/>
                <w:sz w:val="22"/>
                <w:szCs w:val="22"/>
                <w:lang w:val="en-US"/>
              </w:rPr>
              <w:t>s</w:t>
            </w:r>
          </w:p>
        </w:tc>
        <w:tc>
          <w:tcPr>
            <w:tcW w:w="2880" w:type="dxa"/>
            <w:gridSpan w:val="3"/>
            <w:tcBorders>
              <w:bottom w:val="nil"/>
            </w:tcBorders>
            <w:vAlign w:val="bottom"/>
          </w:tcPr>
          <w:p w:rsidR="00B00FB5" w:rsidRPr="00B00FB5" w:rsidRDefault="00B00FB5" w:rsidP="00B00FB5">
            <w:pPr>
              <w:rPr>
                <w:rFonts w:ascii="Arial" w:hAnsi="Arial" w:cs="Arial"/>
                <w:b/>
                <w:sz w:val="22"/>
                <w:szCs w:val="22"/>
                <w:lang w:val="en-US"/>
              </w:rPr>
            </w:pPr>
            <w:r w:rsidRPr="00B00FB5">
              <w:rPr>
                <w:rFonts w:ascii="Arial" w:hAnsi="Arial" w:cs="Arial"/>
                <w:b/>
                <w:sz w:val="22"/>
                <w:szCs w:val="22"/>
                <w:lang w:val="en-US"/>
              </w:rPr>
              <w:t>MEKINIST</w:t>
            </w:r>
          </w:p>
        </w:tc>
        <w:tc>
          <w:tcPr>
            <w:tcW w:w="2880" w:type="dxa"/>
            <w:gridSpan w:val="3"/>
            <w:tcBorders>
              <w:bottom w:val="nil"/>
            </w:tcBorders>
            <w:vAlign w:val="bottom"/>
          </w:tcPr>
          <w:p w:rsidR="00B00FB5" w:rsidRPr="00B00FB5" w:rsidRDefault="00B00FB5" w:rsidP="00B00FB5">
            <w:pPr>
              <w:rPr>
                <w:rFonts w:ascii="Arial" w:hAnsi="Arial" w:cs="Arial"/>
                <w:b/>
                <w:sz w:val="22"/>
                <w:szCs w:val="22"/>
                <w:lang w:val="en-US"/>
              </w:rPr>
            </w:pPr>
            <w:r w:rsidRPr="00B00FB5">
              <w:rPr>
                <w:rFonts w:ascii="Arial" w:hAnsi="Arial" w:cs="Arial"/>
                <w:b/>
                <w:sz w:val="22"/>
                <w:szCs w:val="22"/>
                <w:lang w:val="en-US"/>
              </w:rPr>
              <w:t>Chemotherapy</w:t>
            </w:r>
          </w:p>
        </w:tc>
      </w:tr>
      <w:tr w:rsidR="00B00FB5" w:rsidRPr="00B00FB5" w:rsidTr="00E869DF">
        <w:tc>
          <w:tcPr>
            <w:tcW w:w="3258" w:type="dxa"/>
            <w:vMerge/>
          </w:tcPr>
          <w:p w:rsidR="00B00FB5" w:rsidRPr="00B00FB5" w:rsidRDefault="00B00FB5" w:rsidP="00B00FB5">
            <w:pPr>
              <w:rPr>
                <w:rFonts w:ascii="Arial" w:hAnsi="Arial" w:cs="Arial"/>
                <w:b/>
                <w:sz w:val="22"/>
                <w:szCs w:val="22"/>
                <w:lang w:val="en-US"/>
              </w:rPr>
            </w:pPr>
          </w:p>
        </w:tc>
        <w:tc>
          <w:tcPr>
            <w:tcW w:w="2880" w:type="dxa"/>
            <w:gridSpan w:val="3"/>
            <w:tcBorders>
              <w:top w:val="nil"/>
            </w:tcBorders>
          </w:tcPr>
          <w:p w:rsidR="00B00FB5" w:rsidRPr="00B00FB5" w:rsidRDefault="00B00FB5" w:rsidP="00B00FB5">
            <w:pPr>
              <w:rPr>
                <w:rFonts w:ascii="Arial" w:hAnsi="Arial" w:cs="Arial"/>
                <w:b/>
                <w:sz w:val="22"/>
                <w:szCs w:val="22"/>
                <w:lang w:val="en-US"/>
              </w:rPr>
            </w:pPr>
            <w:r w:rsidRPr="00B00FB5">
              <w:rPr>
                <w:rFonts w:ascii="Arial" w:hAnsi="Arial" w:cs="Arial"/>
                <w:b/>
                <w:sz w:val="22"/>
                <w:szCs w:val="22"/>
                <w:lang w:val="en-US"/>
              </w:rPr>
              <w:t>(N = 211)</w:t>
            </w:r>
          </w:p>
        </w:tc>
        <w:tc>
          <w:tcPr>
            <w:tcW w:w="2880" w:type="dxa"/>
            <w:gridSpan w:val="3"/>
            <w:tcBorders>
              <w:top w:val="nil"/>
            </w:tcBorders>
          </w:tcPr>
          <w:p w:rsidR="00B00FB5" w:rsidRPr="00B00FB5" w:rsidRDefault="00B00FB5" w:rsidP="00B00FB5">
            <w:pPr>
              <w:rPr>
                <w:rFonts w:ascii="Arial" w:hAnsi="Arial" w:cs="Arial"/>
                <w:b/>
                <w:sz w:val="22"/>
                <w:szCs w:val="22"/>
                <w:lang w:val="en-US"/>
              </w:rPr>
            </w:pPr>
            <w:r w:rsidRPr="00B00FB5">
              <w:rPr>
                <w:rFonts w:ascii="Arial" w:hAnsi="Arial" w:cs="Arial"/>
                <w:b/>
                <w:sz w:val="22"/>
                <w:szCs w:val="22"/>
                <w:lang w:val="en-US"/>
              </w:rPr>
              <w:t>(N = 99)</w:t>
            </w:r>
          </w:p>
        </w:tc>
      </w:tr>
      <w:tr w:rsidR="00B00FB5" w:rsidRPr="00B00FB5" w:rsidTr="00E869DF">
        <w:tc>
          <w:tcPr>
            <w:tcW w:w="3258" w:type="dxa"/>
            <w:vMerge/>
          </w:tcPr>
          <w:p w:rsidR="00B00FB5" w:rsidRPr="00B00FB5" w:rsidRDefault="00B00FB5" w:rsidP="00B00FB5">
            <w:pPr>
              <w:rPr>
                <w:rFonts w:ascii="Arial" w:hAnsi="Arial" w:cs="Arial"/>
                <w:sz w:val="22"/>
                <w:szCs w:val="22"/>
                <w:lang w:val="en-US"/>
              </w:rPr>
            </w:pPr>
          </w:p>
        </w:tc>
        <w:tc>
          <w:tcPr>
            <w:tcW w:w="1080" w:type="dxa"/>
          </w:tcPr>
          <w:p w:rsidR="00B00FB5" w:rsidRPr="00B00FB5" w:rsidRDefault="00B00FB5" w:rsidP="00B00FB5">
            <w:pPr>
              <w:rPr>
                <w:rFonts w:ascii="Arial" w:hAnsi="Arial" w:cs="Arial"/>
                <w:b/>
                <w:sz w:val="22"/>
                <w:szCs w:val="22"/>
                <w:lang w:val="en-US"/>
              </w:rPr>
            </w:pPr>
            <w:r w:rsidRPr="00B00FB5">
              <w:rPr>
                <w:rFonts w:ascii="Arial" w:hAnsi="Arial" w:cs="Arial"/>
                <w:b/>
                <w:sz w:val="22"/>
                <w:szCs w:val="22"/>
                <w:lang w:val="en-US"/>
              </w:rPr>
              <w:t>All Grades</w:t>
            </w:r>
            <w:r w:rsidRPr="00B00FB5">
              <w:rPr>
                <w:rFonts w:ascii="Arial" w:hAnsi="Arial" w:cs="Arial"/>
                <w:b/>
                <w:sz w:val="22"/>
                <w:szCs w:val="22"/>
                <w:vertAlign w:val="superscript"/>
                <w:lang w:val="en-US"/>
              </w:rPr>
              <w:t>a</w:t>
            </w:r>
          </w:p>
        </w:tc>
        <w:tc>
          <w:tcPr>
            <w:tcW w:w="900" w:type="dxa"/>
          </w:tcPr>
          <w:p w:rsidR="00B00FB5" w:rsidRPr="00B00FB5" w:rsidRDefault="00B00FB5" w:rsidP="00B00FB5">
            <w:pPr>
              <w:rPr>
                <w:rFonts w:ascii="Arial" w:hAnsi="Arial" w:cs="Arial"/>
                <w:b/>
                <w:sz w:val="22"/>
                <w:szCs w:val="22"/>
                <w:lang w:val="en-US"/>
              </w:rPr>
            </w:pPr>
            <w:r w:rsidRPr="00B00FB5">
              <w:rPr>
                <w:rFonts w:ascii="Arial" w:hAnsi="Arial" w:cs="Arial"/>
                <w:b/>
                <w:sz w:val="22"/>
                <w:szCs w:val="22"/>
                <w:lang w:val="en-US"/>
              </w:rPr>
              <w:t>Grade 3</w:t>
            </w:r>
          </w:p>
        </w:tc>
        <w:tc>
          <w:tcPr>
            <w:tcW w:w="900" w:type="dxa"/>
          </w:tcPr>
          <w:p w:rsidR="00B00FB5" w:rsidRPr="00B00FB5" w:rsidRDefault="00B00FB5" w:rsidP="00B00FB5">
            <w:pPr>
              <w:rPr>
                <w:rFonts w:ascii="Arial" w:hAnsi="Arial" w:cs="Arial"/>
                <w:b/>
                <w:sz w:val="22"/>
                <w:szCs w:val="22"/>
                <w:lang w:val="en-US"/>
              </w:rPr>
            </w:pPr>
            <w:r w:rsidRPr="00B00FB5">
              <w:rPr>
                <w:rFonts w:ascii="Arial" w:hAnsi="Arial" w:cs="Arial"/>
                <w:b/>
                <w:sz w:val="22"/>
                <w:szCs w:val="22"/>
                <w:lang w:val="en-US"/>
              </w:rPr>
              <w:t xml:space="preserve">Grade 4 </w:t>
            </w:r>
          </w:p>
        </w:tc>
        <w:tc>
          <w:tcPr>
            <w:tcW w:w="1080" w:type="dxa"/>
          </w:tcPr>
          <w:p w:rsidR="00B00FB5" w:rsidRPr="00B00FB5" w:rsidRDefault="00B00FB5" w:rsidP="00B00FB5">
            <w:pPr>
              <w:rPr>
                <w:rFonts w:ascii="Arial" w:hAnsi="Arial" w:cs="Arial"/>
                <w:b/>
                <w:sz w:val="22"/>
                <w:szCs w:val="22"/>
                <w:lang w:val="en-US"/>
              </w:rPr>
            </w:pPr>
            <w:r w:rsidRPr="00B00FB5">
              <w:rPr>
                <w:rFonts w:ascii="Arial" w:hAnsi="Arial" w:cs="Arial"/>
                <w:b/>
                <w:sz w:val="22"/>
                <w:szCs w:val="22"/>
                <w:lang w:val="en-US"/>
              </w:rPr>
              <w:t>All Grades</w:t>
            </w:r>
            <w:r w:rsidRPr="00B00FB5">
              <w:rPr>
                <w:rFonts w:ascii="Arial" w:hAnsi="Arial" w:cs="Arial"/>
                <w:b/>
                <w:sz w:val="22"/>
                <w:szCs w:val="22"/>
                <w:vertAlign w:val="superscript"/>
                <w:lang w:val="en-US"/>
              </w:rPr>
              <w:t>a</w:t>
            </w:r>
          </w:p>
        </w:tc>
        <w:tc>
          <w:tcPr>
            <w:tcW w:w="900" w:type="dxa"/>
          </w:tcPr>
          <w:p w:rsidR="00B00FB5" w:rsidRPr="00B00FB5" w:rsidRDefault="00B00FB5" w:rsidP="00B00FB5">
            <w:pPr>
              <w:rPr>
                <w:rFonts w:ascii="Arial" w:hAnsi="Arial" w:cs="Arial"/>
                <w:b/>
                <w:sz w:val="22"/>
                <w:szCs w:val="22"/>
                <w:lang w:val="en-US"/>
              </w:rPr>
            </w:pPr>
            <w:r w:rsidRPr="00B00FB5">
              <w:rPr>
                <w:rFonts w:ascii="Arial" w:hAnsi="Arial" w:cs="Arial"/>
                <w:b/>
                <w:sz w:val="22"/>
                <w:szCs w:val="22"/>
                <w:lang w:val="en-US"/>
              </w:rPr>
              <w:t xml:space="preserve">Grade 3 </w:t>
            </w:r>
          </w:p>
        </w:tc>
        <w:tc>
          <w:tcPr>
            <w:tcW w:w="900" w:type="dxa"/>
          </w:tcPr>
          <w:p w:rsidR="00B00FB5" w:rsidRPr="00B00FB5" w:rsidRDefault="00B00FB5" w:rsidP="00B00FB5">
            <w:pPr>
              <w:rPr>
                <w:rFonts w:ascii="Arial" w:hAnsi="Arial" w:cs="Arial"/>
                <w:b/>
                <w:sz w:val="22"/>
                <w:szCs w:val="22"/>
                <w:lang w:val="en-US"/>
              </w:rPr>
            </w:pPr>
            <w:r w:rsidRPr="00B00FB5">
              <w:rPr>
                <w:rFonts w:ascii="Arial" w:hAnsi="Arial" w:cs="Arial"/>
                <w:b/>
                <w:sz w:val="22"/>
                <w:szCs w:val="22"/>
                <w:lang w:val="en-US"/>
              </w:rPr>
              <w:t>Grade 4</w:t>
            </w:r>
          </w:p>
        </w:tc>
      </w:tr>
      <w:tr w:rsidR="00B00FB5" w:rsidRPr="00B00FB5" w:rsidTr="00E869DF">
        <w:trPr>
          <w:trHeight w:val="350"/>
        </w:trPr>
        <w:tc>
          <w:tcPr>
            <w:tcW w:w="9018" w:type="dxa"/>
            <w:gridSpan w:val="7"/>
            <w:tcBorders>
              <w:top w:val="nil"/>
            </w:tcBorders>
            <w:vAlign w:val="bottom"/>
          </w:tcPr>
          <w:p w:rsidR="00B00FB5" w:rsidRPr="00B00FB5" w:rsidRDefault="00B00FB5" w:rsidP="00B00FB5">
            <w:pPr>
              <w:rPr>
                <w:rFonts w:ascii="Arial" w:hAnsi="Arial" w:cs="Arial"/>
                <w:sz w:val="22"/>
                <w:szCs w:val="22"/>
                <w:lang w:val="en-US"/>
              </w:rPr>
            </w:pPr>
            <w:r w:rsidRPr="00B00FB5">
              <w:rPr>
                <w:rFonts w:ascii="Arial" w:hAnsi="Arial" w:cs="Arial"/>
                <w:b/>
                <w:sz w:val="22"/>
                <w:szCs w:val="22"/>
                <w:lang w:val="en-US"/>
              </w:rPr>
              <w:t>Skin and subcutaneous tissue disorders</w:t>
            </w:r>
          </w:p>
        </w:tc>
      </w:tr>
      <w:tr w:rsidR="00B00FB5" w:rsidRPr="00B00FB5" w:rsidTr="00E869DF">
        <w:tc>
          <w:tcPr>
            <w:tcW w:w="3258" w:type="dxa"/>
            <w:tcBorders>
              <w:top w:val="nil"/>
            </w:tcBorders>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Rash</w:t>
            </w:r>
          </w:p>
        </w:tc>
        <w:tc>
          <w:tcPr>
            <w:tcW w:w="108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57</w:t>
            </w:r>
          </w:p>
        </w:tc>
        <w:tc>
          <w:tcPr>
            <w:tcW w:w="90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7</w:t>
            </w:r>
          </w:p>
        </w:tc>
        <w:tc>
          <w:tcPr>
            <w:tcW w:w="90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&lt;1</w:t>
            </w:r>
          </w:p>
        </w:tc>
        <w:tc>
          <w:tcPr>
            <w:tcW w:w="108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10</w:t>
            </w:r>
          </w:p>
        </w:tc>
        <w:tc>
          <w:tcPr>
            <w:tcW w:w="90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0</w:t>
            </w:r>
          </w:p>
        </w:tc>
        <w:tc>
          <w:tcPr>
            <w:tcW w:w="90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0</w:t>
            </w:r>
          </w:p>
        </w:tc>
      </w:tr>
      <w:tr w:rsidR="00B00FB5" w:rsidRPr="00B00FB5" w:rsidTr="00E869DF">
        <w:tc>
          <w:tcPr>
            <w:tcW w:w="3258" w:type="dxa"/>
            <w:tcBorders>
              <w:top w:val="nil"/>
            </w:tcBorders>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Dermatitis acneiform</w:t>
            </w:r>
          </w:p>
        </w:tc>
        <w:tc>
          <w:tcPr>
            <w:tcW w:w="108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19</w:t>
            </w:r>
          </w:p>
        </w:tc>
        <w:tc>
          <w:tcPr>
            <w:tcW w:w="90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&lt;1</w:t>
            </w:r>
          </w:p>
        </w:tc>
        <w:tc>
          <w:tcPr>
            <w:tcW w:w="90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0</w:t>
            </w:r>
          </w:p>
        </w:tc>
        <w:tc>
          <w:tcPr>
            <w:tcW w:w="108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1</w:t>
            </w:r>
          </w:p>
        </w:tc>
        <w:tc>
          <w:tcPr>
            <w:tcW w:w="90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0</w:t>
            </w:r>
          </w:p>
        </w:tc>
        <w:tc>
          <w:tcPr>
            <w:tcW w:w="90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0</w:t>
            </w:r>
          </w:p>
        </w:tc>
      </w:tr>
      <w:tr w:rsidR="00B00FB5" w:rsidRPr="00B00FB5" w:rsidTr="00E869DF">
        <w:tc>
          <w:tcPr>
            <w:tcW w:w="3258" w:type="dxa"/>
            <w:tcBorders>
              <w:top w:val="nil"/>
            </w:tcBorders>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Alopecia</w:t>
            </w:r>
          </w:p>
        </w:tc>
        <w:tc>
          <w:tcPr>
            <w:tcW w:w="108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17</w:t>
            </w:r>
          </w:p>
        </w:tc>
        <w:tc>
          <w:tcPr>
            <w:tcW w:w="90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&lt;1</w:t>
            </w:r>
          </w:p>
        </w:tc>
        <w:tc>
          <w:tcPr>
            <w:tcW w:w="90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0</w:t>
            </w:r>
          </w:p>
        </w:tc>
        <w:tc>
          <w:tcPr>
            <w:tcW w:w="108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19</w:t>
            </w:r>
          </w:p>
        </w:tc>
        <w:tc>
          <w:tcPr>
            <w:tcW w:w="90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0</w:t>
            </w:r>
          </w:p>
        </w:tc>
        <w:tc>
          <w:tcPr>
            <w:tcW w:w="90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0</w:t>
            </w:r>
          </w:p>
        </w:tc>
      </w:tr>
      <w:tr w:rsidR="00B00FB5" w:rsidRPr="00B00FB5" w:rsidTr="00E869DF">
        <w:tc>
          <w:tcPr>
            <w:tcW w:w="3258" w:type="dxa"/>
            <w:tcBorders>
              <w:top w:val="nil"/>
            </w:tcBorders>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Dry skin</w:t>
            </w:r>
          </w:p>
        </w:tc>
        <w:tc>
          <w:tcPr>
            <w:tcW w:w="108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11</w:t>
            </w:r>
          </w:p>
        </w:tc>
        <w:tc>
          <w:tcPr>
            <w:tcW w:w="90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0</w:t>
            </w:r>
          </w:p>
        </w:tc>
        <w:tc>
          <w:tcPr>
            <w:tcW w:w="90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0</w:t>
            </w:r>
          </w:p>
        </w:tc>
        <w:tc>
          <w:tcPr>
            <w:tcW w:w="108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0</w:t>
            </w:r>
          </w:p>
        </w:tc>
        <w:tc>
          <w:tcPr>
            <w:tcW w:w="90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0</w:t>
            </w:r>
          </w:p>
        </w:tc>
        <w:tc>
          <w:tcPr>
            <w:tcW w:w="90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0</w:t>
            </w:r>
          </w:p>
        </w:tc>
      </w:tr>
      <w:tr w:rsidR="00B00FB5" w:rsidRPr="00B00FB5" w:rsidTr="00E869DF">
        <w:tc>
          <w:tcPr>
            <w:tcW w:w="3258" w:type="dxa"/>
            <w:tcBorders>
              <w:top w:val="nil"/>
            </w:tcBorders>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Pruritus</w:t>
            </w:r>
          </w:p>
        </w:tc>
        <w:tc>
          <w:tcPr>
            <w:tcW w:w="108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10</w:t>
            </w:r>
          </w:p>
        </w:tc>
        <w:tc>
          <w:tcPr>
            <w:tcW w:w="90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2</w:t>
            </w:r>
          </w:p>
        </w:tc>
        <w:tc>
          <w:tcPr>
            <w:tcW w:w="90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0</w:t>
            </w:r>
          </w:p>
        </w:tc>
        <w:tc>
          <w:tcPr>
            <w:tcW w:w="108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1</w:t>
            </w:r>
          </w:p>
        </w:tc>
        <w:tc>
          <w:tcPr>
            <w:tcW w:w="90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0</w:t>
            </w:r>
          </w:p>
        </w:tc>
        <w:tc>
          <w:tcPr>
            <w:tcW w:w="90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0</w:t>
            </w:r>
          </w:p>
        </w:tc>
      </w:tr>
      <w:tr w:rsidR="00B00FB5" w:rsidRPr="00B00FB5" w:rsidTr="00E869DF">
        <w:tc>
          <w:tcPr>
            <w:tcW w:w="9018" w:type="dxa"/>
            <w:gridSpan w:val="7"/>
          </w:tcPr>
          <w:p w:rsidR="00B00FB5" w:rsidRPr="00B00FB5" w:rsidRDefault="00B00FB5" w:rsidP="00B00FB5">
            <w:pPr>
              <w:rPr>
                <w:rFonts w:ascii="Arial" w:hAnsi="Arial" w:cs="Arial"/>
                <w:sz w:val="22"/>
                <w:szCs w:val="22"/>
                <w:lang w:val="en-US"/>
              </w:rPr>
            </w:pPr>
            <w:r w:rsidRPr="00B00FB5">
              <w:rPr>
                <w:rFonts w:ascii="Arial" w:hAnsi="Arial" w:cs="Arial"/>
                <w:b/>
                <w:sz w:val="22"/>
                <w:szCs w:val="22"/>
                <w:lang w:val="en-US"/>
              </w:rPr>
              <w:t>Gastrointestinal disorders</w:t>
            </w:r>
          </w:p>
        </w:tc>
      </w:tr>
      <w:tr w:rsidR="00B00FB5" w:rsidRPr="00B00FB5" w:rsidTr="00E869DF">
        <w:tc>
          <w:tcPr>
            <w:tcW w:w="3258"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Diarrhea</w:t>
            </w:r>
          </w:p>
        </w:tc>
        <w:tc>
          <w:tcPr>
            <w:tcW w:w="108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43</w:t>
            </w:r>
          </w:p>
        </w:tc>
        <w:tc>
          <w:tcPr>
            <w:tcW w:w="90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0</w:t>
            </w:r>
          </w:p>
        </w:tc>
        <w:tc>
          <w:tcPr>
            <w:tcW w:w="90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0</w:t>
            </w:r>
          </w:p>
        </w:tc>
        <w:tc>
          <w:tcPr>
            <w:tcW w:w="108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16</w:t>
            </w:r>
          </w:p>
        </w:tc>
        <w:tc>
          <w:tcPr>
            <w:tcW w:w="90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1</w:t>
            </w:r>
          </w:p>
        </w:tc>
        <w:tc>
          <w:tcPr>
            <w:tcW w:w="90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1</w:t>
            </w:r>
          </w:p>
        </w:tc>
      </w:tr>
      <w:tr w:rsidR="00B00FB5" w:rsidRPr="00B00FB5" w:rsidTr="00E869DF">
        <w:tc>
          <w:tcPr>
            <w:tcW w:w="3258"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Nausea</w:t>
            </w:r>
          </w:p>
        </w:tc>
        <w:tc>
          <w:tcPr>
            <w:tcW w:w="108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18</w:t>
            </w:r>
          </w:p>
        </w:tc>
        <w:tc>
          <w:tcPr>
            <w:tcW w:w="90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&lt;1</w:t>
            </w:r>
          </w:p>
        </w:tc>
        <w:tc>
          <w:tcPr>
            <w:tcW w:w="90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0</w:t>
            </w:r>
          </w:p>
        </w:tc>
        <w:tc>
          <w:tcPr>
            <w:tcW w:w="108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37</w:t>
            </w:r>
          </w:p>
        </w:tc>
        <w:tc>
          <w:tcPr>
            <w:tcW w:w="90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1</w:t>
            </w:r>
          </w:p>
        </w:tc>
        <w:tc>
          <w:tcPr>
            <w:tcW w:w="90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0</w:t>
            </w:r>
          </w:p>
        </w:tc>
      </w:tr>
      <w:tr w:rsidR="00B00FB5" w:rsidRPr="00B00FB5" w:rsidTr="00E869DF">
        <w:tc>
          <w:tcPr>
            <w:tcW w:w="3258"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Constipation</w:t>
            </w:r>
          </w:p>
        </w:tc>
        <w:tc>
          <w:tcPr>
            <w:tcW w:w="108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14</w:t>
            </w:r>
          </w:p>
        </w:tc>
        <w:tc>
          <w:tcPr>
            <w:tcW w:w="90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0</w:t>
            </w:r>
          </w:p>
        </w:tc>
        <w:tc>
          <w:tcPr>
            <w:tcW w:w="90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0</w:t>
            </w:r>
          </w:p>
        </w:tc>
        <w:tc>
          <w:tcPr>
            <w:tcW w:w="108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23</w:t>
            </w:r>
          </w:p>
        </w:tc>
        <w:tc>
          <w:tcPr>
            <w:tcW w:w="90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1</w:t>
            </w:r>
          </w:p>
        </w:tc>
        <w:tc>
          <w:tcPr>
            <w:tcW w:w="90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0</w:t>
            </w:r>
          </w:p>
        </w:tc>
      </w:tr>
      <w:tr w:rsidR="00B00FB5" w:rsidRPr="00B00FB5" w:rsidTr="00E869DF">
        <w:tc>
          <w:tcPr>
            <w:tcW w:w="3258"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Vomiting</w:t>
            </w:r>
          </w:p>
        </w:tc>
        <w:tc>
          <w:tcPr>
            <w:tcW w:w="108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13</w:t>
            </w:r>
          </w:p>
        </w:tc>
        <w:tc>
          <w:tcPr>
            <w:tcW w:w="90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&lt;1</w:t>
            </w:r>
          </w:p>
        </w:tc>
        <w:tc>
          <w:tcPr>
            <w:tcW w:w="90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0</w:t>
            </w:r>
          </w:p>
        </w:tc>
        <w:tc>
          <w:tcPr>
            <w:tcW w:w="108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19</w:t>
            </w:r>
          </w:p>
        </w:tc>
        <w:tc>
          <w:tcPr>
            <w:tcW w:w="90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2</w:t>
            </w:r>
          </w:p>
        </w:tc>
        <w:tc>
          <w:tcPr>
            <w:tcW w:w="90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0</w:t>
            </w:r>
          </w:p>
        </w:tc>
      </w:tr>
      <w:tr w:rsidR="00B00FB5" w:rsidRPr="00B00FB5" w:rsidTr="00E869DF">
        <w:tc>
          <w:tcPr>
            <w:tcW w:w="9018" w:type="dxa"/>
            <w:gridSpan w:val="7"/>
          </w:tcPr>
          <w:p w:rsidR="00B00FB5" w:rsidRPr="00B00FB5" w:rsidRDefault="00B00FB5" w:rsidP="007D27A0">
            <w:pPr>
              <w:keepNext/>
              <w:rPr>
                <w:rFonts w:ascii="Arial" w:hAnsi="Arial" w:cs="Arial"/>
                <w:sz w:val="22"/>
                <w:szCs w:val="22"/>
                <w:lang w:val="en-US"/>
              </w:rPr>
            </w:pPr>
            <w:r w:rsidRPr="00B00FB5">
              <w:rPr>
                <w:rFonts w:ascii="Arial" w:hAnsi="Arial" w:cs="Arial"/>
                <w:b/>
                <w:sz w:val="22"/>
                <w:szCs w:val="22"/>
                <w:lang w:val="en-US"/>
              </w:rPr>
              <w:t>General disorders and administrative site conditions</w:t>
            </w:r>
          </w:p>
        </w:tc>
      </w:tr>
      <w:tr w:rsidR="00B00FB5" w:rsidRPr="00B00FB5" w:rsidTr="00E869DF">
        <w:tc>
          <w:tcPr>
            <w:tcW w:w="3258"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Fatigue</w:t>
            </w:r>
          </w:p>
        </w:tc>
        <w:tc>
          <w:tcPr>
            <w:tcW w:w="108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26</w:t>
            </w:r>
          </w:p>
        </w:tc>
        <w:tc>
          <w:tcPr>
            <w:tcW w:w="90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4</w:t>
            </w:r>
          </w:p>
        </w:tc>
        <w:tc>
          <w:tcPr>
            <w:tcW w:w="90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0</w:t>
            </w:r>
          </w:p>
        </w:tc>
        <w:tc>
          <w:tcPr>
            <w:tcW w:w="108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27</w:t>
            </w:r>
          </w:p>
        </w:tc>
        <w:tc>
          <w:tcPr>
            <w:tcW w:w="90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3</w:t>
            </w:r>
          </w:p>
        </w:tc>
        <w:tc>
          <w:tcPr>
            <w:tcW w:w="90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0</w:t>
            </w:r>
          </w:p>
        </w:tc>
      </w:tr>
      <w:tr w:rsidR="00B00FB5" w:rsidRPr="00B00FB5" w:rsidTr="00E869DF">
        <w:tc>
          <w:tcPr>
            <w:tcW w:w="3258"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Edema peripheral</w:t>
            </w:r>
          </w:p>
        </w:tc>
        <w:tc>
          <w:tcPr>
            <w:tcW w:w="108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26</w:t>
            </w:r>
          </w:p>
        </w:tc>
        <w:tc>
          <w:tcPr>
            <w:tcW w:w="90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&lt;1</w:t>
            </w:r>
          </w:p>
        </w:tc>
        <w:tc>
          <w:tcPr>
            <w:tcW w:w="90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0</w:t>
            </w:r>
          </w:p>
        </w:tc>
        <w:tc>
          <w:tcPr>
            <w:tcW w:w="108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3</w:t>
            </w:r>
          </w:p>
        </w:tc>
        <w:tc>
          <w:tcPr>
            <w:tcW w:w="90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0</w:t>
            </w:r>
          </w:p>
        </w:tc>
        <w:tc>
          <w:tcPr>
            <w:tcW w:w="90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0</w:t>
            </w:r>
          </w:p>
        </w:tc>
      </w:tr>
      <w:tr w:rsidR="00B00FB5" w:rsidRPr="00B00FB5" w:rsidTr="00E869DF">
        <w:tc>
          <w:tcPr>
            <w:tcW w:w="9018" w:type="dxa"/>
            <w:gridSpan w:val="7"/>
          </w:tcPr>
          <w:p w:rsidR="00B00FB5" w:rsidRPr="00B00FB5" w:rsidRDefault="00B00FB5" w:rsidP="00B00FB5">
            <w:pPr>
              <w:rPr>
                <w:rFonts w:ascii="Arial" w:hAnsi="Arial" w:cs="Arial"/>
                <w:sz w:val="22"/>
                <w:szCs w:val="22"/>
                <w:lang w:val="en-US"/>
              </w:rPr>
            </w:pPr>
            <w:r w:rsidRPr="00B00FB5">
              <w:rPr>
                <w:rFonts w:ascii="Arial" w:hAnsi="Arial" w:cs="Arial"/>
                <w:b/>
                <w:sz w:val="22"/>
                <w:szCs w:val="22"/>
                <w:lang w:val="en-US"/>
              </w:rPr>
              <w:t>Vascular disorders</w:t>
            </w:r>
          </w:p>
        </w:tc>
      </w:tr>
      <w:tr w:rsidR="00B00FB5" w:rsidRPr="00B00FB5" w:rsidTr="00E869DF">
        <w:tc>
          <w:tcPr>
            <w:tcW w:w="3258"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Hypertension</w:t>
            </w:r>
          </w:p>
        </w:tc>
        <w:tc>
          <w:tcPr>
            <w:tcW w:w="108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15</w:t>
            </w:r>
          </w:p>
        </w:tc>
        <w:tc>
          <w:tcPr>
            <w:tcW w:w="900" w:type="dxa"/>
          </w:tcPr>
          <w:p w:rsidR="00B00FB5" w:rsidRPr="00B00FB5" w:rsidDel="00385258" w:rsidRDefault="00B00FB5" w:rsidP="00B00FB5">
            <w:pPr>
              <w:rPr>
                <w:rFonts w:ascii="Arial" w:hAnsi="Arial" w:cs="Arial"/>
                <w:sz w:val="22"/>
                <w:szCs w:val="22"/>
                <w:lang w:val="en-US"/>
              </w:rPr>
            </w:pPr>
            <w:r w:rsidRPr="00B00FB5">
              <w:rPr>
                <w:rFonts w:ascii="Arial" w:hAnsi="Arial" w:cs="Arial"/>
                <w:sz w:val="22"/>
                <w:szCs w:val="22"/>
                <w:lang w:val="en-US"/>
              </w:rPr>
              <w:t>12</w:t>
            </w:r>
          </w:p>
        </w:tc>
        <w:tc>
          <w:tcPr>
            <w:tcW w:w="90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0</w:t>
            </w:r>
          </w:p>
        </w:tc>
        <w:tc>
          <w:tcPr>
            <w:tcW w:w="108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7</w:t>
            </w:r>
          </w:p>
        </w:tc>
        <w:tc>
          <w:tcPr>
            <w:tcW w:w="90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3</w:t>
            </w:r>
          </w:p>
        </w:tc>
        <w:tc>
          <w:tcPr>
            <w:tcW w:w="90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0</w:t>
            </w:r>
          </w:p>
        </w:tc>
      </w:tr>
      <w:tr w:rsidR="000205C4" w:rsidRPr="00B00FB5" w:rsidTr="000205C4">
        <w:tc>
          <w:tcPr>
            <w:tcW w:w="3258" w:type="dxa"/>
          </w:tcPr>
          <w:p w:rsidR="000205C4" w:rsidRPr="00B00FB5" w:rsidRDefault="000205C4" w:rsidP="000205C4">
            <w:pPr>
              <w:rPr>
                <w:rFonts w:ascii="Arial" w:hAnsi="Arial" w:cs="Arial"/>
                <w:sz w:val="22"/>
                <w:szCs w:val="22"/>
                <w:lang w:val="en-US"/>
              </w:rPr>
            </w:pPr>
            <w:r w:rsidRPr="00D67401">
              <w:rPr>
                <w:rFonts w:ascii="Arial" w:hAnsi="Arial" w:cs="Arial"/>
                <w:sz w:val="22"/>
                <w:szCs w:val="22"/>
                <w:lang w:val="en-US"/>
              </w:rPr>
              <w:t>Haemorrhage</w:t>
            </w:r>
            <w:r w:rsidRPr="00014CDD">
              <w:rPr>
                <w:rFonts w:ascii="Arial" w:hAnsi="Arial" w:cs="Arial"/>
                <w:sz w:val="22"/>
                <w:szCs w:val="22"/>
                <w:vertAlign w:val="superscript"/>
                <w:lang w:val="en-US"/>
              </w:rPr>
              <w:t>b</w:t>
            </w:r>
          </w:p>
        </w:tc>
        <w:tc>
          <w:tcPr>
            <w:tcW w:w="1080" w:type="dxa"/>
          </w:tcPr>
          <w:p w:rsidR="000205C4" w:rsidRPr="00B00FB5" w:rsidRDefault="00EE3B25" w:rsidP="000205C4">
            <w:pPr>
              <w:rPr>
                <w:rFonts w:ascii="Arial" w:hAnsi="Arial" w:cs="Arial"/>
                <w:sz w:val="22"/>
                <w:szCs w:val="22"/>
                <w:lang w:val="en-US"/>
              </w:rPr>
            </w:pPr>
            <w:r>
              <w:rPr>
                <w:rFonts w:ascii="Arial" w:hAnsi="Arial" w:cs="Arial"/>
                <w:sz w:val="22"/>
                <w:szCs w:val="22"/>
                <w:lang w:val="en-US"/>
              </w:rPr>
              <w:t>13</w:t>
            </w:r>
          </w:p>
        </w:tc>
        <w:tc>
          <w:tcPr>
            <w:tcW w:w="900" w:type="dxa"/>
          </w:tcPr>
          <w:p w:rsidR="000205C4" w:rsidRPr="00B00FB5" w:rsidRDefault="000205C4" w:rsidP="000205C4">
            <w:pPr>
              <w:rPr>
                <w:rFonts w:ascii="Arial" w:hAnsi="Arial" w:cs="Arial"/>
                <w:sz w:val="22"/>
                <w:szCs w:val="22"/>
                <w:lang w:val="en-US"/>
              </w:rPr>
            </w:pPr>
            <w:r>
              <w:rPr>
                <w:rFonts w:ascii="Arial" w:hAnsi="Arial" w:cs="Arial"/>
                <w:sz w:val="22"/>
                <w:szCs w:val="22"/>
                <w:lang w:val="en-US"/>
              </w:rPr>
              <w:t>&lt;1</w:t>
            </w:r>
          </w:p>
        </w:tc>
        <w:tc>
          <w:tcPr>
            <w:tcW w:w="900" w:type="dxa"/>
          </w:tcPr>
          <w:p w:rsidR="000205C4" w:rsidRPr="00B00FB5" w:rsidRDefault="000205C4" w:rsidP="000205C4">
            <w:pPr>
              <w:rPr>
                <w:rFonts w:ascii="Arial" w:hAnsi="Arial" w:cs="Arial"/>
                <w:sz w:val="22"/>
                <w:szCs w:val="22"/>
                <w:lang w:val="en-US"/>
              </w:rPr>
            </w:pPr>
            <w:r>
              <w:rPr>
                <w:rFonts w:ascii="Arial" w:hAnsi="Arial" w:cs="Arial"/>
                <w:sz w:val="22"/>
                <w:szCs w:val="22"/>
                <w:lang w:val="en-US"/>
              </w:rPr>
              <w:t>0</w:t>
            </w:r>
          </w:p>
        </w:tc>
        <w:tc>
          <w:tcPr>
            <w:tcW w:w="1080" w:type="dxa"/>
          </w:tcPr>
          <w:p w:rsidR="000205C4" w:rsidRPr="00B00FB5" w:rsidRDefault="000205C4" w:rsidP="000205C4">
            <w:pPr>
              <w:rPr>
                <w:rFonts w:ascii="Arial" w:hAnsi="Arial" w:cs="Arial"/>
                <w:sz w:val="22"/>
                <w:szCs w:val="22"/>
                <w:lang w:val="en-US"/>
              </w:rPr>
            </w:pPr>
            <w:r>
              <w:rPr>
                <w:rFonts w:ascii="Arial" w:hAnsi="Arial" w:cs="Arial"/>
                <w:sz w:val="22"/>
                <w:szCs w:val="22"/>
                <w:lang w:val="en-US"/>
              </w:rPr>
              <w:t>0</w:t>
            </w:r>
          </w:p>
        </w:tc>
        <w:tc>
          <w:tcPr>
            <w:tcW w:w="900" w:type="dxa"/>
          </w:tcPr>
          <w:p w:rsidR="000205C4" w:rsidRPr="00B00FB5" w:rsidRDefault="000205C4" w:rsidP="000205C4">
            <w:pPr>
              <w:rPr>
                <w:rFonts w:ascii="Arial" w:hAnsi="Arial" w:cs="Arial"/>
                <w:sz w:val="22"/>
                <w:szCs w:val="22"/>
                <w:lang w:val="en-US"/>
              </w:rPr>
            </w:pPr>
            <w:r>
              <w:rPr>
                <w:rFonts w:ascii="Arial" w:hAnsi="Arial" w:cs="Arial"/>
                <w:sz w:val="22"/>
                <w:szCs w:val="22"/>
                <w:lang w:val="en-US"/>
              </w:rPr>
              <w:t>0</w:t>
            </w:r>
          </w:p>
        </w:tc>
        <w:tc>
          <w:tcPr>
            <w:tcW w:w="900" w:type="dxa"/>
          </w:tcPr>
          <w:p w:rsidR="000205C4" w:rsidRPr="00B00FB5" w:rsidRDefault="000205C4" w:rsidP="000205C4">
            <w:pPr>
              <w:rPr>
                <w:rFonts w:ascii="Arial" w:hAnsi="Arial" w:cs="Arial"/>
                <w:sz w:val="22"/>
                <w:szCs w:val="22"/>
                <w:lang w:val="en-US"/>
              </w:rPr>
            </w:pPr>
            <w:r>
              <w:rPr>
                <w:rFonts w:ascii="Arial" w:hAnsi="Arial" w:cs="Arial"/>
                <w:sz w:val="22"/>
                <w:szCs w:val="22"/>
                <w:lang w:val="en-US"/>
              </w:rPr>
              <w:t>0</w:t>
            </w:r>
          </w:p>
        </w:tc>
      </w:tr>
      <w:tr w:rsidR="00B00FB5" w:rsidRPr="00B00FB5" w:rsidTr="00E869DF">
        <w:tc>
          <w:tcPr>
            <w:tcW w:w="9018" w:type="dxa"/>
            <w:gridSpan w:val="7"/>
          </w:tcPr>
          <w:p w:rsidR="00B00FB5" w:rsidRPr="00B00FB5" w:rsidRDefault="00B00FB5" w:rsidP="00B00FB5">
            <w:pPr>
              <w:rPr>
                <w:rFonts w:ascii="Arial" w:hAnsi="Arial" w:cs="Arial"/>
                <w:sz w:val="22"/>
                <w:szCs w:val="22"/>
                <w:lang w:val="en-US"/>
              </w:rPr>
            </w:pPr>
            <w:r w:rsidRPr="00B00FB5">
              <w:rPr>
                <w:rFonts w:ascii="Arial" w:hAnsi="Arial" w:cs="Arial"/>
                <w:b/>
                <w:sz w:val="22"/>
                <w:szCs w:val="22"/>
                <w:lang w:val="en-US"/>
              </w:rPr>
              <w:t>Infections and infestations</w:t>
            </w:r>
          </w:p>
        </w:tc>
      </w:tr>
      <w:tr w:rsidR="00B00FB5" w:rsidRPr="00B00FB5" w:rsidTr="00E869DF">
        <w:tc>
          <w:tcPr>
            <w:tcW w:w="3258"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Paronychia</w:t>
            </w:r>
          </w:p>
        </w:tc>
        <w:tc>
          <w:tcPr>
            <w:tcW w:w="108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10</w:t>
            </w:r>
          </w:p>
        </w:tc>
        <w:tc>
          <w:tcPr>
            <w:tcW w:w="90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0</w:t>
            </w:r>
          </w:p>
        </w:tc>
        <w:tc>
          <w:tcPr>
            <w:tcW w:w="90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0</w:t>
            </w:r>
          </w:p>
        </w:tc>
        <w:tc>
          <w:tcPr>
            <w:tcW w:w="108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1</w:t>
            </w:r>
          </w:p>
        </w:tc>
        <w:tc>
          <w:tcPr>
            <w:tcW w:w="90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0</w:t>
            </w:r>
          </w:p>
        </w:tc>
        <w:tc>
          <w:tcPr>
            <w:tcW w:w="900" w:type="dxa"/>
          </w:tcPr>
          <w:p w:rsidR="00B00FB5" w:rsidRPr="00B00FB5" w:rsidRDefault="00B00FB5" w:rsidP="00B00FB5">
            <w:pPr>
              <w:rPr>
                <w:rFonts w:ascii="Arial" w:hAnsi="Arial" w:cs="Arial"/>
                <w:sz w:val="22"/>
                <w:szCs w:val="22"/>
                <w:lang w:val="en-US"/>
              </w:rPr>
            </w:pPr>
            <w:r w:rsidRPr="00B00FB5">
              <w:rPr>
                <w:rFonts w:ascii="Arial" w:hAnsi="Arial" w:cs="Arial"/>
                <w:sz w:val="22"/>
                <w:szCs w:val="22"/>
                <w:lang w:val="en-US"/>
              </w:rPr>
              <w:t>0</w:t>
            </w:r>
          </w:p>
        </w:tc>
      </w:tr>
    </w:tbl>
    <w:p w:rsidR="00B00FB5" w:rsidRPr="00D042F6" w:rsidRDefault="00B00FB5" w:rsidP="00B00FB5">
      <w:pPr>
        <w:rPr>
          <w:rFonts w:ascii="Arial" w:hAnsi="Arial" w:cs="Arial"/>
          <w:sz w:val="18"/>
          <w:szCs w:val="18"/>
          <w:lang w:val="en-US"/>
        </w:rPr>
      </w:pPr>
      <w:r w:rsidRPr="00D042F6">
        <w:rPr>
          <w:rFonts w:ascii="Arial" w:hAnsi="Arial" w:cs="Arial"/>
          <w:sz w:val="18"/>
          <w:szCs w:val="18"/>
          <w:vertAlign w:val="superscript"/>
          <w:lang w:val="en-US"/>
        </w:rPr>
        <w:t>a</w:t>
      </w:r>
      <w:r w:rsidRPr="00D042F6">
        <w:rPr>
          <w:rFonts w:ascii="Arial" w:hAnsi="Arial" w:cs="Arial"/>
          <w:sz w:val="18"/>
          <w:szCs w:val="18"/>
          <w:lang w:val="en-US"/>
        </w:rPr>
        <w:t>National Cancer Institute Common Terminology Criteria for Adverse Events, version 4.</w:t>
      </w:r>
    </w:p>
    <w:p w:rsidR="00744040" w:rsidRPr="00D042F6" w:rsidRDefault="00744040" w:rsidP="00EE3B25">
      <w:pPr>
        <w:pStyle w:val="NormalWeb"/>
        <w:spacing w:before="0" w:beforeAutospacing="0" w:after="0" w:afterAutospacing="0"/>
        <w:rPr>
          <w:rFonts w:ascii="Arial" w:hAnsi="Arial" w:cs="Arial"/>
          <w:color w:val="000000"/>
          <w:sz w:val="18"/>
          <w:szCs w:val="18"/>
        </w:rPr>
      </w:pPr>
      <w:r w:rsidRPr="00D042F6">
        <w:rPr>
          <w:rFonts w:ascii="Arial" w:hAnsi="Arial" w:cs="Arial"/>
          <w:color w:val="000000"/>
          <w:sz w:val="18"/>
          <w:szCs w:val="18"/>
          <w:vertAlign w:val="superscript"/>
        </w:rPr>
        <w:lastRenderedPageBreak/>
        <w:t>b</w:t>
      </w:r>
      <w:r w:rsidRPr="00D042F6">
        <w:rPr>
          <w:rFonts w:ascii="Arial" w:hAnsi="Arial" w:cs="Arial"/>
          <w:color w:val="000000"/>
          <w:sz w:val="18"/>
          <w:szCs w:val="18"/>
        </w:rPr>
        <w:t xml:space="preserve">Events include: epistaxis, haematochezia, gingival bleeding, haematuria, </w:t>
      </w:r>
      <w:r w:rsidR="00EE3B25" w:rsidRPr="00D042F6">
        <w:rPr>
          <w:rFonts w:ascii="Arial" w:hAnsi="Arial" w:cs="Arial"/>
          <w:color w:val="000000"/>
          <w:sz w:val="18"/>
          <w:szCs w:val="18"/>
        </w:rPr>
        <w:t>mel</w:t>
      </w:r>
      <w:r w:rsidR="00FE1DC0" w:rsidRPr="00D042F6">
        <w:rPr>
          <w:rFonts w:ascii="Arial" w:hAnsi="Arial" w:cs="Arial"/>
          <w:color w:val="000000"/>
          <w:sz w:val="18"/>
          <w:szCs w:val="18"/>
        </w:rPr>
        <w:t>a</w:t>
      </w:r>
      <w:r w:rsidR="00EE3B25" w:rsidRPr="00D042F6">
        <w:rPr>
          <w:rFonts w:ascii="Arial" w:hAnsi="Arial" w:cs="Arial"/>
          <w:color w:val="000000"/>
          <w:sz w:val="18"/>
          <w:szCs w:val="18"/>
        </w:rPr>
        <w:t xml:space="preserve">ena, </w:t>
      </w:r>
      <w:r w:rsidRPr="00D042F6">
        <w:rPr>
          <w:rFonts w:ascii="Arial" w:hAnsi="Arial" w:cs="Arial"/>
          <w:color w:val="000000"/>
          <w:sz w:val="18"/>
          <w:szCs w:val="18"/>
        </w:rPr>
        <w:t xml:space="preserve">and rectal, haemorrhoidal, , </w:t>
      </w:r>
      <w:r w:rsidR="00EE3B25" w:rsidRPr="00D042F6">
        <w:rPr>
          <w:rFonts w:ascii="Arial" w:hAnsi="Arial" w:cs="Arial"/>
          <w:color w:val="000000"/>
          <w:sz w:val="18"/>
          <w:szCs w:val="18"/>
        </w:rPr>
        <w:t xml:space="preserve">and </w:t>
      </w:r>
      <w:r w:rsidRPr="00D042F6">
        <w:rPr>
          <w:rFonts w:ascii="Arial" w:hAnsi="Arial" w:cs="Arial"/>
          <w:color w:val="000000"/>
          <w:sz w:val="18"/>
          <w:szCs w:val="18"/>
        </w:rPr>
        <w:t>conjuntival haemorrhage</w:t>
      </w:r>
      <w:r w:rsidR="00EE3B25" w:rsidRPr="00D042F6" w:rsidDel="00EE3B25">
        <w:rPr>
          <w:rStyle w:val="CommentReference"/>
          <w:rFonts w:ascii="Arial" w:hAnsi="Arial" w:cs="Arial"/>
          <w:sz w:val="18"/>
          <w:szCs w:val="18"/>
        </w:rPr>
        <w:t xml:space="preserve"> </w:t>
      </w:r>
    </w:p>
    <w:p w:rsidR="00744040" w:rsidRPr="00B00FB5" w:rsidRDefault="00744040" w:rsidP="00EE3B25">
      <w:pPr>
        <w:rPr>
          <w:rFonts w:ascii="Arial" w:hAnsi="Arial" w:cs="Arial"/>
          <w:lang w:val="en-US"/>
        </w:rPr>
      </w:pPr>
    </w:p>
    <w:p w:rsidR="00B00FB5" w:rsidRPr="00620AF0" w:rsidRDefault="00B00FB5" w:rsidP="00EE3B25">
      <w:pPr>
        <w:rPr>
          <w:rFonts w:ascii="Arial" w:hAnsi="Arial" w:cs="Arial"/>
          <w:sz w:val="22"/>
          <w:szCs w:val="22"/>
        </w:rPr>
      </w:pPr>
    </w:p>
    <w:p w:rsidR="004A4BB0" w:rsidRPr="004A4BB0" w:rsidRDefault="0018431B" w:rsidP="00EE3B25">
      <w:pPr>
        <w:rPr>
          <w:rFonts w:ascii="Arial" w:hAnsi="Arial" w:cs="Arial"/>
          <w:i/>
          <w:sz w:val="22"/>
          <w:szCs w:val="22"/>
          <w:u w:val="single"/>
          <w:lang w:val="en-GB"/>
        </w:rPr>
      </w:pPr>
      <w:r>
        <w:rPr>
          <w:rFonts w:ascii="Arial" w:hAnsi="Arial" w:cs="Arial"/>
          <w:i/>
          <w:sz w:val="22"/>
          <w:szCs w:val="22"/>
          <w:u w:val="single"/>
          <w:lang w:val="en-GB"/>
        </w:rPr>
        <w:t>Combination with dabrafenib</w:t>
      </w:r>
      <w:r w:rsidR="004A4BB0" w:rsidRPr="004A4BB0">
        <w:rPr>
          <w:rFonts w:ascii="Arial" w:hAnsi="Arial" w:cs="Arial"/>
          <w:i/>
          <w:sz w:val="22"/>
          <w:szCs w:val="22"/>
          <w:u w:val="single"/>
          <w:lang w:val="en-GB"/>
        </w:rPr>
        <w:t>:</w:t>
      </w:r>
    </w:p>
    <w:p w:rsidR="004A4BB0" w:rsidRPr="004A4BB0" w:rsidRDefault="004A4BB0" w:rsidP="00EE3B25">
      <w:pPr>
        <w:rPr>
          <w:rFonts w:ascii="Arial" w:hAnsi="Arial" w:cs="Arial"/>
          <w:sz w:val="22"/>
          <w:szCs w:val="22"/>
          <w:lang w:val="en-GB"/>
        </w:rPr>
      </w:pPr>
      <w:r w:rsidRPr="004A4BB0">
        <w:rPr>
          <w:rFonts w:ascii="Arial" w:hAnsi="Arial" w:cs="Arial"/>
          <w:sz w:val="22"/>
          <w:szCs w:val="22"/>
          <w:lang w:val="en-GB"/>
        </w:rPr>
        <w:t>In addition to adverse reactions observed with monotherapy treatments (</w:t>
      </w:r>
      <w:r w:rsidR="0018431B" w:rsidRPr="0018431B">
        <w:rPr>
          <w:rFonts w:ascii="Arial" w:hAnsi="Arial" w:cs="Arial"/>
          <w:sz w:val="22"/>
          <w:szCs w:val="22"/>
          <w:lang w:val="en-GB"/>
        </w:rPr>
        <w:t xml:space="preserve">see Table </w:t>
      </w:r>
      <w:r w:rsidR="00FE6757">
        <w:rPr>
          <w:rFonts w:ascii="Arial" w:hAnsi="Arial" w:cs="Arial"/>
          <w:sz w:val="22"/>
          <w:szCs w:val="22"/>
          <w:lang w:val="en-GB"/>
        </w:rPr>
        <w:t xml:space="preserve">3 </w:t>
      </w:r>
      <w:r w:rsidRPr="0018431B">
        <w:rPr>
          <w:rFonts w:ascii="Arial" w:hAnsi="Arial" w:cs="Arial"/>
          <w:sz w:val="22"/>
          <w:szCs w:val="22"/>
          <w:lang w:val="en-GB"/>
        </w:rPr>
        <w:t>above and the dabrafenib prescribing information</w:t>
      </w:r>
      <w:r w:rsidR="0018431B">
        <w:rPr>
          <w:rFonts w:ascii="Arial" w:hAnsi="Arial" w:cs="Arial"/>
          <w:sz w:val="22"/>
          <w:szCs w:val="22"/>
          <w:lang w:val="en-GB"/>
        </w:rPr>
        <w:t>), Table </w:t>
      </w:r>
      <w:r w:rsidR="00CB63EC">
        <w:rPr>
          <w:rFonts w:ascii="Arial" w:hAnsi="Arial" w:cs="Arial"/>
          <w:sz w:val="22"/>
          <w:szCs w:val="22"/>
          <w:lang w:val="en-GB"/>
        </w:rPr>
        <w:t>5</w:t>
      </w:r>
      <w:r w:rsidRPr="004A4BB0">
        <w:rPr>
          <w:rFonts w:ascii="Arial" w:hAnsi="Arial" w:cs="Arial"/>
          <w:sz w:val="22"/>
          <w:szCs w:val="22"/>
          <w:lang w:val="en-GB"/>
        </w:rPr>
        <w:t xml:space="preserve"> lists adverse reactions which are specific to/</w:t>
      </w:r>
      <w:r w:rsidR="0018431B">
        <w:rPr>
          <w:rFonts w:ascii="Arial" w:hAnsi="Arial" w:cs="Arial"/>
          <w:sz w:val="22"/>
          <w:szCs w:val="22"/>
          <w:lang w:val="en-GB"/>
        </w:rPr>
        <w:t>much more common when MEKINIST</w:t>
      </w:r>
      <w:r w:rsidRPr="004A4BB0">
        <w:rPr>
          <w:rFonts w:ascii="Arial" w:hAnsi="Arial" w:cs="Arial"/>
          <w:sz w:val="22"/>
          <w:szCs w:val="22"/>
          <w:lang w:val="en-GB"/>
        </w:rPr>
        <w:t xml:space="preserve"> is used in combination with dabrafenib.</w:t>
      </w:r>
    </w:p>
    <w:p w:rsidR="004A4BB0" w:rsidRDefault="0018431B" w:rsidP="004A4BB0">
      <w:pPr>
        <w:rPr>
          <w:rFonts w:ascii="Arial" w:hAnsi="Arial" w:cs="Arial"/>
          <w:sz w:val="22"/>
          <w:szCs w:val="22"/>
          <w:lang w:val="en-GB"/>
        </w:rPr>
      </w:pPr>
      <w:r>
        <w:rPr>
          <w:rFonts w:ascii="Arial" w:hAnsi="Arial" w:cs="Arial"/>
          <w:sz w:val="22"/>
          <w:szCs w:val="22"/>
          <w:lang w:val="en-GB"/>
        </w:rPr>
        <w:t xml:space="preserve">Frequencies in Table </w:t>
      </w:r>
      <w:r w:rsidR="00CB63EC">
        <w:rPr>
          <w:rFonts w:ascii="Arial" w:hAnsi="Arial" w:cs="Arial"/>
          <w:sz w:val="22"/>
          <w:szCs w:val="22"/>
          <w:lang w:val="en-GB"/>
        </w:rPr>
        <w:t>5</w:t>
      </w:r>
      <w:r w:rsidR="004A4BB0" w:rsidRPr="004A4BB0">
        <w:rPr>
          <w:rFonts w:ascii="Arial" w:hAnsi="Arial" w:cs="Arial"/>
          <w:sz w:val="22"/>
          <w:szCs w:val="22"/>
          <w:lang w:val="en-GB"/>
        </w:rPr>
        <w:t xml:space="preserve"> are based on subjects receiving dabrafenib (150 mg twice daily) + </w:t>
      </w:r>
      <w:r>
        <w:rPr>
          <w:rFonts w:ascii="Arial" w:hAnsi="Arial" w:cs="Arial"/>
          <w:sz w:val="22"/>
          <w:szCs w:val="22"/>
          <w:lang w:val="en-US"/>
        </w:rPr>
        <w:t>MEKINIST</w:t>
      </w:r>
      <w:r w:rsidR="004A4BB0" w:rsidRPr="004A4BB0">
        <w:rPr>
          <w:rFonts w:ascii="Arial" w:hAnsi="Arial" w:cs="Arial"/>
          <w:sz w:val="22"/>
          <w:szCs w:val="22"/>
          <w:lang w:val="en-US"/>
        </w:rPr>
        <w:t xml:space="preserve"> (2 mg once daily) combination therapy </w:t>
      </w:r>
      <w:r w:rsidR="004A4BB0" w:rsidRPr="004A4BB0">
        <w:rPr>
          <w:rFonts w:ascii="Arial" w:hAnsi="Arial" w:cs="Arial"/>
          <w:sz w:val="22"/>
          <w:szCs w:val="22"/>
          <w:lang w:val="en-GB"/>
        </w:rPr>
        <w:t xml:space="preserve">(n = 55) in Part C of study BRF113220 (data cut-off 31 May 2012). </w:t>
      </w:r>
    </w:p>
    <w:p w:rsidR="0018431B" w:rsidRPr="004A4BB0" w:rsidRDefault="0018431B" w:rsidP="004A4BB0">
      <w:pPr>
        <w:rPr>
          <w:rFonts w:ascii="Arial" w:hAnsi="Arial" w:cs="Arial"/>
          <w:sz w:val="22"/>
          <w:szCs w:val="22"/>
          <w:lang w:val="en-GB"/>
        </w:rPr>
      </w:pPr>
    </w:p>
    <w:p w:rsidR="004A4BB0" w:rsidRPr="004A4BB0" w:rsidRDefault="004A4BB0" w:rsidP="004A4BB0">
      <w:pPr>
        <w:rPr>
          <w:rFonts w:ascii="Arial" w:hAnsi="Arial" w:cs="Arial"/>
          <w:sz w:val="22"/>
          <w:szCs w:val="22"/>
          <w:lang w:val="en-GB"/>
        </w:rPr>
      </w:pPr>
      <w:r w:rsidRPr="004A4BB0">
        <w:rPr>
          <w:rFonts w:ascii="Arial" w:hAnsi="Arial" w:cs="Arial"/>
          <w:sz w:val="22"/>
          <w:szCs w:val="22"/>
          <w:lang w:val="en-GB"/>
        </w:rPr>
        <w:t>The following convention has been utilised for the classification of frequency:</w:t>
      </w:r>
    </w:p>
    <w:p w:rsidR="004A4BB0" w:rsidRPr="004A4BB0" w:rsidRDefault="004A4BB0" w:rsidP="004A4BB0">
      <w:pPr>
        <w:rPr>
          <w:rFonts w:ascii="Arial" w:hAnsi="Arial" w:cs="Arial"/>
          <w:sz w:val="22"/>
          <w:szCs w:val="22"/>
          <w:lang w:val="en-GB"/>
        </w:rPr>
      </w:pPr>
      <w:r w:rsidRPr="004A4BB0">
        <w:rPr>
          <w:rFonts w:ascii="Arial" w:hAnsi="Arial" w:cs="Arial"/>
          <w:sz w:val="22"/>
          <w:szCs w:val="22"/>
          <w:lang w:val="en-GB"/>
        </w:rPr>
        <w:t>Very common:</w:t>
      </w:r>
      <w:r w:rsidRPr="004A4BB0">
        <w:rPr>
          <w:rFonts w:ascii="Arial" w:hAnsi="Arial" w:cs="Arial"/>
          <w:sz w:val="22"/>
          <w:szCs w:val="22"/>
          <w:lang w:val="en-GB"/>
        </w:rPr>
        <w:tab/>
      </w:r>
      <w:r w:rsidR="0018431B">
        <w:rPr>
          <w:rFonts w:ascii="Arial" w:hAnsi="Arial" w:cs="Arial"/>
          <w:sz w:val="22"/>
          <w:szCs w:val="22"/>
          <w:lang w:val="en-GB"/>
        </w:rPr>
        <w:tab/>
      </w:r>
      <w:r w:rsidRPr="004A4BB0">
        <w:rPr>
          <w:rFonts w:ascii="Arial" w:hAnsi="Arial" w:cs="Arial"/>
          <w:sz w:val="22"/>
          <w:szCs w:val="22"/>
          <w:lang w:val="en-GB"/>
        </w:rPr>
        <w:sym w:font="Symbol" w:char="F0B3"/>
      </w:r>
      <w:r w:rsidRPr="004A4BB0">
        <w:rPr>
          <w:rFonts w:ascii="Arial" w:hAnsi="Arial" w:cs="Arial"/>
          <w:sz w:val="22"/>
          <w:szCs w:val="22"/>
          <w:lang w:val="en-GB"/>
        </w:rPr>
        <w:t> 1/10</w:t>
      </w:r>
    </w:p>
    <w:p w:rsidR="004A4BB0" w:rsidRDefault="004A4BB0" w:rsidP="004A4BB0">
      <w:pPr>
        <w:rPr>
          <w:rFonts w:ascii="Arial" w:hAnsi="Arial" w:cs="Arial"/>
          <w:sz w:val="22"/>
          <w:szCs w:val="22"/>
          <w:lang w:val="en-GB"/>
        </w:rPr>
      </w:pPr>
      <w:r w:rsidRPr="004A4BB0">
        <w:rPr>
          <w:rFonts w:ascii="Arial" w:hAnsi="Arial" w:cs="Arial"/>
          <w:sz w:val="22"/>
          <w:szCs w:val="22"/>
          <w:lang w:val="en-GB"/>
        </w:rPr>
        <w:t xml:space="preserve">Common: </w:t>
      </w:r>
      <w:r w:rsidRPr="004A4BB0">
        <w:rPr>
          <w:rFonts w:ascii="Arial" w:hAnsi="Arial" w:cs="Arial"/>
          <w:sz w:val="22"/>
          <w:szCs w:val="22"/>
          <w:lang w:val="en-GB"/>
        </w:rPr>
        <w:tab/>
      </w:r>
      <w:r w:rsidRPr="004A4BB0">
        <w:rPr>
          <w:rFonts w:ascii="Arial" w:hAnsi="Arial" w:cs="Arial"/>
          <w:sz w:val="22"/>
          <w:szCs w:val="22"/>
          <w:lang w:val="en-GB"/>
        </w:rPr>
        <w:tab/>
      </w:r>
      <w:r w:rsidRPr="004A4BB0">
        <w:rPr>
          <w:rFonts w:ascii="Arial" w:hAnsi="Arial" w:cs="Arial"/>
          <w:sz w:val="22"/>
          <w:szCs w:val="22"/>
          <w:lang w:val="en-GB"/>
        </w:rPr>
        <w:sym w:font="Symbol" w:char="F0B3"/>
      </w:r>
      <w:r w:rsidRPr="004A4BB0">
        <w:rPr>
          <w:rFonts w:ascii="Arial" w:hAnsi="Arial" w:cs="Arial"/>
          <w:sz w:val="22"/>
          <w:szCs w:val="22"/>
          <w:lang w:val="en-GB"/>
        </w:rPr>
        <w:t> 1/100 and &lt; 1/10</w:t>
      </w:r>
    </w:p>
    <w:p w:rsidR="0018431B" w:rsidRPr="004A4BB0" w:rsidRDefault="0018431B" w:rsidP="004A4BB0">
      <w:pPr>
        <w:rPr>
          <w:rFonts w:ascii="Arial" w:hAnsi="Arial" w:cs="Arial"/>
          <w:sz w:val="22"/>
          <w:szCs w:val="22"/>
          <w:lang w:val="en-GB"/>
        </w:rPr>
      </w:pPr>
    </w:p>
    <w:p w:rsidR="004A4BB0" w:rsidRDefault="004A4BB0" w:rsidP="004A4BB0">
      <w:pPr>
        <w:rPr>
          <w:rFonts w:ascii="Arial" w:hAnsi="Arial" w:cs="Arial"/>
          <w:sz w:val="22"/>
          <w:szCs w:val="22"/>
          <w:lang w:val="en-GB"/>
        </w:rPr>
      </w:pPr>
      <w:r w:rsidRPr="004A4BB0">
        <w:rPr>
          <w:rFonts w:ascii="Arial" w:hAnsi="Arial" w:cs="Arial"/>
          <w:sz w:val="22"/>
          <w:szCs w:val="22"/>
          <w:lang w:val="en-GB"/>
        </w:rPr>
        <w:t>Note:  As patient numbers are small the frequencies of uncommon or rare events could not be determined.</w:t>
      </w:r>
    </w:p>
    <w:p w:rsidR="0018431B" w:rsidRPr="0018431B" w:rsidRDefault="0018431B" w:rsidP="004A4BB0">
      <w:pPr>
        <w:rPr>
          <w:rFonts w:ascii="Arial" w:hAnsi="Arial" w:cs="Arial"/>
          <w:b/>
          <w:sz w:val="22"/>
          <w:szCs w:val="22"/>
          <w:lang w:val="en-GB"/>
        </w:rPr>
      </w:pPr>
    </w:p>
    <w:p w:rsidR="004A4BB0" w:rsidRDefault="004A4BB0" w:rsidP="004A4BB0">
      <w:pPr>
        <w:rPr>
          <w:rFonts w:ascii="Arial" w:hAnsi="Arial" w:cs="Arial"/>
          <w:b/>
          <w:bCs/>
          <w:sz w:val="22"/>
          <w:szCs w:val="22"/>
          <w:lang w:val="en-GB"/>
        </w:rPr>
      </w:pPr>
      <w:r w:rsidRPr="0018431B">
        <w:rPr>
          <w:rFonts w:ascii="Arial" w:hAnsi="Arial" w:cs="Arial"/>
          <w:b/>
          <w:bCs/>
          <w:sz w:val="22"/>
          <w:szCs w:val="22"/>
          <w:lang w:val="en-GB"/>
        </w:rPr>
        <w:t>Table 5</w:t>
      </w:r>
      <w:r w:rsidR="00E869DF">
        <w:rPr>
          <w:rFonts w:ascii="Arial" w:hAnsi="Arial" w:cs="Arial"/>
          <w:b/>
          <w:bCs/>
          <w:sz w:val="22"/>
          <w:szCs w:val="22"/>
          <w:lang w:val="en-GB"/>
        </w:rPr>
        <w:t>.</w:t>
      </w:r>
      <w:r w:rsidRPr="0018431B">
        <w:rPr>
          <w:rFonts w:ascii="Arial" w:hAnsi="Arial" w:cs="Arial"/>
          <w:b/>
          <w:bCs/>
          <w:sz w:val="22"/>
          <w:szCs w:val="22"/>
          <w:lang w:val="en-GB"/>
        </w:rPr>
        <w:t xml:space="preserve"> Adverse R</w:t>
      </w:r>
      <w:r w:rsidR="0018431B" w:rsidRPr="0018431B">
        <w:rPr>
          <w:rFonts w:ascii="Arial" w:hAnsi="Arial" w:cs="Arial"/>
          <w:b/>
          <w:bCs/>
          <w:sz w:val="22"/>
          <w:szCs w:val="22"/>
          <w:lang w:val="en-GB"/>
        </w:rPr>
        <w:t>e</w:t>
      </w:r>
      <w:r w:rsidR="0018431B">
        <w:rPr>
          <w:rFonts w:ascii="Arial" w:hAnsi="Arial" w:cs="Arial"/>
          <w:b/>
          <w:bCs/>
          <w:sz w:val="22"/>
          <w:szCs w:val="22"/>
          <w:lang w:val="en-GB"/>
        </w:rPr>
        <w:t>actions S</w:t>
      </w:r>
      <w:r w:rsidR="0018431B" w:rsidRPr="0018431B">
        <w:rPr>
          <w:rFonts w:ascii="Arial" w:hAnsi="Arial" w:cs="Arial"/>
          <w:b/>
          <w:bCs/>
          <w:sz w:val="22"/>
          <w:szCs w:val="22"/>
          <w:lang w:val="en-GB"/>
        </w:rPr>
        <w:t>pecific for MEKINIST</w:t>
      </w:r>
      <w:r w:rsidR="0018431B">
        <w:rPr>
          <w:rFonts w:ascii="Arial" w:hAnsi="Arial" w:cs="Arial"/>
          <w:b/>
          <w:bCs/>
          <w:sz w:val="22"/>
          <w:szCs w:val="22"/>
          <w:lang w:val="en-GB"/>
        </w:rPr>
        <w:t xml:space="preserve"> In Combination With D</w:t>
      </w:r>
      <w:r w:rsidRPr="0018431B">
        <w:rPr>
          <w:rFonts w:ascii="Arial" w:hAnsi="Arial" w:cs="Arial"/>
          <w:b/>
          <w:bCs/>
          <w:sz w:val="22"/>
          <w:szCs w:val="22"/>
          <w:lang w:val="en-GB"/>
        </w:rPr>
        <w:t xml:space="preserve">abrafenib </w:t>
      </w:r>
    </w:p>
    <w:p w:rsidR="0018431B" w:rsidRPr="0018431B" w:rsidRDefault="0018431B" w:rsidP="004A4BB0">
      <w:pPr>
        <w:rPr>
          <w:rFonts w:ascii="Arial" w:hAnsi="Arial" w:cs="Arial"/>
          <w:b/>
          <w:bCs/>
          <w:sz w:val="22"/>
          <w:szCs w:val="22"/>
          <w:lang w:val="en-GB"/>
        </w:rPr>
      </w:pPr>
    </w:p>
    <w:tbl>
      <w:tblPr>
        <w:tblW w:w="0" w:type="auto"/>
        <w:tblInd w:w="108" w:type="dxa"/>
        <w:tblCellMar>
          <w:left w:w="0" w:type="dxa"/>
          <w:right w:w="0" w:type="dxa"/>
        </w:tblCellMar>
        <w:tblLook w:val="04A0" w:firstRow="1" w:lastRow="0" w:firstColumn="1" w:lastColumn="0" w:noHBand="0" w:noVBand="1"/>
      </w:tblPr>
      <w:tblGrid>
        <w:gridCol w:w="1800"/>
        <w:gridCol w:w="6839"/>
      </w:tblGrid>
      <w:tr w:rsidR="0018431B" w:rsidRPr="0018431B" w:rsidTr="00E869DF">
        <w:trPr>
          <w:cantSplit/>
        </w:trPr>
        <w:tc>
          <w:tcPr>
            <w:tcW w:w="863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431B" w:rsidRPr="0018431B" w:rsidRDefault="0018431B" w:rsidP="00D67401">
            <w:pPr>
              <w:rPr>
                <w:rFonts w:ascii="Arial" w:hAnsi="Arial" w:cs="Arial"/>
                <w:b/>
                <w:bCs/>
                <w:sz w:val="22"/>
                <w:szCs w:val="22"/>
                <w:lang w:val="en-GB"/>
              </w:rPr>
            </w:pPr>
            <w:r w:rsidRPr="0018431B">
              <w:rPr>
                <w:rFonts w:ascii="Arial" w:hAnsi="Arial" w:cs="Arial"/>
                <w:b/>
                <w:bCs/>
                <w:sz w:val="22"/>
                <w:szCs w:val="22"/>
                <w:lang w:val="en-GB"/>
              </w:rPr>
              <w:t>Infections and infestations</w:t>
            </w:r>
          </w:p>
        </w:tc>
      </w:tr>
      <w:tr w:rsidR="0018431B" w:rsidRPr="0018431B" w:rsidTr="00D67401">
        <w:trPr>
          <w:cantSplit/>
          <w:trHeight w:val="280"/>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431B" w:rsidRPr="0018431B" w:rsidRDefault="0018431B" w:rsidP="00D67401">
            <w:pPr>
              <w:rPr>
                <w:rFonts w:ascii="Arial" w:hAnsi="Arial" w:cs="Arial"/>
                <w:bCs/>
                <w:sz w:val="22"/>
                <w:szCs w:val="22"/>
                <w:lang w:val="en-GB"/>
              </w:rPr>
            </w:pPr>
            <w:r w:rsidRPr="0018431B">
              <w:rPr>
                <w:rFonts w:ascii="Arial" w:hAnsi="Arial" w:cs="Arial"/>
                <w:bCs/>
                <w:sz w:val="22"/>
                <w:szCs w:val="22"/>
                <w:lang w:val="en-GB"/>
              </w:rPr>
              <w:t>Very common</w:t>
            </w:r>
          </w:p>
        </w:tc>
        <w:tc>
          <w:tcPr>
            <w:tcW w:w="6839" w:type="dxa"/>
            <w:tcBorders>
              <w:top w:val="nil"/>
              <w:left w:val="single" w:sz="8" w:space="0" w:color="auto"/>
              <w:bottom w:val="single" w:sz="8" w:space="0" w:color="auto"/>
              <w:right w:val="single" w:sz="8" w:space="0" w:color="auto"/>
            </w:tcBorders>
          </w:tcPr>
          <w:p w:rsidR="0018431B" w:rsidRPr="0018431B" w:rsidRDefault="0018431B" w:rsidP="00D67401">
            <w:pPr>
              <w:rPr>
                <w:rFonts w:ascii="Arial" w:hAnsi="Arial" w:cs="Arial"/>
                <w:bCs/>
                <w:sz w:val="22"/>
                <w:szCs w:val="22"/>
                <w:lang w:val="en-GB"/>
              </w:rPr>
            </w:pPr>
            <w:r w:rsidRPr="0018431B">
              <w:rPr>
                <w:rFonts w:ascii="Arial" w:hAnsi="Arial" w:cs="Arial"/>
                <w:bCs/>
                <w:sz w:val="22"/>
                <w:szCs w:val="22"/>
                <w:lang w:val="en-GB"/>
              </w:rPr>
              <w:t>Urinary tract infection</w:t>
            </w:r>
          </w:p>
        </w:tc>
      </w:tr>
      <w:tr w:rsidR="0018431B" w:rsidRPr="0018431B" w:rsidTr="00E869DF">
        <w:trPr>
          <w:cantSplit/>
        </w:trPr>
        <w:tc>
          <w:tcPr>
            <w:tcW w:w="863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431B" w:rsidRPr="0018431B" w:rsidRDefault="0018431B" w:rsidP="00D67401">
            <w:pPr>
              <w:rPr>
                <w:rFonts w:ascii="Arial" w:hAnsi="Arial" w:cs="Arial"/>
                <w:b/>
                <w:bCs/>
                <w:sz w:val="22"/>
                <w:szCs w:val="22"/>
                <w:lang w:val="en-GB"/>
              </w:rPr>
            </w:pPr>
            <w:r w:rsidRPr="0018431B">
              <w:rPr>
                <w:rFonts w:ascii="Arial" w:hAnsi="Arial" w:cs="Arial"/>
                <w:b/>
                <w:bCs/>
                <w:sz w:val="22"/>
                <w:szCs w:val="22"/>
                <w:lang w:val="en-GB"/>
              </w:rPr>
              <w:t>Blood and lymphatic system disorders</w:t>
            </w:r>
          </w:p>
        </w:tc>
      </w:tr>
      <w:tr w:rsidR="0018431B" w:rsidRPr="0018431B" w:rsidTr="00E869DF">
        <w:trPr>
          <w:cantSplit/>
          <w:trHeight w:val="255"/>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8431B" w:rsidRPr="0018431B" w:rsidRDefault="0018431B" w:rsidP="00D67401">
            <w:pPr>
              <w:rPr>
                <w:rFonts w:ascii="Arial" w:hAnsi="Arial" w:cs="Arial"/>
                <w:bCs/>
                <w:sz w:val="22"/>
                <w:szCs w:val="22"/>
                <w:lang w:val="en-GB"/>
              </w:rPr>
            </w:pPr>
            <w:r w:rsidRPr="0018431B">
              <w:rPr>
                <w:rFonts w:ascii="Arial" w:hAnsi="Arial" w:cs="Arial"/>
                <w:bCs/>
                <w:sz w:val="22"/>
                <w:szCs w:val="22"/>
                <w:lang w:val="en-GB"/>
              </w:rPr>
              <w:t>Very common</w:t>
            </w:r>
          </w:p>
        </w:tc>
        <w:tc>
          <w:tcPr>
            <w:tcW w:w="6839" w:type="dxa"/>
            <w:tcBorders>
              <w:top w:val="nil"/>
              <w:left w:val="single" w:sz="8" w:space="0" w:color="auto"/>
              <w:bottom w:val="single" w:sz="8" w:space="0" w:color="auto"/>
              <w:right w:val="single" w:sz="8" w:space="0" w:color="auto"/>
            </w:tcBorders>
          </w:tcPr>
          <w:p w:rsidR="0018431B" w:rsidRPr="0018431B" w:rsidRDefault="0018431B" w:rsidP="00D67401">
            <w:pPr>
              <w:rPr>
                <w:rFonts w:ascii="Arial" w:hAnsi="Arial" w:cs="Arial"/>
                <w:bCs/>
                <w:sz w:val="22"/>
                <w:szCs w:val="22"/>
                <w:lang w:val="en-GB"/>
              </w:rPr>
            </w:pPr>
            <w:r w:rsidRPr="0018431B">
              <w:rPr>
                <w:rFonts w:ascii="Arial" w:hAnsi="Arial" w:cs="Arial"/>
                <w:bCs/>
                <w:sz w:val="22"/>
                <w:szCs w:val="22"/>
                <w:lang w:val="en-GB"/>
              </w:rPr>
              <w:t>Neutropenia</w:t>
            </w:r>
          </w:p>
        </w:tc>
      </w:tr>
      <w:tr w:rsidR="0018431B" w:rsidRPr="0018431B" w:rsidTr="00D67401">
        <w:trPr>
          <w:cantSplit/>
          <w:trHeight w:val="160"/>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8431B" w:rsidRPr="0018431B" w:rsidRDefault="0018431B" w:rsidP="00D67401">
            <w:pPr>
              <w:rPr>
                <w:rFonts w:ascii="Arial" w:hAnsi="Arial" w:cs="Arial"/>
                <w:bCs/>
                <w:sz w:val="22"/>
                <w:szCs w:val="22"/>
                <w:lang w:val="en-GB"/>
              </w:rPr>
            </w:pPr>
            <w:r w:rsidRPr="0018431B">
              <w:rPr>
                <w:rFonts w:ascii="Arial" w:hAnsi="Arial" w:cs="Arial"/>
                <w:bCs/>
                <w:sz w:val="22"/>
                <w:szCs w:val="22"/>
                <w:lang w:val="en-GB"/>
              </w:rPr>
              <w:t>Common</w:t>
            </w:r>
          </w:p>
        </w:tc>
        <w:tc>
          <w:tcPr>
            <w:tcW w:w="6839" w:type="dxa"/>
            <w:tcBorders>
              <w:top w:val="nil"/>
              <w:left w:val="single" w:sz="8" w:space="0" w:color="auto"/>
              <w:bottom w:val="single" w:sz="8" w:space="0" w:color="auto"/>
              <w:right w:val="single" w:sz="8" w:space="0" w:color="auto"/>
            </w:tcBorders>
          </w:tcPr>
          <w:p w:rsidR="0018431B" w:rsidRPr="0018431B" w:rsidRDefault="0018431B" w:rsidP="00D67401">
            <w:pPr>
              <w:rPr>
                <w:rFonts w:ascii="Arial" w:hAnsi="Arial" w:cs="Arial"/>
                <w:bCs/>
                <w:sz w:val="22"/>
                <w:szCs w:val="22"/>
                <w:lang w:val="en-GB"/>
              </w:rPr>
            </w:pPr>
            <w:r w:rsidRPr="0018431B">
              <w:rPr>
                <w:rFonts w:ascii="Arial" w:hAnsi="Arial" w:cs="Arial"/>
                <w:bCs/>
                <w:sz w:val="22"/>
                <w:szCs w:val="22"/>
                <w:lang w:val="en-GB"/>
              </w:rPr>
              <w:t>Thrombocytopenia</w:t>
            </w:r>
          </w:p>
        </w:tc>
      </w:tr>
      <w:tr w:rsidR="0018431B" w:rsidRPr="0018431B" w:rsidTr="00E869DF">
        <w:trPr>
          <w:cantSplit/>
        </w:trPr>
        <w:tc>
          <w:tcPr>
            <w:tcW w:w="863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431B" w:rsidRPr="0018431B" w:rsidRDefault="0018431B" w:rsidP="00D67401">
            <w:pPr>
              <w:rPr>
                <w:rFonts w:ascii="Arial" w:hAnsi="Arial" w:cs="Arial"/>
                <w:b/>
                <w:bCs/>
                <w:sz w:val="22"/>
                <w:szCs w:val="22"/>
                <w:lang w:val="en-GB"/>
              </w:rPr>
            </w:pPr>
            <w:r w:rsidRPr="0018431B">
              <w:rPr>
                <w:rFonts w:ascii="Arial" w:hAnsi="Arial" w:cs="Arial"/>
                <w:b/>
                <w:bCs/>
                <w:sz w:val="22"/>
                <w:szCs w:val="22"/>
                <w:lang w:val="en-GB"/>
              </w:rPr>
              <w:t>Metabolism and nutrition disorders</w:t>
            </w:r>
          </w:p>
        </w:tc>
      </w:tr>
      <w:tr w:rsidR="0018431B" w:rsidRPr="0018431B" w:rsidTr="00E869DF">
        <w:trPr>
          <w:cantSplit/>
          <w:trHeight w:val="255"/>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431B" w:rsidRPr="0018431B" w:rsidRDefault="0018431B" w:rsidP="00D67401">
            <w:pPr>
              <w:rPr>
                <w:rFonts w:ascii="Arial" w:hAnsi="Arial" w:cs="Arial"/>
                <w:bCs/>
                <w:sz w:val="22"/>
                <w:szCs w:val="22"/>
                <w:lang w:val="en-GB"/>
              </w:rPr>
            </w:pPr>
            <w:r w:rsidRPr="0018431B">
              <w:rPr>
                <w:rFonts w:ascii="Arial" w:hAnsi="Arial" w:cs="Arial"/>
                <w:bCs/>
                <w:sz w:val="22"/>
                <w:szCs w:val="22"/>
                <w:lang w:val="en-GB"/>
              </w:rPr>
              <w:t>Common</w:t>
            </w:r>
          </w:p>
        </w:tc>
        <w:tc>
          <w:tcPr>
            <w:tcW w:w="6839" w:type="dxa"/>
            <w:tcBorders>
              <w:top w:val="nil"/>
              <w:left w:val="single" w:sz="8" w:space="0" w:color="auto"/>
              <w:bottom w:val="single" w:sz="8" w:space="0" w:color="auto"/>
              <w:right w:val="single" w:sz="8" w:space="0" w:color="auto"/>
            </w:tcBorders>
          </w:tcPr>
          <w:p w:rsidR="0018431B" w:rsidRPr="0018431B" w:rsidRDefault="0018431B" w:rsidP="00D67401">
            <w:pPr>
              <w:rPr>
                <w:rFonts w:ascii="Arial" w:hAnsi="Arial" w:cs="Arial"/>
                <w:bCs/>
                <w:sz w:val="22"/>
                <w:szCs w:val="22"/>
                <w:lang w:val="en-GB"/>
              </w:rPr>
            </w:pPr>
            <w:r w:rsidRPr="0018431B">
              <w:rPr>
                <w:rFonts w:ascii="Arial" w:hAnsi="Arial" w:cs="Arial"/>
                <w:bCs/>
                <w:sz w:val="22"/>
                <w:szCs w:val="22"/>
                <w:lang w:val="en-GB"/>
              </w:rPr>
              <w:t>Hyponatraemia</w:t>
            </w:r>
          </w:p>
        </w:tc>
      </w:tr>
      <w:tr w:rsidR="0018431B" w:rsidRPr="0018431B" w:rsidTr="00E869DF">
        <w:trPr>
          <w:cantSplit/>
          <w:trHeight w:val="255"/>
        </w:trPr>
        <w:tc>
          <w:tcPr>
            <w:tcW w:w="863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431B" w:rsidRPr="0018431B" w:rsidRDefault="0018431B" w:rsidP="00D67401">
            <w:pPr>
              <w:rPr>
                <w:rFonts w:ascii="Arial" w:hAnsi="Arial" w:cs="Arial"/>
                <w:bCs/>
                <w:sz w:val="22"/>
                <w:szCs w:val="22"/>
                <w:lang w:val="en-GB"/>
              </w:rPr>
            </w:pPr>
            <w:r w:rsidRPr="0018431B">
              <w:rPr>
                <w:rFonts w:ascii="Arial" w:hAnsi="Arial" w:cs="Arial"/>
                <w:b/>
                <w:bCs/>
                <w:sz w:val="22"/>
                <w:szCs w:val="22"/>
                <w:lang w:val="en-GB"/>
              </w:rPr>
              <w:t>Nervous system disorders</w:t>
            </w:r>
          </w:p>
        </w:tc>
      </w:tr>
      <w:tr w:rsidR="0018431B" w:rsidRPr="0018431B" w:rsidTr="00E869DF">
        <w:trPr>
          <w:cantSplit/>
          <w:trHeight w:val="255"/>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431B" w:rsidRPr="0018431B" w:rsidRDefault="0018431B" w:rsidP="00D67401">
            <w:pPr>
              <w:rPr>
                <w:rFonts w:ascii="Arial" w:hAnsi="Arial" w:cs="Arial"/>
                <w:bCs/>
                <w:sz w:val="22"/>
                <w:szCs w:val="22"/>
                <w:lang w:val="en-GB"/>
              </w:rPr>
            </w:pPr>
            <w:r w:rsidRPr="0018431B">
              <w:rPr>
                <w:rFonts w:ascii="Arial" w:hAnsi="Arial" w:cs="Arial"/>
                <w:bCs/>
                <w:sz w:val="22"/>
                <w:szCs w:val="22"/>
                <w:lang w:val="en-GB"/>
              </w:rPr>
              <w:t>Very common</w:t>
            </w:r>
          </w:p>
        </w:tc>
        <w:tc>
          <w:tcPr>
            <w:tcW w:w="6839" w:type="dxa"/>
            <w:tcBorders>
              <w:top w:val="nil"/>
              <w:left w:val="single" w:sz="8" w:space="0" w:color="auto"/>
              <w:bottom w:val="single" w:sz="8" w:space="0" w:color="auto"/>
              <w:right w:val="single" w:sz="8" w:space="0" w:color="auto"/>
            </w:tcBorders>
          </w:tcPr>
          <w:p w:rsidR="0018431B" w:rsidRPr="0018431B" w:rsidRDefault="0018431B" w:rsidP="00D67401">
            <w:pPr>
              <w:rPr>
                <w:rFonts w:ascii="Arial" w:hAnsi="Arial" w:cs="Arial"/>
                <w:bCs/>
                <w:sz w:val="22"/>
                <w:szCs w:val="22"/>
                <w:lang w:val="en-GB"/>
              </w:rPr>
            </w:pPr>
            <w:r w:rsidRPr="0018431B">
              <w:rPr>
                <w:rFonts w:ascii="Arial" w:hAnsi="Arial" w:cs="Arial"/>
                <w:bCs/>
                <w:sz w:val="22"/>
                <w:szCs w:val="22"/>
                <w:lang w:val="en-GB"/>
              </w:rPr>
              <w:t>Dizziness</w:t>
            </w:r>
          </w:p>
        </w:tc>
      </w:tr>
      <w:tr w:rsidR="0018431B" w:rsidRPr="0018431B" w:rsidTr="00E869DF">
        <w:trPr>
          <w:cantSplit/>
        </w:trPr>
        <w:tc>
          <w:tcPr>
            <w:tcW w:w="863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431B" w:rsidRPr="0018431B" w:rsidRDefault="0018431B" w:rsidP="00D67401">
            <w:pPr>
              <w:rPr>
                <w:rFonts w:ascii="Arial" w:hAnsi="Arial" w:cs="Arial"/>
                <w:b/>
                <w:bCs/>
                <w:sz w:val="22"/>
                <w:szCs w:val="22"/>
                <w:lang w:val="en-GB"/>
              </w:rPr>
            </w:pPr>
            <w:r w:rsidRPr="0018431B">
              <w:rPr>
                <w:rFonts w:ascii="Arial" w:hAnsi="Arial" w:cs="Arial"/>
                <w:b/>
                <w:bCs/>
                <w:sz w:val="22"/>
                <w:szCs w:val="22"/>
                <w:lang w:val="en-GB"/>
              </w:rPr>
              <w:t>Vascular disorders</w:t>
            </w:r>
          </w:p>
        </w:tc>
      </w:tr>
      <w:tr w:rsidR="00956AC1" w:rsidRPr="0018431B" w:rsidTr="00E869DF">
        <w:trPr>
          <w:cantSplit/>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56AC1" w:rsidRPr="0018431B" w:rsidRDefault="00956AC1" w:rsidP="00D67401">
            <w:pPr>
              <w:rPr>
                <w:rFonts w:ascii="Arial" w:hAnsi="Arial" w:cs="Arial"/>
                <w:bCs/>
                <w:sz w:val="22"/>
                <w:szCs w:val="22"/>
                <w:lang w:val="en-GB"/>
              </w:rPr>
            </w:pPr>
            <w:r>
              <w:rPr>
                <w:rFonts w:ascii="Arial" w:hAnsi="Arial" w:cs="Arial"/>
                <w:bCs/>
                <w:sz w:val="22"/>
                <w:szCs w:val="22"/>
                <w:lang w:val="en-GB"/>
              </w:rPr>
              <w:t>Very Common</w:t>
            </w:r>
          </w:p>
        </w:tc>
        <w:tc>
          <w:tcPr>
            <w:tcW w:w="6839" w:type="dxa"/>
            <w:tcBorders>
              <w:top w:val="nil"/>
              <w:left w:val="nil"/>
              <w:bottom w:val="single" w:sz="8" w:space="0" w:color="auto"/>
              <w:right w:val="single" w:sz="8" w:space="0" w:color="auto"/>
            </w:tcBorders>
            <w:tcMar>
              <w:top w:w="0" w:type="dxa"/>
              <w:left w:w="108" w:type="dxa"/>
              <w:bottom w:w="0" w:type="dxa"/>
              <w:right w:w="108" w:type="dxa"/>
            </w:tcMar>
          </w:tcPr>
          <w:p w:rsidR="00956AC1" w:rsidRPr="0018431B" w:rsidRDefault="00956AC1" w:rsidP="00D67401">
            <w:pPr>
              <w:rPr>
                <w:rFonts w:ascii="Arial" w:hAnsi="Arial" w:cs="Arial"/>
                <w:bCs/>
                <w:sz w:val="22"/>
                <w:szCs w:val="22"/>
                <w:lang w:val="en-GB"/>
              </w:rPr>
            </w:pPr>
            <w:r>
              <w:rPr>
                <w:rFonts w:ascii="Arial" w:hAnsi="Arial" w:cs="Arial"/>
                <w:bCs/>
                <w:sz w:val="22"/>
                <w:szCs w:val="22"/>
                <w:lang w:val="en-GB"/>
              </w:rPr>
              <w:t>Haemorrhage</w:t>
            </w:r>
            <w:r w:rsidRPr="000205C4">
              <w:rPr>
                <w:rFonts w:ascii="Arial" w:hAnsi="Arial" w:cs="Arial"/>
                <w:bCs/>
                <w:sz w:val="22"/>
                <w:szCs w:val="22"/>
                <w:vertAlign w:val="superscript"/>
                <w:lang w:val="en-GB"/>
              </w:rPr>
              <w:t>a</w:t>
            </w:r>
          </w:p>
        </w:tc>
      </w:tr>
      <w:tr w:rsidR="0018431B" w:rsidRPr="0018431B" w:rsidTr="00E869DF">
        <w:trPr>
          <w:cantSplit/>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8431B" w:rsidRDefault="0018431B" w:rsidP="00D67401">
            <w:pPr>
              <w:rPr>
                <w:rFonts w:ascii="Arial" w:hAnsi="Arial" w:cs="Arial"/>
                <w:bCs/>
                <w:sz w:val="22"/>
                <w:szCs w:val="22"/>
                <w:lang w:val="en-GB"/>
              </w:rPr>
            </w:pPr>
            <w:r w:rsidRPr="0018431B">
              <w:rPr>
                <w:rFonts w:ascii="Arial" w:hAnsi="Arial" w:cs="Arial"/>
                <w:bCs/>
                <w:sz w:val="22"/>
                <w:szCs w:val="22"/>
                <w:lang w:val="en-GB"/>
              </w:rPr>
              <w:t>Common</w:t>
            </w:r>
          </w:p>
          <w:p w:rsidR="000205C4" w:rsidRPr="0018431B" w:rsidRDefault="000205C4" w:rsidP="00D67401">
            <w:pPr>
              <w:rPr>
                <w:rFonts w:ascii="Arial" w:hAnsi="Arial" w:cs="Arial"/>
                <w:bCs/>
                <w:sz w:val="22"/>
                <w:szCs w:val="22"/>
                <w:lang w:val="en-GB"/>
              </w:rPr>
            </w:pPr>
          </w:p>
        </w:tc>
        <w:tc>
          <w:tcPr>
            <w:tcW w:w="6839" w:type="dxa"/>
            <w:tcBorders>
              <w:top w:val="nil"/>
              <w:left w:val="nil"/>
              <w:bottom w:val="single" w:sz="8" w:space="0" w:color="auto"/>
              <w:right w:val="single" w:sz="8" w:space="0" w:color="auto"/>
            </w:tcBorders>
            <w:tcMar>
              <w:top w:w="0" w:type="dxa"/>
              <w:left w:w="108" w:type="dxa"/>
              <w:bottom w:w="0" w:type="dxa"/>
              <w:right w:w="108" w:type="dxa"/>
            </w:tcMar>
          </w:tcPr>
          <w:p w:rsidR="0018431B" w:rsidRPr="0018431B" w:rsidRDefault="0018431B" w:rsidP="00D67401">
            <w:pPr>
              <w:rPr>
                <w:rFonts w:ascii="Arial" w:hAnsi="Arial" w:cs="Arial"/>
                <w:bCs/>
                <w:sz w:val="22"/>
                <w:szCs w:val="22"/>
                <w:lang w:val="en-GB"/>
              </w:rPr>
            </w:pPr>
            <w:r w:rsidRPr="0018431B">
              <w:rPr>
                <w:rFonts w:ascii="Arial" w:hAnsi="Arial" w:cs="Arial"/>
                <w:bCs/>
                <w:sz w:val="22"/>
                <w:szCs w:val="22"/>
                <w:lang w:val="en-GB"/>
              </w:rPr>
              <w:t>Hypotension</w:t>
            </w:r>
          </w:p>
          <w:p w:rsidR="0018431B" w:rsidRPr="0018431B" w:rsidRDefault="0018431B" w:rsidP="00D67401">
            <w:pPr>
              <w:rPr>
                <w:rFonts w:ascii="Arial" w:hAnsi="Arial" w:cs="Arial"/>
                <w:bCs/>
                <w:sz w:val="22"/>
                <w:szCs w:val="22"/>
                <w:lang w:val="en-GB"/>
              </w:rPr>
            </w:pPr>
          </w:p>
        </w:tc>
      </w:tr>
      <w:tr w:rsidR="0018431B" w:rsidRPr="0018431B" w:rsidTr="00D67401">
        <w:trPr>
          <w:cantSplit/>
          <w:trHeight w:val="160"/>
        </w:trPr>
        <w:tc>
          <w:tcPr>
            <w:tcW w:w="863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431B" w:rsidRPr="0018431B" w:rsidRDefault="0018431B" w:rsidP="00D67401">
            <w:pPr>
              <w:rPr>
                <w:rFonts w:ascii="Arial" w:hAnsi="Arial" w:cs="Arial"/>
                <w:b/>
                <w:bCs/>
                <w:sz w:val="22"/>
                <w:szCs w:val="22"/>
                <w:lang w:val="en-GB"/>
              </w:rPr>
            </w:pPr>
            <w:r w:rsidRPr="0018431B">
              <w:rPr>
                <w:rFonts w:ascii="Arial" w:hAnsi="Arial" w:cs="Arial"/>
                <w:b/>
                <w:bCs/>
                <w:sz w:val="22"/>
                <w:szCs w:val="22"/>
                <w:lang w:val="en-GB"/>
              </w:rPr>
              <w:t>Hepatobiliary disorders</w:t>
            </w:r>
          </w:p>
        </w:tc>
      </w:tr>
      <w:tr w:rsidR="0018431B" w:rsidRPr="0018431B" w:rsidTr="00E869DF">
        <w:trPr>
          <w:cantSplit/>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431B" w:rsidRPr="0018431B" w:rsidRDefault="0018431B" w:rsidP="00D67401">
            <w:pPr>
              <w:rPr>
                <w:rFonts w:ascii="Arial" w:hAnsi="Arial" w:cs="Arial"/>
                <w:bCs/>
                <w:sz w:val="22"/>
                <w:szCs w:val="22"/>
                <w:lang w:val="en-GB"/>
              </w:rPr>
            </w:pPr>
            <w:r w:rsidRPr="0018431B">
              <w:rPr>
                <w:rFonts w:ascii="Arial" w:hAnsi="Arial" w:cs="Arial"/>
                <w:bCs/>
                <w:sz w:val="22"/>
                <w:szCs w:val="22"/>
                <w:lang w:val="en-GB"/>
              </w:rPr>
              <w:t>Common</w:t>
            </w:r>
          </w:p>
        </w:tc>
        <w:tc>
          <w:tcPr>
            <w:tcW w:w="6839" w:type="dxa"/>
            <w:tcBorders>
              <w:top w:val="nil"/>
              <w:left w:val="single" w:sz="8" w:space="0" w:color="auto"/>
              <w:bottom w:val="single" w:sz="8" w:space="0" w:color="auto"/>
              <w:right w:val="single" w:sz="8" w:space="0" w:color="auto"/>
            </w:tcBorders>
          </w:tcPr>
          <w:p w:rsidR="0018431B" w:rsidRPr="0018431B" w:rsidRDefault="0018431B" w:rsidP="00D67401">
            <w:pPr>
              <w:rPr>
                <w:rFonts w:ascii="Arial" w:hAnsi="Arial" w:cs="Arial"/>
                <w:bCs/>
                <w:sz w:val="22"/>
                <w:szCs w:val="22"/>
                <w:lang w:val="en-GB"/>
              </w:rPr>
            </w:pPr>
            <w:r w:rsidRPr="0018431B">
              <w:rPr>
                <w:rFonts w:ascii="Arial" w:hAnsi="Arial" w:cs="Arial"/>
                <w:bCs/>
                <w:sz w:val="22"/>
                <w:szCs w:val="22"/>
                <w:lang w:val="en-GB"/>
              </w:rPr>
              <w:t>Gamma-glutamyltransferase increased</w:t>
            </w:r>
          </w:p>
        </w:tc>
      </w:tr>
      <w:tr w:rsidR="0018431B" w:rsidRPr="0018431B" w:rsidTr="00E869DF">
        <w:trPr>
          <w:cantSplit/>
        </w:trPr>
        <w:tc>
          <w:tcPr>
            <w:tcW w:w="863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431B" w:rsidRPr="0018431B" w:rsidRDefault="0018431B" w:rsidP="00D67401">
            <w:pPr>
              <w:rPr>
                <w:rFonts w:ascii="Arial" w:hAnsi="Arial" w:cs="Arial"/>
                <w:b/>
                <w:bCs/>
                <w:sz w:val="22"/>
                <w:szCs w:val="22"/>
                <w:lang w:val="en-GB"/>
              </w:rPr>
            </w:pPr>
            <w:r w:rsidRPr="0018431B">
              <w:rPr>
                <w:rFonts w:ascii="Arial" w:hAnsi="Arial" w:cs="Arial"/>
                <w:b/>
                <w:bCs/>
                <w:sz w:val="22"/>
                <w:szCs w:val="22"/>
                <w:lang w:val="en-GB"/>
              </w:rPr>
              <w:t>Skin and subcutaneous tissue disorders</w:t>
            </w:r>
          </w:p>
        </w:tc>
      </w:tr>
      <w:tr w:rsidR="0018431B" w:rsidRPr="0018431B" w:rsidTr="00D67401">
        <w:trPr>
          <w:cantSplit/>
          <w:trHeight w:val="60"/>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8431B" w:rsidRPr="0018431B" w:rsidRDefault="0018431B" w:rsidP="00D67401">
            <w:pPr>
              <w:rPr>
                <w:rFonts w:ascii="Arial" w:hAnsi="Arial" w:cs="Arial"/>
                <w:bCs/>
                <w:sz w:val="22"/>
                <w:szCs w:val="22"/>
                <w:lang w:val="en-GB"/>
              </w:rPr>
            </w:pPr>
            <w:r w:rsidRPr="0018431B">
              <w:rPr>
                <w:rFonts w:ascii="Arial" w:hAnsi="Arial" w:cs="Arial"/>
                <w:bCs/>
                <w:sz w:val="22"/>
                <w:szCs w:val="22"/>
                <w:lang w:val="en-GB"/>
              </w:rPr>
              <w:t>Very common</w:t>
            </w:r>
          </w:p>
        </w:tc>
        <w:tc>
          <w:tcPr>
            <w:tcW w:w="6839" w:type="dxa"/>
            <w:tcBorders>
              <w:top w:val="nil"/>
              <w:left w:val="nil"/>
              <w:bottom w:val="single" w:sz="8" w:space="0" w:color="auto"/>
              <w:right w:val="single" w:sz="8" w:space="0" w:color="auto"/>
            </w:tcBorders>
            <w:tcMar>
              <w:top w:w="0" w:type="dxa"/>
              <w:left w:w="108" w:type="dxa"/>
              <w:bottom w:w="0" w:type="dxa"/>
              <w:right w:w="108" w:type="dxa"/>
            </w:tcMar>
          </w:tcPr>
          <w:p w:rsidR="0018431B" w:rsidRPr="0018431B" w:rsidRDefault="0018431B" w:rsidP="00D67401">
            <w:pPr>
              <w:rPr>
                <w:rFonts w:ascii="Arial" w:hAnsi="Arial" w:cs="Arial"/>
                <w:bCs/>
                <w:sz w:val="22"/>
                <w:szCs w:val="22"/>
                <w:lang w:val="en-GB"/>
              </w:rPr>
            </w:pPr>
            <w:r w:rsidRPr="0018431B">
              <w:rPr>
                <w:rFonts w:ascii="Arial" w:hAnsi="Arial" w:cs="Arial"/>
                <w:bCs/>
                <w:sz w:val="22"/>
                <w:szCs w:val="22"/>
                <w:lang w:val="en-GB"/>
              </w:rPr>
              <w:t>Night sweats</w:t>
            </w:r>
          </w:p>
        </w:tc>
      </w:tr>
      <w:tr w:rsidR="0018431B" w:rsidRPr="0018431B" w:rsidTr="00D67401">
        <w:trPr>
          <w:cantSplit/>
          <w:trHeight w:val="148"/>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8431B" w:rsidRPr="0018431B" w:rsidRDefault="0018431B" w:rsidP="00D67401">
            <w:pPr>
              <w:rPr>
                <w:rFonts w:ascii="Arial" w:hAnsi="Arial" w:cs="Arial"/>
                <w:bCs/>
                <w:sz w:val="22"/>
                <w:szCs w:val="22"/>
                <w:lang w:val="en-GB"/>
              </w:rPr>
            </w:pPr>
            <w:r w:rsidRPr="0018431B">
              <w:rPr>
                <w:rFonts w:ascii="Arial" w:hAnsi="Arial" w:cs="Arial"/>
                <w:bCs/>
                <w:sz w:val="22"/>
                <w:szCs w:val="22"/>
                <w:lang w:val="en-GB"/>
              </w:rPr>
              <w:t>Common</w:t>
            </w:r>
          </w:p>
        </w:tc>
        <w:tc>
          <w:tcPr>
            <w:tcW w:w="6839" w:type="dxa"/>
            <w:tcBorders>
              <w:top w:val="nil"/>
              <w:left w:val="nil"/>
              <w:bottom w:val="single" w:sz="8" w:space="0" w:color="auto"/>
              <w:right w:val="single" w:sz="8" w:space="0" w:color="auto"/>
            </w:tcBorders>
            <w:tcMar>
              <w:top w:w="0" w:type="dxa"/>
              <w:left w:w="108" w:type="dxa"/>
              <w:bottom w:w="0" w:type="dxa"/>
              <w:right w:w="108" w:type="dxa"/>
            </w:tcMar>
          </w:tcPr>
          <w:p w:rsidR="0018431B" w:rsidRPr="0018431B" w:rsidRDefault="0018431B" w:rsidP="00D67401">
            <w:pPr>
              <w:rPr>
                <w:rFonts w:ascii="Arial" w:hAnsi="Arial" w:cs="Arial"/>
                <w:bCs/>
                <w:sz w:val="22"/>
                <w:szCs w:val="22"/>
                <w:lang w:val="en-GB"/>
              </w:rPr>
            </w:pPr>
            <w:r w:rsidRPr="0018431B">
              <w:rPr>
                <w:rFonts w:ascii="Arial" w:hAnsi="Arial" w:cs="Arial"/>
                <w:bCs/>
                <w:sz w:val="22"/>
                <w:szCs w:val="22"/>
                <w:lang w:val="en-GB"/>
              </w:rPr>
              <w:t>Hyperhidrosis</w:t>
            </w:r>
          </w:p>
        </w:tc>
      </w:tr>
      <w:tr w:rsidR="0018431B" w:rsidRPr="0018431B" w:rsidTr="00D67401">
        <w:trPr>
          <w:cantSplit/>
          <w:trHeight w:val="232"/>
        </w:trPr>
        <w:tc>
          <w:tcPr>
            <w:tcW w:w="863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431B" w:rsidRPr="0018431B" w:rsidRDefault="0018431B" w:rsidP="00D67401">
            <w:pPr>
              <w:rPr>
                <w:rFonts w:ascii="Arial" w:hAnsi="Arial" w:cs="Arial"/>
                <w:b/>
                <w:bCs/>
                <w:sz w:val="22"/>
                <w:szCs w:val="22"/>
                <w:lang w:val="en-GB"/>
              </w:rPr>
            </w:pPr>
            <w:r w:rsidRPr="0018431B">
              <w:rPr>
                <w:rFonts w:ascii="Arial" w:hAnsi="Arial" w:cs="Arial"/>
                <w:b/>
                <w:bCs/>
                <w:sz w:val="22"/>
                <w:szCs w:val="22"/>
                <w:lang w:val="en-GB"/>
              </w:rPr>
              <w:t>Musculoskeletal and connective tissue disorders</w:t>
            </w:r>
          </w:p>
        </w:tc>
      </w:tr>
      <w:tr w:rsidR="0018431B" w:rsidRPr="0018431B" w:rsidTr="00122B3C">
        <w:trPr>
          <w:cantSplit/>
        </w:trPr>
        <w:tc>
          <w:tcPr>
            <w:tcW w:w="180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18431B" w:rsidRPr="0018431B" w:rsidRDefault="0018431B" w:rsidP="00D67401">
            <w:pPr>
              <w:rPr>
                <w:rFonts w:ascii="Arial" w:hAnsi="Arial" w:cs="Arial"/>
                <w:bCs/>
                <w:sz w:val="22"/>
                <w:szCs w:val="22"/>
                <w:lang w:val="en-GB"/>
              </w:rPr>
            </w:pPr>
            <w:r w:rsidRPr="0018431B">
              <w:rPr>
                <w:rFonts w:ascii="Arial" w:hAnsi="Arial" w:cs="Arial"/>
                <w:bCs/>
                <w:sz w:val="22"/>
                <w:szCs w:val="22"/>
                <w:lang w:val="en-GB"/>
              </w:rPr>
              <w:t>Very Common</w:t>
            </w:r>
          </w:p>
        </w:tc>
        <w:tc>
          <w:tcPr>
            <w:tcW w:w="6839" w:type="dxa"/>
            <w:tcBorders>
              <w:top w:val="nil"/>
              <w:left w:val="single" w:sz="8" w:space="0" w:color="auto"/>
              <w:bottom w:val="single" w:sz="4" w:space="0" w:color="auto"/>
              <w:right w:val="single" w:sz="8" w:space="0" w:color="auto"/>
            </w:tcBorders>
          </w:tcPr>
          <w:p w:rsidR="0018431B" w:rsidRPr="0018431B" w:rsidRDefault="0018431B" w:rsidP="00D67401">
            <w:pPr>
              <w:rPr>
                <w:rFonts w:ascii="Arial" w:hAnsi="Arial" w:cs="Arial"/>
                <w:bCs/>
                <w:sz w:val="22"/>
                <w:szCs w:val="22"/>
                <w:lang w:val="en-GB"/>
              </w:rPr>
            </w:pPr>
            <w:r w:rsidRPr="0018431B">
              <w:rPr>
                <w:rFonts w:ascii="Arial" w:hAnsi="Arial" w:cs="Arial"/>
                <w:bCs/>
                <w:sz w:val="22"/>
                <w:szCs w:val="22"/>
                <w:lang w:val="en-GB"/>
              </w:rPr>
              <w:t>Muscle spasms</w:t>
            </w:r>
          </w:p>
        </w:tc>
      </w:tr>
      <w:tr w:rsidR="00122B3C" w:rsidRPr="0018431B" w:rsidTr="00122B3C">
        <w:trPr>
          <w:cantSplit/>
        </w:trPr>
        <w:tc>
          <w:tcPr>
            <w:tcW w:w="18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122B3C" w:rsidRPr="0018431B" w:rsidRDefault="00122B3C" w:rsidP="00D67401">
            <w:pPr>
              <w:rPr>
                <w:rFonts w:ascii="Arial" w:hAnsi="Arial" w:cs="Arial"/>
                <w:bCs/>
                <w:sz w:val="22"/>
                <w:szCs w:val="22"/>
                <w:lang w:val="en-GB"/>
              </w:rPr>
            </w:pPr>
            <w:r>
              <w:rPr>
                <w:rFonts w:ascii="Arial" w:hAnsi="Arial" w:cs="Arial"/>
                <w:bCs/>
                <w:sz w:val="22"/>
                <w:szCs w:val="22"/>
                <w:lang w:val="en-GB"/>
              </w:rPr>
              <w:t>Common</w:t>
            </w:r>
          </w:p>
        </w:tc>
        <w:tc>
          <w:tcPr>
            <w:tcW w:w="6839" w:type="dxa"/>
            <w:tcBorders>
              <w:top w:val="single" w:sz="4" w:space="0" w:color="auto"/>
              <w:left w:val="single" w:sz="8" w:space="0" w:color="auto"/>
              <w:bottom w:val="single" w:sz="8" w:space="0" w:color="auto"/>
              <w:right w:val="single" w:sz="8" w:space="0" w:color="auto"/>
            </w:tcBorders>
          </w:tcPr>
          <w:p w:rsidR="00122B3C" w:rsidRPr="0018431B" w:rsidRDefault="00122B3C" w:rsidP="00D67401">
            <w:pPr>
              <w:rPr>
                <w:rFonts w:ascii="Arial" w:hAnsi="Arial" w:cs="Arial"/>
                <w:bCs/>
                <w:sz w:val="22"/>
                <w:szCs w:val="22"/>
                <w:lang w:val="en-GB"/>
              </w:rPr>
            </w:pPr>
            <w:r>
              <w:rPr>
                <w:rFonts w:ascii="Arial" w:hAnsi="Arial" w:cs="Arial"/>
                <w:sz w:val="22"/>
                <w:szCs w:val="22"/>
                <w:lang w:val="en-GB"/>
              </w:rPr>
              <w:t>Rhabdomyolysis</w:t>
            </w:r>
          </w:p>
        </w:tc>
      </w:tr>
    </w:tbl>
    <w:p w:rsidR="0018431B" w:rsidRPr="00D042F6" w:rsidRDefault="00A41C6B" w:rsidP="004A4BB0">
      <w:pPr>
        <w:rPr>
          <w:rFonts w:ascii="Arial" w:hAnsi="Arial" w:cs="Arial"/>
          <w:bCs/>
          <w:sz w:val="18"/>
          <w:szCs w:val="18"/>
          <w:lang w:val="en-GB"/>
        </w:rPr>
      </w:pPr>
      <w:r w:rsidRPr="000C6AD2">
        <w:rPr>
          <w:rFonts w:ascii="Arial" w:hAnsi="Arial" w:cs="Arial"/>
          <w:bCs/>
          <w:sz w:val="18"/>
          <w:szCs w:val="18"/>
          <w:vertAlign w:val="superscript"/>
          <w:lang w:val="en-GB"/>
        </w:rPr>
        <w:t>a</w:t>
      </w:r>
      <w:r w:rsidR="000205C4" w:rsidRPr="000C6AD2">
        <w:rPr>
          <w:rFonts w:ascii="Arial" w:hAnsi="Arial" w:cs="Arial"/>
          <w:sz w:val="18"/>
          <w:szCs w:val="18"/>
        </w:rPr>
        <w:t xml:space="preserve">Events include: </w:t>
      </w:r>
      <w:r w:rsidR="00956AC1" w:rsidRPr="000C6AD2">
        <w:rPr>
          <w:rFonts w:ascii="Arial" w:hAnsi="Arial" w:cs="Arial"/>
          <w:sz w:val="18"/>
          <w:szCs w:val="18"/>
        </w:rPr>
        <w:t>bra</w:t>
      </w:r>
      <w:r w:rsidR="00956AC1" w:rsidRPr="00D042F6">
        <w:rPr>
          <w:rFonts w:ascii="Arial" w:hAnsi="Arial" w:cs="Arial"/>
          <w:sz w:val="18"/>
          <w:szCs w:val="18"/>
        </w:rPr>
        <w:t>in stem hemorrhage, cerebral hemorrhage, gastric hemorrhage, epistaxis, gingival hemorrhage, hematuria, vaginal hemorrhage, hemorrhage intracranial, eye hemorrhage, and vitreous hemorrhage</w:t>
      </w:r>
    </w:p>
    <w:p w:rsidR="00D042F6" w:rsidRDefault="00D042F6" w:rsidP="00537BD1">
      <w:pPr>
        <w:rPr>
          <w:rFonts w:ascii="Arial" w:hAnsi="Arial" w:cs="Arial"/>
          <w:iCs/>
          <w:sz w:val="22"/>
          <w:szCs w:val="22"/>
          <w:lang w:val="en-GB"/>
        </w:rPr>
      </w:pPr>
    </w:p>
    <w:p w:rsidR="00537BD1" w:rsidRPr="00537BD1" w:rsidRDefault="00537BD1" w:rsidP="00537BD1">
      <w:pPr>
        <w:rPr>
          <w:rFonts w:ascii="Arial" w:hAnsi="Arial" w:cs="Arial"/>
          <w:iCs/>
          <w:sz w:val="22"/>
          <w:szCs w:val="22"/>
          <w:lang w:val="en-GB"/>
        </w:rPr>
      </w:pPr>
      <w:r>
        <w:rPr>
          <w:rFonts w:ascii="Arial" w:hAnsi="Arial" w:cs="Arial"/>
          <w:iCs/>
          <w:sz w:val="22"/>
          <w:szCs w:val="22"/>
          <w:lang w:val="en-GB"/>
        </w:rPr>
        <w:t>The common adverse event</w:t>
      </w:r>
      <w:r w:rsidRPr="00537BD1">
        <w:rPr>
          <w:rFonts w:ascii="Arial" w:hAnsi="Arial" w:cs="Arial"/>
          <w:iCs/>
          <w:sz w:val="22"/>
          <w:szCs w:val="22"/>
          <w:lang w:val="en-GB"/>
        </w:rPr>
        <w:t xml:space="preserve">s based on </w:t>
      </w:r>
      <w:r w:rsidRPr="00537BD1">
        <w:rPr>
          <w:rFonts w:ascii="Arial" w:hAnsi="Arial" w:cs="Arial"/>
          <w:iCs/>
          <w:sz w:val="22"/>
          <w:szCs w:val="22"/>
          <w:lang w:val="en-GB"/>
        </w:rPr>
        <w:sym w:font="Symbol" w:char="F0B3"/>
      </w:r>
      <w:r w:rsidRPr="00537BD1">
        <w:rPr>
          <w:rFonts w:ascii="Arial" w:hAnsi="Arial" w:cs="Arial"/>
          <w:iCs/>
          <w:sz w:val="22"/>
          <w:szCs w:val="22"/>
          <w:lang w:val="en-GB"/>
        </w:rPr>
        <w:t xml:space="preserve">15% of patients in the Dabrafenib 150mg twice daily in combination with MEKINIST 2 mg once daily are provided in Table </w:t>
      </w:r>
      <w:r>
        <w:rPr>
          <w:rFonts w:ascii="Arial" w:hAnsi="Arial" w:cs="Arial"/>
          <w:iCs/>
          <w:sz w:val="22"/>
          <w:szCs w:val="22"/>
          <w:lang w:val="en-GB"/>
        </w:rPr>
        <w:t>6</w:t>
      </w:r>
      <w:r w:rsidRPr="00537BD1">
        <w:rPr>
          <w:rFonts w:ascii="Arial" w:hAnsi="Arial" w:cs="Arial"/>
          <w:iCs/>
          <w:sz w:val="22"/>
          <w:szCs w:val="22"/>
          <w:lang w:val="en-GB"/>
        </w:rPr>
        <w:t>.</w:t>
      </w:r>
    </w:p>
    <w:p w:rsidR="00537BD1" w:rsidRDefault="00537BD1" w:rsidP="00537BD1">
      <w:pPr>
        <w:rPr>
          <w:rFonts w:ascii="Arial" w:hAnsi="Arial" w:cs="Arial"/>
          <w:b/>
          <w:sz w:val="22"/>
          <w:szCs w:val="22"/>
          <w:lang w:val="en-US"/>
        </w:rPr>
      </w:pPr>
    </w:p>
    <w:p w:rsidR="00537BD1" w:rsidRDefault="00537BD1" w:rsidP="00537BD1">
      <w:pPr>
        <w:rPr>
          <w:rFonts w:ascii="Arial" w:hAnsi="Arial" w:cs="Arial"/>
          <w:b/>
          <w:sz w:val="22"/>
          <w:szCs w:val="22"/>
          <w:lang w:val="en-US"/>
        </w:rPr>
      </w:pPr>
    </w:p>
    <w:p w:rsidR="00537BD1" w:rsidRDefault="00537BD1" w:rsidP="00537BD1">
      <w:pPr>
        <w:rPr>
          <w:rFonts w:ascii="Arial" w:hAnsi="Arial" w:cs="Arial"/>
          <w:b/>
          <w:sz w:val="22"/>
          <w:szCs w:val="22"/>
          <w:lang w:val="en-US"/>
        </w:rPr>
      </w:pPr>
      <w:r w:rsidRPr="00537BD1">
        <w:rPr>
          <w:rFonts w:ascii="Arial" w:hAnsi="Arial" w:cs="Arial"/>
          <w:b/>
          <w:sz w:val="22"/>
          <w:szCs w:val="22"/>
          <w:lang w:val="en-US"/>
        </w:rPr>
        <w:lastRenderedPageBreak/>
        <w:t xml:space="preserve">Table </w:t>
      </w:r>
      <w:r>
        <w:rPr>
          <w:rFonts w:ascii="Arial" w:hAnsi="Arial" w:cs="Arial"/>
          <w:b/>
          <w:sz w:val="22"/>
          <w:szCs w:val="22"/>
          <w:lang w:val="en-US"/>
        </w:rPr>
        <w:t xml:space="preserve">6. Adverse </w:t>
      </w:r>
      <w:r w:rsidR="00CB63EC">
        <w:rPr>
          <w:rFonts w:ascii="Arial" w:hAnsi="Arial" w:cs="Arial"/>
          <w:b/>
          <w:sz w:val="22"/>
          <w:szCs w:val="22"/>
          <w:lang w:val="en-US"/>
        </w:rPr>
        <w:t>Event</w:t>
      </w:r>
      <w:r w:rsidRPr="00537BD1">
        <w:rPr>
          <w:rFonts w:ascii="Arial" w:hAnsi="Arial" w:cs="Arial"/>
          <w:b/>
          <w:sz w:val="22"/>
          <w:szCs w:val="22"/>
          <w:lang w:val="en-US"/>
        </w:rPr>
        <w:t xml:space="preserve">s (%) Occurring in </w:t>
      </w:r>
      <w:r w:rsidRPr="00537BD1">
        <w:rPr>
          <w:rFonts w:ascii="Arial" w:hAnsi="Arial" w:cs="Arial"/>
          <w:b/>
          <w:sz w:val="22"/>
          <w:szCs w:val="22"/>
          <w:lang w:val="en-US"/>
        </w:rPr>
        <w:sym w:font="Symbol" w:char="F0B3"/>
      </w:r>
      <w:r w:rsidR="0033558B" w:rsidRPr="00537BD1">
        <w:rPr>
          <w:rFonts w:ascii="Arial" w:hAnsi="Arial" w:cs="Arial"/>
          <w:b/>
          <w:sz w:val="22"/>
          <w:szCs w:val="22"/>
          <w:lang w:val="en-US"/>
        </w:rPr>
        <w:t>1</w:t>
      </w:r>
      <w:r w:rsidR="0033558B">
        <w:rPr>
          <w:rFonts w:ascii="Arial" w:hAnsi="Arial" w:cs="Arial"/>
          <w:b/>
          <w:sz w:val="22"/>
          <w:szCs w:val="22"/>
          <w:lang w:val="en-US"/>
        </w:rPr>
        <w:t>0</w:t>
      </w:r>
      <w:r w:rsidRPr="00537BD1">
        <w:rPr>
          <w:rFonts w:ascii="Arial" w:hAnsi="Arial" w:cs="Arial"/>
          <w:b/>
          <w:sz w:val="22"/>
          <w:szCs w:val="22"/>
          <w:lang w:val="en-US"/>
        </w:rPr>
        <w:t>% of Patients in the</w:t>
      </w:r>
      <w:r w:rsidRPr="00656020">
        <w:rPr>
          <w:rFonts w:ascii="Arial" w:hAnsi="Arial" w:cs="Arial"/>
          <w:b/>
          <w:sz w:val="22"/>
          <w:szCs w:val="22"/>
          <w:lang w:val="en-US"/>
        </w:rPr>
        <w:t xml:space="preserve"> Dabrafenib 150 mg BID/ </w:t>
      </w:r>
      <w:r w:rsidR="00233F34">
        <w:rPr>
          <w:rFonts w:ascii="Arial" w:hAnsi="Arial" w:cs="Arial"/>
          <w:b/>
          <w:sz w:val="22"/>
          <w:szCs w:val="22"/>
          <w:lang w:val="en-US"/>
        </w:rPr>
        <w:t>MEKINIST 2mg QD Combination Arm</w:t>
      </w:r>
    </w:p>
    <w:p w:rsidR="00233F34" w:rsidRPr="00537BD1" w:rsidRDefault="00233F34" w:rsidP="00537BD1">
      <w:pPr>
        <w:rPr>
          <w:rFonts w:ascii="Arial" w:hAnsi="Arial" w:cs="Arial"/>
          <w:b/>
          <w:sz w:val="22"/>
          <w:szCs w:val="22"/>
          <w:lang w:val="en-US"/>
        </w:rPr>
      </w:pPr>
    </w:p>
    <w:tbl>
      <w:tblPr>
        <w:tblW w:w="50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840"/>
        <w:gridCol w:w="841"/>
        <w:gridCol w:w="842"/>
        <w:gridCol w:w="841"/>
        <w:gridCol w:w="842"/>
        <w:gridCol w:w="841"/>
        <w:gridCol w:w="841"/>
        <w:gridCol w:w="841"/>
        <w:gridCol w:w="842"/>
      </w:tblGrid>
      <w:tr w:rsidR="00537BD1" w:rsidRPr="0033558B" w:rsidTr="00656020">
        <w:trPr>
          <w:trHeight w:val="296"/>
          <w:jc w:val="center"/>
        </w:trPr>
        <w:tc>
          <w:tcPr>
            <w:tcW w:w="884" w:type="pct"/>
            <w:vMerge w:val="restart"/>
            <w:vAlign w:val="bottom"/>
          </w:tcPr>
          <w:p w:rsidR="00537BD1" w:rsidRPr="0033558B" w:rsidRDefault="00537BD1" w:rsidP="00537BD1">
            <w:pPr>
              <w:rPr>
                <w:rFonts w:ascii="Arial" w:hAnsi="Arial" w:cs="Arial"/>
                <w:b/>
                <w:lang w:val="en-US"/>
              </w:rPr>
            </w:pPr>
            <w:r w:rsidRPr="0033558B">
              <w:rPr>
                <w:rFonts w:ascii="Arial" w:hAnsi="Arial" w:cs="Arial"/>
                <w:b/>
                <w:lang w:val="en-US"/>
              </w:rPr>
              <w:t>Reactions</w:t>
            </w:r>
          </w:p>
        </w:tc>
        <w:tc>
          <w:tcPr>
            <w:tcW w:w="4116" w:type="pct"/>
            <w:gridSpan w:val="9"/>
            <w:vAlign w:val="bottom"/>
          </w:tcPr>
          <w:p w:rsidR="00537BD1" w:rsidRPr="0033558B" w:rsidRDefault="00537BD1" w:rsidP="00537BD1">
            <w:pPr>
              <w:rPr>
                <w:rFonts w:ascii="Arial" w:hAnsi="Arial" w:cs="Arial"/>
                <w:b/>
                <w:lang w:val="en-US"/>
              </w:rPr>
            </w:pPr>
            <w:r w:rsidRPr="0033558B">
              <w:rPr>
                <w:rFonts w:ascii="Arial" w:hAnsi="Arial" w:cs="Arial"/>
                <w:b/>
                <w:lang w:val="en-US"/>
              </w:rPr>
              <w:t>Dabrafenib 150 mg BID</w:t>
            </w:r>
          </w:p>
        </w:tc>
      </w:tr>
      <w:tr w:rsidR="00537BD1" w:rsidRPr="0033558B" w:rsidTr="00656020">
        <w:trPr>
          <w:trHeight w:val="538"/>
          <w:jc w:val="center"/>
        </w:trPr>
        <w:tc>
          <w:tcPr>
            <w:tcW w:w="884" w:type="pct"/>
            <w:vMerge/>
            <w:vAlign w:val="bottom"/>
          </w:tcPr>
          <w:p w:rsidR="00537BD1" w:rsidRPr="0033558B" w:rsidRDefault="00537BD1" w:rsidP="00537BD1">
            <w:pPr>
              <w:rPr>
                <w:rFonts w:ascii="Arial" w:hAnsi="Arial" w:cs="Arial"/>
                <w:b/>
                <w:lang w:val="en-US"/>
              </w:rPr>
            </w:pPr>
          </w:p>
        </w:tc>
        <w:tc>
          <w:tcPr>
            <w:tcW w:w="1372" w:type="pct"/>
            <w:gridSpan w:val="3"/>
          </w:tcPr>
          <w:p w:rsidR="00537BD1" w:rsidRPr="0033558B" w:rsidRDefault="00537BD1" w:rsidP="00537BD1">
            <w:pPr>
              <w:rPr>
                <w:rFonts w:ascii="Arial" w:hAnsi="Arial" w:cs="Arial"/>
                <w:b/>
                <w:lang w:val="en-US"/>
              </w:rPr>
            </w:pPr>
            <w:r w:rsidRPr="0033558B">
              <w:rPr>
                <w:rFonts w:ascii="Arial" w:hAnsi="Arial" w:cs="Arial"/>
                <w:b/>
                <w:lang w:val="en-US"/>
              </w:rPr>
              <w:t>Monotherapy</w:t>
            </w:r>
          </w:p>
          <w:p w:rsidR="00537BD1" w:rsidRPr="0033558B" w:rsidRDefault="00537BD1" w:rsidP="00537BD1">
            <w:pPr>
              <w:rPr>
                <w:rFonts w:ascii="Arial" w:hAnsi="Arial" w:cs="Arial"/>
                <w:b/>
                <w:lang w:val="en-US"/>
              </w:rPr>
            </w:pPr>
          </w:p>
          <w:p w:rsidR="00537BD1" w:rsidRPr="0033558B" w:rsidRDefault="00537BD1" w:rsidP="00537BD1">
            <w:pPr>
              <w:rPr>
                <w:rFonts w:ascii="Arial" w:hAnsi="Arial" w:cs="Arial"/>
                <w:b/>
                <w:lang w:val="en-US"/>
              </w:rPr>
            </w:pPr>
            <w:r w:rsidRPr="0033558B">
              <w:rPr>
                <w:rFonts w:ascii="Arial" w:hAnsi="Arial" w:cs="Arial"/>
                <w:b/>
                <w:lang w:val="en-US"/>
              </w:rPr>
              <w:t>(N = 53)</w:t>
            </w:r>
          </w:p>
        </w:tc>
        <w:tc>
          <w:tcPr>
            <w:tcW w:w="1372" w:type="pct"/>
            <w:gridSpan w:val="3"/>
          </w:tcPr>
          <w:p w:rsidR="00537BD1" w:rsidRPr="0033558B" w:rsidRDefault="00537BD1" w:rsidP="00537BD1">
            <w:pPr>
              <w:rPr>
                <w:rFonts w:ascii="Arial" w:hAnsi="Arial" w:cs="Arial"/>
                <w:b/>
                <w:lang w:val="en-US"/>
              </w:rPr>
            </w:pPr>
            <w:r w:rsidRPr="0033558B">
              <w:rPr>
                <w:rFonts w:ascii="Arial" w:hAnsi="Arial" w:cs="Arial"/>
                <w:b/>
                <w:lang w:val="en-US"/>
              </w:rPr>
              <w:t>MEKINIST 1mg QD Combination</w:t>
            </w:r>
          </w:p>
          <w:p w:rsidR="00537BD1" w:rsidRPr="0033558B" w:rsidRDefault="00537BD1" w:rsidP="00537BD1">
            <w:pPr>
              <w:rPr>
                <w:rFonts w:ascii="Arial" w:hAnsi="Arial" w:cs="Arial"/>
                <w:b/>
                <w:lang w:val="en-US"/>
              </w:rPr>
            </w:pPr>
            <w:r w:rsidRPr="0033558B">
              <w:rPr>
                <w:rFonts w:ascii="Arial" w:hAnsi="Arial" w:cs="Arial"/>
                <w:b/>
                <w:lang w:val="en-US"/>
              </w:rPr>
              <w:t>(N = 54)</w:t>
            </w:r>
          </w:p>
        </w:tc>
        <w:tc>
          <w:tcPr>
            <w:tcW w:w="1372" w:type="pct"/>
            <w:gridSpan w:val="3"/>
          </w:tcPr>
          <w:p w:rsidR="00537BD1" w:rsidRPr="0033558B" w:rsidRDefault="00537BD1" w:rsidP="00537BD1">
            <w:pPr>
              <w:rPr>
                <w:rFonts w:ascii="Arial" w:hAnsi="Arial" w:cs="Arial"/>
                <w:b/>
                <w:lang w:val="en-US"/>
              </w:rPr>
            </w:pPr>
            <w:r w:rsidRPr="0033558B">
              <w:rPr>
                <w:rFonts w:ascii="Arial" w:hAnsi="Arial" w:cs="Arial"/>
                <w:b/>
                <w:lang w:val="en-US"/>
              </w:rPr>
              <w:t>MEKINIST 2mg QD Combination</w:t>
            </w:r>
          </w:p>
          <w:p w:rsidR="00537BD1" w:rsidRPr="0033558B" w:rsidRDefault="00537BD1" w:rsidP="00537BD1">
            <w:pPr>
              <w:rPr>
                <w:rFonts w:ascii="Arial" w:hAnsi="Arial" w:cs="Arial"/>
                <w:b/>
                <w:lang w:val="en-US"/>
              </w:rPr>
            </w:pPr>
            <w:r w:rsidRPr="0033558B">
              <w:rPr>
                <w:rFonts w:ascii="Arial" w:hAnsi="Arial" w:cs="Arial"/>
                <w:b/>
                <w:lang w:val="en-US"/>
              </w:rPr>
              <w:t>(N = 55)</w:t>
            </w:r>
          </w:p>
        </w:tc>
      </w:tr>
      <w:tr w:rsidR="00537BD1" w:rsidRPr="0033558B" w:rsidTr="00122B3C">
        <w:trPr>
          <w:jc w:val="center"/>
        </w:trPr>
        <w:tc>
          <w:tcPr>
            <w:tcW w:w="884" w:type="pct"/>
            <w:vMerge/>
          </w:tcPr>
          <w:p w:rsidR="00537BD1" w:rsidRPr="0033558B" w:rsidRDefault="00537BD1" w:rsidP="00537BD1">
            <w:pPr>
              <w:rPr>
                <w:rFonts w:ascii="Arial" w:hAnsi="Arial" w:cs="Arial"/>
                <w:lang w:val="en-US"/>
              </w:rPr>
            </w:pPr>
          </w:p>
        </w:tc>
        <w:tc>
          <w:tcPr>
            <w:tcW w:w="457" w:type="pct"/>
          </w:tcPr>
          <w:p w:rsidR="00537BD1" w:rsidRPr="0033558B" w:rsidRDefault="00537BD1" w:rsidP="00537BD1">
            <w:pPr>
              <w:rPr>
                <w:rFonts w:ascii="Arial" w:hAnsi="Arial" w:cs="Arial"/>
                <w:b/>
                <w:lang w:val="en-US"/>
              </w:rPr>
            </w:pPr>
            <w:r w:rsidRPr="0033558B">
              <w:rPr>
                <w:rFonts w:ascii="Arial" w:hAnsi="Arial" w:cs="Arial"/>
                <w:b/>
                <w:lang w:val="en-US"/>
              </w:rPr>
              <w:t>All Grades</w:t>
            </w:r>
            <w:r w:rsidRPr="0033558B">
              <w:rPr>
                <w:rFonts w:ascii="Arial" w:hAnsi="Arial" w:cs="Arial"/>
                <w:b/>
                <w:vertAlign w:val="superscript"/>
                <w:lang w:val="en-US"/>
              </w:rPr>
              <w:t>a</w:t>
            </w:r>
          </w:p>
        </w:tc>
        <w:tc>
          <w:tcPr>
            <w:tcW w:w="457" w:type="pct"/>
          </w:tcPr>
          <w:p w:rsidR="00537BD1" w:rsidRPr="0033558B" w:rsidRDefault="00537BD1" w:rsidP="00537BD1">
            <w:pPr>
              <w:rPr>
                <w:rFonts w:ascii="Arial" w:hAnsi="Arial" w:cs="Arial"/>
                <w:b/>
                <w:lang w:val="en-US"/>
              </w:rPr>
            </w:pPr>
            <w:r w:rsidRPr="0033558B">
              <w:rPr>
                <w:rFonts w:ascii="Arial" w:hAnsi="Arial" w:cs="Arial"/>
                <w:b/>
                <w:lang w:val="en-US"/>
              </w:rPr>
              <w:t>Grade 3</w:t>
            </w:r>
          </w:p>
        </w:tc>
        <w:tc>
          <w:tcPr>
            <w:tcW w:w="458" w:type="pct"/>
          </w:tcPr>
          <w:p w:rsidR="00537BD1" w:rsidRPr="0033558B" w:rsidRDefault="00537BD1" w:rsidP="00537BD1">
            <w:pPr>
              <w:rPr>
                <w:rFonts w:ascii="Arial" w:hAnsi="Arial" w:cs="Arial"/>
                <w:b/>
                <w:lang w:val="en-US"/>
              </w:rPr>
            </w:pPr>
            <w:r w:rsidRPr="0033558B">
              <w:rPr>
                <w:rFonts w:ascii="Arial" w:hAnsi="Arial" w:cs="Arial"/>
                <w:b/>
                <w:lang w:val="en-US"/>
              </w:rPr>
              <w:t>Grade 4</w:t>
            </w:r>
          </w:p>
        </w:tc>
        <w:tc>
          <w:tcPr>
            <w:tcW w:w="457" w:type="pct"/>
          </w:tcPr>
          <w:p w:rsidR="00537BD1" w:rsidRPr="0033558B" w:rsidRDefault="00537BD1" w:rsidP="00537BD1">
            <w:pPr>
              <w:rPr>
                <w:rFonts w:ascii="Arial" w:hAnsi="Arial" w:cs="Arial"/>
                <w:b/>
                <w:lang w:val="en-US"/>
              </w:rPr>
            </w:pPr>
            <w:r w:rsidRPr="0033558B">
              <w:rPr>
                <w:rFonts w:ascii="Arial" w:hAnsi="Arial" w:cs="Arial"/>
                <w:b/>
                <w:lang w:val="en-US"/>
              </w:rPr>
              <w:t>All Grades</w:t>
            </w:r>
            <w:r w:rsidRPr="0033558B">
              <w:rPr>
                <w:rFonts w:ascii="Arial" w:hAnsi="Arial" w:cs="Arial"/>
                <w:b/>
                <w:vertAlign w:val="superscript"/>
                <w:lang w:val="en-US"/>
              </w:rPr>
              <w:t>a</w:t>
            </w:r>
          </w:p>
        </w:tc>
        <w:tc>
          <w:tcPr>
            <w:tcW w:w="458" w:type="pct"/>
          </w:tcPr>
          <w:p w:rsidR="00537BD1" w:rsidRPr="0033558B" w:rsidRDefault="00537BD1" w:rsidP="00537BD1">
            <w:pPr>
              <w:rPr>
                <w:rFonts w:ascii="Arial" w:hAnsi="Arial" w:cs="Arial"/>
                <w:b/>
                <w:lang w:val="en-US"/>
              </w:rPr>
            </w:pPr>
            <w:r w:rsidRPr="0033558B">
              <w:rPr>
                <w:rFonts w:ascii="Arial" w:hAnsi="Arial" w:cs="Arial"/>
                <w:b/>
                <w:lang w:val="en-US"/>
              </w:rPr>
              <w:t>Grade 3</w:t>
            </w:r>
          </w:p>
        </w:tc>
        <w:tc>
          <w:tcPr>
            <w:tcW w:w="457" w:type="pct"/>
          </w:tcPr>
          <w:p w:rsidR="00537BD1" w:rsidRPr="0033558B" w:rsidRDefault="00537BD1" w:rsidP="00537BD1">
            <w:pPr>
              <w:rPr>
                <w:rFonts w:ascii="Arial" w:hAnsi="Arial" w:cs="Arial"/>
                <w:b/>
                <w:lang w:val="en-US"/>
              </w:rPr>
            </w:pPr>
            <w:r w:rsidRPr="0033558B">
              <w:rPr>
                <w:rFonts w:ascii="Arial" w:hAnsi="Arial" w:cs="Arial"/>
                <w:b/>
                <w:lang w:val="en-US"/>
              </w:rPr>
              <w:t>Grade 4</w:t>
            </w:r>
          </w:p>
        </w:tc>
        <w:tc>
          <w:tcPr>
            <w:tcW w:w="457" w:type="pct"/>
          </w:tcPr>
          <w:p w:rsidR="00537BD1" w:rsidRPr="0033558B" w:rsidRDefault="00537BD1" w:rsidP="00537BD1">
            <w:pPr>
              <w:rPr>
                <w:rFonts w:ascii="Arial" w:hAnsi="Arial" w:cs="Arial"/>
                <w:b/>
                <w:lang w:val="en-US"/>
              </w:rPr>
            </w:pPr>
            <w:r w:rsidRPr="0033558B">
              <w:rPr>
                <w:rFonts w:ascii="Arial" w:hAnsi="Arial" w:cs="Arial"/>
                <w:b/>
                <w:lang w:val="en-US"/>
              </w:rPr>
              <w:t>All Grades</w:t>
            </w:r>
            <w:r w:rsidRPr="0033558B">
              <w:rPr>
                <w:rFonts w:ascii="Arial" w:hAnsi="Arial" w:cs="Arial"/>
                <w:b/>
                <w:vertAlign w:val="superscript"/>
                <w:lang w:val="en-US"/>
              </w:rPr>
              <w:t>a</w:t>
            </w:r>
          </w:p>
        </w:tc>
        <w:tc>
          <w:tcPr>
            <w:tcW w:w="457" w:type="pct"/>
          </w:tcPr>
          <w:p w:rsidR="00537BD1" w:rsidRPr="0033558B" w:rsidRDefault="00537BD1" w:rsidP="00537BD1">
            <w:pPr>
              <w:rPr>
                <w:rFonts w:ascii="Arial" w:hAnsi="Arial" w:cs="Arial"/>
                <w:b/>
                <w:lang w:val="en-US"/>
              </w:rPr>
            </w:pPr>
            <w:r w:rsidRPr="0033558B">
              <w:rPr>
                <w:rFonts w:ascii="Arial" w:hAnsi="Arial" w:cs="Arial"/>
                <w:b/>
                <w:lang w:val="en-US"/>
              </w:rPr>
              <w:t>Grade 3</w:t>
            </w:r>
          </w:p>
        </w:tc>
        <w:tc>
          <w:tcPr>
            <w:tcW w:w="458" w:type="pct"/>
          </w:tcPr>
          <w:p w:rsidR="00537BD1" w:rsidRPr="0033558B" w:rsidRDefault="00537BD1" w:rsidP="00537BD1">
            <w:pPr>
              <w:rPr>
                <w:rFonts w:ascii="Arial" w:hAnsi="Arial" w:cs="Arial"/>
                <w:b/>
                <w:lang w:val="en-US"/>
              </w:rPr>
            </w:pPr>
            <w:r w:rsidRPr="0033558B">
              <w:rPr>
                <w:rFonts w:ascii="Arial" w:hAnsi="Arial" w:cs="Arial"/>
                <w:b/>
                <w:lang w:val="en-US"/>
              </w:rPr>
              <w:t>Grade 4</w:t>
            </w:r>
          </w:p>
        </w:tc>
      </w:tr>
      <w:tr w:rsidR="00537BD1" w:rsidRPr="0033558B" w:rsidTr="00E869DF">
        <w:trPr>
          <w:trHeight w:val="278"/>
          <w:jc w:val="center"/>
        </w:trPr>
        <w:tc>
          <w:tcPr>
            <w:tcW w:w="5000" w:type="pct"/>
            <w:gridSpan w:val="10"/>
            <w:tcBorders>
              <w:top w:val="nil"/>
            </w:tcBorders>
          </w:tcPr>
          <w:p w:rsidR="00537BD1" w:rsidRPr="0033558B" w:rsidRDefault="00537BD1" w:rsidP="00537BD1">
            <w:pPr>
              <w:rPr>
                <w:rFonts w:ascii="Arial" w:hAnsi="Arial" w:cs="Arial"/>
                <w:lang w:val="en-US"/>
              </w:rPr>
            </w:pPr>
            <w:r w:rsidRPr="0033558B">
              <w:rPr>
                <w:rFonts w:ascii="Arial" w:hAnsi="Arial" w:cs="Arial"/>
                <w:b/>
                <w:lang w:val="en-US"/>
              </w:rPr>
              <w:t>Skin and subcutaneous tissue disorders</w:t>
            </w:r>
          </w:p>
        </w:tc>
      </w:tr>
      <w:tr w:rsidR="00537BD1" w:rsidRPr="0033558B" w:rsidTr="00122B3C">
        <w:trPr>
          <w:jc w:val="center"/>
        </w:trPr>
        <w:tc>
          <w:tcPr>
            <w:tcW w:w="884" w:type="pct"/>
            <w:tcBorders>
              <w:top w:val="nil"/>
            </w:tcBorders>
          </w:tcPr>
          <w:p w:rsidR="00537BD1" w:rsidRPr="0033558B" w:rsidRDefault="00537BD1" w:rsidP="00537BD1">
            <w:pPr>
              <w:rPr>
                <w:rFonts w:ascii="Arial" w:hAnsi="Arial" w:cs="Arial"/>
                <w:lang w:val="en-US"/>
              </w:rPr>
            </w:pPr>
            <w:r w:rsidRPr="0033558B">
              <w:rPr>
                <w:rFonts w:ascii="Arial" w:hAnsi="Arial" w:cs="Arial"/>
                <w:lang w:val="en-US"/>
              </w:rPr>
              <w:t>Rash</w:t>
            </w:r>
          </w:p>
        </w:tc>
        <w:tc>
          <w:tcPr>
            <w:tcW w:w="457" w:type="pct"/>
          </w:tcPr>
          <w:p w:rsidR="00537BD1" w:rsidRPr="0033558B" w:rsidRDefault="00537BD1" w:rsidP="00537BD1">
            <w:pPr>
              <w:rPr>
                <w:rFonts w:ascii="Arial" w:hAnsi="Arial" w:cs="Arial"/>
                <w:lang w:val="en-US"/>
              </w:rPr>
            </w:pPr>
            <w:r w:rsidRPr="0033558B">
              <w:rPr>
                <w:rFonts w:ascii="Arial" w:hAnsi="Arial" w:cs="Arial"/>
                <w:lang w:val="en-US"/>
              </w:rPr>
              <w:t>36</w:t>
            </w:r>
          </w:p>
        </w:tc>
        <w:tc>
          <w:tcPr>
            <w:tcW w:w="457" w:type="pct"/>
          </w:tcPr>
          <w:p w:rsidR="00537BD1" w:rsidRPr="0033558B" w:rsidRDefault="00537BD1" w:rsidP="00537BD1">
            <w:pPr>
              <w:rPr>
                <w:rFonts w:ascii="Arial" w:hAnsi="Arial" w:cs="Arial"/>
                <w:lang w:val="en-US"/>
              </w:rPr>
            </w:pPr>
            <w:r w:rsidRPr="0033558B">
              <w:rPr>
                <w:rFonts w:ascii="Arial" w:hAnsi="Arial" w:cs="Arial"/>
                <w:lang w:val="en-US"/>
              </w:rPr>
              <w:t>0</w:t>
            </w:r>
          </w:p>
        </w:tc>
        <w:tc>
          <w:tcPr>
            <w:tcW w:w="458" w:type="pct"/>
          </w:tcPr>
          <w:p w:rsidR="00537BD1" w:rsidRPr="0033558B" w:rsidRDefault="00537BD1" w:rsidP="00537BD1">
            <w:pPr>
              <w:rPr>
                <w:rFonts w:ascii="Arial" w:hAnsi="Arial" w:cs="Arial"/>
                <w:lang w:val="en-US"/>
              </w:rPr>
            </w:pPr>
            <w:r w:rsidRPr="0033558B">
              <w:rPr>
                <w:rFonts w:ascii="Arial" w:hAnsi="Arial" w:cs="Arial"/>
                <w:lang w:val="en-US"/>
              </w:rPr>
              <w:t>0</w:t>
            </w:r>
          </w:p>
        </w:tc>
        <w:tc>
          <w:tcPr>
            <w:tcW w:w="457" w:type="pct"/>
          </w:tcPr>
          <w:p w:rsidR="00537BD1" w:rsidRPr="0033558B" w:rsidRDefault="00537BD1" w:rsidP="00537BD1">
            <w:pPr>
              <w:rPr>
                <w:rFonts w:ascii="Arial" w:hAnsi="Arial" w:cs="Arial"/>
                <w:lang w:val="en-US"/>
              </w:rPr>
            </w:pPr>
            <w:r w:rsidRPr="0033558B">
              <w:rPr>
                <w:rFonts w:ascii="Arial" w:hAnsi="Arial" w:cs="Arial"/>
                <w:lang w:val="en-US"/>
              </w:rPr>
              <w:t>20</w:t>
            </w:r>
          </w:p>
        </w:tc>
        <w:tc>
          <w:tcPr>
            <w:tcW w:w="458" w:type="pct"/>
          </w:tcPr>
          <w:p w:rsidR="00537BD1" w:rsidRPr="0033558B" w:rsidRDefault="00537BD1" w:rsidP="00537BD1">
            <w:pPr>
              <w:rPr>
                <w:rFonts w:ascii="Arial" w:hAnsi="Arial" w:cs="Arial"/>
                <w:lang w:val="en-US"/>
              </w:rPr>
            </w:pPr>
            <w:r w:rsidRPr="0033558B">
              <w:rPr>
                <w:rFonts w:ascii="Arial" w:hAnsi="Arial" w:cs="Arial"/>
                <w:lang w:val="en-US"/>
              </w:rPr>
              <w:t>0</w:t>
            </w:r>
          </w:p>
        </w:tc>
        <w:tc>
          <w:tcPr>
            <w:tcW w:w="457" w:type="pct"/>
          </w:tcPr>
          <w:p w:rsidR="00537BD1" w:rsidRPr="0033558B" w:rsidRDefault="00537BD1" w:rsidP="00537BD1">
            <w:pPr>
              <w:rPr>
                <w:rFonts w:ascii="Arial" w:hAnsi="Arial" w:cs="Arial"/>
                <w:lang w:val="en-US"/>
              </w:rPr>
            </w:pPr>
            <w:r w:rsidRPr="0033558B">
              <w:rPr>
                <w:rFonts w:ascii="Arial" w:hAnsi="Arial" w:cs="Arial"/>
                <w:lang w:val="en-US"/>
              </w:rPr>
              <w:t>0</w:t>
            </w:r>
          </w:p>
        </w:tc>
        <w:tc>
          <w:tcPr>
            <w:tcW w:w="457" w:type="pct"/>
          </w:tcPr>
          <w:p w:rsidR="00537BD1" w:rsidRPr="0033558B" w:rsidRDefault="00537BD1" w:rsidP="00537BD1">
            <w:pPr>
              <w:rPr>
                <w:rFonts w:ascii="Arial" w:hAnsi="Arial" w:cs="Arial"/>
                <w:lang w:val="en-US"/>
              </w:rPr>
            </w:pPr>
            <w:r w:rsidRPr="0033558B">
              <w:rPr>
                <w:rFonts w:ascii="Arial" w:hAnsi="Arial" w:cs="Arial"/>
                <w:lang w:val="en-US"/>
              </w:rPr>
              <w:t>27</w:t>
            </w:r>
          </w:p>
        </w:tc>
        <w:tc>
          <w:tcPr>
            <w:tcW w:w="457" w:type="pct"/>
          </w:tcPr>
          <w:p w:rsidR="00537BD1" w:rsidRPr="0033558B" w:rsidRDefault="00537BD1" w:rsidP="00537BD1">
            <w:pPr>
              <w:rPr>
                <w:rFonts w:ascii="Arial" w:hAnsi="Arial" w:cs="Arial"/>
                <w:lang w:val="en-US"/>
              </w:rPr>
            </w:pPr>
            <w:r w:rsidRPr="0033558B">
              <w:rPr>
                <w:rFonts w:ascii="Arial" w:hAnsi="Arial" w:cs="Arial"/>
                <w:lang w:val="en-US"/>
              </w:rPr>
              <w:t>0</w:t>
            </w:r>
          </w:p>
        </w:tc>
        <w:tc>
          <w:tcPr>
            <w:tcW w:w="458" w:type="pct"/>
          </w:tcPr>
          <w:p w:rsidR="00537BD1" w:rsidRPr="0033558B" w:rsidRDefault="00537BD1" w:rsidP="00537BD1">
            <w:pPr>
              <w:rPr>
                <w:rFonts w:ascii="Arial" w:hAnsi="Arial" w:cs="Arial"/>
                <w:lang w:val="en-US"/>
              </w:rPr>
            </w:pPr>
            <w:r w:rsidRPr="0033558B">
              <w:rPr>
                <w:rFonts w:ascii="Arial" w:hAnsi="Arial" w:cs="Arial"/>
                <w:lang w:val="en-US"/>
              </w:rPr>
              <w:t>0</w:t>
            </w:r>
          </w:p>
        </w:tc>
      </w:tr>
      <w:tr w:rsidR="00537BD1" w:rsidRPr="0033558B" w:rsidTr="00122B3C">
        <w:trPr>
          <w:jc w:val="center"/>
        </w:trPr>
        <w:tc>
          <w:tcPr>
            <w:tcW w:w="884" w:type="pct"/>
            <w:tcBorders>
              <w:top w:val="nil"/>
            </w:tcBorders>
          </w:tcPr>
          <w:p w:rsidR="00537BD1" w:rsidRPr="0033558B" w:rsidRDefault="00537BD1" w:rsidP="00537BD1">
            <w:pPr>
              <w:rPr>
                <w:rFonts w:ascii="Arial" w:hAnsi="Arial" w:cs="Arial"/>
                <w:lang w:val="en-US"/>
              </w:rPr>
            </w:pPr>
            <w:r w:rsidRPr="0033558B">
              <w:rPr>
                <w:rFonts w:ascii="Arial" w:hAnsi="Arial" w:cs="Arial"/>
                <w:lang w:val="en-US"/>
              </w:rPr>
              <w:t>Night Sweats</w:t>
            </w:r>
          </w:p>
        </w:tc>
        <w:tc>
          <w:tcPr>
            <w:tcW w:w="457" w:type="pct"/>
          </w:tcPr>
          <w:p w:rsidR="00537BD1" w:rsidRPr="0033558B" w:rsidRDefault="00537BD1" w:rsidP="00537BD1">
            <w:pPr>
              <w:rPr>
                <w:rFonts w:ascii="Arial" w:hAnsi="Arial" w:cs="Arial"/>
                <w:lang w:val="en-US"/>
              </w:rPr>
            </w:pPr>
            <w:r w:rsidRPr="0033558B">
              <w:rPr>
                <w:rFonts w:ascii="Arial" w:hAnsi="Arial" w:cs="Arial"/>
                <w:lang w:val="en-US"/>
              </w:rPr>
              <w:t>6</w:t>
            </w:r>
          </w:p>
        </w:tc>
        <w:tc>
          <w:tcPr>
            <w:tcW w:w="457" w:type="pct"/>
          </w:tcPr>
          <w:p w:rsidR="00537BD1" w:rsidRPr="0033558B" w:rsidRDefault="00537BD1" w:rsidP="00537BD1">
            <w:pPr>
              <w:rPr>
                <w:rFonts w:ascii="Arial" w:hAnsi="Arial" w:cs="Arial"/>
                <w:lang w:val="en-US"/>
              </w:rPr>
            </w:pPr>
            <w:r w:rsidRPr="0033558B">
              <w:rPr>
                <w:rFonts w:ascii="Arial" w:hAnsi="Arial" w:cs="Arial"/>
                <w:lang w:val="en-US"/>
              </w:rPr>
              <w:t>0</w:t>
            </w:r>
          </w:p>
        </w:tc>
        <w:tc>
          <w:tcPr>
            <w:tcW w:w="458" w:type="pct"/>
          </w:tcPr>
          <w:p w:rsidR="00537BD1" w:rsidRPr="0033558B" w:rsidRDefault="00537BD1" w:rsidP="00537BD1">
            <w:pPr>
              <w:rPr>
                <w:rFonts w:ascii="Arial" w:hAnsi="Arial" w:cs="Arial"/>
                <w:lang w:val="en-US"/>
              </w:rPr>
            </w:pPr>
            <w:r w:rsidRPr="0033558B">
              <w:rPr>
                <w:rFonts w:ascii="Arial" w:hAnsi="Arial" w:cs="Arial"/>
                <w:lang w:val="en-US"/>
              </w:rPr>
              <w:t>0</w:t>
            </w:r>
          </w:p>
        </w:tc>
        <w:tc>
          <w:tcPr>
            <w:tcW w:w="457" w:type="pct"/>
          </w:tcPr>
          <w:p w:rsidR="00537BD1" w:rsidRPr="0033558B" w:rsidRDefault="00537BD1" w:rsidP="00537BD1">
            <w:pPr>
              <w:rPr>
                <w:rFonts w:ascii="Arial" w:hAnsi="Arial" w:cs="Arial"/>
                <w:lang w:val="en-US"/>
              </w:rPr>
            </w:pPr>
            <w:r w:rsidRPr="0033558B">
              <w:rPr>
                <w:rFonts w:ascii="Arial" w:hAnsi="Arial" w:cs="Arial"/>
                <w:lang w:val="en-US"/>
              </w:rPr>
              <w:t>15</w:t>
            </w:r>
          </w:p>
        </w:tc>
        <w:tc>
          <w:tcPr>
            <w:tcW w:w="458" w:type="pct"/>
          </w:tcPr>
          <w:p w:rsidR="00537BD1" w:rsidRPr="0033558B" w:rsidRDefault="00537BD1" w:rsidP="00537BD1">
            <w:pPr>
              <w:rPr>
                <w:rFonts w:ascii="Arial" w:hAnsi="Arial" w:cs="Arial"/>
                <w:lang w:val="en-US"/>
              </w:rPr>
            </w:pPr>
            <w:r w:rsidRPr="0033558B">
              <w:rPr>
                <w:rFonts w:ascii="Arial" w:hAnsi="Arial" w:cs="Arial"/>
                <w:lang w:val="en-US"/>
              </w:rPr>
              <w:t>0</w:t>
            </w:r>
          </w:p>
        </w:tc>
        <w:tc>
          <w:tcPr>
            <w:tcW w:w="457" w:type="pct"/>
          </w:tcPr>
          <w:p w:rsidR="00537BD1" w:rsidRPr="0033558B" w:rsidRDefault="00537BD1" w:rsidP="00537BD1">
            <w:pPr>
              <w:rPr>
                <w:rFonts w:ascii="Arial" w:hAnsi="Arial" w:cs="Arial"/>
                <w:lang w:val="en-US"/>
              </w:rPr>
            </w:pPr>
            <w:r w:rsidRPr="0033558B">
              <w:rPr>
                <w:rFonts w:ascii="Arial" w:hAnsi="Arial" w:cs="Arial"/>
                <w:lang w:val="en-US"/>
              </w:rPr>
              <w:t>0</w:t>
            </w:r>
          </w:p>
        </w:tc>
        <w:tc>
          <w:tcPr>
            <w:tcW w:w="457" w:type="pct"/>
          </w:tcPr>
          <w:p w:rsidR="00537BD1" w:rsidRPr="0033558B" w:rsidRDefault="00537BD1" w:rsidP="00537BD1">
            <w:pPr>
              <w:rPr>
                <w:rFonts w:ascii="Arial" w:hAnsi="Arial" w:cs="Arial"/>
                <w:lang w:val="en-US"/>
              </w:rPr>
            </w:pPr>
            <w:r w:rsidRPr="0033558B">
              <w:rPr>
                <w:rFonts w:ascii="Arial" w:hAnsi="Arial" w:cs="Arial"/>
                <w:lang w:val="en-US"/>
              </w:rPr>
              <w:t>24</w:t>
            </w:r>
          </w:p>
        </w:tc>
        <w:tc>
          <w:tcPr>
            <w:tcW w:w="457" w:type="pct"/>
          </w:tcPr>
          <w:p w:rsidR="00537BD1" w:rsidRPr="0033558B" w:rsidRDefault="00537BD1" w:rsidP="00537BD1">
            <w:pPr>
              <w:rPr>
                <w:rFonts w:ascii="Arial" w:hAnsi="Arial" w:cs="Arial"/>
                <w:lang w:val="en-US"/>
              </w:rPr>
            </w:pPr>
            <w:r w:rsidRPr="0033558B">
              <w:rPr>
                <w:rFonts w:ascii="Arial" w:hAnsi="Arial" w:cs="Arial"/>
                <w:lang w:val="en-US"/>
              </w:rPr>
              <w:t>0</w:t>
            </w:r>
          </w:p>
        </w:tc>
        <w:tc>
          <w:tcPr>
            <w:tcW w:w="458" w:type="pct"/>
          </w:tcPr>
          <w:p w:rsidR="00537BD1" w:rsidRPr="0033558B" w:rsidRDefault="00537BD1" w:rsidP="00537BD1">
            <w:pPr>
              <w:rPr>
                <w:rFonts w:ascii="Arial" w:hAnsi="Arial" w:cs="Arial"/>
                <w:lang w:val="en-US"/>
              </w:rPr>
            </w:pPr>
            <w:r w:rsidRPr="0033558B">
              <w:rPr>
                <w:rFonts w:ascii="Arial" w:hAnsi="Arial" w:cs="Arial"/>
                <w:lang w:val="en-US"/>
              </w:rPr>
              <w:t>0</w:t>
            </w:r>
          </w:p>
        </w:tc>
      </w:tr>
      <w:tr w:rsidR="00537BD1" w:rsidRPr="0033558B" w:rsidTr="00122B3C">
        <w:trPr>
          <w:jc w:val="center"/>
        </w:trPr>
        <w:tc>
          <w:tcPr>
            <w:tcW w:w="884" w:type="pct"/>
            <w:tcBorders>
              <w:top w:val="nil"/>
            </w:tcBorders>
          </w:tcPr>
          <w:p w:rsidR="00537BD1" w:rsidRPr="0033558B" w:rsidRDefault="00537BD1" w:rsidP="00537BD1">
            <w:pPr>
              <w:rPr>
                <w:rFonts w:ascii="Arial" w:hAnsi="Arial" w:cs="Arial"/>
                <w:lang w:val="en-US"/>
              </w:rPr>
            </w:pPr>
            <w:r w:rsidRPr="0033558B">
              <w:rPr>
                <w:rFonts w:ascii="Arial" w:hAnsi="Arial" w:cs="Arial"/>
                <w:lang w:val="en-US"/>
              </w:rPr>
              <w:t>Dry Skin</w:t>
            </w:r>
          </w:p>
        </w:tc>
        <w:tc>
          <w:tcPr>
            <w:tcW w:w="457" w:type="pct"/>
          </w:tcPr>
          <w:p w:rsidR="00537BD1" w:rsidRPr="0033558B" w:rsidRDefault="00537BD1" w:rsidP="00537BD1">
            <w:pPr>
              <w:rPr>
                <w:rFonts w:ascii="Arial" w:hAnsi="Arial" w:cs="Arial"/>
                <w:lang w:val="en-US"/>
              </w:rPr>
            </w:pPr>
            <w:r w:rsidRPr="0033558B">
              <w:rPr>
                <w:rFonts w:ascii="Arial" w:hAnsi="Arial" w:cs="Arial"/>
                <w:lang w:val="en-US"/>
              </w:rPr>
              <w:t>6</w:t>
            </w:r>
          </w:p>
        </w:tc>
        <w:tc>
          <w:tcPr>
            <w:tcW w:w="457" w:type="pct"/>
          </w:tcPr>
          <w:p w:rsidR="00537BD1" w:rsidRPr="0033558B" w:rsidRDefault="00537BD1" w:rsidP="00537BD1">
            <w:pPr>
              <w:rPr>
                <w:rFonts w:ascii="Arial" w:hAnsi="Arial" w:cs="Arial"/>
                <w:lang w:val="en-US"/>
              </w:rPr>
            </w:pPr>
            <w:r w:rsidRPr="0033558B">
              <w:rPr>
                <w:rFonts w:ascii="Arial" w:hAnsi="Arial" w:cs="Arial"/>
                <w:lang w:val="en-US"/>
              </w:rPr>
              <w:t>0</w:t>
            </w:r>
          </w:p>
        </w:tc>
        <w:tc>
          <w:tcPr>
            <w:tcW w:w="458" w:type="pct"/>
          </w:tcPr>
          <w:p w:rsidR="00537BD1" w:rsidRPr="0033558B" w:rsidRDefault="00537BD1" w:rsidP="00537BD1">
            <w:pPr>
              <w:rPr>
                <w:rFonts w:ascii="Arial" w:hAnsi="Arial" w:cs="Arial"/>
                <w:lang w:val="en-US"/>
              </w:rPr>
            </w:pPr>
            <w:r w:rsidRPr="0033558B">
              <w:rPr>
                <w:rFonts w:ascii="Arial" w:hAnsi="Arial" w:cs="Arial"/>
                <w:lang w:val="en-US"/>
              </w:rPr>
              <w:t>0</w:t>
            </w:r>
          </w:p>
        </w:tc>
        <w:tc>
          <w:tcPr>
            <w:tcW w:w="457" w:type="pct"/>
          </w:tcPr>
          <w:p w:rsidR="00537BD1" w:rsidRPr="0033558B" w:rsidRDefault="00537BD1" w:rsidP="00537BD1">
            <w:pPr>
              <w:rPr>
                <w:rFonts w:ascii="Arial" w:hAnsi="Arial" w:cs="Arial"/>
                <w:lang w:val="en-US"/>
              </w:rPr>
            </w:pPr>
            <w:r w:rsidRPr="0033558B">
              <w:rPr>
                <w:rFonts w:ascii="Arial" w:hAnsi="Arial" w:cs="Arial"/>
                <w:lang w:val="en-US"/>
              </w:rPr>
              <w:t>9</w:t>
            </w:r>
          </w:p>
        </w:tc>
        <w:tc>
          <w:tcPr>
            <w:tcW w:w="458" w:type="pct"/>
          </w:tcPr>
          <w:p w:rsidR="00537BD1" w:rsidRPr="0033558B" w:rsidRDefault="00537BD1" w:rsidP="00537BD1">
            <w:pPr>
              <w:rPr>
                <w:rFonts w:ascii="Arial" w:hAnsi="Arial" w:cs="Arial"/>
                <w:lang w:val="en-US"/>
              </w:rPr>
            </w:pPr>
            <w:r w:rsidRPr="0033558B">
              <w:rPr>
                <w:rFonts w:ascii="Arial" w:hAnsi="Arial" w:cs="Arial"/>
                <w:lang w:val="en-US"/>
              </w:rPr>
              <w:t>0</w:t>
            </w:r>
          </w:p>
        </w:tc>
        <w:tc>
          <w:tcPr>
            <w:tcW w:w="457" w:type="pct"/>
          </w:tcPr>
          <w:p w:rsidR="00537BD1" w:rsidRPr="0033558B" w:rsidRDefault="00537BD1" w:rsidP="00537BD1">
            <w:pPr>
              <w:rPr>
                <w:rFonts w:ascii="Arial" w:hAnsi="Arial" w:cs="Arial"/>
                <w:lang w:val="en-US"/>
              </w:rPr>
            </w:pPr>
            <w:r w:rsidRPr="0033558B">
              <w:rPr>
                <w:rFonts w:ascii="Arial" w:hAnsi="Arial" w:cs="Arial"/>
                <w:lang w:val="en-US"/>
              </w:rPr>
              <w:t>0</w:t>
            </w:r>
          </w:p>
        </w:tc>
        <w:tc>
          <w:tcPr>
            <w:tcW w:w="457" w:type="pct"/>
          </w:tcPr>
          <w:p w:rsidR="00537BD1" w:rsidRPr="0033558B" w:rsidRDefault="00537BD1" w:rsidP="00537BD1">
            <w:pPr>
              <w:rPr>
                <w:rFonts w:ascii="Arial" w:hAnsi="Arial" w:cs="Arial"/>
                <w:lang w:val="en-US"/>
              </w:rPr>
            </w:pPr>
            <w:r w:rsidRPr="0033558B">
              <w:rPr>
                <w:rFonts w:ascii="Arial" w:hAnsi="Arial" w:cs="Arial"/>
                <w:lang w:val="en-US"/>
              </w:rPr>
              <w:t>18</w:t>
            </w:r>
          </w:p>
        </w:tc>
        <w:tc>
          <w:tcPr>
            <w:tcW w:w="457" w:type="pct"/>
          </w:tcPr>
          <w:p w:rsidR="00537BD1" w:rsidRPr="0033558B" w:rsidRDefault="00537BD1" w:rsidP="00537BD1">
            <w:pPr>
              <w:rPr>
                <w:rFonts w:ascii="Arial" w:hAnsi="Arial" w:cs="Arial"/>
                <w:lang w:val="en-US"/>
              </w:rPr>
            </w:pPr>
            <w:r w:rsidRPr="0033558B">
              <w:rPr>
                <w:rFonts w:ascii="Arial" w:hAnsi="Arial" w:cs="Arial"/>
                <w:lang w:val="en-US"/>
              </w:rPr>
              <w:t>0</w:t>
            </w:r>
          </w:p>
        </w:tc>
        <w:tc>
          <w:tcPr>
            <w:tcW w:w="458" w:type="pct"/>
          </w:tcPr>
          <w:p w:rsidR="00537BD1" w:rsidRPr="0033558B" w:rsidRDefault="00537BD1" w:rsidP="00537BD1">
            <w:pPr>
              <w:rPr>
                <w:rFonts w:ascii="Arial" w:hAnsi="Arial" w:cs="Arial"/>
                <w:lang w:val="en-US"/>
              </w:rPr>
            </w:pPr>
            <w:r w:rsidRPr="0033558B">
              <w:rPr>
                <w:rFonts w:ascii="Arial" w:hAnsi="Arial" w:cs="Arial"/>
                <w:lang w:val="en-US"/>
              </w:rPr>
              <w:t>0</w:t>
            </w:r>
          </w:p>
        </w:tc>
      </w:tr>
      <w:tr w:rsidR="00537BD1" w:rsidRPr="0033558B" w:rsidTr="00122B3C">
        <w:trPr>
          <w:jc w:val="center"/>
        </w:trPr>
        <w:tc>
          <w:tcPr>
            <w:tcW w:w="884" w:type="pct"/>
            <w:tcBorders>
              <w:top w:val="nil"/>
            </w:tcBorders>
          </w:tcPr>
          <w:p w:rsidR="00537BD1" w:rsidRPr="0033558B" w:rsidRDefault="00537BD1" w:rsidP="00537BD1">
            <w:pPr>
              <w:rPr>
                <w:rFonts w:ascii="Arial" w:hAnsi="Arial" w:cs="Arial"/>
                <w:lang w:val="en-US"/>
              </w:rPr>
            </w:pPr>
            <w:r w:rsidRPr="0033558B">
              <w:rPr>
                <w:rFonts w:ascii="Arial" w:hAnsi="Arial" w:cs="Arial"/>
                <w:lang w:val="en-US"/>
              </w:rPr>
              <w:t>Dermatitis acneiform</w:t>
            </w:r>
          </w:p>
        </w:tc>
        <w:tc>
          <w:tcPr>
            <w:tcW w:w="457" w:type="pct"/>
          </w:tcPr>
          <w:p w:rsidR="00537BD1" w:rsidRPr="0033558B" w:rsidRDefault="00537BD1" w:rsidP="00537BD1">
            <w:pPr>
              <w:rPr>
                <w:rFonts w:ascii="Arial" w:hAnsi="Arial" w:cs="Arial"/>
                <w:lang w:val="en-US"/>
              </w:rPr>
            </w:pPr>
            <w:r w:rsidRPr="0033558B">
              <w:rPr>
                <w:rFonts w:ascii="Arial" w:hAnsi="Arial" w:cs="Arial"/>
                <w:lang w:val="en-US"/>
              </w:rPr>
              <w:t>4</w:t>
            </w:r>
          </w:p>
        </w:tc>
        <w:tc>
          <w:tcPr>
            <w:tcW w:w="457" w:type="pct"/>
          </w:tcPr>
          <w:p w:rsidR="00537BD1" w:rsidRPr="0033558B" w:rsidRDefault="00537BD1" w:rsidP="00537BD1">
            <w:pPr>
              <w:rPr>
                <w:rFonts w:ascii="Arial" w:hAnsi="Arial" w:cs="Arial"/>
                <w:lang w:val="en-US"/>
              </w:rPr>
            </w:pPr>
            <w:r w:rsidRPr="0033558B">
              <w:rPr>
                <w:rFonts w:ascii="Arial" w:hAnsi="Arial" w:cs="Arial"/>
                <w:lang w:val="en-US"/>
              </w:rPr>
              <w:t>0</w:t>
            </w:r>
          </w:p>
        </w:tc>
        <w:tc>
          <w:tcPr>
            <w:tcW w:w="458" w:type="pct"/>
          </w:tcPr>
          <w:p w:rsidR="00537BD1" w:rsidRPr="0033558B" w:rsidRDefault="00537BD1" w:rsidP="00537BD1">
            <w:pPr>
              <w:rPr>
                <w:rFonts w:ascii="Arial" w:hAnsi="Arial" w:cs="Arial"/>
                <w:lang w:val="en-US"/>
              </w:rPr>
            </w:pPr>
            <w:r w:rsidRPr="0033558B">
              <w:rPr>
                <w:rFonts w:ascii="Arial" w:hAnsi="Arial" w:cs="Arial"/>
                <w:lang w:val="en-US"/>
              </w:rPr>
              <w:t>0</w:t>
            </w:r>
          </w:p>
        </w:tc>
        <w:tc>
          <w:tcPr>
            <w:tcW w:w="457" w:type="pct"/>
          </w:tcPr>
          <w:p w:rsidR="00537BD1" w:rsidRPr="0033558B" w:rsidRDefault="00537BD1" w:rsidP="00537BD1">
            <w:pPr>
              <w:rPr>
                <w:rFonts w:ascii="Arial" w:hAnsi="Arial" w:cs="Arial"/>
                <w:lang w:val="en-US"/>
              </w:rPr>
            </w:pPr>
            <w:r w:rsidRPr="0033558B">
              <w:rPr>
                <w:rFonts w:ascii="Arial" w:hAnsi="Arial" w:cs="Arial"/>
                <w:lang w:val="en-US"/>
              </w:rPr>
              <w:t>11</w:t>
            </w:r>
          </w:p>
        </w:tc>
        <w:tc>
          <w:tcPr>
            <w:tcW w:w="458" w:type="pct"/>
          </w:tcPr>
          <w:p w:rsidR="00537BD1" w:rsidRPr="0033558B" w:rsidRDefault="00537BD1" w:rsidP="00537BD1">
            <w:pPr>
              <w:rPr>
                <w:rFonts w:ascii="Arial" w:hAnsi="Arial" w:cs="Arial"/>
                <w:lang w:val="en-US"/>
              </w:rPr>
            </w:pPr>
            <w:r w:rsidRPr="0033558B">
              <w:rPr>
                <w:rFonts w:ascii="Arial" w:hAnsi="Arial" w:cs="Arial"/>
                <w:lang w:val="en-US"/>
              </w:rPr>
              <w:t>0</w:t>
            </w:r>
          </w:p>
        </w:tc>
        <w:tc>
          <w:tcPr>
            <w:tcW w:w="457" w:type="pct"/>
          </w:tcPr>
          <w:p w:rsidR="00537BD1" w:rsidRPr="0033558B" w:rsidRDefault="00537BD1" w:rsidP="00537BD1">
            <w:pPr>
              <w:rPr>
                <w:rFonts w:ascii="Arial" w:hAnsi="Arial" w:cs="Arial"/>
                <w:lang w:val="en-US"/>
              </w:rPr>
            </w:pPr>
            <w:r w:rsidRPr="0033558B">
              <w:rPr>
                <w:rFonts w:ascii="Arial" w:hAnsi="Arial" w:cs="Arial"/>
                <w:lang w:val="en-US"/>
              </w:rPr>
              <w:t>0</w:t>
            </w:r>
          </w:p>
        </w:tc>
        <w:tc>
          <w:tcPr>
            <w:tcW w:w="457" w:type="pct"/>
          </w:tcPr>
          <w:p w:rsidR="00537BD1" w:rsidRPr="0033558B" w:rsidRDefault="00537BD1" w:rsidP="00537BD1">
            <w:pPr>
              <w:rPr>
                <w:rFonts w:ascii="Arial" w:hAnsi="Arial" w:cs="Arial"/>
                <w:lang w:val="en-US"/>
              </w:rPr>
            </w:pPr>
            <w:r w:rsidRPr="0033558B">
              <w:rPr>
                <w:rFonts w:ascii="Arial" w:hAnsi="Arial" w:cs="Arial"/>
                <w:lang w:val="en-US"/>
              </w:rPr>
              <w:t>16</w:t>
            </w:r>
          </w:p>
        </w:tc>
        <w:tc>
          <w:tcPr>
            <w:tcW w:w="457" w:type="pct"/>
          </w:tcPr>
          <w:p w:rsidR="00537BD1" w:rsidRPr="0033558B" w:rsidRDefault="00537BD1" w:rsidP="00537BD1">
            <w:pPr>
              <w:rPr>
                <w:rFonts w:ascii="Arial" w:hAnsi="Arial" w:cs="Arial"/>
                <w:lang w:val="en-US"/>
              </w:rPr>
            </w:pPr>
            <w:r w:rsidRPr="0033558B">
              <w:rPr>
                <w:rFonts w:ascii="Arial" w:hAnsi="Arial" w:cs="Arial"/>
                <w:lang w:val="en-US"/>
              </w:rPr>
              <w:t>0</w:t>
            </w:r>
          </w:p>
        </w:tc>
        <w:tc>
          <w:tcPr>
            <w:tcW w:w="458" w:type="pct"/>
          </w:tcPr>
          <w:p w:rsidR="00537BD1" w:rsidRPr="0033558B" w:rsidRDefault="00537BD1" w:rsidP="00537BD1">
            <w:pPr>
              <w:rPr>
                <w:rFonts w:ascii="Arial" w:hAnsi="Arial" w:cs="Arial"/>
                <w:lang w:val="en-US"/>
              </w:rPr>
            </w:pPr>
            <w:r w:rsidRPr="0033558B">
              <w:rPr>
                <w:rFonts w:ascii="Arial" w:hAnsi="Arial" w:cs="Arial"/>
                <w:lang w:val="en-US"/>
              </w:rPr>
              <w:t>0</w:t>
            </w:r>
          </w:p>
        </w:tc>
      </w:tr>
      <w:tr w:rsidR="00537BD1" w:rsidRPr="0033558B" w:rsidTr="00122B3C">
        <w:trPr>
          <w:jc w:val="center"/>
        </w:trPr>
        <w:tc>
          <w:tcPr>
            <w:tcW w:w="884" w:type="pct"/>
            <w:tcBorders>
              <w:top w:val="nil"/>
            </w:tcBorders>
          </w:tcPr>
          <w:p w:rsidR="00537BD1" w:rsidRPr="0033558B" w:rsidRDefault="00537BD1" w:rsidP="00537BD1">
            <w:pPr>
              <w:rPr>
                <w:rFonts w:ascii="Arial" w:hAnsi="Arial" w:cs="Arial"/>
                <w:lang w:val="en-US"/>
              </w:rPr>
            </w:pPr>
            <w:r w:rsidRPr="0033558B">
              <w:rPr>
                <w:rFonts w:ascii="Arial" w:hAnsi="Arial" w:cs="Arial"/>
                <w:lang w:val="en-US"/>
              </w:rPr>
              <w:t>Actinic keratosis</w:t>
            </w:r>
          </w:p>
        </w:tc>
        <w:tc>
          <w:tcPr>
            <w:tcW w:w="457" w:type="pct"/>
          </w:tcPr>
          <w:p w:rsidR="00537BD1" w:rsidRPr="0033558B" w:rsidRDefault="00537BD1" w:rsidP="00537BD1">
            <w:pPr>
              <w:rPr>
                <w:rFonts w:ascii="Arial" w:hAnsi="Arial" w:cs="Arial"/>
                <w:lang w:val="en-US"/>
              </w:rPr>
            </w:pPr>
            <w:r w:rsidRPr="0033558B">
              <w:rPr>
                <w:rFonts w:ascii="Arial" w:hAnsi="Arial" w:cs="Arial"/>
                <w:lang w:val="en-US"/>
              </w:rPr>
              <w:t>9</w:t>
            </w:r>
          </w:p>
        </w:tc>
        <w:tc>
          <w:tcPr>
            <w:tcW w:w="457" w:type="pct"/>
          </w:tcPr>
          <w:p w:rsidR="00537BD1" w:rsidRPr="0033558B" w:rsidRDefault="00537BD1" w:rsidP="00537BD1">
            <w:pPr>
              <w:rPr>
                <w:rFonts w:ascii="Arial" w:hAnsi="Arial" w:cs="Arial"/>
                <w:lang w:val="en-US"/>
              </w:rPr>
            </w:pPr>
            <w:r w:rsidRPr="0033558B">
              <w:rPr>
                <w:rFonts w:ascii="Arial" w:hAnsi="Arial" w:cs="Arial"/>
                <w:lang w:val="en-US"/>
              </w:rPr>
              <w:t>0</w:t>
            </w:r>
          </w:p>
        </w:tc>
        <w:tc>
          <w:tcPr>
            <w:tcW w:w="458" w:type="pct"/>
          </w:tcPr>
          <w:p w:rsidR="00537BD1" w:rsidRPr="0033558B" w:rsidRDefault="00537BD1" w:rsidP="00537BD1">
            <w:pPr>
              <w:rPr>
                <w:rFonts w:ascii="Arial" w:hAnsi="Arial" w:cs="Arial"/>
                <w:lang w:val="en-US"/>
              </w:rPr>
            </w:pPr>
            <w:r w:rsidRPr="0033558B">
              <w:rPr>
                <w:rFonts w:ascii="Arial" w:hAnsi="Arial" w:cs="Arial"/>
                <w:lang w:val="en-US"/>
              </w:rPr>
              <w:t>0</w:t>
            </w:r>
          </w:p>
        </w:tc>
        <w:tc>
          <w:tcPr>
            <w:tcW w:w="457" w:type="pct"/>
          </w:tcPr>
          <w:p w:rsidR="00537BD1" w:rsidRPr="0033558B" w:rsidRDefault="00537BD1" w:rsidP="00537BD1">
            <w:pPr>
              <w:rPr>
                <w:rFonts w:ascii="Arial" w:hAnsi="Arial" w:cs="Arial"/>
                <w:lang w:val="en-US"/>
              </w:rPr>
            </w:pPr>
            <w:r w:rsidRPr="0033558B">
              <w:rPr>
                <w:rFonts w:ascii="Arial" w:hAnsi="Arial" w:cs="Arial"/>
                <w:lang w:val="en-US"/>
              </w:rPr>
              <w:t>7</w:t>
            </w:r>
          </w:p>
        </w:tc>
        <w:tc>
          <w:tcPr>
            <w:tcW w:w="458" w:type="pct"/>
          </w:tcPr>
          <w:p w:rsidR="00537BD1" w:rsidRPr="0033558B" w:rsidRDefault="00537BD1" w:rsidP="00537BD1">
            <w:pPr>
              <w:rPr>
                <w:rFonts w:ascii="Arial" w:hAnsi="Arial" w:cs="Arial"/>
                <w:lang w:val="en-US"/>
              </w:rPr>
            </w:pPr>
            <w:r w:rsidRPr="0033558B">
              <w:rPr>
                <w:rFonts w:ascii="Arial" w:hAnsi="Arial" w:cs="Arial"/>
                <w:lang w:val="en-US"/>
              </w:rPr>
              <w:t>0</w:t>
            </w:r>
          </w:p>
        </w:tc>
        <w:tc>
          <w:tcPr>
            <w:tcW w:w="457" w:type="pct"/>
          </w:tcPr>
          <w:p w:rsidR="00537BD1" w:rsidRPr="0033558B" w:rsidRDefault="00537BD1" w:rsidP="00537BD1">
            <w:pPr>
              <w:rPr>
                <w:rFonts w:ascii="Arial" w:hAnsi="Arial" w:cs="Arial"/>
                <w:lang w:val="en-US"/>
              </w:rPr>
            </w:pPr>
            <w:r w:rsidRPr="0033558B">
              <w:rPr>
                <w:rFonts w:ascii="Arial" w:hAnsi="Arial" w:cs="Arial"/>
                <w:lang w:val="en-US"/>
              </w:rPr>
              <w:t>0</w:t>
            </w:r>
          </w:p>
        </w:tc>
        <w:tc>
          <w:tcPr>
            <w:tcW w:w="457" w:type="pct"/>
          </w:tcPr>
          <w:p w:rsidR="00537BD1" w:rsidRPr="0033558B" w:rsidRDefault="00537BD1" w:rsidP="00537BD1">
            <w:pPr>
              <w:rPr>
                <w:rFonts w:ascii="Arial" w:hAnsi="Arial" w:cs="Arial"/>
                <w:lang w:val="en-US"/>
              </w:rPr>
            </w:pPr>
            <w:r w:rsidRPr="0033558B">
              <w:rPr>
                <w:rFonts w:ascii="Arial" w:hAnsi="Arial" w:cs="Arial"/>
                <w:lang w:val="en-US"/>
              </w:rPr>
              <w:t>15</w:t>
            </w:r>
          </w:p>
        </w:tc>
        <w:tc>
          <w:tcPr>
            <w:tcW w:w="457" w:type="pct"/>
          </w:tcPr>
          <w:p w:rsidR="00537BD1" w:rsidRPr="0033558B" w:rsidRDefault="00537BD1" w:rsidP="00537BD1">
            <w:pPr>
              <w:rPr>
                <w:rFonts w:ascii="Arial" w:hAnsi="Arial" w:cs="Arial"/>
                <w:lang w:val="en-US"/>
              </w:rPr>
            </w:pPr>
            <w:r w:rsidRPr="0033558B">
              <w:rPr>
                <w:rFonts w:ascii="Arial" w:hAnsi="Arial" w:cs="Arial"/>
                <w:lang w:val="en-US"/>
              </w:rPr>
              <w:t>0</w:t>
            </w:r>
          </w:p>
        </w:tc>
        <w:tc>
          <w:tcPr>
            <w:tcW w:w="458" w:type="pct"/>
          </w:tcPr>
          <w:p w:rsidR="00537BD1" w:rsidRPr="0033558B" w:rsidRDefault="00537BD1" w:rsidP="00537BD1">
            <w:pPr>
              <w:rPr>
                <w:rFonts w:ascii="Arial" w:hAnsi="Arial" w:cs="Arial"/>
                <w:lang w:val="en-US"/>
              </w:rPr>
            </w:pPr>
            <w:r w:rsidRPr="0033558B">
              <w:rPr>
                <w:rFonts w:ascii="Arial" w:hAnsi="Arial" w:cs="Arial"/>
                <w:lang w:val="en-US"/>
              </w:rPr>
              <w:t>0</w:t>
            </w:r>
          </w:p>
        </w:tc>
      </w:tr>
      <w:tr w:rsidR="00537BD1" w:rsidRPr="0033558B" w:rsidTr="00122B3C">
        <w:trPr>
          <w:jc w:val="center"/>
        </w:trPr>
        <w:tc>
          <w:tcPr>
            <w:tcW w:w="884" w:type="pct"/>
            <w:tcBorders>
              <w:top w:val="nil"/>
            </w:tcBorders>
          </w:tcPr>
          <w:p w:rsidR="00537BD1" w:rsidRPr="0033558B" w:rsidRDefault="00537BD1" w:rsidP="00537BD1">
            <w:pPr>
              <w:rPr>
                <w:rFonts w:ascii="Arial" w:hAnsi="Arial" w:cs="Arial"/>
                <w:lang w:val="en-US"/>
              </w:rPr>
            </w:pPr>
            <w:r w:rsidRPr="0033558B">
              <w:rPr>
                <w:rFonts w:ascii="Arial" w:hAnsi="Arial" w:cs="Arial"/>
                <w:lang w:val="en-US"/>
              </w:rPr>
              <w:t>Erythema</w:t>
            </w:r>
          </w:p>
        </w:tc>
        <w:tc>
          <w:tcPr>
            <w:tcW w:w="457" w:type="pct"/>
          </w:tcPr>
          <w:p w:rsidR="00537BD1" w:rsidRPr="0033558B" w:rsidRDefault="00537BD1" w:rsidP="00537BD1">
            <w:pPr>
              <w:rPr>
                <w:rFonts w:ascii="Arial" w:hAnsi="Arial" w:cs="Arial"/>
                <w:lang w:val="en-US"/>
              </w:rPr>
            </w:pPr>
            <w:r w:rsidRPr="0033558B">
              <w:rPr>
                <w:rFonts w:ascii="Arial" w:hAnsi="Arial" w:cs="Arial"/>
                <w:lang w:val="en-US"/>
              </w:rPr>
              <w:t>2</w:t>
            </w:r>
          </w:p>
        </w:tc>
        <w:tc>
          <w:tcPr>
            <w:tcW w:w="457" w:type="pct"/>
          </w:tcPr>
          <w:p w:rsidR="00537BD1" w:rsidRPr="0033558B" w:rsidRDefault="00537BD1" w:rsidP="00537BD1">
            <w:pPr>
              <w:rPr>
                <w:rFonts w:ascii="Arial" w:hAnsi="Arial" w:cs="Arial"/>
                <w:lang w:val="en-US"/>
              </w:rPr>
            </w:pPr>
            <w:r w:rsidRPr="0033558B">
              <w:rPr>
                <w:rFonts w:ascii="Arial" w:hAnsi="Arial" w:cs="Arial"/>
                <w:lang w:val="en-US"/>
              </w:rPr>
              <w:t>0</w:t>
            </w:r>
          </w:p>
        </w:tc>
        <w:tc>
          <w:tcPr>
            <w:tcW w:w="458" w:type="pct"/>
          </w:tcPr>
          <w:p w:rsidR="00537BD1" w:rsidRPr="0033558B" w:rsidRDefault="00537BD1" w:rsidP="00537BD1">
            <w:pPr>
              <w:rPr>
                <w:rFonts w:ascii="Arial" w:hAnsi="Arial" w:cs="Arial"/>
                <w:lang w:val="en-US"/>
              </w:rPr>
            </w:pPr>
            <w:r w:rsidRPr="0033558B">
              <w:rPr>
                <w:rFonts w:ascii="Arial" w:hAnsi="Arial" w:cs="Arial"/>
                <w:lang w:val="en-US"/>
              </w:rPr>
              <w:t>0</w:t>
            </w:r>
          </w:p>
        </w:tc>
        <w:tc>
          <w:tcPr>
            <w:tcW w:w="457" w:type="pct"/>
          </w:tcPr>
          <w:p w:rsidR="00537BD1" w:rsidRPr="0033558B" w:rsidRDefault="00537BD1" w:rsidP="00537BD1">
            <w:pPr>
              <w:rPr>
                <w:rFonts w:ascii="Arial" w:hAnsi="Arial" w:cs="Arial"/>
                <w:lang w:val="en-US"/>
              </w:rPr>
            </w:pPr>
            <w:r w:rsidRPr="0033558B">
              <w:rPr>
                <w:rFonts w:ascii="Arial" w:hAnsi="Arial" w:cs="Arial"/>
                <w:lang w:val="en-US"/>
              </w:rPr>
              <w:t>6</w:t>
            </w:r>
          </w:p>
        </w:tc>
        <w:tc>
          <w:tcPr>
            <w:tcW w:w="458" w:type="pct"/>
          </w:tcPr>
          <w:p w:rsidR="00537BD1" w:rsidRPr="0033558B" w:rsidRDefault="00537BD1" w:rsidP="00537BD1">
            <w:pPr>
              <w:rPr>
                <w:rFonts w:ascii="Arial" w:hAnsi="Arial" w:cs="Arial"/>
                <w:lang w:val="en-US"/>
              </w:rPr>
            </w:pPr>
            <w:r w:rsidRPr="0033558B">
              <w:rPr>
                <w:rFonts w:ascii="Arial" w:hAnsi="Arial" w:cs="Arial"/>
                <w:lang w:val="en-US"/>
              </w:rPr>
              <w:t>0</w:t>
            </w:r>
          </w:p>
        </w:tc>
        <w:tc>
          <w:tcPr>
            <w:tcW w:w="457" w:type="pct"/>
          </w:tcPr>
          <w:p w:rsidR="00537BD1" w:rsidRPr="0033558B" w:rsidRDefault="00537BD1" w:rsidP="00537BD1">
            <w:pPr>
              <w:rPr>
                <w:rFonts w:ascii="Arial" w:hAnsi="Arial" w:cs="Arial"/>
                <w:lang w:val="en-US"/>
              </w:rPr>
            </w:pPr>
            <w:r w:rsidRPr="0033558B">
              <w:rPr>
                <w:rFonts w:ascii="Arial" w:hAnsi="Arial" w:cs="Arial"/>
                <w:lang w:val="en-US"/>
              </w:rPr>
              <w:t>0</w:t>
            </w:r>
          </w:p>
        </w:tc>
        <w:tc>
          <w:tcPr>
            <w:tcW w:w="457" w:type="pct"/>
          </w:tcPr>
          <w:p w:rsidR="00537BD1" w:rsidRPr="0033558B" w:rsidRDefault="00537BD1" w:rsidP="00537BD1">
            <w:pPr>
              <w:rPr>
                <w:rFonts w:ascii="Arial" w:hAnsi="Arial" w:cs="Arial"/>
                <w:lang w:val="en-US"/>
              </w:rPr>
            </w:pPr>
            <w:r w:rsidRPr="0033558B">
              <w:rPr>
                <w:rFonts w:ascii="Arial" w:hAnsi="Arial" w:cs="Arial"/>
                <w:lang w:val="en-US"/>
              </w:rPr>
              <w:t>15</w:t>
            </w:r>
          </w:p>
        </w:tc>
        <w:tc>
          <w:tcPr>
            <w:tcW w:w="457" w:type="pct"/>
          </w:tcPr>
          <w:p w:rsidR="00537BD1" w:rsidRPr="0033558B" w:rsidRDefault="00537BD1" w:rsidP="00537BD1">
            <w:pPr>
              <w:rPr>
                <w:rFonts w:ascii="Arial" w:hAnsi="Arial" w:cs="Arial"/>
                <w:lang w:val="en-US"/>
              </w:rPr>
            </w:pPr>
            <w:r w:rsidRPr="0033558B">
              <w:rPr>
                <w:rFonts w:ascii="Arial" w:hAnsi="Arial" w:cs="Arial"/>
                <w:lang w:val="en-US"/>
              </w:rPr>
              <w:t>0</w:t>
            </w:r>
          </w:p>
        </w:tc>
        <w:tc>
          <w:tcPr>
            <w:tcW w:w="458" w:type="pct"/>
          </w:tcPr>
          <w:p w:rsidR="00537BD1" w:rsidRPr="0033558B" w:rsidRDefault="00537BD1" w:rsidP="00537BD1">
            <w:pPr>
              <w:rPr>
                <w:rFonts w:ascii="Arial" w:hAnsi="Arial" w:cs="Arial"/>
                <w:lang w:val="en-US"/>
              </w:rPr>
            </w:pPr>
            <w:r w:rsidRPr="0033558B">
              <w:rPr>
                <w:rFonts w:ascii="Arial" w:hAnsi="Arial" w:cs="Arial"/>
                <w:lang w:val="en-US"/>
              </w:rPr>
              <w:t>0</w:t>
            </w:r>
          </w:p>
        </w:tc>
      </w:tr>
      <w:tr w:rsidR="0033558B" w:rsidRPr="0033558B" w:rsidTr="00122B3C">
        <w:trPr>
          <w:jc w:val="center"/>
        </w:trPr>
        <w:tc>
          <w:tcPr>
            <w:tcW w:w="884" w:type="pct"/>
            <w:tcBorders>
              <w:top w:val="nil"/>
            </w:tcBorders>
          </w:tcPr>
          <w:p w:rsidR="0033558B" w:rsidRPr="0033558B" w:rsidRDefault="0033558B" w:rsidP="00537BD1">
            <w:pPr>
              <w:rPr>
                <w:rFonts w:ascii="Arial" w:hAnsi="Arial" w:cs="Arial"/>
                <w:lang w:val="en-US"/>
              </w:rPr>
            </w:pPr>
            <w:r w:rsidRPr="0033558B">
              <w:rPr>
                <w:rFonts w:ascii="Arial" w:hAnsi="Arial" w:cs="Arial"/>
              </w:rPr>
              <w:t>Pruritus</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13</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11</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11</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r>
      <w:tr w:rsidR="0033558B" w:rsidRPr="0033558B" w:rsidTr="00122B3C">
        <w:trPr>
          <w:jc w:val="center"/>
        </w:trPr>
        <w:tc>
          <w:tcPr>
            <w:tcW w:w="884" w:type="pct"/>
            <w:tcBorders>
              <w:top w:val="nil"/>
            </w:tcBorders>
          </w:tcPr>
          <w:p w:rsidR="0033558B" w:rsidRPr="0033558B" w:rsidRDefault="0033558B" w:rsidP="00537BD1">
            <w:pPr>
              <w:rPr>
                <w:rFonts w:ascii="Arial" w:hAnsi="Arial" w:cs="Arial"/>
                <w:lang w:val="en-US"/>
              </w:rPr>
            </w:pPr>
            <w:r w:rsidRPr="0033558B">
              <w:rPr>
                <w:rFonts w:ascii="Arial" w:hAnsi="Arial" w:cs="Arial"/>
              </w:rPr>
              <w:t>Rash generalized</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8</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4</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2</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11</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r>
      <w:tr w:rsidR="00537BD1" w:rsidRPr="0033558B" w:rsidTr="00E869DF">
        <w:trPr>
          <w:jc w:val="center"/>
        </w:trPr>
        <w:tc>
          <w:tcPr>
            <w:tcW w:w="5000" w:type="pct"/>
            <w:gridSpan w:val="10"/>
            <w:tcBorders>
              <w:top w:val="nil"/>
            </w:tcBorders>
          </w:tcPr>
          <w:p w:rsidR="00537BD1" w:rsidRPr="0033558B" w:rsidRDefault="00537BD1" w:rsidP="00537BD1">
            <w:pPr>
              <w:rPr>
                <w:rFonts w:ascii="Arial" w:hAnsi="Arial" w:cs="Arial"/>
                <w:lang w:val="en-US"/>
              </w:rPr>
            </w:pPr>
            <w:r w:rsidRPr="0033558B">
              <w:rPr>
                <w:rFonts w:ascii="Arial" w:hAnsi="Arial" w:cs="Arial"/>
                <w:b/>
                <w:lang w:val="en-US"/>
              </w:rPr>
              <w:t>Metabolism and nutritional disorders</w:t>
            </w:r>
          </w:p>
        </w:tc>
      </w:tr>
      <w:tr w:rsidR="00537BD1" w:rsidRPr="0033558B" w:rsidTr="00122B3C">
        <w:trPr>
          <w:cantSplit/>
          <w:jc w:val="center"/>
        </w:trPr>
        <w:tc>
          <w:tcPr>
            <w:tcW w:w="884" w:type="pct"/>
            <w:tcBorders>
              <w:top w:val="nil"/>
            </w:tcBorders>
          </w:tcPr>
          <w:p w:rsidR="00537BD1" w:rsidRPr="0033558B" w:rsidRDefault="00537BD1" w:rsidP="00537BD1">
            <w:pPr>
              <w:rPr>
                <w:rFonts w:ascii="Arial" w:hAnsi="Arial" w:cs="Arial"/>
                <w:lang w:val="en-US"/>
              </w:rPr>
            </w:pPr>
            <w:r w:rsidRPr="0033558B">
              <w:rPr>
                <w:rFonts w:ascii="Arial" w:hAnsi="Arial" w:cs="Arial"/>
                <w:lang w:val="en-US"/>
              </w:rPr>
              <w:t>Decreased appetite</w:t>
            </w:r>
          </w:p>
        </w:tc>
        <w:tc>
          <w:tcPr>
            <w:tcW w:w="457" w:type="pct"/>
          </w:tcPr>
          <w:p w:rsidR="00537BD1" w:rsidRPr="0033558B" w:rsidRDefault="00537BD1" w:rsidP="00537BD1">
            <w:pPr>
              <w:rPr>
                <w:rFonts w:ascii="Arial" w:hAnsi="Arial" w:cs="Arial"/>
                <w:lang w:val="en-US"/>
              </w:rPr>
            </w:pPr>
            <w:r w:rsidRPr="0033558B">
              <w:rPr>
                <w:rFonts w:ascii="Arial" w:hAnsi="Arial" w:cs="Arial"/>
                <w:lang w:val="en-US"/>
              </w:rPr>
              <w:t>19</w:t>
            </w:r>
          </w:p>
        </w:tc>
        <w:tc>
          <w:tcPr>
            <w:tcW w:w="457" w:type="pct"/>
          </w:tcPr>
          <w:p w:rsidR="00537BD1" w:rsidRPr="0033558B" w:rsidRDefault="00537BD1" w:rsidP="00537BD1">
            <w:pPr>
              <w:rPr>
                <w:rFonts w:ascii="Arial" w:hAnsi="Arial" w:cs="Arial"/>
                <w:lang w:val="en-US"/>
              </w:rPr>
            </w:pPr>
            <w:r w:rsidRPr="0033558B">
              <w:rPr>
                <w:rFonts w:ascii="Arial" w:hAnsi="Arial" w:cs="Arial"/>
                <w:lang w:val="en-US"/>
              </w:rPr>
              <w:t>0</w:t>
            </w:r>
          </w:p>
        </w:tc>
        <w:tc>
          <w:tcPr>
            <w:tcW w:w="458" w:type="pct"/>
          </w:tcPr>
          <w:p w:rsidR="00537BD1" w:rsidRPr="0033558B" w:rsidRDefault="00537BD1" w:rsidP="00537BD1">
            <w:pPr>
              <w:rPr>
                <w:rFonts w:ascii="Arial" w:hAnsi="Arial" w:cs="Arial"/>
                <w:lang w:val="en-US"/>
              </w:rPr>
            </w:pPr>
            <w:r w:rsidRPr="0033558B">
              <w:rPr>
                <w:rFonts w:ascii="Arial" w:hAnsi="Arial" w:cs="Arial"/>
                <w:lang w:val="en-US"/>
              </w:rPr>
              <w:t>0</w:t>
            </w:r>
          </w:p>
        </w:tc>
        <w:tc>
          <w:tcPr>
            <w:tcW w:w="457" w:type="pct"/>
          </w:tcPr>
          <w:p w:rsidR="00537BD1" w:rsidRPr="0033558B" w:rsidRDefault="00537BD1" w:rsidP="00537BD1">
            <w:pPr>
              <w:rPr>
                <w:rFonts w:ascii="Arial" w:hAnsi="Arial" w:cs="Arial"/>
                <w:lang w:val="en-US"/>
              </w:rPr>
            </w:pPr>
            <w:r w:rsidRPr="0033558B">
              <w:rPr>
                <w:rFonts w:ascii="Arial" w:hAnsi="Arial" w:cs="Arial"/>
                <w:lang w:val="en-US"/>
              </w:rPr>
              <w:t>30</w:t>
            </w:r>
          </w:p>
        </w:tc>
        <w:tc>
          <w:tcPr>
            <w:tcW w:w="458" w:type="pct"/>
          </w:tcPr>
          <w:p w:rsidR="00537BD1" w:rsidRPr="0033558B" w:rsidRDefault="00537BD1" w:rsidP="00537BD1">
            <w:pPr>
              <w:rPr>
                <w:rFonts w:ascii="Arial" w:hAnsi="Arial" w:cs="Arial"/>
                <w:lang w:val="en-US"/>
              </w:rPr>
            </w:pPr>
            <w:r w:rsidRPr="0033558B">
              <w:rPr>
                <w:rFonts w:ascii="Arial" w:hAnsi="Arial" w:cs="Arial"/>
                <w:lang w:val="en-US"/>
              </w:rPr>
              <w:t>0</w:t>
            </w:r>
          </w:p>
        </w:tc>
        <w:tc>
          <w:tcPr>
            <w:tcW w:w="457" w:type="pct"/>
          </w:tcPr>
          <w:p w:rsidR="00537BD1" w:rsidRPr="0033558B" w:rsidRDefault="00537BD1" w:rsidP="00537BD1">
            <w:pPr>
              <w:rPr>
                <w:rFonts w:ascii="Arial" w:hAnsi="Arial" w:cs="Arial"/>
                <w:lang w:val="en-US"/>
              </w:rPr>
            </w:pPr>
            <w:r w:rsidRPr="0033558B">
              <w:rPr>
                <w:rFonts w:ascii="Arial" w:hAnsi="Arial" w:cs="Arial"/>
                <w:lang w:val="en-US"/>
              </w:rPr>
              <w:t>0</w:t>
            </w:r>
          </w:p>
        </w:tc>
        <w:tc>
          <w:tcPr>
            <w:tcW w:w="457" w:type="pct"/>
          </w:tcPr>
          <w:p w:rsidR="00537BD1" w:rsidRPr="0033558B" w:rsidRDefault="00537BD1" w:rsidP="00537BD1">
            <w:pPr>
              <w:rPr>
                <w:rFonts w:ascii="Arial" w:hAnsi="Arial" w:cs="Arial"/>
                <w:lang w:val="en-US"/>
              </w:rPr>
            </w:pPr>
            <w:r w:rsidRPr="0033558B">
              <w:rPr>
                <w:rFonts w:ascii="Arial" w:hAnsi="Arial" w:cs="Arial"/>
                <w:lang w:val="en-US"/>
              </w:rPr>
              <w:t>22</w:t>
            </w:r>
          </w:p>
        </w:tc>
        <w:tc>
          <w:tcPr>
            <w:tcW w:w="457" w:type="pct"/>
          </w:tcPr>
          <w:p w:rsidR="00537BD1" w:rsidRPr="0033558B" w:rsidRDefault="00537BD1" w:rsidP="00537BD1">
            <w:pPr>
              <w:rPr>
                <w:rFonts w:ascii="Arial" w:hAnsi="Arial" w:cs="Arial"/>
                <w:lang w:val="en-US"/>
              </w:rPr>
            </w:pPr>
            <w:r w:rsidRPr="0033558B">
              <w:rPr>
                <w:rFonts w:ascii="Arial" w:hAnsi="Arial" w:cs="Arial"/>
                <w:lang w:val="en-US"/>
              </w:rPr>
              <w:t>0</w:t>
            </w:r>
          </w:p>
        </w:tc>
        <w:tc>
          <w:tcPr>
            <w:tcW w:w="458" w:type="pct"/>
          </w:tcPr>
          <w:p w:rsidR="00537BD1" w:rsidRPr="0033558B" w:rsidRDefault="00537BD1" w:rsidP="00537BD1">
            <w:pPr>
              <w:rPr>
                <w:rFonts w:ascii="Arial" w:hAnsi="Arial" w:cs="Arial"/>
                <w:lang w:val="en-US"/>
              </w:rPr>
            </w:pPr>
            <w:r w:rsidRPr="0033558B">
              <w:rPr>
                <w:rFonts w:ascii="Arial" w:hAnsi="Arial" w:cs="Arial"/>
                <w:lang w:val="en-US"/>
              </w:rPr>
              <w:t>0</w:t>
            </w:r>
          </w:p>
        </w:tc>
      </w:tr>
      <w:tr w:rsidR="0033558B" w:rsidRPr="0033558B" w:rsidTr="00122B3C">
        <w:trPr>
          <w:cantSplit/>
          <w:jc w:val="center"/>
        </w:trPr>
        <w:tc>
          <w:tcPr>
            <w:tcW w:w="884" w:type="pct"/>
            <w:tcBorders>
              <w:top w:val="nil"/>
            </w:tcBorders>
          </w:tcPr>
          <w:p w:rsidR="0033558B" w:rsidRPr="0033558B" w:rsidRDefault="0033558B" w:rsidP="00537BD1">
            <w:pPr>
              <w:rPr>
                <w:rFonts w:ascii="Arial" w:hAnsi="Arial" w:cs="Arial"/>
                <w:lang w:val="en-US"/>
              </w:rPr>
            </w:pPr>
            <w:r w:rsidRPr="0033558B">
              <w:rPr>
                <w:rFonts w:ascii="Arial" w:hAnsi="Arial" w:cs="Arial"/>
              </w:rPr>
              <w:t>Dehydration</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2</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6</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2</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11</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r>
      <w:tr w:rsidR="0033558B" w:rsidRPr="0033558B" w:rsidTr="00E869DF">
        <w:trPr>
          <w:jc w:val="center"/>
        </w:trPr>
        <w:tc>
          <w:tcPr>
            <w:tcW w:w="5000" w:type="pct"/>
            <w:gridSpan w:val="10"/>
            <w:tcBorders>
              <w:top w:val="nil"/>
            </w:tcBorders>
          </w:tcPr>
          <w:p w:rsidR="0033558B" w:rsidRPr="0033558B" w:rsidRDefault="0033558B" w:rsidP="00537BD1">
            <w:pPr>
              <w:rPr>
                <w:rFonts w:ascii="Arial" w:hAnsi="Arial" w:cs="Arial"/>
                <w:lang w:val="en-US"/>
              </w:rPr>
            </w:pPr>
            <w:r w:rsidRPr="0033558B">
              <w:rPr>
                <w:rFonts w:ascii="Arial" w:hAnsi="Arial" w:cs="Arial"/>
                <w:b/>
                <w:lang w:val="en-US"/>
              </w:rPr>
              <w:t>Nervous system disorders</w:t>
            </w:r>
          </w:p>
        </w:tc>
      </w:tr>
      <w:tr w:rsidR="0033558B" w:rsidRPr="0033558B" w:rsidTr="00122B3C">
        <w:trPr>
          <w:jc w:val="center"/>
        </w:trPr>
        <w:tc>
          <w:tcPr>
            <w:tcW w:w="884" w:type="pct"/>
            <w:tcBorders>
              <w:top w:val="nil"/>
            </w:tcBorders>
          </w:tcPr>
          <w:p w:rsidR="0033558B" w:rsidRPr="0033558B" w:rsidRDefault="0033558B" w:rsidP="00537BD1">
            <w:pPr>
              <w:rPr>
                <w:rFonts w:ascii="Arial" w:hAnsi="Arial" w:cs="Arial"/>
                <w:lang w:val="en-US"/>
              </w:rPr>
            </w:pPr>
            <w:r w:rsidRPr="0033558B">
              <w:rPr>
                <w:rFonts w:ascii="Arial" w:hAnsi="Arial" w:cs="Arial"/>
                <w:lang w:val="en-US"/>
              </w:rPr>
              <w:t>Headache</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28</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37</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2</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29</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r>
      <w:tr w:rsidR="0033558B" w:rsidRPr="0033558B" w:rsidTr="00122B3C">
        <w:trPr>
          <w:jc w:val="center"/>
        </w:trPr>
        <w:tc>
          <w:tcPr>
            <w:tcW w:w="884" w:type="pct"/>
            <w:tcBorders>
              <w:top w:val="nil"/>
            </w:tcBorders>
          </w:tcPr>
          <w:p w:rsidR="0033558B" w:rsidRPr="0033558B" w:rsidRDefault="0033558B" w:rsidP="00537BD1">
            <w:pPr>
              <w:rPr>
                <w:rFonts w:ascii="Arial" w:hAnsi="Arial" w:cs="Arial"/>
                <w:lang w:val="en-US"/>
              </w:rPr>
            </w:pPr>
            <w:r w:rsidRPr="0033558B">
              <w:rPr>
                <w:rFonts w:ascii="Arial" w:hAnsi="Arial" w:cs="Arial"/>
                <w:lang w:val="en-US"/>
              </w:rPr>
              <w:t>Dizziness</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9</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13</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16</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r>
      <w:tr w:rsidR="00122B3C" w:rsidRPr="0033558B" w:rsidTr="00122B3C">
        <w:trPr>
          <w:jc w:val="center"/>
        </w:trPr>
        <w:tc>
          <w:tcPr>
            <w:tcW w:w="5000" w:type="pct"/>
            <w:gridSpan w:val="10"/>
            <w:tcBorders>
              <w:top w:val="nil"/>
            </w:tcBorders>
          </w:tcPr>
          <w:p w:rsidR="00122B3C" w:rsidRPr="00122B3C" w:rsidRDefault="00B965EB" w:rsidP="00537BD1">
            <w:pPr>
              <w:rPr>
                <w:rFonts w:ascii="Arial" w:hAnsi="Arial" w:cs="Arial"/>
                <w:b/>
                <w:lang w:val="en-US"/>
              </w:rPr>
            </w:pPr>
            <w:r w:rsidRPr="00B965EB">
              <w:rPr>
                <w:rFonts w:ascii="Arial" w:hAnsi="Arial" w:cs="Arial"/>
                <w:b/>
                <w:lang w:val="en-US"/>
              </w:rPr>
              <w:t>Vascular Disorders</w:t>
            </w:r>
          </w:p>
        </w:tc>
      </w:tr>
      <w:tr w:rsidR="00122B3C" w:rsidRPr="0033558B" w:rsidTr="00122B3C">
        <w:trPr>
          <w:jc w:val="center"/>
        </w:trPr>
        <w:tc>
          <w:tcPr>
            <w:tcW w:w="884" w:type="pct"/>
            <w:tcBorders>
              <w:top w:val="nil"/>
            </w:tcBorders>
          </w:tcPr>
          <w:p w:rsidR="00122B3C" w:rsidRPr="0033558B" w:rsidRDefault="00122B3C" w:rsidP="00537BD1">
            <w:pPr>
              <w:rPr>
                <w:rFonts w:ascii="Arial" w:hAnsi="Arial" w:cs="Arial"/>
                <w:lang w:val="en-US"/>
              </w:rPr>
            </w:pPr>
            <w:r>
              <w:rPr>
                <w:rFonts w:ascii="Arial" w:hAnsi="Arial" w:cs="Arial"/>
                <w:lang w:val="en-US"/>
              </w:rPr>
              <w:t>Haemorrhage</w:t>
            </w:r>
            <w:r w:rsidR="00B965EB" w:rsidRPr="00B965EB">
              <w:rPr>
                <w:rFonts w:ascii="Arial" w:hAnsi="Arial" w:cs="Arial"/>
                <w:vertAlign w:val="superscript"/>
                <w:lang w:val="en-US"/>
              </w:rPr>
              <w:t>b</w:t>
            </w:r>
          </w:p>
        </w:tc>
        <w:tc>
          <w:tcPr>
            <w:tcW w:w="457" w:type="pct"/>
          </w:tcPr>
          <w:p w:rsidR="00122B3C" w:rsidRPr="0033558B" w:rsidRDefault="005361DD" w:rsidP="00537BD1">
            <w:pPr>
              <w:rPr>
                <w:rFonts w:ascii="Arial" w:hAnsi="Arial" w:cs="Arial"/>
                <w:lang w:val="en-US"/>
              </w:rPr>
            </w:pPr>
            <w:r>
              <w:rPr>
                <w:rFonts w:ascii="Arial" w:hAnsi="Arial" w:cs="Arial"/>
                <w:lang w:val="en-US"/>
              </w:rPr>
              <w:t>2</w:t>
            </w:r>
          </w:p>
        </w:tc>
        <w:tc>
          <w:tcPr>
            <w:tcW w:w="457" w:type="pct"/>
          </w:tcPr>
          <w:p w:rsidR="00122B3C" w:rsidRPr="0033558B" w:rsidRDefault="005361DD" w:rsidP="00537BD1">
            <w:pPr>
              <w:rPr>
                <w:rFonts w:ascii="Arial" w:hAnsi="Arial" w:cs="Arial"/>
                <w:lang w:val="en-US"/>
              </w:rPr>
            </w:pPr>
            <w:r>
              <w:rPr>
                <w:rFonts w:ascii="Arial" w:hAnsi="Arial" w:cs="Arial"/>
                <w:lang w:val="en-US"/>
              </w:rPr>
              <w:t>0</w:t>
            </w:r>
          </w:p>
        </w:tc>
        <w:tc>
          <w:tcPr>
            <w:tcW w:w="458" w:type="pct"/>
          </w:tcPr>
          <w:p w:rsidR="00122B3C" w:rsidRPr="0033558B" w:rsidRDefault="005361DD" w:rsidP="00537BD1">
            <w:pPr>
              <w:rPr>
                <w:rFonts w:ascii="Arial" w:hAnsi="Arial" w:cs="Arial"/>
                <w:lang w:val="en-US"/>
              </w:rPr>
            </w:pPr>
            <w:r>
              <w:rPr>
                <w:rFonts w:ascii="Arial" w:hAnsi="Arial" w:cs="Arial"/>
                <w:lang w:val="en-US"/>
              </w:rPr>
              <w:t>0</w:t>
            </w:r>
          </w:p>
        </w:tc>
        <w:tc>
          <w:tcPr>
            <w:tcW w:w="457" w:type="pct"/>
          </w:tcPr>
          <w:p w:rsidR="00122B3C" w:rsidRPr="0033558B" w:rsidRDefault="005361DD" w:rsidP="00537BD1">
            <w:pPr>
              <w:rPr>
                <w:rFonts w:ascii="Arial" w:hAnsi="Arial" w:cs="Arial"/>
                <w:lang w:val="en-US"/>
              </w:rPr>
            </w:pPr>
            <w:r>
              <w:rPr>
                <w:rFonts w:ascii="Arial" w:hAnsi="Arial" w:cs="Arial"/>
                <w:lang w:val="en-US"/>
              </w:rPr>
              <w:t>11</w:t>
            </w:r>
          </w:p>
        </w:tc>
        <w:tc>
          <w:tcPr>
            <w:tcW w:w="458" w:type="pct"/>
          </w:tcPr>
          <w:p w:rsidR="00122B3C" w:rsidRPr="0033558B" w:rsidRDefault="005361DD" w:rsidP="00537BD1">
            <w:pPr>
              <w:rPr>
                <w:rFonts w:ascii="Arial" w:hAnsi="Arial" w:cs="Arial"/>
                <w:lang w:val="en-US"/>
              </w:rPr>
            </w:pPr>
            <w:r>
              <w:rPr>
                <w:rFonts w:ascii="Arial" w:hAnsi="Arial" w:cs="Arial"/>
                <w:lang w:val="en-US"/>
              </w:rPr>
              <w:t>0</w:t>
            </w:r>
          </w:p>
        </w:tc>
        <w:tc>
          <w:tcPr>
            <w:tcW w:w="457" w:type="pct"/>
          </w:tcPr>
          <w:p w:rsidR="00122B3C" w:rsidRPr="0033558B" w:rsidRDefault="005361DD" w:rsidP="00537BD1">
            <w:pPr>
              <w:rPr>
                <w:rFonts w:ascii="Arial" w:hAnsi="Arial" w:cs="Arial"/>
                <w:lang w:val="en-US"/>
              </w:rPr>
            </w:pPr>
            <w:r>
              <w:rPr>
                <w:rFonts w:ascii="Arial" w:hAnsi="Arial" w:cs="Arial"/>
                <w:lang w:val="en-US"/>
              </w:rPr>
              <w:t>0</w:t>
            </w:r>
          </w:p>
        </w:tc>
        <w:tc>
          <w:tcPr>
            <w:tcW w:w="457" w:type="pct"/>
          </w:tcPr>
          <w:p w:rsidR="00122B3C" w:rsidRPr="0033558B" w:rsidRDefault="005361DD" w:rsidP="00537BD1">
            <w:pPr>
              <w:rPr>
                <w:rFonts w:ascii="Arial" w:hAnsi="Arial" w:cs="Arial"/>
                <w:lang w:val="en-US"/>
              </w:rPr>
            </w:pPr>
            <w:r>
              <w:rPr>
                <w:rFonts w:ascii="Arial" w:hAnsi="Arial" w:cs="Arial"/>
                <w:lang w:val="en-US"/>
              </w:rPr>
              <w:t>16</w:t>
            </w:r>
          </w:p>
        </w:tc>
        <w:tc>
          <w:tcPr>
            <w:tcW w:w="457" w:type="pct"/>
          </w:tcPr>
          <w:p w:rsidR="00122B3C" w:rsidRPr="0033558B" w:rsidRDefault="005361DD" w:rsidP="00537BD1">
            <w:pPr>
              <w:rPr>
                <w:rFonts w:ascii="Arial" w:hAnsi="Arial" w:cs="Arial"/>
                <w:lang w:val="en-US"/>
              </w:rPr>
            </w:pPr>
            <w:r>
              <w:rPr>
                <w:rFonts w:ascii="Arial" w:hAnsi="Arial" w:cs="Arial"/>
                <w:lang w:val="en-US"/>
              </w:rPr>
              <w:t>0</w:t>
            </w:r>
          </w:p>
        </w:tc>
        <w:tc>
          <w:tcPr>
            <w:tcW w:w="458" w:type="pct"/>
          </w:tcPr>
          <w:p w:rsidR="00122B3C" w:rsidRPr="0033558B" w:rsidRDefault="005361DD" w:rsidP="00537BD1">
            <w:pPr>
              <w:rPr>
                <w:rFonts w:ascii="Arial" w:hAnsi="Arial" w:cs="Arial"/>
                <w:lang w:val="en-US"/>
              </w:rPr>
            </w:pPr>
            <w:r>
              <w:rPr>
                <w:rFonts w:ascii="Arial" w:hAnsi="Arial" w:cs="Arial"/>
                <w:lang w:val="en-US"/>
              </w:rPr>
              <w:t>2</w:t>
            </w:r>
          </w:p>
        </w:tc>
      </w:tr>
      <w:tr w:rsidR="0033558B" w:rsidRPr="0033558B" w:rsidTr="00E869DF">
        <w:trPr>
          <w:jc w:val="center"/>
        </w:trPr>
        <w:tc>
          <w:tcPr>
            <w:tcW w:w="5000" w:type="pct"/>
            <w:gridSpan w:val="10"/>
            <w:tcBorders>
              <w:top w:val="nil"/>
            </w:tcBorders>
          </w:tcPr>
          <w:p w:rsidR="0033558B" w:rsidRPr="0033558B" w:rsidRDefault="0033558B" w:rsidP="00537BD1">
            <w:pPr>
              <w:rPr>
                <w:rFonts w:ascii="Arial" w:hAnsi="Arial" w:cs="Arial"/>
                <w:lang w:val="en-US"/>
              </w:rPr>
            </w:pPr>
            <w:r w:rsidRPr="0033558B">
              <w:rPr>
                <w:rFonts w:ascii="Arial" w:hAnsi="Arial" w:cs="Arial"/>
                <w:b/>
                <w:lang w:val="en-US"/>
              </w:rPr>
              <w:t>Respiratory, thoracic, and mediastinal disorders</w:t>
            </w:r>
          </w:p>
        </w:tc>
      </w:tr>
      <w:tr w:rsidR="0033558B" w:rsidRPr="0033558B" w:rsidTr="00122B3C">
        <w:trPr>
          <w:jc w:val="center"/>
        </w:trPr>
        <w:tc>
          <w:tcPr>
            <w:tcW w:w="884" w:type="pct"/>
            <w:tcBorders>
              <w:top w:val="nil"/>
            </w:tcBorders>
          </w:tcPr>
          <w:p w:rsidR="0033558B" w:rsidRPr="0033558B" w:rsidRDefault="0033558B" w:rsidP="00537BD1">
            <w:pPr>
              <w:rPr>
                <w:rFonts w:ascii="Arial" w:hAnsi="Arial" w:cs="Arial"/>
                <w:b/>
                <w:lang w:val="en-US"/>
              </w:rPr>
            </w:pPr>
            <w:r w:rsidRPr="0033558B">
              <w:rPr>
                <w:rFonts w:ascii="Arial" w:hAnsi="Arial" w:cs="Arial"/>
                <w:lang w:val="en-US"/>
              </w:rPr>
              <w:t>Cough</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21</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11</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29</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r>
      <w:tr w:rsidR="0033558B" w:rsidRPr="0033558B" w:rsidTr="00122B3C">
        <w:trPr>
          <w:jc w:val="center"/>
        </w:trPr>
        <w:tc>
          <w:tcPr>
            <w:tcW w:w="884" w:type="pct"/>
            <w:tcBorders>
              <w:top w:val="nil"/>
            </w:tcBorders>
          </w:tcPr>
          <w:p w:rsidR="0033558B" w:rsidRPr="0033558B" w:rsidRDefault="0033558B" w:rsidP="00537BD1">
            <w:pPr>
              <w:rPr>
                <w:rFonts w:ascii="Arial" w:hAnsi="Arial" w:cs="Arial"/>
                <w:lang w:val="en-US"/>
              </w:rPr>
            </w:pPr>
            <w:r w:rsidRPr="0033558B">
              <w:rPr>
                <w:rFonts w:ascii="Arial" w:hAnsi="Arial" w:cs="Arial"/>
              </w:rPr>
              <w:t>Oropharyngeal pain</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7</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13</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r>
      <w:tr w:rsidR="0033558B" w:rsidRPr="0033558B" w:rsidTr="00E869DF">
        <w:trPr>
          <w:jc w:val="center"/>
        </w:trPr>
        <w:tc>
          <w:tcPr>
            <w:tcW w:w="5000" w:type="pct"/>
            <w:gridSpan w:val="10"/>
          </w:tcPr>
          <w:p w:rsidR="0033558B" w:rsidRPr="0033558B" w:rsidRDefault="0033558B" w:rsidP="00537BD1">
            <w:pPr>
              <w:rPr>
                <w:rFonts w:ascii="Arial" w:hAnsi="Arial" w:cs="Arial"/>
                <w:lang w:val="en-US"/>
              </w:rPr>
            </w:pPr>
            <w:r w:rsidRPr="0033558B">
              <w:rPr>
                <w:rFonts w:ascii="Arial" w:hAnsi="Arial" w:cs="Arial"/>
                <w:b/>
                <w:lang w:val="en-US"/>
              </w:rPr>
              <w:t>Gastrointestinal disorders</w:t>
            </w:r>
          </w:p>
        </w:tc>
      </w:tr>
      <w:tr w:rsidR="0033558B" w:rsidRPr="0033558B" w:rsidTr="00122B3C">
        <w:trPr>
          <w:jc w:val="center"/>
        </w:trPr>
        <w:tc>
          <w:tcPr>
            <w:tcW w:w="884" w:type="pct"/>
          </w:tcPr>
          <w:p w:rsidR="0033558B" w:rsidRPr="0033558B" w:rsidRDefault="0033558B" w:rsidP="00537BD1">
            <w:pPr>
              <w:rPr>
                <w:rFonts w:ascii="Arial" w:hAnsi="Arial" w:cs="Arial"/>
                <w:lang w:val="en-US"/>
              </w:rPr>
            </w:pPr>
            <w:r w:rsidRPr="0033558B">
              <w:rPr>
                <w:rFonts w:ascii="Arial" w:hAnsi="Arial" w:cs="Arial"/>
                <w:lang w:val="en-US"/>
              </w:rPr>
              <w:t>Diarrhea</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28</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26</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36</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2</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r>
      <w:tr w:rsidR="0033558B" w:rsidRPr="0033558B" w:rsidTr="00122B3C">
        <w:trPr>
          <w:jc w:val="center"/>
        </w:trPr>
        <w:tc>
          <w:tcPr>
            <w:tcW w:w="884" w:type="pct"/>
          </w:tcPr>
          <w:p w:rsidR="0033558B" w:rsidRPr="0033558B" w:rsidRDefault="0033558B" w:rsidP="00537BD1">
            <w:pPr>
              <w:rPr>
                <w:rFonts w:ascii="Arial" w:hAnsi="Arial" w:cs="Arial"/>
                <w:lang w:val="en-US"/>
              </w:rPr>
            </w:pPr>
            <w:r w:rsidRPr="0033558B">
              <w:rPr>
                <w:rFonts w:ascii="Arial" w:hAnsi="Arial" w:cs="Arial"/>
                <w:lang w:val="en-US"/>
              </w:rPr>
              <w:t>Nausea</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21</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46</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4</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2</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44</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2</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r>
      <w:tr w:rsidR="0033558B" w:rsidRPr="0033558B" w:rsidTr="00122B3C">
        <w:trPr>
          <w:jc w:val="center"/>
        </w:trPr>
        <w:tc>
          <w:tcPr>
            <w:tcW w:w="884" w:type="pct"/>
          </w:tcPr>
          <w:p w:rsidR="0033558B" w:rsidRPr="0033558B" w:rsidRDefault="0033558B" w:rsidP="00537BD1">
            <w:pPr>
              <w:rPr>
                <w:rFonts w:ascii="Arial" w:hAnsi="Arial" w:cs="Arial"/>
                <w:lang w:val="en-US"/>
              </w:rPr>
            </w:pPr>
            <w:r w:rsidRPr="0033558B">
              <w:rPr>
                <w:rFonts w:ascii="Arial" w:hAnsi="Arial" w:cs="Arial"/>
                <w:lang w:val="en-US"/>
              </w:rPr>
              <w:t>Vomiting</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15</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43</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4</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40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2</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r>
      <w:tr w:rsidR="0033558B" w:rsidRPr="0033558B" w:rsidTr="00122B3C">
        <w:trPr>
          <w:jc w:val="center"/>
        </w:trPr>
        <w:tc>
          <w:tcPr>
            <w:tcW w:w="884" w:type="pct"/>
          </w:tcPr>
          <w:p w:rsidR="0033558B" w:rsidRPr="0033558B" w:rsidRDefault="0033558B" w:rsidP="00537BD1">
            <w:pPr>
              <w:rPr>
                <w:rFonts w:ascii="Arial" w:hAnsi="Arial" w:cs="Arial"/>
                <w:lang w:val="en-US"/>
              </w:rPr>
            </w:pPr>
            <w:r w:rsidRPr="0033558B">
              <w:rPr>
                <w:rFonts w:ascii="Arial" w:hAnsi="Arial" w:cs="Arial"/>
                <w:lang w:val="en-US"/>
              </w:rPr>
              <w:t>Constipation</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11</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17</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2</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22</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r>
      <w:tr w:rsidR="0033558B" w:rsidRPr="0033558B" w:rsidTr="00122B3C">
        <w:trPr>
          <w:jc w:val="center"/>
        </w:trPr>
        <w:tc>
          <w:tcPr>
            <w:tcW w:w="884" w:type="pct"/>
          </w:tcPr>
          <w:p w:rsidR="0033558B" w:rsidRPr="0033558B" w:rsidRDefault="0033558B" w:rsidP="00537BD1">
            <w:pPr>
              <w:rPr>
                <w:rFonts w:ascii="Arial" w:hAnsi="Arial" w:cs="Arial"/>
                <w:lang w:val="en-US"/>
              </w:rPr>
            </w:pPr>
            <w:r w:rsidRPr="0033558B">
              <w:rPr>
                <w:rFonts w:ascii="Arial" w:hAnsi="Arial" w:cs="Arial"/>
                <w:lang w:val="en-US"/>
              </w:rPr>
              <w:t>Abdominal</w:t>
            </w:r>
          </w:p>
          <w:p w:rsidR="0033558B" w:rsidRPr="0033558B" w:rsidRDefault="0033558B" w:rsidP="00537BD1">
            <w:pPr>
              <w:rPr>
                <w:rFonts w:ascii="Arial" w:hAnsi="Arial" w:cs="Arial"/>
                <w:lang w:val="en-US"/>
              </w:rPr>
            </w:pPr>
            <w:r w:rsidRPr="0033558B">
              <w:rPr>
                <w:rFonts w:ascii="Arial" w:hAnsi="Arial" w:cs="Arial"/>
                <w:lang w:val="en-US"/>
              </w:rPr>
              <w:t>pain upper</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8</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7</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16</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r>
      <w:tr w:rsidR="0033558B" w:rsidRPr="0033558B" w:rsidTr="00122B3C">
        <w:trPr>
          <w:jc w:val="center"/>
        </w:trPr>
        <w:tc>
          <w:tcPr>
            <w:tcW w:w="884" w:type="pct"/>
          </w:tcPr>
          <w:p w:rsidR="0033558B" w:rsidRPr="0033558B" w:rsidRDefault="0033558B" w:rsidP="00537BD1">
            <w:pPr>
              <w:rPr>
                <w:rFonts w:ascii="Arial" w:hAnsi="Arial" w:cs="Arial"/>
                <w:lang w:val="en-US"/>
              </w:rPr>
            </w:pPr>
            <w:r w:rsidRPr="0033558B">
              <w:rPr>
                <w:rFonts w:ascii="Arial" w:hAnsi="Arial" w:cs="Arial"/>
                <w:lang w:val="en-US"/>
              </w:rPr>
              <w:t xml:space="preserve">Abdominal pain </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13</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2</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15</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2</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15</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2</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r>
      <w:tr w:rsidR="0033558B" w:rsidRPr="0033558B" w:rsidTr="00122B3C">
        <w:trPr>
          <w:jc w:val="center"/>
        </w:trPr>
        <w:tc>
          <w:tcPr>
            <w:tcW w:w="884" w:type="pct"/>
          </w:tcPr>
          <w:p w:rsidR="0033558B" w:rsidRPr="0033558B" w:rsidRDefault="0033558B" w:rsidP="00537BD1">
            <w:pPr>
              <w:rPr>
                <w:rFonts w:ascii="Arial" w:hAnsi="Arial" w:cs="Arial"/>
                <w:lang w:val="en-US"/>
              </w:rPr>
            </w:pPr>
            <w:r w:rsidRPr="0033558B">
              <w:rPr>
                <w:rFonts w:ascii="Arial" w:hAnsi="Arial" w:cs="Arial"/>
              </w:rPr>
              <w:t>Dry mouth</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6</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11</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11</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r>
      <w:tr w:rsidR="0033558B" w:rsidRPr="0033558B" w:rsidTr="00E869DF">
        <w:trPr>
          <w:jc w:val="center"/>
        </w:trPr>
        <w:tc>
          <w:tcPr>
            <w:tcW w:w="5000" w:type="pct"/>
            <w:gridSpan w:val="10"/>
          </w:tcPr>
          <w:p w:rsidR="0033558B" w:rsidRPr="0033558B" w:rsidRDefault="0033558B" w:rsidP="00537BD1">
            <w:pPr>
              <w:rPr>
                <w:rFonts w:ascii="Arial" w:hAnsi="Arial" w:cs="Arial"/>
                <w:lang w:val="en-US"/>
              </w:rPr>
            </w:pPr>
            <w:r w:rsidRPr="0033558B">
              <w:rPr>
                <w:rFonts w:ascii="Arial" w:hAnsi="Arial" w:cs="Arial"/>
                <w:b/>
                <w:lang w:val="en-US"/>
              </w:rPr>
              <w:t>General disorders and administrative site conditions</w:t>
            </w:r>
          </w:p>
        </w:tc>
      </w:tr>
      <w:tr w:rsidR="0033558B" w:rsidRPr="0033558B" w:rsidTr="00122B3C">
        <w:trPr>
          <w:jc w:val="center"/>
        </w:trPr>
        <w:tc>
          <w:tcPr>
            <w:tcW w:w="884" w:type="pct"/>
          </w:tcPr>
          <w:p w:rsidR="0033558B" w:rsidRPr="0033558B" w:rsidRDefault="0033558B" w:rsidP="00537BD1">
            <w:pPr>
              <w:rPr>
                <w:rFonts w:ascii="Arial" w:hAnsi="Arial" w:cs="Arial"/>
                <w:lang w:val="en-US"/>
              </w:rPr>
            </w:pPr>
            <w:r w:rsidRPr="0033558B">
              <w:rPr>
                <w:rFonts w:ascii="Arial" w:hAnsi="Arial" w:cs="Arial"/>
                <w:lang w:val="en-US"/>
              </w:rPr>
              <w:t>Pyrexia</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26</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69</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9</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71</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5</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r>
      <w:tr w:rsidR="0033558B" w:rsidRPr="0033558B" w:rsidTr="00122B3C">
        <w:trPr>
          <w:jc w:val="center"/>
        </w:trPr>
        <w:tc>
          <w:tcPr>
            <w:tcW w:w="884" w:type="pct"/>
          </w:tcPr>
          <w:p w:rsidR="0033558B" w:rsidRPr="0033558B" w:rsidRDefault="0033558B" w:rsidP="00537BD1">
            <w:pPr>
              <w:rPr>
                <w:rFonts w:ascii="Arial" w:hAnsi="Arial" w:cs="Arial"/>
                <w:lang w:val="en-US"/>
              </w:rPr>
            </w:pPr>
            <w:r w:rsidRPr="0033558B">
              <w:rPr>
                <w:rFonts w:ascii="Arial" w:hAnsi="Arial" w:cs="Arial"/>
                <w:lang w:val="en-US"/>
              </w:rPr>
              <w:t>Chills</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17</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50</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2</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58</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2</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r>
      <w:tr w:rsidR="0033558B" w:rsidRPr="0033558B" w:rsidTr="00122B3C">
        <w:trPr>
          <w:jc w:val="center"/>
        </w:trPr>
        <w:tc>
          <w:tcPr>
            <w:tcW w:w="884" w:type="pct"/>
          </w:tcPr>
          <w:p w:rsidR="0033558B" w:rsidRPr="0033558B" w:rsidRDefault="0033558B" w:rsidP="00537BD1">
            <w:pPr>
              <w:rPr>
                <w:rFonts w:ascii="Arial" w:hAnsi="Arial" w:cs="Arial"/>
                <w:lang w:val="en-US"/>
              </w:rPr>
            </w:pPr>
            <w:r w:rsidRPr="0033558B">
              <w:rPr>
                <w:rFonts w:ascii="Arial" w:hAnsi="Arial" w:cs="Arial"/>
                <w:lang w:val="en-US"/>
              </w:rPr>
              <w:t>Fatigue</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40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6</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57</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2</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53</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4</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r>
      <w:tr w:rsidR="0033558B" w:rsidRPr="0033558B" w:rsidTr="00122B3C">
        <w:trPr>
          <w:jc w:val="center"/>
        </w:trPr>
        <w:tc>
          <w:tcPr>
            <w:tcW w:w="884" w:type="pct"/>
          </w:tcPr>
          <w:p w:rsidR="0033558B" w:rsidRPr="0033558B" w:rsidRDefault="0033558B" w:rsidP="00537BD1">
            <w:pPr>
              <w:rPr>
                <w:rFonts w:ascii="Arial" w:hAnsi="Arial" w:cs="Arial"/>
                <w:lang w:val="en-US"/>
              </w:rPr>
            </w:pPr>
            <w:r w:rsidRPr="0033558B">
              <w:rPr>
                <w:rFonts w:ascii="Arial" w:hAnsi="Arial" w:cs="Arial"/>
                <w:lang w:val="en-US"/>
              </w:rPr>
              <w:t>Edema peripheral</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17</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24</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29</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r>
      <w:tr w:rsidR="0033558B" w:rsidRPr="0033558B" w:rsidTr="00E869DF">
        <w:trPr>
          <w:jc w:val="center"/>
        </w:trPr>
        <w:tc>
          <w:tcPr>
            <w:tcW w:w="5000" w:type="pct"/>
            <w:gridSpan w:val="10"/>
          </w:tcPr>
          <w:p w:rsidR="0033558B" w:rsidRPr="0033558B" w:rsidRDefault="0033558B" w:rsidP="00537BD1">
            <w:pPr>
              <w:rPr>
                <w:rFonts w:ascii="Arial" w:hAnsi="Arial" w:cs="Arial"/>
                <w:lang w:val="en-US"/>
              </w:rPr>
            </w:pPr>
            <w:r w:rsidRPr="0033558B">
              <w:rPr>
                <w:rFonts w:ascii="Arial" w:hAnsi="Arial" w:cs="Arial"/>
                <w:b/>
                <w:lang w:val="en-US"/>
              </w:rPr>
              <w:t>Musculoskeletal, connective tissue, and bone disorders</w:t>
            </w:r>
          </w:p>
        </w:tc>
      </w:tr>
      <w:tr w:rsidR="0033558B" w:rsidRPr="0033558B" w:rsidTr="00122B3C">
        <w:trPr>
          <w:jc w:val="center"/>
        </w:trPr>
        <w:tc>
          <w:tcPr>
            <w:tcW w:w="884" w:type="pct"/>
          </w:tcPr>
          <w:p w:rsidR="0033558B" w:rsidRPr="0033558B" w:rsidRDefault="0033558B" w:rsidP="00537BD1">
            <w:pPr>
              <w:rPr>
                <w:rFonts w:ascii="Arial" w:hAnsi="Arial" w:cs="Arial"/>
                <w:lang w:val="en-US"/>
              </w:rPr>
            </w:pPr>
            <w:r w:rsidRPr="0033558B">
              <w:rPr>
                <w:rFonts w:ascii="Arial" w:hAnsi="Arial" w:cs="Arial"/>
                <w:lang w:val="en-US"/>
              </w:rPr>
              <w:t>Arthralgia</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34</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44</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27</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r>
      <w:tr w:rsidR="0033558B" w:rsidRPr="0033558B" w:rsidTr="00122B3C">
        <w:trPr>
          <w:jc w:val="center"/>
        </w:trPr>
        <w:tc>
          <w:tcPr>
            <w:tcW w:w="884" w:type="pct"/>
          </w:tcPr>
          <w:p w:rsidR="0033558B" w:rsidRPr="0033558B" w:rsidRDefault="0033558B" w:rsidP="00537BD1">
            <w:pPr>
              <w:rPr>
                <w:rFonts w:ascii="Arial" w:hAnsi="Arial" w:cs="Arial"/>
                <w:lang w:val="en-US"/>
              </w:rPr>
            </w:pPr>
            <w:r w:rsidRPr="0033558B">
              <w:rPr>
                <w:rFonts w:ascii="Arial" w:hAnsi="Arial" w:cs="Arial"/>
                <w:lang w:val="en-US"/>
              </w:rPr>
              <w:t>Myalgia</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23</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2</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24</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22</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2</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r>
      <w:tr w:rsidR="0033558B" w:rsidRPr="0033558B" w:rsidTr="00122B3C">
        <w:trPr>
          <w:jc w:val="center"/>
        </w:trPr>
        <w:tc>
          <w:tcPr>
            <w:tcW w:w="884" w:type="pct"/>
          </w:tcPr>
          <w:p w:rsidR="0033558B" w:rsidRPr="0033558B" w:rsidRDefault="0033558B" w:rsidP="00537BD1">
            <w:pPr>
              <w:rPr>
                <w:rFonts w:ascii="Arial" w:hAnsi="Arial" w:cs="Arial"/>
                <w:lang w:val="en-US"/>
              </w:rPr>
            </w:pPr>
            <w:r w:rsidRPr="0033558B">
              <w:rPr>
                <w:rFonts w:ascii="Arial" w:hAnsi="Arial" w:cs="Arial"/>
                <w:lang w:val="en-US"/>
              </w:rPr>
              <w:t>Back pain</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11</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2</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11</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18</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5</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r>
      <w:tr w:rsidR="0033558B" w:rsidRPr="0033558B" w:rsidTr="00122B3C">
        <w:trPr>
          <w:jc w:val="center"/>
        </w:trPr>
        <w:tc>
          <w:tcPr>
            <w:tcW w:w="884" w:type="pct"/>
          </w:tcPr>
          <w:p w:rsidR="0033558B" w:rsidRPr="0033558B" w:rsidRDefault="0033558B" w:rsidP="00537BD1">
            <w:pPr>
              <w:rPr>
                <w:rFonts w:ascii="Arial" w:hAnsi="Arial" w:cs="Arial"/>
                <w:lang w:val="en-US"/>
              </w:rPr>
            </w:pPr>
            <w:r w:rsidRPr="0033558B">
              <w:rPr>
                <w:rFonts w:ascii="Arial" w:hAnsi="Arial" w:cs="Arial"/>
                <w:lang w:val="en-US"/>
              </w:rPr>
              <w:t>Muscle spasm</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4</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2</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16</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r>
      <w:tr w:rsidR="0033558B" w:rsidRPr="0033558B" w:rsidTr="00122B3C">
        <w:trPr>
          <w:jc w:val="center"/>
        </w:trPr>
        <w:tc>
          <w:tcPr>
            <w:tcW w:w="884" w:type="pct"/>
          </w:tcPr>
          <w:p w:rsidR="0033558B" w:rsidRPr="0033558B" w:rsidRDefault="0033558B" w:rsidP="00537BD1">
            <w:pPr>
              <w:rPr>
                <w:rFonts w:ascii="Arial" w:hAnsi="Arial" w:cs="Arial"/>
                <w:lang w:val="en-US"/>
              </w:rPr>
            </w:pPr>
            <w:r w:rsidRPr="0033558B">
              <w:rPr>
                <w:rFonts w:ascii="Arial" w:hAnsi="Arial" w:cs="Arial"/>
                <w:lang w:val="en-US"/>
              </w:rPr>
              <w:t xml:space="preserve">Pain in </w:t>
            </w:r>
            <w:r w:rsidRPr="0033558B">
              <w:rPr>
                <w:rFonts w:ascii="Arial" w:hAnsi="Arial" w:cs="Arial"/>
                <w:lang w:val="en-US"/>
              </w:rPr>
              <w:lastRenderedPageBreak/>
              <w:t>extremity</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lastRenderedPageBreak/>
              <w:t>19</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11</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2</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16</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r>
      <w:tr w:rsidR="0033558B" w:rsidRPr="0033558B" w:rsidTr="0033558B">
        <w:trPr>
          <w:jc w:val="center"/>
        </w:trPr>
        <w:tc>
          <w:tcPr>
            <w:tcW w:w="5000" w:type="pct"/>
            <w:gridSpan w:val="10"/>
          </w:tcPr>
          <w:p w:rsidR="0033558B" w:rsidRPr="0033558B" w:rsidRDefault="0033558B" w:rsidP="00537BD1">
            <w:pPr>
              <w:rPr>
                <w:rFonts w:ascii="Arial" w:hAnsi="Arial" w:cs="Arial"/>
                <w:lang w:val="en-US"/>
              </w:rPr>
            </w:pPr>
            <w:r w:rsidRPr="0033558B">
              <w:rPr>
                <w:rFonts w:ascii="Arial" w:hAnsi="Arial" w:cs="Arial"/>
                <w:b/>
                <w:lang w:val="en-US"/>
              </w:rPr>
              <w:lastRenderedPageBreak/>
              <w:t>Renal and urinary disorders</w:t>
            </w:r>
          </w:p>
        </w:tc>
      </w:tr>
      <w:tr w:rsidR="0033558B" w:rsidRPr="0033558B" w:rsidTr="00122B3C">
        <w:trPr>
          <w:jc w:val="center"/>
        </w:trPr>
        <w:tc>
          <w:tcPr>
            <w:tcW w:w="884" w:type="pct"/>
          </w:tcPr>
          <w:p w:rsidR="0033558B" w:rsidRPr="0033558B" w:rsidRDefault="0033558B" w:rsidP="00537BD1">
            <w:pPr>
              <w:rPr>
                <w:rFonts w:ascii="Arial" w:hAnsi="Arial" w:cs="Arial"/>
                <w:lang w:val="en-US"/>
              </w:rPr>
            </w:pPr>
            <w:r w:rsidRPr="0033558B">
              <w:rPr>
                <w:rFonts w:ascii="Arial" w:hAnsi="Arial" w:cs="Arial"/>
              </w:rPr>
              <w:t>Urinary tract infection</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9</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2</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6</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13</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2</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r>
      <w:tr w:rsidR="0033558B" w:rsidRPr="0033558B" w:rsidTr="00E869DF">
        <w:trPr>
          <w:jc w:val="center"/>
        </w:trPr>
        <w:tc>
          <w:tcPr>
            <w:tcW w:w="5000" w:type="pct"/>
            <w:gridSpan w:val="10"/>
          </w:tcPr>
          <w:p w:rsidR="0033558B" w:rsidRPr="0033558B" w:rsidRDefault="0033558B" w:rsidP="00537BD1">
            <w:pPr>
              <w:rPr>
                <w:rFonts w:ascii="Arial" w:hAnsi="Arial" w:cs="Arial"/>
                <w:lang w:val="en-US"/>
              </w:rPr>
            </w:pPr>
            <w:r w:rsidRPr="0033558B">
              <w:rPr>
                <w:rFonts w:ascii="Arial" w:hAnsi="Arial" w:cs="Arial"/>
                <w:b/>
                <w:lang w:val="en-US"/>
              </w:rPr>
              <w:t>Blood and Lymphatic System Disorders</w:t>
            </w:r>
          </w:p>
        </w:tc>
      </w:tr>
      <w:tr w:rsidR="0033558B" w:rsidRPr="0033558B" w:rsidTr="00122B3C">
        <w:trPr>
          <w:jc w:val="center"/>
        </w:trPr>
        <w:tc>
          <w:tcPr>
            <w:tcW w:w="884" w:type="pct"/>
          </w:tcPr>
          <w:p w:rsidR="0033558B" w:rsidRPr="0033558B" w:rsidRDefault="0033558B" w:rsidP="00537BD1">
            <w:pPr>
              <w:rPr>
                <w:rFonts w:ascii="Arial" w:hAnsi="Arial" w:cs="Arial"/>
                <w:lang w:val="en-US"/>
              </w:rPr>
            </w:pPr>
            <w:r w:rsidRPr="0033558B">
              <w:rPr>
                <w:rFonts w:ascii="Arial" w:hAnsi="Arial" w:cs="Arial"/>
                <w:lang w:val="en-US"/>
              </w:rPr>
              <w:t>Neutropenia</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2</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2</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9</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2</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15</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5</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5</w:t>
            </w:r>
          </w:p>
        </w:tc>
      </w:tr>
      <w:tr w:rsidR="0033558B" w:rsidRPr="0033558B" w:rsidTr="00122B3C">
        <w:trPr>
          <w:jc w:val="center"/>
        </w:trPr>
        <w:tc>
          <w:tcPr>
            <w:tcW w:w="884" w:type="pct"/>
          </w:tcPr>
          <w:p w:rsidR="0033558B" w:rsidRPr="0033558B" w:rsidRDefault="0033558B" w:rsidP="00537BD1">
            <w:pPr>
              <w:rPr>
                <w:rFonts w:ascii="Arial" w:hAnsi="Arial" w:cs="Arial"/>
                <w:lang w:val="en-US"/>
              </w:rPr>
            </w:pPr>
            <w:r w:rsidRPr="0033558B">
              <w:rPr>
                <w:rFonts w:ascii="Arial" w:hAnsi="Arial" w:cs="Arial"/>
              </w:rPr>
              <w:t>Anemia</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6</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20</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6</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13</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4</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r>
      <w:tr w:rsidR="0033558B" w:rsidRPr="0033558B" w:rsidTr="00E869DF">
        <w:trPr>
          <w:jc w:val="center"/>
        </w:trPr>
        <w:tc>
          <w:tcPr>
            <w:tcW w:w="5000" w:type="pct"/>
            <w:gridSpan w:val="10"/>
          </w:tcPr>
          <w:p w:rsidR="0033558B" w:rsidRPr="0033558B" w:rsidRDefault="0033558B" w:rsidP="00537BD1">
            <w:pPr>
              <w:rPr>
                <w:rFonts w:ascii="Arial" w:hAnsi="Arial" w:cs="Arial"/>
                <w:lang w:val="en-US"/>
              </w:rPr>
            </w:pPr>
            <w:r w:rsidRPr="0033558B">
              <w:rPr>
                <w:rFonts w:ascii="Arial" w:hAnsi="Arial" w:cs="Arial"/>
                <w:b/>
                <w:lang w:val="en-US"/>
              </w:rPr>
              <w:t>Psychiatric Disorders</w:t>
            </w:r>
          </w:p>
        </w:tc>
      </w:tr>
      <w:tr w:rsidR="0033558B" w:rsidRPr="0033558B" w:rsidTr="00122B3C">
        <w:trPr>
          <w:jc w:val="center"/>
        </w:trPr>
        <w:tc>
          <w:tcPr>
            <w:tcW w:w="884" w:type="pct"/>
          </w:tcPr>
          <w:p w:rsidR="0033558B" w:rsidRPr="0033558B" w:rsidRDefault="0033558B" w:rsidP="00537BD1">
            <w:pPr>
              <w:rPr>
                <w:rFonts w:ascii="Arial" w:hAnsi="Arial" w:cs="Arial"/>
                <w:lang w:val="en-US"/>
              </w:rPr>
            </w:pPr>
            <w:r w:rsidRPr="0033558B">
              <w:rPr>
                <w:rFonts w:ascii="Arial" w:hAnsi="Arial" w:cs="Arial"/>
                <w:lang w:val="en-US"/>
              </w:rPr>
              <w:t>Insomnia</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8</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2</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11</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0</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18</w:t>
            </w:r>
          </w:p>
        </w:tc>
        <w:tc>
          <w:tcPr>
            <w:tcW w:w="457" w:type="pct"/>
          </w:tcPr>
          <w:p w:rsidR="0033558B" w:rsidRPr="0033558B" w:rsidRDefault="0033558B" w:rsidP="00537BD1">
            <w:pPr>
              <w:rPr>
                <w:rFonts w:ascii="Arial" w:hAnsi="Arial" w:cs="Arial"/>
                <w:lang w:val="en-US"/>
              </w:rPr>
            </w:pPr>
            <w:r w:rsidRPr="0033558B">
              <w:rPr>
                <w:rFonts w:ascii="Arial" w:hAnsi="Arial" w:cs="Arial"/>
                <w:lang w:val="en-US"/>
              </w:rPr>
              <w:t>2</w:t>
            </w:r>
          </w:p>
        </w:tc>
        <w:tc>
          <w:tcPr>
            <w:tcW w:w="458" w:type="pct"/>
          </w:tcPr>
          <w:p w:rsidR="0033558B" w:rsidRPr="0033558B" w:rsidRDefault="0033558B" w:rsidP="00537BD1">
            <w:pPr>
              <w:rPr>
                <w:rFonts w:ascii="Arial" w:hAnsi="Arial" w:cs="Arial"/>
                <w:lang w:val="en-US"/>
              </w:rPr>
            </w:pPr>
            <w:r w:rsidRPr="0033558B">
              <w:rPr>
                <w:rFonts w:ascii="Arial" w:hAnsi="Arial" w:cs="Arial"/>
                <w:lang w:val="en-US"/>
              </w:rPr>
              <w:t>0</w:t>
            </w:r>
          </w:p>
        </w:tc>
      </w:tr>
    </w:tbl>
    <w:p w:rsidR="00537BD1" w:rsidRPr="00D042F6" w:rsidRDefault="00537BD1" w:rsidP="00537BD1">
      <w:pPr>
        <w:rPr>
          <w:rFonts w:ascii="Arial" w:hAnsi="Arial" w:cs="Arial"/>
          <w:sz w:val="18"/>
          <w:szCs w:val="18"/>
          <w:lang w:val="en-US"/>
        </w:rPr>
      </w:pPr>
      <w:r w:rsidRPr="00D042F6">
        <w:rPr>
          <w:rFonts w:ascii="Arial" w:hAnsi="Arial" w:cs="Arial"/>
          <w:sz w:val="18"/>
          <w:szCs w:val="18"/>
          <w:vertAlign w:val="superscript"/>
          <w:lang w:val="en-US"/>
        </w:rPr>
        <w:t>a</w:t>
      </w:r>
      <w:r w:rsidRPr="00D042F6">
        <w:rPr>
          <w:rFonts w:ascii="Arial" w:hAnsi="Arial" w:cs="Arial"/>
          <w:sz w:val="18"/>
          <w:szCs w:val="18"/>
          <w:lang w:val="en-US"/>
        </w:rPr>
        <w:t>National Cancer Institute Common Terminology Criteria for Adverse Events, version 4.</w:t>
      </w:r>
    </w:p>
    <w:p w:rsidR="00095598" w:rsidRPr="00D042F6" w:rsidRDefault="00095598" w:rsidP="00095598">
      <w:pPr>
        <w:pStyle w:val="NormalWeb"/>
        <w:spacing w:before="0" w:beforeAutospacing="0" w:after="0" w:afterAutospacing="0"/>
        <w:rPr>
          <w:rFonts w:ascii="Arial" w:hAnsi="Arial" w:cs="Arial"/>
          <w:color w:val="000000"/>
          <w:sz w:val="18"/>
          <w:szCs w:val="18"/>
        </w:rPr>
      </w:pPr>
      <w:r w:rsidRPr="00D042F6">
        <w:rPr>
          <w:rFonts w:ascii="Arial" w:hAnsi="Arial" w:cs="Arial"/>
          <w:color w:val="000000"/>
          <w:sz w:val="18"/>
          <w:szCs w:val="18"/>
          <w:vertAlign w:val="superscript"/>
          <w:lang w:val="en-US"/>
        </w:rPr>
        <w:t>b</w:t>
      </w:r>
      <w:r w:rsidRPr="00D042F6">
        <w:rPr>
          <w:rFonts w:ascii="Arial" w:hAnsi="Arial" w:cs="Arial"/>
          <w:color w:val="000000"/>
          <w:sz w:val="18"/>
          <w:szCs w:val="18"/>
          <w:lang w:val="en-US"/>
        </w:rPr>
        <w:t xml:space="preserve">Events include: </w:t>
      </w:r>
      <w:r w:rsidR="004604F6" w:rsidRPr="00D042F6">
        <w:rPr>
          <w:rFonts w:ascii="Arial" w:hAnsi="Arial" w:cs="Arial"/>
          <w:sz w:val="18"/>
          <w:szCs w:val="18"/>
        </w:rPr>
        <w:t xml:space="preserve"> brain stem hemorrhage, cerebral hemorrhage, gastric hemorrhage, epistaxis, gingival hemorrhage, hematuria, vaginal hemorrhage, hemorrhage intracranial, eye hemorrhage, and vitreous hemorrhage</w:t>
      </w:r>
    </w:p>
    <w:p w:rsidR="00537BD1" w:rsidRPr="00656020" w:rsidRDefault="00537BD1" w:rsidP="00537BD1">
      <w:pPr>
        <w:rPr>
          <w:rFonts w:ascii="Arial" w:hAnsi="Arial" w:cs="Arial"/>
          <w:sz w:val="18"/>
          <w:szCs w:val="18"/>
          <w:lang w:val="en-US"/>
        </w:rPr>
      </w:pPr>
      <w:r w:rsidRPr="00656020">
        <w:rPr>
          <w:rFonts w:ascii="Arial" w:hAnsi="Arial" w:cs="Arial"/>
          <w:sz w:val="18"/>
          <w:szCs w:val="18"/>
          <w:lang w:val="en-US"/>
        </w:rPr>
        <w:t>BID = twice daily; QD = once daily</w:t>
      </w:r>
    </w:p>
    <w:p w:rsidR="00C43BEA" w:rsidRDefault="00C43BEA" w:rsidP="00C43BEA">
      <w:pPr>
        <w:rPr>
          <w:rFonts w:ascii="Arial" w:hAnsi="Arial" w:cs="Arial"/>
          <w:sz w:val="22"/>
          <w:szCs w:val="22"/>
        </w:rPr>
      </w:pPr>
    </w:p>
    <w:p w:rsidR="00233F34" w:rsidRPr="00233F34" w:rsidRDefault="00233F34" w:rsidP="00233F34">
      <w:pPr>
        <w:rPr>
          <w:rFonts w:ascii="Arial" w:hAnsi="Arial" w:cs="Arial"/>
          <w:b/>
          <w:bCs/>
          <w:color w:val="FF0000"/>
          <w:sz w:val="22"/>
          <w:szCs w:val="22"/>
          <w:lang w:val="en-US"/>
        </w:rPr>
      </w:pPr>
      <w:r w:rsidRPr="00233F34">
        <w:rPr>
          <w:rFonts w:ascii="Arial" w:hAnsi="Arial" w:cs="Arial"/>
          <w:b/>
          <w:sz w:val="22"/>
          <w:szCs w:val="22"/>
          <w:lang w:val="en-US"/>
        </w:rPr>
        <w:t xml:space="preserve">Table 7. </w:t>
      </w:r>
      <w:r w:rsidRPr="00233F34">
        <w:rPr>
          <w:rFonts w:ascii="Arial" w:hAnsi="Arial" w:cs="Arial"/>
          <w:b/>
          <w:bCs/>
          <w:sz w:val="22"/>
          <w:szCs w:val="22"/>
          <w:lang w:val="en-US"/>
        </w:rPr>
        <w:t>Treatment Emergent Abnormalities in Liver Function Test</w:t>
      </w:r>
      <w:r w:rsidR="00B76ACB">
        <w:rPr>
          <w:rFonts w:ascii="Arial" w:hAnsi="Arial" w:cs="Arial"/>
          <w:b/>
          <w:bCs/>
          <w:sz w:val="22"/>
          <w:szCs w:val="22"/>
          <w:lang w:val="en-US"/>
        </w:rPr>
        <w:t>s</w:t>
      </w:r>
      <w:r w:rsidRPr="00233F34">
        <w:rPr>
          <w:rFonts w:ascii="Arial" w:hAnsi="Arial" w:cs="Arial"/>
          <w:b/>
          <w:bCs/>
          <w:sz w:val="22"/>
          <w:szCs w:val="22"/>
          <w:lang w:val="en-US"/>
        </w:rPr>
        <w:t xml:space="preserve"> Occurring in Patients Treated With MEKINIST in Combination with Dabrafenib</w:t>
      </w:r>
    </w:p>
    <w:p w:rsidR="00120FB9" w:rsidRDefault="00120FB9" w:rsidP="00120FB9">
      <w:pPr>
        <w:rPr>
          <w:color w:val="1F497D"/>
          <w:lang w:val="en-US"/>
        </w:rPr>
      </w:pPr>
    </w:p>
    <w:tbl>
      <w:tblPr>
        <w:tblW w:w="5221" w:type="pct"/>
        <w:jc w:val="center"/>
        <w:tblInd w:w="1253" w:type="dxa"/>
        <w:tblCellMar>
          <w:left w:w="0" w:type="dxa"/>
          <w:right w:w="0" w:type="dxa"/>
        </w:tblCellMar>
        <w:tblLook w:val="04A0" w:firstRow="1" w:lastRow="0" w:firstColumn="1" w:lastColumn="0" w:noHBand="0" w:noVBand="1"/>
      </w:tblPr>
      <w:tblGrid>
        <w:gridCol w:w="1873"/>
        <w:gridCol w:w="945"/>
        <w:gridCol w:w="772"/>
        <w:gridCol w:w="772"/>
        <w:gridCol w:w="945"/>
        <w:gridCol w:w="772"/>
        <w:gridCol w:w="772"/>
        <w:gridCol w:w="945"/>
        <w:gridCol w:w="772"/>
        <w:gridCol w:w="772"/>
      </w:tblGrid>
      <w:tr w:rsidR="00B34F25" w:rsidRPr="00233F34" w:rsidTr="00336A42">
        <w:trPr>
          <w:trHeight w:val="702"/>
          <w:jc w:val="center"/>
        </w:trPr>
        <w:tc>
          <w:tcPr>
            <w:tcW w:w="100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34F25" w:rsidRDefault="00B34F25" w:rsidP="00336A42">
            <w:pPr>
              <w:rPr>
                <w:rFonts w:ascii="Arial" w:hAnsi="Arial" w:cs="Arial"/>
              </w:rPr>
            </w:pPr>
            <w:r>
              <w:rPr>
                <w:rFonts w:ascii="Arial" w:hAnsi="Arial" w:cs="Arial"/>
              </w:rPr>
              <w:t>Test</w:t>
            </w:r>
          </w:p>
          <w:p w:rsidR="00B34F25" w:rsidRPr="00233F34" w:rsidRDefault="00B34F25" w:rsidP="00336A42">
            <w:pPr>
              <w:rPr>
                <w:rFonts w:ascii="Arial" w:eastAsia="Calibri" w:hAnsi="Arial" w:cs="Arial"/>
                <w:color w:val="FF0000"/>
              </w:rPr>
            </w:pPr>
          </w:p>
        </w:tc>
        <w:tc>
          <w:tcPr>
            <w:tcW w:w="1332" w:type="pct"/>
            <w:gridSpan w:val="3"/>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34F25" w:rsidRPr="00233F34" w:rsidRDefault="00B34F25" w:rsidP="00336A42">
            <w:pPr>
              <w:rPr>
                <w:rFonts w:ascii="Arial" w:eastAsia="Calibri" w:hAnsi="Arial" w:cs="Arial"/>
              </w:rPr>
            </w:pPr>
            <w:r w:rsidRPr="00233F34">
              <w:rPr>
                <w:rFonts w:ascii="Arial" w:hAnsi="Arial" w:cs="Arial"/>
              </w:rPr>
              <w:t>Dabrafenib 150 mg BID Monotherapy</w:t>
            </w:r>
          </w:p>
          <w:p w:rsidR="00B34F25" w:rsidRPr="00233F34" w:rsidRDefault="00B34F25" w:rsidP="00336A42">
            <w:pPr>
              <w:rPr>
                <w:rFonts w:ascii="Arial" w:eastAsia="Calibri" w:hAnsi="Arial" w:cs="Arial"/>
              </w:rPr>
            </w:pPr>
            <w:r w:rsidRPr="00233F34">
              <w:rPr>
                <w:rFonts w:ascii="Arial" w:hAnsi="Arial" w:cs="Arial"/>
              </w:rPr>
              <w:t>(N = 53)</w:t>
            </w:r>
          </w:p>
        </w:tc>
        <w:tc>
          <w:tcPr>
            <w:tcW w:w="1332" w:type="pct"/>
            <w:gridSpan w:val="3"/>
            <w:tcBorders>
              <w:top w:val="single" w:sz="8" w:space="0" w:color="auto"/>
              <w:left w:val="nil"/>
              <w:bottom w:val="single" w:sz="4" w:space="0" w:color="auto"/>
              <w:right w:val="single" w:sz="8" w:space="0" w:color="auto"/>
            </w:tcBorders>
          </w:tcPr>
          <w:p w:rsidR="00B34F25" w:rsidRPr="00233F34" w:rsidRDefault="00B34F25" w:rsidP="00336A42">
            <w:pPr>
              <w:rPr>
                <w:rFonts w:ascii="Arial" w:eastAsia="Calibri" w:hAnsi="Arial" w:cs="Arial"/>
              </w:rPr>
            </w:pPr>
            <w:r w:rsidRPr="00233F34">
              <w:rPr>
                <w:rFonts w:ascii="Arial" w:hAnsi="Arial" w:cs="Arial"/>
              </w:rPr>
              <w:t>MEKINIST 1mg QD Combination</w:t>
            </w:r>
          </w:p>
          <w:p w:rsidR="00B34F25" w:rsidRPr="00233F34" w:rsidRDefault="00B34F25" w:rsidP="00336A42">
            <w:pPr>
              <w:rPr>
                <w:rFonts w:ascii="Arial" w:eastAsia="Calibri" w:hAnsi="Arial" w:cs="Arial"/>
              </w:rPr>
            </w:pPr>
            <w:r w:rsidRPr="00233F34">
              <w:rPr>
                <w:rFonts w:ascii="Arial" w:hAnsi="Arial" w:cs="Arial"/>
              </w:rPr>
              <w:t>(N = 54)</w:t>
            </w:r>
          </w:p>
        </w:tc>
        <w:tc>
          <w:tcPr>
            <w:tcW w:w="1332" w:type="pct"/>
            <w:gridSpan w:val="3"/>
            <w:tcBorders>
              <w:top w:val="single" w:sz="8" w:space="0" w:color="auto"/>
              <w:left w:val="nil"/>
              <w:bottom w:val="single" w:sz="4" w:space="0" w:color="auto"/>
              <w:right w:val="single" w:sz="8" w:space="0" w:color="auto"/>
            </w:tcBorders>
          </w:tcPr>
          <w:p w:rsidR="00B34F25" w:rsidRPr="00233F34" w:rsidRDefault="00B34F25" w:rsidP="00336A42">
            <w:pPr>
              <w:rPr>
                <w:rFonts w:ascii="Arial" w:eastAsia="Calibri" w:hAnsi="Arial" w:cs="Arial"/>
              </w:rPr>
            </w:pPr>
            <w:r w:rsidRPr="00233F34">
              <w:rPr>
                <w:rFonts w:ascii="Arial" w:hAnsi="Arial" w:cs="Arial"/>
              </w:rPr>
              <w:t>MEKINIST 2mg QD Combination</w:t>
            </w:r>
          </w:p>
          <w:p w:rsidR="00B34F25" w:rsidRPr="00233F34" w:rsidRDefault="00B34F25" w:rsidP="00336A42">
            <w:pPr>
              <w:rPr>
                <w:rFonts w:ascii="Arial" w:eastAsia="Calibri" w:hAnsi="Arial" w:cs="Arial"/>
              </w:rPr>
            </w:pPr>
            <w:r w:rsidRPr="00233F34">
              <w:rPr>
                <w:rFonts w:ascii="Arial" w:hAnsi="Arial" w:cs="Arial"/>
              </w:rPr>
              <w:t>(N = 55)</w:t>
            </w:r>
          </w:p>
        </w:tc>
      </w:tr>
      <w:tr w:rsidR="00B34F25" w:rsidRPr="00233F34" w:rsidTr="00336A4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34F25" w:rsidRPr="00233F34" w:rsidRDefault="00B34F25" w:rsidP="00336A42">
            <w:pPr>
              <w:rPr>
                <w:rFonts w:ascii="Arial" w:eastAsia="Calibri" w:hAnsi="Arial" w:cs="Arial"/>
                <w:color w:val="FF0000"/>
              </w:rPr>
            </w:pP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34F25" w:rsidRPr="00233F34" w:rsidRDefault="00B34F25" w:rsidP="00336A42">
            <w:pPr>
              <w:rPr>
                <w:rFonts w:ascii="Arial" w:eastAsia="Calibri" w:hAnsi="Arial" w:cs="Arial"/>
              </w:rPr>
            </w:pPr>
            <w:r w:rsidRPr="00233F34">
              <w:rPr>
                <w:rFonts w:ascii="Arial" w:hAnsi="Arial" w:cs="Arial"/>
              </w:rPr>
              <w:t>All Grades</w:t>
            </w:r>
            <w:r w:rsidRPr="00233F34">
              <w:rPr>
                <w:rFonts w:ascii="Arial" w:hAnsi="Arial" w:cs="Arial"/>
                <w:vertAlign w:val="superscript"/>
              </w:rPr>
              <w:t>a</w:t>
            </w:r>
          </w:p>
        </w:tc>
        <w:tc>
          <w:tcPr>
            <w:tcW w:w="41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34F25" w:rsidRPr="00233F34" w:rsidRDefault="00B34F25" w:rsidP="00336A42">
            <w:pPr>
              <w:rPr>
                <w:rFonts w:ascii="Arial" w:eastAsia="Calibri" w:hAnsi="Arial" w:cs="Arial"/>
              </w:rPr>
            </w:pPr>
            <w:r w:rsidRPr="00233F34">
              <w:rPr>
                <w:rFonts w:ascii="Arial" w:hAnsi="Arial" w:cs="Arial"/>
              </w:rPr>
              <w:t>Grade 3</w:t>
            </w:r>
          </w:p>
        </w:tc>
        <w:tc>
          <w:tcPr>
            <w:tcW w:w="41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34F25" w:rsidRPr="00233F34" w:rsidRDefault="00B34F25" w:rsidP="00336A42">
            <w:pPr>
              <w:rPr>
                <w:rFonts w:ascii="Arial" w:eastAsia="Calibri" w:hAnsi="Arial" w:cs="Arial"/>
              </w:rPr>
            </w:pPr>
            <w:r w:rsidRPr="00233F34">
              <w:rPr>
                <w:rFonts w:ascii="Arial" w:hAnsi="Arial" w:cs="Arial"/>
              </w:rPr>
              <w:t>Grade 4</w:t>
            </w: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34F25" w:rsidRPr="00233F34" w:rsidRDefault="00B34F25" w:rsidP="00336A42">
            <w:pPr>
              <w:rPr>
                <w:rFonts w:ascii="Arial" w:eastAsia="Calibri" w:hAnsi="Arial" w:cs="Arial"/>
              </w:rPr>
            </w:pPr>
            <w:r w:rsidRPr="00233F34">
              <w:rPr>
                <w:rFonts w:ascii="Arial" w:hAnsi="Arial" w:cs="Arial"/>
              </w:rPr>
              <w:t>All Grades</w:t>
            </w:r>
            <w:r w:rsidRPr="00233F34">
              <w:rPr>
                <w:rFonts w:ascii="Arial" w:hAnsi="Arial" w:cs="Arial"/>
                <w:vertAlign w:val="superscript"/>
              </w:rPr>
              <w:t>a</w:t>
            </w:r>
          </w:p>
        </w:tc>
        <w:tc>
          <w:tcPr>
            <w:tcW w:w="41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34F25" w:rsidRPr="00233F34" w:rsidRDefault="00B34F25" w:rsidP="00336A42">
            <w:pPr>
              <w:rPr>
                <w:rFonts w:ascii="Arial" w:eastAsia="Calibri" w:hAnsi="Arial" w:cs="Arial"/>
              </w:rPr>
            </w:pPr>
            <w:r w:rsidRPr="00233F34">
              <w:rPr>
                <w:rFonts w:ascii="Arial" w:hAnsi="Arial" w:cs="Arial"/>
              </w:rPr>
              <w:t>Grade 3</w:t>
            </w:r>
          </w:p>
        </w:tc>
        <w:tc>
          <w:tcPr>
            <w:tcW w:w="41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34F25" w:rsidRPr="00233F34" w:rsidRDefault="00B34F25" w:rsidP="00336A42">
            <w:pPr>
              <w:rPr>
                <w:rFonts w:ascii="Arial" w:eastAsia="Calibri" w:hAnsi="Arial" w:cs="Arial"/>
              </w:rPr>
            </w:pPr>
            <w:r w:rsidRPr="00233F34">
              <w:rPr>
                <w:rFonts w:ascii="Arial" w:hAnsi="Arial" w:cs="Arial"/>
              </w:rPr>
              <w:t>Grade 4</w:t>
            </w: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34F25" w:rsidRPr="00233F34" w:rsidRDefault="00B34F25" w:rsidP="00336A42">
            <w:pPr>
              <w:rPr>
                <w:rFonts w:ascii="Arial" w:eastAsia="Calibri" w:hAnsi="Arial" w:cs="Arial"/>
              </w:rPr>
            </w:pPr>
            <w:r w:rsidRPr="00233F34">
              <w:rPr>
                <w:rFonts w:ascii="Arial" w:hAnsi="Arial" w:cs="Arial"/>
              </w:rPr>
              <w:t>All Grades</w:t>
            </w:r>
            <w:r w:rsidRPr="00233F34">
              <w:rPr>
                <w:rFonts w:ascii="Arial" w:hAnsi="Arial" w:cs="Arial"/>
                <w:vertAlign w:val="superscript"/>
              </w:rPr>
              <w:t>a</w:t>
            </w:r>
          </w:p>
        </w:tc>
        <w:tc>
          <w:tcPr>
            <w:tcW w:w="41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34F25" w:rsidRPr="00233F34" w:rsidRDefault="00B34F25" w:rsidP="00336A42">
            <w:pPr>
              <w:rPr>
                <w:rFonts w:ascii="Arial" w:eastAsia="Calibri" w:hAnsi="Arial" w:cs="Arial"/>
              </w:rPr>
            </w:pPr>
            <w:r w:rsidRPr="00233F34">
              <w:rPr>
                <w:rFonts w:ascii="Arial" w:hAnsi="Arial" w:cs="Arial"/>
              </w:rPr>
              <w:t>Grade 3</w:t>
            </w:r>
          </w:p>
        </w:tc>
        <w:tc>
          <w:tcPr>
            <w:tcW w:w="41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34F25" w:rsidRPr="00233F34" w:rsidRDefault="00B34F25" w:rsidP="00336A42">
            <w:pPr>
              <w:rPr>
                <w:rFonts w:ascii="Arial" w:eastAsia="Calibri" w:hAnsi="Arial" w:cs="Arial"/>
              </w:rPr>
            </w:pPr>
            <w:r w:rsidRPr="00233F34">
              <w:rPr>
                <w:rFonts w:ascii="Arial" w:hAnsi="Arial" w:cs="Arial"/>
              </w:rPr>
              <w:t>Grade 4</w:t>
            </w:r>
          </w:p>
        </w:tc>
      </w:tr>
      <w:tr w:rsidR="00B34F25" w:rsidRPr="00233F34" w:rsidTr="00336A42">
        <w:trPr>
          <w:jc w:val="center"/>
        </w:trPr>
        <w:tc>
          <w:tcPr>
            <w:tcW w:w="100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34F25" w:rsidRPr="00233F34" w:rsidRDefault="00B34F25" w:rsidP="00336A42">
            <w:pPr>
              <w:rPr>
                <w:rFonts w:ascii="Arial" w:eastAsia="Calibri" w:hAnsi="Arial" w:cs="Arial"/>
              </w:rPr>
            </w:pPr>
            <w:r w:rsidRPr="00233F34">
              <w:rPr>
                <w:rFonts w:ascii="Arial" w:hAnsi="Arial" w:cs="Arial"/>
              </w:rPr>
              <w:t>Increased Alkaline phosphatase</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B34F25" w:rsidRPr="00233F34" w:rsidRDefault="00B34F25" w:rsidP="00336A42">
            <w:pPr>
              <w:jc w:val="center"/>
              <w:rPr>
                <w:rFonts w:ascii="Arial" w:eastAsia="Calibri" w:hAnsi="Arial" w:cs="Arial"/>
              </w:rPr>
            </w:pPr>
            <w:r w:rsidRPr="00233F34">
              <w:rPr>
                <w:rFonts w:ascii="Arial" w:hAnsi="Arial" w:cs="Arial"/>
              </w:rPr>
              <w:t>26</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34F25" w:rsidRPr="00233F34" w:rsidRDefault="00B34F25" w:rsidP="00336A42">
            <w:pPr>
              <w:rPr>
                <w:rFonts w:ascii="Arial" w:eastAsia="Calibri" w:hAnsi="Arial" w:cs="Arial"/>
              </w:rPr>
            </w:pPr>
            <w:r w:rsidRPr="00233F34">
              <w:rPr>
                <w:rFonts w:ascii="Arial" w:hAnsi="Arial" w:cs="Arial"/>
                <w:color w:val="1F497D"/>
              </w:rPr>
              <w:t>2</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34F25" w:rsidRPr="00233F34" w:rsidRDefault="00B34F25" w:rsidP="00336A42">
            <w:pPr>
              <w:rPr>
                <w:rFonts w:ascii="Arial" w:eastAsia="Calibri" w:hAnsi="Arial" w:cs="Arial"/>
              </w:rPr>
            </w:pPr>
            <w:r w:rsidRPr="00233F34">
              <w:rPr>
                <w:rFonts w:ascii="Arial" w:hAnsi="Arial" w:cs="Arial"/>
              </w:rPr>
              <w:t>0</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B34F25" w:rsidRPr="00233F34" w:rsidRDefault="00B34F25" w:rsidP="00336A42">
            <w:pPr>
              <w:rPr>
                <w:rFonts w:ascii="Arial" w:eastAsia="Calibri" w:hAnsi="Arial" w:cs="Arial"/>
              </w:rPr>
            </w:pPr>
            <w:r w:rsidRPr="00233F34">
              <w:rPr>
                <w:rFonts w:ascii="Arial" w:hAnsi="Arial" w:cs="Arial"/>
              </w:rPr>
              <w:t>67</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34F25" w:rsidRPr="00233F34" w:rsidRDefault="00B34F25" w:rsidP="00336A42">
            <w:pPr>
              <w:rPr>
                <w:rFonts w:ascii="Arial" w:eastAsia="Calibri" w:hAnsi="Arial" w:cs="Arial"/>
              </w:rPr>
            </w:pPr>
            <w:r w:rsidRPr="00233F34">
              <w:rPr>
                <w:rFonts w:ascii="Arial" w:hAnsi="Arial" w:cs="Arial"/>
              </w:rPr>
              <w:t>6</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34F25" w:rsidRPr="00233F34" w:rsidRDefault="00B34F25" w:rsidP="00336A42">
            <w:pPr>
              <w:rPr>
                <w:rFonts w:ascii="Arial" w:eastAsia="Calibri" w:hAnsi="Arial" w:cs="Arial"/>
              </w:rPr>
            </w:pPr>
            <w:r w:rsidRPr="00233F34">
              <w:rPr>
                <w:rFonts w:ascii="Arial" w:hAnsi="Arial" w:cs="Arial"/>
              </w:rPr>
              <w:t>0</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B34F25" w:rsidRPr="00233F34" w:rsidRDefault="00B34F25" w:rsidP="00336A42">
            <w:pPr>
              <w:rPr>
                <w:rFonts w:ascii="Arial" w:eastAsia="Calibri" w:hAnsi="Arial" w:cs="Arial"/>
              </w:rPr>
            </w:pPr>
            <w:r w:rsidRPr="00233F34">
              <w:rPr>
                <w:rFonts w:ascii="Arial" w:hAnsi="Arial" w:cs="Arial"/>
              </w:rPr>
              <w:t>60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34F25" w:rsidRPr="00233F34" w:rsidRDefault="00B34F25" w:rsidP="00336A42">
            <w:pPr>
              <w:rPr>
                <w:rFonts w:ascii="Arial" w:eastAsia="Calibri" w:hAnsi="Arial" w:cs="Arial"/>
              </w:rPr>
            </w:pPr>
            <w:r w:rsidRPr="00233F34">
              <w:rPr>
                <w:rFonts w:ascii="Arial" w:hAnsi="Arial" w:cs="Arial"/>
              </w:rPr>
              <w:t>2</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34F25" w:rsidRPr="00233F34" w:rsidRDefault="00B34F25" w:rsidP="00336A42">
            <w:pPr>
              <w:rPr>
                <w:rFonts w:ascii="Arial" w:eastAsia="Calibri" w:hAnsi="Arial" w:cs="Arial"/>
              </w:rPr>
            </w:pPr>
            <w:r w:rsidRPr="00233F34">
              <w:rPr>
                <w:rFonts w:ascii="Arial" w:hAnsi="Arial" w:cs="Arial"/>
              </w:rPr>
              <w:t>0</w:t>
            </w:r>
          </w:p>
        </w:tc>
      </w:tr>
      <w:tr w:rsidR="00B34F25" w:rsidRPr="00233F34" w:rsidTr="00336A42">
        <w:trPr>
          <w:jc w:val="center"/>
        </w:trPr>
        <w:tc>
          <w:tcPr>
            <w:tcW w:w="100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34F25" w:rsidRPr="00233F34" w:rsidRDefault="00B34F25" w:rsidP="00336A42">
            <w:pPr>
              <w:rPr>
                <w:rFonts w:ascii="Arial" w:eastAsia="Calibri" w:hAnsi="Arial" w:cs="Arial"/>
              </w:rPr>
            </w:pPr>
            <w:r w:rsidRPr="00233F34">
              <w:rPr>
                <w:rFonts w:ascii="Arial" w:hAnsi="Arial" w:cs="Arial"/>
              </w:rPr>
              <w:t>Increased AST</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B34F25" w:rsidRPr="00233F34" w:rsidRDefault="00B34F25" w:rsidP="00336A42">
            <w:pPr>
              <w:jc w:val="center"/>
              <w:rPr>
                <w:rFonts w:ascii="Arial" w:eastAsia="Calibri" w:hAnsi="Arial" w:cs="Arial"/>
              </w:rPr>
            </w:pPr>
            <w:r w:rsidRPr="00233F34">
              <w:rPr>
                <w:rFonts w:ascii="Arial" w:hAnsi="Arial" w:cs="Arial"/>
              </w:rPr>
              <w:t>15</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34F25" w:rsidRPr="00233F34" w:rsidRDefault="00B34F25" w:rsidP="00336A42">
            <w:pPr>
              <w:rPr>
                <w:rFonts w:ascii="Arial" w:eastAsia="Calibri" w:hAnsi="Arial" w:cs="Arial"/>
              </w:rPr>
            </w:pPr>
            <w:r w:rsidRPr="00233F34">
              <w:rPr>
                <w:rFonts w:ascii="Arial" w:hAnsi="Arial" w:cs="Arial"/>
              </w:rPr>
              <w:t>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34F25" w:rsidRPr="00233F34" w:rsidRDefault="00B34F25" w:rsidP="00336A42">
            <w:pPr>
              <w:rPr>
                <w:rFonts w:ascii="Arial" w:eastAsia="Calibri" w:hAnsi="Arial" w:cs="Arial"/>
              </w:rPr>
            </w:pPr>
            <w:r w:rsidRPr="00233F34">
              <w:rPr>
                <w:rFonts w:ascii="Arial" w:hAnsi="Arial" w:cs="Arial"/>
              </w:rPr>
              <w:t>0</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B34F25" w:rsidRPr="00233F34" w:rsidRDefault="00B34F25" w:rsidP="00336A42">
            <w:pPr>
              <w:rPr>
                <w:rFonts w:ascii="Arial" w:eastAsia="Calibri" w:hAnsi="Arial" w:cs="Arial"/>
              </w:rPr>
            </w:pPr>
            <w:r w:rsidRPr="00233F34">
              <w:rPr>
                <w:rFonts w:ascii="Arial" w:hAnsi="Arial" w:cs="Arial"/>
              </w:rPr>
              <w:t>54</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34F25" w:rsidRPr="00233F34" w:rsidRDefault="00B34F25" w:rsidP="00336A42">
            <w:pPr>
              <w:rPr>
                <w:rFonts w:ascii="Arial" w:eastAsia="Calibri" w:hAnsi="Arial" w:cs="Arial"/>
              </w:rPr>
            </w:pPr>
            <w:r w:rsidRPr="00233F34">
              <w:rPr>
                <w:rFonts w:ascii="Arial" w:hAnsi="Arial" w:cs="Arial"/>
              </w:rPr>
              <w:t>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34F25" w:rsidRPr="00233F34" w:rsidRDefault="00B34F25" w:rsidP="00336A42">
            <w:pPr>
              <w:rPr>
                <w:rFonts w:ascii="Arial" w:eastAsia="Calibri" w:hAnsi="Arial" w:cs="Arial"/>
              </w:rPr>
            </w:pPr>
            <w:r w:rsidRPr="00233F34">
              <w:rPr>
                <w:rFonts w:ascii="Arial" w:hAnsi="Arial" w:cs="Arial"/>
              </w:rPr>
              <w:t>0</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B34F25" w:rsidRPr="00233F34" w:rsidRDefault="00B34F25" w:rsidP="00336A42">
            <w:pPr>
              <w:rPr>
                <w:rFonts w:ascii="Arial" w:eastAsia="Calibri" w:hAnsi="Arial" w:cs="Arial"/>
              </w:rPr>
            </w:pPr>
            <w:r w:rsidRPr="00233F34">
              <w:rPr>
                <w:rFonts w:ascii="Arial" w:hAnsi="Arial" w:cs="Arial"/>
              </w:rPr>
              <w:t>60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34F25" w:rsidRPr="00233F34" w:rsidRDefault="00B34F25" w:rsidP="00336A42">
            <w:pPr>
              <w:rPr>
                <w:rFonts w:ascii="Arial" w:eastAsia="Calibri" w:hAnsi="Arial" w:cs="Arial"/>
              </w:rPr>
            </w:pPr>
            <w:r w:rsidRPr="00233F34">
              <w:rPr>
                <w:rFonts w:ascii="Arial" w:hAnsi="Arial" w:cs="Arial"/>
              </w:rPr>
              <w:t>5</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34F25" w:rsidRPr="00233F34" w:rsidRDefault="00B34F25" w:rsidP="00336A42">
            <w:pPr>
              <w:rPr>
                <w:rFonts w:ascii="Arial" w:eastAsia="Calibri" w:hAnsi="Arial" w:cs="Arial"/>
              </w:rPr>
            </w:pPr>
            <w:r w:rsidRPr="00233F34">
              <w:rPr>
                <w:rFonts w:ascii="Arial" w:hAnsi="Arial" w:cs="Arial"/>
              </w:rPr>
              <w:t>0</w:t>
            </w:r>
          </w:p>
        </w:tc>
      </w:tr>
      <w:tr w:rsidR="00B34F25" w:rsidRPr="00233F34" w:rsidTr="00336A42">
        <w:trPr>
          <w:jc w:val="center"/>
        </w:trPr>
        <w:tc>
          <w:tcPr>
            <w:tcW w:w="100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34F25" w:rsidRPr="00233F34" w:rsidRDefault="00B34F25" w:rsidP="00336A42">
            <w:pPr>
              <w:rPr>
                <w:rFonts w:ascii="Arial" w:eastAsia="Calibri" w:hAnsi="Arial" w:cs="Arial"/>
              </w:rPr>
            </w:pPr>
            <w:r w:rsidRPr="00233F34">
              <w:rPr>
                <w:rFonts w:ascii="Arial" w:hAnsi="Arial" w:cs="Arial"/>
              </w:rPr>
              <w:t>Increased ALT</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B34F25" w:rsidRPr="00233F34" w:rsidRDefault="00B34F25" w:rsidP="00336A42">
            <w:pPr>
              <w:jc w:val="center"/>
              <w:rPr>
                <w:rFonts w:ascii="Arial" w:eastAsia="Calibri" w:hAnsi="Arial" w:cs="Arial"/>
              </w:rPr>
            </w:pPr>
            <w:r w:rsidRPr="00233F34">
              <w:rPr>
                <w:rFonts w:ascii="Arial" w:hAnsi="Arial" w:cs="Arial"/>
              </w:rPr>
              <w:t>11</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34F25" w:rsidRPr="00233F34" w:rsidRDefault="00B34F25" w:rsidP="00336A42">
            <w:pPr>
              <w:rPr>
                <w:rFonts w:ascii="Arial" w:eastAsia="Calibri" w:hAnsi="Arial" w:cs="Arial"/>
              </w:rPr>
            </w:pPr>
            <w:r w:rsidRPr="00233F34">
              <w:rPr>
                <w:rFonts w:ascii="Arial" w:hAnsi="Arial" w:cs="Arial"/>
              </w:rPr>
              <w:t>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34F25" w:rsidRPr="00233F34" w:rsidRDefault="00B34F25" w:rsidP="00336A42">
            <w:pPr>
              <w:rPr>
                <w:rFonts w:ascii="Arial" w:eastAsia="Calibri" w:hAnsi="Arial" w:cs="Arial"/>
              </w:rPr>
            </w:pPr>
            <w:r w:rsidRPr="00233F34">
              <w:rPr>
                <w:rFonts w:ascii="Arial" w:hAnsi="Arial" w:cs="Arial"/>
              </w:rPr>
              <w:t>0</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B34F25" w:rsidRPr="00233F34" w:rsidRDefault="00B34F25" w:rsidP="00336A42">
            <w:pPr>
              <w:rPr>
                <w:rFonts w:ascii="Arial" w:eastAsia="Calibri" w:hAnsi="Arial" w:cs="Arial"/>
              </w:rPr>
            </w:pPr>
            <w:r w:rsidRPr="00233F34">
              <w:rPr>
                <w:rFonts w:ascii="Arial" w:hAnsi="Arial" w:cs="Arial"/>
              </w:rPr>
              <w:t>35</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34F25" w:rsidRPr="00233F34" w:rsidRDefault="00B34F25" w:rsidP="00336A42">
            <w:pPr>
              <w:rPr>
                <w:rFonts w:ascii="Arial" w:eastAsia="Calibri" w:hAnsi="Arial" w:cs="Arial"/>
              </w:rPr>
            </w:pPr>
            <w:r w:rsidRPr="00233F34">
              <w:rPr>
                <w:rFonts w:ascii="Arial" w:hAnsi="Arial" w:cs="Arial"/>
                <w:color w:val="1F497D"/>
              </w:rPr>
              <w:t>4</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34F25" w:rsidRPr="00233F34" w:rsidRDefault="00B34F25" w:rsidP="00336A42">
            <w:pPr>
              <w:rPr>
                <w:rFonts w:ascii="Arial" w:eastAsia="Calibri" w:hAnsi="Arial" w:cs="Arial"/>
              </w:rPr>
            </w:pPr>
            <w:r w:rsidRPr="00233F34">
              <w:rPr>
                <w:rFonts w:ascii="Arial" w:hAnsi="Arial" w:cs="Arial"/>
              </w:rPr>
              <w:t>0</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B34F25" w:rsidRPr="00233F34" w:rsidRDefault="00B34F25" w:rsidP="00336A42">
            <w:pPr>
              <w:rPr>
                <w:rFonts w:ascii="Arial" w:eastAsia="Calibri" w:hAnsi="Arial" w:cs="Arial"/>
              </w:rPr>
            </w:pPr>
            <w:r w:rsidRPr="00233F34">
              <w:rPr>
                <w:rFonts w:ascii="Arial" w:hAnsi="Arial" w:cs="Arial"/>
              </w:rPr>
              <w:t>42</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34F25" w:rsidRPr="00233F34" w:rsidRDefault="00B34F25" w:rsidP="00336A42">
            <w:pPr>
              <w:rPr>
                <w:rFonts w:ascii="Arial" w:eastAsia="Calibri" w:hAnsi="Arial" w:cs="Arial"/>
              </w:rPr>
            </w:pPr>
            <w:r w:rsidRPr="00233F34">
              <w:rPr>
                <w:rFonts w:ascii="Arial" w:hAnsi="Arial" w:cs="Arial"/>
              </w:rPr>
              <w:t>4</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34F25" w:rsidRPr="00233F34" w:rsidRDefault="00B34F25" w:rsidP="00336A42">
            <w:pPr>
              <w:rPr>
                <w:rFonts w:ascii="Arial" w:eastAsia="Calibri" w:hAnsi="Arial" w:cs="Arial"/>
              </w:rPr>
            </w:pPr>
            <w:r w:rsidRPr="00233F34">
              <w:rPr>
                <w:rFonts w:ascii="Arial" w:hAnsi="Arial" w:cs="Arial"/>
              </w:rPr>
              <w:t>0</w:t>
            </w:r>
          </w:p>
        </w:tc>
      </w:tr>
      <w:tr w:rsidR="00B34F25" w:rsidRPr="00233F34" w:rsidTr="00336A42">
        <w:trPr>
          <w:jc w:val="center"/>
        </w:trPr>
        <w:tc>
          <w:tcPr>
            <w:tcW w:w="100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34F25" w:rsidRPr="00233F34" w:rsidRDefault="00B34F25" w:rsidP="00336A42">
            <w:pPr>
              <w:rPr>
                <w:rFonts w:ascii="Arial" w:eastAsia="Calibri" w:hAnsi="Arial" w:cs="Arial"/>
              </w:rPr>
            </w:pPr>
            <w:r w:rsidRPr="00233F34">
              <w:rPr>
                <w:rFonts w:ascii="Arial" w:hAnsi="Arial" w:cs="Arial"/>
              </w:rPr>
              <w:t>Hyperbilirubinemia</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B34F25" w:rsidRPr="00233F34" w:rsidRDefault="00B34F25" w:rsidP="00336A42">
            <w:pPr>
              <w:jc w:val="center"/>
              <w:rPr>
                <w:rFonts w:ascii="Arial" w:eastAsia="Calibri" w:hAnsi="Arial" w:cs="Arial"/>
              </w:rPr>
            </w:pPr>
            <w:r w:rsidRPr="00233F34">
              <w:rPr>
                <w:rFonts w:ascii="Arial" w:hAnsi="Arial" w:cs="Arial"/>
              </w:rPr>
              <w:t>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34F25" w:rsidRPr="00233F34" w:rsidRDefault="00B34F25" w:rsidP="00336A42">
            <w:pPr>
              <w:rPr>
                <w:rFonts w:ascii="Arial" w:eastAsia="Calibri" w:hAnsi="Arial" w:cs="Arial"/>
              </w:rPr>
            </w:pPr>
            <w:r w:rsidRPr="00233F34">
              <w:rPr>
                <w:rFonts w:ascii="Arial" w:hAnsi="Arial" w:cs="Arial"/>
              </w:rPr>
              <w:t>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34F25" w:rsidRPr="00233F34" w:rsidRDefault="00B34F25" w:rsidP="00336A42">
            <w:pPr>
              <w:rPr>
                <w:rFonts w:ascii="Arial" w:eastAsia="Calibri" w:hAnsi="Arial" w:cs="Arial"/>
              </w:rPr>
            </w:pPr>
            <w:r w:rsidRPr="00233F34">
              <w:rPr>
                <w:rFonts w:ascii="Arial" w:hAnsi="Arial" w:cs="Arial"/>
              </w:rPr>
              <w:t>0</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B34F25" w:rsidRPr="00233F34" w:rsidRDefault="00B34F25" w:rsidP="00336A42">
            <w:pPr>
              <w:rPr>
                <w:rFonts w:ascii="Arial" w:eastAsia="Calibri" w:hAnsi="Arial" w:cs="Arial"/>
              </w:rPr>
            </w:pPr>
            <w:r w:rsidRPr="00233F34">
              <w:rPr>
                <w:rFonts w:ascii="Arial" w:hAnsi="Arial" w:cs="Arial"/>
              </w:rPr>
              <w:t>7</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34F25" w:rsidRPr="00233F34" w:rsidRDefault="00B34F25" w:rsidP="00336A42">
            <w:pPr>
              <w:rPr>
                <w:rFonts w:ascii="Arial" w:eastAsia="Calibri" w:hAnsi="Arial" w:cs="Arial"/>
              </w:rPr>
            </w:pPr>
            <w:r w:rsidRPr="00233F34">
              <w:rPr>
                <w:rFonts w:ascii="Arial" w:hAnsi="Arial" w:cs="Arial"/>
              </w:rPr>
              <w:t>4</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34F25" w:rsidRPr="00233F34" w:rsidRDefault="00B34F25" w:rsidP="00336A42">
            <w:pPr>
              <w:rPr>
                <w:rFonts w:ascii="Arial" w:eastAsia="Calibri" w:hAnsi="Arial" w:cs="Arial"/>
              </w:rPr>
            </w:pPr>
            <w:r w:rsidRPr="00233F34">
              <w:rPr>
                <w:rFonts w:ascii="Arial" w:hAnsi="Arial" w:cs="Arial"/>
              </w:rPr>
              <w:t>0</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B34F25" w:rsidRPr="00233F34" w:rsidRDefault="00B34F25" w:rsidP="00336A42">
            <w:pPr>
              <w:rPr>
                <w:rFonts w:ascii="Arial" w:eastAsia="Calibri" w:hAnsi="Arial" w:cs="Arial"/>
              </w:rPr>
            </w:pPr>
            <w:r w:rsidRPr="00233F34">
              <w:rPr>
                <w:rFonts w:ascii="Arial" w:hAnsi="Arial" w:cs="Arial"/>
              </w:rPr>
              <w:t>15</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34F25" w:rsidRPr="00233F34" w:rsidRDefault="00B34F25" w:rsidP="00336A42">
            <w:pPr>
              <w:rPr>
                <w:rFonts w:ascii="Arial" w:eastAsia="Calibri" w:hAnsi="Arial" w:cs="Arial"/>
              </w:rPr>
            </w:pPr>
            <w:r w:rsidRPr="00233F34">
              <w:rPr>
                <w:rFonts w:ascii="Arial" w:hAnsi="Arial" w:cs="Arial"/>
              </w:rPr>
              <w:t>0</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34F25" w:rsidRPr="00233F34" w:rsidRDefault="00B34F25" w:rsidP="00336A42">
            <w:pPr>
              <w:rPr>
                <w:rFonts w:ascii="Arial" w:eastAsia="Calibri" w:hAnsi="Arial" w:cs="Arial"/>
              </w:rPr>
            </w:pPr>
            <w:r w:rsidRPr="00233F34">
              <w:rPr>
                <w:rFonts w:ascii="Arial" w:hAnsi="Arial" w:cs="Arial"/>
              </w:rPr>
              <w:t>0</w:t>
            </w:r>
          </w:p>
        </w:tc>
      </w:tr>
    </w:tbl>
    <w:p w:rsidR="00120FB9" w:rsidRPr="00564881" w:rsidRDefault="00564881" w:rsidP="00120FB9">
      <w:pPr>
        <w:rPr>
          <w:rFonts w:ascii="Arial" w:eastAsia="Calibri" w:hAnsi="Arial" w:cs="Arial"/>
          <w:color w:val="1F497D"/>
          <w:sz w:val="18"/>
          <w:szCs w:val="18"/>
          <w:lang w:val="en-US"/>
        </w:rPr>
      </w:pPr>
      <w:r w:rsidRPr="00564881">
        <w:rPr>
          <w:rFonts w:ascii="Arial" w:eastAsia="Calibri" w:hAnsi="Arial" w:cs="Arial"/>
          <w:color w:val="1F497D"/>
          <w:sz w:val="18"/>
          <w:szCs w:val="18"/>
          <w:vertAlign w:val="superscript"/>
          <w:lang w:val="en-US"/>
        </w:rPr>
        <w:t>a</w:t>
      </w:r>
      <w:r w:rsidRPr="00564881">
        <w:rPr>
          <w:rFonts w:ascii="Arial" w:eastAsia="Calibri" w:hAnsi="Arial" w:cs="Arial"/>
          <w:color w:val="1F497D"/>
          <w:sz w:val="18"/>
          <w:szCs w:val="18"/>
          <w:lang w:val="en-US"/>
        </w:rPr>
        <w:t xml:space="preserve"> No Grade 4 events were reported in dabrafenib arm.</w:t>
      </w:r>
    </w:p>
    <w:p w:rsidR="00120FB9" w:rsidRDefault="00120FB9" w:rsidP="00120FB9">
      <w:pPr>
        <w:rPr>
          <w:color w:val="1F497D"/>
          <w:lang w:val="en-US"/>
        </w:rPr>
      </w:pPr>
    </w:p>
    <w:p w:rsidR="00902814" w:rsidRDefault="00902814" w:rsidP="00902814">
      <w:pPr>
        <w:rPr>
          <w:rFonts w:ascii="Arial" w:hAnsi="Arial" w:cs="Arial"/>
          <w:b/>
          <w:sz w:val="22"/>
          <w:szCs w:val="22"/>
        </w:rPr>
      </w:pPr>
      <w:r>
        <w:rPr>
          <w:rFonts w:ascii="Arial" w:hAnsi="Arial" w:cs="Arial"/>
          <w:b/>
          <w:sz w:val="22"/>
          <w:szCs w:val="22"/>
        </w:rPr>
        <w:t>QT Prolongation</w:t>
      </w:r>
      <w:r w:rsidRPr="00902814">
        <w:rPr>
          <w:rFonts w:ascii="Arial" w:hAnsi="Arial" w:cs="Arial"/>
          <w:b/>
          <w:sz w:val="22"/>
          <w:szCs w:val="22"/>
        </w:rPr>
        <w:t xml:space="preserve"> </w:t>
      </w:r>
    </w:p>
    <w:p w:rsidR="00902814" w:rsidRPr="00902814" w:rsidRDefault="00902814" w:rsidP="00902814">
      <w:pPr>
        <w:rPr>
          <w:rFonts w:ascii="Arial" w:hAnsi="Arial" w:cs="Arial"/>
          <w:sz w:val="22"/>
          <w:szCs w:val="22"/>
        </w:rPr>
      </w:pPr>
      <w:r w:rsidRPr="00902814">
        <w:rPr>
          <w:rFonts w:ascii="Arial" w:hAnsi="Arial" w:cs="Arial"/>
          <w:sz w:val="22"/>
          <w:szCs w:val="22"/>
        </w:rPr>
        <w:t>In</w:t>
      </w:r>
      <w:r w:rsidR="00122B3C">
        <w:rPr>
          <w:rFonts w:ascii="Arial" w:hAnsi="Arial" w:cs="Arial"/>
          <w:sz w:val="22"/>
          <w:szCs w:val="22"/>
        </w:rPr>
        <w:t xml:space="preserve"> BRF113220</w:t>
      </w:r>
      <w:r w:rsidRPr="00902814">
        <w:rPr>
          <w:rFonts w:ascii="Arial" w:hAnsi="Arial" w:cs="Arial"/>
          <w:sz w:val="22"/>
          <w:szCs w:val="22"/>
        </w:rPr>
        <w:t>, QTcF prolongation to &gt;500 msec occurred in 4% (2/55) of patients</w:t>
      </w:r>
      <w:r>
        <w:rPr>
          <w:rFonts w:ascii="Arial" w:hAnsi="Arial" w:cs="Arial"/>
          <w:sz w:val="22"/>
          <w:szCs w:val="22"/>
        </w:rPr>
        <w:t xml:space="preserve"> </w:t>
      </w:r>
      <w:r w:rsidRPr="00902814">
        <w:rPr>
          <w:rFonts w:ascii="Arial" w:hAnsi="Arial" w:cs="Arial"/>
          <w:sz w:val="22"/>
          <w:szCs w:val="22"/>
        </w:rPr>
        <w:t>treated with MEKINIST in combination with dabrafenib and in 2% (1/53) of patients treated with dabrafenib as a single agent. The QTcF was increased more than 60 msec from baseline in 13% (7/55) of patients treated with MEKINIST in combination with dabrafenib and 2% (1/53) of patients treated with dabrafenib as a single agent.</w:t>
      </w:r>
    </w:p>
    <w:p w:rsidR="00902814" w:rsidRDefault="00902814" w:rsidP="00C43BEA">
      <w:pPr>
        <w:rPr>
          <w:rFonts w:ascii="Arial" w:hAnsi="Arial" w:cs="Arial"/>
          <w:b/>
          <w:sz w:val="22"/>
          <w:szCs w:val="22"/>
        </w:rPr>
      </w:pPr>
    </w:p>
    <w:p w:rsidR="00355A69" w:rsidRDefault="00A55701" w:rsidP="00C43BEA">
      <w:pPr>
        <w:rPr>
          <w:rFonts w:ascii="Arial" w:hAnsi="Arial" w:cs="Arial"/>
          <w:b/>
          <w:sz w:val="22"/>
          <w:szCs w:val="22"/>
        </w:rPr>
      </w:pPr>
      <w:r w:rsidRPr="00A55701">
        <w:rPr>
          <w:rFonts w:ascii="Arial" w:hAnsi="Arial" w:cs="Arial"/>
          <w:b/>
          <w:sz w:val="22"/>
          <w:szCs w:val="22"/>
        </w:rPr>
        <w:t>Special Populations</w:t>
      </w:r>
    </w:p>
    <w:p w:rsidR="00355A69" w:rsidRPr="00355A69" w:rsidRDefault="00355A69" w:rsidP="00C43BEA">
      <w:pPr>
        <w:rPr>
          <w:rFonts w:ascii="Arial" w:hAnsi="Arial" w:cs="Arial"/>
          <w:b/>
          <w:sz w:val="22"/>
          <w:szCs w:val="22"/>
        </w:rPr>
      </w:pPr>
    </w:p>
    <w:p w:rsidR="00355A69" w:rsidRPr="00355A69" w:rsidRDefault="00355A69" w:rsidP="00355A69">
      <w:pPr>
        <w:rPr>
          <w:rFonts w:ascii="Arial" w:hAnsi="Arial" w:cs="Arial"/>
          <w:i/>
          <w:sz w:val="22"/>
          <w:szCs w:val="22"/>
        </w:rPr>
      </w:pPr>
      <w:r w:rsidRPr="00355A69">
        <w:rPr>
          <w:rFonts w:ascii="Arial" w:hAnsi="Arial" w:cs="Arial"/>
          <w:i/>
          <w:sz w:val="22"/>
          <w:szCs w:val="22"/>
        </w:rPr>
        <w:t>Elderly  population:</w:t>
      </w:r>
    </w:p>
    <w:p w:rsidR="00355A69" w:rsidRPr="00355A69" w:rsidRDefault="00355A69" w:rsidP="00355A69">
      <w:pPr>
        <w:rPr>
          <w:rFonts w:ascii="Arial" w:hAnsi="Arial" w:cs="Arial"/>
          <w:sz w:val="22"/>
          <w:szCs w:val="22"/>
        </w:rPr>
      </w:pPr>
      <w:r w:rsidRPr="00355A69">
        <w:rPr>
          <w:rFonts w:ascii="Arial" w:hAnsi="Arial" w:cs="Arial"/>
          <w:sz w:val="22"/>
          <w:szCs w:val="22"/>
          <w:lang w:val="en-US"/>
        </w:rPr>
        <w:t xml:space="preserve">In the phase III study with </w:t>
      </w:r>
      <w:r w:rsidR="000E0FC0">
        <w:rPr>
          <w:rFonts w:ascii="Arial" w:hAnsi="Arial" w:cs="Arial"/>
          <w:sz w:val="22"/>
          <w:szCs w:val="22"/>
          <w:lang w:val="en-US"/>
        </w:rPr>
        <w:t>MEKINIST</w:t>
      </w:r>
      <w:r w:rsidRPr="00355A69">
        <w:rPr>
          <w:rFonts w:ascii="Arial" w:hAnsi="Arial" w:cs="Arial"/>
          <w:sz w:val="22"/>
          <w:szCs w:val="22"/>
          <w:lang w:val="en-US"/>
        </w:rPr>
        <w:t xml:space="preserve"> in patients with unresectable or metastatic melanoma (n = 211), 49 patients (23%) were ≥ 65 years of age, and 9 patients (4%) were ≥ 75 years of age. The proportion of subjects experiencing adverse events (AE) and serious adverse events (SAE) was similar in the subjects aged &lt; 65 years and those aged ≥ 65 years. Patients ≥ 65 years were more likely to experience AEs leading to permanent discontinuation of study drug, dose reduction and dose interruption than those &lt; 65 years.</w:t>
      </w:r>
    </w:p>
    <w:p w:rsidR="00355A69" w:rsidRPr="00355A69" w:rsidRDefault="00355A69" w:rsidP="00355A69">
      <w:pPr>
        <w:rPr>
          <w:rFonts w:ascii="Arial" w:hAnsi="Arial" w:cs="Arial"/>
          <w:sz w:val="22"/>
          <w:szCs w:val="22"/>
        </w:rPr>
      </w:pPr>
      <w:r w:rsidRPr="00355A69">
        <w:rPr>
          <w:rFonts w:ascii="Arial" w:hAnsi="Arial" w:cs="Arial"/>
          <w:sz w:val="22"/>
          <w:szCs w:val="22"/>
        </w:rPr>
        <w:t> </w:t>
      </w:r>
    </w:p>
    <w:p w:rsidR="00355A69" w:rsidRPr="00355A69" w:rsidRDefault="00355A69" w:rsidP="00355A69">
      <w:pPr>
        <w:rPr>
          <w:rFonts w:ascii="Arial" w:hAnsi="Arial" w:cs="Arial"/>
          <w:sz w:val="22"/>
          <w:szCs w:val="22"/>
        </w:rPr>
      </w:pPr>
      <w:r w:rsidRPr="00355A69">
        <w:rPr>
          <w:rFonts w:ascii="Arial" w:hAnsi="Arial" w:cs="Arial"/>
          <w:sz w:val="22"/>
          <w:szCs w:val="22"/>
          <w:lang w:val="en-US"/>
        </w:rPr>
        <w:t xml:space="preserve">In the phase I/II study of </w:t>
      </w:r>
      <w:r w:rsidR="000E0FC0">
        <w:rPr>
          <w:rFonts w:ascii="Arial" w:hAnsi="Arial" w:cs="Arial"/>
          <w:sz w:val="22"/>
          <w:szCs w:val="22"/>
          <w:lang w:val="en-US"/>
        </w:rPr>
        <w:t>MEKINIST</w:t>
      </w:r>
      <w:r w:rsidRPr="00355A69">
        <w:rPr>
          <w:rFonts w:ascii="Arial" w:hAnsi="Arial" w:cs="Arial"/>
          <w:sz w:val="22"/>
          <w:szCs w:val="22"/>
          <w:lang w:val="en-US"/>
        </w:rPr>
        <w:t xml:space="preserve"> in combination with dabrafenib in patients with unresectable or metastatic melanoma (n = 202), 42 patients (21%) were ≥ 65 years of age, and 12 patients (6%) were ≥ 75 years of age. The proportion of subjects experiencing AEs was similar in the subjects aged &lt; 65 years and those aged ≥ 65 years. Patients ≥ 65 years were more likely to experience SAEs, fatal SAEs and AEs leading to permanent discontinuation of study drug, dose reduction and dose interruption than those &lt; 65 years.</w:t>
      </w:r>
    </w:p>
    <w:p w:rsidR="00355A69" w:rsidRPr="004A4BB0" w:rsidRDefault="00355A69" w:rsidP="00C43BEA">
      <w:pPr>
        <w:rPr>
          <w:rFonts w:ascii="Arial" w:hAnsi="Arial" w:cs="Arial"/>
          <w:sz w:val="22"/>
          <w:szCs w:val="22"/>
        </w:rPr>
      </w:pPr>
    </w:p>
    <w:bookmarkEnd w:id="4"/>
    <w:bookmarkEnd w:id="5"/>
    <w:p w:rsidR="0077380F" w:rsidRPr="00620AF0" w:rsidRDefault="0077380F" w:rsidP="00053893">
      <w:pPr>
        <w:spacing w:before="120" w:after="240"/>
        <w:jc w:val="both"/>
        <w:rPr>
          <w:rFonts w:ascii="Arial" w:hAnsi="Arial" w:cs="Arial"/>
          <w:b/>
          <w:sz w:val="22"/>
          <w:szCs w:val="22"/>
        </w:rPr>
      </w:pPr>
      <w:r w:rsidRPr="00620AF0">
        <w:rPr>
          <w:rFonts w:ascii="Arial" w:hAnsi="Arial" w:cs="Arial"/>
          <w:b/>
          <w:sz w:val="22"/>
          <w:szCs w:val="22"/>
        </w:rPr>
        <w:lastRenderedPageBreak/>
        <w:t xml:space="preserve">DOSAGE </w:t>
      </w:r>
      <w:smartTag w:uri="urn:schemas-microsoft-com:office:smarttags" w:element="stockticker">
        <w:r w:rsidRPr="00620AF0">
          <w:rPr>
            <w:rFonts w:ascii="Arial" w:hAnsi="Arial" w:cs="Arial"/>
            <w:b/>
            <w:sz w:val="22"/>
            <w:szCs w:val="22"/>
          </w:rPr>
          <w:t>AND</w:t>
        </w:r>
      </w:smartTag>
      <w:r w:rsidRPr="00620AF0">
        <w:rPr>
          <w:rFonts w:ascii="Arial" w:hAnsi="Arial" w:cs="Arial"/>
          <w:b/>
          <w:sz w:val="22"/>
          <w:szCs w:val="22"/>
        </w:rPr>
        <w:t xml:space="preserve"> ADMINISTRATION</w:t>
      </w:r>
    </w:p>
    <w:p w:rsidR="00445972" w:rsidRDefault="000810CE" w:rsidP="00445972">
      <w:pPr>
        <w:pStyle w:val="CommentText"/>
        <w:spacing w:after="120" w:line="240" w:lineRule="atLeast"/>
        <w:rPr>
          <w:rFonts w:ascii="Arial" w:hAnsi="Arial" w:cs="Arial"/>
          <w:sz w:val="22"/>
          <w:szCs w:val="22"/>
        </w:rPr>
      </w:pPr>
      <w:r w:rsidRPr="00620AF0">
        <w:rPr>
          <w:rFonts w:ascii="Arial" w:hAnsi="Arial" w:cs="Arial"/>
          <w:sz w:val="22"/>
          <w:szCs w:val="22"/>
        </w:rPr>
        <w:t>Confirmation of BRAF</w:t>
      </w:r>
      <w:r w:rsidR="00445972" w:rsidRPr="00620AF0">
        <w:rPr>
          <w:rFonts w:ascii="Arial" w:hAnsi="Arial" w:cs="Arial"/>
          <w:sz w:val="22"/>
          <w:szCs w:val="22"/>
          <w:vertAlign w:val="superscript"/>
        </w:rPr>
        <w:t>V600</w:t>
      </w:r>
      <w:r w:rsidR="00445972" w:rsidRPr="00620AF0">
        <w:rPr>
          <w:rFonts w:ascii="Arial" w:hAnsi="Arial" w:cs="Arial"/>
          <w:sz w:val="22"/>
          <w:szCs w:val="22"/>
        </w:rPr>
        <w:t xml:space="preserve"> mutation using an approved/validated test is required</w:t>
      </w:r>
      <w:r w:rsidR="002F734B">
        <w:rPr>
          <w:rFonts w:ascii="Arial" w:hAnsi="Arial" w:cs="Arial"/>
          <w:sz w:val="22"/>
          <w:szCs w:val="22"/>
        </w:rPr>
        <w:t>,</w:t>
      </w:r>
      <w:r w:rsidR="00445972" w:rsidRPr="00620AF0">
        <w:rPr>
          <w:rFonts w:ascii="Arial" w:hAnsi="Arial" w:cs="Arial"/>
          <w:sz w:val="22"/>
          <w:szCs w:val="22"/>
        </w:rPr>
        <w:t xml:space="preserve"> for selection of patients appropriate for MEKINIST </w:t>
      </w:r>
      <w:r w:rsidR="00856DD1">
        <w:rPr>
          <w:rFonts w:ascii="Arial" w:hAnsi="Arial" w:cs="Arial"/>
          <w:sz w:val="22"/>
          <w:szCs w:val="22"/>
        </w:rPr>
        <w:t>mono</w:t>
      </w:r>
      <w:r w:rsidR="00445972" w:rsidRPr="00620AF0">
        <w:rPr>
          <w:rFonts w:ascii="Arial" w:hAnsi="Arial" w:cs="Arial"/>
          <w:sz w:val="22"/>
          <w:szCs w:val="22"/>
        </w:rPr>
        <w:t>therapy</w:t>
      </w:r>
      <w:r w:rsidR="00EF5516">
        <w:rPr>
          <w:rFonts w:ascii="Arial" w:hAnsi="Arial" w:cs="Arial"/>
          <w:sz w:val="22"/>
          <w:szCs w:val="22"/>
        </w:rPr>
        <w:t xml:space="preserve"> and</w:t>
      </w:r>
      <w:r w:rsidR="00856DD1">
        <w:rPr>
          <w:rFonts w:ascii="Arial" w:hAnsi="Arial" w:cs="Arial"/>
          <w:sz w:val="22"/>
          <w:szCs w:val="22"/>
        </w:rPr>
        <w:t xml:space="preserve"> in combination with </w:t>
      </w:r>
      <w:r w:rsidR="00240E6A">
        <w:rPr>
          <w:rFonts w:ascii="Arial" w:hAnsi="Arial" w:cs="Arial"/>
          <w:sz w:val="22"/>
          <w:szCs w:val="22"/>
        </w:rPr>
        <w:t>dabrafenib</w:t>
      </w:r>
      <w:r w:rsidR="00445972" w:rsidRPr="00620AF0">
        <w:t xml:space="preserve"> </w:t>
      </w:r>
      <w:r w:rsidR="00445972" w:rsidRPr="00620AF0">
        <w:rPr>
          <w:rFonts w:ascii="Arial" w:hAnsi="Arial" w:cs="Arial"/>
          <w:sz w:val="22"/>
          <w:szCs w:val="22"/>
        </w:rPr>
        <w:t xml:space="preserve">(see CLINICAL </w:t>
      </w:r>
      <w:r w:rsidR="0058329F">
        <w:rPr>
          <w:rFonts w:ascii="Arial" w:hAnsi="Arial" w:cs="Arial"/>
          <w:sz w:val="22"/>
          <w:szCs w:val="22"/>
        </w:rPr>
        <w:t>TRIALS</w:t>
      </w:r>
      <w:r w:rsidR="00445972" w:rsidRPr="00620AF0">
        <w:rPr>
          <w:rFonts w:ascii="Arial" w:hAnsi="Arial" w:cs="Arial"/>
          <w:sz w:val="22"/>
          <w:szCs w:val="22"/>
        </w:rPr>
        <w:t xml:space="preserve">). </w:t>
      </w:r>
    </w:p>
    <w:p w:rsidR="00EF5516" w:rsidRPr="00EF5516" w:rsidRDefault="00EF5516" w:rsidP="00EF5516">
      <w:pPr>
        <w:pStyle w:val="CommentText"/>
        <w:spacing w:after="120" w:line="240" w:lineRule="atLeast"/>
        <w:rPr>
          <w:rFonts w:ascii="Arial" w:hAnsi="Arial" w:cs="Arial"/>
          <w:bCs/>
          <w:sz w:val="22"/>
          <w:szCs w:val="22"/>
          <w:lang w:val="en-GB"/>
        </w:rPr>
      </w:pPr>
      <w:r>
        <w:rPr>
          <w:rFonts w:ascii="Arial" w:hAnsi="Arial" w:cs="Arial"/>
          <w:bCs/>
          <w:sz w:val="22"/>
          <w:szCs w:val="22"/>
          <w:lang w:val="en-GB"/>
        </w:rPr>
        <w:t>When MEKINIST</w:t>
      </w:r>
      <w:r w:rsidRPr="00EF5516">
        <w:rPr>
          <w:rFonts w:ascii="Arial" w:hAnsi="Arial" w:cs="Arial"/>
          <w:bCs/>
          <w:sz w:val="22"/>
          <w:szCs w:val="22"/>
          <w:lang w:val="en-GB"/>
        </w:rPr>
        <w:t xml:space="preserve"> is used in combination with dabrafenib, refer to the full dabrafenib presc</w:t>
      </w:r>
      <w:r>
        <w:rPr>
          <w:rFonts w:ascii="Arial" w:hAnsi="Arial" w:cs="Arial"/>
          <w:bCs/>
          <w:sz w:val="22"/>
          <w:szCs w:val="22"/>
          <w:lang w:val="en-GB"/>
        </w:rPr>
        <w:t>ribing information, DOSAGE AND ADMINISTRATION</w:t>
      </w:r>
      <w:r w:rsidRPr="00EF5516">
        <w:rPr>
          <w:rFonts w:ascii="Arial" w:hAnsi="Arial" w:cs="Arial"/>
          <w:bCs/>
          <w:sz w:val="22"/>
          <w:szCs w:val="22"/>
          <w:lang w:val="en-GB"/>
        </w:rPr>
        <w:t>, for dabrafenib dosing instructions</w:t>
      </w:r>
    </w:p>
    <w:p w:rsidR="00613405" w:rsidRPr="00856DD1" w:rsidRDefault="00223FCE" w:rsidP="00445972">
      <w:pPr>
        <w:spacing w:after="120" w:line="240" w:lineRule="atLeast"/>
        <w:rPr>
          <w:rFonts w:ascii="Arial" w:hAnsi="Arial" w:cs="Arial"/>
          <w:b/>
          <w:sz w:val="22"/>
          <w:szCs w:val="22"/>
          <w:u w:val="single"/>
        </w:rPr>
      </w:pPr>
      <w:r w:rsidRPr="00856DD1">
        <w:rPr>
          <w:rFonts w:ascii="Arial" w:hAnsi="Arial" w:cs="Arial"/>
          <w:b/>
          <w:sz w:val="22"/>
          <w:szCs w:val="22"/>
          <w:u w:val="single"/>
        </w:rPr>
        <w:t>Adult</w:t>
      </w:r>
    </w:p>
    <w:p w:rsidR="00445972" w:rsidRPr="00620AF0" w:rsidRDefault="00445972" w:rsidP="00445972">
      <w:pPr>
        <w:spacing w:after="120" w:line="240" w:lineRule="atLeast"/>
        <w:rPr>
          <w:rFonts w:ascii="Arial" w:hAnsi="Arial" w:cs="Arial"/>
          <w:sz w:val="22"/>
          <w:szCs w:val="22"/>
        </w:rPr>
      </w:pPr>
      <w:r w:rsidRPr="00620AF0">
        <w:rPr>
          <w:rFonts w:ascii="Arial" w:hAnsi="Arial" w:cs="Arial"/>
          <w:sz w:val="22"/>
          <w:szCs w:val="22"/>
        </w:rPr>
        <w:t xml:space="preserve">The recommended dose of MEKINIST </w:t>
      </w:r>
      <w:r w:rsidR="00856DD1">
        <w:rPr>
          <w:rFonts w:ascii="Arial" w:hAnsi="Arial" w:cs="Arial"/>
          <w:sz w:val="22"/>
          <w:szCs w:val="22"/>
        </w:rPr>
        <w:t>used as monotherapy</w:t>
      </w:r>
      <w:r w:rsidR="00EF5516">
        <w:rPr>
          <w:rFonts w:ascii="Arial" w:hAnsi="Arial" w:cs="Arial"/>
          <w:sz w:val="22"/>
          <w:szCs w:val="22"/>
        </w:rPr>
        <w:t xml:space="preserve"> or in combination with dabrafenib</w:t>
      </w:r>
      <w:r w:rsidR="00856DD1">
        <w:rPr>
          <w:rFonts w:ascii="Arial" w:hAnsi="Arial" w:cs="Arial"/>
          <w:sz w:val="22"/>
          <w:szCs w:val="22"/>
        </w:rPr>
        <w:t xml:space="preserve"> </w:t>
      </w:r>
      <w:r w:rsidRPr="00620AF0">
        <w:rPr>
          <w:rFonts w:ascii="Arial" w:hAnsi="Arial" w:cs="Arial"/>
          <w:sz w:val="22"/>
          <w:szCs w:val="22"/>
        </w:rPr>
        <w:t xml:space="preserve">is 2 mg given orally once daily with a full glass of water. </w:t>
      </w:r>
    </w:p>
    <w:p w:rsidR="00613405" w:rsidRDefault="00445972" w:rsidP="00445972">
      <w:pPr>
        <w:spacing w:after="120" w:line="240" w:lineRule="atLeast"/>
        <w:rPr>
          <w:rFonts w:ascii="Arial" w:hAnsi="Arial" w:cs="Arial"/>
          <w:sz w:val="22"/>
          <w:szCs w:val="22"/>
        </w:rPr>
      </w:pPr>
      <w:r w:rsidRPr="00620AF0">
        <w:rPr>
          <w:rFonts w:ascii="Arial" w:hAnsi="Arial" w:cs="Arial"/>
          <w:sz w:val="22"/>
          <w:szCs w:val="22"/>
        </w:rPr>
        <w:t xml:space="preserve">MEKINIST should be taken without food, at least 1 hour before or 2 hours after a meal (see PHARMACOKINETICS). </w:t>
      </w:r>
    </w:p>
    <w:p w:rsidR="00EF5516" w:rsidRPr="00EF5516" w:rsidRDefault="00EF5516" w:rsidP="00EF5516">
      <w:pPr>
        <w:spacing w:after="120" w:line="240" w:lineRule="atLeast"/>
        <w:rPr>
          <w:rFonts w:ascii="Arial" w:hAnsi="Arial" w:cs="Arial"/>
          <w:sz w:val="22"/>
          <w:szCs w:val="22"/>
          <w:lang w:val="en-GB"/>
        </w:rPr>
      </w:pPr>
      <w:r>
        <w:rPr>
          <w:rFonts w:ascii="Arial" w:hAnsi="Arial" w:cs="Arial"/>
          <w:sz w:val="22"/>
          <w:szCs w:val="22"/>
          <w:lang w:val="en-GB"/>
        </w:rPr>
        <w:t>When MEKINIST</w:t>
      </w:r>
      <w:r w:rsidRPr="00EF5516">
        <w:rPr>
          <w:rFonts w:ascii="Arial" w:hAnsi="Arial" w:cs="Arial"/>
          <w:sz w:val="22"/>
          <w:szCs w:val="22"/>
          <w:lang w:val="en-GB"/>
        </w:rPr>
        <w:t xml:space="preserve"> and dabrafenib are taken in combination, the dose of </w:t>
      </w:r>
      <w:r>
        <w:rPr>
          <w:rFonts w:ascii="Arial" w:hAnsi="Arial" w:cs="Arial"/>
          <w:sz w:val="22"/>
          <w:szCs w:val="22"/>
          <w:lang w:val="en-GB"/>
        </w:rPr>
        <w:t>MEKINIST</w:t>
      </w:r>
      <w:r w:rsidRPr="00EF5516">
        <w:rPr>
          <w:rFonts w:ascii="Arial" w:hAnsi="Arial" w:cs="Arial"/>
          <w:sz w:val="22"/>
          <w:szCs w:val="22"/>
          <w:lang w:val="en-GB"/>
        </w:rPr>
        <w:t xml:space="preserve"> should be taken at the same time </w:t>
      </w:r>
      <w:r w:rsidR="0069472C">
        <w:rPr>
          <w:rFonts w:ascii="Arial" w:hAnsi="Arial" w:cs="Arial"/>
          <w:sz w:val="22"/>
          <w:szCs w:val="22"/>
          <w:lang w:val="en-GB"/>
        </w:rPr>
        <w:t xml:space="preserve">each day with either the morning </w:t>
      </w:r>
      <w:r w:rsidRPr="00EF5516">
        <w:rPr>
          <w:rFonts w:ascii="Arial" w:hAnsi="Arial" w:cs="Arial"/>
          <w:sz w:val="22"/>
          <w:szCs w:val="22"/>
          <w:lang w:val="en-GB"/>
        </w:rPr>
        <w:t xml:space="preserve">dose </w:t>
      </w:r>
      <w:r w:rsidR="0069472C">
        <w:rPr>
          <w:rFonts w:ascii="Arial" w:hAnsi="Arial" w:cs="Arial"/>
          <w:sz w:val="22"/>
          <w:szCs w:val="22"/>
          <w:lang w:val="en-GB"/>
        </w:rPr>
        <w:t xml:space="preserve">or the evening dose </w:t>
      </w:r>
      <w:r w:rsidRPr="00EF5516">
        <w:rPr>
          <w:rFonts w:ascii="Arial" w:hAnsi="Arial" w:cs="Arial"/>
          <w:sz w:val="22"/>
          <w:szCs w:val="22"/>
          <w:lang w:val="en-GB"/>
        </w:rPr>
        <w:t>of dabrafenib.</w:t>
      </w:r>
    </w:p>
    <w:p w:rsidR="00856DD1" w:rsidRDefault="00223FCE" w:rsidP="00445972">
      <w:pPr>
        <w:spacing w:after="120" w:line="240" w:lineRule="atLeast"/>
        <w:rPr>
          <w:rFonts w:ascii="Arial" w:hAnsi="Arial" w:cs="Arial"/>
          <w:b/>
          <w:sz w:val="22"/>
          <w:szCs w:val="22"/>
        </w:rPr>
      </w:pPr>
      <w:r w:rsidRPr="00620AF0">
        <w:rPr>
          <w:rFonts w:ascii="Arial" w:hAnsi="Arial" w:cs="Arial"/>
          <w:sz w:val="22"/>
          <w:szCs w:val="22"/>
        </w:rPr>
        <w:t xml:space="preserve">If a dose </w:t>
      </w:r>
      <w:r w:rsidR="00874FF5">
        <w:rPr>
          <w:rFonts w:ascii="Arial" w:hAnsi="Arial" w:cs="Arial"/>
          <w:sz w:val="22"/>
          <w:szCs w:val="22"/>
        </w:rPr>
        <w:t xml:space="preserve">of MEKINIST </w:t>
      </w:r>
      <w:r w:rsidRPr="00620AF0">
        <w:rPr>
          <w:rFonts w:ascii="Arial" w:hAnsi="Arial" w:cs="Arial"/>
          <w:sz w:val="22"/>
          <w:szCs w:val="22"/>
        </w:rPr>
        <w:t xml:space="preserve">is missed, </w:t>
      </w:r>
      <w:r w:rsidR="00874FF5">
        <w:rPr>
          <w:rFonts w:ascii="Arial" w:hAnsi="Arial" w:cs="Arial"/>
          <w:sz w:val="22"/>
          <w:szCs w:val="22"/>
        </w:rPr>
        <w:t>only take the dose if it is more</w:t>
      </w:r>
      <w:r w:rsidRPr="00620AF0">
        <w:rPr>
          <w:rFonts w:ascii="Arial" w:hAnsi="Arial" w:cs="Arial"/>
          <w:sz w:val="22"/>
          <w:szCs w:val="22"/>
        </w:rPr>
        <w:t xml:space="preserve"> than 12 hours until the next </w:t>
      </w:r>
      <w:r w:rsidR="00874FF5">
        <w:rPr>
          <w:rFonts w:ascii="Arial" w:hAnsi="Arial" w:cs="Arial"/>
          <w:sz w:val="22"/>
          <w:szCs w:val="22"/>
        </w:rPr>
        <w:t xml:space="preserve">scheduled </w:t>
      </w:r>
      <w:r w:rsidRPr="00620AF0">
        <w:rPr>
          <w:rFonts w:ascii="Arial" w:hAnsi="Arial" w:cs="Arial"/>
          <w:sz w:val="22"/>
          <w:szCs w:val="22"/>
        </w:rPr>
        <w:t>dose.</w:t>
      </w:r>
    </w:p>
    <w:p w:rsidR="00E869DF" w:rsidRDefault="00E869DF" w:rsidP="00445972">
      <w:pPr>
        <w:spacing w:after="120" w:line="240" w:lineRule="atLeast"/>
        <w:rPr>
          <w:rFonts w:ascii="Arial" w:hAnsi="Arial" w:cs="Arial"/>
          <w:b/>
          <w:sz w:val="22"/>
          <w:szCs w:val="22"/>
        </w:rPr>
      </w:pPr>
    </w:p>
    <w:p w:rsidR="00445972" w:rsidRPr="00620AF0" w:rsidRDefault="00445972" w:rsidP="007D27A0">
      <w:pPr>
        <w:keepNext/>
        <w:spacing w:after="120" w:line="240" w:lineRule="atLeast"/>
        <w:rPr>
          <w:rFonts w:ascii="Arial" w:hAnsi="Arial" w:cs="Arial"/>
          <w:b/>
          <w:sz w:val="22"/>
          <w:szCs w:val="22"/>
        </w:rPr>
      </w:pPr>
      <w:r w:rsidRPr="00620AF0">
        <w:rPr>
          <w:rFonts w:ascii="Arial" w:hAnsi="Arial" w:cs="Arial"/>
          <w:b/>
          <w:sz w:val="22"/>
          <w:szCs w:val="22"/>
        </w:rPr>
        <w:t xml:space="preserve">Dose modifications </w:t>
      </w:r>
    </w:p>
    <w:p w:rsidR="00613405" w:rsidRPr="00620AF0" w:rsidRDefault="00613405" w:rsidP="007D27A0">
      <w:pPr>
        <w:keepNext/>
        <w:spacing w:after="120" w:line="240" w:lineRule="atLeast"/>
        <w:rPr>
          <w:rFonts w:ascii="Arial" w:hAnsi="Arial" w:cs="Arial"/>
          <w:b/>
          <w:i/>
          <w:sz w:val="22"/>
          <w:szCs w:val="22"/>
        </w:rPr>
      </w:pPr>
      <w:r w:rsidRPr="00620AF0">
        <w:rPr>
          <w:rFonts w:ascii="Arial" w:hAnsi="Arial" w:cs="Arial"/>
          <w:b/>
          <w:i/>
          <w:sz w:val="22"/>
          <w:szCs w:val="22"/>
        </w:rPr>
        <w:t>Monotherapy</w:t>
      </w:r>
      <w:r w:rsidR="00874FF5">
        <w:rPr>
          <w:rFonts w:ascii="Arial" w:hAnsi="Arial" w:cs="Arial"/>
          <w:b/>
          <w:i/>
          <w:sz w:val="22"/>
          <w:szCs w:val="22"/>
        </w:rPr>
        <w:t xml:space="preserve"> and in combination with dabrafenib</w:t>
      </w:r>
    </w:p>
    <w:p w:rsidR="00E869DF" w:rsidRDefault="00445972" w:rsidP="00874FF5">
      <w:pPr>
        <w:spacing w:after="120" w:line="240" w:lineRule="atLeast"/>
        <w:rPr>
          <w:rFonts w:ascii="Arial" w:hAnsi="Arial" w:cs="Arial"/>
          <w:sz w:val="22"/>
          <w:szCs w:val="22"/>
        </w:rPr>
      </w:pPr>
      <w:r w:rsidRPr="00620AF0">
        <w:rPr>
          <w:rFonts w:ascii="Arial" w:hAnsi="Arial" w:cs="Arial"/>
          <w:sz w:val="22"/>
          <w:szCs w:val="22"/>
        </w:rPr>
        <w:t>The management of adverse reactions may require treatment interruption, dose reduction, or treatment discontinuation (see Table </w:t>
      </w:r>
      <w:r w:rsidR="00A55701" w:rsidRPr="00A55701">
        <w:rPr>
          <w:rFonts w:ascii="Arial" w:hAnsi="Arial" w:cs="Arial"/>
          <w:sz w:val="22"/>
          <w:szCs w:val="22"/>
        </w:rPr>
        <w:t>7</w:t>
      </w:r>
      <w:r w:rsidRPr="00620AF0">
        <w:rPr>
          <w:rFonts w:ascii="Arial" w:hAnsi="Arial" w:cs="Arial"/>
          <w:sz w:val="22"/>
          <w:szCs w:val="22"/>
        </w:rPr>
        <w:t xml:space="preserve"> and Table </w:t>
      </w:r>
      <w:r w:rsidR="00A55701" w:rsidRPr="00A55701">
        <w:rPr>
          <w:rFonts w:ascii="Arial" w:hAnsi="Arial" w:cs="Arial"/>
          <w:sz w:val="22"/>
          <w:szCs w:val="22"/>
        </w:rPr>
        <w:t>8</w:t>
      </w:r>
      <w:r w:rsidRPr="00620AF0">
        <w:rPr>
          <w:rFonts w:ascii="Arial" w:hAnsi="Arial" w:cs="Arial"/>
          <w:sz w:val="22"/>
          <w:szCs w:val="22"/>
        </w:rPr>
        <w:t>).</w:t>
      </w:r>
    </w:p>
    <w:p w:rsidR="00562E1B" w:rsidRPr="00562E1B" w:rsidRDefault="00562E1B" w:rsidP="00874FF5">
      <w:pPr>
        <w:spacing w:after="120" w:line="240" w:lineRule="atLeast"/>
        <w:rPr>
          <w:rFonts w:ascii="Arial" w:hAnsi="Arial" w:cs="Arial"/>
          <w:sz w:val="22"/>
          <w:szCs w:val="22"/>
        </w:rPr>
      </w:pPr>
    </w:p>
    <w:p w:rsidR="00874FF5" w:rsidRPr="00B568B8" w:rsidRDefault="00537BD1" w:rsidP="00874FF5">
      <w:pPr>
        <w:spacing w:after="120" w:line="240" w:lineRule="atLeast"/>
        <w:rPr>
          <w:rFonts w:ascii="Arial" w:hAnsi="Arial" w:cs="Arial"/>
          <w:b/>
          <w:bCs/>
          <w:sz w:val="22"/>
          <w:szCs w:val="22"/>
          <w:lang w:val="en-GB"/>
        </w:rPr>
      </w:pPr>
      <w:r>
        <w:rPr>
          <w:rFonts w:ascii="Arial" w:hAnsi="Arial" w:cs="Arial"/>
          <w:b/>
          <w:bCs/>
          <w:sz w:val="22"/>
          <w:szCs w:val="22"/>
          <w:lang w:val="en-GB"/>
        </w:rPr>
        <w:t>Table </w:t>
      </w:r>
      <w:r w:rsidR="00336A42">
        <w:rPr>
          <w:rFonts w:ascii="Arial" w:hAnsi="Arial" w:cs="Arial"/>
          <w:b/>
          <w:bCs/>
          <w:sz w:val="22"/>
          <w:szCs w:val="22"/>
          <w:lang w:val="en-GB"/>
        </w:rPr>
        <w:t>8</w:t>
      </w:r>
      <w:r w:rsidR="00E869DF">
        <w:rPr>
          <w:rFonts w:ascii="Arial" w:hAnsi="Arial" w:cs="Arial"/>
          <w:b/>
          <w:bCs/>
          <w:sz w:val="22"/>
          <w:szCs w:val="22"/>
          <w:lang w:val="en-GB"/>
        </w:rPr>
        <w:t>. Recommended Dose Level Reductions F</w:t>
      </w:r>
      <w:r w:rsidR="00F81E71" w:rsidRPr="00F81E71">
        <w:rPr>
          <w:rFonts w:ascii="Arial" w:hAnsi="Arial" w:cs="Arial"/>
          <w:b/>
          <w:bCs/>
          <w:sz w:val="22"/>
          <w:szCs w:val="22"/>
          <w:lang w:val="en-GB"/>
        </w:rPr>
        <w:t>or MEKINIST</w:t>
      </w:r>
    </w:p>
    <w:tbl>
      <w:tblPr>
        <w:tblW w:w="0" w:type="auto"/>
        <w:tblCellMar>
          <w:left w:w="0" w:type="dxa"/>
          <w:right w:w="0" w:type="dxa"/>
        </w:tblCellMar>
        <w:tblLook w:val="04A0" w:firstRow="1" w:lastRow="0" w:firstColumn="1" w:lastColumn="0" w:noHBand="0" w:noVBand="1"/>
      </w:tblPr>
      <w:tblGrid>
        <w:gridCol w:w="2448"/>
        <w:gridCol w:w="4748"/>
      </w:tblGrid>
      <w:tr w:rsidR="00874FF5" w:rsidRPr="00874FF5" w:rsidTr="00874FF5">
        <w:trPr>
          <w:trHeight w:val="493"/>
        </w:trPr>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874FF5" w:rsidRPr="00874FF5" w:rsidRDefault="00874FF5" w:rsidP="00874FF5">
            <w:pPr>
              <w:spacing w:after="120" w:line="240" w:lineRule="atLeast"/>
              <w:rPr>
                <w:rFonts w:ascii="Arial" w:hAnsi="Arial" w:cs="Arial"/>
                <w:sz w:val="22"/>
                <w:szCs w:val="22"/>
                <w:lang w:val="en-GB"/>
              </w:rPr>
            </w:pPr>
            <w:r w:rsidRPr="00874FF5">
              <w:rPr>
                <w:rFonts w:ascii="Arial" w:hAnsi="Arial" w:cs="Arial"/>
                <w:sz w:val="22"/>
                <w:szCs w:val="22"/>
                <w:lang w:val="en-GB"/>
              </w:rPr>
              <w:t>Dose Level</w:t>
            </w:r>
          </w:p>
        </w:tc>
        <w:tc>
          <w:tcPr>
            <w:tcW w:w="47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74FF5" w:rsidRPr="00874FF5" w:rsidRDefault="00874FF5" w:rsidP="00874FF5">
            <w:pPr>
              <w:spacing w:after="120" w:line="240" w:lineRule="atLeast"/>
              <w:rPr>
                <w:rFonts w:ascii="Arial" w:hAnsi="Arial" w:cs="Arial"/>
                <w:sz w:val="22"/>
                <w:szCs w:val="22"/>
                <w:lang w:val="en-GB"/>
              </w:rPr>
            </w:pPr>
            <w:r>
              <w:rPr>
                <w:rFonts w:ascii="Arial" w:hAnsi="Arial" w:cs="Arial"/>
                <w:sz w:val="22"/>
                <w:szCs w:val="22"/>
                <w:lang w:val="en-GB"/>
              </w:rPr>
              <w:t>MEKINIST</w:t>
            </w:r>
            <w:r w:rsidRPr="00874FF5">
              <w:rPr>
                <w:rFonts w:ascii="Arial" w:hAnsi="Arial" w:cs="Arial"/>
                <w:sz w:val="22"/>
                <w:szCs w:val="22"/>
                <w:lang w:val="en-GB"/>
              </w:rPr>
              <w:t xml:space="preserve"> Dose</w:t>
            </w:r>
          </w:p>
          <w:p w:rsidR="00874FF5" w:rsidRPr="00874FF5" w:rsidRDefault="00874FF5" w:rsidP="00874FF5">
            <w:pPr>
              <w:spacing w:after="120" w:line="240" w:lineRule="atLeast"/>
              <w:rPr>
                <w:rFonts w:ascii="Arial" w:hAnsi="Arial" w:cs="Arial"/>
                <w:sz w:val="22"/>
                <w:szCs w:val="22"/>
                <w:lang w:val="en-GB"/>
              </w:rPr>
            </w:pPr>
          </w:p>
        </w:tc>
      </w:tr>
      <w:tr w:rsidR="00874FF5" w:rsidRPr="00874FF5" w:rsidTr="00874FF5">
        <w:trPr>
          <w:trHeight w:val="412"/>
        </w:trPr>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874FF5" w:rsidRPr="00874FF5" w:rsidRDefault="00874FF5" w:rsidP="00874FF5">
            <w:pPr>
              <w:spacing w:after="120" w:line="240" w:lineRule="atLeast"/>
              <w:rPr>
                <w:rFonts w:ascii="Arial" w:hAnsi="Arial" w:cs="Arial"/>
                <w:sz w:val="22"/>
                <w:szCs w:val="22"/>
                <w:lang w:val="en-GB"/>
              </w:rPr>
            </w:pPr>
            <w:r w:rsidRPr="00874FF5">
              <w:rPr>
                <w:rFonts w:ascii="Arial" w:hAnsi="Arial" w:cs="Arial"/>
                <w:sz w:val="22"/>
                <w:szCs w:val="22"/>
                <w:lang w:val="en-GB"/>
              </w:rPr>
              <w:t>Starting dose</w:t>
            </w:r>
          </w:p>
        </w:tc>
        <w:tc>
          <w:tcPr>
            <w:tcW w:w="474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74FF5" w:rsidRPr="00874FF5" w:rsidRDefault="00874FF5" w:rsidP="00874FF5">
            <w:pPr>
              <w:spacing w:after="120" w:line="240" w:lineRule="atLeast"/>
              <w:rPr>
                <w:rFonts w:ascii="Arial" w:hAnsi="Arial" w:cs="Arial"/>
                <w:sz w:val="22"/>
                <w:szCs w:val="22"/>
                <w:lang w:val="en-GB"/>
              </w:rPr>
            </w:pPr>
            <w:r w:rsidRPr="00874FF5">
              <w:rPr>
                <w:rFonts w:ascii="Arial" w:hAnsi="Arial" w:cs="Arial"/>
                <w:sz w:val="22"/>
                <w:szCs w:val="22"/>
                <w:lang w:val="en-GB"/>
              </w:rPr>
              <w:t>2 mg QD</w:t>
            </w:r>
          </w:p>
        </w:tc>
      </w:tr>
      <w:tr w:rsidR="00874FF5" w:rsidRPr="00874FF5" w:rsidTr="00874FF5">
        <w:trPr>
          <w:trHeight w:val="187"/>
        </w:trPr>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874FF5" w:rsidRPr="00874FF5" w:rsidRDefault="00874FF5" w:rsidP="00874FF5">
            <w:pPr>
              <w:spacing w:after="120" w:line="240" w:lineRule="atLeast"/>
              <w:rPr>
                <w:rFonts w:ascii="Arial" w:hAnsi="Arial" w:cs="Arial"/>
                <w:sz w:val="22"/>
                <w:szCs w:val="22"/>
                <w:lang w:val="en-GB"/>
              </w:rPr>
            </w:pPr>
            <w:r w:rsidRPr="00874FF5">
              <w:rPr>
                <w:rFonts w:ascii="Arial" w:hAnsi="Arial" w:cs="Arial"/>
                <w:sz w:val="22"/>
                <w:szCs w:val="22"/>
                <w:lang w:val="en-GB"/>
              </w:rPr>
              <w:t>1st dose reduction</w:t>
            </w:r>
          </w:p>
        </w:tc>
        <w:tc>
          <w:tcPr>
            <w:tcW w:w="474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74FF5" w:rsidRPr="00874FF5" w:rsidRDefault="00874FF5" w:rsidP="00874FF5">
            <w:pPr>
              <w:spacing w:after="120" w:line="240" w:lineRule="atLeast"/>
              <w:rPr>
                <w:rFonts w:ascii="Arial" w:hAnsi="Arial" w:cs="Arial"/>
                <w:sz w:val="22"/>
                <w:szCs w:val="22"/>
                <w:lang w:val="en-GB"/>
              </w:rPr>
            </w:pPr>
            <w:r w:rsidRPr="00874FF5">
              <w:rPr>
                <w:rFonts w:ascii="Arial" w:hAnsi="Arial" w:cs="Arial"/>
                <w:sz w:val="22"/>
                <w:szCs w:val="22"/>
                <w:lang w:val="en-GB"/>
              </w:rPr>
              <w:t>1.5 mg QD</w:t>
            </w:r>
          </w:p>
        </w:tc>
      </w:tr>
      <w:tr w:rsidR="00874FF5" w:rsidRPr="00874FF5" w:rsidTr="00874FF5">
        <w:tc>
          <w:tcPr>
            <w:tcW w:w="244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bottom"/>
            <w:hideMark/>
          </w:tcPr>
          <w:p w:rsidR="00874FF5" w:rsidRPr="00874FF5" w:rsidRDefault="00874FF5" w:rsidP="00874FF5">
            <w:pPr>
              <w:spacing w:after="120" w:line="240" w:lineRule="atLeast"/>
              <w:rPr>
                <w:rFonts w:ascii="Arial" w:hAnsi="Arial" w:cs="Arial"/>
                <w:sz w:val="22"/>
                <w:szCs w:val="22"/>
                <w:lang w:val="en-GB"/>
              </w:rPr>
            </w:pPr>
            <w:r w:rsidRPr="00874FF5">
              <w:rPr>
                <w:rFonts w:ascii="Arial" w:hAnsi="Arial" w:cs="Arial"/>
                <w:sz w:val="22"/>
                <w:szCs w:val="22"/>
                <w:lang w:val="en-GB"/>
              </w:rPr>
              <w:t>2nd dose reduction</w:t>
            </w:r>
          </w:p>
        </w:tc>
        <w:tc>
          <w:tcPr>
            <w:tcW w:w="474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rsidR="00874FF5" w:rsidRPr="00874FF5" w:rsidRDefault="00874FF5" w:rsidP="00874FF5">
            <w:pPr>
              <w:spacing w:after="120" w:line="240" w:lineRule="atLeast"/>
              <w:rPr>
                <w:rFonts w:ascii="Arial" w:hAnsi="Arial" w:cs="Arial"/>
                <w:sz w:val="22"/>
                <w:szCs w:val="22"/>
                <w:lang w:val="en-GB"/>
              </w:rPr>
            </w:pPr>
            <w:r w:rsidRPr="00874FF5">
              <w:rPr>
                <w:rFonts w:ascii="Arial" w:hAnsi="Arial" w:cs="Arial"/>
                <w:sz w:val="22"/>
                <w:szCs w:val="22"/>
                <w:lang w:val="en-GB"/>
              </w:rPr>
              <w:t>1 mg QD</w:t>
            </w:r>
          </w:p>
        </w:tc>
      </w:tr>
    </w:tbl>
    <w:p w:rsidR="00874FF5" w:rsidRPr="00B75114" w:rsidRDefault="00F81E71" w:rsidP="00874FF5">
      <w:pPr>
        <w:spacing w:after="120" w:line="240" w:lineRule="atLeast"/>
        <w:rPr>
          <w:rFonts w:ascii="Arial" w:hAnsi="Arial" w:cs="Arial"/>
          <w:bCs/>
          <w:sz w:val="18"/>
          <w:szCs w:val="18"/>
          <w:lang w:val="en-GB"/>
        </w:rPr>
      </w:pPr>
      <w:r w:rsidRPr="00B75114">
        <w:rPr>
          <w:rFonts w:ascii="Arial" w:hAnsi="Arial" w:cs="Arial"/>
          <w:bCs/>
          <w:sz w:val="18"/>
          <w:szCs w:val="18"/>
          <w:lang w:val="en-GB"/>
        </w:rPr>
        <w:t>QD = Once daily</w:t>
      </w:r>
    </w:p>
    <w:p w:rsidR="00874FF5" w:rsidRPr="00B75114" w:rsidRDefault="00F81E71" w:rsidP="00874FF5">
      <w:pPr>
        <w:spacing w:after="120" w:line="240" w:lineRule="atLeast"/>
        <w:rPr>
          <w:rFonts w:ascii="Arial" w:hAnsi="Arial" w:cs="Arial"/>
          <w:bCs/>
          <w:sz w:val="18"/>
          <w:szCs w:val="18"/>
          <w:lang w:val="en-GB"/>
        </w:rPr>
      </w:pPr>
      <w:r w:rsidRPr="00B75114">
        <w:rPr>
          <w:rFonts w:ascii="Arial" w:hAnsi="Arial" w:cs="Arial"/>
          <w:bCs/>
          <w:sz w:val="18"/>
          <w:szCs w:val="18"/>
          <w:lang w:val="en-GB"/>
        </w:rPr>
        <w:t>Refer to the full dabrafenib prescribing information, DOSAGE AND ADMINISTRATION, for dabrafenib dosing instructions</w:t>
      </w:r>
    </w:p>
    <w:p w:rsidR="00874FF5" w:rsidRPr="00B75114" w:rsidRDefault="00F81E71" w:rsidP="00874FF5">
      <w:pPr>
        <w:spacing w:after="120" w:line="240" w:lineRule="atLeast"/>
        <w:rPr>
          <w:rFonts w:ascii="Arial" w:hAnsi="Arial" w:cs="Arial"/>
          <w:bCs/>
          <w:sz w:val="18"/>
          <w:szCs w:val="18"/>
          <w:lang w:val="en-GB"/>
        </w:rPr>
      </w:pPr>
      <w:r w:rsidRPr="00B75114">
        <w:rPr>
          <w:rFonts w:ascii="Arial" w:hAnsi="Arial" w:cs="Arial"/>
          <w:bCs/>
          <w:sz w:val="18"/>
          <w:szCs w:val="18"/>
          <w:lang w:val="en-GB"/>
        </w:rPr>
        <w:t>Dose adjustment for MEKINIST, whether used as monotherapy or in combination with dabrafenib, below 1 mg QD is not recommended.</w:t>
      </w:r>
    </w:p>
    <w:p w:rsidR="00874FF5" w:rsidRPr="00620AF0" w:rsidRDefault="00874FF5" w:rsidP="00445972">
      <w:pPr>
        <w:spacing w:after="120" w:line="240" w:lineRule="atLeast"/>
        <w:rPr>
          <w:rFonts w:ascii="Arial" w:hAnsi="Arial" w:cs="Arial"/>
          <w:sz w:val="22"/>
          <w:szCs w:val="22"/>
        </w:rPr>
      </w:pPr>
    </w:p>
    <w:p w:rsidR="00445972" w:rsidRPr="00620AF0" w:rsidRDefault="003B5747" w:rsidP="00445972">
      <w:pPr>
        <w:spacing w:after="120" w:line="240" w:lineRule="atLeast"/>
        <w:rPr>
          <w:rFonts w:ascii="Arial" w:hAnsi="Arial" w:cs="Arial"/>
          <w:sz w:val="22"/>
          <w:szCs w:val="22"/>
        </w:rPr>
      </w:pPr>
      <w:r>
        <w:rPr>
          <w:rFonts w:ascii="Arial" w:hAnsi="Arial" w:cs="Arial"/>
          <w:b/>
          <w:sz w:val="22"/>
          <w:szCs w:val="22"/>
        </w:rPr>
        <w:br w:type="page"/>
      </w:r>
      <w:r w:rsidR="00445972" w:rsidRPr="00620AF0">
        <w:rPr>
          <w:rFonts w:ascii="Arial" w:hAnsi="Arial" w:cs="Arial"/>
          <w:b/>
          <w:sz w:val="22"/>
          <w:szCs w:val="22"/>
        </w:rPr>
        <w:lastRenderedPageBreak/>
        <w:t xml:space="preserve">Table </w:t>
      </w:r>
      <w:r w:rsidR="00336A42">
        <w:rPr>
          <w:rFonts w:ascii="Arial" w:hAnsi="Arial" w:cs="Arial"/>
          <w:b/>
          <w:sz w:val="22"/>
          <w:szCs w:val="22"/>
        </w:rPr>
        <w:t>9</w:t>
      </w:r>
      <w:r w:rsidR="00E869DF">
        <w:rPr>
          <w:rFonts w:ascii="Arial" w:hAnsi="Arial" w:cs="Arial"/>
          <w:b/>
          <w:sz w:val="22"/>
          <w:szCs w:val="22"/>
        </w:rPr>
        <w:t>.</w:t>
      </w:r>
      <w:r w:rsidR="00B568B8">
        <w:rPr>
          <w:rFonts w:ascii="Arial" w:hAnsi="Arial" w:cs="Arial"/>
          <w:sz w:val="22"/>
          <w:szCs w:val="22"/>
        </w:rPr>
        <w:t xml:space="preserve"> </w:t>
      </w:r>
      <w:r w:rsidR="00445972" w:rsidRPr="00620AF0">
        <w:rPr>
          <w:rFonts w:ascii="Arial" w:hAnsi="Arial" w:cs="Arial"/>
          <w:sz w:val="22"/>
          <w:szCs w:val="22"/>
        </w:rPr>
        <w:t xml:space="preserve"> </w:t>
      </w:r>
      <w:r w:rsidR="00F81E71" w:rsidRPr="00F81E71">
        <w:rPr>
          <w:rFonts w:ascii="Arial" w:hAnsi="Arial" w:cs="Arial"/>
          <w:b/>
          <w:sz w:val="22"/>
          <w:szCs w:val="22"/>
        </w:rPr>
        <w:t xml:space="preserve">MEKINIST </w:t>
      </w:r>
      <w:r w:rsidR="00E869DF">
        <w:rPr>
          <w:rFonts w:ascii="Arial" w:hAnsi="Arial" w:cs="Arial"/>
          <w:b/>
          <w:sz w:val="22"/>
          <w:szCs w:val="22"/>
        </w:rPr>
        <w:t>D</w:t>
      </w:r>
      <w:r w:rsidR="00F81E71" w:rsidRPr="00F81E71">
        <w:rPr>
          <w:rFonts w:ascii="Arial" w:hAnsi="Arial" w:cs="Arial"/>
          <w:b/>
          <w:sz w:val="22"/>
          <w:szCs w:val="22"/>
        </w:rPr>
        <w:t xml:space="preserve">ose </w:t>
      </w:r>
      <w:r w:rsidR="00E869DF">
        <w:rPr>
          <w:rFonts w:ascii="Arial" w:hAnsi="Arial" w:cs="Arial"/>
          <w:b/>
          <w:sz w:val="22"/>
          <w:szCs w:val="22"/>
        </w:rPr>
        <w:t>M</w:t>
      </w:r>
      <w:r w:rsidR="00F81E71" w:rsidRPr="00F81E71">
        <w:rPr>
          <w:rFonts w:ascii="Arial" w:hAnsi="Arial" w:cs="Arial"/>
          <w:b/>
          <w:sz w:val="22"/>
          <w:szCs w:val="22"/>
        </w:rPr>
        <w:t xml:space="preserve">odification </w:t>
      </w:r>
      <w:r w:rsidR="00E869DF">
        <w:rPr>
          <w:rFonts w:ascii="Arial" w:hAnsi="Arial" w:cs="Arial"/>
          <w:b/>
          <w:sz w:val="22"/>
          <w:szCs w:val="22"/>
        </w:rPr>
        <w:t>S</w:t>
      </w:r>
      <w:r w:rsidR="00F81E71" w:rsidRPr="00F81E71">
        <w:rPr>
          <w:rFonts w:ascii="Arial" w:hAnsi="Arial" w:cs="Arial"/>
          <w:b/>
          <w:sz w:val="22"/>
          <w:szCs w:val="22"/>
        </w:rPr>
        <w:t>chedule</w:t>
      </w:r>
      <w:r w:rsidR="00445972" w:rsidRPr="00620AF0">
        <w:rPr>
          <w:rFonts w:ascii="Arial" w:hAnsi="Arial" w:cs="Arial"/>
          <w:sz w:val="22"/>
          <w:szCs w:val="22"/>
        </w:rPr>
        <w:t xml:space="preserve"> </w:t>
      </w:r>
    </w:p>
    <w:tbl>
      <w:tblPr>
        <w:tblW w:w="0" w:type="auto"/>
        <w:tblCellMar>
          <w:left w:w="0" w:type="dxa"/>
          <w:right w:w="0" w:type="dxa"/>
        </w:tblCellMar>
        <w:tblLook w:val="04A0" w:firstRow="1" w:lastRow="0" w:firstColumn="1" w:lastColumn="0" w:noHBand="0" w:noVBand="1"/>
      </w:tblPr>
      <w:tblGrid>
        <w:gridCol w:w="2404"/>
        <w:gridCol w:w="6638"/>
      </w:tblGrid>
      <w:tr w:rsidR="00445972" w:rsidRPr="00620AF0" w:rsidTr="00445972">
        <w:trPr>
          <w:trHeight w:val="667"/>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45972" w:rsidRPr="00620AF0" w:rsidRDefault="00445972" w:rsidP="00445972">
            <w:pPr>
              <w:spacing w:after="120" w:line="240" w:lineRule="atLeast"/>
              <w:rPr>
                <w:rFonts w:ascii="Arial" w:hAnsi="Arial" w:cs="Arial"/>
                <w:b/>
                <w:sz w:val="22"/>
                <w:szCs w:val="22"/>
              </w:rPr>
            </w:pPr>
            <w:r w:rsidRPr="00620AF0">
              <w:rPr>
                <w:rFonts w:ascii="Arial" w:hAnsi="Arial" w:cs="Arial"/>
                <w:b/>
                <w:sz w:val="22"/>
                <w:szCs w:val="22"/>
              </w:rPr>
              <w:t>Grade (CTC-AE)*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5972" w:rsidRPr="00620AF0" w:rsidRDefault="00445972" w:rsidP="00445972">
            <w:pPr>
              <w:spacing w:after="120" w:line="240" w:lineRule="atLeast"/>
              <w:rPr>
                <w:rFonts w:ascii="Arial" w:hAnsi="Arial" w:cs="Arial"/>
                <w:b/>
                <w:sz w:val="22"/>
                <w:szCs w:val="22"/>
              </w:rPr>
            </w:pPr>
            <w:r w:rsidRPr="00620AF0">
              <w:rPr>
                <w:rFonts w:ascii="Arial" w:hAnsi="Arial" w:cs="Arial"/>
                <w:b/>
                <w:sz w:val="22"/>
                <w:szCs w:val="22"/>
              </w:rPr>
              <w:t>Dose Modifications</w:t>
            </w:r>
          </w:p>
        </w:tc>
      </w:tr>
      <w:tr w:rsidR="00445972" w:rsidRPr="00620AF0" w:rsidTr="00445972">
        <w:trPr>
          <w:trHeight w:val="66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5972" w:rsidRPr="00620AF0" w:rsidRDefault="00445972" w:rsidP="00445972">
            <w:pPr>
              <w:spacing w:after="120" w:line="240" w:lineRule="atLeast"/>
              <w:rPr>
                <w:rFonts w:ascii="Arial" w:hAnsi="Arial" w:cs="Arial"/>
                <w:sz w:val="22"/>
                <w:szCs w:val="22"/>
              </w:rPr>
            </w:pPr>
            <w:r w:rsidRPr="00620AF0">
              <w:rPr>
                <w:rFonts w:ascii="Arial" w:hAnsi="Arial" w:cs="Arial"/>
                <w:sz w:val="22"/>
                <w:szCs w:val="22"/>
              </w:rPr>
              <w:t>Grade 1 or Grade 2 (Tolerable)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45972" w:rsidRPr="00620AF0" w:rsidRDefault="00445972" w:rsidP="00445972">
            <w:pPr>
              <w:spacing w:after="120" w:line="240" w:lineRule="atLeast"/>
              <w:rPr>
                <w:rFonts w:ascii="Arial" w:hAnsi="Arial" w:cs="Arial"/>
                <w:sz w:val="22"/>
                <w:szCs w:val="22"/>
              </w:rPr>
            </w:pPr>
            <w:r w:rsidRPr="00620AF0">
              <w:rPr>
                <w:rFonts w:ascii="Arial" w:hAnsi="Arial" w:cs="Arial"/>
                <w:sz w:val="22"/>
                <w:szCs w:val="22"/>
              </w:rPr>
              <w:t>Continue treatment and monitor as clinically indicated.</w:t>
            </w:r>
          </w:p>
        </w:tc>
      </w:tr>
      <w:tr w:rsidR="00445972" w:rsidRPr="00620AF0" w:rsidTr="00445972">
        <w:trPr>
          <w:trHeight w:val="823"/>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5972" w:rsidRPr="00620AF0" w:rsidRDefault="00445972" w:rsidP="00445972">
            <w:pPr>
              <w:spacing w:after="120" w:line="240" w:lineRule="atLeast"/>
              <w:rPr>
                <w:rFonts w:ascii="Arial" w:hAnsi="Arial" w:cs="Arial"/>
                <w:sz w:val="22"/>
                <w:szCs w:val="22"/>
              </w:rPr>
            </w:pPr>
            <w:r w:rsidRPr="00620AF0">
              <w:rPr>
                <w:rFonts w:ascii="Arial" w:hAnsi="Arial" w:cs="Arial"/>
                <w:sz w:val="22"/>
                <w:szCs w:val="22"/>
              </w:rPr>
              <w:t xml:space="preserve">Grade 2 (Intolerable) or Grade 3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45972" w:rsidRPr="00620AF0" w:rsidRDefault="00445972" w:rsidP="00445972">
            <w:pPr>
              <w:spacing w:after="120" w:line="240" w:lineRule="atLeast"/>
              <w:rPr>
                <w:rFonts w:ascii="Arial" w:hAnsi="Arial" w:cs="Arial"/>
                <w:sz w:val="22"/>
                <w:szCs w:val="22"/>
              </w:rPr>
            </w:pPr>
            <w:r w:rsidRPr="00620AF0">
              <w:rPr>
                <w:rFonts w:ascii="Arial" w:hAnsi="Arial" w:cs="Arial"/>
                <w:sz w:val="22"/>
                <w:szCs w:val="22"/>
              </w:rPr>
              <w:t>Interrupt therapy until toxicity is grade 0-1and reduce by</w:t>
            </w:r>
            <w:r w:rsidR="00B568B8">
              <w:rPr>
                <w:rFonts w:ascii="Arial" w:hAnsi="Arial" w:cs="Arial"/>
                <w:sz w:val="22"/>
                <w:szCs w:val="22"/>
              </w:rPr>
              <w:t xml:space="preserve"> one dose level</w:t>
            </w:r>
            <w:r w:rsidRPr="00620AF0">
              <w:rPr>
                <w:rFonts w:ascii="Arial" w:hAnsi="Arial" w:cs="Arial"/>
                <w:sz w:val="22"/>
                <w:szCs w:val="22"/>
              </w:rPr>
              <w:t xml:space="preserve"> when resuming therapy.  </w:t>
            </w:r>
          </w:p>
        </w:tc>
      </w:tr>
      <w:tr w:rsidR="00445972" w:rsidRPr="00620AF0" w:rsidTr="0044597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5972" w:rsidRPr="00620AF0" w:rsidRDefault="00445972" w:rsidP="00445972">
            <w:pPr>
              <w:spacing w:after="120" w:line="240" w:lineRule="atLeast"/>
              <w:rPr>
                <w:rFonts w:ascii="Arial" w:hAnsi="Arial" w:cs="Arial"/>
                <w:sz w:val="22"/>
                <w:szCs w:val="22"/>
              </w:rPr>
            </w:pPr>
            <w:r w:rsidRPr="00620AF0">
              <w:rPr>
                <w:rFonts w:ascii="Arial" w:hAnsi="Arial" w:cs="Arial"/>
                <w:sz w:val="22"/>
                <w:szCs w:val="22"/>
              </w:rPr>
              <w:t xml:space="preserve">Grade 4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45972" w:rsidRPr="00620AF0" w:rsidRDefault="00445972" w:rsidP="00445972">
            <w:pPr>
              <w:spacing w:after="120" w:line="240" w:lineRule="atLeast"/>
              <w:rPr>
                <w:rFonts w:ascii="Arial" w:hAnsi="Arial" w:cs="Arial"/>
                <w:sz w:val="22"/>
                <w:szCs w:val="22"/>
              </w:rPr>
            </w:pPr>
            <w:r w:rsidRPr="00620AF0">
              <w:rPr>
                <w:rFonts w:ascii="Arial" w:hAnsi="Arial" w:cs="Arial"/>
                <w:sz w:val="22"/>
                <w:szCs w:val="22"/>
              </w:rPr>
              <w:t>Discontinue permanently</w:t>
            </w:r>
            <w:r w:rsidR="00B568B8">
              <w:rPr>
                <w:rFonts w:ascii="Arial" w:hAnsi="Arial" w:cs="Arial"/>
                <w:sz w:val="22"/>
                <w:szCs w:val="22"/>
              </w:rPr>
              <w:t>, or interrupt therapy until Grade 0 to 1 and reduce by one dose level when resuming therapy</w:t>
            </w:r>
          </w:p>
        </w:tc>
      </w:tr>
    </w:tbl>
    <w:p w:rsidR="00445972" w:rsidRPr="00B75114" w:rsidRDefault="00445972" w:rsidP="00445972">
      <w:pPr>
        <w:spacing w:after="120" w:line="240" w:lineRule="atLeast"/>
        <w:rPr>
          <w:rFonts w:ascii="Arial" w:hAnsi="Arial" w:cs="Arial"/>
          <w:sz w:val="18"/>
          <w:szCs w:val="18"/>
        </w:rPr>
      </w:pPr>
      <w:r w:rsidRPr="00B75114">
        <w:rPr>
          <w:rFonts w:ascii="Arial" w:hAnsi="Arial" w:cs="Arial"/>
          <w:sz w:val="18"/>
          <w:szCs w:val="18"/>
        </w:rPr>
        <w:t>* The intensity of clinical adverse events graded by the Common Terminology Criteria for Adverse Events v4.0 (CTC-AE)</w:t>
      </w:r>
    </w:p>
    <w:p w:rsidR="00F534C5" w:rsidRPr="00F534C5" w:rsidRDefault="00F81E71" w:rsidP="00F534C5">
      <w:pPr>
        <w:spacing w:after="120" w:line="240" w:lineRule="atLeast"/>
        <w:rPr>
          <w:rFonts w:ascii="Arial" w:hAnsi="Arial" w:cs="Arial"/>
          <w:b/>
          <w:sz w:val="22"/>
          <w:szCs w:val="22"/>
          <w:lang w:val="en-GB"/>
        </w:rPr>
      </w:pPr>
      <w:r w:rsidRPr="00F81E71">
        <w:rPr>
          <w:rFonts w:ascii="Arial" w:hAnsi="Arial" w:cs="Arial"/>
          <w:b/>
          <w:sz w:val="22"/>
          <w:szCs w:val="22"/>
          <w:lang w:val="en-GB"/>
        </w:rPr>
        <w:t>If treatment related toxicities occur when MEKINIST is used in combination with dabrafenib then both treatments should be simultaneously dose reduced, interrupted or discontinued with the exceptions shown below.</w:t>
      </w:r>
    </w:p>
    <w:p w:rsidR="00F534C5" w:rsidRPr="00F534C5" w:rsidRDefault="00F81E71" w:rsidP="00F534C5">
      <w:pPr>
        <w:spacing w:after="120" w:line="240" w:lineRule="atLeast"/>
        <w:rPr>
          <w:rFonts w:ascii="Arial" w:hAnsi="Arial" w:cs="Arial"/>
          <w:b/>
          <w:sz w:val="22"/>
          <w:szCs w:val="22"/>
          <w:lang w:val="en-GB"/>
        </w:rPr>
      </w:pPr>
      <w:r w:rsidRPr="00F81E71">
        <w:rPr>
          <w:rFonts w:ascii="Arial" w:hAnsi="Arial" w:cs="Arial"/>
          <w:b/>
          <w:sz w:val="22"/>
          <w:szCs w:val="22"/>
          <w:lang w:val="en-GB"/>
        </w:rPr>
        <w:t>Exception where dose modification is necessary for only dabrafenib:</w:t>
      </w:r>
    </w:p>
    <w:p w:rsidR="00FC3E8C" w:rsidRDefault="00FC3E8C" w:rsidP="00F534C5">
      <w:pPr>
        <w:numPr>
          <w:ilvl w:val="0"/>
          <w:numId w:val="32"/>
        </w:numPr>
        <w:spacing w:after="120" w:line="240" w:lineRule="atLeast"/>
        <w:rPr>
          <w:rFonts w:ascii="Arial" w:hAnsi="Arial" w:cs="Arial"/>
          <w:b/>
          <w:sz w:val="22"/>
          <w:szCs w:val="22"/>
          <w:lang w:val="en-GB"/>
        </w:rPr>
      </w:pPr>
      <w:r>
        <w:rPr>
          <w:rFonts w:ascii="Arial" w:hAnsi="Arial" w:cs="Arial"/>
          <w:b/>
          <w:sz w:val="22"/>
          <w:szCs w:val="22"/>
          <w:lang w:val="en-GB"/>
        </w:rPr>
        <w:t>New Primary Non-Cutaneous Malignancies</w:t>
      </w:r>
    </w:p>
    <w:p w:rsidR="00FC3E8C" w:rsidRPr="00FC3E8C" w:rsidRDefault="00F81E71" w:rsidP="00F534C5">
      <w:pPr>
        <w:numPr>
          <w:ilvl w:val="0"/>
          <w:numId w:val="32"/>
        </w:numPr>
        <w:spacing w:after="120" w:line="240" w:lineRule="atLeast"/>
        <w:rPr>
          <w:rFonts w:ascii="Arial" w:hAnsi="Arial" w:cs="Arial"/>
          <w:b/>
          <w:sz w:val="22"/>
          <w:szCs w:val="22"/>
          <w:lang w:val="en-GB"/>
        </w:rPr>
      </w:pPr>
      <w:r w:rsidRPr="00FC3E8C">
        <w:rPr>
          <w:rFonts w:ascii="Arial" w:hAnsi="Arial" w:cs="Arial"/>
          <w:b/>
          <w:sz w:val="22"/>
          <w:szCs w:val="22"/>
          <w:lang w:val="en-GB"/>
        </w:rPr>
        <w:t>Pyrexia</w:t>
      </w:r>
    </w:p>
    <w:p w:rsidR="00F534C5" w:rsidRPr="00F534C5" w:rsidRDefault="00F81E71" w:rsidP="00F534C5">
      <w:pPr>
        <w:spacing w:after="120" w:line="240" w:lineRule="atLeast"/>
        <w:rPr>
          <w:rFonts w:ascii="Arial" w:hAnsi="Arial" w:cs="Arial"/>
          <w:b/>
          <w:sz w:val="22"/>
          <w:szCs w:val="22"/>
          <w:lang w:val="en-GB"/>
        </w:rPr>
      </w:pPr>
      <w:r w:rsidRPr="00F81E71">
        <w:rPr>
          <w:rFonts w:ascii="Arial" w:hAnsi="Arial" w:cs="Arial"/>
          <w:b/>
          <w:sz w:val="22"/>
          <w:szCs w:val="22"/>
          <w:lang w:val="en-GB"/>
        </w:rPr>
        <w:t>Exceptions where dose modifications are necessary for only MEKINIST:</w:t>
      </w:r>
    </w:p>
    <w:p w:rsidR="00F534C5" w:rsidRPr="00F534C5" w:rsidRDefault="00F81E71" w:rsidP="00F534C5">
      <w:pPr>
        <w:numPr>
          <w:ilvl w:val="0"/>
          <w:numId w:val="31"/>
        </w:numPr>
        <w:spacing w:after="120" w:line="240" w:lineRule="atLeast"/>
        <w:rPr>
          <w:rFonts w:ascii="Arial" w:hAnsi="Arial" w:cs="Arial"/>
          <w:b/>
          <w:sz w:val="22"/>
          <w:szCs w:val="22"/>
          <w:lang w:val="en-GB"/>
        </w:rPr>
      </w:pPr>
      <w:r w:rsidRPr="00F81E71">
        <w:rPr>
          <w:rFonts w:ascii="Arial" w:hAnsi="Arial" w:cs="Arial"/>
          <w:b/>
          <w:sz w:val="22"/>
          <w:szCs w:val="22"/>
          <w:lang w:val="en-GB"/>
        </w:rPr>
        <w:t>Left ventricular ejection fraction (LVEF) reduction</w:t>
      </w:r>
    </w:p>
    <w:p w:rsidR="002863FA" w:rsidRDefault="00F81E71">
      <w:pPr>
        <w:numPr>
          <w:ilvl w:val="0"/>
          <w:numId w:val="31"/>
        </w:numPr>
        <w:spacing w:after="120" w:line="240" w:lineRule="atLeast"/>
        <w:rPr>
          <w:rFonts w:ascii="Arial" w:hAnsi="Arial" w:cs="Arial"/>
          <w:b/>
          <w:sz w:val="22"/>
          <w:szCs w:val="22"/>
          <w:lang w:val="en-GB"/>
        </w:rPr>
      </w:pPr>
      <w:r w:rsidRPr="00F81E71">
        <w:rPr>
          <w:rFonts w:ascii="Arial" w:hAnsi="Arial" w:cs="Arial"/>
          <w:b/>
          <w:sz w:val="22"/>
          <w:szCs w:val="22"/>
          <w:lang w:val="en-GB"/>
        </w:rPr>
        <w:t xml:space="preserve">Retinal vein occlusion (RVO) and </w:t>
      </w:r>
      <w:r w:rsidR="00797E80">
        <w:rPr>
          <w:rFonts w:ascii="Arial" w:hAnsi="Arial" w:cs="Arial"/>
          <w:b/>
          <w:sz w:val="22"/>
          <w:szCs w:val="22"/>
          <w:lang w:val="en-GB"/>
        </w:rPr>
        <w:t>retinal pigment epithelial detachment (RPED)</w:t>
      </w:r>
    </w:p>
    <w:p w:rsidR="00797E80" w:rsidRDefault="00797E80">
      <w:pPr>
        <w:numPr>
          <w:ilvl w:val="0"/>
          <w:numId w:val="31"/>
        </w:numPr>
        <w:spacing w:after="120" w:line="240" w:lineRule="atLeast"/>
        <w:rPr>
          <w:rFonts w:ascii="Arial" w:hAnsi="Arial" w:cs="Arial"/>
          <w:b/>
          <w:sz w:val="22"/>
          <w:szCs w:val="22"/>
          <w:lang w:val="en-GB"/>
        </w:rPr>
      </w:pPr>
      <w:r w:rsidRPr="00767127">
        <w:rPr>
          <w:rFonts w:ascii="Arial" w:hAnsi="Arial" w:cs="Arial"/>
          <w:b/>
          <w:noProof/>
          <w:sz w:val="22"/>
          <w:szCs w:val="22"/>
          <w:lang w:val="en-GB"/>
        </w:rPr>
        <w:t>Interstitial lung disease (ILD)/</w:t>
      </w:r>
      <w:r w:rsidRPr="008429D6">
        <w:rPr>
          <w:rFonts w:ascii="Arial" w:hAnsi="Arial" w:cs="Arial"/>
          <w:b/>
          <w:noProof/>
          <w:sz w:val="22"/>
          <w:szCs w:val="22"/>
          <w:lang w:val="en-GB"/>
        </w:rPr>
        <w:t>Pneumonitis</w:t>
      </w:r>
    </w:p>
    <w:p w:rsidR="00562E1B" w:rsidRPr="00562E1B" w:rsidRDefault="00A55701" w:rsidP="005F26A9">
      <w:pPr>
        <w:spacing w:after="120" w:line="240" w:lineRule="atLeast"/>
        <w:rPr>
          <w:rFonts w:ascii="Arial" w:hAnsi="Arial" w:cs="Arial"/>
          <w:b/>
          <w:sz w:val="22"/>
          <w:szCs w:val="22"/>
          <w:u w:val="single"/>
          <w:lang w:val="en-GB"/>
        </w:rPr>
      </w:pPr>
      <w:r w:rsidRPr="00A55701">
        <w:rPr>
          <w:rFonts w:ascii="Arial" w:hAnsi="Arial" w:cs="Arial"/>
          <w:b/>
          <w:sz w:val="22"/>
          <w:szCs w:val="22"/>
          <w:u w:val="single"/>
          <w:lang w:val="en-GB"/>
        </w:rPr>
        <w:t>Detailed dosing modifications for selected adverse reactions</w:t>
      </w:r>
    </w:p>
    <w:p w:rsidR="00562E1B" w:rsidRDefault="00381348" w:rsidP="005F26A9">
      <w:pPr>
        <w:spacing w:after="120" w:line="240" w:lineRule="atLeast"/>
        <w:rPr>
          <w:rFonts w:ascii="Arial" w:hAnsi="Arial" w:cs="Arial"/>
          <w:sz w:val="22"/>
          <w:szCs w:val="22"/>
          <w:u w:val="single"/>
          <w:lang w:val="en-GB"/>
        </w:rPr>
      </w:pPr>
      <w:r w:rsidRPr="00381348">
        <w:rPr>
          <w:rFonts w:ascii="Arial" w:hAnsi="Arial" w:cs="Arial"/>
          <w:sz w:val="22"/>
          <w:szCs w:val="22"/>
          <w:u w:val="single"/>
          <w:lang w:val="en-GB"/>
        </w:rPr>
        <w:t>New Primary Malignancies:</w:t>
      </w:r>
      <w:r>
        <w:rPr>
          <w:rFonts w:ascii="Arial" w:hAnsi="Arial" w:cs="Arial"/>
          <w:sz w:val="22"/>
          <w:szCs w:val="22"/>
          <w:lang w:val="en-GB"/>
        </w:rPr>
        <w:t xml:space="preserve"> </w:t>
      </w:r>
      <w:r w:rsidR="00213E18" w:rsidRPr="0081040F">
        <w:rPr>
          <w:rFonts w:ascii="Arial" w:hAnsi="Arial" w:cs="Arial"/>
          <w:sz w:val="22"/>
          <w:szCs w:val="22"/>
          <w:lang w:val="en-GB"/>
        </w:rPr>
        <w:t>For New Primary Cutaneous Malignancies</w:t>
      </w:r>
      <w:r w:rsidR="00213E18">
        <w:rPr>
          <w:rFonts w:ascii="Arial" w:hAnsi="Arial" w:cs="Arial"/>
          <w:sz w:val="22"/>
          <w:szCs w:val="22"/>
          <w:lang w:val="en-GB"/>
        </w:rPr>
        <w:t xml:space="preserve"> n</w:t>
      </w:r>
      <w:r w:rsidR="00213E18" w:rsidRPr="0081040F">
        <w:rPr>
          <w:rFonts w:ascii="Arial" w:hAnsi="Arial" w:cs="Arial"/>
          <w:sz w:val="22"/>
          <w:szCs w:val="22"/>
          <w:lang w:val="en-GB"/>
        </w:rPr>
        <w:t>o dose modifications are required.</w:t>
      </w:r>
      <w:r w:rsidR="00213E18">
        <w:rPr>
          <w:rFonts w:ascii="Arial" w:hAnsi="Arial" w:cs="Arial"/>
          <w:sz w:val="22"/>
          <w:szCs w:val="22"/>
          <w:lang w:val="en-GB"/>
        </w:rPr>
        <w:t xml:space="preserve"> </w:t>
      </w:r>
      <w:r w:rsidR="00213E18" w:rsidRPr="0081040F">
        <w:rPr>
          <w:rFonts w:ascii="Arial" w:hAnsi="Arial" w:cs="Arial"/>
          <w:sz w:val="22"/>
          <w:szCs w:val="22"/>
          <w:lang w:val="en-GB"/>
        </w:rPr>
        <w:t>For New Primary Non-Cutaneous Malignancies</w:t>
      </w:r>
      <w:r w:rsidR="00213E18">
        <w:rPr>
          <w:rFonts w:ascii="Arial" w:hAnsi="Arial" w:cs="Arial"/>
          <w:sz w:val="22"/>
          <w:szCs w:val="22"/>
          <w:lang w:val="en-GB"/>
        </w:rPr>
        <w:t xml:space="preserve"> n</w:t>
      </w:r>
      <w:r w:rsidR="00213E18" w:rsidRPr="0081040F">
        <w:rPr>
          <w:rFonts w:ascii="Arial" w:hAnsi="Arial" w:cs="Arial"/>
          <w:sz w:val="22"/>
          <w:szCs w:val="22"/>
          <w:lang w:val="en-GB"/>
        </w:rPr>
        <w:t>o dose modifications are required for</w:t>
      </w:r>
      <w:r w:rsidR="00213E18">
        <w:rPr>
          <w:rFonts w:ascii="Arial" w:hAnsi="Arial" w:cs="Arial"/>
          <w:sz w:val="22"/>
          <w:szCs w:val="22"/>
          <w:lang w:val="en-GB"/>
        </w:rPr>
        <w:t xml:space="preserve"> </w:t>
      </w:r>
      <w:r w:rsidR="00213E18" w:rsidRPr="0081040F">
        <w:rPr>
          <w:rFonts w:ascii="Arial" w:hAnsi="Arial" w:cs="Arial"/>
          <w:sz w:val="22"/>
          <w:szCs w:val="22"/>
          <w:lang w:val="en-GB"/>
        </w:rPr>
        <w:t>MEKINIST. If used in combination with dabrafenib, permanently discontinue dabrafenib in</w:t>
      </w:r>
      <w:r w:rsidR="00213E18">
        <w:rPr>
          <w:rFonts w:ascii="Arial" w:hAnsi="Arial" w:cs="Arial"/>
          <w:sz w:val="22"/>
          <w:szCs w:val="22"/>
          <w:lang w:val="en-GB"/>
        </w:rPr>
        <w:t xml:space="preserve"> </w:t>
      </w:r>
      <w:r w:rsidR="00213E18" w:rsidRPr="0081040F">
        <w:rPr>
          <w:rFonts w:ascii="Arial" w:hAnsi="Arial" w:cs="Arial"/>
          <w:sz w:val="22"/>
          <w:szCs w:val="22"/>
          <w:lang w:val="en-GB"/>
        </w:rPr>
        <w:t>patients who develop RAS mutation-positive non-cutaneous malignancies.</w:t>
      </w:r>
    </w:p>
    <w:p w:rsidR="00381348" w:rsidRDefault="00381348" w:rsidP="00FC3E8C">
      <w:pPr>
        <w:spacing w:after="120" w:line="240" w:lineRule="atLeast"/>
        <w:rPr>
          <w:rFonts w:ascii="Arial" w:hAnsi="Arial" w:cs="Arial"/>
          <w:noProof/>
          <w:sz w:val="22"/>
          <w:szCs w:val="22"/>
        </w:rPr>
      </w:pPr>
    </w:p>
    <w:p w:rsidR="00213E18" w:rsidRPr="00381348" w:rsidRDefault="00381348" w:rsidP="005F26A9">
      <w:pPr>
        <w:spacing w:after="120" w:line="240" w:lineRule="atLeast"/>
        <w:rPr>
          <w:rFonts w:ascii="Arial" w:hAnsi="Arial" w:cs="Arial"/>
          <w:noProof/>
          <w:sz w:val="22"/>
          <w:szCs w:val="22"/>
        </w:rPr>
      </w:pPr>
      <w:r w:rsidRPr="00381348">
        <w:rPr>
          <w:rFonts w:ascii="Arial" w:hAnsi="Arial" w:cs="Arial"/>
          <w:noProof/>
          <w:sz w:val="22"/>
          <w:szCs w:val="22"/>
          <w:u w:val="single"/>
        </w:rPr>
        <w:t>Haemorrhagic events:</w:t>
      </w:r>
      <w:r>
        <w:rPr>
          <w:rFonts w:ascii="Arial" w:hAnsi="Arial" w:cs="Arial"/>
          <w:noProof/>
          <w:sz w:val="22"/>
          <w:szCs w:val="22"/>
        </w:rPr>
        <w:t xml:space="preserve"> </w:t>
      </w:r>
      <w:r w:rsidR="00FC3E8C" w:rsidRPr="00902814">
        <w:rPr>
          <w:rFonts w:ascii="Arial" w:hAnsi="Arial" w:cs="Arial"/>
          <w:noProof/>
          <w:sz w:val="22"/>
          <w:szCs w:val="22"/>
        </w:rPr>
        <w:t xml:space="preserve">Permanently discontinue MEKINIST, and also permanently discontinue dabrafenib if administered in combination, for all Grade 4 </w:t>
      </w:r>
      <w:r w:rsidR="00FC3E8C">
        <w:rPr>
          <w:rFonts w:ascii="Arial" w:hAnsi="Arial" w:cs="Arial"/>
          <w:noProof/>
          <w:sz w:val="22"/>
          <w:szCs w:val="22"/>
        </w:rPr>
        <w:t>haem</w:t>
      </w:r>
      <w:r w:rsidR="00FC3E8C" w:rsidRPr="00902814">
        <w:rPr>
          <w:rFonts w:ascii="Arial" w:hAnsi="Arial" w:cs="Arial"/>
          <w:noProof/>
          <w:sz w:val="22"/>
          <w:szCs w:val="22"/>
        </w:rPr>
        <w:t xml:space="preserve">orrhagic events and for any Grade 3 </w:t>
      </w:r>
      <w:r w:rsidR="00FC3E8C">
        <w:rPr>
          <w:rFonts w:ascii="Arial" w:hAnsi="Arial" w:cs="Arial"/>
          <w:noProof/>
          <w:sz w:val="22"/>
          <w:szCs w:val="22"/>
        </w:rPr>
        <w:t>haem</w:t>
      </w:r>
      <w:r w:rsidR="00FC3E8C" w:rsidRPr="00902814">
        <w:rPr>
          <w:rFonts w:ascii="Arial" w:hAnsi="Arial" w:cs="Arial"/>
          <w:noProof/>
          <w:sz w:val="22"/>
          <w:szCs w:val="22"/>
        </w:rPr>
        <w:t xml:space="preserve">orrhagic events that do not improve. Withhold MEKINIST for up to 3 weeks for Grade 3 </w:t>
      </w:r>
      <w:r w:rsidR="00FC3E8C">
        <w:rPr>
          <w:rFonts w:ascii="Arial" w:hAnsi="Arial" w:cs="Arial"/>
          <w:noProof/>
          <w:sz w:val="22"/>
          <w:szCs w:val="22"/>
        </w:rPr>
        <w:t>haem</w:t>
      </w:r>
      <w:r w:rsidR="00FC3E8C" w:rsidRPr="00902814">
        <w:rPr>
          <w:rFonts w:ascii="Arial" w:hAnsi="Arial" w:cs="Arial"/>
          <w:noProof/>
          <w:sz w:val="22"/>
          <w:szCs w:val="22"/>
        </w:rPr>
        <w:t xml:space="preserve">orrhagic events; if improved resume at a lower dose level. Withhold dabrafenib for Grade 3 </w:t>
      </w:r>
      <w:r w:rsidR="00FC3E8C">
        <w:rPr>
          <w:rFonts w:ascii="Arial" w:hAnsi="Arial" w:cs="Arial"/>
          <w:noProof/>
          <w:sz w:val="22"/>
          <w:szCs w:val="22"/>
        </w:rPr>
        <w:t>haem</w:t>
      </w:r>
      <w:r w:rsidR="00FC3E8C" w:rsidRPr="00902814">
        <w:rPr>
          <w:rFonts w:ascii="Arial" w:hAnsi="Arial" w:cs="Arial"/>
          <w:noProof/>
          <w:sz w:val="22"/>
          <w:szCs w:val="22"/>
        </w:rPr>
        <w:t>orrhagic events; if improved resume at a lower dose level.</w:t>
      </w:r>
    </w:p>
    <w:p w:rsidR="00FC3E8C" w:rsidRDefault="00FC3E8C" w:rsidP="005F26A9">
      <w:pPr>
        <w:spacing w:after="120" w:line="240" w:lineRule="atLeast"/>
        <w:rPr>
          <w:rFonts w:ascii="Arial" w:hAnsi="Arial" w:cs="Arial"/>
          <w:sz w:val="22"/>
          <w:szCs w:val="22"/>
          <w:u w:val="single"/>
          <w:lang w:val="en-GB"/>
        </w:rPr>
      </w:pPr>
    </w:p>
    <w:p w:rsidR="00122B3C" w:rsidRDefault="005F26A9" w:rsidP="005F26A9">
      <w:pPr>
        <w:spacing w:after="120" w:line="240" w:lineRule="atLeast"/>
        <w:rPr>
          <w:rFonts w:ascii="Arial" w:hAnsi="Arial" w:cs="Arial"/>
          <w:sz w:val="22"/>
          <w:szCs w:val="22"/>
          <w:lang w:val="en-GB"/>
        </w:rPr>
      </w:pPr>
      <w:r w:rsidRPr="00F81E71">
        <w:rPr>
          <w:rFonts w:ascii="Arial" w:hAnsi="Arial" w:cs="Arial"/>
          <w:sz w:val="22"/>
          <w:szCs w:val="22"/>
          <w:u w:val="single"/>
          <w:lang w:val="en-GB"/>
        </w:rPr>
        <w:t>Pyrexia Management</w:t>
      </w:r>
      <w:r w:rsidRPr="00F81E71">
        <w:rPr>
          <w:rFonts w:ascii="Arial" w:hAnsi="Arial" w:cs="Arial"/>
          <w:sz w:val="22"/>
          <w:szCs w:val="22"/>
          <w:lang w:val="en-GB"/>
        </w:rPr>
        <w:t xml:space="preserve">: </w:t>
      </w:r>
    </w:p>
    <w:p w:rsidR="001776FB" w:rsidRPr="001776FB" w:rsidRDefault="00B965EB" w:rsidP="001776FB">
      <w:pPr>
        <w:spacing w:after="120" w:line="240" w:lineRule="atLeast"/>
        <w:rPr>
          <w:rFonts w:ascii="Arial" w:hAnsi="Arial" w:cs="Arial"/>
          <w:i/>
          <w:sz w:val="22"/>
          <w:szCs w:val="22"/>
          <w:lang w:val="en-GB"/>
        </w:rPr>
      </w:pPr>
      <w:r w:rsidRPr="00B965EB">
        <w:rPr>
          <w:rFonts w:ascii="Arial" w:hAnsi="Arial" w:cs="Arial"/>
          <w:i/>
          <w:sz w:val="22"/>
          <w:szCs w:val="22"/>
          <w:lang w:val="en-GB"/>
        </w:rPr>
        <w:t xml:space="preserve">If the patient’s temperature is &gt; 40ºC or if fever </w:t>
      </w:r>
      <w:r w:rsidR="001B0249">
        <w:rPr>
          <w:rFonts w:ascii="Arial" w:hAnsi="Arial" w:cs="Arial"/>
          <w:i/>
          <w:sz w:val="22"/>
          <w:szCs w:val="22"/>
          <w:lang w:val="en-GB"/>
        </w:rPr>
        <w:t xml:space="preserve">is </w:t>
      </w:r>
      <w:r w:rsidRPr="00B965EB">
        <w:rPr>
          <w:rFonts w:ascii="Arial" w:hAnsi="Arial" w:cs="Arial"/>
          <w:i/>
          <w:sz w:val="22"/>
          <w:szCs w:val="22"/>
          <w:lang w:val="en-GB"/>
        </w:rPr>
        <w:t>complicated by rigors, hypotension, dehydration, or renal failure</w:t>
      </w:r>
    </w:p>
    <w:p w:rsidR="00122B3C" w:rsidRDefault="001776FB" w:rsidP="001776FB">
      <w:pPr>
        <w:spacing w:after="120" w:line="240" w:lineRule="atLeast"/>
        <w:rPr>
          <w:rFonts w:ascii="Arial" w:hAnsi="Arial" w:cs="Arial"/>
          <w:sz w:val="22"/>
          <w:szCs w:val="22"/>
          <w:lang w:val="en-GB"/>
        </w:rPr>
      </w:pPr>
      <w:r>
        <w:rPr>
          <w:rFonts w:ascii="Arial" w:hAnsi="Arial" w:cs="Arial"/>
          <w:sz w:val="22"/>
          <w:szCs w:val="22"/>
          <w:lang w:val="en-GB"/>
        </w:rPr>
        <w:t>When MEKINIST is used as monotherapy, w</w:t>
      </w:r>
      <w:r w:rsidRPr="001776FB">
        <w:rPr>
          <w:rFonts w:ascii="Arial" w:hAnsi="Arial" w:cs="Arial"/>
          <w:sz w:val="22"/>
          <w:szCs w:val="22"/>
          <w:lang w:val="en-GB"/>
        </w:rPr>
        <w:t>ithhold MEKINIST until</w:t>
      </w:r>
      <w:r>
        <w:rPr>
          <w:rFonts w:ascii="Arial" w:hAnsi="Arial" w:cs="Arial"/>
          <w:sz w:val="22"/>
          <w:szCs w:val="22"/>
          <w:lang w:val="en-GB"/>
        </w:rPr>
        <w:t xml:space="preserve"> </w:t>
      </w:r>
      <w:r w:rsidRPr="001776FB">
        <w:rPr>
          <w:rFonts w:ascii="Arial" w:hAnsi="Arial" w:cs="Arial"/>
          <w:sz w:val="22"/>
          <w:szCs w:val="22"/>
          <w:lang w:val="en-GB"/>
        </w:rPr>
        <w:t>fever resolves. Then resume</w:t>
      </w:r>
      <w:r>
        <w:rPr>
          <w:rFonts w:ascii="Arial" w:hAnsi="Arial" w:cs="Arial"/>
          <w:sz w:val="22"/>
          <w:szCs w:val="22"/>
          <w:lang w:val="en-GB"/>
        </w:rPr>
        <w:t xml:space="preserve"> </w:t>
      </w:r>
      <w:r w:rsidRPr="001776FB">
        <w:rPr>
          <w:rFonts w:ascii="Arial" w:hAnsi="Arial" w:cs="Arial"/>
          <w:sz w:val="22"/>
          <w:szCs w:val="22"/>
          <w:lang w:val="en-GB"/>
        </w:rPr>
        <w:t>MEKINIST at same or lower</w:t>
      </w:r>
      <w:r>
        <w:rPr>
          <w:rFonts w:ascii="Arial" w:hAnsi="Arial" w:cs="Arial"/>
          <w:sz w:val="22"/>
          <w:szCs w:val="22"/>
          <w:lang w:val="en-GB"/>
        </w:rPr>
        <w:t xml:space="preserve"> </w:t>
      </w:r>
      <w:r w:rsidRPr="001776FB">
        <w:rPr>
          <w:rFonts w:ascii="Arial" w:hAnsi="Arial" w:cs="Arial"/>
          <w:sz w:val="22"/>
          <w:szCs w:val="22"/>
          <w:lang w:val="en-GB"/>
        </w:rPr>
        <w:t>dose level.</w:t>
      </w:r>
    </w:p>
    <w:p w:rsidR="001776FB" w:rsidRDefault="001776FB" w:rsidP="001776FB">
      <w:pPr>
        <w:spacing w:after="120" w:line="240" w:lineRule="atLeast"/>
        <w:rPr>
          <w:rFonts w:ascii="Arial" w:hAnsi="Arial" w:cs="Arial"/>
          <w:sz w:val="22"/>
          <w:szCs w:val="22"/>
          <w:lang w:val="en-GB"/>
        </w:rPr>
      </w:pPr>
      <w:r w:rsidRPr="00F81E71">
        <w:rPr>
          <w:rFonts w:ascii="Arial" w:hAnsi="Arial" w:cs="Arial"/>
          <w:sz w:val="22"/>
          <w:szCs w:val="22"/>
          <w:lang w:val="en-GB"/>
        </w:rPr>
        <w:lastRenderedPageBreak/>
        <w:t xml:space="preserve">When MEKINIST is used in combination with dabrafenib, </w:t>
      </w:r>
      <w:r>
        <w:rPr>
          <w:rFonts w:ascii="Arial" w:hAnsi="Arial" w:cs="Arial"/>
          <w:sz w:val="22"/>
          <w:szCs w:val="22"/>
          <w:lang w:val="en-GB"/>
        </w:rPr>
        <w:t>w</w:t>
      </w:r>
      <w:r w:rsidRPr="001776FB">
        <w:rPr>
          <w:rFonts w:ascii="Arial" w:hAnsi="Arial" w:cs="Arial"/>
          <w:sz w:val="22"/>
          <w:szCs w:val="22"/>
          <w:lang w:val="en-GB"/>
        </w:rPr>
        <w:t>ithhold MEKINIST</w:t>
      </w:r>
      <w:r w:rsidRPr="00F81E71">
        <w:rPr>
          <w:rFonts w:ascii="Arial" w:hAnsi="Arial" w:cs="Arial"/>
          <w:sz w:val="22"/>
          <w:szCs w:val="22"/>
          <w:lang w:val="en-GB"/>
        </w:rPr>
        <w:t xml:space="preserve"> </w:t>
      </w:r>
      <w:r>
        <w:rPr>
          <w:rFonts w:ascii="Arial" w:hAnsi="Arial" w:cs="Arial"/>
          <w:sz w:val="22"/>
          <w:szCs w:val="22"/>
          <w:lang w:val="en-GB"/>
        </w:rPr>
        <w:t>and</w:t>
      </w:r>
      <w:r w:rsidRPr="00F81E71">
        <w:rPr>
          <w:rFonts w:ascii="Arial" w:hAnsi="Arial" w:cs="Arial"/>
          <w:sz w:val="22"/>
          <w:szCs w:val="22"/>
          <w:lang w:val="en-GB"/>
        </w:rPr>
        <w:t xml:space="preserve"> dabrafenib</w:t>
      </w:r>
      <w:r w:rsidRPr="001776FB">
        <w:rPr>
          <w:rFonts w:ascii="Arial" w:hAnsi="Arial" w:cs="Arial"/>
          <w:sz w:val="22"/>
          <w:szCs w:val="22"/>
          <w:lang w:val="en-GB"/>
        </w:rPr>
        <w:t>.</w:t>
      </w:r>
    </w:p>
    <w:p w:rsidR="001776FB" w:rsidRPr="00AA1C1A" w:rsidRDefault="001776FB" w:rsidP="001776FB">
      <w:pPr>
        <w:spacing w:after="120" w:line="240" w:lineRule="atLeast"/>
        <w:rPr>
          <w:rFonts w:ascii="Arial" w:hAnsi="Arial" w:cs="Arial"/>
          <w:sz w:val="22"/>
          <w:szCs w:val="22"/>
          <w:lang w:val="en-GB"/>
        </w:rPr>
      </w:pPr>
      <w:r w:rsidRPr="00F81E71">
        <w:rPr>
          <w:rFonts w:ascii="Arial" w:hAnsi="Arial" w:cs="Arial"/>
          <w:sz w:val="22"/>
          <w:szCs w:val="22"/>
          <w:lang w:val="en-GB"/>
        </w:rPr>
        <w:t xml:space="preserve">Initiate treatment with anti-pyretics such as ibuprofen (preferred) or acetaminophen/paracetamol. Patients should be evaluated for signs and symptoms of infection (see PRECAUTIONS). </w:t>
      </w:r>
    </w:p>
    <w:p w:rsidR="001776FB" w:rsidRPr="00AA1C1A" w:rsidRDefault="001776FB" w:rsidP="001776FB">
      <w:pPr>
        <w:spacing w:after="120" w:line="240" w:lineRule="atLeast"/>
        <w:rPr>
          <w:rFonts w:ascii="Arial" w:hAnsi="Arial" w:cs="Arial"/>
          <w:sz w:val="22"/>
          <w:szCs w:val="22"/>
          <w:lang w:val="en-GB"/>
        </w:rPr>
      </w:pPr>
      <w:r w:rsidRPr="00F81E71">
        <w:rPr>
          <w:rFonts w:ascii="Arial" w:hAnsi="Arial" w:cs="Arial"/>
          <w:sz w:val="22"/>
          <w:szCs w:val="22"/>
          <w:lang w:val="en-GB"/>
        </w:rPr>
        <w:t xml:space="preserve">Upon resolution of pyrexia, </w:t>
      </w:r>
      <w:r w:rsidR="00C6593E">
        <w:rPr>
          <w:rFonts w:ascii="Arial" w:hAnsi="Arial" w:cs="Arial"/>
          <w:sz w:val="22"/>
          <w:szCs w:val="22"/>
          <w:lang w:val="en-GB"/>
        </w:rPr>
        <w:t>therapy</w:t>
      </w:r>
      <w:r w:rsidRPr="00F81E71">
        <w:rPr>
          <w:rFonts w:ascii="Arial" w:hAnsi="Arial" w:cs="Arial"/>
          <w:sz w:val="22"/>
          <w:szCs w:val="22"/>
          <w:lang w:val="en-GB"/>
        </w:rPr>
        <w:t xml:space="preserve"> can be restarted with appropriate anti-pyretic prophylaxis either:</w:t>
      </w:r>
    </w:p>
    <w:p w:rsidR="00B965EB" w:rsidRDefault="00C6593E" w:rsidP="00B965EB">
      <w:pPr>
        <w:numPr>
          <w:ilvl w:val="0"/>
          <w:numId w:val="33"/>
        </w:numPr>
        <w:spacing w:after="120" w:line="240" w:lineRule="atLeast"/>
        <w:rPr>
          <w:rFonts w:ascii="Arial" w:hAnsi="Arial" w:cs="Arial"/>
          <w:sz w:val="22"/>
          <w:szCs w:val="22"/>
          <w:lang w:val="en-GB"/>
        </w:rPr>
      </w:pPr>
      <w:r>
        <w:rPr>
          <w:rFonts w:ascii="Arial" w:hAnsi="Arial" w:cs="Arial"/>
          <w:sz w:val="22"/>
          <w:szCs w:val="22"/>
          <w:lang w:val="en-GB"/>
        </w:rPr>
        <w:t>MEKINIST at the same or lower dose level, dabrafenib a</w:t>
      </w:r>
      <w:r w:rsidR="001776FB" w:rsidRPr="001776FB">
        <w:rPr>
          <w:rFonts w:ascii="Arial" w:hAnsi="Arial" w:cs="Arial"/>
          <w:sz w:val="22"/>
          <w:szCs w:val="22"/>
          <w:lang w:val="en-GB"/>
        </w:rPr>
        <w:t>t</w:t>
      </w:r>
      <w:r w:rsidR="001776FB">
        <w:rPr>
          <w:rFonts w:ascii="Arial" w:hAnsi="Arial" w:cs="Arial"/>
          <w:sz w:val="22"/>
          <w:szCs w:val="22"/>
          <w:lang w:val="en-GB"/>
        </w:rPr>
        <w:t xml:space="preserve"> a</w:t>
      </w:r>
      <w:r w:rsidR="001776FB" w:rsidRPr="001776FB">
        <w:rPr>
          <w:rFonts w:ascii="Arial" w:hAnsi="Arial" w:cs="Arial"/>
          <w:sz w:val="22"/>
          <w:szCs w:val="22"/>
          <w:lang w:val="en-GB"/>
        </w:rPr>
        <w:t xml:space="preserve"> </w:t>
      </w:r>
      <w:r>
        <w:rPr>
          <w:rFonts w:ascii="Arial" w:hAnsi="Arial" w:cs="Arial"/>
          <w:sz w:val="22"/>
          <w:szCs w:val="22"/>
          <w:lang w:val="en-GB"/>
        </w:rPr>
        <w:t>lower dose level,</w:t>
      </w:r>
    </w:p>
    <w:p w:rsidR="00B965EB" w:rsidRDefault="00C6593E" w:rsidP="00B965EB">
      <w:pPr>
        <w:numPr>
          <w:ilvl w:val="0"/>
          <w:numId w:val="33"/>
        </w:numPr>
        <w:spacing w:after="120" w:line="240" w:lineRule="atLeast"/>
        <w:rPr>
          <w:rFonts w:ascii="Arial" w:hAnsi="Arial" w:cs="Arial"/>
          <w:sz w:val="22"/>
          <w:szCs w:val="22"/>
          <w:lang w:val="en-GB"/>
        </w:rPr>
      </w:pPr>
      <w:r>
        <w:rPr>
          <w:rFonts w:ascii="Arial" w:hAnsi="Arial" w:cs="Arial"/>
          <w:sz w:val="22"/>
          <w:szCs w:val="22"/>
          <w:lang w:val="en-GB"/>
        </w:rPr>
        <w:t>Or, permanently discontinue dabrafenib</w:t>
      </w:r>
    </w:p>
    <w:p w:rsidR="00C6593E" w:rsidRPr="00C6593E" w:rsidRDefault="00C6593E" w:rsidP="00C6593E">
      <w:pPr>
        <w:spacing w:after="120" w:line="240" w:lineRule="atLeast"/>
        <w:rPr>
          <w:rFonts w:ascii="Arial" w:hAnsi="Arial" w:cs="Arial"/>
          <w:sz w:val="22"/>
          <w:szCs w:val="22"/>
          <w:lang w:val="en-GB"/>
        </w:rPr>
      </w:pPr>
    </w:p>
    <w:p w:rsidR="00122B3C" w:rsidRPr="001776FB" w:rsidRDefault="00B965EB" w:rsidP="005F26A9">
      <w:pPr>
        <w:spacing w:after="120" w:line="240" w:lineRule="atLeast"/>
        <w:rPr>
          <w:rFonts w:ascii="Arial" w:hAnsi="Arial" w:cs="Arial"/>
          <w:i/>
          <w:sz w:val="22"/>
          <w:szCs w:val="22"/>
          <w:lang w:val="en-GB"/>
        </w:rPr>
      </w:pPr>
      <w:r w:rsidRPr="00B965EB">
        <w:rPr>
          <w:rFonts w:ascii="Arial" w:hAnsi="Arial" w:cs="Arial"/>
          <w:i/>
          <w:sz w:val="22"/>
          <w:szCs w:val="22"/>
          <w:lang w:val="en-GB"/>
        </w:rPr>
        <w:t>If the patient’s temperature is ≥ 38.5ºC and ≤ 40ºC</w:t>
      </w:r>
    </w:p>
    <w:p w:rsidR="00122B3C" w:rsidRDefault="00122B3C" w:rsidP="005F26A9">
      <w:pPr>
        <w:spacing w:after="120" w:line="240" w:lineRule="atLeast"/>
        <w:rPr>
          <w:rFonts w:ascii="Arial" w:hAnsi="Arial" w:cs="Arial"/>
          <w:sz w:val="22"/>
          <w:szCs w:val="22"/>
          <w:lang w:val="en-GB"/>
        </w:rPr>
      </w:pPr>
      <w:r>
        <w:rPr>
          <w:rFonts w:ascii="Arial" w:hAnsi="Arial" w:cs="Arial"/>
          <w:sz w:val="22"/>
          <w:szCs w:val="22"/>
          <w:lang w:val="en-GB"/>
        </w:rPr>
        <w:t>When</w:t>
      </w:r>
      <w:r w:rsidR="001776FB">
        <w:rPr>
          <w:rFonts w:ascii="Arial" w:hAnsi="Arial" w:cs="Arial"/>
          <w:sz w:val="22"/>
          <w:szCs w:val="22"/>
          <w:lang w:val="en-GB"/>
        </w:rPr>
        <w:t xml:space="preserve"> MEKINIST</w:t>
      </w:r>
      <w:r>
        <w:rPr>
          <w:rFonts w:ascii="Arial" w:hAnsi="Arial" w:cs="Arial"/>
          <w:sz w:val="22"/>
          <w:szCs w:val="22"/>
          <w:lang w:val="en-GB"/>
        </w:rPr>
        <w:t xml:space="preserve"> is used as monotherapy, do not modify the MEKINIST dose.</w:t>
      </w:r>
    </w:p>
    <w:p w:rsidR="001776FB" w:rsidRDefault="005F26A9" w:rsidP="005F26A9">
      <w:pPr>
        <w:spacing w:after="120" w:line="240" w:lineRule="atLeast"/>
        <w:rPr>
          <w:rFonts w:ascii="Arial" w:hAnsi="Arial" w:cs="Arial"/>
          <w:sz w:val="22"/>
          <w:szCs w:val="22"/>
          <w:lang w:val="en-GB"/>
        </w:rPr>
      </w:pPr>
      <w:r w:rsidRPr="00F81E71">
        <w:rPr>
          <w:rFonts w:ascii="Arial" w:hAnsi="Arial" w:cs="Arial"/>
          <w:sz w:val="22"/>
          <w:szCs w:val="22"/>
          <w:lang w:val="en-GB"/>
        </w:rPr>
        <w:t xml:space="preserve">When MEKINIST is used in combination with dabrafenib, </w:t>
      </w:r>
      <w:r w:rsidR="001776FB">
        <w:rPr>
          <w:rFonts w:ascii="Arial" w:hAnsi="Arial" w:cs="Arial"/>
          <w:sz w:val="22"/>
          <w:szCs w:val="22"/>
          <w:lang w:val="en-GB"/>
        </w:rPr>
        <w:t>withhold</w:t>
      </w:r>
      <w:r w:rsidRPr="00F81E71">
        <w:rPr>
          <w:rFonts w:ascii="Arial" w:hAnsi="Arial" w:cs="Arial"/>
          <w:sz w:val="22"/>
          <w:szCs w:val="22"/>
          <w:lang w:val="en-GB"/>
        </w:rPr>
        <w:t xml:space="preserve"> dabrafenib</w:t>
      </w:r>
      <w:r w:rsidR="001776FB">
        <w:rPr>
          <w:rFonts w:ascii="Arial" w:hAnsi="Arial" w:cs="Arial"/>
          <w:sz w:val="22"/>
          <w:szCs w:val="22"/>
          <w:lang w:val="en-GB"/>
        </w:rPr>
        <w:t xml:space="preserve">. </w:t>
      </w:r>
      <w:r w:rsidRPr="00F81E71">
        <w:rPr>
          <w:rFonts w:ascii="Arial" w:hAnsi="Arial" w:cs="Arial"/>
          <w:sz w:val="22"/>
          <w:szCs w:val="22"/>
          <w:lang w:val="en-GB"/>
        </w:rPr>
        <w:t xml:space="preserve">MEKINIST should be continued at the same dose. </w:t>
      </w:r>
    </w:p>
    <w:p w:rsidR="005F26A9" w:rsidRPr="00AA1C1A" w:rsidRDefault="005F26A9" w:rsidP="005F26A9">
      <w:pPr>
        <w:spacing w:after="120" w:line="240" w:lineRule="atLeast"/>
        <w:rPr>
          <w:rFonts w:ascii="Arial" w:hAnsi="Arial" w:cs="Arial"/>
          <w:sz w:val="22"/>
          <w:szCs w:val="22"/>
          <w:lang w:val="en-GB"/>
        </w:rPr>
      </w:pPr>
      <w:r w:rsidRPr="00F81E71">
        <w:rPr>
          <w:rFonts w:ascii="Arial" w:hAnsi="Arial" w:cs="Arial"/>
          <w:sz w:val="22"/>
          <w:szCs w:val="22"/>
          <w:lang w:val="en-GB"/>
        </w:rPr>
        <w:t xml:space="preserve">Initiate treatment with anti-pyretics such as ibuprofen (preferred) or acetaminophen/paracetamol. Patients should be evaluated for signs and symptoms of infection (see PRECAUTIONS). </w:t>
      </w:r>
    </w:p>
    <w:p w:rsidR="005F26A9" w:rsidRPr="00AA1C1A" w:rsidRDefault="005F26A9" w:rsidP="005F26A9">
      <w:pPr>
        <w:spacing w:after="120" w:line="240" w:lineRule="atLeast"/>
        <w:rPr>
          <w:rFonts w:ascii="Arial" w:hAnsi="Arial" w:cs="Arial"/>
          <w:sz w:val="22"/>
          <w:szCs w:val="22"/>
          <w:lang w:val="en-GB"/>
        </w:rPr>
      </w:pPr>
      <w:r w:rsidRPr="00F81E71">
        <w:rPr>
          <w:rFonts w:ascii="Arial" w:hAnsi="Arial" w:cs="Arial"/>
          <w:sz w:val="22"/>
          <w:szCs w:val="22"/>
          <w:lang w:val="en-GB"/>
        </w:rPr>
        <w:t>Upon resolution of pyrexia, dabrafenib can be restarted with appropriate anti-pyretic prophylaxis either:</w:t>
      </w:r>
    </w:p>
    <w:p w:rsidR="005F26A9" w:rsidRPr="00AA1C1A" w:rsidRDefault="005F26A9" w:rsidP="005F26A9">
      <w:pPr>
        <w:numPr>
          <w:ilvl w:val="0"/>
          <w:numId w:val="33"/>
        </w:numPr>
        <w:spacing w:after="120" w:line="240" w:lineRule="atLeast"/>
        <w:rPr>
          <w:rFonts w:ascii="Arial" w:hAnsi="Arial" w:cs="Arial"/>
          <w:sz w:val="22"/>
          <w:szCs w:val="22"/>
          <w:lang w:val="en-GB"/>
        </w:rPr>
      </w:pPr>
      <w:r w:rsidRPr="00F81E71">
        <w:rPr>
          <w:rFonts w:ascii="Arial" w:hAnsi="Arial" w:cs="Arial"/>
          <w:sz w:val="22"/>
          <w:szCs w:val="22"/>
          <w:lang w:val="en-GB"/>
        </w:rPr>
        <w:t>At the same dose level.</w:t>
      </w:r>
    </w:p>
    <w:p w:rsidR="005F26A9" w:rsidRPr="00AA1C1A" w:rsidRDefault="005F26A9" w:rsidP="005F26A9">
      <w:pPr>
        <w:numPr>
          <w:ilvl w:val="0"/>
          <w:numId w:val="33"/>
        </w:numPr>
        <w:spacing w:after="120" w:line="240" w:lineRule="atLeast"/>
        <w:rPr>
          <w:rFonts w:ascii="Arial" w:hAnsi="Arial" w:cs="Arial"/>
          <w:sz w:val="22"/>
          <w:szCs w:val="22"/>
          <w:lang w:val="en-GB"/>
        </w:rPr>
      </w:pPr>
      <w:r w:rsidRPr="00F81E71">
        <w:rPr>
          <w:rFonts w:ascii="Arial" w:hAnsi="Arial" w:cs="Arial"/>
          <w:sz w:val="22"/>
          <w:szCs w:val="22"/>
          <w:lang w:val="en-GB"/>
        </w:rPr>
        <w:t xml:space="preserve">Or, reduce one dose level, if pyrexia is recurrent </w:t>
      </w:r>
    </w:p>
    <w:p w:rsidR="005F26A9" w:rsidRDefault="005F26A9" w:rsidP="00445972">
      <w:pPr>
        <w:spacing w:after="120" w:line="240" w:lineRule="atLeast"/>
        <w:rPr>
          <w:rFonts w:ascii="Arial" w:hAnsi="Arial" w:cs="Arial"/>
          <w:sz w:val="22"/>
          <w:szCs w:val="22"/>
          <w:lang w:val="en-US"/>
        </w:rPr>
      </w:pPr>
      <w:r w:rsidRPr="00F81E71">
        <w:rPr>
          <w:rFonts w:ascii="Arial" w:hAnsi="Arial" w:cs="Arial"/>
          <w:sz w:val="22"/>
          <w:szCs w:val="22"/>
          <w:lang w:val="en-US"/>
        </w:rPr>
        <w:t>The use of oral corticosteroids should be considered in those instances in which anti-pyretics are insufficient.</w:t>
      </w:r>
    </w:p>
    <w:p w:rsidR="005F26A9" w:rsidRPr="005F26A9" w:rsidRDefault="005F26A9" w:rsidP="00445972">
      <w:pPr>
        <w:spacing w:after="120" w:line="240" w:lineRule="atLeast"/>
        <w:rPr>
          <w:rFonts w:ascii="Arial" w:hAnsi="Arial" w:cs="Arial"/>
          <w:sz w:val="22"/>
          <w:szCs w:val="22"/>
          <w:lang w:val="en-US"/>
        </w:rPr>
      </w:pPr>
    </w:p>
    <w:p w:rsidR="00445972" w:rsidRPr="00620AF0" w:rsidRDefault="00445972" w:rsidP="00445972">
      <w:pPr>
        <w:spacing w:after="120" w:line="240" w:lineRule="atLeast"/>
        <w:rPr>
          <w:rFonts w:ascii="Arial" w:hAnsi="Arial" w:cs="Arial"/>
          <w:sz w:val="22"/>
          <w:szCs w:val="22"/>
        </w:rPr>
      </w:pPr>
      <w:r w:rsidRPr="00620AF0">
        <w:rPr>
          <w:rFonts w:ascii="Arial" w:hAnsi="Arial" w:cs="Arial"/>
          <w:sz w:val="22"/>
          <w:szCs w:val="22"/>
          <w:u w:val="single"/>
        </w:rPr>
        <w:t>LVEF Reduction/Left Ventricular Dysfunction:</w:t>
      </w:r>
      <w:r w:rsidRPr="00620AF0">
        <w:rPr>
          <w:rFonts w:ascii="Arial" w:hAnsi="Arial" w:cs="Arial"/>
          <w:sz w:val="22"/>
          <w:szCs w:val="22"/>
        </w:rPr>
        <w:t xml:space="preserve"> MEKINIST should be interrupted in patients who have an asymptomatic, absolute decrease of </w:t>
      </w:r>
      <w:r w:rsidR="001B0249" w:rsidRPr="000C6AD2">
        <w:rPr>
          <w:rFonts w:ascii="Arial" w:hAnsi="Arial" w:cs="Arial"/>
          <w:noProof/>
          <w:sz w:val="22"/>
          <w:szCs w:val="22"/>
          <w:lang w:val="en-GB"/>
        </w:rPr>
        <w:t>≥</w:t>
      </w:r>
      <w:r w:rsidRPr="00620AF0">
        <w:rPr>
          <w:rFonts w:ascii="Arial" w:hAnsi="Arial" w:cs="Arial"/>
          <w:sz w:val="22"/>
          <w:szCs w:val="22"/>
        </w:rPr>
        <w:t>10% in LVEF compared to baseline and the ejection fraction is below the institution’s lower limit of normal (LLN) (see PRECAUTIONS).</w:t>
      </w:r>
      <w:r w:rsidR="00743E87">
        <w:rPr>
          <w:rFonts w:ascii="Arial" w:hAnsi="Arial" w:cs="Arial"/>
          <w:sz w:val="22"/>
          <w:szCs w:val="22"/>
        </w:rPr>
        <w:t xml:space="preserve"> </w:t>
      </w:r>
      <w:r w:rsidR="00743E87">
        <w:rPr>
          <w:rFonts w:ascii="Arial" w:hAnsi="Arial" w:cs="Arial"/>
          <w:sz w:val="22"/>
          <w:szCs w:val="22"/>
          <w:lang w:val="en-GB"/>
        </w:rPr>
        <w:t>If MEKINIST</w:t>
      </w:r>
      <w:r w:rsidR="00743E87" w:rsidRPr="00743E87">
        <w:rPr>
          <w:rFonts w:ascii="Arial" w:hAnsi="Arial" w:cs="Arial"/>
          <w:sz w:val="22"/>
          <w:szCs w:val="22"/>
          <w:lang w:val="en-GB"/>
        </w:rPr>
        <w:t xml:space="preserve"> is being used in combination with dabrafenib then therapy with dabrafenib may be continued at the same dose. </w:t>
      </w:r>
      <w:r w:rsidRPr="00620AF0">
        <w:rPr>
          <w:rFonts w:ascii="Arial" w:hAnsi="Arial" w:cs="Arial"/>
          <w:sz w:val="22"/>
          <w:szCs w:val="22"/>
        </w:rPr>
        <w:t xml:space="preserve"> If the LVEF recovers, treatment with MEKINIST may be restarted, but reduce dose by </w:t>
      </w:r>
      <w:r w:rsidR="00743E87">
        <w:rPr>
          <w:rFonts w:ascii="Arial" w:hAnsi="Arial" w:cs="Arial"/>
          <w:sz w:val="22"/>
          <w:szCs w:val="22"/>
        </w:rPr>
        <w:t>one dose level</w:t>
      </w:r>
      <w:r w:rsidRPr="00620AF0">
        <w:rPr>
          <w:rFonts w:ascii="Arial" w:hAnsi="Arial" w:cs="Arial"/>
          <w:sz w:val="22"/>
          <w:szCs w:val="22"/>
        </w:rPr>
        <w:t xml:space="preserve"> with careful monitoring. </w:t>
      </w:r>
    </w:p>
    <w:p w:rsidR="001B0249" w:rsidRPr="00932F3A" w:rsidRDefault="00445972" w:rsidP="001B0249">
      <w:pPr>
        <w:spacing w:after="120" w:line="240" w:lineRule="atLeast"/>
        <w:rPr>
          <w:rFonts w:ascii="Arial" w:hAnsi="Arial" w:cs="Arial"/>
          <w:noProof/>
          <w:sz w:val="22"/>
          <w:szCs w:val="22"/>
          <w:lang w:val="en-GB"/>
        </w:rPr>
      </w:pPr>
      <w:r w:rsidRPr="00620AF0">
        <w:rPr>
          <w:rFonts w:ascii="Arial" w:hAnsi="Arial" w:cs="Arial"/>
          <w:sz w:val="22"/>
          <w:szCs w:val="22"/>
        </w:rPr>
        <w:t>Permanently discontinue MEKINIST with Grade 3 or 4 left ventricular cardiac dysfunction or if LVEF does not recover.</w:t>
      </w:r>
      <w:r w:rsidR="00932F3A">
        <w:rPr>
          <w:rFonts w:ascii="Arial" w:hAnsi="Arial" w:cs="Arial"/>
          <w:noProof/>
          <w:sz w:val="22"/>
          <w:szCs w:val="22"/>
          <w:lang w:val="en-GB"/>
        </w:rPr>
        <w:t xml:space="preserve"> </w:t>
      </w:r>
      <w:r w:rsidR="001B0249" w:rsidRPr="00A645EF">
        <w:rPr>
          <w:rFonts w:ascii="Arial" w:hAnsi="Arial" w:cs="Arial"/>
          <w:noProof/>
          <w:sz w:val="22"/>
          <w:szCs w:val="22"/>
          <w:lang w:val="en-GB"/>
        </w:rPr>
        <w:t xml:space="preserve">If </w:t>
      </w:r>
      <w:r w:rsidR="00932F3A">
        <w:rPr>
          <w:rFonts w:ascii="Arial" w:hAnsi="Arial" w:cs="Arial"/>
          <w:noProof/>
          <w:sz w:val="22"/>
          <w:szCs w:val="22"/>
          <w:lang w:val="en-GB"/>
        </w:rPr>
        <w:t>MEKINIST</w:t>
      </w:r>
      <w:r w:rsidR="001B0249" w:rsidRPr="00A645EF">
        <w:rPr>
          <w:rFonts w:ascii="Arial" w:hAnsi="Arial" w:cs="Arial"/>
          <w:noProof/>
          <w:sz w:val="22"/>
          <w:szCs w:val="22"/>
          <w:lang w:val="en-GB"/>
        </w:rPr>
        <w:t xml:space="preserve"> is being used in combination with dabrafenib then therapy with dabrafenib </w:t>
      </w:r>
      <w:r w:rsidR="001B0249" w:rsidRPr="00485BB3">
        <w:rPr>
          <w:rFonts w:ascii="Arial" w:hAnsi="Arial" w:cs="Arial"/>
          <w:noProof/>
          <w:sz w:val="22"/>
          <w:szCs w:val="22"/>
          <w:lang w:val="en-GB"/>
        </w:rPr>
        <w:t>s</w:t>
      </w:r>
      <w:r w:rsidR="001B0249" w:rsidRPr="009917B5">
        <w:rPr>
          <w:rFonts w:ascii="Arial" w:hAnsi="Arial" w:cs="Arial"/>
          <w:sz w:val="22"/>
          <w:szCs w:val="22"/>
        </w:rPr>
        <w:t>hould be withheld and resumed at the same dose upon recovery of cardiac function</w:t>
      </w:r>
      <w:r w:rsidR="001B0249" w:rsidRPr="00A645EF">
        <w:rPr>
          <w:rFonts w:ascii="Arial" w:hAnsi="Arial" w:cs="Arial"/>
          <w:noProof/>
          <w:sz w:val="22"/>
          <w:szCs w:val="22"/>
          <w:lang w:val="en-GB"/>
        </w:rPr>
        <w:t>.</w:t>
      </w:r>
    </w:p>
    <w:p w:rsidR="005F26A9" w:rsidRPr="00E869DF" w:rsidRDefault="005F26A9" w:rsidP="00743E87">
      <w:pPr>
        <w:spacing w:after="120" w:line="240" w:lineRule="atLeast"/>
        <w:rPr>
          <w:rFonts w:ascii="Arial" w:hAnsi="Arial" w:cs="Arial"/>
          <w:sz w:val="22"/>
          <w:szCs w:val="22"/>
        </w:rPr>
      </w:pPr>
    </w:p>
    <w:p w:rsidR="008A70AC" w:rsidRPr="008A70AC" w:rsidRDefault="008A70AC" w:rsidP="008A70AC">
      <w:pPr>
        <w:spacing w:after="120" w:line="240" w:lineRule="atLeast"/>
        <w:rPr>
          <w:rFonts w:ascii="Arial" w:hAnsi="Arial" w:cs="Arial"/>
          <w:sz w:val="22"/>
          <w:szCs w:val="22"/>
          <w:lang w:val="en-GB"/>
        </w:rPr>
      </w:pPr>
      <w:r w:rsidRPr="007D27A0">
        <w:rPr>
          <w:rFonts w:ascii="Arial" w:hAnsi="Arial" w:cs="Arial"/>
          <w:sz w:val="22"/>
          <w:szCs w:val="22"/>
          <w:u w:val="single"/>
          <w:lang w:val="en-GB"/>
        </w:rPr>
        <w:t>Retinal Vein Occlusion and Retinal Pigment Epithelial Detachment:</w:t>
      </w:r>
      <w:r w:rsidR="007D27A0">
        <w:rPr>
          <w:rFonts w:ascii="Arial" w:hAnsi="Arial" w:cs="Arial"/>
          <w:sz w:val="22"/>
          <w:szCs w:val="22"/>
          <w:lang w:val="en-GB"/>
        </w:rPr>
        <w:t xml:space="preserve"> </w:t>
      </w:r>
      <w:r w:rsidRPr="008A70AC">
        <w:rPr>
          <w:rFonts w:ascii="Arial" w:hAnsi="Arial" w:cs="Arial"/>
          <w:sz w:val="22"/>
          <w:szCs w:val="22"/>
          <w:lang w:val="en-GB"/>
        </w:rPr>
        <w:t>If patients report new visual disturbances such as diminished central vision, blurry vision, or loss of vision at any time while on MEKINIST therapy, a prompt ophthalmological assessment is recommended. In patients who are diagnosed with retinal vein occlusion (RVO), treatment with MEKINIST, whether given as monotherapy or in combination with dabrafenib, should be permanently discontinued. Dabrafenib treatment can continue at the same dose. If retinal pigment epithelial detachment (RPED) is diagnosed follow the dose modification schedule in Table 9 below for MEKINIST and continue dabrafenib at the same dose (see PRECAUTIONS).</w:t>
      </w:r>
    </w:p>
    <w:p w:rsidR="005F26A9" w:rsidRPr="008A70AC" w:rsidRDefault="008A70AC" w:rsidP="008A70AC">
      <w:pPr>
        <w:spacing w:after="120" w:line="240" w:lineRule="atLeast"/>
        <w:rPr>
          <w:rFonts w:ascii="Arial" w:hAnsi="Arial" w:cs="Arial"/>
          <w:b/>
          <w:sz w:val="22"/>
          <w:szCs w:val="22"/>
          <w:lang w:val="en-GB"/>
        </w:rPr>
      </w:pPr>
      <w:r w:rsidRPr="008A70AC">
        <w:rPr>
          <w:rFonts w:ascii="Arial" w:hAnsi="Arial" w:cs="Arial"/>
          <w:b/>
          <w:sz w:val="22"/>
          <w:szCs w:val="22"/>
          <w:lang w:val="en-GB"/>
        </w:rPr>
        <w:lastRenderedPageBreak/>
        <w:t xml:space="preserve">Table </w:t>
      </w:r>
      <w:r w:rsidR="00336A42">
        <w:rPr>
          <w:rFonts w:ascii="Arial" w:hAnsi="Arial" w:cs="Arial"/>
          <w:b/>
          <w:sz w:val="22"/>
          <w:szCs w:val="22"/>
          <w:lang w:val="en-GB"/>
        </w:rPr>
        <w:t>10.</w:t>
      </w:r>
      <w:r w:rsidRPr="008A70AC">
        <w:rPr>
          <w:rFonts w:ascii="Arial" w:hAnsi="Arial" w:cs="Arial"/>
          <w:b/>
          <w:sz w:val="22"/>
          <w:szCs w:val="22"/>
          <w:lang w:val="en-GB"/>
        </w:rPr>
        <w:t xml:space="preserve"> Recommended dose modifications for MEKINIST for retinal pigment epithelial detachments (RPED)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61"/>
        <w:gridCol w:w="5048"/>
      </w:tblGrid>
      <w:tr w:rsidR="00136CC7" w:rsidRPr="00136CC7" w:rsidTr="003B73B2">
        <w:tc>
          <w:tcPr>
            <w:tcW w:w="3261" w:type="dxa"/>
            <w:shd w:val="clear" w:color="auto" w:fill="FFFFFF"/>
            <w:hideMark/>
          </w:tcPr>
          <w:p w:rsidR="00136CC7" w:rsidRPr="003B73B2" w:rsidRDefault="00136CC7" w:rsidP="00136CC7">
            <w:pPr>
              <w:rPr>
                <w:rFonts w:ascii="Arial" w:eastAsia="Calibri" w:hAnsi="Arial" w:cs="Arial"/>
                <w:color w:val="000000"/>
                <w:sz w:val="22"/>
                <w:szCs w:val="22"/>
              </w:rPr>
            </w:pPr>
            <w:r w:rsidRPr="003B73B2">
              <w:rPr>
                <w:rFonts w:ascii="Arial" w:hAnsi="Arial" w:cs="Arial"/>
                <w:color w:val="000000"/>
                <w:sz w:val="22"/>
                <w:szCs w:val="22"/>
              </w:rPr>
              <w:t>Grade 1 RPED</w:t>
            </w:r>
          </w:p>
        </w:tc>
        <w:tc>
          <w:tcPr>
            <w:tcW w:w="5048" w:type="dxa"/>
            <w:shd w:val="clear" w:color="auto" w:fill="FFFFFF"/>
            <w:hideMark/>
          </w:tcPr>
          <w:p w:rsidR="00136CC7" w:rsidRPr="003B73B2" w:rsidRDefault="00136CC7" w:rsidP="00136CC7">
            <w:pPr>
              <w:rPr>
                <w:rFonts w:ascii="Arial" w:eastAsia="Calibri" w:hAnsi="Arial" w:cs="Arial"/>
                <w:color w:val="000000"/>
                <w:sz w:val="22"/>
                <w:szCs w:val="22"/>
              </w:rPr>
            </w:pPr>
            <w:r w:rsidRPr="003B73B2">
              <w:rPr>
                <w:rFonts w:ascii="Arial" w:hAnsi="Arial" w:cs="Arial"/>
                <w:color w:val="000000"/>
                <w:sz w:val="22"/>
                <w:szCs w:val="22"/>
              </w:rPr>
              <w:t>Continue treatment with retinal evaluation monthly until resolution. If RPED worsens follow instructions below and withhold MEKINIST for up to 3 weeks</w:t>
            </w:r>
          </w:p>
        </w:tc>
      </w:tr>
      <w:tr w:rsidR="00136CC7" w:rsidRPr="00136CC7" w:rsidTr="003B73B2">
        <w:tc>
          <w:tcPr>
            <w:tcW w:w="3261" w:type="dxa"/>
            <w:shd w:val="clear" w:color="auto" w:fill="FFFFFF"/>
            <w:hideMark/>
          </w:tcPr>
          <w:p w:rsidR="00136CC7" w:rsidRPr="003B73B2" w:rsidRDefault="00232798" w:rsidP="00136CC7">
            <w:pPr>
              <w:rPr>
                <w:rFonts w:ascii="Arial" w:eastAsia="Calibri" w:hAnsi="Arial" w:cs="Arial"/>
                <w:color w:val="000000"/>
                <w:sz w:val="22"/>
                <w:szCs w:val="22"/>
              </w:rPr>
            </w:pPr>
            <w:r w:rsidRPr="003B73B2">
              <w:rPr>
                <w:rFonts w:ascii="Arial" w:hAnsi="Arial" w:cs="Arial"/>
                <w:color w:val="000000"/>
                <w:sz w:val="22"/>
                <w:szCs w:val="22"/>
              </w:rPr>
              <w:t>Grade 2-3 RPED</w:t>
            </w:r>
          </w:p>
        </w:tc>
        <w:tc>
          <w:tcPr>
            <w:tcW w:w="5048" w:type="dxa"/>
            <w:shd w:val="clear" w:color="auto" w:fill="FFFFFF"/>
            <w:hideMark/>
          </w:tcPr>
          <w:p w:rsidR="00136CC7" w:rsidRPr="003B73B2" w:rsidRDefault="00232798" w:rsidP="00136CC7">
            <w:pPr>
              <w:rPr>
                <w:rFonts w:ascii="Arial" w:eastAsia="Calibri" w:hAnsi="Arial" w:cs="Arial"/>
                <w:color w:val="000000"/>
                <w:sz w:val="22"/>
                <w:szCs w:val="22"/>
              </w:rPr>
            </w:pPr>
            <w:r w:rsidRPr="003B73B2">
              <w:rPr>
                <w:rFonts w:ascii="Arial" w:hAnsi="Arial" w:cs="Arial"/>
                <w:color w:val="000000"/>
                <w:sz w:val="22"/>
                <w:szCs w:val="22"/>
              </w:rPr>
              <w:t>Withhold MEKINIST for up to 3 weeks</w:t>
            </w:r>
          </w:p>
        </w:tc>
      </w:tr>
      <w:tr w:rsidR="00136CC7" w:rsidRPr="00136CC7" w:rsidTr="003B73B2">
        <w:tc>
          <w:tcPr>
            <w:tcW w:w="3261" w:type="dxa"/>
            <w:shd w:val="clear" w:color="auto" w:fill="FFFFFF"/>
            <w:hideMark/>
          </w:tcPr>
          <w:p w:rsidR="00136CC7" w:rsidRPr="003B73B2" w:rsidRDefault="00232798" w:rsidP="00136CC7">
            <w:pPr>
              <w:rPr>
                <w:rFonts w:ascii="Arial" w:eastAsia="Calibri" w:hAnsi="Arial" w:cs="Arial"/>
                <w:color w:val="000000"/>
                <w:sz w:val="22"/>
                <w:szCs w:val="22"/>
              </w:rPr>
            </w:pPr>
            <w:r w:rsidRPr="003B73B2">
              <w:rPr>
                <w:rFonts w:ascii="Arial" w:hAnsi="Arial" w:cs="Arial"/>
                <w:color w:val="000000"/>
                <w:sz w:val="22"/>
                <w:szCs w:val="22"/>
              </w:rPr>
              <w:t xml:space="preserve">Grade 2-3 RPED that improves to Grade 0-1 within 3 weeks </w:t>
            </w:r>
          </w:p>
        </w:tc>
        <w:tc>
          <w:tcPr>
            <w:tcW w:w="5048" w:type="dxa"/>
            <w:shd w:val="clear" w:color="auto" w:fill="FFFFFF"/>
            <w:hideMark/>
          </w:tcPr>
          <w:p w:rsidR="00136CC7" w:rsidRPr="003B73B2" w:rsidRDefault="00232798" w:rsidP="00136CC7">
            <w:pPr>
              <w:rPr>
                <w:rFonts w:ascii="Arial" w:eastAsia="Calibri" w:hAnsi="Arial" w:cs="Arial"/>
                <w:color w:val="000000"/>
                <w:sz w:val="22"/>
                <w:szCs w:val="22"/>
              </w:rPr>
            </w:pPr>
            <w:r w:rsidRPr="003B73B2">
              <w:rPr>
                <w:rFonts w:ascii="Arial" w:hAnsi="Arial" w:cs="Arial"/>
                <w:color w:val="000000"/>
                <w:sz w:val="22"/>
                <w:szCs w:val="22"/>
              </w:rPr>
              <w:t>Resume MEKINIST at a lower dose (reduced by 0.5 mg) or discontinue MEKINIST in patients taking MEKINIST 1 mg daily</w:t>
            </w:r>
          </w:p>
        </w:tc>
      </w:tr>
      <w:tr w:rsidR="00136CC7" w:rsidRPr="00136CC7" w:rsidTr="003B73B2">
        <w:tc>
          <w:tcPr>
            <w:tcW w:w="3261" w:type="dxa"/>
            <w:shd w:val="clear" w:color="auto" w:fill="FFFFFF"/>
            <w:hideMark/>
          </w:tcPr>
          <w:p w:rsidR="00136CC7" w:rsidRPr="003B73B2" w:rsidRDefault="00232798" w:rsidP="00136CC7">
            <w:pPr>
              <w:rPr>
                <w:rFonts w:ascii="Arial" w:eastAsia="Calibri" w:hAnsi="Arial" w:cs="Arial"/>
                <w:color w:val="000000"/>
                <w:sz w:val="22"/>
                <w:szCs w:val="22"/>
              </w:rPr>
            </w:pPr>
            <w:r w:rsidRPr="003B73B2">
              <w:rPr>
                <w:rFonts w:ascii="Arial" w:hAnsi="Arial" w:cs="Arial"/>
                <w:color w:val="000000"/>
                <w:sz w:val="22"/>
                <w:szCs w:val="22"/>
              </w:rPr>
              <w:t xml:space="preserve">Grade 2-3 RPED that does not improve to at least Grade 1 within 3 weeks </w:t>
            </w:r>
          </w:p>
        </w:tc>
        <w:tc>
          <w:tcPr>
            <w:tcW w:w="5048" w:type="dxa"/>
            <w:shd w:val="clear" w:color="auto" w:fill="FFFFFF"/>
            <w:hideMark/>
          </w:tcPr>
          <w:p w:rsidR="00136CC7" w:rsidRPr="003B73B2" w:rsidRDefault="00232798" w:rsidP="00136CC7">
            <w:pPr>
              <w:rPr>
                <w:rFonts w:ascii="Arial" w:eastAsia="Calibri" w:hAnsi="Arial" w:cs="Arial"/>
                <w:sz w:val="22"/>
                <w:szCs w:val="22"/>
              </w:rPr>
            </w:pPr>
            <w:r w:rsidRPr="003B73B2">
              <w:rPr>
                <w:rFonts w:ascii="Arial" w:hAnsi="Arial" w:cs="Arial"/>
                <w:color w:val="000000"/>
                <w:sz w:val="22"/>
                <w:szCs w:val="22"/>
              </w:rPr>
              <w:t>Permanently discontinue MEKINIST</w:t>
            </w:r>
          </w:p>
        </w:tc>
      </w:tr>
    </w:tbl>
    <w:p w:rsidR="008A70AC" w:rsidRDefault="008A70AC" w:rsidP="008A70AC">
      <w:pPr>
        <w:spacing w:after="120" w:line="240" w:lineRule="atLeast"/>
        <w:rPr>
          <w:rFonts w:ascii="Arial" w:hAnsi="Arial" w:cs="Arial"/>
          <w:sz w:val="22"/>
          <w:szCs w:val="22"/>
          <w:lang w:val="en-GB"/>
        </w:rPr>
      </w:pPr>
    </w:p>
    <w:p w:rsidR="00767127" w:rsidRPr="00767127" w:rsidRDefault="00767127" w:rsidP="00767127">
      <w:pPr>
        <w:spacing w:after="120" w:line="240" w:lineRule="atLeast"/>
        <w:rPr>
          <w:rFonts w:ascii="Arial" w:hAnsi="Arial" w:cs="Arial"/>
          <w:sz w:val="22"/>
          <w:szCs w:val="22"/>
          <w:lang w:val="en-GB"/>
        </w:rPr>
      </w:pPr>
      <w:r w:rsidRPr="00767127">
        <w:rPr>
          <w:rFonts w:ascii="Arial" w:hAnsi="Arial" w:cs="Arial"/>
          <w:sz w:val="22"/>
          <w:szCs w:val="22"/>
          <w:lang w:val="en-GB"/>
        </w:rPr>
        <w:t>Interstitial lung disease (ILD)/Pneumonitis</w:t>
      </w:r>
    </w:p>
    <w:p w:rsidR="00767127" w:rsidRPr="00336469" w:rsidRDefault="00767127" w:rsidP="00767127">
      <w:pPr>
        <w:spacing w:after="120" w:line="240" w:lineRule="atLeast"/>
        <w:rPr>
          <w:rFonts w:ascii="Arial" w:hAnsi="Arial" w:cs="Arial"/>
          <w:sz w:val="22"/>
          <w:szCs w:val="22"/>
          <w:lang w:val="en-GB"/>
        </w:rPr>
      </w:pPr>
      <w:r w:rsidRPr="00767127">
        <w:rPr>
          <w:rFonts w:ascii="Arial" w:hAnsi="Arial" w:cs="Arial"/>
          <w:sz w:val="22"/>
          <w:szCs w:val="22"/>
          <w:lang w:val="en-GB"/>
        </w:rPr>
        <w:t xml:space="preserve">Withhold </w:t>
      </w:r>
      <w:r w:rsidR="00EC7388">
        <w:rPr>
          <w:rFonts w:ascii="Arial" w:hAnsi="Arial" w:cs="Arial"/>
          <w:sz w:val="22"/>
          <w:szCs w:val="22"/>
          <w:lang w:val="en-GB"/>
        </w:rPr>
        <w:t>MEKINIST</w:t>
      </w:r>
      <w:r w:rsidRPr="00767127">
        <w:rPr>
          <w:rFonts w:ascii="Arial" w:hAnsi="Arial" w:cs="Arial"/>
          <w:sz w:val="22"/>
          <w:szCs w:val="22"/>
          <w:lang w:val="en-GB"/>
        </w:rPr>
        <w:t xml:space="preserve"> in patients with suspected ILD or pneumonitis, including patients presenting with new or progressive pulmonary symptoms and findings including cough, dyspnea, hypoxia, pleural effusion, or infiltrates, pending clinical investigations. Permanently discontinue </w:t>
      </w:r>
      <w:r w:rsidR="000E0FC0">
        <w:rPr>
          <w:rFonts w:ascii="Arial" w:hAnsi="Arial" w:cs="Arial"/>
          <w:sz w:val="22"/>
          <w:szCs w:val="22"/>
          <w:lang w:val="en-GB"/>
        </w:rPr>
        <w:t>MEKINIST</w:t>
      </w:r>
      <w:r w:rsidRPr="00767127">
        <w:rPr>
          <w:rFonts w:ascii="Arial" w:hAnsi="Arial" w:cs="Arial"/>
          <w:sz w:val="22"/>
          <w:szCs w:val="22"/>
          <w:lang w:val="en-GB"/>
        </w:rPr>
        <w:t xml:space="preserve"> for patients diagnosed with treatment-related ILD or pneumonitis</w:t>
      </w:r>
      <w:r w:rsidRPr="00336469">
        <w:rPr>
          <w:rFonts w:ascii="Arial" w:hAnsi="Arial" w:cs="Arial"/>
          <w:sz w:val="22"/>
          <w:szCs w:val="22"/>
          <w:lang w:val="en-GB"/>
        </w:rPr>
        <w:t>.</w:t>
      </w:r>
      <w:r w:rsidR="00EC7388" w:rsidRPr="00336469">
        <w:rPr>
          <w:rFonts w:ascii="Arial" w:hAnsi="Arial" w:cs="Arial"/>
          <w:sz w:val="22"/>
          <w:szCs w:val="22"/>
        </w:rPr>
        <w:t xml:space="preserve"> If MEKINIST is used in combination with dabrafenib, do not modify the dose of dabrafenib.</w:t>
      </w:r>
    </w:p>
    <w:p w:rsidR="00767127" w:rsidRPr="00E869DF" w:rsidRDefault="00767127" w:rsidP="008A70AC">
      <w:pPr>
        <w:spacing w:after="120" w:line="240" w:lineRule="atLeast"/>
        <w:rPr>
          <w:rFonts w:ascii="Arial" w:hAnsi="Arial" w:cs="Arial"/>
          <w:sz w:val="22"/>
          <w:szCs w:val="22"/>
          <w:lang w:val="en-GB"/>
        </w:rPr>
      </w:pPr>
    </w:p>
    <w:p w:rsidR="00FC3E8C" w:rsidRDefault="00FC3E8C" w:rsidP="00445972">
      <w:pPr>
        <w:spacing w:after="120" w:line="240" w:lineRule="atLeast"/>
        <w:rPr>
          <w:rFonts w:ascii="Arial" w:hAnsi="Arial" w:cs="Arial"/>
          <w:sz w:val="22"/>
          <w:szCs w:val="22"/>
          <w:u w:val="single"/>
        </w:rPr>
      </w:pPr>
      <w:r w:rsidRPr="00FC3E8C">
        <w:rPr>
          <w:rFonts w:ascii="Arial" w:hAnsi="Arial" w:cs="Arial"/>
          <w:sz w:val="22"/>
          <w:szCs w:val="22"/>
          <w:u w:val="single"/>
        </w:rPr>
        <w:t>Serious Skin Toxicity</w:t>
      </w:r>
      <w:r w:rsidR="00381348">
        <w:rPr>
          <w:rFonts w:ascii="Arial" w:hAnsi="Arial" w:cs="Arial"/>
          <w:sz w:val="22"/>
          <w:szCs w:val="22"/>
          <w:u w:val="single"/>
        </w:rPr>
        <w:t>:</w:t>
      </w:r>
    </w:p>
    <w:p w:rsidR="00381348" w:rsidRDefault="00381348" w:rsidP="00381348">
      <w:pPr>
        <w:autoSpaceDE w:val="0"/>
        <w:autoSpaceDN w:val="0"/>
        <w:adjustRightInd w:val="0"/>
        <w:rPr>
          <w:rFonts w:ascii="Arial" w:hAnsi="Arial" w:cs="Arial"/>
          <w:sz w:val="22"/>
          <w:szCs w:val="22"/>
          <w:u w:val="single"/>
        </w:rPr>
      </w:pPr>
      <w:r w:rsidRPr="003E5F5D">
        <w:rPr>
          <w:rFonts w:ascii="Arial" w:hAnsi="Arial" w:cs="Arial"/>
          <w:sz w:val="22"/>
          <w:szCs w:val="22"/>
        </w:rPr>
        <w:t xml:space="preserve">For </w:t>
      </w:r>
      <w:r w:rsidR="0025465D" w:rsidRPr="003E5F5D">
        <w:rPr>
          <w:rFonts w:ascii="Arial" w:hAnsi="Arial" w:cs="Arial"/>
          <w:sz w:val="22"/>
          <w:szCs w:val="22"/>
        </w:rPr>
        <w:t xml:space="preserve">dosing instructions for </w:t>
      </w:r>
      <w:r w:rsidRPr="003E5F5D">
        <w:rPr>
          <w:rFonts w:ascii="Arial" w:hAnsi="Arial" w:cs="Arial"/>
          <w:sz w:val="22"/>
          <w:szCs w:val="22"/>
        </w:rPr>
        <w:t xml:space="preserve">intolerable or severe skin toxicity for MEKINIST and </w:t>
      </w:r>
      <w:r w:rsidR="000E5564" w:rsidRPr="003E5F5D">
        <w:rPr>
          <w:rFonts w:ascii="Arial" w:hAnsi="Arial" w:cs="Arial"/>
          <w:sz w:val="22"/>
          <w:szCs w:val="22"/>
        </w:rPr>
        <w:t xml:space="preserve">MEKINIST in </w:t>
      </w:r>
      <w:r w:rsidRPr="003E5F5D">
        <w:rPr>
          <w:rFonts w:ascii="Arial" w:hAnsi="Arial" w:cs="Arial"/>
          <w:sz w:val="22"/>
          <w:szCs w:val="22"/>
        </w:rPr>
        <w:t xml:space="preserve">combination with dabrafenib see </w:t>
      </w:r>
      <w:r w:rsidR="000E5564" w:rsidRPr="003E5F5D">
        <w:rPr>
          <w:rFonts w:ascii="Arial" w:hAnsi="Arial" w:cs="Arial"/>
          <w:sz w:val="22"/>
          <w:szCs w:val="22"/>
        </w:rPr>
        <w:t>T</w:t>
      </w:r>
      <w:r w:rsidR="00336A42" w:rsidRPr="003E5F5D">
        <w:rPr>
          <w:rFonts w:ascii="Arial" w:hAnsi="Arial" w:cs="Arial"/>
          <w:sz w:val="22"/>
          <w:szCs w:val="22"/>
        </w:rPr>
        <w:t>able 11</w:t>
      </w:r>
      <w:r w:rsidRPr="003E5F5D">
        <w:rPr>
          <w:rFonts w:ascii="Arial" w:hAnsi="Arial" w:cs="Arial"/>
          <w:sz w:val="22"/>
          <w:szCs w:val="22"/>
        </w:rPr>
        <w:t>.</w:t>
      </w:r>
      <w:r w:rsidR="00213EA8" w:rsidRPr="003E5F5D">
        <w:rPr>
          <w:rFonts w:ascii="Arial" w:hAnsi="Arial" w:cs="Arial"/>
          <w:sz w:val="22"/>
          <w:szCs w:val="22"/>
        </w:rPr>
        <w:t xml:space="preserve"> </w:t>
      </w:r>
      <w:r w:rsidR="00213EA8">
        <w:rPr>
          <w:rFonts w:ascii="Arial" w:hAnsi="Arial" w:cs="Arial"/>
          <w:sz w:val="22"/>
          <w:szCs w:val="22"/>
        </w:rPr>
        <w:t>D</w:t>
      </w:r>
      <w:r w:rsidR="00213EA8" w:rsidRPr="005F26A9">
        <w:rPr>
          <w:rFonts w:ascii="Arial" w:hAnsi="Arial" w:cs="Arial"/>
          <w:sz w:val="22"/>
          <w:szCs w:val="22"/>
        </w:rPr>
        <w:t>ose reduction, interruption or discontinuation should be applied to both treatments</w:t>
      </w:r>
      <w:r w:rsidR="00213EA8">
        <w:rPr>
          <w:rFonts w:ascii="Arial" w:hAnsi="Arial" w:cs="Arial"/>
          <w:sz w:val="22"/>
          <w:szCs w:val="22"/>
        </w:rPr>
        <w:t>.</w:t>
      </w:r>
    </w:p>
    <w:p w:rsidR="00381348" w:rsidRDefault="00381348" w:rsidP="00445972">
      <w:pPr>
        <w:spacing w:after="120" w:line="240" w:lineRule="atLeast"/>
        <w:rPr>
          <w:rFonts w:ascii="Arial" w:hAnsi="Arial" w:cs="Arial"/>
          <w:sz w:val="22"/>
          <w:szCs w:val="22"/>
          <w:u w:val="single"/>
        </w:rPr>
      </w:pPr>
    </w:p>
    <w:p w:rsidR="00381348" w:rsidRPr="00620AF0" w:rsidRDefault="00381348" w:rsidP="003E5F5D">
      <w:pPr>
        <w:keepNext/>
        <w:spacing w:after="120" w:line="240" w:lineRule="atLeast"/>
        <w:rPr>
          <w:rFonts w:ascii="Arial" w:hAnsi="Arial" w:cs="Arial"/>
          <w:sz w:val="22"/>
          <w:szCs w:val="22"/>
        </w:rPr>
      </w:pPr>
      <w:r w:rsidRPr="00620AF0">
        <w:rPr>
          <w:rFonts w:ascii="Arial" w:hAnsi="Arial" w:cs="Arial"/>
          <w:b/>
          <w:sz w:val="22"/>
          <w:szCs w:val="22"/>
        </w:rPr>
        <w:t xml:space="preserve">Table </w:t>
      </w:r>
      <w:r w:rsidR="00336A42">
        <w:rPr>
          <w:rFonts w:ascii="Arial" w:hAnsi="Arial" w:cs="Arial"/>
          <w:b/>
          <w:sz w:val="22"/>
          <w:szCs w:val="22"/>
        </w:rPr>
        <w:t>11</w:t>
      </w:r>
      <w:r w:rsidRPr="00A55701">
        <w:rPr>
          <w:rFonts w:ascii="Arial" w:hAnsi="Arial" w:cs="Arial"/>
          <w:b/>
          <w:sz w:val="22"/>
          <w:szCs w:val="22"/>
        </w:rPr>
        <w:t>.</w:t>
      </w:r>
      <w:r w:rsidRPr="00620AF0">
        <w:rPr>
          <w:rFonts w:ascii="Arial" w:hAnsi="Arial" w:cs="Arial"/>
          <w:sz w:val="22"/>
          <w:szCs w:val="22"/>
        </w:rPr>
        <w:t xml:space="preserve"> </w:t>
      </w:r>
      <w:r w:rsidRPr="00F81E71">
        <w:rPr>
          <w:rFonts w:ascii="Arial" w:hAnsi="Arial" w:cs="Arial"/>
          <w:b/>
          <w:sz w:val="22"/>
          <w:szCs w:val="22"/>
        </w:rPr>
        <w:t xml:space="preserve">Guidelines for </w:t>
      </w:r>
      <w:r>
        <w:rPr>
          <w:rFonts w:ascii="Arial" w:hAnsi="Arial" w:cs="Arial"/>
          <w:b/>
          <w:sz w:val="22"/>
          <w:szCs w:val="22"/>
        </w:rPr>
        <w:t>Cutaneous toxicity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3014"/>
        <w:gridCol w:w="3014"/>
      </w:tblGrid>
      <w:tr w:rsidR="00381348" w:rsidRPr="003B73B2" w:rsidTr="00370081">
        <w:tc>
          <w:tcPr>
            <w:tcW w:w="3014" w:type="dxa"/>
          </w:tcPr>
          <w:p w:rsidR="00381348" w:rsidRPr="003B73B2" w:rsidRDefault="00381348" w:rsidP="003E5F5D">
            <w:pPr>
              <w:keepNext/>
              <w:autoSpaceDE w:val="0"/>
              <w:autoSpaceDN w:val="0"/>
              <w:adjustRightInd w:val="0"/>
              <w:rPr>
                <w:rFonts w:ascii="Arial" w:hAnsi="Arial" w:cs="Arial"/>
                <w:iCs/>
                <w:sz w:val="22"/>
                <w:szCs w:val="22"/>
                <w:lang w:val="en-GB"/>
              </w:rPr>
            </w:pPr>
            <w:r w:rsidRPr="003B73B2">
              <w:rPr>
                <w:rFonts w:ascii="Arial" w:hAnsi="Arial" w:cs="Arial"/>
                <w:sz w:val="22"/>
                <w:szCs w:val="22"/>
              </w:rPr>
              <w:t>Severity of Adverse Reaction</w:t>
            </w:r>
          </w:p>
        </w:tc>
        <w:tc>
          <w:tcPr>
            <w:tcW w:w="3014" w:type="dxa"/>
          </w:tcPr>
          <w:p w:rsidR="00381348" w:rsidRPr="003B73B2" w:rsidRDefault="00381348" w:rsidP="003E5F5D">
            <w:pPr>
              <w:keepNext/>
              <w:autoSpaceDE w:val="0"/>
              <w:autoSpaceDN w:val="0"/>
              <w:adjustRightInd w:val="0"/>
              <w:rPr>
                <w:rFonts w:ascii="Arial" w:hAnsi="Arial" w:cs="Arial"/>
                <w:iCs/>
                <w:sz w:val="22"/>
                <w:szCs w:val="22"/>
                <w:lang w:val="en-GB"/>
              </w:rPr>
            </w:pPr>
            <w:r w:rsidRPr="003B73B2">
              <w:rPr>
                <w:rFonts w:ascii="Arial" w:hAnsi="Arial" w:cs="Arial"/>
                <w:sz w:val="22"/>
                <w:szCs w:val="22"/>
              </w:rPr>
              <w:t>MEKINIST</w:t>
            </w:r>
          </w:p>
        </w:tc>
        <w:tc>
          <w:tcPr>
            <w:tcW w:w="3014" w:type="dxa"/>
          </w:tcPr>
          <w:p w:rsidR="00381348" w:rsidRPr="003B73B2" w:rsidRDefault="00381348" w:rsidP="003E5F5D">
            <w:pPr>
              <w:keepNext/>
              <w:autoSpaceDE w:val="0"/>
              <w:autoSpaceDN w:val="0"/>
              <w:adjustRightInd w:val="0"/>
              <w:rPr>
                <w:rFonts w:ascii="Arial" w:hAnsi="Arial" w:cs="Arial"/>
                <w:iCs/>
                <w:sz w:val="22"/>
                <w:szCs w:val="22"/>
                <w:lang w:val="en-GB"/>
              </w:rPr>
            </w:pPr>
            <w:r w:rsidRPr="003B73B2">
              <w:rPr>
                <w:rFonts w:ascii="Arial" w:hAnsi="Arial" w:cs="Arial"/>
                <w:iCs/>
                <w:sz w:val="22"/>
                <w:szCs w:val="22"/>
                <w:lang w:val="en-GB"/>
              </w:rPr>
              <w:t>Dabrafenib</w:t>
            </w:r>
          </w:p>
          <w:p w:rsidR="00381348" w:rsidRPr="003B73B2" w:rsidRDefault="00381348" w:rsidP="003E5F5D">
            <w:pPr>
              <w:keepNext/>
              <w:autoSpaceDE w:val="0"/>
              <w:autoSpaceDN w:val="0"/>
              <w:adjustRightInd w:val="0"/>
              <w:rPr>
                <w:rFonts w:ascii="Arial" w:hAnsi="Arial" w:cs="Arial"/>
                <w:iCs/>
                <w:sz w:val="22"/>
                <w:szCs w:val="22"/>
                <w:lang w:val="en-GB"/>
              </w:rPr>
            </w:pPr>
            <w:r w:rsidRPr="003B73B2">
              <w:rPr>
                <w:rFonts w:ascii="Arial" w:hAnsi="Arial" w:cs="Arial"/>
                <w:iCs/>
                <w:sz w:val="22"/>
                <w:szCs w:val="22"/>
                <w:lang w:val="en-GB"/>
              </w:rPr>
              <w:t>(When Used in</w:t>
            </w:r>
          </w:p>
          <w:p w:rsidR="00381348" w:rsidRPr="003B73B2" w:rsidRDefault="00381348" w:rsidP="003E5F5D">
            <w:pPr>
              <w:keepNext/>
              <w:autoSpaceDE w:val="0"/>
              <w:autoSpaceDN w:val="0"/>
              <w:adjustRightInd w:val="0"/>
              <w:rPr>
                <w:rFonts w:ascii="Arial" w:hAnsi="Arial" w:cs="Arial"/>
                <w:iCs/>
                <w:sz w:val="22"/>
                <w:szCs w:val="22"/>
                <w:lang w:val="en-GB"/>
              </w:rPr>
            </w:pPr>
            <w:r w:rsidRPr="003B73B2">
              <w:rPr>
                <w:rFonts w:ascii="Arial" w:hAnsi="Arial" w:cs="Arial"/>
                <w:iCs/>
                <w:sz w:val="22"/>
                <w:szCs w:val="22"/>
                <w:lang w:val="en-GB"/>
              </w:rPr>
              <w:t>Combination)</w:t>
            </w:r>
          </w:p>
        </w:tc>
      </w:tr>
      <w:tr w:rsidR="00381348" w:rsidRPr="003B73B2" w:rsidTr="00370081">
        <w:tc>
          <w:tcPr>
            <w:tcW w:w="3014" w:type="dxa"/>
          </w:tcPr>
          <w:p w:rsidR="00381348" w:rsidRPr="003B73B2" w:rsidRDefault="00381348" w:rsidP="00370081">
            <w:pPr>
              <w:pStyle w:val="ListParagraph"/>
              <w:numPr>
                <w:ilvl w:val="0"/>
                <w:numId w:val="35"/>
              </w:numPr>
              <w:tabs>
                <w:tab w:val="left" w:pos="426"/>
              </w:tabs>
              <w:autoSpaceDE w:val="0"/>
              <w:autoSpaceDN w:val="0"/>
              <w:adjustRightInd w:val="0"/>
              <w:ind w:left="426" w:hanging="284"/>
              <w:rPr>
                <w:rFonts w:ascii="Arial" w:hAnsi="Arial" w:cs="Arial"/>
                <w:sz w:val="22"/>
                <w:szCs w:val="22"/>
                <w:lang w:val="en-GB"/>
              </w:rPr>
            </w:pPr>
            <w:r w:rsidRPr="003B73B2">
              <w:rPr>
                <w:rFonts w:ascii="Arial" w:hAnsi="Arial" w:cs="Arial"/>
                <w:sz w:val="22"/>
                <w:szCs w:val="22"/>
                <w:lang w:val="en-GB"/>
              </w:rPr>
              <w:t>Intolerable Grade 2 skin</w:t>
            </w:r>
          </w:p>
          <w:p w:rsidR="00381348" w:rsidRPr="003B73B2" w:rsidRDefault="00381348" w:rsidP="00370081">
            <w:pPr>
              <w:tabs>
                <w:tab w:val="left" w:pos="426"/>
              </w:tabs>
              <w:autoSpaceDE w:val="0"/>
              <w:autoSpaceDN w:val="0"/>
              <w:adjustRightInd w:val="0"/>
              <w:ind w:left="426" w:hanging="284"/>
              <w:rPr>
                <w:rFonts w:ascii="Arial" w:hAnsi="Arial" w:cs="Arial"/>
                <w:sz w:val="22"/>
                <w:szCs w:val="22"/>
                <w:lang w:val="en-GB"/>
              </w:rPr>
            </w:pPr>
            <w:r w:rsidRPr="003B73B2">
              <w:rPr>
                <w:rFonts w:ascii="Arial" w:hAnsi="Arial" w:cs="Arial"/>
                <w:sz w:val="22"/>
                <w:szCs w:val="22"/>
                <w:lang w:val="en-GB"/>
              </w:rPr>
              <w:t>toxicity</w:t>
            </w:r>
          </w:p>
          <w:p w:rsidR="00381348" w:rsidRPr="003B73B2" w:rsidRDefault="00381348" w:rsidP="00370081">
            <w:pPr>
              <w:pStyle w:val="ListParagraph"/>
              <w:numPr>
                <w:ilvl w:val="0"/>
                <w:numId w:val="35"/>
              </w:numPr>
              <w:tabs>
                <w:tab w:val="left" w:pos="426"/>
              </w:tabs>
              <w:autoSpaceDE w:val="0"/>
              <w:autoSpaceDN w:val="0"/>
              <w:adjustRightInd w:val="0"/>
              <w:ind w:left="426" w:hanging="284"/>
              <w:rPr>
                <w:rFonts w:ascii="Arial" w:hAnsi="Arial" w:cs="Arial"/>
                <w:sz w:val="22"/>
                <w:szCs w:val="22"/>
                <w:lang w:val="en-GB"/>
              </w:rPr>
            </w:pPr>
            <w:r w:rsidRPr="003B73B2">
              <w:rPr>
                <w:rFonts w:ascii="Arial" w:hAnsi="Arial" w:cs="Arial"/>
                <w:sz w:val="22"/>
                <w:szCs w:val="22"/>
                <w:lang w:val="en-GB"/>
              </w:rPr>
              <w:t>Grade 3 or 4 skin toxicity</w:t>
            </w:r>
          </w:p>
        </w:tc>
        <w:tc>
          <w:tcPr>
            <w:tcW w:w="3014" w:type="dxa"/>
          </w:tcPr>
          <w:p w:rsidR="00381348" w:rsidRPr="003B73B2" w:rsidRDefault="00381348" w:rsidP="00370081">
            <w:pPr>
              <w:autoSpaceDE w:val="0"/>
              <w:autoSpaceDN w:val="0"/>
              <w:adjustRightInd w:val="0"/>
              <w:rPr>
                <w:rFonts w:ascii="Arial" w:hAnsi="Arial" w:cs="Arial"/>
                <w:iCs/>
                <w:sz w:val="22"/>
                <w:szCs w:val="22"/>
                <w:lang w:val="en-GB"/>
              </w:rPr>
            </w:pPr>
            <w:r w:rsidRPr="003B73B2">
              <w:rPr>
                <w:rFonts w:ascii="Arial" w:hAnsi="Arial" w:cs="Arial"/>
                <w:iCs/>
                <w:sz w:val="22"/>
                <w:szCs w:val="22"/>
                <w:lang w:val="en-GB"/>
              </w:rPr>
              <w:t>Withhold MEKINIST for up to 3 weeks.</w:t>
            </w:r>
          </w:p>
          <w:p w:rsidR="00381348" w:rsidRPr="003B73B2" w:rsidRDefault="00381348" w:rsidP="00370081">
            <w:pPr>
              <w:pStyle w:val="ListParagraph"/>
              <w:numPr>
                <w:ilvl w:val="0"/>
                <w:numId w:val="34"/>
              </w:numPr>
              <w:autoSpaceDE w:val="0"/>
              <w:autoSpaceDN w:val="0"/>
              <w:adjustRightInd w:val="0"/>
              <w:ind w:left="388" w:hanging="283"/>
              <w:rPr>
                <w:rFonts w:ascii="Arial" w:hAnsi="Arial" w:cs="Arial"/>
                <w:iCs/>
                <w:sz w:val="22"/>
                <w:szCs w:val="22"/>
                <w:lang w:val="en-GB"/>
              </w:rPr>
            </w:pPr>
            <w:r w:rsidRPr="003B73B2">
              <w:rPr>
                <w:rFonts w:ascii="Arial" w:hAnsi="Arial" w:cs="Arial"/>
                <w:iCs/>
                <w:sz w:val="22"/>
                <w:szCs w:val="22"/>
                <w:lang w:val="en-GB"/>
              </w:rPr>
              <w:t>If improved, resume at a lower dose level.</w:t>
            </w:r>
          </w:p>
          <w:p w:rsidR="00381348" w:rsidRPr="003B73B2" w:rsidRDefault="00381348" w:rsidP="00370081">
            <w:pPr>
              <w:pStyle w:val="ListParagraph"/>
              <w:numPr>
                <w:ilvl w:val="0"/>
                <w:numId w:val="34"/>
              </w:numPr>
              <w:autoSpaceDE w:val="0"/>
              <w:autoSpaceDN w:val="0"/>
              <w:adjustRightInd w:val="0"/>
              <w:ind w:left="388" w:hanging="283"/>
              <w:rPr>
                <w:rFonts w:ascii="Arial" w:hAnsi="Arial" w:cs="Arial"/>
                <w:iCs/>
                <w:sz w:val="22"/>
                <w:szCs w:val="22"/>
                <w:lang w:val="en-GB"/>
              </w:rPr>
            </w:pPr>
            <w:r w:rsidRPr="003B73B2">
              <w:rPr>
                <w:rFonts w:ascii="Arial" w:hAnsi="Arial" w:cs="Arial"/>
                <w:iCs/>
                <w:sz w:val="22"/>
                <w:szCs w:val="22"/>
                <w:lang w:val="en-GB"/>
              </w:rPr>
              <w:t>If not improved, permanently discontinue.</w:t>
            </w:r>
          </w:p>
        </w:tc>
        <w:tc>
          <w:tcPr>
            <w:tcW w:w="3014" w:type="dxa"/>
          </w:tcPr>
          <w:p w:rsidR="00381348" w:rsidRPr="003B73B2" w:rsidRDefault="00381348" w:rsidP="00370081">
            <w:pPr>
              <w:autoSpaceDE w:val="0"/>
              <w:autoSpaceDN w:val="0"/>
              <w:adjustRightInd w:val="0"/>
              <w:rPr>
                <w:rFonts w:ascii="Arial" w:hAnsi="Arial" w:cs="Arial"/>
                <w:sz w:val="22"/>
                <w:szCs w:val="22"/>
                <w:lang w:val="en-GB"/>
              </w:rPr>
            </w:pPr>
            <w:r w:rsidRPr="003B73B2">
              <w:rPr>
                <w:rFonts w:ascii="Arial" w:hAnsi="Arial" w:cs="Arial"/>
                <w:sz w:val="22"/>
                <w:szCs w:val="22"/>
                <w:lang w:val="en-GB"/>
              </w:rPr>
              <w:t>Withhold dabrafenib for up to 3 weeks.</w:t>
            </w:r>
          </w:p>
          <w:p w:rsidR="00381348" w:rsidRPr="003B73B2" w:rsidRDefault="00381348" w:rsidP="00370081">
            <w:pPr>
              <w:pStyle w:val="ListParagraph"/>
              <w:numPr>
                <w:ilvl w:val="0"/>
                <w:numId w:val="34"/>
              </w:numPr>
              <w:autoSpaceDE w:val="0"/>
              <w:autoSpaceDN w:val="0"/>
              <w:adjustRightInd w:val="0"/>
              <w:ind w:left="351" w:hanging="283"/>
              <w:rPr>
                <w:rFonts w:ascii="Arial" w:hAnsi="Arial" w:cs="Arial"/>
                <w:sz w:val="22"/>
                <w:szCs w:val="22"/>
                <w:lang w:val="en-GB"/>
              </w:rPr>
            </w:pPr>
            <w:r w:rsidRPr="003B73B2">
              <w:rPr>
                <w:rFonts w:ascii="Arial" w:hAnsi="Arial" w:cs="Arial"/>
                <w:sz w:val="22"/>
                <w:szCs w:val="22"/>
                <w:lang w:val="en-GB"/>
              </w:rPr>
              <w:t>If improved, resume at a lower dose level.</w:t>
            </w:r>
          </w:p>
          <w:p w:rsidR="00381348" w:rsidRPr="003B73B2" w:rsidRDefault="00381348" w:rsidP="00370081">
            <w:pPr>
              <w:pStyle w:val="ListParagraph"/>
              <w:numPr>
                <w:ilvl w:val="0"/>
                <w:numId w:val="34"/>
              </w:numPr>
              <w:autoSpaceDE w:val="0"/>
              <w:autoSpaceDN w:val="0"/>
              <w:adjustRightInd w:val="0"/>
              <w:ind w:left="351" w:hanging="283"/>
              <w:rPr>
                <w:rFonts w:ascii="Arial" w:hAnsi="Arial" w:cs="Arial"/>
                <w:iCs/>
                <w:sz w:val="22"/>
                <w:szCs w:val="22"/>
                <w:lang w:val="en-GB"/>
              </w:rPr>
            </w:pPr>
            <w:r w:rsidRPr="003B73B2">
              <w:rPr>
                <w:rFonts w:ascii="Arial" w:hAnsi="Arial" w:cs="Arial"/>
                <w:sz w:val="22"/>
                <w:szCs w:val="22"/>
                <w:lang w:val="en-GB"/>
              </w:rPr>
              <w:t>If not improved, permanently discontinue.</w:t>
            </w:r>
          </w:p>
        </w:tc>
      </w:tr>
    </w:tbl>
    <w:p w:rsidR="00381348" w:rsidRPr="0081040F" w:rsidRDefault="00381348" w:rsidP="00381348">
      <w:pPr>
        <w:autoSpaceDE w:val="0"/>
        <w:autoSpaceDN w:val="0"/>
        <w:adjustRightInd w:val="0"/>
        <w:rPr>
          <w:iCs/>
          <w:sz w:val="24"/>
          <w:szCs w:val="24"/>
          <w:lang w:val="en-GB"/>
        </w:rPr>
      </w:pPr>
    </w:p>
    <w:p w:rsidR="005F26A9" w:rsidRDefault="005F26A9" w:rsidP="00445972">
      <w:pPr>
        <w:spacing w:after="120" w:line="240" w:lineRule="atLeast"/>
        <w:rPr>
          <w:rFonts w:ascii="Arial" w:hAnsi="Arial" w:cs="Arial"/>
          <w:sz w:val="22"/>
          <w:szCs w:val="22"/>
        </w:rPr>
      </w:pPr>
      <w:r w:rsidRPr="005F26A9">
        <w:rPr>
          <w:rFonts w:ascii="Arial" w:hAnsi="Arial" w:cs="Arial"/>
          <w:sz w:val="22"/>
          <w:szCs w:val="22"/>
        </w:rPr>
        <w:t xml:space="preserve">The following rash management guidance should be considered whether </w:t>
      </w:r>
      <w:r w:rsidR="000E0FC0">
        <w:rPr>
          <w:rFonts w:ascii="Arial" w:hAnsi="Arial" w:cs="Arial"/>
          <w:sz w:val="22"/>
          <w:szCs w:val="22"/>
        </w:rPr>
        <w:t>MEKINIST</w:t>
      </w:r>
      <w:r w:rsidRPr="005F26A9">
        <w:rPr>
          <w:rFonts w:ascii="Arial" w:hAnsi="Arial" w:cs="Arial"/>
          <w:sz w:val="22"/>
          <w:szCs w:val="22"/>
        </w:rPr>
        <w:t xml:space="preserve"> is given as monotherapy or in combination with dabrafenib, and if dose reduction, interruption or discontinuation is necessary it should be applied to both treatments.</w:t>
      </w:r>
    </w:p>
    <w:p w:rsidR="004B64AC" w:rsidRDefault="00445972" w:rsidP="00445972">
      <w:pPr>
        <w:spacing w:after="120" w:line="240" w:lineRule="atLeast"/>
        <w:rPr>
          <w:rFonts w:ascii="Arial" w:hAnsi="Arial" w:cs="Arial"/>
          <w:b/>
          <w:sz w:val="22"/>
          <w:szCs w:val="22"/>
        </w:rPr>
      </w:pPr>
      <w:r w:rsidRPr="00620AF0">
        <w:rPr>
          <w:rFonts w:ascii="Arial" w:hAnsi="Arial" w:cs="Arial"/>
          <w:sz w:val="22"/>
          <w:szCs w:val="22"/>
        </w:rPr>
        <w:t xml:space="preserve">Treatment of rash has not been formally studied and should be based on rash severity. The following guidelines </w:t>
      </w:r>
      <w:r w:rsidR="000F1901">
        <w:rPr>
          <w:rFonts w:ascii="Arial" w:hAnsi="Arial" w:cs="Arial"/>
          <w:sz w:val="22"/>
          <w:szCs w:val="22"/>
        </w:rPr>
        <w:t xml:space="preserve">were used in clinical studies with </w:t>
      </w:r>
      <w:r w:rsidR="00743E87">
        <w:rPr>
          <w:rFonts w:ascii="Arial" w:hAnsi="Arial" w:cs="Arial"/>
          <w:sz w:val="22"/>
          <w:szCs w:val="22"/>
        </w:rPr>
        <w:t>MEKINIST as monotherapy or in combination with dabrafenib</w:t>
      </w:r>
      <w:r w:rsidR="000F1901">
        <w:rPr>
          <w:rFonts w:ascii="Arial" w:hAnsi="Arial" w:cs="Arial"/>
          <w:sz w:val="22"/>
          <w:szCs w:val="22"/>
        </w:rPr>
        <w:t xml:space="preserve"> and </w:t>
      </w:r>
      <w:r w:rsidRPr="00620AF0">
        <w:rPr>
          <w:rFonts w:ascii="Arial" w:hAnsi="Arial" w:cs="Arial"/>
          <w:sz w:val="22"/>
          <w:szCs w:val="22"/>
        </w:rPr>
        <w:t xml:space="preserve">can be used to manage rash (see Table </w:t>
      </w:r>
      <w:r w:rsidR="002D63C6">
        <w:rPr>
          <w:rFonts w:ascii="Arial" w:hAnsi="Arial" w:cs="Arial"/>
          <w:sz w:val="22"/>
          <w:szCs w:val="22"/>
        </w:rPr>
        <w:t>1</w:t>
      </w:r>
      <w:r w:rsidR="00336A42">
        <w:rPr>
          <w:rFonts w:ascii="Arial" w:hAnsi="Arial" w:cs="Arial"/>
          <w:sz w:val="22"/>
          <w:szCs w:val="22"/>
        </w:rPr>
        <w:t>2</w:t>
      </w:r>
      <w:r w:rsidRPr="00620AF0">
        <w:rPr>
          <w:rFonts w:ascii="Arial" w:hAnsi="Arial" w:cs="Arial"/>
          <w:sz w:val="22"/>
          <w:szCs w:val="22"/>
        </w:rPr>
        <w:t>).</w:t>
      </w:r>
    </w:p>
    <w:p w:rsidR="00445972" w:rsidRPr="00620AF0" w:rsidRDefault="003B5747" w:rsidP="00445972">
      <w:pPr>
        <w:spacing w:after="120" w:line="240" w:lineRule="atLeast"/>
        <w:rPr>
          <w:rFonts w:ascii="Arial" w:hAnsi="Arial" w:cs="Arial"/>
          <w:sz w:val="22"/>
          <w:szCs w:val="22"/>
        </w:rPr>
      </w:pPr>
      <w:r>
        <w:rPr>
          <w:rFonts w:ascii="Arial" w:hAnsi="Arial" w:cs="Arial"/>
          <w:b/>
          <w:sz w:val="22"/>
          <w:szCs w:val="22"/>
        </w:rPr>
        <w:br w:type="page"/>
      </w:r>
      <w:r w:rsidR="00445972" w:rsidRPr="00620AF0">
        <w:rPr>
          <w:rFonts w:ascii="Arial" w:hAnsi="Arial" w:cs="Arial"/>
          <w:b/>
          <w:sz w:val="22"/>
          <w:szCs w:val="22"/>
        </w:rPr>
        <w:lastRenderedPageBreak/>
        <w:t xml:space="preserve">Table </w:t>
      </w:r>
      <w:r w:rsidR="002D63C6">
        <w:rPr>
          <w:rFonts w:ascii="Arial" w:hAnsi="Arial" w:cs="Arial"/>
          <w:b/>
          <w:sz w:val="22"/>
          <w:szCs w:val="22"/>
        </w:rPr>
        <w:t>1</w:t>
      </w:r>
      <w:r w:rsidR="00336A42">
        <w:rPr>
          <w:rFonts w:ascii="Arial" w:hAnsi="Arial" w:cs="Arial"/>
          <w:b/>
          <w:sz w:val="22"/>
          <w:szCs w:val="22"/>
        </w:rPr>
        <w:t>2</w:t>
      </w:r>
      <w:r w:rsidR="00A55701" w:rsidRPr="00A55701">
        <w:rPr>
          <w:rFonts w:ascii="Arial" w:hAnsi="Arial" w:cs="Arial"/>
          <w:b/>
          <w:sz w:val="22"/>
          <w:szCs w:val="22"/>
        </w:rPr>
        <w:t>.</w:t>
      </w:r>
      <w:r w:rsidR="00445972" w:rsidRPr="00620AF0">
        <w:rPr>
          <w:rFonts w:ascii="Arial" w:hAnsi="Arial" w:cs="Arial"/>
          <w:sz w:val="22"/>
          <w:szCs w:val="22"/>
        </w:rPr>
        <w:t xml:space="preserve"> </w:t>
      </w:r>
      <w:r w:rsidR="00F81E71" w:rsidRPr="00F81E71">
        <w:rPr>
          <w:rFonts w:ascii="Arial" w:hAnsi="Arial" w:cs="Arial"/>
          <w:b/>
          <w:sz w:val="22"/>
          <w:szCs w:val="22"/>
        </w:rPr>
        <w:t>Supportive Care Guidelines for Rash</w:t>
      </w:r>
    </w:p>
    <w:tbl>
      <w:tblPr>
        <w:tblW w:w="6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4"/>
        <w:gridCol w:w="1146"/>
        <w:gridCol w:w="2079"/>
        <w:gridCol w:w="2626"/>
      </w:tblGrid>
      <w:tr w:rsidR="003E5F5D" w:rsidRPr="00620AF0" w:rsidTr="003E5F5D">
        <w:tc>
          <w:tcPr>
            <w:tcW w:w="694" w:type="dxa"/>
          </w:tcPr>
          <w:p w:rsidR="003E5F5D" w:rsidRPr="00620AF0" w:rsidRDefault="003E5F5D" w:rsidP="00445972">
            <w:pPr>
              <w:spacing w:after="120" w:line="240" w:lineRule="atLeast"/>
              <w:rPr>
                <w:rFonts w:ascii="Arial" w:hAnsi="Arial" w:cs="Arial"/>
                <w:b/>
                <w:sz w:val="22"/>
                <w:szCs w:val="22"/>
              </w:rPr>
            </w:pPr>
            <w:r w:rsidRPr="00620AF0">
              <w:rPr>
                <w:rFonts w:ascii="Arial" w:hAnsi="Arial" w:cs="Arial"/>
                <w:b/>
                <w:sz w:val="22"/>
                <w:szCs w:val="22"/>
              </w:rPr>
              <w:t>Step</w:t>
            </w:r>
          </w:p>
        </w:tc>
        <w:tc>
          <w:tcPr>
            <w:tcW w:w="1146" w:type="dxa"/>
          </w:tcPr>
          <w:p w:rsidR="003E5F5D" w:rsidRPr="00620AF0" w:rsidRDefault="003E5F5D" w:rsidP="00445972">
            <w:pPr>
              <w:spacing w:after="120" w:line="240" w:lineRule="atLeast"/>
              <w:rPr>
                <w:rFonts w:ascii="Arial" w:hAnsi="Arial" w:cs="Arial"/>
                <w:b/>
                <w:sz w:val="22"/>
                <w:szCs w:val="22"/>
              </w:rPr>
            </w:pPr>
            <w:r w:rsidRPr="00620AF0">
              <w:rPr>
                <w:rFonts w:ascii="Arial" w:hAnsi="Arial" w:cs="Arial"/>
                <w:b/>
                <w:sz w:val="22"/>
                <w:szCs w:val="22"/>
              </w:rPr>
              <w:t>Rash grading</w:t>
            </w:r>
          </w:p>
        </w:tc>
        <w:tc>
          <w:tcPr>
            <w:tcW w:w="2079" w:type="dxa"/>
          </w:tcPr>
          <w:p w:rsidR="003E5F5D" w:rsidRPr="00620AF0" w:rsidRDefault="003E5F5D" w:rsidP="00445972">
            <w:pPr>
              <w:spacing w:after="120" w:line="240" w:lineRule="atLeast"/>
              <w:rPr>
                <w:rFonts w:ascii="Arial" w:hAnsi="Arial" w:cs="Arial"/>
                <w:b/>
                <w:sz w:val="22"/>
                <w:szCs w:val="22"/>
              </w:rPr>
            </w:pPr>
            <w:r w:rsidRPr="00620AF0">
              <w:rPr>
                <w:rFonts w:ascii="Arial" w:hAnsi="Arial" w:cs="Arial"/>
                <w:b/>
                <w:sz w:val="22"/>
                <w:szCs w:val="22"/>
              </w:rPr>
              <w:t xml:space="preserve">Rash severity </w:t>
            </w:r>
          </w:p>
        </w:tc>
        <w:tc>
          <w:tcPr>
            <w:tcW w:w="2626" w:type="dxa"/>
          </w:tcPr>
          <w:p w:rsidR="003E5F5D" w:rsidRPr="00620AF0" w:rsidRDefault="003E5F5D" w:rsidP="00445972">
            <w:pPr>
              <w:spacing w:after="120" w:line="240" w:lineRule="atLeast"/>
              <w:rPr>
                <w:rFonts w:ascii="Arial" w:hAnsi="Arial" w:cs="Arial"/>
                <w:b/>
                <w:sz w:val="22"/>
                <w:szCs w:val="22"/>
              </w:rPr>
            </w:pPr>
            <w:r w:rsidRPr="00620AF0">
              <w:rPr>
                <w:rFonts w:ascii="Arial" w:hAnsi="Arial" w:cs="Arial"/>
                <w:b/>
                <w:sz w:val="22"/>
                <w:szCs w:val="22"/>
              </w:rPr>
              <w:t>Management of Rash</w:t>
            </w:r>
          </w:p>
        </w:tc>
      </w:tr>
      <w:tr w:rsidR="003E5F5D" w:rsidRPr="00620AF0" w:rsidTr="003E5F5D">
        <w:tc>
          <w:tcPr>
            <w:tcW w:w="694" w:type="dxa"/>
          </w:tcPr>
          <w:p w:rsidR="003E5F5D" w:rsidRPr="00620AF0" w:rsidRDefault="003E5F5D" w:rsidP="00445972">
            <w:pPr>
              <w:spacing w:after="120" w:line="240" w:lineRule="atLeast"/>
              <w:rPr>
                <w:rFonts w:ascii="Arial" w:hAnsi="Arial" w:cs="Arial"/>
                <w:sz w:val="22"/>
                <w:szCs w:val="22"/>
              </w:rPr>
            </w:pPr>
            <w:r w:rsidRPr="00620AF0">
              <w:rPr>
                <w:rFonts w:ascii="Arial" w:hAnsi="Arial" w:cs="Arial"/>
                <w:sz w:val="22"/>
                <w:szCs w:val="22"/>
              </w:rPr>
              <w:t>1</w:t>
            </w:r>
          </w:p>
        </w:tc>
        <w:tc>
          <w:tcPr>
            <w:tcW w:w="1146" w:type="dxa"/>
          </w:tcPr>
          <w:p w:rsidR="003E5F5D" w:rsidRPr="00620AF0" w:rsidRDefault="003E5F5D" w:rsidP="00445972">
            <w:pPr>
              <w:spacing w:after="120" w:line="240" w:lineRule="atLeast"/>
              <w:rPr>
                <w:rFonts w:ascii="Arial" w:hAnsi="Arial" w:cs="Arial"/>
                <w:sz w:val="22"/>
                <w:szCs w:val="22"/>
              </w:rPr>
            </w:pPr>
            <w:r w:rsidRPr="00620AF0">
              <w:rPr>
                <w:rFonts w:ascii="Arial" w:hAnsi="Arial" w:cs="Arial"/>
                <w:sz w:val="22"/>
                <w:szCs w:val="22"/>
              </w:rPr>
              <w:t>Mild</w:t>
            </w:r>
          </w:p>
        </w:tc>
        <w:tc>
          <w:tcPr>
            <w:tcW w:w="2079" w:type="dxa"/>
          </w:tcPr>
          <w:p w:rsidR="003E5F5D" w:rsidRPr="00620AF0" w:rsidRDefault="003E5F5D" w:rsidP="00445972">
            <w:pPr>
              <w:spacing w:after="120" w:line="240" w:lineRule="atLeast"/>
              <w:rPr>
                <w:rFonts w:ascii="Arial" w:hAnsi="Arial" w:cs="Arial"/>
                <w:sz w:val="22"/>
                <w:szCs w:val="22"/>
              </w:rPr>
            </w:pPr>
            <w:r w:rsidRPr="00620AF0">
              <w:rPr>
                <w:rFonts w:ascii="Arial" w:hAnsi="Arial" w:cs="Arial"/>
                <w:sz w:val="22"/>
                <w:szCs w:val="22"/>
              </w:rPr>
              <w:t>Localised</w:t>
            </w:r>
          </w:p>
          <w:p w:rsidR="003E5F5D" w:rsidRPr="00620AF0" w:rsidRDefault="003E5F5D" w:rsidP="00445972">
            <w:pPr>
              <w:spacing w:after="120" w:line="240" w:lineRule="atLeast"/>
              <w:rPr>
                <w:rFonts w:ascii="Arial" w:hAnsi="Arial" w:cs="Arial"/>
                <w:sz w:val="22"/>
                <w:szCs w:val="22"/>
              </w:rPr>
            </w:pPr>
            <w:r w:rsidRPr="00620AF0">
              <w:rPr>
                <w:rFonts w:ascii="Arial" w:hAnsi="Arial" w:cs="Arial"/>
                <w:sz w:val="22"/>
                <w:szCs w:val="22"/>
              </w:rPr>
              <w:t>Minimally symptomatic</w:t>
            </w:r>
          </w:p>
          <w:p w:rsidR="003E5F5D" w:rsidRPr="00620AF0" w:rsidRDefault="003E5F5D" w:rsidP="00445972">
            <w:pPr>
              <w:spacing w:after="120" w:line="240" w:lineRule="atLeast"/>
              <w:rPr>
                <w:rFonts w:ascii="Arial" w:hAnsi="Arial" w:cs="Arial"/>
                <w:sz w:val="22"/>
                <w:szCs w:val="22"/>
              </w:rPr>
            </w:pPr>
            <w:r w:rsidRPr="00620AF0">
              <w:rPr>
                <w:rFonts w:ascii="Arial" w:hAnsi="Arial" w:cs="Arial"/>
                <w:sz w:val="22"/>
                <w:szCs w:val="22"/>
              </w:rPr>
              <w:t>No impact on ADL</w:t>
            </w:r>
          </w:p>
          <w:p w:rsidR="003E5F5D" w:rsidRPr="00620AF0" w:rsidRDefault="003E5F5D" w:rsidP="00445972">
            <w:pPr>
              <w:spacing w:after="120" w:line="240" w:lineRule="atLeast"/>
              <w:rPr>
                <w:rFonts w:ascii="Arial" w:hAnsi="Arial" w:cs="Arial"/>
                <w:sz w:val="22"/>
                <w:szCs w:val="22"/>
              </w:rPr>
            </w:pPr>
            <w:r w:rsidRPr="00620AF0">
              <w:rPr>
                <w:rFonts w:ascii="Arial" w:hAnsi="Arial" w:cs="Arial"/>
                <w:sz w:val="22"/>
                <w:szCs w:val="22"/>
              </w:rPr>
              <w:t>No sign of superinfection</w:t>
            </w:r>
          </w:p>
        </w:tc>
        <w:tc>
          <w:tcPr>
            <w:tcW w:w="2626" w:type="dxa"/>
          </w:tcPr>
          <w:p w:rsidR="003E5F5D" w:rsidRPr="00620AF0" w:rsidRDefault="003E5F5D" w:rsidP="00445972">
            <w:pPr>
              <w:spacing w:after="120" w:line="240" w:lineRule="atLeast"/>
              <w:rPr>
                <w:rFonts w:ascii="Arial" w:hAnsi="Arial" w:cs="Arial"/>
                <w:sz w:val="22"/>
                <w:szCs w:val="22"/>
              </w:rPr>
            </w:pPr>
            <w:r w:rsidRPr="00620AF0">
              <w:rPr>
                <w:rFonts w:ascii="Arial" w:hAnsi="Arial" w:cs="Arial"/>
                <w:sz w:val="22"/>
                <w:szCs w:val="22"/>
              </w:rPr>
              <w:t>Initiate prophylactic regimen</w:t>
            </w:r>
            <w:r w:rsidRPr="00620AF0">
              <w:rPr>
                <w:rFonts w:ascii="Arial" w:hAnsi="Arial" w:cs="Arial"/>
                <w:sz w:val="22"/>
                <w:szCs w:val="22"/>
                <w:vertAlign w:val="superscript"/>
              </w:rPr>
              <w:t>a</w:t>
            </w:r>
            <w:r w:rsidRPr="00620AF0">
              <w:rPr>
                <w:rFonts w:ascii="Arial" w:hAnsi="Arial" w:cs="Arial"/>
                <w:sz w:val="22"/>
                <w:szCs w:val="22"/>
              </w:rPr>
              <w:t xml:space="preserve"> if not already started.</w:t>
            </w:r>
          </w:p>
          <w:p w:rsidR="003E5F5D" w:rsidRPr="00620AF0" w:rsidRDefault="003E5F5D" w:rsidP="00445972">
            <w:pPr>
              <w:spacing w:after="120" w:line="240" w:lineRule="atLeast"/>
              <w:rPr>
                <w:rFonts w:ascii="Arial" w:hAnsi="Arial" w:cs="Arial"/>
                <w:sz w:val="22"/>
                <w:szCs w:val="22"/>
              </w:rPr>
            </w:pPr>
            <w:r w:rsidRPr="00620AF0">
              <w:rPr>
                <w:rFonts w:ascii="Arial" w:hAnsi="Arial" w:cs="Arial"/>
                <w:sz w:val="22"/>
                <w:szCs w:val="22"/>
              </w:rPr>
              <w:t>Reassess after two weeks; if rash worsens or does not improve, proceed to step 2</w:t>
            </w:r>
          </w:p>
        </w:tc>
      </w:tr>
      <w:tr w:rsidR="003E5F5D" w:rsidRPr="00620AF0" w:rsidTr="003E5F5D">
        <w:tc>
          <w:tcPr>
            <w:tcW w:w="694" w:type="dxa"/>
          </w:tcPr>
          <w:p w:rsidR="003E5F5D" w:rsidRPr="00620AF0" w:rsidRDefault="003E5F5D" w:rsidP="00445972">
            <w:pPr>
              <w:spacing w:after="120" w:line="240" w:lineRule="atLeast"/>
              <w:rPr>
                <w:rFonts w:ascii="Arial" w:hAnsi="Arial" w:cs="Arial"/>
                <w:sz w:val="22"/>
                <w:szCs w:val="22"/>
              </w:rPr>
            </w:pPr>
            <w:r w:rsidRPr="00620AF0">
              <w:rPr>
                <w:rFonts w:ascii="Arial" w:hAnsi="Arial" w:cs="Arial"/>
                <w:sz w:val="22"/>
                <w:szCs w:val="22"/>
              </w:rPr>
              <w:t>2</w:t>
            </w:r>
          </w:p>
        </w:tc>
        <w:tc>
          <w:tcPr>
            <w:tcW w:w="1146" w:type="dxa"/>
          </w:tcPr>
          <w:p w:rsidR="003E5F5D" w:rsidRPr="00620AF0" w:rsidRDefault="003E5F5D" w:rsidP="00445972">
            <w:pPr>
              <w:spacing w:after="120" w:line="240" w:lineRule="atLeast"/>
              <w:rPr>
                <w:rFonts w:ascii="Arial" w:hAnsi="Arial" w:cs="Arial"/>
                <w:sz w:val="22"/>
                <w:szCs w:val="22"/>
              </w:rPr>
            </w:pPr>
            <w:r w:rsidRPr="00620AF0">
              <w:rPr>
                <w:rFonts w:ascii="Arial" w:hAnsi="Arial" w:cs="Arial"/>
                <w:sz w:val="22"/>
                <w:szCs w:val="22"/>
              </w:rPr>
              <w:t>Moderate</w:t>
            </w:r>
          </w:p>
        </w:tc>
        <w:tc>
          <w:tcPr>
            <w:tcW w:w="2079" w:type="dxa"/>
          </w:tcPr>
          <w:p w:rsidR="003E5F5D" w:rsidRPr="00620AF0" w:rsidRDefault="003E5F5D" w:rsidP="00445972">
            <w:pPr>
              <w:spacing w:after="120" w:line="240" w:lineRule="atLeast"/>
              <w:rPr>
                <w:rFonts w:ascii="Arial" w:hAnsi="Arial" w:cs="Arial"/>
                <w:sz w:val="22"/>
                <w:szCs w:val="22"/>
              </w:rPr>
            </w:pPr>
            <w:r>
              <w:rPr>
                <w:rFonts w:ascii="Arial" w:hAnsi="Arial" w:cs="Arial"/>
                <w:sz w:val="22"/>
                <w:szCs w:val="22"/>
              </w:rPr>
              <w:t>Generalis</w:t>
            </w:r>
            <w:r w:rsidRPr="00620AF0">
              <w:rPr>
                <w:rFonts w:ascii="Arial" w:hAnsi="Arial" w:cs="Arial"/>
                <w:sz w:val="22"/>
                <w:szCs w:val="22"/>
              </w:rPr>
              <w:t>ed</w:t>
            </w:r>
          </w:p>
          <w:p w:rsidR="003E5F5D" w:rsidRPr="00620AF0" w:rsidRDefault="003E5F5D" w:rsidP="00445972">
            <w:pPr>
              <w:spacing w:after="120" w:line="240" w:lineRule="atLeast"/>
              <w:rPr>
                <w:rFonts w:ascii="Arial" w:hAnsi="Arial" w:cs="Arial"/>
                <w:sz w:val="22"/>
                <w:szCs w:val="22"/>
              </w:rPr>
            </w:pPr>
            <w:r w:rsidRPr="00620AF0">
              <w:rPr>
                <w:rFonts w:ascii="Arial" w:hAnsi="Arial" w:cs="Arial"/>
                <w:sz w:val="22"/>
                <w:szCs w:val="22"/>
              </w:rPr>
              <w:t>Mild symptoms (e.g. pruritus, tenderness)</w:t>
            </w:r>
          </w:p>
          <w:p w:rsidR="003E5F5D" w:rsidRPr="00620AF0" w:rsidRDefault="003E5F5D" w:rsidP="00445972">
            <w:pPr>
              <w:spacing w:after="120" w:line="240" w:lineRule="atLeast"/>
              <w:rPr>
                <w:rFonts w:ascii="Arial" w:hAnsi="Arial" w:cs="Arial"/>
                <w:sz w:val="22"/>
                <w:szCs w:val="22"/>
              </w:rPr>
            </w:pPr>
            <w:r w:rsidRPr="00620AF0">
              <w:rPr>
                <w:rFonts w:ascii="Arial" w:hAnsi="Arial" w:cs="Arial"/>
                <w:sz w:val="22"/>
                <w:szCs w:val="22"/>
              </w:rPr>
              <w:t>Minimal impact on ADL</w:t>
            </w:r>
          </w:p>
          <w:p w:rsidR="003E5F5D" w:rsidRPr="00620AF0" w:rsidRDefault="003E5F5D" w:rsidP="00445972">
            <w:pPr>
              <w:spacing w:after="120" w:line="240" w:lineRule="atLeast"/>
              <w:rPr>
                <w:rFonts w:ascii="Arial" w:hAnsi="Arial" w:cs="Arial"/>
                <w:sz w:val="22"/>
                <w:szCs w:val="22"/>
              </w:rPr>
            </w:pPr>
            <w:r w:rsidRPr="00620AF0">
              <w:rPr>
                <w:rFonts w:ascii="Arial" w:hAnsi="Arial" w:cs="Arial"/>
                <w:sz w:val="22"/>
                <w:szCs w:val="22"/>
              </w:rPr>
              <w:t>No sign of superinfection</w:t>
            </w:r>
          </w:p>
        </w:tc>
        <w:tc>
          <w:tcPr>
            <w:tcW w:w="2626" w:type="dxa"/>
          </w:tcPr>
          <w:p w:rsidR="003E5F5D" w:rsidRPr="00620AF0" w:rsidRDefault="003E5F5D" w:rsidP="00445972">
            <w:pPr>
              <w:spacing w:after="120" w:line="240" w:lineRule="atLeast"/>
              <w:rPr>
                <w:rFonts w:ascii="Arial" w:hAnsi="Arial" w:cs="Arial"/>
                <w:sz w:val="22"/>
                <w:szCs w:val="22"/>
              </w:rPr>
            </w:pPr>
            <w:r w:rsidRPr="00620AF0">
              <w:rPr>
                <w:rFonts w:ascii="Arial" w:hAnsi="Arial" w:cs="Arial"/>
                <w:sz w:val="22"/>
                <w:szCs w:val="22"/>
              </w:rPr>
              <w:t>Initiate prophylactic regimen</w:t>
            </w:r>
            <w:r w:rsidRPr="000F1901">
              <w:rPr>
                <w:rFonts w:ascii="Arial" w:hAnsi="Arial" w:cs="Arial"/>
                <w:sz w:val="22"/>
                <w:szCs w:val="22"/>
                <w:vertAlign w:val="superscript"/>
              </w:rPr>
              <w:t>a</w:t>
            </w:r>
            <w:r w:rsidRPr="00620AF0">
              <w:rPr>
                <w:rFonts w:ascii="Arial" w:hAnsi="Arial" w:cs="Arial"/>
                <w:sz w:val="22"/>
                <w:szCs w:val="22"/>
              </w:rPr>
              <w:t xml:space="preserve"> if not already started, using moderate strength topical steroids.</w:t>
            </w:r>
          </w:p>
          <w:p w:rsidR="003E5F5D" w:rsidRPr="00620AF0" w:rsidRDefault="003E5F5D" w:rsidP="00445972">
            <w:pPr>
              <w:spacing w:after="120" w:line="240" w:lineRule="atLeast"/>
              <w:rPr>
                <w:rFonts w:ascii="Arial" w:hAnsi="Arial" w:cs="Arial"/>
                <w:sz w:val="22"/>
                <w:szCs w:val="22"/>
              </w:rPr>
            </w:pPr>
            <w:r w:rsidRPr="00620AF0">
              <w:rPr>
                <w:rFonts w:ascii="Arial" w:hAnsi="Arial" w:cs="Arial"/>
                <w:sz w:val="22"/>
                <w:szCs w:val="22"/>
              </w:rPr>
              <w:t>Reassess after two weeks; if rash worsens or does not improve, proceed to step 3</w:t>
            </w:r>
          </w:p>
        </w:tc>
      </w:tr>
      <w:tr w:rsidR="003E5F5D" w:rsidRPr="00620AF0" w:rsidTr="003E5F5D">
        <w:tc>
          <w:tcPr>
            <w:tcW w:w="694" w:type="dxa"/>
          </w:tcPr>
          <w:p w:rsidR="003E5F5D" w:rsidRPr="00620AF0" w:rsidRDefault="003E5F5D" w:rsidP="00445972">
            <w:pPr>
              <w:spacing w:after="120" w:line="240" w:lineRule="atLeast"/>
              <w:rPr>
                <w:rFonts w:ascii="Arial" w:hAnsi="Arial" w:cs="Arial"/>
                <w:sz w:val="22"/>
                <w:szCs w:val="22"/>
              </w:rPr>
            </w:pPr>
            <w:r w:rsidRPr="00620AF0">
              <w:rPr>
                <w:rFonts w:ascii="Arial" w:hAnsi="Arial" w:cs="Arial"/>
                <w:sz w:val="22"/>
                <w:szCs w:val="22"/>
              </w:rPr>
              <w:t>3</w:t>
            </w:r>
          </w:p>
        </w:tc>
        <w:tc>
          <w:tcPr>
            <w:tcW w:w="1146" w:type="dxa"/>
          </w:tcPr>
          <w:p w:rsidR="003E5F5D" w:rsidRPr="00620AF0" w:rsidRDefault="003E5F5D" w:rsidP="00445972">
            <w:pPr>
              <w:spacing w:after="120" w:line="240" w:lineRule="atLeast"/>
              <w:rPr>
                <w:rFonts w:ascii="Arial" w:hAnsi="Arial" w:cs="Arial"/>
                <w:sz w:val="22"/>
                <w:szCs w:val="22"/>
              </w:rPr>
            </w:pPr>
            <w:r w:rsidRPr="00620AF0">
              <w:rPr>
                <w:rFonts w:ascii="Arial" w:hAnsi="Arial" w:cs="Arial"/>
                <w:sz w:val="22"/>
                <w:szCs w:val="22"/>
              </w:rPr>
              <w:t>Severe</w:t>
            </w:r>
          </w:p>
        </w:tc>
        <w:tc>
          <w:tcPr>
            <w:tcW w:w="2079" w:type="dxa"/>
          </w:tcPr>
          <w:p w:rsidR="003E5F5D" w:rsidRPr="00620AF0" w:rsidRDefault="003E5F5D" w:rsidP="00445972">
            <w:pPr>
              <w:spacing w:after="120" w:line="240" w:lineRule="atLeast"/>
              <w:rPr>
                <w:rFonts w:ascii="Arial" w:hAnsi="Arial" w:cs="Arial"/>
                <w:sz w:val="22"/>
                <w:szCs w:val="22"/>
              </w:rPr>
            </w:pPr>
            <w:r>
              <w:rPr>
                <w:rFonts w:ascii="Arial" w:hAnsi="Arial" w:cs="Arial"/>
                <w:sz w:val="22"/>
                <w:szCs w:val="22"/>
              </w:rPr>
              <w:t>Generalis</w:t>
            </w:r>
            <w:r w:rsidRPr="00620AF0">
              <w:rPr>
                <w:rFonts w:ascii="Arial" w:hAnsi="Arial" w:cs="Arial"/>
                <w:sz w:val="22"/>
                <w:szCs w:val="22"/>
              </w:rPr>
              <w:t>ed</w:t>
            </w:r>
          </w:p>
          <w:p w:rsidR="003E5F5D" w:rsidRPr="00620AF0" w:rsidRDefault="003E5F5D" w:rsidP="00445972">
            <w:pPr>
              <w:spacing w:after="120" w:line="240" w:lineRule="atLeast"/>
              <w:rPr>
                <w:rFonts w:ascii="Arial" w:hAnsi="Arial" w:cs="Arial"/>
                <w:sz w:val="22"/>
                <w:szCs w:val="22"/>
              </w:rPr>
            </w:pPr>
            <w:r w:rsidRPr="00620AF0">
              <w:rPr>
                <w:rFonts w:ascii="Arial" w:hAnsi="Arial" w:cs="Arial"/>
                <w:sz w:val="22"/>
                <w:szCs w:val="22"/>
              </w:rPr>
              <w:t>Severe symptoms (e.g. pruritus, tenderness)</w:t>
            </w:r>
          </w:p>
          <w:p w:rsidR="003E5F5D" w:rsidRPr="00620AF0" w:rsidRDefault="003E5F5D" w:rsidP="00445972">
            <w:pPr>
              <w:spacing w:after="120" w:line="240" w:lineRule="atLeast"/>
              <w:rPr>
                <w:rFonts w:ascii="Arial" w:hAnsi="Arial" w:cs="Arial"/>
                <w:sz w:val="22"/>
                <w:szCs w:val="22"/>
              </w:rPr>
            </w:pPr>
            <w:r w:rsidRPr="00620AF0">
              <w:rPr>
                <w:rFonts w:ascii="Arial" w:hAnsi="Arial" w:cs="Arial"/>
                <w:sz w:val="22"/>
                <w:szCs w:val="22"/>
              </w:rPr>
              <w:t>Significant impact on ADL</w:t>
            </w:r>
          </w:p>
          <w:p w:rsidR="003E5F5D" w:rsidRPr="00620AF0" w:rsidRDefault="003E5F5D" w:rsidP="00445972">
            <w:pPr>
              <w:spacing w:after="120" w:line="240" w:lineRule="atLeast"/>
              <w:rPr>
                <w:rFonts w:ascii="Arial" w:hAnsi="Arial" w:cs="Arial"/>
                <w:sz w:val="22"/>
                <w:szCs w:val="22"/>
              </w:rPr>
            </w:pPr>
            <w:r w:rsidRPr="00620AF0">
              <w:rPr>
                <w:rFonts w:ascii="Arial" w:hAnsi="Arial" w:cs="Arial"/>
                <w:sz w:val="22"/>
                <w:szCs w:val="22"/>
              </w:rPr>
              <w:t>Sign of or potential for superinfection</w:t>
            </w:r>
          </w:p>
        </w:tc>
        <w:tc>
          <w:tcPr>
            <w:tcW w:w="2626" w:type="dxa"/>
          </w:tcPr>
          <w:p w:rsidR="003E5F5D" w:rsidRPr="00620AF0" w:rsidRDefault="003E5F5D" w:rsidP="00445972">
            <w:pPr>
              <w:spacing w:after="120" w:line="240" w:lineRule="atLeast"/>
              <w:rPr>
                <w:rFonts w:ascii="Arial" w:hAnsi="Arial" w:cs="Arial"/>
                <w:sz w:val="22"/>
                <w:szCs w:val="22"/>
              </w:rPr>
            </w:pPr>
            <w:r w:rsidRPr="00620AF0">
              <w:rPr>
                <w:rFonts w:ascii="Arial" w:hAnsi="Arial" w:cs="Arial"/>
                <w:sz w:val="22"/>
                <w:szCs w:val="22"/>
              </w:rPr>
              <w:t>Initiate prophylactic regimen</w:t>
            </w:r>
            <w:r w:rsidRPr="008C2582">
              <w:rPr>
                <w:rFonts w:ascii="Arial" w:hAnsi="Arial" w:cs="Arial"/>
                <w:sz w:val="22"/>
                <w:szCs w:val="22"/>
                <w:vertAlign w:val="superscript"/>
              </w:rPr>
              <w:t>a</w:t>
            </w:r>
            <w:r w:rsidRPr="00620AF0">
              <w:rPr>
                <w:rFonts w:ascii="Arial" w:hAnsi="Arial" w:cs="Arial"/>
                <w:sz w:val="22"/>
                <w:szCs w:val="22"/>
              </w:rPr>
              <w:t xml:space="preserve"> if not already started, using moderate strength topical steroids PLUS systemic corticosteroids.</w:t>
            </w:r>
          </w:p>
          <w:p w:rsidR="003E5F5D" w:rsidRPr="00620AF0" w:rsidRDefault="003E5F5D" w:rsidP="00445972">
            <w:pPr>
              <w:spacing w:after="120" w:line="240" w:lineRule="atLeast"/>
              <w:rPr>
                <w:rFonts w:ascii="Arial" w:hAnsi="Arial" w:cs="Arial"/>
                <w:sz w:val="22"/>
                <w:szCs w:val="22"/>
              </w:rPr>
            </w:pPr>
            <w:r w:rsidRPr="00620AF0">
              <w:rPr>
                <w:rFonts w:ascii="Arial" w:hAnsi="Arial" w:cs="Arial"/>
                <w:sz w:val="22"/>
                <w:szCs w:val="22"/>
              </w:rPr>
              <w:t>Manage rash per dermatologist’s recommendation.</w:t>
            </w:r>
          </w:p>
        </w:tc>
      </w:tr>
    </w:tbl>
    <w:p w:rsidR="00445972" w:rsidRPr="00620AF0" w:rsidRDefault="00445972" w:rsidP="00445972">
      <w:pPr>
        <w:spacing w:after="120" w:line="240" w:lineRule="atLeast"/>
        <w:rPr>
          <w:rFonts w:ascii="Arial" w:hAnsi="Arial" w:cs="Arial"/>
        </w:rPr>
      </w:pPr>
      <w:r w:rsidRPr="00620AF0">
        <w:rPr>
          <w:rFonts w:ascii="Arial" w:hAnsi="Arial" w:cs="Arial"/>
        </w:rPr>
        <w:t>a. broad-spectrum sunscreen (skin protection factor ≥ 15), alcohol-free emollient cream, mild-strength topical steroid, and oral antibiotics for first 2-3 weeks</w:t>
      </w:r>
    </w:p>
    <w:p w:rsidR="0081040F" w:rsidRPr="00620AF0" w:rsidRDefault="00445972" w:rsidP="00445972">
      <w:pPr>
        <w:spacing w:after="120" w:line="240" w:lineRule="atLeast"/>
        <w:rPr>
          <w:rFonts w:ascii="Arial" w:hAnsi="Arial" w:cs="Arial"/>
          <w:b/>
          <w:sz w:val="22"/>
          <w:szCs w:val="22"/>
        </w:rPr>
      </w:pPr>
      <w:r w:rsidRPr="00620AF0">
        <w:rPr>
          <w:rFonts w:ascii="Arial" w:hAnsi="Arial" w:cs="Arial"/>
        </w:rPr>
        <w:t>ADL= Activity of Daily Living</w:t>
      </w:r>
    </w:p>
    <w:p w:rsidR="00445972" w:rsidRPr="00620AF0" w:rsidRDefault="00445972" w:rsidP="00445972">
      <w:pPr>
        <w:spacing w:after="120" w:line="240" w:lineRule="atLeast"/>
        <w:rPr>
          <w:rFonts w:ascii="Arial" w:hAnsi="Arial" w:cs="Arial"/>
          <w:b/>
          <w:sz w:val="22"/>
          <w:szCs w:val="22"/>
        </w:rPr>
      </w:pPr>
      <w:r w:rsidRPr="00620AF0">
        <w:rPr>
          <w:rFonts w:ascii="Arial" w:hAnsi="Arial" w:cs="Arial"/>
          <w:b/>
          <w:sz w:val="22"/>
          <w:szCs w:val="22"/>
        </w:rPr>
        <w:t xml:space="preserve">Populations </w:t>
      </w:r>
    </w:p>
    <w:p w:rsidR="00445972" w:rsidRPr="00620AF0" w:rsidRDefault="00445972" w:rsidP="00445972">
      <w:pPr>
        <w:spacing w:after="120" w:line="240" w:lineRule="atLeast"/>
        <w:rPr>
          <w:rFonts w:ascii="Arial" w:eastAsia="MS Mincho" w:hAnsi="Arial" w:cs="Arial"/>
          <w:b/>
          <w:i/>
          <w:sz w:val="22"/>
          <w:szCs w:val="22"/>
        </w:rPr>
      </w:pPr>
      <w:r w:rsidRPr="00620AF0">
        <w:rPr>
          <w:rFonts w:ascii="Arial" w:eastAsia="MS Mincho" w:hAnsi="Arial" w:cs="Arial"/>
          <w:b/>
          <w:i/>
          <w:sz w:val="22"/>
          <w:szCs w:val="22"/>
        </w:rPr>
        <w:t>Children</w:t>
      </w:r>
    </w:p>
    <w:p w:rsidR="00AA1C1A" w:rsidRDefault="0042059D" w:rsidP="00445972">
      <w:pPr>
        <w:spacing w:after="120" w:line="240" w:lineRule="atLeast"/>
        <w:rPr>
          <w:rFonts w:ascii="Arial" w:eastAsia="MS Mincho" w:hAnsi="Arial" w:cs="Arial"/>
          <w:b/>
          <w:i/>
          <w:sz w:val="22"/>
          <w:szCs w:val="22"/>
        </w:rPr>
      </w:pPr>
      <w:r w:rsidRPr="00620AF0">
        <w:rPr>
          <w:rFonts w:ascii="Arial" w:hAnsi="Arial" w:cs="Arial"/>
          <w:sz w:val="22"/>
          <w:szCs w:val="22"/>
        </w:rPr>
        <w:t xml:space="preserve">The safety and efficacy of </w:t>
      </w:r>
      <w:r w:rsidR="00F44B04">
        <w:rPr>
          <w:rFonts w:ascii="Arial" w:hAnsi="Arial" w:cs="Arial"/>
          <w:sz w:val="22"/>
          <w:szCs w:val="22"/>
        </w:rPr>
        <w:t>MEKINIST</w:t>
      </w:r>
      <w:r w:rsidR="00330456">
        <w:rPr>
          <w:rFonts w:ascii="Arial" w:hAnsi="Arial" w:cs="Arial"/>
          <w:sz w:val="22"/>
          <w:szCs w:val="22"/>
        </w:rPr>
        <w:t xml:space="preserve"> </w:t>
      </w:r>
      <w:r w:rsidRPr="00620AF0">
        <w:rPr>
          <w:rFonts w:ascii="Arial" w:hAnsi="Arial" w:cs="Arial"/>
          <w:sz w:val="22"/>
          <w:szCs w:val="22"/>
        </w:rPr>
        <w:t>has not been yet established in children and adolescents (&lt; 18 years).</w:t>
      </w:r>
    </w:p>
    <w:p w:rsidR="00445972" w:rsidRPr="00620AF0" w:rsidRDefault="00445972" w:rsidP="00445972">
      <w:pPr>
        <w:spacing w:after="120" w:line="240" w:lineRule="atLeast"/>
        <w:rPr>
          <w:rFonts w:ascii="Arial" w:eastAsia="MS Mincho" w:hAnsi="Arial" w:cs="Arial"/>
          <w:b/>
          <w:i/>
          <w:sz w:val="22"/>
          <w:szCs w:val="22"/>
        </w:rPr>
      </w:pPr>
      <w:r w:rsidRPr="00620AF0">
        <w:rPr>
          <w:rFonts w:ascii="Arial" w:eastAsia="MS Mincho" w:hAnsi="Arial" w:cs="Arial"/>
          <w:b/>
          <w:i/>
          <w:sz w:val="22"/>
          <w:szCs w:val="22"/>
        </w:rPr>
        <w:t>Elderly</w:t>
      </w:r>
    </w:p>
    <w:p w:rsidR="00AA1C1A" w:rsidRDefault="0042059D" w:rsidP="00445972">
      <w:pPr>
        <w:spacing w:after="120" w:line="240" w:lineRule="atLeast"/>
        <w:rPr>
          <w:rFonts w:ascii="Arial" w:eastAsia="MS Mincho" w:hAnsi="Arial" w:cs="Arial"/>
          <w:b/>
          <w:i/>
          <w:sz w:val="22"/>
          <w:szCs w:val="22"/>
        </w:rPr>
      </w:pPr>
      <w:r w:rsidRPr="00620AF0">
        <w:rPr>
          <w:rFonts w:ascii="Arial" w:hAnsi="Arial" w:cs="Arial"/>
          <w:sz w:val="22"/>
          <w:szCs w:val="22"/>
        </w:rPr>
        <w:t>No dose adjus</w:t>
      </w:r>
      <w:r w:rsidR="00330456">
        <w:rPr>
          <w:rFonts w:ascii="Arial" w:hAnsi="Arial" w:cs="Arial"/>
          <w:sz w:val="22"/>
          <w:szCs w:val="22"/>
        </w:rPr>
        <w:t>tments are required</w:t>
      </w:r>
      <w:r w:rsidRPr="00620AF0">
        <w:rPr>
          <w:rFonts w:ascii="Arial" w:hAnsi="Arial" w:cs="Arial"/>
          <w:sz w:val="22"/>
          <w:szCs w:val="22"/>
        </w:rPr>
        <w:t xml:space="preserve"> </w:t>
      </w:r>
      <w:r w:rsidR="00F44B04">
        <w:rPr>
          <w:rFonts w:ascii="Arial" w:hAnsi="Arial" w:cs="Arial"/>
          <w:sz w:val="22"/>
          <w:szCs w:val="22"/>
        </w:rPr>
        <w:t>in pati</w:t>
      </w:r>
      <w:r w:rsidR="00330456">
        <w:rPr>
          <w:rFonts w:ascii="Arial" w:hAnsi="Arial" w:cs="Arial"/>
          <w:sz w:val="22"/>
          <w:szCs w:val="22"/>
        </w:rPr>
        <w:t>ents over 65 years</w:t>
      </w:r>
      <w:r w:rsidR="00F44B04">
        <w:rPr>
          <w:rFonts w:ascii="Arial" w:hAnsi="Arial" w:cs="Arial"/>
          <w:sz w:val="22"/>
          <w:szCs w:val="22"/>
        </w:rPr>
        <w:t xml:space="preserve"> </w:t>
      </w:r>
      <w:r w:rsidRPr="00620AF0">
        <w:rPr>
          <w:rFonts w:ascii="Arial" w:hAnsi="Arial" w:cs="Arial"/>
          <w:sz w:val="22"/>
          <w:szCs w:val="22"/>
          <w:lang w:val="en-US" w:eastAsia="en-US"/>
        </w:rPr>
        <w:t>(</w:t>
      </w:r>
      <w:r w:rsidRPr="00620AF0">
        <w:rPr>
          <w:rFonts w:ascii="Arial" w:hAnsi="Arial" w:cs="Arial"/>
          <w:iCs/>
          <w:sz w:val="22"/>
          <w:szCs w:val="22"/>
          <w:lang w:val="en-US" w:eastAsia="en-US"/>
        </w:rPr>
        <w:t>see PHARMACOKINETICS</w:t>
      </w:r>
      <w:r w:rsidRPr="00620AF0">
        <w:rPr>
          <w:rFonts w:ascii="Arial" w:hAnsi="Arial" w:cs="Arial"/>
          <w:sz w:val="22"/>
          <w:szCs w:val="22"/>
          <w:lang w:val="en-US" w:eastAsia="en-US"/>
        </w:rPr>
        <w:t>).</w:t>
      </w:r>
    </w:p>
    <w:p w:rsidR="00330456" w:rsidRPr="00330456" w:rsidRDefault="00445972" w:rsidP="00445972">
      <w:pPr>
        <w:spacing w:after="120" w:line="240" w:lineRule="atLeast"/>
        <w:rPr>
          <w:rFonts w:ascii="Arial" w:hAnsi="Arial" w:cs="Arial"/>
          <w:i/>
          <w:sz w:val="22"/>
          <w:szCs w:val="22"/>
        </w:rPr>
      </w:pPr>
      <w:r w:rsidRPr="00620AF0">
        <w:rPr>
          <w:rFonts w:ascii="Arial" w:eastAsia="MS Mincho" w:hAnsi="Arial" w:cs="Arial"/>
          <w:b/>
          <w:i/>
          <w:sz w:val="22"/>
          <w:szCs w:val="22"/>
        </w:rPr>
        <w:t>Renal impairment</w:t>
      </w:r>
    </w:p>
    <w:p w:rsidR="00445972" w:rsidRDefault="00445972" w:rsidP="00445972">
      <w:pPr>
        <w:spacing w:after="120" w:line="240" w:lineRule="atLeast"/>
        <w:rPr>
          <w:rFonts w:ascii="Arial" w:hAnsi="Arial" w:cs="Arial"/>
          <w:sz w:val="22"/>
          <w:szCs w:val="22"/>
        </w:rPr>
      </w:pPr>
      <w:r w:rsidRPr="00620AF0">
        <w:rPr>
          <w:rFonts w:ascii="Arial" w:hAnsi="Arial" w:cs="Arial"/>
          <w:sz w:val="22"/>
          <w:szCs w:val="22"/>
        </w:rPr>
        <w:t>No dosage adjustment</w:t>
      </w:r>
      <w:r w:rsidR="00330456">
        <w:rPr>
          <w:rFonts w:ascii="Arial" w:hAnsi="Arial" w:cs="Arial"/>
          <w:sz w:val="22"/>
          <w:szCs w:val="22"/>
        </w:rPr>
        <w:t xml:space="preserve"> required</w:t>
      </w:r>
      <w:r w:rsidR="0042059D" w:rsidRPr="00620AF0">
        <w:rPr>
          <w:rFonts w:ascii="Arial" w:hAnsi="Arial" w:cs="Arial"/>
          <w:sz w:val="22"/>
          <w:szCs w:val="22"/>
        </w:rPr>
        <w:t xml:space="preserve"> </w:t>
      </w:r>
      <w:r w:rsidRPr="00620AF0">
        <w:rPr>
          <w:rFonts w:ascii="Arial" w:hAnsi="Arial" w:cs="Arial"/>
          <w:sz w:val="22"/>
          <w:szCs w:val="22"/>
        </w:rPr>
        <w:t>in patients with m</w:t>
      </w:r>
      <w:r w:rsidR="00330456">
        <w:rPr>
          <w:rFonts w:ascii="Arial" w:hAnsi="Arial" w:cs="Arial"/>
          <w:sz w:val="22"/>
          <w:szCs w:val="22"/>
        </w:rPr>
        <w:t>ild or moderate renal impairment</w:t>
      </w:r>
      <w:r w:rsidR="0052430D">
        <w:rPr>
          <w:rFonts w:ascii="Arial" w:hAnsi="Arial" w:cs="Arial"/>
          <w:sz w:val="22"/>
          <w:szCs w:val="22"/>
        </w:rPr>
        <w:t>.</w:t>
      </w:r>
      <w:r w:rsidRPr="00620AF0">
        <w:rPr>
          <w:rFonts w:ascii="Arial" w:hAnsi="Arial" w:cs="Arial"/>
          <w:sz w:val="22"/>
          <w:szCs w:val="22"/>
        </w:rPr>
        <w:t xml:space="preserve">  Mild or moderate renal impairment had no significant effect on the population pharmacokinetics </w:t>
      </w:r>
      <w:r w:rsidR="00330456">
        <w:rPr>
          <w:rFonts w:ascii="Arial" w:hAnsi="Arial" w:cs="Arial"/>
          <w:sz w:val="22"/>
          <w:szCs w:val="22"/>
        </w:rPr>
        <w:t>of</w:t>
      </w:r>
      <w:r w:rsidRPr="00620AF0">
        <w:rPr>
          <w:rFonts w:ascii="Arial" w:hAnsi="Arial" w:cs="Arial"/>
          <w:sz w:val="22"/>
          <w:szCs w:val="22"/>
        </w:rPr>
        <w:t xml:space="preserve"> </w:t>
      </w:r>
      <w:r w:rsidR="000810CE" w:rsidRPr="00620AF0">
        <w:rPr>
          <w:rFonts w:ascii="Arial" w:hAnsi="Arial" w:cs="Arial"/>
          <w:sz w:val="22"/>
          <w:szCs w:val="22"/>
        </w:rPr>
        <w:t>MEKINIST</w:t>
      </w:r>
      <w:r w:rsidRPr="00620AF0">
        <w:rPr>
          <w:rFonts w:ascii="Arial" w:eastAsia="MS Mincho" w:hAnsi="Arial" w:cs="Arial"/>
          <w:sz w:val="22"/>
          <w:szCs w:val="22"/>
        </w:rPr>
        <w:t xml:space="preserve"> (</w:t>
      </w:r>
      <w:r w:rsidRPr="00620AF0">
        <w:rPr>
          <w:rFonts w:ascii="Arial" w:hAnsi="Arial" w:cs="Arial"/>
          <w:sz w:val="22"/>
          <w:szCs w:val="22"/>
        </w:rPr>
        <w:t xml:space="preserve">see </w:t>
      </w:r>
      <w:r w:rsidR="000771AF" w:rsidRPr="00620AF0">
        <w:rPr>
          <w:rFonts w:ascii="Arial" w:hAnsi="Arial" w:cs="Arial"/>
          <w:sz w:val="22"/>
          <w:szCs w:val="22"/>
        </w:rPr>
        <w:t>PHARMACOKINETICS</w:t>
      </w:r>
      <w:r w:rsidRPr="00620AF0">
        <w:rPr>
          <w:rFonts w:ascii="Arial" w:hAnsi="Arial" w:cs="Arial"/>
          <w:sz w:val="22"/>
          <w:szCs w:val="22"/>
        </w:rPr>
        <w:t>)</w:t>
      </w:r>
      <w:r w:rsidRPr="00620AF0">
        <w:rPr>
          <w:rFonts w:ascii="Arial" w:eastAsia="MS Mincho" w:hAnsi="Arial" w:cs="Arial"/>
          <w:sz w:val="22"/>
          <w:szCs w:val="22"/>
        </w:rPr>
        <w:t xml:space="preserve">. </w:t>
      </w:r>
      <w:r w:rsidRPr="00620AF0">
        <w:rPr>
          <w:rFonts w:ascii="Arial" w:hAnsi="Arial" w:cs="Arial"/>
          <w:sz w:val="22"/>
          <w:szCs w:val="22"/>
        </w:rPr>
        <w:t xml:space="preserve">There are no </w:t>
      </w:r>
      <w:r w:rsidR="00AA1C1A">
        <w:rPr>
          <w:rFonts w:ascii="Arial" w:hAnsi="Arial" w:cs="Arial"/>
          <w:sz w:val="22"/>
          <w:szCs w:val="22"/>
        </w:rPr>
        <w:t xml:space="preserve">clinical </w:t>
      </w:r>
      <w:r w:rsidRPr="00620AF0">
        <w:rPr>
          <w:rFonts w:ascii="Arial" w:hAnsi="Arial" w:cs="Arial"/>
          <w:sz w:val="22"/>
          <w:szCs w:val="22"/>
        </w:rPr>
        <w:t xml:space="preserve">data with </w:t>
      </w:r>
      <w:r w:rsidR="00F44B04">
        <w:rPr>
          <w:rFonts w:ascii="Arial" w:hAnsi="Arial" w:cs="Arial"/>
          <w:sz w:val="22"/>
          <w:szCs w:val="22"/>
        </w:rPr>
        <w:t xml:space="preserve">MEKINIST </w:t>
      </w:r>
      <w:r w:rsidRPr="00620AF0">
        <w:rPr>
          <w:rFonts w:ascii="Arial" w:hAnsi="Arial" w:cs="Arial"/>
          <w:sz w:val="22"/>
          <w:szCs w:val="22"/>
        </w:rPr>
        <w:t xml:space="preserve">in patients with severe renal impairment; therefore, the potential need for starting dose adjustment cannot be determined. </w:t>
      </w:r>
      <w:r w:rsidR="000810CE" w:rsidRPr="00620AF0">
        <w:rPr>
          <w:rFonts w:ascii="Arial" w:hAnsi="Arial" w:cs="Arial"/>
          <w:sz w:val="22"/>
          <w:szCs w:val="22"/>
        </w:rPr>
        <w:t>MEKINIST</w:t>
      </w:r>
      <w:r w:rsidRPr="00620AF0">
        <w:rPr>
          <w:rFonts w:ascii="Arial" w:hAnsi="Arial" w:cs="Arial"/>
          <w:sz w:val="22"/>
          <w:szCs w:val="22"/>
        </w:rPr>
        <w:t xml:space="preserve"> should be used with caution in patients with severe renal impairment.</w:t>
      </w:r>
    </w:p>
    <w:p w:rsidR="00445972" w:rsidRPr="00620AF0" w:rsidRDefault="003B5747" w:rsidP="00445972">
      <w:pPr>
        <w:spacing w:after="120" w:line="240" w:lineRule="atLeast"/>
        <w:rPr>
          <w:rFonts w:ascii="Arial" w:eastAsia="MS Mincho" w:hAnsi="Arial" w:cs="Arial"/>
          <w:b/>
          <w:i/>
          <w:sz w:val="22"/>
          <w:szCs w:val="22"/>
        </w:rPr>
      </w:pPr>
      <w:r>
        <w:rPr>
          <w:rFonts w:ascii="Arial" w:eastAsia="MS Mincho" w:hAnsi="Arial" w:cs="Arial"/>
          <w:b/>
          <w:i/>
          <w:sz w:val="22"/>
          <w:szCs w:val="22"/>
        </w:rPr>
        <w:br w:type="page"/>
      </w:r>
      <w:r w:rsidR="00445972" w:rsidRPr="00620AF0">
        <w:rPr>
          <w:rFonts w:ascii="Arial" w:eastAsia="MS Mincho" w:hAnsi="Arial" w:cs="Arial"/>
          <w:b/>
          <w:i/>
          <w:sz w:val="22"/>
          <w:szCs w:val="22"/>
        </w:rPr>
        <w:lastRenderedPageBreak/>
        <w:t>Hepatic impairment</w:t>
      </w:r>
    </w:p>
    <w:p w:rsidR="0042059D" w:rsidRPr="00620AF0" w:rsidRDefault="00D912E7" w:rsidP="0042059D">
      <w:pPr>
        <w:spacing w:after="120" w:line="240" w:lineRule="atLeast"/>
        <w:rPr>
          <w:rFonts w:ascii="Arial" w:hAnsi="Arial" w:cs="Arial"/>
          <w:sz w:val="22"/>
          <w:szCs w:val="22"/>
        </w:rPr>
      </w:pPr>
      <w:r>
        <w:rPr>
          <w:rFonts w:ascii="Arial" w:hAnsi="Arial" w:cs="Arial"/>
          <w:sz w:val="22"/>
          <w:szCs w:val="22"/>
        </w:rPr>
        <w:t>No dosage adjustment is</w:t>
      </w:r>
      <w:r w:rsidR="0042059D" w:rsidRPr="00620AF0">
        <w:rPr>
          <w:rFonts w:ascii="Arial" w:hAnsi="Arial" w:cs="Arial"/>
          <w:sz w:val="22"/>
          <w:szCs w:val="22"/>
        </w:rPr>
        <w:t xml:space="preserve"> required in patients with mild hepatic impairment. In a population pharma</w:t>
      </w:r>
      <w:r>
        <w:rPr>
          <w:rFonts w:ascii="Arial" w:hAnsi="Arial" w:cs="Arial"/>
          <w:sz w:val="22"/>
          <w:szCs w:val="22"/>
        </w:rPr>
        <w:t xml:space="preserve">cokinetic analysis, </w:t>
      </w:r>
      <w:r w:rsidR="0042059D" w:rsidRPr="00620AF0">
        <w:rPr>
          <w:rFonts w:ascii="Arial" w:hAnsi="Arial" w:cs="Arial"/>
          <w:sz w:val="22"/>
          <w:szCs w:val="22"/>
        </w:rPr>
        <w:t xml:space="preserve">MEKINIST oral clearance and thus exposure was not significantly different in patients with mild hepatic impairment compared to patients with normal hepatic function (see </w:t>
      </w:r>
      <w:r w:rsidR="0052430D" w:rsidRPr="00620AF0">
        <w:rPr>
          <w:rFonts w:ascii="Arial" w:hAnsi="Arial" w:cs="Arial"/>
          <w:sz w:val="22"/>
          <w:szCs w:val="22"/>
        </w:rPr>
        <w:t>PHARMACOKINETICS</w:t>
      </w:r>
      <w:r w:rsidR="0042059D" w:rsidRPr="00620AF0">
        <w:rPr>
          <w:rFonts w:ascii="Arial" w:hAnsi="Arial" w:cs="Arial"/>
          <w:sz w:val="22"/>
          <w:szCs w:val="22"/>
        </w:rPr>
        <w:t xml:space="preserve">). </w:t>
      </w:r>
    </w:p>
    <w:p w:rsidR="0042059D" w:rsidRDefault="0042059D" w:rsidP="0042059D">
      <w:pPr>
        <w:spacing w:after="120" w:line="240" w:lineRule="atLeast"/>
        <w:rPr>
          <w:rFonts w:ascii="Arial" w:hAnsi="Arial" w:cs="Arial"/>
          <w:sz w:val="22"/>
          <w:szCs w:val="22"/>
        </w:rPr>
      </w:pPr>
      <w:r w:rsidRPr="00620AF0">
        <w:rPr>
          <w:rFonts w:ascii="Arial" w:hAnsi="Arial" w:cs="Arial"/>
          <w:sz w:val="22"/>
          <w:szCs w:val="22"/>
        </w:rPr>
        <w:t>There are no clinical data in patients with moderate or severe hepatic impairment; therefore, the potential need for starting dose adjustment c</w:t>
      </w:r>
      <w:r w:rsidR="00D912E7">
        <w:rPr>
          <w:rFonts w:ascii="Arial" w:hAnsi="Arial" w:cs="Arial"/>
          <w:sz w:val="22"/>
          <w:szCs w:val="22"/>
        </w:rPr>
        <w:t>annot be determined.  MEKINIST</w:t>
      </w:r>
      <w:r w:rsidR="00AA1C1A">
        <w:rPr>
          <w:rFonts w:ascii="Arial" w:hAnsi="Arial" w:cs="Arial"/>
          <w:sz w:val="22"/>
          <w:szCs w:val="22"/>
        </w:rPr>
        <w:t xml:space="preserve"> </w:t>
      </w:r>
      <w:r w:rsidRPr="00620AF0">
        <w:rPr>
          <w:rFonts w:ascii="Arial" w:hAnsi="Arial" w:cs="Arial"/>
          <w:sz w:val="22"/>
          <w:szCs w:val="22"/>
        </w:rPr>
        <w:t xml:space="preserve">should be used with caution in patients with moderate or severe hepatic impairment. </w:t>
      </w:r>
    </w:p>
    <w:p w:rsidR="001D275A" w:rsidRPr="00620AF0" w:rsidRDefault="001D275A" w:rsidP="00445972">
      <w:pPr>
        <w:spacing w:after="120" w:line="240" w:lineRule="atLeast"/>
        <w:rPr>
          <w:rFonts w:ascii="Arial" w:hAnsi="Arial" w:cs="Arial"/>
          <w:sz w:val="22"/>
          <w:szCs w:val="22"/>
        </w:rPr>
      </w:pPr>
    </w:p>
    <w:p w:rsidR="000B3F7C" w:rsidRPr="00620AF0" w:rsidRDefault="0077380F" w:rsidP="00E8070F">
      <w:pPr>
        <w:spacing w:before="120" w:after="240"/>
        <w:jc w:val="both"/>
        <w:rPr>
          <w:rFonts w:ascii="Arial" w:hAnsi="Arial" w:cs="Arial"/>
          <w:b/>
          <w:sz w:val="22"/>
          <w:szCs w:val="22"/>
        </w:rPr>
      </w:pPr>
      <w:r w:rsidRPr="00620AF0">
        <w:rPr>
          <w:rFonts w:ascii="Arial" w:hAnsi="Arial" w:cs="Arial"/>
          <w:b/>
          <w:sz w:val="22"/>
          <w:szCs w:val="22"/>
        </w:rPr>
        <w:t>O</w:t>
      </w:r>
      <w:smartTag w:uri="schemas-GSKSiteLocations-com/fourthcoffee" w:element="flavor">
        <w:r w:rsidRPr="00620AF0">
          <w:rPr>
            <w:rFonts w:ascii="Arial" w:hAnsi="Arial" w:cs="Arial"/>
            <w:b/>
            <w:sz w:val="22"/>
            <w:szCs w:val="22"/>
          </w:rPr>
          <w:t>VER</w:t>
        </w:r>
      </w:smartTag>
      <w:r w:rsidRPr="00620AF0">
        <w:rPr>
          <w:rFonts w:ascii="Arial" w:hAnsi="Arial" w:cs="Arial"/>
          <w:b/>
          <w:sz w:val="22"/>
          <w:szCs w:val="22"/>
        </w:rPr>
        <w:t>DOSAGE</w:t>
      </w:r>
    </w:p>
    <w:p w:rsidR="000771AF" w:rsidRPr="00620AF0" w:rsidRDefault="000771AF" w:rsidP="000771AF">
      <w:pPr>
        <w:spacing w:after="120" w:line="240" w:lineRule="atLeast"/>
        <w:rPr>
          <w:rFonts w:ascii="Arial" w:hAnsi="Arial" w:cs="Arial"/>
          <w:b/>
          <w:sz w:val="22"/>
          <w:szCs w:val="22"/>
        </w:rPr>
      </w:pPr>
      <w:r w:rsidRPr="00620AF0">
        <w:rPr>
          <w:rFonts w:ascii="Arial" w:hAnsi="Arial" w:cs="Arial"/>
          <w:b/>
          <w:sz w:val="22"/>
          <w:szCs w:val="22"/>
        </w:rPr>
        <w:t>Symptoms and Signs</w:t>
      </w:r>
    </w:p>
    <w:p w:rsidR="0042059D" w:rsidRPr="00620AF0" w:rsidRDefault="000771AF" w:rsidP="000771AF">
      <w:pPr>
        <w:spacing w:after="120" w:line="240" w:lineRule="atLeast"/>
        <w:rPr>
          <w:rFonts w:ascii="Arial" w:hAnsi="Arial" w:cs="Arial"/>
          <w:sz w:val="22"/>
          <w:szCs w:val="22"/>
        </w:rPr>
      </w:pPr>
      <w:r w:rsidRPr="00620AF0">
        <w:rPr>
          <w:rFonts w:ascii="Arial" w:hAnsi="Arial" w:cs="Arial"/>
          <w:sz w:val="22"/>
          <w:szCs w:val="22"/>
        </w:rPr>
        <w:t xml:space="preserve">There were no cases of </w:t>
      </w:r>
      <w:r w:rsidR="000810CE" w:rsidRPr="00620AF0">
        <w:rPr>
          <w:rFonts w:ascii="Arial" w:hAnsi="Arial" w:cs="Arial"/>
          <w:sz w:val="22"/>
          <w:szCs w:val="22"/>
        </w:rPr>
        <w:t>MEKINIST</w:t>
      </w:r>
      <w:r w:rsidRPr="00620AF0">
        <w:rPr>
          <w:rFonts w:ascii="Arial" w:hAnsi="Arial" w:cs="Arial"/>
          <w:sz w:val="22"/>
          <w:szCs w:val="22"/>
        </w:rPr>
        <w:t xml:space="preserve"> </w:t>
      </w:r>
      <w:r w:rsidR="00AA1C1A">
        <w:rPr>
          <w:rFonts w:ascii="Arial" w:hAnsi="Arial" w:cs="Arial"/>
          <w:sz w:val="22"/>
          <w:szCs w:val="22"/>
        </w:rPr>
        <w:t>dose above 4mg once daily</w:t>
      </w:r>
      <w:r w:rsidRPr="00620AF0">
        <w:rPr>
          <w:rFonts w:ascii="Arial" w:hAnsi="Arial" w:cs="Arial"/>
          <w:sz w:val="22"/>
          <w:szCs w:val="22"/>
        </w:rPr>
        <w:t xml:space="preserve"> reported from the clinical trials. Doses of up to 4 mg orally once daily</w:t>
      </w:r>
      <w:r w:rsidR="0095195B">
        <w:rPr>
          <w:rFonts w:ascii="Arial" w:hAnsi="Arial" w:cs="Arial"/>
          <w:sz w:val="22"/>
          <w:szCs w:val="22"/>
        </w:rPr>
        <w:t>,</w:t>
      </w:r>
      <w:r w:rsidRPr="00620AF0">
        <w:rPr>
          <w:rFonts w:ascii="Arial" w:hAnsi="Arial" w:cs="Arial"/>
          <w:sz w:val="22"/>
          <w:szCs w:val="22"/>
        </w:rPr>
        <w:t xml:space="preserve"> and loading doses of 10 mg orally once daily admin</w:t>
      </w:r>
      <w:r w:rsidR="0095195B">
        <w:rPr>
          <w:rFonts w:ascii="Arial" w:hAnsi="Arial" w:cs="Arial"/>
          <w:sz w:val="22"/>
          <w:szCs w:val="22"/>
        </w:rPr>
        <w:t>istered on two consecutive days</w:t>
      </w:r>
      <w:r w:rsidRPr="00620AF0">
        <w:rPr>
          <w:rFonts w:ascii="Arial" w:hAnsi="Arial" w:cs="Arial"/>
          <w:sz w:val="22"/>
          <w:szCs w:val="22"/>
        </w:rPr>
        <w:t xml:space="preserve"> have been evaluated in clinical trials. </w:t>
      </w:r>
    </w:p>
    <w:p w:rsidR="000771AF" w:rsidRPr="00620AF0" w:rsidRDefault="000771AF" w:rsidP="000771AF">
      <w:pPr>
        <w:spacing w:after="120" w:line="240" w:lineRule="atLeast"/>
        <w:rPr>
          <w:rFonts w:ascii="Arial" w:hAnsi="Arial" w:cs="Arial"/>
          <w:b/>
          <w:sz w:val="22"/>
          <w:szCs w:val="22"/>
        </w:rPr>
      </w:pPr>
      <w:r w:rsidRPr="00620AF0">
        <w:rPr>
          <w:rFonts w:ascii="Arial" w:hAnsi="Arial" w:cs="Arial"/>
          <w:b/>
          <w:sz w:val="22"/>
          <w:szCs w:val="22"/>
        </w:rPr>
        <w:t>Treatment</w:t>
      </w:r>
    </w:p>
    <w:p w:rsidR="000771AF" w:rsidRPr="00620AF0" w:rsidRDefault="000771AF" w:rsidP="000771AF">
      <w:pPr>
        <w:spacing w:after="120" w:line="240" w:lineRule="atLeast"/>
        <w:rPr>
          <w:rFonts w:ascii="Arial" w:eastAsia="MS Mincho" w:hAnsi="Arial" w:cs="Arial"/>
          <w:sz w:val="22"/>
          <w:szCs w:val="22"/>
        </w:rPr>
      </w:pPr>
      <w:r w:rsidRPr="00620AF0">
        <w:rPr>
          <w:rFonts w:ascii="Arial" w:hAnsi="Arial" w:cs="Arial"/>
          <w:sz w:val="22"/>
          <w:szCs w:val="22"/>
        </w:rPr>
        <w:t xml:space="preserve">Further management should be as clinically indicated or as recommended by the national poisons centre, where available. There is no specific treatment for an overdose of </w:t>
      </w:r>
      <w:r w:rsidR="00F94223">
        <w:rPr>
          <w:rFonts w:ascii="Arial" w:hAnsi="Arial" w:cs="Arial"/>
          <w:sz w:val="22"/>
          <w:szCs w:val="22"/>
        </w:rPr>
        <w:t>MEKINIS</w:t>
      </w:r>
      <w:r w:rsidR="0095195B">
        <w:rPr>
          <w:rFonts w:ascii="Arial" w:hAnsi="Arial" w:cs="Arial"/>
          <w:sz w:val="22"/>
          <w:szCs w:val="22"/>
        </w:rPr>
        <w:t>T</w:t>
      </w:r>
      <w:r w:rsidRPr="00620AF0">
        <w:rPr>
          <w:rFonts w:ascii="Arial" w:hAnsi="Arial" w:cs="Arial"/>
          <w:sz w:val="22"/>
          <w:szCs w:val="22"/>
        </w:rPr>
        <w:t xml:space="preserve">. If overdose occurs, the patient should be treated supportively with appropriate monitoring as necessary. Haemodialysis is not expected to enhance the elimination as </w:t>
      </w:r>
      <w:r w:rsidR="000810CE" w:rsidRPr="00620AF0">
        <w:rPr>
          <w:rFonts w:ascii="Arial" w:hAnsi="Arial" w:cs="Arial"/>
          <w:sz w:val="22"/>
          <w:szCs w:val="22"/>
        </w:rPr>
        <w:t>MEKINIST</w:t>
      </w:r>
      <w:r w:rsidR="00F94223">
        <w:rPr>
          <w:rFonts w:ascii="Arial" w:hAnsi="Arial" w:cs="Arial"/>
          <w:sz w:val="22"/>
          <w:szCs w:val="22"/>
        </w:rPr>
        <w:t xml:space="preserve"> is</w:t>
      </w:r>
      <w:r w:rsidRPr="00620AF0">
        <w:rPr>
          <w:rFonts w:ascii="Arial" w:hAnsi="Arial" w:cs="Arial"/>
          <w:sz w:val="22"/>
          <w:szCs w:val="22"/>
        </w:rPr>
        <w:t xml:space="preserve"> highly bound to plasma proteins.  </w:t>
      </w:r>
    </w:p>
    <w:p w:rsidR="00EC63DC" w:rsidRDefault="004F640B" w:rsidP="00E869DF">
      <w:pPr>
        <w:pStyle w:val="NormalWeb"/>
      </w:pPr>
      <w:r w:rsidRPr="00620AF0">
        <w:rPr>
          <w:rFonts w:ascii="Arial" w:hAnsi="Arial" w:cs="Arial"/>
          <w:sz w:val="22"/>
          <w:szCs w:val="22"/>
        </w:rPr>
        <w:t>For information on the management of overdose, contact the Poison Information Centre on 131126 (Australia).</w:t>
      </w:r>
    </w:p>
    <w:p w:rsidR="0077380F" w:rsidRPr="00620AF0" w:rsidRDefault="0077380F" w:rsidP="00D21521">
      <w:pPr>
        <w:spacing w:before="120" w:after="240"/>
        <w:jc w:val="both"/>
        <w:rPr>
          <w:rFonts w:ascii="Arial" w:hAnsi="Arial" w:cs="Arial"/>
          <w:b/>
          <w:sz w:val="22"/>
          <w:szCs w:val="22"/>
        </w:rPr>
      </w:pPr>
      <w:r w:rsidRPr="00620AF0">
        <w:rPr>
          <w:rFonts w:ascii="Arial" w:hAnsi="Arial" w:cs="Arial"/>
          <w:b/>
          <w:sz w:val="22"/>
          <w:szCs w:val="22"/>
        </w:rPr>
        <w:t xml:space="preserve">PRESENTATION </w:t>
      </w:r>
      <w:smartTag w:uri="urn:schemas-microsoft-com:office:smarttags" w:element="stockticker">
        <w:r w:rsidRPr="00620AF0">
          <w:rPr>
            <w:rFonts w:ascii="Arial" w:hAnsi="Arial" w:cs="Arial"/>
            <w:b/>
            <w:sz w:val="22"/>
            <w:szCs w:val="22"/>
          </w:rPr>
          <w:t>AND</w:t>
        </w:r>
      </w:smartTag>
      <w:r w:rsidRPr="00620AF0">
        <w:rPr>
          <w:rFonts w:ascii="Arial" w:hAnsi="Arial" w:cs="Arial"/>
          <w:b/>
          <w:sz w:val="22"/>
          <w:szCs w:val="22"/>
        </w:rPr>
        <w:t xml:space="preserve"> STORAGE CONDITIONS</w:t>
      </w:r>
    </w:p>
    <w:p w:rsidR="00DE0935" w:rsidRPr="00620AF0" w:rsidRDefault="00C80CFA" w:rsidP="00C14C07">
      <w:pPr>
        <w:pStyle w:val="LBLBulletStyle1"/>
        <w:numPr>
          <w:ilvl w:val="0"/>
          <w:numId w:val="0"/>
        </w:numPr>
        <w:spacing w:after="120" w:line="240" w:lineRule="atLeast"/>
        <w:rPr>
          <w:rFonts w:ascii="Arial" w:hAnsi="Arial" w:cs="Arial"/>
          <w:sz w:val="22"/>
          <w:szCs w:val="22"/>
        </w:rPr>
      </w:pPr>
      <w:r w:rsidRPr="00620AF0">
        <w:rPr>
          <w:rFonts w:ascii="Arial" w:hAnsi="Arial" w:cs="Arial"/>
          <w:b/>
          <w:sz w:val="22"/>
          <w:szCs w:val="22"/>
        </w:rPr>
        <w:t xml:space="preserve">The </w:t>
      </w:r>
      <w:r w:rsidR="000771AF" w:rsidRPr="00620AF0">
        <w:rPr>
          <w:rFonts w:ascii="Arial" w:hAnsi="Arial" w:cs="Arial"/>
          <w:b/>
          <w:sz w:val="22"/>
          <w:szCs w:val="22"/>
        </w:rPr>
        <w:t>MEKINIST 0.5</w:t>
      </w:r>
      <w:r w:rsidR="00DE0935" w:rsidRPr="00620AF0">
        <w:rPr>
          <w:rFonts w:ascii="Arial" w:hAnsi="Arial" w:cs="Arial"/>
          <w:b/>
          <w:sz w:val="22"/>
          <w:szCs w:val="22"/>
        </w:rPr>
        <w:t xml:space="preserve"> mg </w:t>
      </w:r>
      <w:r w:rsidR="000771AF" w:rsidRPr="00620AF0">
        <w:rPr>
          <w:rFonts w:ascii="Arial" w:hAnsi="Arial" w:cs="Arial"/>
          <w:b/>
          <w:sz w:val="22"/>
          <w:szCs w:val="22"/>
        </w:rPr>
        <w:t>tablets</w:t>
      </w:r>
      <w:r w:rsidR="00C14C07" w:rsidRPr="00620AF0">
        <w:rPr>
          <w:rFonts w:ascii="Arial" w:hAnsi="Arial" w:cs="Arial"/>
          <w:sz w:val="22"/>
          <w:szCs w:val="22"/>
        </w:rPr>
        <w:t xml:space="preserve"> </w:t>
      </w:r>
      <w:r w:rsidR="00D21521" w:rsidRPr="00620AF0">
        <w:rPr>
          <w:rFonts w:ascii="Arial" w:hAnsi="Arial" w:cs="Arial"/>
          <w:sz w:val="22"/>
          <w:szCs w:val="22"/>
        </w:rPr>
        <w:t xml:space="preserve">are, </w:t>
      </w:r>
      <w:r w:rsidR="00C14C07" w:rsidRPr="00620AF0">
        <w:rPr>
          <w:rFonts w:ascii="Arial" w:hAnsi="Arial" w:cs="Arial"/>
          <w:sz w:val="22"/>
          <w:szCs w:val="22"/>
        </w:rPr>
        <w:t>yellow, modified oval, biconvex, film-coated tablets with ‘GS’ debossed on one face and ‘TFC’ on the opposing face</w:t>
      </w:r>
      <w:r w:rsidR="00D21521" w:rsidRPr="00620AF0">
        <w:rPr>
          <w:rFonts w:ascii="Arial" w:hAnsi="Arial" w:cs="Arial"/>
          <w:sz w:val="22"/>
          <w:szCs w:val="22"/>
        </w:rPr>
        <w:t xml:space="preserve">. The </w:t>
      </w:r>
      <w:r w:rsidR="00C14C07" w:rsidRPr="00620AF0">
        <w:rPr>
          <w:rFonts w:ascii="Arial" w:hAnsi="Arial" w:cs="Arial"/>
          <w:sz w:val="22"/>
          <w:szCs w:val="22"/>
        </w:rPr>
        <w:t>MEKINIST 0.5</w:t>
      </w:r>
      <w:r w:rsidR="00D21521" w:rsidRPr="00620AF0">
        <w:rPr>
          <w:rFonts w:ascii="Arial" w:hAnsi="Arial" w:cs="Arial"/>
          <w:sz w:val="22"/>
          <w:szCs w:val="22"/>
        </w:rPr>
        <w:t xml:space="preserve"> mg </w:t>
      </w:r>
      <w:r w:rsidR="00C14C07" w:rsidRPr="00620AF0">
        <w:rPr>
          <w:rFonts w:ascii="Arial" w:hAnsi="Arial" w:cs="Arial"/>
          <w:sz w:val="22"/>
          <w:szCs w:val="22"/>
        </w:rPr>
        <w:t>tablets</w:t>
      </w:r>
      <w:r w:rsidR="00D21521" w:rsidRPr="00620AF0">
        <w:rPr>
          <w:rFonts w:ascii="Arial" w:hAnsi="Arial" w:cs="Arial"/>
          <w:sz w:val="22"/>
          <w:szCs w:val="22"/>
        </w:rPr>
        <w:t xml:space="preserve"> are supplied in h</w:t>
      </w:r>
      <w:r w:rsidR="00DE0935" w:rsidRPr="00620AF0">
        <w:rPr>
          <w:rFonts w:ascii="Arial" w:hAnsi="Arial" w:cs="Arial"/>
          <w:sz w:val="22"/>
          <w:szCs w:val="22"/>
        </w:rPr>
        <w:t xml:space="preserve">igh-density polyethylene (HDPE) bottles with child resistant polypropylene closures containing </w:t>
      </w:r>
      <w:r w:rsidR="00C14C07" w:rsidRPr="00620AF0">
        <w:rPr>
          <w:rFonts w:ascii="Arial" w:hAnsi="Arial" w:cs="Arial"/>
          <w:sz w:val="22"/>
          <w:szCs w:val="22"/>
        </w:rPr>
        <w:t>7 or 30 tablets</w:t>
      </w:r>
      <w:r w:rsidR="00DE0935" w:rsidRPr="00620AF0">
        <w:rPr>
          <w:rFonts w:ascii="Arial" w:hAnsi="Arial" w:cs="Arial"/>
          <w:sz w:val="22"/>
          <w:szCs w:val="22"/>
        </w:rPr>
        <w:t>.</w:t>
      </w:r>
      <w:r w:rsidR="00620AF0" w:rsidRPr="00620AF0">
        <w:rPr>
          <w:rFonts w:ascii="Arial" w:hAnsi="Arial" w:cs="Arial"/>
          <w:sz w:val="22"/>
          <w:szCs w:val="22"/>
        </w:rPr>
        <w:t xml:space="preserve"> This product is packaged with a desiccant.</w:t>
      </w:r>
    </w:p>
    <w:p w:rsidR="00620AF0" w:rsidRPr="00620AF0" w:rsidRDefault="00C14C07" w:rsidP="00620AF0">
      <w:pPr>
        <w:pStyle w:val="LBLBulletStyle1"/>
        <w:numPr>
          <w:ilvl w:val="0"/>
          <w:numId w:val="0"/>
        </w:numPr>
        <w:spacing w:after="120" w:line="240" w:lineRule="atLeast"/>
        <w:rPr>
          <w:rFonts w:ascii="Arial" w:hAnsi="Arial" w:cs="Arial"/>
          <w:sz w:val="22"/>
          <w:szCs w:val="22"/>
        </w:rPr>
      </w:pPr>
      <w:r w:rsidRPr="00620AF0">
        <w:rPr>
          <w:rFonts w:ascii="Arial" w:hAnsi="Arial" w:cs="Arial"/>
          <w:b/>
          <w:sz w:val="22"/>
          <w:szCs w:val="22"/>
        </w:rPr>
        <w:t>The MEKINIST 1 mg tablets</w:t>
      </w:r>
      <w:r w:rsidRPr="00620AF0">
        <w:rPr>
          <w:rFonts w:ascii="Arial" w:hAnsi="Arial" w:cs="Arial"/>
          <w:sz w:val="22"/>
          <w:szCs w:val="22"/>
        </w:rPr>
        <w:t xml:space="preserve">  are, white, round, biconvex, film-coated tablets with ‘GS’ debossed on one face and ‘LHE’ on the opposing face. The MEKINIST 1 mg tablets are supplied in high-density polyethylene (HDPE) bottles with child resistant polypropylene closures containing 7 or 30 tablets.</w:t>
      </w:r>
      <w:r w:rsidR="00620AF0" w:rsidRPr="00620AF0">
        <w:rPr>
          <w:rFonts w:ascii="Arial" w:hAnsi="Arial" w:cs="Arial"/>
          <w:sz w:val="22"/>
          <w:szCs w:val="22"/>
        </w:rPr>
        <w:t xml:space="preserve"> This product is packaged with a desiccant.</w:t>
      </w:r>
    </w:p>
    <w:p w:rsidR="00620AF0" w:rsidRPr="00620AF0" w:rsidRDefault="00C14C07" w:rsidP="00620AF0">
      <w:pPr>
        <w:pStyle w:val="LBLBulletStyle1"/>
        <w:numPr>
          <w:ilvl w:val="0"/>
          <w:numId w:val="0"/>
        </w:numPr>
        <w:spacing w:after="120" w:line="240" w:lineRule="atLeast"/>
        <w:rPr>
          <w:rFonts w:ascii="Arial" w:hAnsi="Arial" w:cs="Arial"/>
          <w:sz w:val="22"/>
          <w:szCs w:val="22"/>
        </w:rPr>
      </w:pPr>
      <w:r w:rsidRPr="00620AF0">
        <w:rPr>
          <w:rFonts w:ascii="Arial" w:hAnsi="Arial" w:cs="Arial"/>
          <w:b/>
          <w:sz w:val="22"/>
          <w:szCs w:val="22"/>
        </w:rPr>
        <w:t>The MEKINIST 2 mg tablets</w:t>
      </w:r>
      <w:r w:rsidRPr="00620AF0">
        <w:rPr>
          <w:rFonts w:ascii="Arial" w:hAnsi="Arial" w:cs="Arial"/>
          <w:sz w:val="22"/>
          <w:szCs w:val="22"/>
        </w:rPr>
        <w:t xml:space="preserve">  are, pink, round, biconvex, film-coated tablets with ‘GS’ debossed on one face and ‘HMJ’ on the opposing face. The MEKINIST 2 mg tablets are supplied in high-density polyethylene (HDPE) bottles with child resistant polypropylene closures containing 7 or 30 tablets.</w:t>
      </w:r>
      <w:r w:rsidR="00620AF0" w:rsidRPr="00620AF0">
        <w:rPr>
          <w:rFonts w:ascii="Arial" w:hAnsi="Arial" w:cs="Arial"/>
          <w:sz w:val="22"/>
          <w:szCs w:val="22"/>
        </w:rPr>
        <w:t xml:space="preserve"> This product is packaged with a desiccant.</w:t>
      </w:r>
    </w:p>
    <w:p w:rsidR="003538E9" w:rsidRPr="00620AF0" w:rsidRDefault="003538E9" w:rsidP="00B257D8">
      <w:pPr>
        <w:pStyle w:val="LBLBulletStyle1"/>
        <w:numPr>
          <w:ilvl w:val="0"/>
          <w:numId w:val="0"/>
        </w:numPr>
        <w:spacing w:after="120" w:line="240" w:lineRule="atLeast"/>
        <w:rPr>
          <w:rFonts w:ascii="Arial" w:hAnsi="Arial" w:cs="Arial"/>
          <w:sz w:val="22"/>
          <w:szCs w:val="22"/>
          <w:highlight w:val="yellow"/>
        </w:rPr>
      </w:pPr>
    </w:p>
    <w:p w:rsidR="003538E9" w:rsidRPr="00620AF0" w:rsidRDefault="00E8070F" w:rsidP="00B257D8">
      <w:pPr>
        <w:spacing w:after="120" w:line="240" w:lineRule="atLeast"/>
        <w:jc w:val="both"/>
        <w:rPr>
          <w:rFonts w:ascii="Arial" w:hAnsi="Arial" w:cs="Arial"/>
          <w:i/>
          <w:sz w:val="22"/>
          <w:szCs w:val="22"/>
        </w:rPr>
      </w:pPr>
      <w:r w:rsidRPr="00620AF0">
        <w:rPr>
          <w:rFonts w:ascii="Arial" w:hAnsi="Arial" w:cs="Arial"/>
          <w:i/>
          <w:sz w:val="22"/>
          <w:szCs w:val="22"/>
        </w:rPr>
        <w:t xml:space="preserve">Not all </w:t>
      </w:r>
      <w:r w:rsidR="0095734D" w:rsidRPr="00620AF0">
        <w:rPr>
          <w:rFonts w:ascii="Arial" w:hAnsi="Arial" w:cs="Arial"/>
          <w:i/>
          <w:sz w:val="22"/>
          <w:szCs w:val="22"/>
        </w:rPr>
        <w:t xml:space="preserve">pack sizes, </w:t>
      </w:r>
      <w:r w:rsidRPr="00620AF0">
        <w:rPr>
          <w:rFonts w:ascii="Arial" w:hAnsi="Arial" w:cs="Arial"/>
          <w:i/>
          <w:sz w:val="22"/>
          <w:szCs w:val="22"/>
        </w:rPr>
        <w:t>may</w:t>
      </w:r>
      <w:r w:rsidR="0095734D" w:rsidRPr="00620AF0">
        <w:rPr>
          <w:rFonts w:ascii="Arial" w:hAnsi="Arial" w:cs="Arial"/>
          <w:i/>
          <w:sz w:val="22"/>
          <w:szCs w:val="22"/>
        </w:rPr>
        <w:t xml:space="preserve"> </w:t>
      </w:r>
      <w:r w:rsidRPr="00620AF0">
        <w:rPr>
          <w:rFonts w:ascii="Arial" w:hAnsi="Arial" w:cs="Arial"/>
          <w:i/>
          <w:sz w:val="22"/>
          <w:szCs w:val="22"/>
        </w:rPr>
        <w:t xml:space="preserve">be </w:t>
      </w:r>
      <w:r w:rsidR="0095734D" w:rsidRPr="00620AF0">
        <w:rPr>
          <w:rFonts w:ascii="Arial" w:hAnsi="Arial" w:cs="Arial"/>
          <w:i/>
          <w:sz w:val="22"/>
          <w:szCs w:val="22"/>
        </w:rPr>
        <w:t>distributed</w:t>
      </w:r>
      <w:r w:rsidRPr="00620AF0">
        <w:rPr>
          <w:rFonts w:ascii="Arial" w:hAnsi="Arial" w:cs="Arial"/>
          <w:i/>
          <w:sz w:val="22"/>
          <w:szCs w:val="22"/>
        </w:rPr>
        <w:t xml:space="preserve"> in Australia.</w:t>
      </w:r>
      <w:r w:rsidR="0095734D" w:rsidRPr="00620AF0">
        <w:rPr>
          <w:rFonts w:ascii="Arial" w:hAnsi="Arial" w:cs="Arial"/>
          <w:i/>
          <w:sz w:val="22"/>
          <w:szCs w:val="22"/>
        </w:rPr>
        <w:t xml:space="preserve"> </w:t>
      </w:r>
    </w:p>
    <w:p w:rsidR="00B257D8" w:rsidRPr="00620AF0" w:rsidRDefault="00B257D8" w:rsidP="003538E9">
      <w:pPr>
        <w:spacing w:after="120" w:line="240" w:lineRule="atLeast"/>
        <w:jc w:val="both"/>
        <w:rPr>
          <w:rFonts w:ascii="Arial" w:hAnsi="Arial" w:cs="Arial"/>
          <w:b/>
          <w:sz w:val="22"/>
          <w:szCs w:val="22"/>
        </w:rPr>
      </w:pPr>
    </w:p>
    <w:p w:rsidR="00C14C07" w:rsidRPr="00620AF0" w:rsidRDefault="00C14C07" w:rsidP="00B257D8">
      <w:pPr>
        <w:spacing w:before="120" w:after="120" w:line="240" w:lineRule="atLeast"/>
        <w:jc w:val="both"/>
        <w:rPr>
          <w:rFonts w:ascii="Arial" w:hAnsi="Arial" w:cs="Arial"/>
          <w:b/>
          <w:sz w:val="22"/>
          <w:szCs w:val="22"/>
        </w:rPr>
      </w:pPr>
      <w:r w:rsidRPr="00620AF0">
        <w:rPr>
          <w:rFonts w:ascii="Arial" w:hAnsi="Arial" w:cs="Arial"/>
          <w:b/>
          <w:sz w:val="22"/>
          <w:szCs w:val="22"/>
        </w:rPr>
        <w:t>Storage Conditions</w:t>
      </w:r>
    </w:p>
    <w:p w:rsidR="0000277A" w:rsidRPr="0000277A" w:rsidRDefault="0000277A" w:rsidP="0000277A">
      <w:pPr>
        <w:spacing w:before="120" w:after="120" w:line="240" w:lineRule="atLeast"/>
        <w:jc w:val="both"/>
        <w:rPr>
          <w:rFonts w:ascii="Arial" w:hAnsi="Arial" w:cs="Arial"/>
          <w:sz w:val="22"/>
          <w:szCs w:val="22"/>
          <w:lang w:val="en-US"/>
        </w:rPr>
      </w:pPr>
      <w:r w:rsidRPr="0000277A">
        <w:rPr>
          <w:rFonts w:ascii="Arial" w:hAnsi="Arial" w:cs="Arial"/>
          <w:bCs/>
          <w:sz w:val="22"/>
          <w:szCs w:val="22"/>
          <w:lang w:val="en-US"/>
        </w:rPr>
        <w:t xml:space="preserve">Store </w:t>
      </w:r>
      <w:r>
        <w:rPr>
          <w:rFonts w:ascii="Arial" w:hAnsi="Arial" w:cs="Arial"/>
          <w:sz w:val="22"/>
          <w:szCs w:val="22"/>
        </w:rPr>
        <w:t>2</w:t>
      </w:r>
      <w:r w:rsidRPr="00620AF0">
        <w:rPr>
          <w:rFonts w:ascii="Arial" w:hAnsi="Arial" w:cs="Arial"/>
          <w:sz w:val="22"/>
          <w:szCs w:val="22"/>
        </w:rPr>
        <w:t>°C</w:t>
      </w:r>
      <w:r>
        <w:rPr>
          <w:rFonts w:ascii="Arial" w:hAnsi="Arial" w:cs="Arial"/>
          <w:sz w:val="22"/>
          <w:szCs w:val="22"/>
        </w:rPr>
        <w:t xml:space="preserve"> to 8</w:t>
      </w:r>
      <w:r w:rsidRPr="00620AF0">
        <w:rPr>
          <w:rFonts w:ascii="Arial" w:hAnsi="Arial" w:cs="Arial"/>
          <w:sz w:val="22"/>
          <w:szCs w:val="22"/>
        </w:rPr>
        <w:t>°C</w:t>
      </w:r>
      <w:r w:rsidRPr="0000277A">
        <w:rPr>
          <w:rFonts w:ascii="Arial" w:hAnsi="Arial" w:cs="Arial"/>
          <w:bCs/>
          <w:sz w:val="22"/>
          <w:szCs w:val="22"/>
        </w:rPr>
        <w:t xml:space="preserve"> (Refrigerate. Do not freeze)</w:t>
      </w:r>
    </w:p>
    <w:p w:rsidR="0000277A" w:rsidRDefault="0000277A" w:rsidP="0000277A">
      <w:pPr>
        <w:spacing w:before="120" w:after="120" w:line="240" w:lineRule="atLeast"/>
        <w:jc w:val="both"/>
        <w:rPr>
          <w:rFonts w:ascii="Arial" w:hAnsi="Arial" w:cs="Arial"/>
          <w:bCs/>
          <w:sz w:val="22"/>
          <w:szCs w:val="22"/>
          <w:lang w:val="en-US"/>
        </w:rPr>
      </w:pPr>
      <w:r w:rsidRPr="0000277A">
        <w:rPr>
          <w:rFonts w:ascii="Arial" w:hAnsi="Arial" w:cs="Arial"/>
          <w:bCs/>
          <w:sz w:val="22"/>
          <w:szCs w:val="22"/>
          <w:lang w:val="en-US"/>
        </w:rPr>
        <w:lastRenderedPageBreak/>
        <w:t>Store in the original package to protect from light and moisture.  Keep the bottle tightly closed.  Do not remove the desiccant.</w:t>
      </w:r>
    </w:p>
    <w:p w:rsidR="00736C09" w:rsidRPr="0000277A" w:rsidRDefault="00736C09" w:rsidP="0000277A">
      <w:pPr>
        <w:spacing w:before="120" w:after="120" w:line="240" w:lineRule="atLeast"/>
        <w:jc w:val="both"/>
        <w:rPr>
          <w:rFonts w:ascii="Arial" w:hAnsi="Arial" w:cs="Arial"/>
          <w:bCs/>
          <w:sz w:val="22"/>
          <w:szCs w:val="22"/>
          <w:lang w:val="en-US"/>
        </w:rPr>
      </w:pPr>
      <w:r w:rsidRPr="00736C09">
        <w:rPr>
          <w:rFonts w:ascii="Arial" w:hAnsi="Arial" w:cs="Arial"/>
          <w:bCs/>
          <w:sz w:val="22"/>
          <w:szCs w:val="22"/>
          <w:lang w:val="en-US"/>
        </w:rPr>
        <w:t>In-use stability has been demonstrated for 30 days when stored up to 30°C</w:t>
      </w:r>
      <w:r>
        <w:rPr>
          <w:rFonts w:ascii="Arial" w:hAnsi="Arial" w:cs="Arial"/>
          <w:bCs/>
          <w:sz w:val="22"/>
          <w:szCs w:val="22"/>
          <w:lang w:val="en-US"/>
        </w:rPr>
        <w:t>.</w:t>
      </w:r>
    </w:p>
    <w:p w:rsidR="00957824" w:rsidRDefault="00957824" w:rsidP="00053893">
      <w:pPr>
        <w:spacing w:before="120" w:after="240"/>
        <w:jc w:val="both"/>
        <w:rPr>
          <w:rFonts w:ascii="Arial" w:hAnsi="Arial" w:cs="Arial"/>
          <w:b/>
          <w:sz w:val="22"/>
          <w:szCs w:val="22"/>
        </w:rPr>
      </w:pPr>
    </w:p>
    <w:p w:rsidR="0077380F" w:rsidRPr="00A06D92" w:rsidRDefault="0077380F" w:rsidP="00053893">
      <w:pPr>
        <w:spacing w:before="120" w:after="240"/>
        <w:jc w:val="both"/>
        <w:rPr>
          <w:rFonts w:ascii="Arial" w:hAnsi="Arial" w:cs="Arial"/>
          <w:b/>
          <w:sz w:val="22"/>
          <w:szCs w:val="22"/>
        </w:rPr>
      </w:pPr>
      <w:r w:rsidRPr="00A06D92">
        <w:rPr>
          <w:rFonts w:ascii="Arial" w:hAnsi="Arial" w:cs="Arial"/>
          <w:b/>
          <w:sz w:val="22"/>
          <w:szCs w:val="22"/>
        </w:rPr>
        <w:t xml:space="preserve">NAME </w:t>
      </w:r>
      <w:smartTag w:uri="urn:schemas-microsoft-com:office:smarttags" w:element="stockticker">
        <w:r w:rsidRPr="00A06D92">
          <w:rPr>
            <w:rFonts w:ascii="Arial" w:hAnsi="Arial" w:cs="Arial"/>
            <w:b/>
            <w:sz w:val="22"/>
            <w:szCs w:val="22"/>
          </w:rPr>
          <w:t>AND</w:t>
        </w:r>
      </w:smartTag>
      <w:r w:rsidRPr="00A06D92">
        <w:rPr>
          <w:rFonts w:ascii="Arial" w:hAnsi="Arial" w:cs="Arial"/>
          <w:b/>
          <w:sz w:val="22"/>
          <w:szCs w:val="22"/>
        </w:rPr>
        <w:t xml:space="preserve"> ADDRESS OF THE SPONSOR</w:t>
      </w:r>
    </w:p>
    <w:p w:rsidR="003A21A0" w:rsidRDefault="003A21A0" w:rsidP="003A21A0">
      <w:pPr>
        <w:jc w:val="both"/>
        <w:rPr>
          <w:rFonts w:ascii="Arial" w:hAnsi="Arial"/>
          <w:sz w:val="22"/>
        </w:rPr>
      </w:pPr>
      <w:r w:rsidRPr="00EC244E">
        <w:rPr>
          <w:rFonts w:ascii="Arial" w:hAnsi="Arial"/>
          <w:sz w:val="22"/>
        </w:rPr>
        <w:t>GlaxoSmithKline Australia Pty Ltd,</w:t>
      </w:r>
    </w:p>
    <w:p w:rsidR="003A21A0" w:rsidRPr="00E74AFA" w:rsidRDefault="003A21A0" w:rsidP="003A21A0">
      <w:pPr>
        <w:rPr>
          <w:rStyle w:val="HTMLTypewriter"/>
          <w:rFonts w:ascii="Arial" w:hAnsi="Arial" w:cs="Arial"/>
          <w:color w:val="000000"/>
          <w:sz w:val="22"/>
          <w:szCs w:val="22"/>
        </w:rPr>
      </w:pPr>
      <w:r w:rsidRPr="00E74AFA">
        <w:rPr>
          <w:rStyle w:val="HTMLTypewriter"/>
          <w:rFonts w:ascii="Arial" w:hAnsi="Arial" w:cs="Arial"/>
          <w:color w:val="000000"/>
          <w:sz w:val="22"/>
          <w:szCs w:val="22"/>
        </w:rPr>
        <w:t xml:space="preserve">Level 4, 436 Johnston Street, </w:t>
      </w:r>
    </w:p>
    <w:p w:rsidR="00D21521" w:rsidRDefault="003A21A0" w:rsidP="003538E9">
      <w:pPr>
        <w:jc w:val="both"/>
        <w:rPr>
          <w:rFonts w:ascii="Arial" w:hAnsi="Arial" w:cs="Arial"/>
          <w:b/>
          <w:sz w:val="22"/>
          <w:szCs w:val="22"/>
        </w:rPr>
      </w:pPr>
      <w:r w:rsidRPr="00E74AFA">
        <w:rPr>
          <w:rStyle w:val="HTMLTypewriter"/>
          <w:rFonts w:ascii="Arial" w:hAnsi="Arial" w:cs="Arial"/>
          <w:color w:val="000000"/>
          <w:sz w:val="22"/>
          <w:szCs w:val="22"/>
        </w:rPr>
        <w:t>Abbotsford, Victoria, 3067</w:t>
      </w:r>
    </w:p>
    <w:p w:rsidR="003538E9" w:rsidRDefault="003538E9" w:rsidP="00053893">
      <w:pPr>
        <w:spacing w:before="120" w:after="240"/>
        <w:jc w:val="both"/>
        <w:rPr>
          <w:rFonts w:ascii="Arial" w:hAnsi="Arial" w:cs="Arial"/>
          <w:b/>
          <w:sz w:val="22"/>
          <w:szCs w:val="22"/>
        </w:rPr>
      </w:pPr>
    </w:p>
    <w:p w:rsidR="003538E9" w:rsidRPr="00A06D92" w:rsidRDefault="00D06FFC" w:rsidP="00053893">
      <w:pPr>
        <w:spacing w:before="120" w:after="240"/>
        <w:jc w:val="both"/>
        <w:rPr>
          <w:rFonts w:ascii="Arial" w:hAnsi="Arial" w:cs="Arial"/>
          <w:b/>
          <w:sz w:val="22"/>
          <w:szCs w:val="22"/>
        </w:rPr>
      </w:pPr>
      <w:r w:rsidRPr="00A06D92">
        <w:rPr>
          <w:rFonts w:ascii="Arial" w:hAnsi="Arial" w:cs="Arial"/>
          <w:b/>
          <w:sz w:val="22"/>
          <w:szCs w:val="22"/>
        </w:rPr>
        <w:t>POISON SCHEDULE OF THE MEDICINE</w:t>
      </w:r>
    </w:p>
    <w:p w:rsidR="00A06D92" w:rsidRPr="00A06D92" w:rsidRDefault="00053893" w:rsidP="003538E9">
      <w:pPr>
        <w:spacing w:before="120" w:after="240"/>
        <w:jc w:val="both"/>
        <w:rPr>
          <w:rFonts w:ascii="Arial" w:hAnsi="Arial" w:cs="Arial"/>
          <w:b/>
          <w:sz w:val="22"/>
          <w:szCs w:val="22"/>
        </w:rPr>
      </w:pPr>
      <w:r w:rsidRPr="00571510">
        <w:rPr>
          <w:rFonts w:ascii="Arial" w:hAnsi="Arial" w:cs="Arial"/>
          <w:color w:val="000000"/>
          <w:sz w:val="22"/>
          <w:szCs w:val="22"/>
        </w:rPr>
        <w:t>Schedule 4 – Prescription Only Medicine</w:t>
      </w:r>
      <w:r w:rsidR="00571510">
        <w:rPr>
          <w:rFonts w:ascii="Arial" w:hAnsi="Arial" w:cs="Arial"/>
          <w:color w:val="000000"/>
          <w:sz w:val="22"/>
          <w:szCs w:val="22"/>
        </w:rPr>
        <w:t xml:space="preserve"> </w:t>
      </w:r>
    </w:p>
    <w:p w:rsidR="00C14C07" w:rsidRDefault="004F640B" w:rsidP="00E869DF">
      <w:pPr>
        <w:pStyle w:val="Heading4"/>
        <w:rPr>
          <w:rFonts w:ascii="Times New Roman" w:hAnsi="Times New Roman"/>
          <w:b w:val="0"/>
          <w:bCs w:val="0"/>
          <w:sz w:val="20"/>
          <w:szCs w:val="20"/>
        </w:rPr>
      </w:pPr>
      <w:r w:rsidRPr="00E8070F">
        <w:rPr>
          <w:rFonts w:ascii="Arial" w:hAnsi="Arial" w:cs="Arial"/>
          <w:sz w:val="22"/>
          <w:szCs w:val="22"/>
        </w:rPr>
        <w:t xml:space="preserve">Date of first inclusion in the Australian Register of Therapeutic Goods (the ARTG): </w:t>
      </w:r>
      <w:r w:rsidR="009617CC">
        <w:rPr>
          <w:rFonts w:ascii="Arial" w:hAnsi="Arial" w:cs="Arial"/>
          <w:b w:val="0"/>
          <w:sz w:val="22"/>
          <w:szCs w:val="22"/>
        </w:rPr>
        <w:t>14 February 2014</w:t>
      </w:r>
    </w:p>
    <w:p w:rsidR="003538E9" w:rsidRPr="003538E9" w:rsidRDefault="003538E9" w:rsidP="003538E9"/>
    <w:p w:rsidR="005D14FF" w:rsidRDefault="00620AF0" w:rsidP="00AC3812">
      <w:pPr>
        <w:spacing w:after="240"/>
        <w:jc w:val="both"/>
        <w:rPr>
          <w:rFonts w:ascii="Arial" w:hAnsi="Arial" w:cs="Arial"/>
        </w:rPr>
      </w:pPr>
      <w:r w:rsidRPr="00620AF0">
        <w:rPr>
          <w:rFonts w:ascii="Arial" w:hAnsi="Arial" w:cs="Arial"/>
        </w:rPr>
        <w:t>MEKINIST</w:t>
      </w:r>
      <w:r w:rsidR="005D14FF" w:rsidRPr="00620AF0">
        <w:rPr>
          <w:rFonts w:ascii="Arial" w:hAnsi="Arial" w:cs="Arial"/>
        </w:rPr>
        <w:t xml:space="preserve"> is a registered trade mark of the GlaxoSmithKline group of companies.</w:t>
      </w:r>
    </w:p>
    <w:p w:rsidR="00053893" w:rsidRPr="00C80CFA" w:rsidRDefault="004F640B" w:rsidP="00C80CFA">
      <w:pPr>
        <w:spacing w:after="240"/>
        <w:jc w:val="both"/>
        <w:rPr>
          <w:rFonts w:ascii="Arial" w:hAnsi="Arial" w:cs="Arial"/>
          <w:color w:val="0000FF"/>
          <w:sz w:val="22"/>
          <w:szCs w:val="22"/>
        </w:rPr>
      </w:pPr>
      <w:r>
        <w:rPr>
          <w:rFonts w:ascii="Arial" w:hAnsi="Arial" w:cs="Arial"/>
          <w:sz w:val="22"/>
          <w:szCs w:val="22"/>
        </w:rPr>
        <w:t>Version 1.0</w:t>
      </w:r>
    </w:p>
    <w:sectPr w:rsidR="00053893" w:rsidRPr="00C80CFA" w:rsidSect="00C556BA">
      <w:headerReference w:type="default" r:id="rId12"/>
      <w:footerReference w:type="default" r:id="rId13"/>
      <w:pgSz w:w="11906" w:h="16838" w:code="9"/>
      <w:pgMar w:top="1440" w:right="1540" w:bottom="1440" w:left="1540" w:header="720" w:footer="720" w:gutter="0"/>
      <w:paperSrc w:first="4"/>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FB0" w:rsidRDefault="00FA1FB0" w:rsidP="007E0C5E">
      <w:r>
        <w:separator/>
      </w:r>
    </w:p>
  </w:endnote>
  <w:endnote w:type="continuationSeparator" w:id="0">
    <w:p w:rsidR="00FA1FB0" w:rsidRDefault="00FA1FB0" w:rsidP="007E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12" w:rsidRPr="00E8070F" w:rsidRDefault="00373312" w:rsidP="00AD2C82">
    <w:pPr>
      <w:pStyle w:val="Footer"/>
      <w:tabs>
        <w:tab w:val="clear" w:pos="8306"/>
        <w:tab w:val="right" w:pos="8880"/>
      </w:tabs>
      <w:spacing w:before="240"/>
      <w:rPr>
        <w:rFonts w:ascii="Arial" w:hAnsi="Arial" w:cs="Arial"/>
        <w:sz w:val="22"/>
        <w:szCs w:val="16"/>
      </w:rPr>
    </w:pPr>
    <w:r w:rsidRPr="005D14FF">
      <w:rPr>
        <w:rFonts w:ascii="Arial" w:hAnsi="Arial" w:cs="Arial"/>
        <w:sz w:val="16"/>
        <w:szCs w:val="16"/>
      </w:rPr>
      <w:tab/>
    </w:r>
    <w:r w:rsidRPr="00E8070F">
      <w:rPr>
        <w:rStyle w:val="PageNumber"/>
        <w:rFonts w:ascii="Arial" w:hAnsi="Arial" w:cs="Arial"/>
        <w:sz w:val="22"/>
        <w:szCs w:val="16"/>
      </w:rPr>
      <w:fldChar w:fldCharType="begin"/>
    </w:r>
    <w:r w:rsidRPr="00E8070F">
      <w:rPr>
        <w:rStyle w:val="PageNumber"/>
        <w:rFonts w:ascii="Arial" w:hAnsi="Arial" w:cs="Arial"/>
        <w:sz w:val="22"/>
        <w:szCs w:val="16"/>
      </w:rPr>
      <w:instrText xml:space="preserve"> PAGE </w:instrText>
    </w:r>
    <w:r w:rsidRPr="00E8070F">
      <w:rPr>
        <w:rStyle w:val="PageNumber"/>
        <w:rFonts w:ascii="Arial" w:hAnsi="Arial" w:cs="Arial"/>
        <w:sz w:val="22"/>
        <w:szCs w:val="16"/>
      </w:rPr>
      <w:fldChar w:fldCharType="separate"/>
    </w:r>
    <w:r w:rsidR="003C6FDB">
      <w:rPr>
        <w:rStyle w:val="PageNumber"/>
        <w:rFonts w:ascii="Arial" w:hAnsi="Arial" w:cs="Arial"/>
        <w:noProof/>
        <w:sz w:val="22"/>
        <w:szCs w:val="16"/>
      </w:rPr>
      <w:t>26</w:t>
    </w:r>
    <w:r w:rsidRPr="00E8070F">
      <w:rPr>
        <w:rStyle w:val="PageNumber"/>
        <w:rFonts w:ascii="Arial" w:hAnsi="Arial" w:cs="Arial"/>
        <w:sz w:val="22"/>
        <w:szCs w:val="16"/>
      </w:rPr>
      <w:fldChar w:fldCharType="end"/>
    </w:r>
    <w:r w:rsidRPr="00E8070F">
      <w:rPr>
        <w:rStyle w:val="PageNumber"/>
        <w:rFonts w:ascii="Arial" w:hAnsi="Arial" w:cs="Arial"/>
        <w:sz w:val="22"/>
        <w:szCs w:val="16"/>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FB0" w:rsidRDefault="00FA1FB0" w:rsidP="007E0C5E">
      <w:r>
        <w:separator/>
      </w:r>
    </w:p>
  </w:footnote>
  <w:footnote w:type="continuationSeparator" w:id="0">
    <w:p w:rsidR="00FA1FB0" w:rsidRDefault="00FA1FB0" w:rsidP="007E0C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747" w:rsidRPr="003B5747" w:rsidRDefault="003B5747" w:rsidP="003B5747">
    <w:pPr>
      <w:pBdr>
        <w:top w:val="single" w:sz="4" w:space="1" w:color="auto"/>
        <w:left w:val="single" w:sz="4" w:space="4" w:color="auto"/>
        <w:bottom w:val="single" w:sz="4" w:space="1" w:color="auto"/>
        <w:right w:val="single" w:sz="4" w:space="4" w:color="auto"/>
      </w:pBdr>
      <w:shd w:val="clear" w:color="auto" w:fill="E4F2E0"/>
      <w:spacing w:before="40" w:after="40"/>
      <w:rPr>
        <w:rFonts w:asciiTheme="majorHAnsi" w:hAnsiTheme="majorHAnsi"/>
        <w:b/>
      </w:rPr>
    </w:pPr>
    <w:r w:rsidRPr="003B5747">
      <w:rPr>
        <w:rFonts w:asciiTheme="majorHAnsi" w:hAnsiTheme="majorHAnsi"/>
        <w:b/>
      </w:rPr>
      <w:t xml:space="preserve">Attachment 1: Product information for </w:t>
    </w:r>
    <w:r w:rsidRPr="003B5747">
      <w:rPr>
        <w:rFonts w:ascii="Cambria" w:hAnsi="Cambria"/>
        <w:b/>
      </w:rPr>
      <w:t>Mekinist tramatenib (as dimethyl sulfoxide) GlaxoSmithKline Australia Pty Ltd</w:t>
    </w:r>
    <w:r>
      <w:rPr>
        <w:rFonts w:ascii="Cambria" w:hAnsi="Cambria"/>
        <w:b/>
      </w:rPr>
      <w:t xml:space="preserve"> </w:t>
    </w:r>
    <w:r w:rsidRPr="003B5747">
      <w:rPr>
        <w:rFonts w:ascii="Cambria" w:hAnsi="Cambria"/>
        <w:b/>
      </w:rPr>
      <w:t>PM-2012-04134-1-4 Final 17 March 2014</w:t>
    </w:r>
    <w:r w:rsidRPr="003B5747">
      <w:rPr>
        <w:rFonts w:asciiTheme="majorHAnsi" w:hAnsiTheme="majorHAnsi"/>
        <w:b/>
      </w:rPr>
      <w:t>. This Product Information was approved at the time this AusPAR was published.</w:t>
    </w:r>
  </w:p>
  <w:p w:rsidR="003B5747" w:rsidRDefault="003B57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7F3B"/>
    <w:multiLevelType w:val="hybridMultilevel"/>
    <w:tmpl w:val="A6CC7DAA"/>
    <w:lvl w:ilvl="0" w:tplc="FFFFFFFF">
      <w:numFmt w:val="bullet"/>
      <w:lvlText w:val="–"/>
      <w:lvlJc w:val="left"/>
      <w:pPr>
        <w:ind w:left="1440" w:hanging="360"/>
      </w:pPr>
      <w:rPr>
        <w:rFonts w:ascii="Arial" w:eastAsia="MS Mincho"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nsid w:val="02B162EC"/>
    <w:multiLevelType w:val="multilevel"/>
    <w:tmpl w:val="9D38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EF102E"/>
    <w:multiLevelType w:val="hybridMultilevel"/>
    <w:tmpl w:val="EA568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A3A031A"/>
    <w:multiLevelType w:val="multilevel"/>
    <w:tmpl w:val="7A0A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E462E8"/>
    <w:multiLevelType w:val="multilevel"/>
    <w:tmpl w:val="6A7C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DA57FF"/>
    <w:multiLevelType w:val="multilevel"/>
    <w:tmpl w:val="23D61210"/>
    <w:lvl w:ilvl="0">
      <w:start w:val="1"/>
      <w:numFmt w:val="bullet"/>
      <w:pStyle w:val="listdashnospace"/>
      <w:lvlText w:val="-"/>
      <w:lvlJc w:val="left"/>
      <w:pPr>
        <w:tabs>
          <w:tab w:val="num" w:pos="747"/>
        </w:tabs>
        <w:ind w:left="74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8BF7AB6"/>
    <w:multiLevelType w:val="multilevel"/>
    <w:tmpl w:val="FA02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63282E"/>
    <w:multiLevelType w:val="hybridMultilevel"/>
    <w:tmpl w:val="70D2B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5E3963"/>
    <w:multiLevelType w:val="hybridMultilevel"/>
    <w:tmpl w:val="77CEB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ACD6691"/>
    <w:multiLevelType w:val="multilevel"/>
    <w:tmpl w:val="1B167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EA214B"/>
    <w:multiLevelType w:val="hybridMultilevel"/>
    <w:tmpl w:val="09149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59349F"/>
    <w:multiLevelType w:val="multilevel"/>
    <w:tmpl w:val="F6BE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5256FC"/>
    <w:multiLevelType w:val="multilevel"/>
    <w:tmpl w:val="B8CA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35190D"/>
    <w:multiLevelType w:val="singleLevel"/>
    <w:tmpl w:val="6EA66680"/>
    <w:lvl w:ilvl="0">
      <w:start w:val="1"/>
      <w:numFmt w:val="bullet"/>
      <w:pStyle w:val="listbull"/>
      <w:lvlText w:val=""/>
      <w:lvlJc w:val="left"/>
      <w:pPr>
        <w:tabs>
          <w:tab w:val="num" w:pos="432"/>
        </w:tabs>
        <w:ind w:left="432" w:hanging="432"/>
      </w:pPr>
      <w:rPr>
        <w:rFonts w:ascii="Symbol" w:hAnsi="Symbol" w:hint="default"/>
      </w:rPr>
    </w:lvl>
  </w:abstractNum>
  <w:abstractNum w:abstractNumId="14">
    <w:nsid w:val="361A5325"/>
    <w:multiLevelType w:val="hybridMultilevel"/>
    <w:tmpl w:val="03F648E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5">
    <w:nsid w:val="36354D2E"/>
    <w:multiLevelType w:val="hybridMultilevel"/>
    <w:tmpl w:val="5CA8F6C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6">
    <w:nsid w:val="39983C65"/>
    <w:multiLevelType w:val="multilevel"/>
    <w:tmpl w:val="5DD04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53720F"/>
    <w:multiLevelType w:val="hybridMultilevel"/>
    <w:tmpl w:val="FB605F0C"/>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18">
    <w:nsid w:val="3F4F7C09"/>
    <w:multiLevelType w:val="multilevel"/>
    <w:tmpl w:val="5B74C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FC4BFE"/>
    <w:multiLevelType w:val="hybridMultilevel"/>
    <w:tmpl w:val="1924C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12C6AD2"/>
    <w:multiLevelType w:val="hybridMultilevel"/>
    <w:tmpl w:val="71B49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3401EC0"/>
    <w:multiLevelType w:val="singleLevel"/>
    <w:tmpl w:val="2C62F932"/>
    <w:lvl w:ilvl="0">
      <w:start w:val="1"/>
      <w:numFmt w:val="bullet"/>
      <w:pStyle w:val="listindentbull"/>
      <w:lvlText w:val=""/>
      <w:lvlJc w:val="left"/>
      <w:pPr>
        <w:tabs>
          <w:tab w:val="num" w:pos="864"/>
        </w:tabs>
        <w:ind w:left="864" w:hanging="432"/>
      </w:pPr>
      <w:rPr>
        <w:rFonts w:ascii="Symbol" w:hAnsi="Symbol" w:cs="Symbol" w:hint="default"/>
        <w:color w:val="auto"/>
      </w:rPr>
    </w:lvl>
  </w:abstractNum>
  <w:abstractNum w:abstractNumId="22">
    <w:nsid w:val="497439B9"/>
    <w:multiLevelType w:val="multilevel"/>
    <w:tmpl w:val="776A7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E83ECD"/>
    <w:multiLevelType w:val="hybridMultilevel"/>
    <w:tmpl w:val="12243868"/>
    <w:lvl w:ilvl="0" w:tplc="21F2825C">
      <w:start w:val="1"/>
      <w:numFmt w:val="bullet"/>
      <w:pStyle w:val="LBLBulletStyle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20135FE"/>
    <w:multiLevelType w:val="multilevel"/>
    <w:tmpl w:val="053E6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955171"/>
    <w:multiLevelType w:val="multilevel"/>
    <w:tmpl w:val="3A183D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nsid w:val="59AD7B97"/>
    <w:multiLevelType w:val="hybridMultilevel"/>
    <w:tmpl w:val="67C09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77663E7"/>
    <w:multiLevelType w:val="hybridMultilevel"/>
    <w:tmpl w:val="D4E03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8566F33"/>
    <w:multiLevelType w:val="multilevel"/>
    <w:tmpl w:val="6BAE8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DE616F"/>
    <w:multiLevelType w:val="multilevel"/>
    <w:tmpl w:val="667E7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5615C46"/>
    <w:multiLevelType w:val="multilevel"/>
    <w:tmpl w:val="5498B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6CB0AB5"/>
    <w:multiLevelType w:val="hybridMultilevel"/>
    <w:tmpl w:val="03C4C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B803092"/>
    <w:multiLevelType w:val="hybridMultilevel"/>
    <w:tmpl w:val="0B4A793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nsid w:val="7C7E3F4B"/>
    <w:multiLevelType w:val="hybridMultilevel"/>
    <w:tmpl w:val="B2EA4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F006623"/>
    <w:multiLevelType w:val="multilevel"/>
    <w:tmpl w:val="43C2F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9"/>
  </w:num>
  <w:num w:numId="3">
    <w:abstractNumId w:val="25"/>
  </w:num>
  <w:num w:numId="4">
    <w:abstractNumId w:val="22"/>
  </w:num>
  <w:num w:numId="5">
    <w:abstractNumId w:val="6"/>
  </w:num>
  <w:num w:numId="6">
    <w:abstractNumId w:val="24"/>
  </w:num>
  <w:num w:numId="7">
    <w:abstractNumId w:val="34"/>
  </w:num>
  <w:num w:numId="8">
    <w:abstractNumId w:val="12"/>
  </w:num>
  <w:num w:numId="9">
    <w:abstractNumId w:val="4"/>
  </w:num>
  <w:num w:numId="10">
    <w:abstractNumId w:val="30"/>
  </w:num>
  <w:num w:numId="11">
    <w:abstractNumId w:val="28"/>
  </w:num>
  <w:num w:numId="12">
    <w:abstractNumId w:val="11"/>
  </w:num>
  <w:num w:numId="13">
    <w:abstractNumId w:val="16"/>
  </w:num>
  <w:num w:numId="14">
    <w:abstractNumId w:val="1"/>
  </w:num>
  <w:num w:numId="15">
    <w:abstractNumId w:val="9"/>
  </w:num>
  <w:num w:numId="16">
    <w:abstractNumId w:val="3"/>
  </w:num>
  <w:num w:numId="17">
    <w:abstractNumId w:val="18"/>
  </w:num>
  <w:num w:numId="18">
    <w:abstractNumId w:val="20"/>
  </w:num>
  <w:num w:numId="19">
    <w:abstractNumId w:val="13"/>
  </w:num>
  <w:num w:numId="20">
    <w:abstractNumId w:val="19"/>
  </w:num>
  <w:num w:numId="21">
    <w:abstractNumId w:val="31"/>
  </w:num>
  <w:num w:numId="22">
    <w:abstractNumId w:val="2"/>
  </w:num>
  <w:num w:numId="23">
    <w:abstractNumId w:val="23"/>
  </w:num>
  <w:num w:numId="24">
    <w:abstractNumId w:val="5"/>
  </w:num>
  <w:num w:numId="25">
    <w:abstractNumId w:val="21"/>
  </w:num>
  <w:num w:numId="26">
    <w:abstractNumId w:val="10"/>
  </w:num>
  <w:num w:numId="27">
    <w:abstractNumId w:val="8"/>
  </w:num>
  <w:num w:numId="28">
    <w:abstractNumId w:val="32"/>
  </w:num>
  <w:num w:numId="29">
    <w:abstractNumId w:val="33"/>
  </w:num>
  <w:num w:numId="30">
    <w:abstractNumId w:val="26"/>
  </w:num>
  <w:num w:numId="31">
    <w:abstractNumId w:val="27"/>
  </w:num>
  <w:num w:numId="32">
    <w:abstractNumId w:val="7"/>
  </w:num>
  <w:num w:numId="33">
    <w:abstractNumId w:val="0"/>
  </w:num>
  <w:num w:numId="34">
    <w:abstractNumId w:val="17"/>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808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380F"/>
    <w:rsid w:val="0000277A"/>
    <w:rsid w:val="0000335F"/>
    <w:rsid w:val="00004934"/>
    <w:rsid w:val="00006A47"/>
    <w:rsid w:val="00010A78"/>
    <w:rsid w:val="000205C4"/>
    <w:rsid w:val="000358D5"/>
    <w:rsid w:val="00036CEB"/>
    <w:rsid w:val="00051B7E"/>
    <w:rsid w:val="00052FF9"/>
    <w:rsid w:val="00053893"/>
    <w:rsid w:val="00055D14"/>
    <w:rsid w:val="00055E32"/>
    <w:rsid w:val="00060A05"/>
    <w:rsid w:val="00061770"/>
    <w:rsid w:val="00062E80"/>
    <w:rsid w:val="00064DD5"/>
    <w:rsid w:val="000665FE"/>
    <w:rsid w:val="00066E44"/>
    <w:rsid w:val="00067A59"/>
    <w:rsid w:val="00070FFF"/>
    <w:rsid w:val="00073B24"/>
    <w:rsid w:val="000771AF"/>
    <w:rsid w:val="000810CE"/>
    <w:rsid w:val="00086F2D"/>
    <w:rsid w:val="00095598"/>
    <w:rsid w:val="00097122"/>
    <w:rsid w:val="000A0809"/>
    <w:rsid w:val="000A10D5"/>
    <w:rsid w:val="000A2EC7"/>
    <w:rsid w:val="000A3884"/>
    <w:rsid w:val="000A68FE"/>
    <w:rsid w:val="000A75C2"/>
    <w:rsid w:val="000A78F7"/>
    <w:rsid w:val="000B3F7C"/>
    <w:rsid w:val="000B7AFA"/>
    <w:rsid w:val="000C175F"/>
    <w:rsid w:val="000C6AD2"/>
    <w:rsid w:val="000D4433"/>
    <w:rsid w:val="000E0FC0"/>
    <w:rsid w:val="000E2422"/>
    <w:rsid w:val="000E28AD"/>
    <w:rsid w:val="000E5564"/>
    <w:rsid w:val="000F1901"/>
    <w:rsid w:val="000F46F9"/>
    <w:rsid w:val="000F4865"/>
    <w:rsid w:val="00114376"/>
    <w:rsid w:val="00120D4C"/>
    <w:rsid w:val="00120FB9"/>
    <w:rsid w:val="00122AEF"/>
    <w:rsid w:val="00122B3C"/>
    <w:rsid w:val="0012596B"/>
    <w:rsid w:val="00135D8D"/>
    <w:rsid w:val="00135DEA"/>
    <w:rsid w:val="00136CC7"/>
    <w:rsid w:val="00147238"/>
    <w:rsid w:val="00162AA0"/>
    <w:rsid w:val="00162F6C"/>
    <w:rsid w:val="001751CB"/>
    <w:rsid w:val="001776FB"/>
    <w:rsid w:val="0018431B"/>
    <w:rsid w:val="00197076"/>
    <w:rsid w:val="001A3375"/>
    <w:rsid w:val="001A5400"/>
    <w:rsid w:val="001A5A64"/>
    <w:rsid w:val="001B0249"/>
    <w:rsid w:val="001C2E5F"/>
    <w:rsid w:val="001D275A"/>
    <w:rsid w:val="001D6C28"/>
    <w:rsid w:val="001D76B9"/>
    <w:rsid w:val="001E3B9A"/>
    <w:rsid w:val="001E3F94"/>
    <w:rsid w:val="001F3783"/>
    <w:rsid w:val="00203A0A"/>
    <w:rsid w:val="0020469F"/>
    <w:rsid w:val="002114DF"/>
    <w:rsid w:val="00213E18"/>
    <w:rsid w:val="00213EA8"/>
    <w:rsid w:val="0021560C"/>
    <w:rsid w:val="00215B5B"/>
    <w:rsid w:val="00216C00"/>
    <w:rsid w:val="00222C9A"/>
    <w:rsid w:val="00223FCE"/>
    <w:rsid w:val="002258FD"/>
    <w:rsid w:val="00232798"/>
    <w:rsid w:val="00233F34"/>
    <w:rsid w:val="00236E6E"/>
    <w:rsid w:val="00240E6A"/>
    <w:rsid w:val="00242B97"/>
    <w:rsid w:val="0024798A"/>
    <w:rsid w:val="0025465D"/>
    <w:rsid w:val="002638FD"/>
    <w:rsid w:val="0026783E"/>
    <w:rsid w:val="002771DC"/>
    <w:rsid w:val="00283525"/>
    <w:rsid w:val="002863FA"/>
    <w:rsid w:val="002925CB"/>
    <w:rsid w:val="00293779"/>
    <w:rsid w:val="002A7572"/>
    <w:rsid w:val="002B06A4"/>
    <w:rsid w:val="002B2E9E"/>
    <w:rsid w:val="002B2F16"/>
    <w:rsid w:val="002D3AD5"/>
    <w:rsid w:val="002D63C6"/>
    <w:rsid w:val="002D797B"/>
    <w:rsid w:val="002E17DD"/>
    <w:rsid w:val="002E716A"/>
    <w:rsid w:val="002F2BD2"/>
    <w:rsid w:val="002F3D82"/>
    <w:rsid w:val="002F734B"/>
    <w:rsid w:val="00306EAD"/>
    <w:rsid w:val="003138A1"/>
    <w:rsid w:val="00324AC2"/>
    <w:rsid w:val="00330456"/>
    <w:rsid w:val="0033556D"/>
    <w:rsid w:val="0033558B"/>
    <w:rsid w:val="00336469"/>
    <w:rsid w:val="00336A42"/>
    <w:rsid w:val="00347D03"/>
    <w:rsid w:val="003538E9"/>
    <w:rsid w:val="0035506C"/>
    <w:rsid w:val="00355A69"/>
    <w:rsid w:val="00370081"/>
    <w:rsid w:val="00371074"/>
    <w:rsid w:val="00371F40"/>
    <w:rsid w:val="00373312"/>
    <w:rsid w:val="00375187"/>
    <w:rsid w:val="00381348"/>
    <w:rsid w:val="003878E6"/>
    <w:rsid w:val="003922C0"/>
    <w:rsid w:val="003A21A0"/>
    <w:rsid w:val="003B0279"/>
    <w:rsid w:val="003B5747"/>
    <w:rsid w:val="003B73B2"/>
    <w:rsid w:val="003C37F2"/>
    <w:rsid w:val="003C610E"/>
    <w:rsid w:val="003C6FDB"/>
    <w:rsid w:val="003D0E8A"/>
    <w:rsid w:val="003E46D0"/>
    <w:rsid w:val="003E5F5D"/>
    <w:rsid w:val="003E6EE7"/>
    <w:rsid w:val="003F2D18"/>
    <w:rsid w:val="003F7506"/>
    <w:rsid w:val="004037B6"/>
    <w:rsid w:val="004056D7"/>
    <w:rsid w:val="004165F5"/>
    <w:rsid w:val="00416E3B"/>
    <w:rsid w:val="0042059D"/>
    <w:rsid w:val="00431896"/>
    <w:rsid w:val="004325B2"/>
    <w:rsid w:val="004404CD"/>
    <w:rsid w:val="0044274B"/>
    <w:rsid w:val="00445972"/>
    <w:rsid w:val="00452C7E"/>
    <w:rsid w:val="004604F6"/>
    <w:rsid w:val="004623A3"/>
    <w:rsid w:val="00463292"/>
    <w:rsid w:val="00463E99"/>
    <w:rsid w:val="0047246A"/>
    <w:rsid w:val="004900B2"/>
    <w:rsid w:val="0049577F"/>
    <w:rsid w:val="00495A8A"/>
    <w:rsid w:val="00495E08"/>
    <w:rsid w:val="004A2BBB"/>
    <w:rsid w:val="004A4BB0"/>
    <w:rsid w:val="004A6CA8"/>
    <w:rsid w:val="004A7977"/>
    <w:rsid w:val="004B2F12"/>
    <w:rsid w:val="004B64AC"/>
    <w:rsid w:val="004B6CD4"/>
    <w:rsid w:val="004C1445"/>
    <w:rsid w:val="004C7251"/>
    <w:rsid w:val="004D0FBD"/>
    <w:rsid w:val="004D5CC5"/>
    <w:rsid w:val="004E3531"/>
    <w:rsid w:val="004E5532"/>
    <w:rsid w:val="004F640B"/>
    <w:rsid w:val="00502BAE"/>
    <w:rsid w:val="00503304"/>
    <w:rsid w:val="00506044"/>
    <w:rsid w:val="00517A18"/>
    <w:rsid w:val="0052430D"/>
    <w:rsid w:val="00525CE1"/>
    <w:rsid w:val="00534AE9"/>
    <w:rsid w:val="005361DD"/>
    <w:rsid w:val="00537BD1"/>
    <w:rsid w:val="00537E28"/>
    <w:rsid w:val="0054253C"/>
    <w:rsid w:val="00547CC2"/>
    <w:rsid w:val="00547FB4"/>
    <w:rsid w:val="0055091A"/>
    <w:rsid w:val="00553ECF"/>
    <w:rsid w:val="00554516"/>
    <w:rsid w:val="00554B8C"/>
    <w:rsid w:val="005600DC"/>
    <w:rsid w:val="005626C0"/>
    <w:rsid w:val="00562E1B"/>
    <w:rsid w:val="00564881"/>
    <w:rsid w:val="00571510"/>
    <w:rsid w:val="0057653B"/>
    <w:rsid w:val="0058087A"/>
    <w:rsid w:val="00580ADF"/>
    <w:rsid w:val="0058329F"/>
    <w:rsid w:val="005A1B39"/>
    <w:rsid w:val="005B4A0F"/>
    <w:rsid w:val="005B7D9A"/>
    <w:rsid w:val="005C0FD1"/>
    <w:rsid w:val="005D0D84"/>
    <w:rsid w:val="005D14FF"/>
    <w:rsid w:val="005D1624"/>
    <w:rsid w:val="005D64B4"/>
    <w:rsid w:val="005E3866"/>
    <w:rsid w:val="005E507B"/>
    <w:rsid w:val="005F26A9"/>
    <w:rsid w:val="00604016"/>
    <w:rsid w:val="00604851"/>
    <w:rsid w:val="00604FE4"/>
    <w:rsid w:val="006064D1"/>
    <w:rsid w:val="00613405"/>
    <w:rsid w:val="006146DA"/>
    <w:rsid w:val="00617B56"/>
    <w:rsid w:val="00620AF0"/>
    <w:rsid w:val="0063224C"/>
    <w:rsid w:val="00632731"/>
    <w:rsid w:val="0063279A"/>
    <w:rsid w:val="00635577"/>
    <w:rsid w:val="00650654"/>
    <w:rsid w:val="00655B6D"/>
    <w:rsid w:val="00656020"/>
    <w:rsid w:val="00663135"/>
    <w:rsid w:val="00670C21"/>
    <w:rsid w:val="00681AC5"/>
    <w:rsid w:val="00681FD2"/>
    <w:rsid w:val="0069472C"/>
    <w:rsid w:val="00695AE5"/>
    <w:rsid w:val="00697766"/>
    <w:rsid w:val="006B4B74"/>
    <w:rsid w:val="006D36EE"/>
    <w:rsid w:val="006D6B6A"/>
    <w:rsid w:val="006E1840"/>
    <w:rsid w:val="006E37C3"/>
    <w:rsid w:val="006E7929"/>
    <w:rsid w:val="006F0E27"/>
    <w:rsid w:val="006F301C"/>
    <w:rsid w:val="00701099"/>
    <w:rsid w:val="0071390C"/>
    <w:rsid w:val="00716FAC"/>
    <w:rsid w:val="00720D73"/>
    <w:rsid w:val="007242EF"/>
    <w:rsid w:val="00730823"/>
    <w:rsid w:val="0073214B"/>
    <w:rsid w:val="00733828"/>
    <w:rsid w:val="00736C09"/>
    <w:rsid w:val="00743E87"/>
    <w:rsid w:val="00744040"/>
    <w:rsid w:val="00755FAF"/>
    <w:rsid w:val="00756D34"/>
    <w:rsid w:val="00763EB7"/>
    <w:rsid w:val="00767127"/>
    <w:rsid w:val="0077380F"/>
    <w:rsid w:val="00776732"/>
    <w:rsid w:val="007868A0"/>
    <w:rsid w:val="00787D7F"/>
    <w:rsid w:val="00796D87"/>
    <w:rsid w:val="00797E80"/>
    <w:rsid w:val="007A0414"/>
    <w:rsid w:val="007A4219"/>
    <w:rsid w:val="007A4294"/>
    <w:rsid w:val="007A4E8A"/>
    <w:rsid w:val="007C4A97"/>
    <w:rsid w:val="007C685E"/>
    <w:rsid w:val="007D00E6"/>
    <w:rsid w:val="007D27A0"/>
    <w:rsid w:val="007D7938"/>
    <w:rsid w:val="007E0C5E"/>
    <w:rsid w:val="007E6E61"/>
    <w:rsid w:val="007E747E"/>
    <w:rsid w:val="007F3163"/>
    <w:rsid w:val="007F4026"/>
    <w:rsid w:val="008078F3"/>
    <w:rsid w:val="0081040F"/>
    <w:rsid w:val="00825805"/>
    <w:rsid w:val="008429D6"/>
    <w:rsid w:val="0084740A"/>
    <w:rsid w:val="008523BD"/>
    <w:rsid w:val="00854610"/>
    <w:rsid w:val="00856A66"/>
    <w:rsid w:val="00856DD1"/>
    <w:rsid w:val="00860EA8"/>
    <w:rsid w:val="0086223B"/>
    <w:rsid w:val="008641C4"/>
    <w:rsid w:val="00871AD9"/>
    <w:rsid w:val="00874FF5"/>
    <w:rsid w:val="008A70AC"/>
    <w:rsid w:val="008B7BBF"/>
    <w:rsid w:val="008B7F67"/>
    <w:rsid w:val="008C2582"/>
    <w:rsid w:val="008C346F"/>
    <w:rsid w:val="008C42E7"/>
    <w:rsid w:val="008D3982"/>
    <w:rsid w:val="008D77DC"/>
    <w:rsid w:val="008D7FAD"/>
    <w:rsid w:val="008E2AAB"/>
    <w:rsid w:val="008E4979"/>
    <w:rsid w:val="008E66D4"/>
    <w:rsid w:val="008F01EA"/>
    <w:rsid w:val="008F2360"/>
    <w:rsid w:val="00901136"/>
    <w:rsid w:val="00902814"/>
    <w:rsid w:val="00904D59"/>
    <w:rsid w:val="009051B8"/>
    <w:rsid w:val="00907ADB"/>
    <w:rsid w:val="00914EB8"/>
    <w:rsid w:val="00916BEE"/>
    <w:rsid w:val="0092047E"/>
    <w:rsid w:val="00930775"/>
    <w:rsid w:val="00932F3A"/>
    <w:rsid w:val="009364DC"/>
    <w:rsid w:val="00942010"/>
    <w:rsid w:val="00945E63"/>
    <w:rsid w:val="00945F15"/>
    <w:rsid w:val="00947DF6"/>
    <w:rsid w:val="0095195B"/>
    <w:rsid w:val="00952393"/>
    <w:rsid w:val="00956AC1"/>
    <w:rsid w:val="0095734D"/>
    <w:rsid w:val="00957824"/>
    <w:rsid w:val="009617CC"/>
    <w:rsid w:val="00970D64"/>
    <w:rsid w:val="009737E2"/>
    <w:rsid w:val="00977203"/>
    <w:rsid w:val="00982469"/>
    <w:rsid w:val="009850E1"/>
    <w:rsid w:val="00986494"/>
    <w:rsid w:val="009912F5"/>
    <w:rsid w:val="009A64B1"/>
    <w:rsid w:val="009B01E4"/>
    <w:rsid w:val="009B4A59"/>
    <w:rsid w:val="009B7EFE"/>
    <w:rsid w:val="009C13B9"/>
    <w:rsid w:val="009D00D2"/>
    <w:rsid w:val="009D428F"/>
    <w:rsid w:val="009E2F01"/>
    <w:rsid w:val="009E51AB"/>
    <w:rsid w:val="009E76F1"/>
    <w:rsid w:val="009F29E4"/>
    <w:rsid w:val="00A06D92"/>
    <w:rsid w:val="00A1032C"/>
    <w:rsid w:val="00A21891"/>
    <w:rsid w:val="00A26342"/>
    <w:rsid w:val="00A32B0E"/>
    <w:rsid w:val="00A34D19"/>
    <w:rsid w:val="00A35D8A"/>
    <w:rsid w:val="00A37934"/>
    <w:rsid w:val="00A4187E"/>
    <w:rsid w:val="00A41C6B"/>
    <w:rsid w:val="00A43CB9"/>
    <w:rsid w:val="00A55701"/>
    <w:rsid w:val="00A55E31"/>
    <w:rsid w:val="00A576CA"/>
    <w:rsid w:val="00A57B4E"/>
    <w:rsid w:val="00A645EF"/>
    <w:rsid w:val="00A748A9"/>
    <w:rsid w:val="00A93928"/>
    <w:rsid w:val="00AA1C1A"/>
    <w:rsid w:val="00AB4468"/>
    <w:rsid w:val="00AC3812"/>
    <w:rsid w:val="00AC72CA"/>
    <w:rsid w:val="00AD2C82"/>
    <w:rsid w:val="00AE01A9"/>
    <w:rsid w:val="00AE0583"/>
    <w:rsid w:val="00AE05A1"/>
    <w:rsid w:val="00AE6B5B"/>
    <w:rsid w:val="00AF6EA0"/>
    <w:rsid w:val="00B00380"/>
    <w:rsid w:val="00B00FB5"/>
    <w:rsid w:val="00B04F53"/>
    <w:rsid w:val="00B1558B"/>
    <w:rsid w:val="00B20C73"/>
    <w:rsid w:val="00B21431"/>
    <w:rsid w:val="00B257D8"/>
    <w:rsid w:val="00B34F25"/>
    <w:rsid w:val="00B47B0C"/>
    <w:rsid w:val="00B544BA"/>
    <w:rsid w:val="00B568B8"/>
    <w:rsid w:val="00B569C8"/>
    <w:rsid w:val="00B57901"/>
    <w:rsid w:val="00B62DFE"/>
    <w:rsid w:val="00B7250E"/>
    <w:rsid w:val="00B75114"/>
    <w:rsid w:val="00B76ACB"/>
    <w:rsid w:val="00B7767E"/>
    <w:rsid w:val="00B77D2E"/>
    <w:rsid w:val="00B839B5"/>
    <w:rsid w:val="00B85D79"/>
    <w:rsid w:val="00B90858"/>
    <w:rsid w:val="00B939D7"/>
    <w:rsid w:val="00B965EB"/>
    <w:rsid w:val="00BA0B21"/>
    <w:rsid w:val="00BA6C9E"/>
    <w:rsid w:val="00BB1F76"/>
    <w:rsid w:val="00BB782B"/>
    <w:rsid w:val="00BC039E"/>
    <w:rsid w:val="00BC4896"/>
    <w:rsid w:val="00BC7F72"/>
    <w:rsid w:val="00BD2AEB"/>
    <w:rsid w:val="00BD31AF"/>
    <w:rsid w:val="00BD33F3"/>
    <w:rsid w:val="00BE608C"/>
    <w:rsid w:val="00BF6770"/>
    <w:rsid w:val="00C14C07"/>
    <w:rsid w:val="00C15891"/>
    <w:rsid w:val="00C33668"/>
    <w:rsid w:val="00C379D0"/>
    <w:rsid w:val="00C404F9"/>
    <w:rsid w:val="00C42AF2"/>
    <w:rsid w:val="00C43BEA"/>
    <w:rsid w:val="00C5459E"/>
    <w:rsid w:val="00C556BA"/>
    <w:rsid w:val="00C603AF"/>
    <w:rsid w:val="00C62BDC"/>
    <w:rsid w:val="00C63332"/>
    <w:rsid w:val="00C64B3E"/>
    <w:rsid w:val="00C6593E"/>
    <w:rsid w:val="00C66C5A"/>
    <w:rsid w:val="00C72BB4"/>
    <w:rsid w:val="00C72FD0"/>
    <w:rsid w:val="00C77033"/>
    <w:rsid w:val="00C77C3A"/>
    <w:rsid w:val="00C8040A"/>
    <w:rsid w:val="00C80CFA"/>
    <w:rsid w:val="00C82084"/>
    <w:rsid w:val="00CA23A7"/>
    <w:rsid w:val="00CA384E"/>
    <w:rsid w:val="00CA63E0"/>
    <w:rsid w:val="00CB0353"/>
    <w:rsid w:val="00CB06AD"/>
    <w:rsid w:val="00CB3B33"/>
    <w:rsid w:val="00CB4887"/>
    <w:rsid w:val="00CB63EC"/>
    <w:rsid w:val="00CC537C"/>
    <w:rsid w:val="00CC5572"/>
    <w:rsid w:val="00CF0410"/>
    <w:rsid w:val="00CF18D5"/>
    <w:rsid w:val="00CF71B9"/>
    <w:rsid w:val="00D042F6"/>
    <w:rsid w:val="00D05AD5"/>
    <w:rsid w:val="00D06FFC"/>
    <w:rsid w:val="00D0777C"/>
    <w:rsid w:val="00D10571"/>
    <w:rsid w:val="00D1670A"/>
    <w:rsid w:val="00D21521"/>
    <w:rsid w:val="00D31082"/>
    <w:rsid w:val="00D37853"/>
    <w:rsid w:val="00D37BE1"/>
    <w:rsid w:val="00D45771"/>
    <w:rsid w:val="00D4677C"/>
    <w:rsid w:val="00D57A4B"/>
    <w:rsid w:val="00D60294"/>
    <w:rsid w:val="00D62C6D"/>
    <w:rsid w:val="00D6386F"/>
    <w:rsid w:val="00D67401"/>
    <w:rsid w:val="00D72016"/>
    <w:rsid w:val="00D7301C"/>
    <w:rsid w:val="00D764B0"/>
    <w:rsid w:val="00D84809"/>
    <w:rsid w:val="00D9004D"/>
    <w:rsid w:val="00D912E7"/>
    <w:rsid w:val="00D92AA5"/>
    <w:rsid w:val="00DA7A33"/>
    <w:rsid w:val="00DC39AA"/>
    <w:rsid w:val="00DD0412"/>
    <w:rsid w:val="00DD0FC1"/>
    <w:rsid w:val="00DE0935"/>
    <w:rsid w:val="00DE48BD"/>
    <w:rsid w:val="00DF62B8"/>
    <w:rsid w:val="00E0221C"/>
    <w:rsid w:val="00E16D7E"/>
    <w:rsid w:val="00E17279"/>
    <w:rsid w:val="00E1743A"/>
    <w:rsid w:val="00E32886"/>
    <w:rsid w:val="00E46791"/>
    <w:rsid w:val="00E52851"/>
    <w:rsid w:val="00E53FC2"/>
    <w:rsid w:val="00E6097C"/>
    <w:rsid w:val="00E60D6D"/>
    <w:rsid w:val="00E724C5"/>
    <w:rsid w:val="00E8070F"/>
    <w:rsid w:val="00E80B0E"/>
    <w:rsid w:val="00E810B5"/>
    <w:rsid w:val="00E8156F"/>
    <w:rsid w:val="00E81E59"/>
    <w:rsid w:val="00E834E3"/>
    <w:rsid w:val="00E869DF"/>
    <w:rsid w:val="00E90230"/>
    <w:rsid w:val="00E946DF"/>
    <w:rsid w:val="00E975AB"/>
    <w:rsid w:val="00EA222E"/>
    <w:rsid w:val="00EA6582"/>
    <w:rsid w:val="00EB7C99"/>
    <w:rsid w:val="00EC1BFB"/>
    <w:rsid w:val="00EC3E89"/>
    <w:rsid w:val="00EC63DC"/>
    <w:rsid w:val="00EC7388"/>
    <w:rsid w:val="00ED436B"/>
    <w:rsid w:val="00ED4382"/>
    <w:rsid w:val="00ED6CEA"/>
    <w:rsid w:val="00ED7535"/>
    <w:rsid w:val="00EE1069"/>
    <w:rsid w:val="00EE1577"/>
    <w:rsid w:val="00EE3B25"/>
    <w:rsid w:val="00EE3EDA"/>
    <w:rsid w:val="00EF156C"/>
    <w:rsid w:val="00EF442F"/>
    <w:rsid w:val="00EF50AD"/>
    <w:rsid w:val="00EF5516"/>
    <w:rsid w:val="00F25E7A"/>
    <w:rsid w:val="00F268FE"/>
    <w:rsid w:val="00F36D57"/>
    <w:rsid w:val="00F41747"/>
    <w:rsid w:val="00F42BEB"/>
    <w:rsid w:val="00F44B04"/>
    <w:rsid w:val="00F531D1"/>
    <w:rsid w:val="00F534C5"/>
    <w:rsid w:val="00F53B5A"/>
    <w:rsid w:val="00F53BD1"/>
    <w:rsid w:val="00F565E0"/>
    <w:rsid w:val="00F72942"/>
    <w:rsid w:val="00F7363D"/>
    <w:rsid w:val="00F81E71"/>
    <w:rsid w:val="00F93D5C"/>
    <w:rsid w:val="00F94223"/>
    <w:rsid w:val="00F954B9"/>
    <w:rsid w:val="00FA1FB0"/>
    <w:rsid w:val="00FA51CC"/>
    <w:rsid w:val="00FA7280"/>
    <w:rsid w:val="00FA736B"/>
    <w:rsid w:val="00FB71AD"/>
    <w:rsid w:val="00FC1517"/>
    <w:rsid w:val="00FC3E8C"/>
    <w:rsid w:val="00FC5F37"/>
    <w:rsid w:val="00FC666C"/>
    <w:rsid w:val="00FC76A5"/>
    <w:rsid w:val="00FC7DE3"/>
    <w:rsid w:val="00FC7E63"/>
    <w:rsid w:val="00FD3F7C"/>
    <w:rsid w:val="00FE004D"/>
    <w:rsid w:val="00FE0E9A"/>
    <w:rsid w:val="00FE1DC0"/>
    <w:rsid w:val="00FE3ADC"/>
    <w:rsid w:val="00FE6757"/>
    <w:rsid w:val="00FF0E77"/>
    <w:rsid w:val="00FF1458"/>
    <w:rsid w:val="00FF1D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schemas-GSKSiteLocations-com/fourthcoffee" w:name="flavor"/>
  <w:smartTagType w:namespaceuri="urn:schemas-microsoft-com:office:smarttags" w:name="stockticker"/>
  <w:shapeDefaults>
    <o:shapedefaults v:ext="edit" spidmax="808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B21"/>
  </w:style>
  <w:style w:type="paragraph" w:styleId="Heading2">
    <w:name w:val="heading 2"/>
    <w:basedOn w:val="Normal"/>
    <w:link w:val="Heading2Char"/>
    <w:uiPriority w:val="9"/>
    <w:qFormat/>
    <w:rsid w:val="001E3B9A"/>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unhideWhenUsed/>
    <w:qFormat/>
    <w:rsid w:val="001E3B9A"/>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1E3B9A"/>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14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D14FF"/>
    <w:pPr>
      <w:tabs>
        <w:tab w:val="center" w:pos="4153"/>
        <w:tab w:val="right" w:pos="8306"/>
      </w:tabs>
    </w:pPr>
  </w:style>
  <w:style w:type="paragraph" w:styleId="Footer">
    <w:name w:val="footer"/>
    <w:basedOn w:val="Normal"/>
    <w:rsid w:val="005D14FF"/>
    <w:pPr>
      <w:tabs>
        <w:tab w:val="center" w:pos="4153"/>
        <w:tab w:val="right" w:pos="8306"/>
      </w:tabs>
    </w:pPr>
  </w:style>
  <w:style w:type="character" w:styleId="PageNumber">
    <w:name w:val="page number"/>
    <w:basedOn w:val="DefaultParagraphFont"/>
    <w:rsid w:val="005D14FF"/>
  </w:style>
  <w:style w:type="paragraph" w:customStyle="1" w:styleId="lefthead">
    <w:name w:val="left head"/>
    <w:basedOn w:val="Normal"/>
    <w:next w:val="Normal"/>
    <w:rsid w:val="006E37C3"/>
    <w:pPr>
      <w:keepNext/>
      <w:spacing w:after="240"/>
    </w:pPr>
    <w:rPr>
      <w:rFonts w:ascii="Arial" w:hAnsi="Arial"/>
      <w:b/>
      <w:sz w:val="28"/>
      <w:lang w:val="en-GB" w:eastAsia="en-US"/>
    </w:rPr>
  </w:style>
  <w:style w:type="character" w:customStyle="1" w:styleId="Heading2Char">
    <w:name w:val="Heading 2 Char"/>
    <w:basedOn w:val="DefaultParagraphFont"/>
    <w:link w:val="Heading2"/>
    <w:uiPriority w:val="9"/>
    <w:rsid w:val="001E3B9A"/>
    <w:rPr>
      <w:b/>
      <w:bCs/>
      <w:sz w:val="36"/>
      <w:szCs w:val="36"/>
    </w:rPr>
  </w:style>
  <w:style w:type="character" w:customStyle="1" w:styleId="Heading4Char">
    <w:name w:val="Heading 4 Char"/>
    <w:basedOn w:val="DefaultParagraphFont"/>
    <w:link w:val="Heading4"/>
    <w:uiPriority w:val="9"/>
    <w:rsid w:val="001E3B9A"/>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1E3B9A"/>
    <w:rPr>
      <w:rFonts w:ascii="Calibri" w:eastAsia="Times New Roman" w:hAnsi="Calibri" w:cs="Times New Roman"/>
      <w:b/>
      <w:bCs/>
      <w:i/>
      <w:iCs/>
      <w:sz w:val="26"/>
      <w:szCs w:val="26"/>
    </w:rPr>
  </w:style>
  <w:style w:type="paragraph" w:styleId="NormalWeb">
    <w:name w:val="Normal (Web)"/>
    <w:basedOn w:val="Normal"/>
    <w:uiPriority w:val="99"/>
    <w:unhideWhenUsed/>
    <w:rsid w:val="001E3B9A"/>
    <w:pPr>
      <w:spacing w:before="100" w:beforeAutospacing="1" w:after="100" w:afterAutospacing="1"/>
    </w:pPr>
    <w:rPr>
      <w:sz w:val="24"/>
      <w:szCs w:val="24"/>
    </w:rPr>
  </w:style>
  <w:style w:type="character" w:styleId="HTMLTypewriter">
    <w:name w:val="HTML Typewriter"/>
    <w:basedOn w:val="DefaultParagraphFont"/>
    <w:uiPriority w:val="99"/>
    <w:semiHidden/>
    <w:unhideWhenUsed/>
    <w:rsid w:val="003A21A0"/>
    <w:rPr>
      <w:rFonts w:ascii="Courier New" w:eastAsia="Calibri" w:hAnsi="Courier New" w:cs="Courier New" w:hint="default"/>
      <w:sz w:val="20"/>
      <w:szCs w:val="20"/>
    </w:rPr>
  </w:style>
  <w:style w:type="paragraph" w:styleId="ListParagraph">
    <w:name w:val="List Paragraph"/>
    <w:basedOn w:val="Normal"/>
    <w:uiPriority w:val="34"/>
    <w:qFormat/>
    <w:rsid w:val="00982469"/>
    <w:pPr>
      <w:ind w:left="720"/>
      <w:contextualSpacing/>
    </w:pPr>
  </w:style>
  <w:style w:type="character" w:styleId="CommentReference">
    <w:name w:val="annotation reference"/>
    <w:basedOn w:val="DefaultParagraphFont"/>
    <w:unhideWhenUsed/>
    <w:rsid w:val="00236E6E"/>
    <w:rPr>
      <w:sz w:val="16"/>
      <w:szCs w:val="16"/>
    </w:rPr>
  </w:style>
  <w:style w:type="paragraph" w:styleId="CommentText">
    <w:name w:val="annotation text"/>
    <w:basedOn w:val="Normal"/>
    <w:link w:val="CommentTextChar"/>
    <w:unhideWhenUsed/>
    <w:rsid w:val="00236E6E"/>
  </w:style>
  <w:style w:type="character" w:customStyle="1" w:styleId="CommentTextChar">
    <w:name w:val="Comment Text Char"/>
    <w:basedOn w:val="DefaultParagraphFont"/>
    <w:link w:val="CommentText"/>
    <w:rsid w:val="00236E6E"/>
  </w:style>
  <w:style w:type="paragraph" w:styleId="CommentSubject">
    <w:name w:val="annotation subject"/>
    <w:basedOn w:val="CommentText"/>
    <w:next w:val="CommentText"/>
    <w:link w:val="CommentSubjectChar"/>
    <w:uiPriority w:val="99"/>
    <w:semiHidden/>
    <w:unhideWhenUsed/>
    <w:rsid w:val="00236E6E"/>
    <w:rPr>
      <w:b/>
      <w:bCs/>
    </w:rPr>
  </w:style>
  <w:style w:type="character" w:customStyle="1" w:styleId="CommentSubjectChar">
    <w:name w:val="Comment Subject Char"/>
    <w:basedOn w:val="CommentTextChar"/>
    <w:link w:val="CommentSubject"/>
    <w:uiPriority w:val="99"/>
    <w:semiHidden/>
    <w:rsid w:val="00236E6E"/>
    <w:rPr>
      <w:b/>
      <w:bCs/>
    </w:rPr>
  </w:style>
  <w:style w:type="paragraph" w:styleId="BalloonText">
    <w:name w:val="Balloon Text"/>
    <w:basedOn w:val="Normal"/>
    <w:link w:val="BalloonTextChar"/>
    <w:uiPriority w:val="99"/>
    <w:semiHidden/>
    <w:unhideWhenUsed/>
    <w:rsid w:val="00236E6E"/>
    <w:rPr>
      <w:rFonts w:ascii="Tahoma" w:hAnsi="Tahoma" w:cs="Tahoma"/>
      <w:sz w:val="16"/>
      <w:szCs w:val="16"/>
    </w:rPr>
  </w:style>
  <w:style w:type="character" w:customStyle="1" w:styleId="BalloonTextChar">
    <w:name w:val="Balloon Text Char"/>
    <w:basedOn w:val="DefaultParagraphFont"/>
    <w:link w:val="BalloonText"/>
    <w:uiPriority w:val="99"/>
    <w:semiHidden/>
    <w:rsid w:val="00236E6E"/>
    <w:rPr>
      <w:rFonts w:ascii="Tahoma" w:hAnsi="Tahoma" w:cs="Tahoma"/>
      <w:sz w:val="16"/>
      <w:szCs w:val="16"/>
    </w:rPr>
  </w:style>
  <w:style w:type="paragraph" w:customStyle="1" w:styleId="NoNumHead5">
    <w:name w:val="NoNum:Head5"/>
    <w:basedOn w:val="Normal"/>
    <w:next w:val="Normal"/>
    <w:rsid w:val="00236E6E"/>
    <w:pPr>
      <w:keepNext/>
      <w:spacing w:after="240"/>
      <w:outlineLvl w:val="0"/>
    </w:pPr>
    <w:rPr>
      <w:rFonts w:ascii="Arial" w:hAnsi="Arial"/>
      <w:b/>
      <w:i/>
      <w:sz w:val="22"/>
      <w:lang w:val="en-GB" w:eastAsia="en-GB"/>
    </w:rPr>
  </w:style>
  <w:style w:type="paragraph" w:customStyle="1" w:styleId="listbull">
    <w:name w:val="list:bull"/>
    <w:basedOn w:val="Normal"/>
    <w:link w:val="listbullChar"/>
    <w:rsid w:val="00E8156F"/>
    <w:pPr>
      <w:numPr>
        <w:numId w:val="19"/>
      </w:numPr>
      <w:tabs>
        <w:tab w:val="clear" w:pos="432"/>
      </w:tabs>
      <w:spacing w:after="120"/>
    </w:pPr>
    <w:rPr>
      <w:sz w:val="24"/>
      <w:lang w:val="en-GB" w:eastAsia="en-GB"/>
    </w:rPr>
  </w:style>
  <w:style w:type="paragraph" w:customStyle="1" w:styleId="NoNumHead2">
    <w:name w:val="NoNum:Head2"/>
    <w:basedOn w:val="Normal"/>
    <w:next w:val="Normal"/>
    <w:link w:val="NoNumHead2Char"/>
    <w:rsid w:val="00E8156F"/>
    <w:pPr>
      <w:keepNext/>
      <w:spacing w:before="120" w:after="240"/>
      <w:outlineLvl w:val="0"/>
    </w:pPr>
    <w:rPr>
      <w:rFonts w:ascii="Arial" w:hAnsi="Arial"/>
      <w:b/>
      <w:sz w:val="26"/>
      <w:lang w:val="en-GB" w:eastAsia="en-GB"/>
    </w:rPr>
  </w:style>
  <w:style w:type="character" w:customStyle="1" w:styleId="listbullChar">
    <w:name w:val="list:bull Char"/>
    <w:basedOn w:val="DefaultParagraphFont"/>
    <w:link w:val="listbull"/>
    <w:rsid w:val="00E8156F"/>
    <w:rPr>
      <w:sz w:val="24"/>
      <w:lang w:val="en-GB" w:eastAsia="en-GB"/>
    </w:rPr>
  </w:style>
  <w:style w:type="character" w:customStyle="1" w:styleId="CSIchar">
    <w:name w:val="CSIchar"/>
    <w:basedOn w:val="DefaultParagraphFont"/>
    <w:rsid w:val="00517A18"/>
    <w:rPr>
      <w:shd w:val="clear" w:color="auto" w:fill="CCCCCC"/>
    </w:rPr>
  </w:style>
  <w:style w:type="paragraph" w:customStyle="1" w:styleId="Default">
    <w:name w:val="Default"/>
    <w:rsid w:val="00517A18"/>
    <w:pPr>
      <w:autoSpaceDE w:val="0"/>
      <w:autoSpaceDN w:val="0"/>
      <w:adjustRightInd w:val="0"/>
    </w:pPr>
    <w:rPr>
      <w:color w:val="000000"/>
      <w:sz w:val="24"/>
      <w:szCs w:val="24"/>
      <w:lang w:val="en-US" w:eastAsia="en-US"/>
    </w:rPr>
  </w:style>
  <w:style w:type="paragraph" w:styleId="Caption">
    <w:name w:val="caption"/>
    <w:basedOn w:val="Normal"/>
    <w:next w:val="Normal"/>
    <w:link w:val="CaptionChar"/>
    <w:qFormat/>
    <w:rsid w:val="00C43BEA"/>
    <w:pPr>
      <w:spacing w:before="120" w:after="120"/>
    </w:pPr>
    <w:rPr>
      <w:b/>
      <w:sz w:val="24"/>
      <w:lang w:val="en-GB" w:eastAsia="en-GB"/>
    </w:rPr>
  </w:style>
  <w:style w:type="paragraph" w:customStyle="1" w:styleId="NoNumHead4">
    <w:name w:val="NoNum:Head4"/>
    <w:basedOn w:val="Normal"/>
    <w:next w:val="Normal"/>
    <w:rsid w:val="00C43BEA"/>
    <w:pPr>
      <w:keepNext/>
      <w:spacing w:before="120" w:after="240"/>
      <w:outlineLvl w:val="0"/>
    </w:pPr>
    <w:rPr>
      <w:rFonts w:ascii="Arial" w:hAnsi="Arial"/>
      <w:b/>
      <w:sz w:val="22"/>
      <w:lang w:val="en-GB" w:eastAsia="en-GB"/>
    </w:rPr>
  </w:style>
  <w:style w:type="paragraph" w:customStyle="1" w:styleId="tabletextNS">
    <w:name w:val="table:textNS"/>
    <w:basedOn w:val="Normal"/>
    <w:link w:val="tabletextNSChar"/>
    <w:rsid w:val="00C43BEA"/>
    <w:rPr>
      <w:rFonts w:ascii="Arial Narrow" w:hAnsi="Arial Narrow"/>
      <w:sz w:val="24"/>
      <w:lang w:val="en-GB" w:eastAsia="en-GB"/>
    </w:rPr>
  </w:style>
  <w:style w:type="character" w:customStyle="1" w:styleId="tabletextNSChar">
    <w:name w:val="table:textNS Char"/>
    <w:basedOn w:val="DefaultParagraphFont"/>
    <w:link w:val="tabletextNS"/>
    <w:rsid w:val="00C43BEA"/>
    <w:rPr>
      <w:rFonts w:ascii="Arial Narrow" w:hAnsi="Arial Narrow"/>
      <w:sz w:val="24"/>
      <w:lang w:val="en-GB" w:eastAsia="en-GB"/>
    </w:rPr>
  </w:style>
  <w:style w:type="character" w:customStyle="1" w:styleId="CaptionChar">
    <w:name w:val="Caption Char"/>
    <w:basedOn w:val="DefaultParagraphFont"/>
    <w:link w:val="Caption"/>
    <w:rsid w:val="00C43BEA"/>
    <w:rPr>
      <w:b/>
      <w:sz w:val="24"/>
      <w:lang w:val="en-GB" w:eastAsia="en-GB"/>
    </w:rPr>
  </w:style>
  <w:style w:type="character" w:customStyle="1" w:styleId="CSI">
    <w:name w:val="CSI"/>
    <w:basedOn w:val="DefaultParagraphFont"/>
    <w:uiPriority w:val="1"/>
    <w:qFormat/>
    <w:rsid w:val="00C43BEA"/>
    <w:rPr>
      <w:bdr w:val="none" w:sz="0" w:space="0" w:color="auto"/>
      <w:shd w:val="clear" w:color="auto" w:fill="BFBFBF"/>
    </w:rPr>
  </w:style>
  <w:style w:type="paragraph" w:customStyle="1" w:styleId="NoNumHead3">
    <w:name w:val="NoNum:Head3"/>
    <w:basedOn w:val="NoNumHead2"/>
    <w:next w:val="Normal"/>
    <w:rsid w:val="001D275A"/>
    <w:rPr>
      <w:sz w:val="24"/>
    </w:rPr>
  </w:style>
  <w:style w:type="paragraph" w:customStyle="1" w:styleId="LBLBulletStyle1">
    <w:name w:val="LBL BulletStyle 1"/>
    <w:basedOn w:val="Normal"/>
    <w:rsid w:val="00DE0935"/>
    <w:pPr>
      <w:numPr>
        <w:numId w:val="23"/>
      </w:numPr>
      <w:tabs>
        <w:tab w:val="left" w:pos="720"/>
        <w:tab w:val="left" w:pos="994"/>
      </w:tabs>
      <w:spacing w:line="320" w:lineRule="atLeast"/>
    </w:pPr>
    <w:rPr>
      <w:sz w:val="24"/>
      <w:lang w:val="en-US" w:eastAsia="en-US"/>
    </w:rPr>
  </w:style>
  <w:style w:type="character" w:customStyle="1" w:styleId="LBLLevel3">
    <w:name w:val="LBLLevel 3"/>
    <w:basedOn w:val="DefaultParagraphFont"/>
    <w:rsid w:val="00DE48BD"/>
    <w:rPr>
      <w:rFonts w:ascii="Arial" w:hAnsi="Arial"/>
      <w:u w:val="single"/>
    </w:rPr>
  </w:style>
  <w:style w:type="paragraph" w:customStyle="1" w:styleId="listdashnospace">
    <w:name w:val="list:dashnospace"/>
    <w:basedOn w:val="Normal"/>
    <w:rsid w:val="002B2E9E"/>
    <w:pPr>
      <w:numPr>
        <w:numId w:val="24"/>
      </w:numPr>
    </w:pPr>
    <w:rPr>
      <w:sz w:val="24"/>
      <w:lang w:val="en-GB" w:eastAsia="en-US"/>
    </w:rPr>
  </w:style>
  <w:style w:type="character" w:customStyle="1" w:styleId="NoNumHead2Char">
    <w:name w:val="NoNum:Head2 Char"/>
    <w:basedOn w:val="DefaultParagraphFont"/>
    <w:link w:val="NoNumHead2"/>
    <w:rsid w:val="00AF6EA0"/>
    <w:rPr>
      <w:rFonts w:ascii="Arial" w:hAnsi="Arial"/>
      <w:b/>
      <w:sz w:val="26"/>
      <w:lang w:val="en-GB" w:eastAsia="en-GB"/>
    </w:rPr>
  </w:style>
  <w:style w:type="paragraph" w:customStyle="1" w:styleId="captiontable">
    <w:name w:val="caption:table"/>
    <w:basedOn w:val="Normal"/>
    <w:next w:val="Normal"/>
    <w:link w:val="captiontableChar"/>
    <w:rsid w:val="00904D59"/>
    <w:pPr>
      <w:keepNext/>
      <w:spacing w:after="240"/>
      <w:ind w:left="1440" w:hanging="1440"/>
    </w:pPr>
    <w:rPr>
      <w:rFonts w:ascii="Arial" w:hAnsi="Arial" w:cs="Arial"/>
      <w:b/>
      <w:bCs/>
      <w:sz w:val="22"/>
      <w:szCs w:val="22"/>
      <w:lang w:val="en-GB" w:eastAsia="en-GB"/>
    </w:rPr>
  </w:style>
  <w:style w:type="character" w:customStyle="1" w:styleId="captiontableChar">
    <w:name w:val="caption:table Char"/>
    <w:basedOn w:val="DefaultParagraphFont"/>
    <w:link w:val="captiontable"/>
    <w:rsid w:val="00904D59"/>
    <w:rPr>
      <w:rFonts w:ascii="Arial" w:hAnsi="Arial" w:cs="Arial"/>
      <w:b/>
      <w:bCs/>
      <w:sz w:val="22"/>
      <w:szCs w:val="22"/>
      <w:lang w:val="en-GB" w:eastAsia="en-GB"/>
    </w:rPr>
  </w:style>
  <w:style w:type="paragraph" w:customStyle="1" w:styleId="listindentbull">
    <w:name w:val="list:indent bull"/>
    <w:link w:val="listindentbullChar"/>
    <w:rsid w:val="00445972"/>
    <w:pPr>
      <w:numPr>
        <w:numId w:val="25"/>
      </w:numPr>
      <w:spacing w:after="120"/>
    </w:pPr>
    <w:rPr>
      <w:sz w:val="24"/>
      <w:szCs w:val="24"/>
      <w:lang w:val="en-GB" w:eastAsia="en-US"/>
    </w:rPr>
  </w:style>
  <w:style w:type="character" w:customStyle="1" w:styleId="listindentbullChar">
    <w:name w:val="list:indent bull Char"/>
    <w:basedOn w:val="DefaultParagraphFont"/>
    <w:link w:val="listindentbull"/>
    <w:rsid w:val="00445972"/>
    <w:rPr>
      <w:sz w:val="24"/>
      <w:szCs w:val="24"/>
      <w:lang w:val="en-GB" w:eastAsia="en-US" w:bidi="ar-SA"/>
    </w:rPr>
  </w:style>
  <w:style w:type="character" w:customStyle="1" w:styleId="LBLTableFootnotesChar">
    <w:name w:val="LBL Table Footnotes Char"/>
    <w:basedOn w:val="DefaultParagraphFont"/>
    <w:link w:val="LBLTableFootnotes"/>
    <w:rsid w:val="00C77033"/>
    <w:rPr>
      <w:sz w:val="24"/>
    </w:rPr>
  </w:style>
  <w:style w:type="paragraph" w:customStyle="1" w:styleId="LBLTableFootnotes">
    <w:name w:val="LBL Table Footnotes"/>
    <w:basedOn w:val="Normal"/>
    <w:link w:val="LBLTableFootnotesChar"/>
    <w:rsid w:val="00C77033"/>
    <w:pPr>
      <w:tabs>
        <w:tab w:val="left" w:pos="720"/>
        <w:tab w:val="left" w:pos="994"/>
      </w:tabs>
      <w:spacing w:line="320" w:lineRule="atLeast"/>
      <w:ind w:left="274" w:hanging="274"/>
    </w:pPr>
    <w:rPr>
      <w:sz w:val="24"/>
    </w:rPr>
  </w:style>
  <w:style w:type="paragraph" w:customStyle="1" w:styleId="tabletext">
    <w:name w:val="table:text"/>
    <w:basedOn w:val="Normal"/>
    <w:link w:val="tabletextChar"/>
    <w:rsid w:val="004404CD"/>
    <w:pPr>
      <w:spacing w:before="120" w:after="120"/>
    </w:pPr>
    <w:rPr>
      <w:rFonts w:ascii="Arial Narrow" w:hAnsi="Arial Narrow" w:cs="Arial Narrow"/>
      <w:sz w:val="24"/>
      <w:lang w:val="en-GB" w:eastAsia="en-GB"/>
    </w:rPr>
  </w:style>
  <w:style w:type="character" w:customStyle="1" w:styleId="tabletextChar">
    <w:name w:val="table:text Char"/>
    <w:basedOn w:val="DefaultParagraphFont"/>
    <w:link w:val="tabletext"/>
    <w:rsid w:val="004404CD"/>
    <w:rPr>
      <w:rFonts w:ascii="Arial Narrow" w:hAnsi="Arial Narrow" w:cs="Arial Narrow"/>
      <w:sz w:val="24"/>
      <w:lang w:val="en-GB" w:eastAsia="en-GB"/>
    </w:rPr>
  </w:style>
  <w:style w:type="paragraph" w:styleId="Revision">
    <w:name w:val="Revision"/>
    <w:hidden/>
    <w:uiPriority w:val="99"/>
    <w:semiHidden/>
    <w:rsid w:val="00FC666C"/>
  </w:style>
  <w:style w:type="paragraph" w:customStyle="1" w:styleId="BodytextAgency">
    <w:name w:val="Body text (Agency)"/>
    <w:basedOn w:val="Normal"/>
    <w:link w:val="BodytextAgencyChar"/>
    <w:qFormat/>
    <w:rsid w:val="008A70AC"/>
    <w:pPr>
      <w:spacing w:after="140" w:line="280" w:lineRule="atLeast"/>
    </w:pPr>
    <w:rPr>
      <w:rFonts w:ascii="Verdana" w:eastAsia="Verdana" w:hAnsi="Verdana"/>
      <w:sz w:val="18"/>
      <w:szCs w:val="18"/>
      <w:lang w:val="x-none" w:eastAsia="x-none"/>
    </w:rPr>
  </w:style>
  <w:style w:type="character" w:customStyle="1" w:styleId="BodytextAgencyChar">
    <w:name w:val="Body text (Agency) Char"/>
    <w:link w:val="BodytextAgency"/>
    <w:rsid w:val="008A70AC"/>
    <w:rPr>
      <w:rFonts w:ascii="Verdana" w:eastAsia="Verdana" w:hAnsi="Verdana"/>
      <w:sz w:val="18"/>
      <w:szCs w:val="18"/>
    </w:rPr>
  </w:style>
  <w:style w:type="character" w:styleId="Hyperlink">
    <w:name w:val="Hyperlink"/>
    <w:basedOn w:val="DefaultParagraphFont"/>
    <w:uiPriority w:val="99"/>
    <w:unhideWhenUsed/>
    <w:rsid w:val="001E3F94"/>
    <w:rPr>
      <w:color w:val="0000FF"/>
      <w:u w:val="single"/>
    </w:rPr>
  </w:style>
  <w:style w:type="character" w:styleId="FollowedHyperlink">
    <w:name w:val="FollowedHyperlink"/>
    <w:basedOn w:val="DefaultParagraphFont"/>
    <w:uiPriority w:val="99"/>
    <w:semiHidden/>
    <w:unhideWhenUsed/>
    <w:rsid w:val="00216C00"/>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10820">
      <w:bodyDiv w:val="1"/>
      <w:marLeft w:val="0"/>
      <w:marRight w:val="0"/>
      <w:marTop w:val="0"/>
      <w:marBottom w:val="0"/>
      <w:divBdr>
        <w:top w:val="none" w:sz="0" w:space="0" w:color="auto"/>
        <w:left w:val="none" w:sz="0" w:space="0" w:color="auto"/>
        <w:bottom w:val="none" w:sz="0" w:space="0" w:color="auto"/>
        <w:right w:val="none" w:sz="0" w:space="0" w:color="auto"/>
      </w:divBdr>
    </w:div>
    <w:div w:id="682821160">
      <w:bodyDiv w:val="1"/>
      <w:marLeft w:val="0"/>
      <w:marRight w:val="0"/>
      <w:marTop w:val="0"/>
      <w:marBottom w:val="0"/>
      <w:divBdr>
        <w:top w:val="none" w:sz="0" w:space="0" w:color="auto"/>
        <w:left w:val="none" w:sz="0" w:space="0" w:color="auto"/>
        <w:bottom w:val="none" w:sz="0" w:space="0" w:color="auto"/>
        <w:right w:val="none" w:sz="0" w:space="0" w:color="auto"/>
      </w:divBdr>
      <w:divsChild>
        <w:div w:id="1630476581">
          <w:marLeft w:val="0"/>
          <w:marRight w:val="0"/>
          <w:marTop w:val="0"/>
          <w:marBottom w:val="0"/>
          <w:divBdr>
            <w:top w:val="none" w:sz="0" w:space="0" w:color="auto"/>
            <w:left w:val="none" w:sz="0" w:space="0" w:color="auto"/>
            <w:bottom w:val="none" w:sz="0" w:space="0" w:color="auto"/>
            <w:right w:val="none" w:sz="0" w:space="0" w:color="auto"/>
          </w:divBdr>
          <w:divsChild>
            <w:div w:id="72726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7737">
      <w:bodyDiv w:val="1"/>
      <w:marLeft w:val="0"/>
      <w:marRight w:val="0"/>
      <w:marTop w:val="0"/>
      <w:marBottom w:val="0"/>
      <w:divBdr>
        <w:top w:val="none" w:sz="0" w:space="0" w:color="auto"/>
        <w:left w:val="none" w:sz="0" w:space="0" w:color="auto"/>
        <w:bottom w:val="none" w:sz="0" w:space="0" w:color="auto"/>
        <w:right w:val="none" w:sz="0" w:space="0" w:color="auto"/>
      </w:divBdr>
    </w:div>
    <w:div w:id="873810694">
      <w:bodyDiv w:val="1"/>
      <w:marLeft w:val="0"/>
      <w:marRight w:val="0"/>
      <w:marTop w:val="0"/>
      <w:marBottom w:val="0"/>
      <w:divBdr>
        <w:top w:val="none" w:sz="0" w:space="0" w:color="auto"/>
        <w:left w:val="none" w:sz="0" w:space="0" w:color="auto"/>
        <w:bottom w:val="none" w:sz="0" w:space="0" w:color="auto"/>
        <w:right w:val="none" w:sz="0" w:space="0" w:color="auto"/>
      </w:divBdr>
    </w:div>
    <w:div w:id="1025055063">
      <w:bodyDiv w:val="1"/>
      <w:marLeft w:val="22"/>
      <w:marRight w:val="22"/>
      <w:marTop w:val="0"/>
      <w:marBottom w:val="0"/>
      <w:divBdr>
        <w:top w:val="none" w:sz="0" w:space="0" w:color="auto"/>
        <w:left w:val="none" w:sz="0" w:space="0" w:color="auto"/>
        <w:bottom w:val="none" w:sz="0" w:space="0" w:color="auto"/>
        <w:right w:val="none" w:sz="0" w:space="0" w:color="auto"/>
      </w:divBdr>
      <w:divsChild>
        <w:div w:id="49617199">
          <w:marLeft w:val="0"/>
          <w:marRight w:val="0"/>
          <w:marTop w:val="0"/>
          <w:marBottom w:val="0"/>
          <w:divBdr>
            <w:top w:val="none" w:sz="0" w:space="0" w:color="auto"/>
            <w:left w:val="none" w:sz="0" w:space="0" w:color="auto"/>
            <w:bottom w:val="none" w:sz="0" w:space="0" w:color="auto"/>
            <w:right w:val="none" w:sz="0" w:space="0" w:color="auto"/>
          </w:divBdr>
          <w:divsChild>
            <w:div w:id="1471289039">
              <w:marLeft w:val="0"/>
              <w:marRight w:val="0"/>
              <w:marTop w:val="0"/>
              <w:marBottom w:val="0"/>
              <w:divBdr>
                <w:top w:val="none" w:sz="0" w:space="0" w:color="auto"/>
                <w:left w:val="none" w:sz="0" w:space="0" w:color="auto"/>
                <w:bottom w:val="none" w:sz="0" w:space="0" w:color="auto"/>
                <w:right w:val="none" w:sz="0" w:space="0" w:color="auto"/>
              </w:divBdr>
              <w:divsChild>
                <w:div w:id="708140851">
                  <w:marLeft w:val="131"/>
                  <w:marRight w:val="0"/>
                  <w:marTop w:val="0"/>
                  <w:marBottom w:val="0"/>
                  <w:divBdr>
                    <w:top w:val="none" w:sz="0" w:space="0" w:color="auto"/>
                    <w:left w:val="none" w:sz="0" w:space="0" w:color="auto"/>
                    <w:bottom w:val="none" w:sz="0" w:space="0" w:color="auto"/>
                    <w:right w:val="none" w:sz="0" w:space="0" w:color="auto"/>
                  </w:divBdr>
                  <w:divsChild>
                    <w:div w:id="113044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227351">
      <w:bodyDiv w:val="1"/>
      <w:marLeft w:val="0"/>
      <w:marRight w:val="0"/>
      <w:marTop w:val="0"/>
      <w:marBottom w:val="0"/>
      <w:divBdr>
        <w:top w:val="none" w:sz="0" w:space="0" w:color="auto"/>
        <w:left w:val="none" w:sz="0" w:space="0" w:color="auto"/>
        <w:bottom w:val="none" w:sz="0" w:space="0" w:color="auto"/>
        <w:right w:val="none" w:sz="0" w:space="0" w:color="auto"/>
      </w:divBdr>
    </w:div>
    <w:div w:id="1152327567">
      <w:bodyDiv w:val="1"/>
      <w:marLeft w:val="0"/>
      <w:marRight w:val="0"/>
      <w:marTop w:val="0"/>
      <w:marBottom w:val="0"/>
      <w:divBdr>
        <w:top w:val="none" w:sz="0" w:space="0" w:color="auto"/>
        <w:left w:val="none" w:sz="0" w:space="0" w:color="auto"/>
        <w:bottom w:val="none" w:sz="0" w:space="0" w:color="auto"/>
        <w:right w:val="none" w:sz="0" w:space="0" w:color="auto"/>
      </w:divBdr>
    </w:div>
    <w:div w:id="1307903197">
      <w:bodyDiv w:val="1"/>
      <w:marLeft w:val="0"/>
      <w:marRight w:val="0"/>
      <w:marTop w:val="0"/>
      <w:marBottom w:val="0"/>
      <w:divBdr>
        <w:top w:val="none" w:sz="0" w:space="0" w:color="auto"/>
        <w:left w:val="none" w:sz="0" w:space="0" w:color="auto"/>
        <w:bottom w:val="none" w:sz="0" w:space="0" w:color="auto"/>
        <w:right w:val="none" w:sz="0" w:space="0" w:color="auto"/>
      </w:divBdr>
      <w:divsChild>
        <w:div w:id="1857426886">
          <w:marLeft w:val="0"/>
          <w:marRight w:val="0"/>
          <w:marTop w:val="0"/>
          <w:marBottom w:val="0"/>
          <w:divBdr>
            <w:top w:val="none" w:sz="0" w:space="0" w:color="auto"/>
            <w:left w:val="none" w:sz="0" w:space="0" w:color="auto"/>
            <w:bottom w:val="none" w:sz="0" w:space="0" w:color="auto"/>
            <w:right w:val="none" w:sz="0" w:space="0" w:color="auto"/>
          </w:divBdr>
          <w:divsChild>
            <w:div w:id="80762956">
              <w:marLeft w:val="0"/>
              <w:marRight w:val="0"/>
              <w:marTop w:val="0"/>
              <w:marBottom w:val="0"/>
              <w:divBdr>
                <w:top w:val="none" w:sz="0" w:space="0" w:color="auto"/>
                <w:left w:val="none" w:sz="0" w:space="0" w:color="auto"/>
                <w:bottom w:val="none" w:sz="0" w:space="0" w:color="auto"/>
                <w:right w:val="none" w:sz="0" w:space="0" w:color="auto"/>
              </w:divBdr>
              <w:divsChild>
                <w:div w:id="247348018">
                  <w:blockQuote w:val="1"/>
                  <w:marLeft w:val="720"/>
                  <w:marRight w:val="0"/>
                  <w:marTop w:val="100"/>
                  <w:marBottom w:val="100"/>
                  <w:divBdr>
                    <w:top w:val="none" w:sz="0" w:space="0" w:color="auto"/>
                    <w:left w:val="none" w:sz="0" w:space="0" w:color="auto"/>
                    <w:bottom w:val="none" w:sz="0" w:space="0" w:color="auto"/>
                    <w:right w:val="none" w:sz="0" w:space="0" w:color="auto"/>
                  </w:divBdr>
                </w:div>
                <w:div w:id="577443526">
                  <w:blockQuote w:val="1"/>
                  <w:marLeft w:val="720"/>
                  <w:marRight w:val="0"/>
                  <w:marTop w:val="100"/>
                  <w:marBottom w:val="100"/>
                  <w:divBdr>
                    <w:top w:val="none" w:sz="0" w:space="0" w:color="auto"/>
                    <w:left w:val="none" w:sz="0" w:space="0" w:color="auto"/>
                    <w:bottom w:val="none" w:sz="0" w:space="0" w:color="auto"/>
                    <w:right w:val="none" w:sz="0" w:space="0" w:color="auto"/>
                  </w:divBdr>
                </w:div>
                <w:div w:id="206864516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359233714">
      <w:bodyDiv w:val="1"/>
      <w:marLeft w:val="22"/>
      <w:marRight w:val="22"/>
      <w:marTop w:val="0"/>
      <w:marBottom w:val="0"/>
      <w:divBdr>
        <w:top w:val="none" w:sz="0" w:space="0" w:color="auto"/>
        <w:left w:val="none" w:sz="0" w:space="0" w:color="auto"/>
        <w:bottom w:val="none" w:sz="0" w:space="0" w:color="auto"/>
        <w:right w:val="none" w:sz="0" w:space="0" w:color="auto"/>
      </w:divBdr>
      <w:divsChild>
        <w:div w:id="1585185741">
          <w:marLeft w:val="0"/>
          <w:marRight w:val="0"/>
          <w:marTop w:val="0"/>
          <w:marBottom w:val="0"/>
          <w:divBdr>
            <w:top w:val="none" w:sz="0" w:space="0" w:color="auto"/>
            <w:left w:val="none" w:sz="0" w:space="0" w:color="auto"/>
            <w:bottom w:val="none" w:sz="0" w:space="0" w:color="auto"/>
            <w:right w:val="none" w:sz="0" w:space="0" w:color="auto"/>
          </w:divBdr>
          <w:divsChild>
            <w:div w:id="1499270588">
              <w:marLeft w:val="0"/>
              <w:marRight w:val="0"/>
              <w:marTop w:val="0"/>
              <w:marBottom w:val="0"/>
              <w:divBdr>
                <w:top w:val="none" w:sz="0" w:space="0" w:color="auto"/>
                <w:left w:val="none" w:sz="0" w:space="0" w:color="auto"/>
                <w:bottom w:val="none" w:sz="0" w:space="0" w:color="auto"/>
                <w:right w:val="none" w:sz="0" w:space="0" w:color="auto"/>
              </w:divBdr>
              <w:divsChild>
                <w:div w:id="1212886962">
                  <w:marLeft w:val="131"/>
                  <w:marRight w:val="0"/>
                  <w:marTop w:val="0"/>
                  <w:marBottom w:val="0"/>
                  <w:divBdr>
                    <w:top w:val="none" w:sz="0" w:space="0" w:color="auto"/>
                    <w:left w:val="none" w:sz="0" w:space="0" w:color="auto"/>
                    <w:bottom w:val="none" w:sz="0" w:space="0" w:color="auto"/>
                    <w:right w:val="none" w:sz="0" w:space="0" w:color="auto"/>
                  </w:divBdr>
                  <w:divsChild>
                    <w:div w:id="16555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772064">
      <w:bodyDiv w:val="1"/>
      <w:marLeft w:val="0"/>
      <w:marRight w:val="0"/>
      <w:marTop w:val="0"/>
      <w:marBottom w:val="0"/>
      <w:divBdr>
        <w:top w:val="none" w:sz="0" w:space="0" w:color="auto"/>
        <w:left w:val="none" w:sz="0" w:space="0" w:color="auto"/>
        <w:bottom w:val="none" w:sz="0" w:space="0" w:color="auto"/>
        <w:right w:val="none" w:sz="0" w:space="0" w:color="auto"/>
      </w:divBdr>
    </w:div>
    <w:div w:id="1653873008">
      <w:bodyDiv w:val="1"/>
      <w:marLeft w:val="0"/>
      <w:marRight w:val="0"/>
      <w:marTop w:val="0"/>
      <w:marBottom w:val="0"/>
      <w:divBdr>
        <w:top w:val="none" w:sz="0" w:space="0" w:color="auto"/>
        <w:left w:val="none" w:sz="0" w:space="0" w:color="auto"/>
        <w:bottom w:val="none" w:sz="0" w:space="0" w:color="auto"/>
        <w:right w:val="none" w:sz="0" w:space="0" w:color="auto"/>
      </w:divBdr>
    </w:div>
    <w:div w:id="1917931382">
      <w:bodyDiv w:val="1"/>
      <w:marLeft w:val="22"/>
      <w:marRight w:val="22"/>
      <w:marTop w:val="0"/>
      <w:marBottom w:val="0"/>
      <w:divBdr>
        <w:top w:val="none" w:sz="0" w:space="0" w:color="auto"/>
        <w:left w:val="none" w:sz="0" w:space="0" w:color="auto"/>
        <w:bottom w:val="none" w:sz="0" w:space="0" w:color="auto"/>
        <w:right w:val="none" w:sz="0" w:space="0" w:color="auto"/>
      </w:divBdr>
      <w:divsChild>
        <w:div w:id="1940018819">
          <w:marLeft w:val="0"/>
          <w:marRight w:val="0"/>
          <w:marTop w:val="0"/>
          <w:marBottom w:val="0"/>
          <w:divBdr>
            <w:top w:val="none" w:sz="0" w:space="0" w:color="auto"/>
            <w:left w:val="none" w:sz="0" w:space="0" w:color="auto"/>
            <w:bottom w:val="none" w:sz="0" w:space="0" w:color="auto"/>
            <w:right w:val="none" w:sz="0" w:space="0" w:color="auto"/>
          </w:divBdr>
          <w:divsChild>
            <w:div w:id="1143348689">
              <w:marLeft w:val="0"/>
              <w:marRight w:val="0"/>
              <w:marTop w:val="0"/>
              <w:marBottom w:val="0"/>
              <w:divBdr>
                <w:top w:val="none" w:sz="0" w:space="0" w:color="auto"/>
                <w:left w:val="none" w:sz="0" w:space="0" w:color="auto"/>
                <w:bottom w:val="none" w:sz="0" w:space="0" w:color="auto"/>
                <w:right w:val="none" w:sz="0" w:space="0" w:color="auto"/>
              </w:divBdr>
              <w:divsChild>
                <w:div w:id="559829159">
                  <w:marLeft w:val="131"/>
                  <w:marRight w:val="0"/>
                  <w:marTop w:val="0"/>
                  <w:marBottom w:val="0"/>
                  <w:divBdr>
                    <w:top w:val="none" w:sz="0" w:space="0" w:color="auto"/>
                    <w:left w:val="none" w:sz="0" w:space="0" w:color="auto"/>
                    <w:bottom w:val="none" w:sz="0" w:space="0" w:color="auto"/>
                    <w:right w:val="none" w:sz="0" w:space="0" w:color="auto"/>
                  </w:divBdr>
                  <w:divsChild>
                    <w:div w:id="136964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rr71091\My%20Documents\DRAFT%20-%20Aus%20-%20Product%20Information%20-%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25B371-92A6-47DB-938B-8624FFB75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 Aus - Product Information - Template.dot</Template>
  <TotalTime>11</TotalTime>
  <Pages>26</Pages>
  <Words>9011</Words>
  <Characters>50589</Characters>
  <Application>Microsoft Office Word</Application>
  <DocSecurity>0</DocSecurity>
  <Lines>1011</Lines>
  <Paragraphs>428</Paragraphs>
  <ScaleCrop>false</ScaleCrop>
  <HeadingPairs>
    <vt:vector size="2" baseType="variant">
      <vt:variant>
        <vt:lpstr>Title</vt:lpstr>
      </vt:variant>
      <vt:variant>
        <vt:i4>1</vt:i4>
      </vt:variant>
    </vt:vector>
  </HeadingPairs>
  <TitlesOfParts>
    <vt:vector size="1" baseType="lpstr">
      <vt:lpstr>AusPAR Attachment 2: Product Information for Tramatenib (as dimethyl sulfoxide) (Mekinist)</vt:lpstr>
    </vt:vector>
  </TitlesOfParts>
  <Company>GlaxoSmithKline</Company>
  <LinksUpToDate>false</LinksUpToDate>
  <CharactersWithSpaces>59172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Tramatenib (as dimethyl sulfoxide) (Mekinist)</dc:title>
  <dc:subject>prescription medicines regulation</dc:subject>
  <dc:creator>GlaxoSmithKline Australia Pty Ltd</dc:creator>
  <cp:keywords>pi, product information, prescription, medicine, regulation, tramatenib (as dimethyl sulfoxide), mekinist</cp:keywords>
  <cp:lastModifiedBy>Sheppard, Fran</cp:lastModifiedBy>
  <cp:revision>5</cp:revision>
  <cp:lastPrinted>2014-01-28T15:15:00Z</cp:lastPrinted>
  <dcterms:created xsi:type="dcterms:W3CDTF">2014-03-16T23:44:00Z</dcterms:created>
  <dcterms:modified xsi:type="dcterms:W3CDTF">2014-07-16T05:59:00Z</dcterms:modified>
</cp:coreProperties>
</file>