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AB8D62E" w14:textId="77777777" w:rsidTr="00BF1190">
        <w:trPr>
          <w:trHeight w:val="1863"/>
        </w:trPr>
        <w:tc>
          <w:tcPr>
            <w:tcW w:w="3652" w:type="dxa"/>
            <w:tcBorders>
              <w:top w:val="nil"/>
              <w:left w:val="nil"/>
              <w:bottom w:val="nil"/>
              <w:right w:val="nil"/>
            </w:tcBorders>
          </w:tcPr>
          <w:p w14:paraId="4B24B822" w14:textId="77777777" w:rsidR="008E7846" w:rsidRPr="00096AA7" w:rsidRDefault="00F423DB" w:rsidP="00096AA7">
            <w:pPr>
              <w:rPr>
                <w:rFonts w:ascii="Arial" w:hAnsi="Arial" w:cs="Arial"/>
                <w:b/>
                <w:color w:val="002C47"/>
                <w:sz w:val="36"/>
                <w:szCs w:val="36"/>
              </w:rPr>
            </w:pPr>
            <w:r>
              <w:rPr>
                <w:rFonts w:ascii="Arial" w:hAnsi="Arial" w:cs="Arial"/>
                <w:b/>
                <w:color w:val="002C47"/>
                <w:sz w:val="36"/>
                <w:szCs w:val="36"/>
              </w:rPr>
              <w:t>May</w:t>
            </w:r>
            <w:r w:rsidR="00C346AB">
              <w:rPr>
                <w:rFonts w:ascii="Arial" w:hAnsi="Arial" w:cs="Arial"/>
                <w:b/>
                <w:color w:val="002C47"/>
                <w:sz w:val="36"/>
                <w:szCs w:val="36"/>
              </w:rPr>
              <w:t xml:space="preserve"> </w:t>
            </w:r>
            <w:r>
              <w:rPr>
                <w:rFonts w:ascii="Arial" w:hAnsi="Arial" w:cs="Arial"/>
                <w:b/>
                <w:color w:val="002C47"/>
                <w:sz w:val="36"/>
                <w:szCs w:val="36"/>
              </w:rPr>
              <w:t>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39C2A8DA" w14:textId="77777777" w:rsidTr="0032583B">
        <w:trPr>
          <w:trHeight w:val="868"/>
        </w:trPr>
        <w:tc>
          <w:tcPr>
            <w:tcW w:w="9079" w:type="dxa"/>
          </w:tcPr>
          <w:p w14:paraId="7FFD76C7" w14:textId="77777777" w:rsidR="0032583B" w:rsidRPr="00A964D1" w:rsidRDefault="0032583B" w:rsidP="00F423DB">
            <w:pPr>
              <w:pStyle w:val="Title"/>
              <w:rPr>
                <w:color w:val="FFFFFF" w:themeColor="background1"/>
              </w:rPr>
            </w:pPr>
            <w:r w:rsidRPr="00A964D1">
              <w:rPr>
                <w:color w:val="FFFFFF" w:themeColor="background1"/>
              </w:rPr>
              <w:t>Australia</w:t>
            </w:r>
            <w:r w:rsidR="00F423DB">
              <w:rPr>
                <w:color w:val="FFFFFF" w:themeColor="background1"/>
              </w:rPr>
              <w:t xml:space="preserve">n Public Assessment Report for </w:t>
            </w:r>
            <w:proofErr w:type="spellStart"/>
            <w:r w:rsidR="00F423DB">
              <w:rPr>
                <w:color w:val="FFFFFF" w:themeColor="background1"/>
              </w:rPr>
              <w:t>T</w:t>
            </w:r>
            <w:r w:rsidR="00F423DB" w:rsidRPr="00F423DB">
              <w:rPr>
                <w:color w:val="FFFFFF" w:themeColor="background1"/>
              </w:rPr>
              <w:t>rabectedin</w:t>
            </w:r>
            <w:proofErr w:type="spellEnd"/>
          </w:p>
        </w:tc>
      </w:tr>
      <w:tr w:rsidR="0032583B" w:rsidRPr="00B64760" w14:paraId="25B4929D" w14:textId="77777777" w:rsidTr="0032583B">
        <w:tc>
          <w:tcPr>
            <w:tcW w:w="9079" w:type="dxa"/>
          </w:tcPr>
          <w:p w14:paraId="7BD49712" w14:textId="77777777" w:rsidR="0032583B" w:rsidRPr="008E7846" w:rsidRDefault="00F423DB" w:rsidP="00F423DB">
            <w:pPr>
              <w:pStyle w:val="Subtitle"/>
              <w:rPr>
                <w:color w:val="FFFFFF" w:themeColor="background1"/>
              </w:rPr>
            </w:pPr>
            <w:r>
              <w:rPr>
                <w:color w:val="FFFFFF" w:themeColor="background1"/>
              </w:rPr>
              <w:t xml:space="preserve">Proprietary Product Name: </w:t>
            </w:r>
            <w:r w:rsidRPr="00F423DB">
              <w:rPr>
                <w:color w:val="FFFFFF" w:themeColor="background1"/>
              </w:rPr>
              <w:t>Y</w:t>
            </w:r>
            <w:r>
              <w:rPr>
                <w:color w:val="FFFFFF" w:themeColor="background1"/>
              </w:rPr>
              <w:t>ondelis</w:t>
            </w:r>
          </w:p>
        </w:tc>
      </w:tr>
      <w:tr w:rsidR="0032583B" w:rsidRPr="00B64760" w14:paraId="33DFFFF3" w14:textId="77777777" w:rsidTr="0032583B">
        <w:trPr>
          <w:trHeight w:val="486"/>
        </w:trPr>
        <w:tc>
          <w:tcPr>
            <w:tcW w:w="9079" w:type="dxa"/>
          </w:tcPr>
          <w:p w14:paraId="1B695B4B" w14:textId="77777777" w:rsidR="0032583B" w:rsidRPr="008E7846" w:rsidRDefault="00F423DB" w:rsidP="00F423DB">
            <w:pPr>
              <w:pStyle w:val="Subtitle"/>
              <w:rPr>
                <w:color w:val="FFFFFF" w:themeColor="background1"/>
              </w:rPr>
            </w:pPr>
            <w:r>
              <w:rPr>
                <w:color w:val="FFFFFF" w:themeColor="background1"/>
              </w:rPr>
              <w:t xml:space="preserve">Sponsor: </w:t>
            </w:r>
            <w:r w:rsidRPr="00F423DB">
              <w:rPr>
                <w:color w:val="FFFFFF" w:themeColor="background1"/>
              </w:rPr>
              <w:t>Speciali</w:t>
            </w:r>
            <w:r>
              <w:rPr>
                <w:color w:val="FFFFFF" w:themeColor="background1"/>
              </w:rPr>
              <w:t>sed Therapeutics Pharma Pty Ltd</w:t>
            </w:r>
          </w:p>
        </w:tc>
      </w:tr>
    </w:tbl>
    <w:p w14:paraId="336ACD7E" w14:textId="77777777" w:rsidR="008E7846" w:rsidRPr="0085156D" w:rsidRDefault="008E7846" w:rsidP="0085156D">
      <w:r w:rsidRPr="0085156D">
        <w:br w:type="page"/>
      </w:r>
    </w:p>
    <w:p w14:paraId="235A27CD" w14:textId="77777777" w:rsidR="008E7846" w:rsidRPr="001F6CBA" w:rsidRDefault="008E7846" w:rsidP="008E7846">
      <w:pPr>
        <w:pStyle w:val="NonTOCHeading2"/>
      </w:pPr>
      <w:r w:rsidRPr="001F6CBA">
        <w:lastRenderedPageBreak/>
        <w:t>About the Therapeutic Goods Administration (TGA)</w:t>
      </w:r>
    </w:p>
    <w:p w14:paraId="54B5B2D2"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599A09D7"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057857FF"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74D491C6"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19E9455B" w14:textId="1E51F385"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2516613E" w14:textId="77777777" w:rsidR="008E7846" w:rsidRDefault="008E7846" w:rsidP="00875A6B">
      <w:pPr>
        <w:pStyle w:val="NonTOCHeading2"/>
      </w:pPr>
      <w:r>
        <w:t>About AusPARs</w:t>
      </w:r>
    </w:p>
    <w:p w14:paraId="669D4F4D"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3BF83DA0" w14:textId="77777777" w:rsidR="008E7846" w:rsidRDefault="008E7846" w:rsidP="008E7846">
      <w:pPr>
        <w:pStyle w:val="ListBullet"/>
        <w:numPr>
          <w:ilvl w:val="0"/>
          <w:numId w:val="3"/>
        </w:numPr>
        <w:ind w:left="357" w:hanging="357"/>
      </w:pPr>
      <w:r>
        <w:t>AusPARs are prepared and published by the TGA.</w:t>
      </w:r>
    </w:p>
    <w:p w14:paraId="3D60F83E"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C20498D"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DB276B3"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128067A7" w14:textId="77777777" w:rsidR="00924482" w:rsidRPr="00DF1D7F" w:rsidRDefault="00924482" w:rsidP="00F54B65">
      <w:pPr>
        <w:pStyle w:val="LegalSubheading"/>
        <w:spacing w:before="3120"/>
      </w:pPr>
      <w:r w:rsidRPr="00DF1D7F">
        <w:t>Copyright</w:t>
      </w:r>
    </w:p>
    <w:p w14:paraId="6315351A" w14:textId="48F8033E"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3FA31291"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E0C22A2" w14:textId="77777777" w:rsidR="0089635C" w:rsidRPr="0089635C" w:rsidRDefault="0089635C" w:rsidP="0010788A">
          <w:pPr>
            <w:pStyle w:val="Contents"/>
          </w:pPr>
          <w:r w:rsidRPr="0010788A">
            <w:t>Contents</w:t>
          </w:r>
        </w:p>
        <w:p w14:paraId="0BF6E8B1" w14:textId="17B83336" w:rsidR="0071409D"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72489970" w:history="1">
            <w:r w:rsidR="0071409D" w:rsidRPr="0028003F">
              <w:rPr>
                <w:rStyle w:val="Hyperlink"/>
                <w:noProof/>
              </w:rPr>
              <w:t>List of abbreviations</w:t>
            </w:r>
            <w:r w:rsidR="0071409D">
              <w:rPr>
                <w:noProof/>
                <w:webHidden/>
              </w:rPr>
              <w:tab/>
            </w:r>
            <w:r w:rsidR="0071409D">
              <w:rPr>
                <w:noProof/>
                <w:webHidden/>
              </w:rPr>
              <w:fldChar w:fldCharType="begin"/>
            </w:r>
            <w:r w:rsidR="0071409D">
              <w:rPr>
                <w:noProof/>
                <w:webHidden/>
              </w:rPr>
              <w:instrText xml:space="preserve"> PAGEREF _Toc72489970 \h </w:instrText>
            </w:r>
            <w:r w:rsidR="0071409D">
              <w:rPr>
                <w:noProof/>
                <w:webHidden/>
              </w:rPr>
            </w:r>
            <w:r w:rsidR="0071409D">
              <w:rPr>
                <w:noProof/>
                <w:webHidden/>
              </w:rPr>
              <w:fldChar w:fldCharType="separate"/>
            </w:r>
            <w:r w:rsidR="0071409D">
              <w:rPr>
                <w:noProof/>
                <w:webHidden/>
              </w:rPr>
              <w:t>4</w:t>
            </w:r>
            <w:r w:rsidR="0071409D">
              <w:rPr>
                <w:noProof/>
                <w:webHidden/>
              </w:rPr>
              <w:fldChar w:fldCharType="end"/>
            </w:r>
          </w:hyperlink>
        </w:p>
        <w:p w14:paraId="1A4973EB" w14:textId="07FE1DB0" w:rsidR="0071409D" w:rsidRDefault="00B6741D">
          <w:pPr>
            <w:pStyle w:val="TOC1"/>
            <w:rPr>
              <w:rFonts w:asciiTheme="minorHAnsi" w:eastAsiaTheme="minorEastAsia" w:hAnsiTheme="minorHAnsi" w:cstheme="minorBidi"/>
              <w:b w:val="0"/>
              <w:noProof/>
              <w:sz w:val="22"/>
              <w:lang w:eastAsia="en-AU"/>
            </w:rPr>
          </w:pPr>
          <w:hyperlink w:anchor="_Toc72489971" w:history="1">
            <w:r w:rsidR="0071409D" w:rsidRPr="0028003F">
              <w:rPr>
                <w:rStyle w:val="Hyperlink"/>
                <w:noProof/>
              </w:rPr>
              <w:t>I. Introduction to product submission</w:t>
            </w:r>
            <w:r w:rsidR="0071409D">
              <w:rPr>
                <w:noProof/>
                <w:webHidden/>
              </w:rPr>
              <w:tab/>
            </w:r>
            <w:r w:rsidR="0071409D">
              <w:rPr>
                <w:noProof/>
                <w:webHidden/>
              </w:rPr>
              <w:fldChar w:fldCharType="begin"/>
            </w:r>
            <w:r w:rsidR="0071409D">
              <w:rPr>
                <w:noProof/>
                <w:webHidden/>
              </w:rPr>
              <w:instrText xml:space="preserve"> PAGEREF _Toc72489971 \h </w:instrText>
            </w:r>
            <w:r w:rsidR="0071409D">
              <w:rPr>
                <w:noProof/>
                <w:webHidden/>
              </w:rPr>
            </w:r>
            <w:r w:rsidR="0071409D">
              <w:rPr>
                <w:noProof/>
                <w:webHidden/>
              </w:rPr>
              <w:fldChar w:fldCharType="separate"/>
            </w:r>
            <w:r w:rsidR="0071409D">
              <w:rPr>
                <w:noProof/>
                <w:webHidden/>
              </w:rPr>
              <w:t>6</w:t>
            </w:r>
            <w:r w:rsidR="0071409D">
              <w:rPr>
                <w:noProof/>
                <w:webHidden/>
              </w:rPr>
              <w:fldChar w:fldCharType="end"/>
            </w:r>
          </w:hyperlink>
        </w:p>
        <w:p w14:paraId="0EF0B8E5" w14:textId="26E42DD7" w:rsidR="0071409D" w:rsidRDefault="00B6741D">
          <w:pPr>
            <w:pStyle w:val="TOC2"/>
            <w:rPr>
              <w:rFonts w:asciiTheme="minorHAnsi" w:eastAsiaTheme="minorEastAsia" w:hAnsiTheme="minorHAnsi" w:cstheme="minorBidi"/>
              <w:b w:val="0"/>
              <w:noProof/>
              <w:sz w:val="22"/>
              <w:lang w:eastAsia="en-AU"/>
            </w:rPr>
          </w:pPr>
          <w:hyperlink w:anchor="_Toc72489972" w:history="1">
            <w:r w:rsidR="0071409D" w:rsidRPr="0028003F">
              <w:rPr>
                <w:rStyle w:val="Hyperlink"/>
                <w:noProof/>
                <w:lang w:eastAsia="en-AU"/>
              </w:rPr>
              <w:t>Submission details</w:t>
            </w:r>
            <w:r w:rsidR="0071409D">
              <w:rPr>
                <w:noProof/>
                <w:webHidden/>
              </w:rPr>
              <w:tab/>
            </w:r>
            <w:r w:rsidR="0071409D">
              <w:rPr>
                <w:noProof/>
                <w:webHidden/>
              </w:rPr>
              <w:fldChar w:fldCharType="begin"/>
            </w:r>
            <w:r w:rsidR="0071409D">
              <w:rPr>
                <w:noProof/>
                <w:webHidden/>
              </w:rPr>
              <w:instrText xml:space="preserve"> PAGEREF _Toc72489972 \h </w:instrText>
            </w:r>
            <w:r w:rsidR="0071409D">
              <w:rPr>
                <w:noProof/>
                <w:webHidden/>
              </w:rPr>
            </w:r>
            <w:r w:rsidR="0071409D">
              <w:rPr>
                <w:noProof/>
                <w:webHidden/>
              </w:rPr>
              <w:fldChar w:fldCharType="separate"/>
            </w:r>
            <w:r w:rsidR="0071409D">
              <w:rPr>
                <w:noProof/>
                <w:webHidden/>
              </w:rPr>
              <w:t>6</w:t>
            </w:r>
            <w:r w:rsidR="0071409D">
              <w:rPr>
                <w:noProof/>
                <w:webHidden/>
              </w:rPr>
              <w:fldChar w:fldCharType="end"/>
            </w:r>
          </w:hyperlink>
        </w:p>
        <w:p w14:paraId="43F1D759" w14:textId="694AADC2" w:rsidR="0071409D" w:rsidRDefault="00B6741D">
          <w:pPr>
            <w:pStyle w:val="TOC2"/>
            <w:rPr>
              <w:rFonts w:asciiTheme="minorHAnsi" w:eastAsiaTheme="minorEastAsia" w:hAnsiTheme="minorHAnsi" w:cstheme="minorBidi"/>
              <w:b w:val="0"/>
              <w:noProof/>
              <w:sz w:val="22"/>
              <w:lang w:eastAsia="en-AU"/>
            </w:rPr>
          </w:pPr>
          <w:hyperlink w:anchor="_Toc72489973" w:history="1">
            <w:r w:rsidR="0071409D" w:rsidRPr="0028003F">
              <w:rPr>
                <w:rStyle w:val="Hyperlink"/>
                <w:noProof/>
              </w:rPr>
              <w:t>Product background</w:t>
            </w:r>
            <w:r w:rsidR="0071409D">
              <w:rPr>
                <w:noProof/>
                <w:webHidden/>
              </w:rPr>
              <w:tab/>
            </w:r>
            <w:r w:rsidR="0071409D">
              <w:rPr>
                <w:noProof/>
                <w:webHidden/>
              </w:rPr>
              <w:fldChar w:fldCharType="begin"/>
            </w:r>
            <w:r w:rsidR="0071409D">
              <w:rPr>
                <w:noProof/>
                <w:webHidden/>
              </w:rPr>
              <w:instrText xml:space="preserve"> PAGEREF _Toc72489973 \h </w:instrText>
            </w:r>
            <w:r w:rsidR="0071409D">
              <w:rPr>
                <w:noProof/>
                <w:webHidden/>
              </w:rPr>
            </w:r>
            <w:r w:rsidR="0071409D">
              <w:rPr>
                <w:noProof/>
                <w:webHidden/>
              </w:rPr>
              <w:fldChar w:fldCharType="separate"/>
            </w:r>
            <w:r w:rsidR="0071409D">
              <w:rPr>
                <w:noProof/>
                <w:webHidden/>
              </w:rPr>
              <w:t>7</w:t>
            </w:r>
            <w:r w:rsidR="0071409D">
              <w:rPr>
                <w:noProof/>
                <w:webHidden/>
              </w:rPr>
              <w:fldChar w:fldCharType="end"/>
            </w:r>
          </w:hyperlink>
        </w:p>
        <w:p w14:paraId="2FDF46FA" w14:textId="023478E6" w:rsidR="0071409D" w:rsidRDefault="00B6741D">
          <w:pPr>
            <w:pStyle w:val="TOC2"/>
            <w:rPr>
              <w:rFonts w:asciiTheme="minorHAnsi" w:eastAsiaTheme="minorEastAsia" w:hAnsiTheme="minorHAnsi" w:cstheme="minorBidi"/>
              <w:b w:val="0"/>
              <w:noProof/>
              <w:sz w:val="22"/>
              <w:lang w:eastAsia="en-AU"/>
            </w:rPr>
          </w:pPr>
          <w:hyperlink w:anchor="_Toc72489974" w:history="1">
            <w:r w:rsidR="0071409D" w:rsidRPr="0028003F">
              <w:rPr>
                <w:rStyle w:val="Hyperlink"/>
                <w:noProof/>
              </w:rPr>
              <w:t>Regulatory status</w:t>
            </w:r>
            <w:r w:rsidR="0071409D">
              <w:rPr>
                <w:noProof/>
                <w:webHidden/>
              </w:rPr>
              <w:tab/>
            </w:r>
            <w:r w:rsidR="0071409D">
              <w:rPr>
                <w:noProof/>
                <w:webHidden/>
              </w:rPr>
              <w:fldChar w:fldCharType="begin"/>
            </w:r>
            <w:r w:rsidR="0071409D">
              <w:rPr>
                <w:noProof/>
                <w:webHidden/>
              </w:rPr>
              <w:instrText xml:space="preserve"> PAGEREF _Toc72489974 \h </w:instrText>
            </w:r>
            <w:r w:rsidR="0071409D">
              <w:rPr>
                <w:noProof/>
                <w:webHidden/>
              </w:rPr>
            </w:r>
            <w:r w:rsidR="0071409D">
              <w:rPr>
                <w:noProof/>
                <w:webHidden/>
              </w:rPr>
              <w:fldChar w:fldCharType="separate"/>
            </w:r>
            <w:r w:rsidR="0071409D">
              <w:rPr>
                <w:noProof/>
                <w:webHidden/>
              </w:rPr>
              <w:t>9</w:t>
            </w:r>
            <w:r w:rsidR="0071409D">
              <w:rPr>
                <w:noProof/>
                <w:webHidden/>
              </w:rPr>
              <w:fldChar w:fldCharType="end"/>
            </w:r>
          </w:hyperlink>
        </w:p>
        <w:p w14:paraId="23B2AFE7" w14:textId="55B002CD" w:rsidR="0071409D" w:rsidRDefault="00B6741D">
          <w:pPr>
            <w:pStyle w:val="TOC2"/>
            <w:rPr>
              <w:rFonts w:asciiTheme="minorHAnsi" w:eastAsiaTheme="minorEastAsia" w:hAnsiTheme="minorHAnsi" w:cstheme="minorBidi"/>
              <w:b w:val="0"/>
              <w:noProof/>
              <w:sz w:val="22"/>
              <w:lang w:eastAsia="en-AU"/>
            </w:rPr>
          </w:pPr>
          <w:hyperlink w:anchor="_Toc72489975" w:history="1">
            <w:r w:rsidR="0071409D" w:rsidRPr="0028003F">
              <w:rPr>
                <w:rStyle w:val="Hyperlink"/>
                <w:noProof/>
              </w:rPr>
              <w:t>Product Information</w:t>
            </w:r>
            <w:r w:rsidR="0071409D">
              <w:rPr>
                <w:noProof/>
                <w:webHidden/>
              </w:rPr>
              <w:tab/>
            </w:r>
            <w:r w:rsidR="0071409D">
              <w:rPr>
                <w:noProof/>
                <w:webHidden/>
              </w:rPr>
              <w:fldChar w:fldCharType="begin"/>
            </w:r>
            <w:r w:rsidR="0071409D">
              <w:rPr>
                <w:noProof/>
                <w:webHidden/>
              </w:rPr>
              <w:instrText xml:space="preserve"> PAGEREF _Toc72489975 \h </w:instrText>
            </w:r>
            <w:r w:rsidR="0071409D">
              <w:rPr>
                <w:noProof/>
                <w:webHidden/>
              </w:rPr>
            </w:r>
            <w:r w:rsidR="0071409D">
              <w:rPr>
                <w:noProof/>
                <w:webHidden/>
              </w:rPr>
              <w:fldChar w:fldCharType="separate"/>
            </w:r>
            <w:r w:rsidR="0071409D">
              <w:rPr>
                <w:noProof/>
                <w:webHidden/>
              </w:rPr>
              <w:t>10</w:t>
            </w:r>
            <w:r w:rsidR="0071409D">
              <w:rPr>
                <w:noProof/>
                <w:webHidden/>
              </w:rPr>
              <w:fldChar w:fldCharType="end"/>
            </w:r>
          </w:hyperlink>
        </w:p>
        <w:p w14:paraId="1912E48C" w14:textId="56755718" w:rsidR="0071409D" w:rsidRDefault="00B6741D">
          <w:pPr>
            <w:pStyle w:val="TOC1"/>
            <w:rPr>
              <w:rFonts w:asciiTheme="minorHAnsi" w:eastAsiaTheme="minorEastAsia" w:hAnsiTheme="minorHAnsi" w:cstheme="minorBidi"/>
              <w:b w:val="0"/>
              <w:noProof/>
              <w:sz w:val="22"/>
              <w:lang w:eastAsia="en-AU"/>
            </w:rPr>
          </w:pPr>
          <w:hyperlink w:anchor="_Toc72489976" w:history="1">
            <w:r w:rsidR="0071409D" w:rsidRPr="0028003F">
              <w:rPr>
                <w:rStyle w:val="Hyperlink"/>
                <w:noProof/>
              </w:rPr>
              <w:t>II. Registration timeline</w:t>
            </w:r>
            <w:r w:rsidR="0071409D">
              <w:rPr>
                <w:noProof/>
                <w:webHidden/>
              </w:rPr>
              <w:tab/>
            </w:r>
            <w:r w:rsidR="0071409D">
              <w:rPr>
                <w:noProof/>
                <w:webHidden/>
              </w:rPr>
              <w:fldChar w:fldCharType="begin"/>
            </w:r>
            <w:r w:rsidR="0071409D">
              <w:rPr>
                <w:noProof/>
                <w:webHidden/>
              </w:rPr>
              <w:instrText xml:space="preserve"> PAGEREF _Toc72489976 \h </w:instrText>
            </w:r>
            <w:r w:rsidR="0071409D">
              <w:rPr>
                <w:noProof/>
                <w:webHidden/>
              </w:rPr>
            </w:r>
            <w:r w:rsidR="0071409D">
              <w:rPr>
                <w:noProof/>
                <w:webHidden/>
              </w:rPr>
              <w:fldChar w:fldCharType="separate"/>
            </w:r>
            <w:r w:rsidR="0071409D">
              <w:rPr>
                <w:noProof/>
                <w:webHidden/>
              </w:rPr>
              <w:t>10</w:t>
            </w:r>
            <w:r w:rsidR="0071409D">
              <w:rPr>
                <w:noProof/>
                <w:webHidden/>
              </w:rPr>
              <w:fldChar w:fldCharType="end"/>
            </w:r>
          </w:hyperlink>
        </w:p>
        <w:p w14:paraId="04D6881C" w14:textId="0AB201D4" w:rsidR="0071409D" w:rsidRDefault="00B6741D">
          <w:pPr>
            <w:pStyle w:val="TOC1"/>
            <w:rPr>
              <w:rFonts w:asciiTheme="minorHAnsi" w:eastAsiaTheme="minorEastAsia" w:hAnsiTheme="minorHAnsi" w:cstheme="minorBidi"/>
              <w:b w:val="0"/>
              <w:noProof/>
              <w:sz w:val="22"/>
              <w:lang w:eastAsia="en-AU"/>
            </w:rPr>
          </w:pPr>
          <w:hyperlink w:anchor="_Toc72489977" w:history="1">
            <w:r w:rsidR="0071409D" w:rsidRPr="0028003F">
              <w:rPr>
                <w:rStyle w:val="Hyperlink"/>
                <w:noProof/>
              </w:rPr>
              <w:t>III. Submission overview and risk/benefit assessment</w:t>
            </w:r>
            <w:r w:rsidR="0071409D">
              <w:rPr>
                <w:noProof/>
                <w:webHidden/>
              </w:rPr>
              <w:tab/>
            </w:r>
            <w:r w:rsidR="0071409D">
              <w:rPr>
                <w:noProof/>
                <w:webHidden/>
              </w:rPr>
              <w:fldChar w:fldCharType="begin"/>
            </w:r>
            <w:r w:rsidR="0071409D">
              <w:rPr>
                <w:noProof/>
                <w:webHidden/>
              </w:rPr>
              <w:instrText xml:space="preserve"> PAGEREF _Toc72489977 \h </w:instrText>
            </w:r>
            <w:r w:rsidR="0071409D">
              <w:rPr>
                <w:noProof/>
                <w:webHidden/>
              </w:rPr>
            </w:r>
            <w:r w:rsidR="0071409D">
              <w:rPr>
                <w:noProof/>
                <w:webHidden/>
              </w:rPr>
              <w:fldChar w:fldCharType="separate"/>
            </w:r>
            <w:r w:rsidR="0071409D">
              <w:rPr>
                <w:noProof/>
                <w:webHidden/>
              </w:rPr>
              <w:t>11</w:t>
            </w:r>
            <w:r w:rsidR="0071409D">
              <w:rPr>
                <w:noProof/>
                <w:webHidden/>
              </w:rPr>
              <w:fldChar w:fldCharType="end"/>
            </w:r>
          </w:hyperlink>
        </w:p>
        <w:p w14:paraId="353044F5" w14:textId="16F5CF6D" w:rsidR="0071409D" w:rsidRDefault="00B6741D">
          <w:pPr>
            <w:pStyle w:val="TOC2"/>
            <w:rPr>
              <w:rFonts w:asciiTheme="minorHAnsi" w:eastAsiaTheme="minorEastAsia" w:hAnsiTheme="minorHAnsi" w:cstheme="minorBidi"/>
              <w:b w:val="0"/>
              <w:noProof/>
              <w:sz w:val="22"/>
              <w:lang w:eastAsia="en-AU"/>
            </w:rPr>
          </w:pPr>
          <w:hyperlink w:anchor="_Toc72489978" w:history="1">
            <w:r w:rsidR="0071409D" w:rsidRPr="0028003F">
              <w:rPr>
                <w:rStyle w:val="Hyperlink"/>
                <w:noProof/>
              </w:rPr>
              <w:t>Quality</w:t>
            </w:r>
            <w:r w:rsidR="0071409D">
              <w:rPr>
                <w:noProof/>
                <w:webHidden/>
              </w:rPr>
              <w:tab/>
            </w:r>
            <w:r w:rsidR="0071409D">
              <w:rPr>
                <w:noProof/>
                <w:webHidden/>
              </w:rPr>
              <w:fldChar w:fldCharType="begin"/>
            </w:r>
            <w:r w:rsidR="0071409D">
              <w:rPr>
                <w:noProof/>
                <w:webHidden/>
              </w:rPr>
              <w:instrText xml:space="preserve"> PAGEREF _Toc72489978 \h </w:instrText>
            </w:r>
            <w:r w:rsidR="0071409D">
              <w:rPr>
                <w:noProof/>
                <w:webHidden/>
              </w:rPr>
            </w:r>
            <w:r w:rsidR="0071409D">
              <w:rPr>
                <w:noProof/>
                <w:webHidden/>
              </w:rPr>
              <w:fldChar w:fldCharType="separate"/>
            </w:r>
            <w:r w:rsidR="0071409D">
              <w:rPr>
                <w:noProof/>
                <w:webHidden/>
              </w:rPr>
              <w:t>11</w:t>
            </w:r>
            <w:r w:rsidR="0071409D">
              <w:rPr>
                <w:noProof/>
                <w:webHidden/>
              </w:rPr>
              <w:fldChar w:fldCharType="end"/>
            </w:r>
          </w:hyperlink>
        </w:p>
        <w:p w14:paraId="17D239FB" w14:textId="7468EB82" w:rsidR="0071409D" w:rsidRDefault="00B6741D">
          <w:pPr>
            <w:pStyle w:val="TOC2"/>
            <w:rPr>
              <w:rFonts w:asciiTheme="minorHAnsi" w:eastAsiaTheme="minorEastAsia" w:hAnsiTheme="minorHAnsi" w:cstheme="minorBidi"/>
              <w:b w:val="0"/>
              <w:noProof/>
              <w:sz w:val="22"/>
              <w:lang w:eastAsia="en-AU"/>
            </w:rPr>
          </w:pPr>
          <w:hyperlink w:anchor="_Toc72489979" w:history="1">
            <w:r w:rsidR="0071409D" w:rsidRPr="0028003F">
              <w:rPr>
                <w:rStyle w:val="Hyperlink"/>
                <w:noProof/>
              </w:rPr>
              <w:t>Nonclinical</w:t>
            </w:r>
            <w:r w:rsidR="0071409D">
              <w:rPr>
                <w:noProof/>
                <w:webHidden/>
              </w:rPr>
              <w:tab/>
            </w:r>
            <w:r w:rsidR="0071409D">
              <w:rPr>
                <w:noProof/>
                <w:webHidden/>
              </w:rPr>
              <w:fldChar w:fldCharType="begin"/>
            </w:r>
            <w:r w:rsidR="0071409D">
              <w:rPr>
                <w:noProof/>
                <w:webHidden/>
              </w:rPr>
              <w:instrText xml:space="preserve"> PAGEREF _Toc72489979 \h </w:instrText>
            </w:r>
            <w:r w:rsidR="0071409D">
              <w:rPr>
                <w:noProof/>
                <w:webHidden/>
              </w:rPr>
            </w:r>
            <w:r w:rsidR="0071409D">
              <w:rPr>
                <w:noProof/>
                <w:webHidden/>
              </w:rPr>
              <w:fldChar w:fldCharType="separate"/>
            </w:r>
            <w:r w:rsidR="0071409D">
              <w:rPr>
                <w:noProof/>
                <w:webHidden/>
              </w:rPr>
              <w:t>12</w:t>
            </w:r>
            <w:r w:rsidR="0071409D">
              <w:rPr>
                <w:noProof/>
                <w:webHidden/>
              </w:rPr>
              <w:fldChar w:fldCharType="end"/>
            </w:r>
          </w:hyperlink>
        </w:p>
        <w:p w14:paraId="770716E4" w14:textId="55ED9666" w:rsidR="0071409D" w:rsidRDefault="00B6741D">
          <w:pPr>
            <w:pStyle w:val="TOC2"/>
            <w:rPr>
              <w:rFonts w:asciiTheme="minorHAnsi" w:eastAsiaTheme="minorEastAsia" w:hAnsiTheme="minorHAnsi" w:cstheme="minorBidi"/>
              <w:b w:val="0"/>
              <w:noProof/>
              <w:sz w:val="22"/>
              <w:lang w:eastAsia="en-AU"/>
            </w:rPr>
          </w:pPr>
          <w:hyperlink w:anchor="_Toc72489980" w:history="1">
            <w:r w:rsidR="0071409D" w:rsidRPr="0028003F">
              <w:rPr>
                <w:rStyle w:val="Hyperlink"/>
                <w:noProof/>
              </w:rPr>
              <w:t>Clinical</w:t>
            </w:r>
            <w:r w:rsidR="0071409D">
              <w:rPr>
                <w:noProof/>
                <w:webHidden/>
              </w:rPr>
              <w:tab/>
            </w:r>
            <w:r w:rsidR="0071409D">
              <w:rPr>
                <w:noProof/>
                <w:webHidden/>
              </w:rPr>
              <w:fldChar w:fldCharType="begin"/>
            </w:r>
            <w:r w:rsidR="0071409D">
              <w:rPr>
                <w:noProof/>
                <w:webHidden/>
              </w:rPr>
              <w:instrText xml:space="preserve"> PAGEREF _Toc72489980 \h </w:instrText>
            </w:r>
            <w:r w:rsidR="0071409D">
              <w:rPr>
                <w:noProof/>
                <w:webHidden/>
              </w:rPr>
            </w:r>
            <w:r w:rsidR="0071409D">
              <w:rPr>
                <w:noProof/>
                <w:webHidden/>
              </w:rPr>
              <w:fldChar w:fldCharType="separate"/>
            </w:r>
            <w:r w:rsidR="0071409D">
              <w:rPr>
                <w:noProof/>
                <w:webHidden/>
              </w:rPr>
              <w:t>12</w:t>
            </w:r>
            <w:r w:rsidR="0071409D">
              <w:rPr>
                <w:noProof/>
                <w:webHidden/>
              </w:rPr>
              <w:fldChar w:fldCharType="end"/>
            </w:r>
          </w:hyperlink>
        </w:p>
        <w:p w14:paraId="66061852" w14:textId="593A70EF" w:rsidR="0071409D" w:rsidRDefault="00B6741D">
          <w:pPr>
            <w:pStyle w:val="TOC2"/>
            <w:rPr>
              <w:rFonts w:asciiTheme="minorHAnsi" w:eastAsiaTheme="minorEastAsia" w:hAnsiTheme="minorHAnsi" w:cstheme="minorBidi"/>
              <w:b w:val="0"/>
              <w:noProof/>
              <w:sz w:val="22"/>
              <w:lang w:eastAsia="en-AU"/>
            </w:rPr>
          </w:pPr>
          <w:hyperlink w:anchor="_Toc72489981" w:history="1">
            <w:r w:rsidR="0071409D" w:rsidRPr="0028003F">
              <w:rPr>
                <w:rStyle w:val="Hyperlink"/>
                <w:noProof/>
                <w:lang w:eastAsia="en-AU"/>
              </w:rPr>
              <w:t>Risk management plan</w:t>
            </w:r>
            <w:r w:rsidR="0071409D">
              <w:rPr>
                <w:noProof/>
                <w:webHidden/>
              </w:rPr>
              <w:tab/>
            </w:r>
            <w:r w:rsidR="0071409D">
              <w:rPr>
                <w:noProof/>
                <w:webHidden/>
              </w:rPr>
              <w:fldChar w:fldCharType="begin"/>
            </w:r>
            <w:r w:rsidR="0071409D">
              <w:rPr>
                <w:noProof/>
                <w:webHidden/>
              </w:rPr>
              <w:instrText xml:space="preserve"> PAGEREF _Toc72489981 \h </w:instrText>
            </w:r>
            <w:r w:rsidR="0071409D">
              <w:rPr>
                <w:noProof/>
                <w:webHidden/>
              </w:rPr>
            </w:r>
            <w:r w:rsidR="0071409D">
              <w:rPr>
                <w:noProof/>
                <w:webHidden/>
              </w:rPr>
              <w:fldChar w:fldCharType="separate"/>
            </w:r>
            <w:r w:rsidR="0071409D">
              <w:rPr>
                <w:noProof/>
                <w:webHidden/>
              </w:rPr>
              <w:t>21</w:t>
            </w:r>
            <w:r w:rsidR="0071409D">
              <w:rPr>
                <w:noProof/>
                <w:webHidden/>
              </w:rPr>
              <w:fldChar w:fldCharType="end"/>
            </w:r>
          </w:hyperlink>
        </w:p>
        <w:p w14:paraId="12DFE66C" w14:textId="55E071F6" w:rsidR="0071409D" w:rsidRDefault="00B6741D">
          <w:pPr>
            <w:pStyle w:val="TOC2"/>
            <w:rPr>
              <w:rFonts w:asciiTheme="minorHAnsi" w:eastAsiaTheme="minorEastAsia" w:hAnsiTheme="minorHAnsi" w:cstheme="minorBidi"/>
              <w:b w:val="0"/>
              <w:noProof/>
              <w:sz w:val="22"/>
              <w:lang w:eastAsia="en-AU"/>
            </w:rPr>
          </w:pPr>
          <w:hyperlink w:anchor="_Toc72489982" w:history="1">
            <w:r w:rsidR="0071409D" w:rsidRPr="0028003F">
              <w:rPr>
                <w:rStyle w:val="Hyperlink"/>
                <w:noProof/>
              </w:rPr>
              <w:t>Risk-benefit analysis</w:t>
            </w:r>
            <w:r w:rsidR="0071409D">
              <w:rPr>
                <w:noProof/>
                <w:webHidden/>
              </w:rPr>
              <w:tab/>
            </w:r>
            <w:r w:rsidR="0071409D">
              <w:rPr>
                <w:noProof/>
                <w:webHidden/>
              </w:rPr>
              <w:fldChar w:fldCharType="begin"/>
            </w:r>
            <w:r w:rsidR="0071409D">
              <w:rPr>
                <w:noProof/>
                <w:webHidden/>
              </w:rPr>
              <w:instrText xml:space="preserve"> PAGEREF _Toc72489982 \h </w:instrText>
            </w:r>
            <w:r w:rsidR="0071409D">
              <w:rPr>
                <w:noProof/>
                <w:webHidden/>
              </w:rPr>
            </w:r>
            <w:r w:rsidR="0071409D">
              <w:rPr>
                <w:noProof/>
                <w:webHidden/>
              </w:rPr>
              <w:fldChar w:fldCharType="separate"/>
            </w:r>
            <w:r w:rsidR="0071409D">
              <w:rPr>
                <w:noProof/>
                <w:webHidden/>
              </w:rPr>
              <w:t>23</w:t>
            </w:r>
            <w:r w:rsidR="0071409D">
              <w:rPr>
                <w:noProof/>
                <w:webHidden/>
              </w:rPr>
              <w:fldChar w:fldCharType="end"/>
            </w:r>
          </w:hyperlink>
        </w:p>
        <w:p w14:paraId="32976E8A" w14:textId="58B1B011" w:rsidR="0071409D" w:rsidRDefault="00B6741D">
          <w:pPr>
            <w:pStyle w:val="TOC2"/>
            <w:rPr>
              <w:rFonts w:asciiTheme="minorHAnsi" w:eastAsiaTheme="minorEastAsia" w:hAnsiTheme="minorHAnsi" w:cstheme="minorBidi"/>
              <w:b w:val="0"/>
              <w:noProof/>
              <w:sz w:val="22"/>
              <w:lang w:eastAsia="en-AU"/>
            </w:rPr>
          </w:pPr>
          <w:hyperlink w:anchor="_Toc72489983" w:history="1">
            <w:r w:rsidR="0071409D" w:rsidRPr="0028003F">
              <w:rPr>
                <w:rStyle w:val="Hyperlink"/>
                <w:noProof/>
              </w:rPr>
              <w:t>Outcome</w:t>
            </w:r>
            <w:r w:rsidR="0071409D">
              <w:rPr>
                <w:noProof/>
                <w:webHidden/>
              </w:rPr>
              <w:tab/>
            </w:r>
            <w:r w:rsidR="0071409D">
              <w:rPr>
                <w:noProof/>
                <w:webHidden/>
              </w:rPr>
              <w:fldChar w:fldCharType="begin"/>
            </w:r>
            <w:r w:rsidR="0071409D">
              <w:rPr>
                <w:noProof/>
                <w:webHidden/>
              </w:rPr>
              <w:instrText xml:space="preserve"> PAGEREF _Toc72489983 \h </w:instrText>
            </w:r>
            <w:r w:rsidR="0071409D">
              <w:rPr>
                <w:noProof/>
                <w:webHidden/>
              </w:rPr>
            </w:r>
            <w:r w:rsidR="0071409D">
              <w:rPr>
                <w:noProof/>
                <w:webHidden/>
              </w:rPr>
              <w:fldChar w:fldCharType="separate"/>
            </w:r>
            <w:r w:rsidR="0071409D">
              <w:rPr>
                <w:noProof/>
                <w:webHidden/>
              </w:rPr>
              <w:t>24</w:t>
            </w:r>
            <w:r w:rsidR="0071409D">
              <w:rPr>
                <w:noProof/>
                <w:webHidden/>
              </w:rPr>
              <w:fldChar w:fldCharType="end"/>
            </w:r>
          </w:hyperlink>
        </w:p>
        <w:p w14:paraId="76786B89" w14:textId="6F499261" w:rsidR="0071409D" w:rsidRDefault="00B6741D">
          <w:pPr>
            <w:pStyle w:val="TOC1"/>
            <w:rPr>
              <w:rFonts w:asciiTheme="minorHAnsi" w:eastAsiaTheme="minorEastAsia" w:hAnsiTheme="minorHAnsi" w:cstheme="minorBidi"/>
              <w:b w:val="0"/>
              <w:noProof/>
              <w:sz w:val="22"/>
              <w:lang w:eastAsia="en-AU"/>
            </w:rPr>
          </w:pPr>
          <w:hyperlink w:anchor="_Toc72489984" w:history="1">
            <w:r w:rsidR="0071409D" w:rsidRPr="0028003F">
              <w:rPr>
                <w:rStyle w:val="Hyperlink"/>
                <w:noProof/>
              </w:rPr>
              <w:t>Attachment 1. Product Information</w:t>
            </w:r>
            <w:r w:rsidR="0071409D">
              <w:rPr>
                <w:noProof/>
                <w:webHidden/>
              </w:rPr>
              <w:tab/>
            </w:r>
            <w:r w:rsidR="0071409D">
              <w:rPr>
                <w:noProof/>
                <w:webHidden/>
              </w:rPr>
              <w:fldChar w:fldCharType="begin"/>
            </w:r>
            <w:r w:rsidR="0071409D">
              <w:rPr>
                <w:noProof/>
                <w:webHidden/>
              </w:rPr>
              <w:instrText xml:space="preserve"> PAGEREF _Toc72489984 \h </w:instrText>
            </w:r>
            <w:r w:rsidR="0071409D">
              <w:rPr>
                <w:noProof/>
                <w:webHidden/>
              </w:rPr>
            </w:r>
            <w:r w:rsidR="0071409D">
              <w:rPr>
                <w:noProof/>
                <w:webHidden/>
              </w:rPr>
              <w:fldChar w:fldCharType="separate"/>
            </w:r>
            <w:r w:rsidR="0071409D">
              <w:rPr>
                <w:noProof/>
                <w:webHidden/>
              </w:rPr>
              <w:t>25</w:t>
            </w:r>
            <w:r w:rsidR="0071409D">
              <w:rPr>
                <w:noProof/>
                <w:webHidden/>
              </w:rPr>
              <w:fldChar w:fldCharType="end"/>
            </w:r>
          </w:hyperlink>
        </w:p>
        <w:p w14:paraId="5871464E" w14:textId="77777777" w:rsidR="003A7F6C" w:rsidRPr="00B811C6" w:rsidRDefault="00C525A2" w:rsidP="00B811C6">
          <w:pPr>
            <w:pStyle w:val="TOC2"/>
          </w:pPr>
          <w:r>
            <w:fldChar w:fldCharType="end"/>
          </w:r>
        </w:p>
      </w:sdtContent>
    </w:sdt>
    <w:bookmarkStart w:id="2" w:name="_Toc314842482" w:displacedByCustomXml="prev"/>
    <w:p w14:paraId="0CA2F0FC" w14:textId="77777777" w:rsidR="00FD119B" w:rsidRDefault="00FD119B">
      <w:pPr>
        <w:spacing w:before="0" w:after="200" w:line="0" w:lineRule="auto"/>
      </w:pPr>
      <w:r>
        <w:br w:type="page"/>
      </w:r>
    </w:p>
    <w:p w14:paraId="6203B46F" w14:textId="77777777" w:rsidR="00C52E24" w:rsidRPr="00C52E24" w:rsidRDefault="00324E45" w:rsidP="00394D1E">
      <w:pPr>
        <w:pStyle w:val="Heading2"/>
      </w:pPr>
      <w:bookmarkStart w:id="3" w:name="_Toc351716269"/>
      <w:bookmarkStart w:id="4" w:name="_Toc351718881"/>
      <w:bookmarkStart w:id="5" w:name="_Toc355338616"/>
      <w:bookmarkStart w:id="6" w:name="_Toc356306144"/>
      <w:bookmarkStart w:id="7" w:name="_Toc72489970"/>
      <w:r>
        <w:t>List of</w:t>
      </w:r>
      <w:r w:rsidR="00FD119B" w:rsidRPr="00FD119B">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6"/>
        <w:gridCol w:w="6698"/>
      </w:tblGrid>
      <w:tr w:rsidR="003202A5" w:rsidRPr="00FD119B" w14:paraId="5B0A4303" w14:textId="77777777" w:rsidTr="0071409D">
        <w:trPr>
          <w:cnfStyle w:val="100000000000" w:firstRow="1" w:lastRow="0" w:firstColumn="0" w:lastColumn="0" w:oddVBand="0" w:evenVBand="0" w:oddHBand="0" w:evenHBand="0" w:firstRowFirstColumn="0" w:firstRowLastColumn="0" w:lastRowFirstColumn="0" w:lastRowLastColumn="0"/>
        </w:trPr>
        <w:tc>
          <w:tcPr>
            <w:tcW w:w="1796" w:type="dxa"/>
            <w:tcBorders>
              <w:top w:val="single" w:sz="4" w:space="0" w:color="auto"/>
              <w:left w:val="single" w:sz="4" w:space="0" w:color="auto"/>
              <w:bottom w:val="single" w:sz="4" w:space="0" w:color="auto"/>
              <w:right w:val="single" w:sz="4" w:space="0" w:color="auto"/>
            </w:tcBorders>
          </w:tcPr>
          <w:p w14:paraId="432DEBB4" w14:textId="77777777" w:rsidR="003202A5" w:rsidRPr="00FD119B" w:rsidRDefault="003202A5" w:rsidP="00097A63">
            <w:pPr>
              <w:keepNext w:val="0"/>
              <w:ind w:left="0" w:right="0"/>
              <w:rPr>
                <w:szCs w:val="22"/>
                <w:lang w:eastAsia="en-US"/>
              </w:rPr>
            </w:pPr>
            <w:r w:rsidRPr="00FD119B">
              <w:rPr>
                <w:szCs w:val="22"/>
                <w:lang w:eastAsia="en-US"/>
              </w:rPr>
              <w:t>Abbreviation</w:t>
            </w:r>
          </w:p>
        </w:tc>
        <w:tc>
          <w:tcPr>
            <w:tcW w:w="6698" w:type="dxa"/>
            <w:tcBorders>
              <w:top w:val="single" w:sz="4" w:space="0" w:color="auto"/>
              <w:left w:val="single" w:sz="4" w:space="0" w:color="auto"/>
              <w:bottom w:val="single" w:sz="4" w:space="0" w:color="auto"/>
              <w:right w:val="single" w:sz="4" w:space="0" w:color="auto"/>
            </w:tcBorders>
          </w:tcPr>
          <w:p w14:paraId="53B82903" w14:textId="77777777" w:rsidR="003202A5" w:rsidRPr="00FD119B" w:rsidRDefault="003202A5" w:rsidP="00097A63">
            <w:pPr>
              <w:keepNext w:val="0"/>
              <w:ind w:left="0" w:right="0"/>
              <w:rPr>
                <w:szCs w:val="22"/>
                <w:lang w:eastAsia="en-US"/>
              </w:rPr>
            </w:pPr>
            <w:r w:rsidRPr="00FD119B">
              <w:rPr>
                <w:szCs w:val="22"/>
                <w:lang w:eastAsia="en-US"/>
              </w:rPr>
              <w:t>Meaning</w:t>
            </w:r>
          </w:p>
        </w:tc>
      </w:tr>
      <w:tr w:rsidR="003202A5" w:rsidRPr="00FD119B" w14:paraId="5383937A" w14:textId="77777777" w:rsidTr="0071409D">
        <w:tc>
          <w:tcPr>
            <w:tcW w:w="1796" w:type="dxa"/>
          </w:tcPr>
          <w:p w14:paraId="33B9ABA6" w14:textId="77777777" w:rsidR="003202A5" w:rsidRPr="00FD119B" w:rsidRDefault="003202A5" w:rsidP="00097A63">
            <w:r>
              <w:t>ACM</w:t>
            </w:r>
          </w:p>
        </w:tc>
        <w:tc>
          <w:tcPr>
            <w:tcW w:w="6698" w:type="dxa"/>
          </w:tcPr>
          <w:p w14:paraId="74FAC5CF" w14:textId="77777777" w:rsidR="003202A5" w:rsidRPr="00FD119B" w:rsidRDefault="003202A5" w:rsidP="00097A63">
            <w:r w:rsidRPr="00460036">
              <w:t>Advisory Committee on Medicines</w:t>
            </w:r>
          </w:p>
        </w:tc>
      </w:tr>
      <w:tr w:rsidR="003202A5" w:rsidRPr="00FD119B" w14:paraId="0F846BDB" w14:textId="77777777" w:rsidTr="0071409D">
        <w:tc>
          <w:tcPr>
            <w:tcW w:w="1796" w:type="dxa"/>
          </w:tcPr>
          <w:p w14:paraId="79BDA421" w14:textId="0B37EC95" w:rsidR="003202A5" w:rsidRDefault="003202A5" w:rsidP="00097A63">
            <w:r>
              <w:t>AE</w:t>
            </w:r>
          </w:p>
        </w:tc>
        <w:tc>
          <w:tcPr>
            <w:tcW w:w="6698" w:type="dxa"/>
          </w:tcPr>
          <w:p w14:paraId="7B4E8D01" w14:textId="2F8E724A" w:rsidR="003202A5" w:rsidRDefault="003202A5" w:rsidP="00097A63">
            <w:r>
              <w:t>Adverse event</w:t>
            </w:r>
          </w:p>
        </w:tc>
      </w:tr>
      <w:tr w:rsidR="003202A5" w:rsidRPr="00FD119B" w14:paraId="2A192C94" w14:textId="77777777" w:rsidTr="0071409D">
        <w:tc>
          <w:tcPr>
            <w:tcW w:w="1796" w:type="dxa"/>
          </w:tcPr>
          <w:p w14:paraId="662A7A36" w14:textId="77777777" w:rsidR="003202A5" w:rsidRDefault="003202A5" w:rsidP="00097A63">
            <w:r>
              <w:t>AIHW</w:t>
            </w:r>
          </w:p>
        </w:tc>
        <w:tc>
          <w:tcPr>
            <w:tcW w:w="6698" w:type="dxa"/>
          </w:tcPr>
          <w:p w14:paraId="069F58AA" w14:textId="77777777" w:rsidR="003202A5" w:rsidRDefault="003202A5" w:rsidP="00097A63">
            <w:r>
              <w:t>Australian Institute of Health and Welfare</w:t>
            </w:r>
          </w:p>
        </w:tc>
      </w:tr>
      <w:tr w:rsidR="003202A5" w:rsidRPr="00FD119B" w14:paraId="116C89A5" w14:textId="77777777" w:rsidTr="0071409D">
        <w:tc>
          <w:tcPr>
            <w:tcW w:w="1796" w:type="dxa"/>
          </w:tcPr>
          <w:p w14:paraId="22CFF3CC" w14:textId="77777777" w:rsidR="003202A5" w:rsidRDefault="003202A5" w:rsidP="00097A63">
            <w:r>
              <w:t>AJCC</w:t>
            </w:r>
          </w:p>
        </w:tc>
        <w:tc>
          <w:tcPr>
            <w:tcW w:w="6698" w:type="dxa"/>
          </w:tcPr>
          <w:p w14:paraId="1EC89E45" w14:textId="77777777" w:rsidR="003202A5" w:rsidRDefault="003202A5" w:rsidP="00097A63">
            <w:r>
              <w:t>American Joint Committee on Cancer</w:t>
            </w:r>
          </w:p>
        </w:tc>
      </w:tr>
      <w:tr w:rsidR="003202A5" w:rsidRPr="00FD119B" w14:paraId="7CA5FA3D" w14:textId="77777777" w:rsidTr="0071409D">
        <w:tc>
          <w:tcPr>
            <w:tcW w:w="1796" w:type="dxa"/>
          </w:tcPr>
          <w:p w14:paraId="0BE94AD9" w14:textId="77777777" w:rsidR="003202A5" w:rsidRDefault="003202A5" w:rsidP="00097A63">
            <w:r>
              <w:t>ALT</w:t>
            </w:r>
          </w:p>
        </w:tc>
        <w:tc>
          <w:tcPr>
            <w:tcW w:w="6698" w:type="dxa"/>
          </w:tcPr>
          <w:p w14:paraId="0FE91A63" w14:textId="77777777" w:rsidR="003202A5" w:rsidRDefault="003202A5" w:rsidP="00097A63">
            <w:r>
              <w:t>A</w:t>
            </w:r>
            <w:r w:rsidRPr="009E3A7B">
              <w:t>lanine aminotransferase</w:t>
            </w:r>
          </w:p>
        </w:tc>
      </w:tr>
      <w:tr w:rsidR="003202A5" w:rsidRPr="00FD119B" w14:paraId="473F294E" w14:textId="77777777" w:rsidTr="0071409D">
        <w:tc>
          <w:tcPr>
            <w:tcW w:w="1796" w:type="dxa"/>
          </w:tcPr>
          <w:p w14:paraId="067DF1CC" w14:textId="77777777" w:rsidR="003202A5" w:rsidRDefault="003202A5" w:rsidP="00097A63">
            <w:r>
              <w:t>AML</w:t>
            </w:r>
          </w:p>
        </w:tc>
        <w:tc>
          <w:tcPr>
            <w:tcW w:w="6698" w:type="dxa"/>
          </w:tcPr>
          <w:p w14:paraId="28B1C77F" w14:textId="77777777" w:rsidR="003202A5" w:rsidRPr="00315C0F" w:rsidRDefault="003202A5" w:rsidP="00097A63">
            <w:pPr>
              <w:rPr>
                <w:rFonts w:cs="Calibri"/>
              </w:rPr>
            </w:pPr>
            <w:r w:rsidRPr="00315C0F">
              <w:rPr>
                <w:rFonts w:cs="Calibri"/>
                <w:szCs w:val="20"/>
              </w:rPr>
              <w:t>Acute myeloid leukaemia</w:t>
            </w:r>
          </w:p>
        </w:tc>
      </w:tr>
      <w:tr w:rsidR="003202A5" w:rsidRPr="00FD119B" w14:paraId="3DFF128C" w14:textId="77777777" w:rsidTr="0071409D">
        <w:tc>
          <w:tcPr>
            <w:tcW w:w="1796" w:type="dxa"/>
          </w:tcPr>
          <w:p w14:paraId="5D206AD4" w14:textId="77777777" w:rsidR="003202A5" w:rsidRPr="00FD119B" w:rsidRDefault="003202A5" w:rsidP="00097A63">
            <w:r>
              <w:t>ARTG</w:t>
            </w:r>
          </w:p>
        </w:tc>
        <w:tc>
          <w:tcPr>
            <w:tcW w:w="6698" w:type="dxa"/>
          </w:tcPr>
          <w:p w14:paraId="3FAF2A85" w14:textId="77777777" w:rsidR="003202A5" w:rsidRPr="00FD119B" w:rsidRDefault="003202A5" w:rsidP="00097A63">
            <w:r w:rsidRPr="00460036">
              <w:t>Australian Register of Therapeutic Goods</w:t>
            </w:r>
          </w:p>
        </w:tc>
      </w:tr>
      <w:tr w:rsidR="003202A5" w:rsidRPr="00FD119B" w14:paraId="7C72C52A" w14:textId="77777777" w:rsidTr="0071409D">
        <w:tc>
          <w:tcPr>
            <w:tcW w:w="1796" w:type="dxa"/>
          </w:tcPr>
          <w:p w14:paraId="7D7763B7" w14:textId="77777777" w:rsidR="003202A5" w:rsidRDefault="003202A5" w:rsidP="00097A63">
            <w:r>
              <w:t>ASA</w:t>
            </w:r>
          </w:p>
        </w:tc>
        <w:tc>
          <w:tcPr>
            <w:tcW w:w="6698" w:type="dxa"/>
          </w:tcPr>
          <w:p w14:paraId="68396208" w14:textId="77777777" w:rsidR="003202A5" w:rsidRPr="00315C0F" w:rsidRDefault="003202A5" w:rsidP="00097A63">
            <w:pPr>
              <w:rPr>
                <w:rFonts w:cs="Calibri"/>
              </w:rPr>
            </w:pPr>
            <w:r w:rsidRPr="00315C0F">
              <w:rPr>
                <w:rFonts w:cs="Calibri"/>
              </w:rPr>
              <w:t>Australian specific annex</w:t>
            </w:r>
          </w:p>
        </w:tc>
      </w:tr>
      <w:tr w:rsidR="003202A5" w:rsidRPr="00FD119B" w14:paraId="7523E7A7" w14:textId="77777777" w:rsidTr="0071409D">
        <w:tc>
          <w:tcPr>
            <w:tcW w:w="1796" w:type="dxa"/>
          </w:tcPr>
          <w:p w14:paraId="5A02CA8D" w14:textId="77777777" w:rsidR="003202A5" w:rsidRDefault="003202A5" w:rsidP="00097A63">
            <w:r>
              <w:t>AST</w:t>
            </w:r>
          </w:p>
        </w:tc>
        <w:tc>
          <w:tcPr>
            <w:tcW w:w="6698" w:type="dxa"/>
          </w:tcPr>
          <w:p w14:paraId="38216B73" w14:textId="77777777" w:rsidR="003202A5" w:rsidRDefault="003202A5" w:rsidP="00097A63">
            <w:r>
              <w:t>A</w:t>
            </w:r>
            <w:r w:rsidRPr="00CA6FFE">
              <w:t>spartate aminotransferase</w:t>
            </w:r>
          </w:p>
        </w:tc>
      </w:tr>
      <w:tr w:rsidR="003202A5" w:rsidRPr="00FD119B" w14:paraId="02A71F8F" w14:textId="77777777" w:rsidTr="0071409D">
        <w:tc>
          <w:tcPr>
            <w:tcW w:w="1796" w:type="dxa"/>
          </w:tcPr>
          <w:p w14:paraId="7D7AD971" w14:textId="77777777" w:rsidR="003202A5" w:rsidRDefault="003202A5" w:rsidP="00097A63">
            <w:r>
              <w:t>AUC</w:t>
            </w:r>
          </w:p>
        </w:tc>
        <w:tc>
          <w:tcPr>
            <w:tcW w:w="6698" w:type="dxa"/>
          </w:tcPr>
          <w:p w14:paraId="6CF4B3EB" w14:textId="77777777" w:rsidR="003202A5" w:rsidRDefault="003202A5" w:rsidP="00097A63">
            <w:r>
              <w:t xml:space="preserve">Area under </w:t>
            </w:r>
            <w:r w:rsidR="00F63A7D">
              <w:t xml:space="preserve">the </w:t>
            </w:r>
            <w:r>
              <w:t>time</w:t>
            </w:r>
            <w:r w:rsidR="00F63A7D">
              <w:t xml:space="preserve"> versus</w:t>
            </w:r>
            <w:r>
              <w:t xml:space="preserve"> concentration curve</w:t>
            </w:r>
          </w:p>
        </w:tc>
      </w:tr>
      <w:tr w:rsidR="003202A5" w:rsidRPr="00FD119B" w14:paraId="1C5A196C" w14:textId="77777777" w:rsidTr="0071409D">
        <w:tc>
          <w:tcPr>
            <w:tcW w:w="1796" w:type="dxa"/>
          </w:tcPr>
          <w:p w14:paraId="607254B0" w14:textId="77777777" w:rsidR="003202A5" w:rsidRPr="00FD119B" w:rsidRDefault="003202A5" w:rsidP="00097A63">
            <w:r>
              <w:t>AusPAR</w:t>
            </w:r>
          </w:p>
        </w:tc>
        <w:tc>
          <w:tcPr>
            <w:tcW w:w="6698" w:type="dxa"/>
          </w:tcPr>
          <w:p w14:paraId="1D27D66F" w14:textId="77777777" w:rsidR="003202A5" w:rsidRPr="00FD119B" w:rsidRDefault="003202A5" w:rsidP="00097A63">
            <w:r>
              <w:t>Australian Public Assessment Report</w:t>
            </w:r>
          </w:p>
        </w:tc>
      </w:tr>
      <w:tr w:rsidR="003202A5" w:rsidRPr="00FD119B" w14:paraId="28BA45D0" w14:textId="77777777" w:rsidTr="0071409D">
        <w:tc>
          <w:tcPr>
            <w:tcW w:w="1796" w:type="dxa"/>
          </w:tcPr>
          <w:p w14:paraId="478E0772" w14:textId="77777777" w:rsidR="003202A5" w:rsidRDefault="003202A5" w:rsidP="00097A63">
            <w:r>
              <w:t>BIRC</w:t>
            </w:r>
          </w:p>
        </w:tc>
        <w:tc>
          <w:tcPr>
            <w:tcW w:w="6698" w:type="dxa"/>
          </w:tcPr>
          <w:p w14:paraId="2EC077A2" w14:textId="77777777" w:rsidR="003202A5" w:rsidRDefault="003202A5" w:rsidP="00097A63">
            <w:r>
              <w:t>Blinded independent review committee</w:t>
            </w:r>
          </w:p>
        </w:tc>
      </w:tr>
      <w:tr w:rsidR="003202A5" w:rsidRPr="00FD119B" w14:paraId="554AD2D9" w14:textId="77777777" w:rsidTr="0071409D">
        <w:tc>
          <w:tcPr>
            <w:tcW w:w="1796" w:type="dxa"/>
          </w:tcPr>
          <w:p w14:paraId="0D150CBD" w14:textId="77777777" w:rsidR="003202A5" w:rsidRDefault="003202A5" w:rsidP="00097A63">
            <w:r>
              <w:t>CI</w:t>
            </w:r>
          </w:p>
        </w:tc>
        <w:tc>
          <w:tcPr>
            <w:tcW w:w="6698" w:type="dxa"/>
          </w:tcPr>
          <w:p w14:paraId="7B966FC5" w14:textId="77777777" w:rsidR="003202A5" w:rsidRDefault="003202A5" w:rsidP="00097A63">
            <w:r>
              <w:t>Confidence interval</w:t>
            </w:r>
          </w:p>
        </w:tc>
      </w:tr>
      <w:tr w:rsidR="003202A5" w:rsidRPr="00FD119B" w14:paraId="5BCF9F6E" w14:textId="77777777" w:rsidTr="0071409D">
        <w:tc>
          <w:tcPr>
            <w:tcW w:w="1796" w:type="dxa"/>
          </w:tcPr>
          <w:p w14:paraId="3287B975" w14:textId="77777777" w:rsidR="003202A5" w:rsidRDefault="003202A5" w:rsidP="00097A63">
            <w:r>
              <w:t>CMI</w:t>
            </w:r>
          </w:p>
        </w:tc>
        <w:tc>
          <w:tcPr>
            <w:tcW w:w="6698" w:type="dxa"/>
          </w:tcPr>
          <w:p w14:paraId="1BE28331" w14:textId="77777777" w:rsidR="003202A5" w:rsidRPr="00315C0F" w:rsidRDefault="003202A5" w:rsidP="00097A63">
            <w:pPr>
              <w:rPr>
                <w:rFonts w:cs="Calibri"/>
                <w:szCs w:val="20"/>
              </w:rPr>
            </w:pPr>
            <w:r>
              <w:rPr>
                <w:rFonts w:cs="Calibri"/>
                <w:szCs w:val="20"/>
              </w:rPr>
              <w:t>Consumer Medicine Information</w:t>
            </w:r>
          </w:p>
        </w:tc>
      </w:tr>
      <w:tr w:rsidR="003202A5" w:rsidRPr="00FD119B" w14:paraId="6F33F747" w14:textId="77777777" w:rsidTr="0071409D">
        <w:tc>
          <w:tcPr>
            <w:tcW w:w="1796" w:type="dxa"/>
          </w:tcPr>
          <w:p w14:paraId="47241461" w14:textId="77777777" w:rsidR="003202A5" w:rsidRDefault="003202A5" w:rsidP="00097A63">
            <w:r>
              <w:t>CPK</w:t>
            </w:r>
          </w:p>
        </w:tc>
        <w:tc>
          <w:tcPr>
            <w:tcW w:w="6698" w:type="dxa"/>
          </w:tcPr>
          <w:p w14:paraId="4E2EA9C6" w14:textId="77777777" w:rsidR="003202A5" w:rsidRDefault="003202A5" w:rsidP="00097A63">
            <w:proofErr w:type="spellStart"/>
            <w:r>
              <w:t>C</w:t>
            </w:r>
            <w:r w:rsidRPr="00E85F98">
              <w:t>reatine</w:t>
            </w:r>
            <w:proofErr w:type="spellEnd"/>
            <w:r w:rsidRPr="00E85F98">
              <w:t xml:space="preserve"> phosphokinase</w:t>
            </w:r>
          </w:p>
        </w:tc>
      </w:tr>
      <w:tr w:rsidR="003202A5" w:rsidRPr="00FD119B" w14:paraId="74C4EB2D" w14:textId="77777777" w:rsidTr="0071409D">
        <w:tc>
          <w:tcPr>
            <w:tcW w:w="1796" w:type="dxa"/>
          </w:tcPr>
          <w:p w14:paraId="37A263A4" w14:textId="77777777" w:rsidR="003202A5" w:rsidRDefault="003202A5" w:rsidP="00097A63">
            <w:r>
              <w:t>CR</w:t>
            </w:r>
          </w:p>
        </w:tc>
        <w:tc>
          <w:tcPr>
            <w:tcW w:w="6698" w:type="dxa"/>
          </w:tcPr>
          <w:p w14:paraId="6BD5665D" w14:textId="77777777" w:rsidR="003202A5" w:rsidRDefault="003202A5" w:rsidP="00097A63">
            <w:r>
              <w:t>Complete response</w:t>
            </w:r>
          </w:p>
        </w:tc>
      </w:tr>
      <w:tr w:rsidR="003202A5" w:rsidRPr="00FD119B" w14:paraId="7C2B1684" w14:textId="77777777" w:rsidTr="0071409D">
        <w:tc>
          <w:tcPr>
            <w:tcW w:w="1796" w:type="dxa"/>
          </w:tcPr>
          <w:p w14:paraId="417F250B" w14:textId="77777777" w:rsidR="003202A5" w:rsidRDefault="003202A5" w:rsidP="00097A63">
            <w:r>
              <w:t>CYP</w:t>
            </w:r>
          </w:p>
        </w:tc>
        <w:tc>
          <w:tcPr>
            <w:tcW w:w="6698" w:type="dxa"/>
          </w:tcPr>
          <w:p w14:paraId="45BCEF09" w14:textId="77777777" w:rsidR="003202A5" w:rsidRDefault="003202A5" w:rsidP="00097A63">
            <w:r>
              <w:t>Cytochrome P450 enzyme</w:t>
            </w:r>
          </w:p>
        </w:tc>
      </w:tr>
      <w:tr w:rsidR="003202A5" w:rsidRPr="00FD119B" w14:paraId="0B29B66D" w14:textId="77777777" w:rsidTr="0071409D">
        <w:tc>
          <w:tcPr>
            <w:tcW w:w="1796" w:type="dxa"/>
          </w:tcPr>
          <w:p w14:paraId="1C0BB586" w14:textId="77777777" w:rsidR="003202A5" w:rsidRDefault="003202A5" w:rsidP="00097A63">
            <w:r>
              <w:t>DLP</w:t>
            </w:r>
          </w:p>
        </w:tc>
        <w:tc>
          <w:tcPr>
            <w:tcW w:w="6698" w:type="dxa"/>
          </w:tcPr>
          <w:p w14:paraId="083F9AFE" w14:textId="77777777" w:rsidR="003202A5" w:rsidRPr="00315C0F" w:rsidRDefault="003202A5" w:rsidP="00097A63">
            <w:pPr>
              <w:rPr>
                <w:rFonts w:cs="Calibri"/>
              </w:rPr>
            </w:pPr>
            <w:r w:rsidRPr="00315C0F">
              <w:rPr>
                <w:rFonts w:cs="Calibri"/>
              </w:rPr>
              <w:t>Data lock point</w:t>
            </w:r>
          </w:p>
        </w:tc>
      </w:tr>
      <w:tr w:rsidR="003202A5" w:rsidRPr="00FD119B" w14:paraId="0EEA9A2E" w14:textId="77777777" w:rsidTr="0071409D">
        <w:tc>
          <w:tcPr>
            <w:tcW w:w="1796" w:type="dxa"/>
          </w:tcPr>
          <w:p w14:paraId="5A483742" w14:textId="77777777" w:rsidR="003202A5" w:rsidRDefault="003202A5" w:rsidP="00097A63">
            <w:r>
              <w:t>DNA</w:t>
            </w:r>
          </w:p>
        </w:tc>
        <w:tc>
          <w:tcPr>
            <w:tcW w:w="6698" w:type="dxa"/>
          </w:tcPr>
          <w:p w14:paraId="1F7CB9A4" w14:textId="77777777" w:rsidR="003202A5" w:rsidRDefault="003202A5" w:rsidP="00097A63">
            <w:r w:rsidRPr="00415063">
              <w:t>Deoxyribonucleic acid</w:t>
            </w:r>
          </w:p>
        </w:tc>
      </w:tr>
      <w:tr w:rsidR="003202A5" w:rsidRPr="00FD119B" w14:paraId="670C8962" w14:textId="77777777" w:rsidTr="0071409D">
        <w:tc>
          <w:tcPr>
            <w:tcW w:w="1796" w:type="dxa"/>
          </w:tcPr>
          <w:p w14:paraId="592982C4" w14:textId="77777777" w:rsidR="003202A5" w:rsidRDefault="003202A5" w:rsidP="00097A63">
            <w:r>
              <w:t>DOR</w:t>
            </w:r>
          </w:p>
        </w:tc>
        <w:tc>
          <w:tcPr>
            <w:tcW w:w="6698" w:type="dxa"/>
          </w:tcPr>
          <w:p w14:paraId="288A91EA" w14:textId="77777777" w:rsidR="003202A5" w:rsidRDefault="003202A5" w:rsidP="00097A63">
            <w:r>
              <w:t>Duration of response</w:t>
            </w:r>
          </w:p>
        </w:tc>
      </w:tr>
      <w:tr w:rsidR="003202A5" w:rsidRPr="00FD119B" w14:paraId="076043B5" w14:textId="77777777" w:rsidTr="0071409D">
        <w:tc>
          <w:tcPr>
            <w:tcW w:w="1796" w:type="dxa"/>
          </w:tcPr>
          <w:p w14:paraId="66FF6A76" w14:textId="77777777" w:rsidR="003202A5" w:rsidRDefault="003202A5" w:rsidP="00097A63">
            <w:r>
              <w:t>ECOG</w:t>
            </w:r>
          </w:p>
        </w:tc>
        <w:tc>
          <w:tcPr>
            <w:tcW w:w="6698" w:type="dxa"/>
          </w:tcPr>
          <w:p w14:paraId="6FA4265A" w14:textId="77777777" w:rsidR="003202A5" w:rsidRDefault="003202A5" w:rsidP="00097A63">
            <w:r>
              <w:t>Eastern Cooperative Oncology Group</w:t>
            </w:r>
          </w:p>
        </w:tc>
      </w:tr>
      <w:tr w:rsidR="003202A5" w:rsidRPr="00FD119B" w14:paraId="6ACCB884" w14:textId="77777777" w:rsidTr="0071409D">
        <w:tc>
          <w:tcPr>
            <w:tcW w:w="1796" w:type="dxa"/>
          </w:tcPr>
          <w:p w14:paraId="131237B8" w14:textId="77777777" w:rsidR="003202A5" w:rsidRDefault="003202A5" w:rsidP="00097A63">
            <w:r>
              <w:t>EMA</w:t>
            </w:r>
          </w:p>
        </w:tc>
        <w:tc>
          <w:tcPr>
            <w:tcW w:w="6698" w:type="dxa"/>
          </w:tcPr>
          <w:p w14:paraId="3CF053D4" w14:textId="77777777" w:rsidR="003202A5" w:rsidRDefault="003202A5" w:rsidP="00097A63">
            <w:r>
              <w:t>European Medicine</w:t>
            </w:r>
            <w:r w:rsidR="00F63A7D">
              <w:t>s</w:t>
            </w:r>
            <w:r>
              <w:t xml:space="preserve"> Agency</w:t>
            </w:r>
            <w:r w:rsidR="00F63A7D">
              <w:t xml:space="preserve"> (European Union)</w:t>
            </w:r>
          </w:p>
        </w:tc>
      </w:tr>
      <w:tr w:rsidR="003202A5" w:rsidRPr="00FD119B" w14:paraId="73316CC8" w14:textId="77777777" w:rsidTr="0071409D">
        <w:tc>
          <w:tcPr>
            <w:tcW w:w="1796" w:type="dxa"/>
          </w:tcPr>
          <w:p w14:paraId="4ACF8B40" w14:textId="77777777" w:rsidR="003202A5" w:rsidRDefault="003202A5" w:rsidP="00097A63">
            <w:r>
              <w:t>ESMO</w:t>
            </w:r>
          </w:p>
        </w:tc>
        <w:tc>
          <w:tcPr>
            <w:tcW w:w="6698" w:type="dxa"/>
          </w:tcPr>
          <w:p w14:paraId="171DF44A" w14:textId="77777777" w:rsidR="003202A5" w:rsidRDefault="003202A5" w:rsidP="00097A63">
            <w:r>
              <w:t>European Society of Medical Oncology</w:t>
            </w:r>
          </w:p>
        </w:tc>
      </w:tr>
      <w:tr w:rsidR="003202A5" w:rsidRPr="00FD119B" w14:paraId="34F08F03" w14:textId="77777777" w:rsidTr="0071409D">
        <w:tc>
          <w:tcPr>
            <w:tcW w:w="1796" w:type="dxa"/>
          </w:tcPr>
          <w:p w14:paraId="4A2733CF" w14:textId="77777777" w:rsidR="003202A5" w:rsidRDefault="003202A5" w:rsidP="00097A63">
            <w:r>
              <w:t>EU</w:t>
            </w:r>
          </w:p>
        </w:tc>
        <w:tc>
          <w:tcPr>
            <w:tcW w:w="6698" w:type="dxa"/>
          </w:tcPr>
          <w:p w14:paraId="5CFB6F7A" w14:textId="77777777" w:rsidR="003202A5" w:rsidRDefault="003202A5" w:rsidP="00097A63">
            <w:r>
              <w:t>European Union</w:t>
            </w:r>
          </w:p>
        </w:tc>
      </w:tr>
      <w:tr w:rsidR="009D3A23" w:rsidRPr="00FD119B" w14:paraId="32D52CD7" w14:textId="77777777" w:rsidTr="0071409D">
        <w:tc>
          <w:tcPr>
            <w:tcW w:w="1796" w:type="dxa"/>
          </w:tcPr>
          <w:p w14:paraId="3D3CA676" w14:textId="7DBA7F86" w:rsidR="009D3A23" w:rsidRDefault="009D3A23" w:rsidP="00097A63">
            <w:r>
              <w:t>FDA</w:t>
            </w:r>
          </w:p>
        </w:tc>
        <w:tc>
          <w:tcPr>
            <w:tcW w:w="6698" w:type="dxa"/>
          </w:tcPr>
          <w:p w14:paraId="5ACAD834" w14:textId="03A38478" w:rsidR="009D3A23" w:rsidRDefault="009D3A23" w:rsidP="00097A63">
            <w:r>
              <w:t>Food and Drug Administration (United States)</w:t>
            </w:r>
          </w:p>
        </w:tc>
      </w:tr>
      <w:tr w:rsidR="003202A5" w:rsidRPr="00FD119B" w14:paraId="290AA35B" w14:textId="77777777" w:rsidTr="0071409D">
        <w:tc>
          <w:tcPr>
            <w:tcW w:w="1796" w:type="dxa"/>
          </w:tcPr>
          <w:p w14:paraId="0BAB2AF4" w14:textId="77777777" w:rsidR="003202A5" w:rsidRDefault="003202A5" w:rsidP="00097A63">
            <w:r>
              <w:t>GI</w:t>
            </w:r>
          </w:p>
        </w:tc>
        <w:tc>
          <w:tcPr>
            <w:tcW w:w="6698" w:type="dxa"/>
          </w:tcPr>
          <w:p w14:paraId="409B8358" w14:textId="77777777" w:rsidR="003202A5" w:rsidRDefault="003202A5" w:rsidP="00097A63">
            <w:r>
              <w:t>Gastrointestinal</w:t>
            </w:r>
          </w:p>
        </w:tc>
      </w:tr>
      <w:tr w:rsidR="003202A5" w:rsidRPr="00FD119B" w14:paraId="1FC3BE8A" w14:textId="77777777" w:rsidTr="0071409D">
        <w:tc>
          <w:tcPr>
            <w:tcW w:w="1796" w:type="dxa"/>
          </w:tcPr>
          <w:p w14:paraId="1829B27A" w14:textId="77777777" w:rsidR="003202A5" w:rsidRDefault="003202A5" w:rsidP="00097A63">
            <w:r>
              <w:t>GIST</w:t>
            </w:r>
          </w:p>
        </w:tc>
        <w:tc>
          <w:tcPr>
            <w:tcW w:w="6698" w:type="dxa"/>
          </w:tcPr>
          <w:p w14:paraId="12B0B2B0" w14:textId="77777777" w:rsidR="003202A5" w:rsidRDefault="003202A5" w:rsidP="00097A63">
            <w:r>
              <w:t>Gastrointestinal stromal tumo</w:t>
            </w:r>
            <w:r w:rsidR="00F63A7D">
              <w:t>u</w:t>
            </w:r>
            <w:r>
              <w:t>r</w:t>
            </w:r>
          </w:p>
        </w:tc>
      </w:tr>
      <w:tr w:rsidR="003202A5" w:rsidRPr="00FD119B" w14:paraId="28D171B7" w14:textId="77777777" w:rsidTr="0071409D">
        <w:tc>
          <w:tcPr>
            <w:tcW w:w="1796" w:type="dxa"/>
          </w:tcPr>
          <w:p w14:paraId="33717B3E" w14:textId="77777777" w:rsidR="003202A5" w:rsidRDefault="003202A5" w:rsidP="00097A63">
            <w:r>
              <w:t>GVP</w:t>
            </w:r>
          </w:p>
        </w:tc>
        <w:tc>
          <w:tcPr>
            <w:tcW w:w="6698" w:type="dxa"/>
          </w:tcPr>
          <w:p w14:paraId="2391BB76" w14:textId="77777777" w:rsidR="003202A5" w:rsidRPr="00315C0F" w:rsidRDefault="003202A5" w:rsidP="00097A63">
            <w:pPr>
              <w:rPr>
                <w:rFonts w:cs="Calibri"/>
                <w:szCs w:val="20"/>
              </w:rPr>
            </w:pPr>
            <w:r w:rsidRPr="00315C0F">
              <w:rPr>
                <w:rFonts w:cs="Calibri"/>
                <w:szCs w:val="20"/>
              </w:rPr>
              <w:t>Good pharmacovigilance practices</w:t>
            </w:r>
          </w:p>
        </w:tc>
      </w:tr>
      <w:tr w:rsidR="003202A5" w:rsidRPr="00FD119B" w14:paraId="661FE9E9" w14:textId="77777777" w:rsidTr="0071409D">
        <w:tc>
          <w:tcPr>
            <w:tcW w:w="1796" w:type="dxa"/>
          </w:tcPr>
          <w:p w14:paraId="060436C7" w14:textId="77777777" w:rsidR="003202A5" w:rsidRDefault="003202A5" w:rsidP="00097A63">
            <w:r>
              <w:t>HR</w:t>
            </w:r>
          </w:p>
        </w:tc>
        <w:tc>
          <w:tcPr>
            <w:tcW w:w="6698" w:type="dxa"/>
          </w:tcPr>
          <w:p w14:paraId="6AB613BB" w14:textId="77777777" w:rsidR="003202A5" w:rsidRDefault="003202A5" w:rsidP="00097A63">
            <w:r>
              <w:t>Hazard ratio</w:t>
            </w:r>
          </w:p>
        </w:tc>
      </w:tr>
      <w:tr w:rsidR="003202A5" w:rsidRPr="00FD119B" w14:paraId="5017BCB7" w14:textId="77777777" w:rsidTr="0071409D">
        <w:tc>
          <w:tcPr>
            <w:tcW w:w="1796" w:type="dxa"/>
          </w:tcPr>
          <w:p w14:paraId="715D8EF2" w14:textId="3A4C22DC" w:rsidR="003202A5" w:rsidRDefault="003202A5" w:rsidP="00097A63">
            <w:r>
              <w:t>IV</w:t>
            </w:r>
          </w:p>
        </w:tc>
        <w:tc>
          <w:tcPr>
            <w:tcW w:w="6698" w:type="dxa"/>
          </w:tcPr>
          <w:p w14:paraId="2D41CB0F" w14:textId="77777777" w:rsidR="003202A5" w:rsidRDefault="003202A5" w:rsidP="00097A63">
            <w:r>
              <w:t>Intravenous</w:t>
            </w:r>
            <w:r w:rsidR="00F63A7D">
              <w:t>(</w:t>
            </w:r>
            <w:proofErr w:type="spellStart"/>
            <w:r w:rsidR="00F63A7D">
              <w:t>ly</w:t>
            </w:r>
            <w:proofErr w:type="spellEnd"/>
            <w:r w:rsidR="00F63A7D">
              <w:t>)</w:t>
            </w:r>
          </w:p>
        </w:tc>
      </w:tr>
      <w:tr w:rsidR="003202A5" w:rsidRPr="00FD119B" w14:paraId="06E8FA6E" w14:textId="77777777" w:rsidTr="0071409D">
        <w:tc>
          <w:tcPr>
            <w:tcW w:w="1796" w:type="dxa"/>
          </w:tcPr>
          <w:p w14:paraId="39AF9026" w14:textId="77777777" w:rsidR="003202A5" w:rsidRPr="00FD119B" w:rsidRDefault="003202A5" w:rsidP="00097A63">
            <w:r>
              <w:t>LMS</w:t>
            </w:r>
          </w:p>
        </w:tc>
        <w:tc>
          <w:tcPr>
            <w:tcW w:w="6698" w:type="dxa"/>
          </w:tcPr>
          <w:p w14:paraId="1F39C937" w14:textId="77777777" w:rsidR="003202A5" w:rsidRPr="00FD119B" w:rsidRDefault="003202A5" w:rsidP="00097A63">
            <w:proofErr w:type="spellStart"/>
            <w:r>
              <w:t>Leiomyosarcoma</w:t>
            </w:r>
            <w:proofErr w:type="spellEnd"/>
          </w:p>
        </w:tc>
      </w:tr>
      <w:tr w:rsidR="003202A5" w:rsidRPr="00FD119B" w14:paraId="46810EA2" w14:textId="77777777" w:rsidTr="0071409D">
        <w:tc>
          <w:tcPr>
            <w:tcW w:w="1796" w:type="dxa"/>
          </w:tcPr>
          <w:p w14:paraId="32DC1153" w14:textId="77777777" w:rsidR="003202A5" w:rsidRPr="00FD119B" w:rsidRDefault="003202A5" w:rsidP="00097A63">
            <w:r>
              <w:t>LPS</w:t>
            </w:r>
          </w:p>
        </w:tc>
        <w:tc>
          <w:tcPr>
            <w:tcW w:w="6698" w:type="dxa"/>
          </w:tcPr>
          <w:p w14:paraId="3F915BF1" w14:textId="77777777" w:rsidR="003202A5" w:rsidRPr="00FD119B" w:rsidRDefault="003202A5" w:rsidP="00097A63">
            <w:proofErr w:type="spellStart"/>
            <w:r>
              <w:t>Liposarcoma</w:t>
            </w:r>
            <w:proofErr w:type="spellEnd"/>
          </w:p>
        </w:tc>
      </w:tr>
      <w:tr w:rsidR="003202A5" w:rsidRPr="00FD119B" w14:paraId="62E6F1DB" w14:textId="77777777" w:rsidTr="0071409D">
        <w:tc>
          <w:tcPr>
            <w:tcW w:w="1796" w:type="dxa"/>
          </w:tcPr>
          <w:p w14:paraId="601B2DC6" w14:textId="77777777" w:rsidR="003202A5" w:rsidRDefault="003202A5" w:rsidP="00097A63">
            <w:r>
              <w:t>MDS</w:t>
            </w:r>
          </w:p>
        </w:tc>
        <w:tc>
          <w:tcPr>
            <w:tcW w:w="6698" w:type="dxa"/>
          </w:tcPr>
          <w:p w14:paraId="0DB7E55E" w14:textId="77777777" w:rsidR="003202A5" w:rsidRPr="00315C0F" w:rsidRDefault="003202A5" w:rsidP="00097A63">
            <w:pPr>
              <w:rPr>
                <w:rFonts w:cs="Calibri"/>
              </w:rPr>
            </w:pPr>
            <w:r w:rsidRPr="00315C0F">
              <w:rPr>
                <w:rFonts w:cs="Calibri"/>
                <w:szCs w:val="20"/>
              </w:rPr>
              <w:t>Myelodysplasia</w:t>
            </w:r>
          </w:p>
        </w:tc>
      </w:tr>
      <w:tr w:rsidR="003202A5" w:rsidRPr="00FD119B" w14:paraId="487C7900" w14:textId="77777777" w:rsidTr="0071409D">
        <w:tc>
          <w:tcPr>
            <w:tcW w:w="1796" w:type="dxa"/>
          </w:tcPr>
          <w:p w14:paraId="50D94CED" w14:textId="77777777" w:rsidR="003202A5" w:rsidRDefault="003202A5" w:rsidP="00097A63">
            <w:r>
              <w:t>NCCN</w:t>
            </w:r>
          </w:p>
        </w:tc>
        <w:tc>
          <w:tcPr>
            <w:tcW w:w="6698" w:type="dxa"/>
          </w:tcPr>
          <w:p w14:paraId="3B690F4B" w14:textId="77777777" w:rsidR="003202A5" w:rsidRDefault="003202A5" w:rsidP="00097A63">
            <w:r>
              <w:t>National Comprehensive Cancer Network</w:t>
            </w:r>
            <w:r w:rsidR="00F63A7D">
              <w:t xml:space="preserve"> (United States)</w:t>
            </w:r>
          </w:p>
        </w:tc>
      </w:tr>
      <w:tr w:rsidR="003202A5" w:rsidRPr="00FD119B" w14:paraId="74A7AFCC" w14:textId="77777777" w:rsidTr="0071409D">
        <w:tc>
          <w:tcPr>
            <w:tcW w:w="1796" w:type="dxa"/>
          </w:tcPr>
          <w:p w14:paraId="6A3ADD26" w14:textId="77777777" w:rsidR="003202A5" w:rsidRDefault="003202A5" w:rsidP="00097A63">
            <w:r>
              <w:t>ORR</w:t>
            </w:r>
          </w:p>
        </w:tc>
        <w:tc>
          <w:tcPr>
            <w:tcW w:w="6698" w:type="dxa"/>
          </w:tcPr>
          <w:p w14:paraId="6F42E713" w14:textId="77777777" w:rsidR="003202A5" w:rsidRDefault="003202A5" w:rsidP="00097A63">
            <w:r>
              <w:t>Objective response rate</w:t>
            </w:r>
          </w:p>
        </w:tc>
      </w:tr>
      <w:tr w:rsidR="003202A5" w:rsidRPr="00FD119B" w14:paraId="1724210D" w14:textId="77777777" w:rsidTr="0071409D">
        <w:tc>
          <w:tcPr>
            <w:tcW w:w="1796" w:type="dxa"/>
          </w:tcPr>
          <w:p w14:paraId="60101487" w14:textId="77777777" w:rsidR="003202A5" w:rsidRDefault="003202A5" w:rsidP="00097A63">
            <w:r>
              <w:t>OS</w:t>
            </w:r>
          </w:p>
        </w:tc>
        <w:tc>
          <w:tcPr>
            <w:tcW w:w="6698" w:type="dxa"/>
          </w:tcPr>
          <w:p w14:paraId="63F05CC7" w14:textId="77777777" w:rsidR="003202A5" w:rsidRDefault="003202A5" w:rsidP="00097A63">
            <w:r>
              <w:t>Overall survival</w:t>
            </w:r>
          </w:p>
        </w:tc>
      </w:tr>
      <w:tr w:rsidR="003202A5" w:rsidRPr="00FD119B" w14:paraId="013B8C66" w14:textId="77777777" w:rsidTr="0071409D">
        <w:tc>
          <w:tcPr>
            <w:tcW w:w="1796" w:type="dxa"/>
          </w:tcPr>
          <w:p w14:paraId="6014B2A2" w14:textId="77777777" w:rsidR="003202A5" w:rsidRDefault="003202A5" w:rsidP="00097A63">
            <w:r>
              <w:t>PD</w:t>
            </w:r>
          </w:p>
        </w:tc>
        <w:tc>
          <w:tcPr>
            <w:tcW w:w="6698" w:type="dxa"/>
          </w:tcPr>
          <w:p w14:paraId="1515D290" w14:textId="77777777" w:rsidR="003202A5" w:rsidRDefault="00097A63" w:rsidP="00097A63">
            <w:r>
              <w:t>Pharmacodynamic</w:t>
            </w:r>
            <w:r w:rsidR="003202A5">
              <w:t>(s)</w:t>
            </w:r>
          </w:p>
        </w:tc>
      </w:tr>
      <w:tr w:rsidR="003202A5" w:rsidRPr="00FD119B" w14:paraId="1A44616A" w14:textId="77777777" w:rsidTr="0071409D">
        <w:tc>
          <w:tcPr>
            <w:tcW w:w="1796" w:type="dxa"/>
          </w:tcPr>
          <w:p w14:paraId="6485CD5D" w14:textId="77777777" w:rsidR="003202A5" w:rsidRDefault="003202A5" w:rsidP="00097A63">
            <w:r>
              <w:t>PFS</w:t>
            </w:r>
          </w:p>
        </w:tc>
        <w:tc>
          <w:tcPr>
            <w:tcW w:w="6698" w:type="dxa"/>
          </w:tcPr>
          <w:p w14:paraId="7C245E58" w14:textId="77777777" w:rsidR="003202A5" w:rsidRDefault="003202A5" w:rsidP="00097A63">
            <w:r>
              <w:t>Progression free survival</w:t>
            </w:r>
          </w:p>
        </w:tc>
      </w:tr>
      <w:tr w:rsidR="003202A5" w:rsidRPr="00FD119B" w14:paraId="3016B2C4" w14:textId="77777777" w:rsidTr="0071409D">
        <w:tc>
          <w:tcPr>
            <w:tcW w:w="1796" w:type="dxa"/>
          </w:tcPr>
          <w:p w14:paraId="4C59D455" w14:textId="77777777" w:rsidR="003202A5" w:rsidRDefault="003202A5" w:rsidP="00097A63">
            <w:r>
              <w:t>PI</w:t>
            </w:r>
          </w:p>
        </w:tc>
        <w:tc>
          <w:tcPr>
            <w:tcW w:w="6698" w:type="dxa"/>
          </w:tcPr>
          <w:p w14:paraId="2D339CE4" w14:textId="77777777" w:rsidR="003202A5" w:rsidRDefault="003202A5" w:rsidP="00097A63">
            <w:r>
              <w:t>Product Information</w:t>
            </w:r>
          </w:p>
        </w:tc>
      </w:tr>
      <w:tr w:rsidR="003202A5" w:rsidRPr="00FD119B" w14:paraId="7DEE0CB0" w14:textId="77777777" w:rsidTr="0071409D">
        <w:tc>
          <w:tcPr>
            <w:tcW w:w="1796" w:type="dxa"/>
          </w:tcPr>
          <w:p w14:paraId="71D4DE2B" w14:textId="77777777" w:rsidR="003202A5" w:rsidRDefault="003202A5" w:rsidP="00097A63">
            <w:r>
              <w:t>PK</w:t>
            </w:r>
          </w:p>
        </w:tc>
        <w:tc>
          <w:tcPr>
            <w:tcW w:w="6698" w:type="dxa"/>
          </w:tcPr>
          <w:p w14:paraId="0E5C1714" w14:textId="77777777" w:rsidR="003202A5" w:rsidRDefault="003202A5" w:rsidP="00097A63">
            <w:r>
              <w:t>Pharmacokinetic(s)</w:t>
            </w:r>
          </w:p>
        </w:tc>
      </w:tr>
      <w:tr w:rsidR="003202A5" w:rsidRPr="00FD119B" w14:paraId="53FD8D79" w14:textId="77777777" w:rsidTr="0071409D">
        <w:tc>
          <w:tcPr>
            <w:tcW w:w="1796" w:type="dxa"/>
          </w:tcPr>
          <w:p w14:paraId="3069C582" w14:textId="77777777" w:rsidR="003202A5" w:rsidRDefault="003202A5" w:rsidP="00097A63">
            <w:r>
              <w:t>PR</w:t>
            </w:r>
          </w:p>
        </w:tc>
        <w:tc>
          <w:tcPr>
            <w:tcW w:w="6698" w:type="dxa"/>
          </w:tcPr>
          <w:p w14:paraId="64CAD295" w14:textId="77777777" w:rsidR="003202A5" w:rsidRDefault="003202A5" w:rsidP="00097A63">
            <w:r>
              <w:t>Partial response</w:t>
            </w:r>
          </w:p>
        </w:tc>
      </w:tr>
      <w:tr w:rsidR="003202A5" w:rsidRPr="00FD119B" w14:paraId="33D03DA4" w14:textId="77777777" w:rsidTr="0071409D">
        <w:tc>
          <w:tcPr>
            <w:tcW w:w="1796" w:type="dxa"/>
          </w:tcPr>
          <w:p w14:paraId="412931A6" w14:textId="77777777" w:rsidR="003202A5" w:rsidRDefault="003202A5" w:rsidP="00097A63">
            <w:r>
              <w:t>PS</w:t>
            </w:r>
          </w:p>
        </w:tc>
        <w:tc>
          <w:tcPr>
            <w:tcW w:w="6698" w:type="dxa"/>
          </w:tcPr>
          <w:p w14:paraId="64628D36" w14:textId="77777777" w:rsidR="003202A5" w:rsidRDefault="003202A5" w:rsidP="00097A63">
            <w:r>
              <w:t>Performance status</w:t>
            </w:r>
          </w:p>
        </w:tc>
      </w:tr>
      <w:tr w:rsidR="003202A5" w:rsidRPr="00FD119B" w14:paraId="4128ABCB" w14:textId="77777777" w:rsidTr="0071409D">
        <w:tc>
          <w:tcPr>
            <w:tcW w:w="1796" w:type="dxa"/>
          </w:tcPr>
          <w:p w14:paraId="56D97B11" w14:textId="30BBADF5" w:rsidR="003202A5" w:rsidRDefault="003202A5" w:rsidP="00097A63">
            <w:r>
              <w:t>PSUR</w:t>
            </w:r>
          </w:p>
        </w:tc>
        <w:tc>
          <w:tcPr>
            <w:tcW w:w="6698" w:type="dxa"/>
          </w:tcPr>
          <w:p w14:paraId="705327BF" w14:textId="275CCF2F" w:rsidR="003202A5" w:rsidRPr="00315C0F" w:rsidRDefault="003202A5" w:rsidP="00097A63">
            <w:pPr>
              <w:rPr>
                <w:rFonts w:cs="Calibri"/>
                <w:szCs w:val="20"/>
              </w:rPr>
            </w:pPr>
            <w:r w:rsidRPr="00315C0F">
              <w:rPr>
                <w:rFonts w:cs="Calibri"/>
                <w:szCs w:val="20"/>
              </w:rPr>
              <w:t>Periodic safety update report</w:t>
            </w:r>
          </w:p>
        </w:tc>
      </w:tr>
      <w:tr w:rsidR="003202A5" w:rsidRPr="00FD119B" w14:paraId="278C0183" w14:textId="77777777" w:rsidTr="0071409D">
        <w:tc>
          <w:tcPr>
            <w:tcW w:w="1796" w:type="dxa"/>
          </w:tcPr>
          <w:p w14:paraId="5E4AB051" w14:textId="77777777" w:rsidR="003202A5" w:rsidRDefault="003202A5" w:rsidP="00097A63">
            <w:r w:rsidRPr="00415063">
              <w:t>RECIST</w:t>
            </w:r>
          </w:p>
        </w:tc>
        <w:tc>
          <w:tcPr>
            <w:tcW w:w="6698" w:type="dxa"/>
          </w:tcPr>
          <w:p w14:paraId="725AFC3F" w14:textId="2C2E639B" w:rsidR="003202A5" w:rsidRDefault="003202A5" w:rsidP="00097A63">
            <w:r w:rsidRPr="00415063">
              <w:t>Response Evaluation Criteria In Solid Tumours</w:t>
            </w:r>
          </w:p>
        </w:tc>
      </w:tr>
      <w:tr w:rsidR="003202A5" w:rsidRPr="00FD119B" w14:paraId="46BB74CB" w14:textId="77777777" w:rsidTr="0071409D">
        <w:tc>
          <w:tcPr>
            <w:tcW w:w="1796" w:type="dxa"/>
          </w:tcPr>
          <w:p w14:paraId="4122C58C" w14:textId="77777777" w:rsidR="003202A5" w:rsidRDefault="003202A5" w:rsidP="00097A63">
            <w:r>
              <w:t>RMP</w:t>
            </w:r>
          </w:p>
        </w:tc>
        <w:tc>
          <w:tcPr>
            <w:tcW w:w="6698" w:type="dxa"/>
          </w:tcPr>
          <w:p w14:paraId="6E016638" w14:textId="77777777" w:rsidR="003202A5" w:rsidRPr="00315C0F" w:rsidRDefault="003202A5" w:rsidP="00097A63">
            <w:pPr>
              <w:rPr>
                <w:rFonts w:cs="Calibri"/>
              </w:rPr>
            </w:pPr>
            <w:r w:rsidRPr="00315C0F">
              <w:rPr>
                <w:rFonts w:cs="Calibri"/>
              </w:rPr>
              <w:t>Risk management plan</w:t>
            </w:r>
          </w:p>
        </w:tc>
      </w:tr>
      <w:tr w:rsidR="003202A5" w:rsidRPr="00FD119B" w14:paraId="73EFA84E" w14:textId="77777777" w:rsidTr="0071409D">
        <w:tc>
          <w:tcPr>
            <w:tcW w:w="1796" w:type="dxa"/>
          </w:tcPr>
          <w:p w14:paraId="207C72BB" w14:textId="77777777" w:rsidR="003202A5" w:rsidRPr="00FD119B" w:rsidRDefault="003202A5" w:rsidP="00097A63">
            <w:r>
              <w:t>STS</w:t>
            </w:r>
          </w:p>
        </w:tc>
        <w:tc>
          <w:tcPr>
            <w:tcW w:w="6698" w:type="dxa"/>
          </w:tcPr>
          <w:p w14:paraId="614A2162" w14:textId="77777777" w:rsidR="003202A5" w:rsidRPr="00FD119B" w:rsidRDefault="003202A5" w:rsidP="00097A63">
            <w:r>
              <w:t>Soft tissue sarcoma</w:t>
            </w:r>
          </w:p>
        </w:tc>
      </w:tr>
      <w:tr w:rsidR="003202A5" w:rsidRPr="00FD119B" w14:paraId="28C97F33" w14:textId="77777777" w:rsidTr="0071409D">
        <w:tc>
          <w:tcPr>
            <w:tcW w:w="1796" w:type="dxa"/>
          </w:tcPr>
          <w:p w14:paraId="4C18B444" w14:textId="77777777" w:rsidR="003202A5" w:rsidRPr="00FD119B" w:rsidRDefault="003202A5" w:rsidP="00097A63">
            <w:r>
              <w:t>TGA</w:t>
            </w:r>
          </w:p>
        </w:tc>
        <w:tc>
          <w:tcPr>
            <w:tcW w:w="6698" w:type="dxa"/>
          </w:tcPr>
          <w:p w14:paraId="6AC87F53" w14:textId="77777777" w:rsidR="003202A5" w:rsidRPr="00FD119B" w:rsidRDefault="003202A5" w:rsidP="00097A63">
            <w:r w:rsidRPr="001F6CBA">
              <w:t>Therapeutic Goods Administration</w:t>
            </w:r>
          </w:p>
        </w:tc>
      </w:tr>
      <w:tr w:rsidR="003202A5" w:rsidRPr="00FD119B" w14:paraId="3A99C19E" w14:textId="77777777" w:rsidTr="0071409D">
        <w:tc>
          <w:tcPr>
            <w:tcW w:w="1796" w:type="dxa"/>
          </w:tcPr>
          <w:p w14:paraId="55219EAB" w14:textId="77777777" w:rsidR="003202A5" w:rsidRDefault="003202A5" w:rsidP="00097A63">
            <w:r>
              <w:t>US</w:t>
            </w:r>
            <w:r w:rsidR="00F63A7D">
              <w:t>(</w:t>
            </w:r>
            <w:r>
              <w:t>A</w:t>
            </w:r>
            <w:r w:rsidR="00F63A7D">
              <w:t>)</w:t>
            </w:r>
          </w:p>
        </w:tc>
        <w:tc>
          <w:tcPr>
            <w:tcW w:w="6698" w:type="dxa"/>
          </w:tcPr>
          <w:p w14:paraId="05D0E97B" w14:textId="77777777" w:rsidR="003202A5" w:rsidRDefault="003202A5" w:rsidP="00097A63">
            <w:r>
              <w:t xml:space="preserve">United States </w:t>
            </w:r>
            <w:r w:rsidR="00F63A7D">
              <w:t>(</w:t>
            </w:r>
            <w:r>
              <w:t>of America</w:t>
            </w:r>
            <w:r w:rsidR="00F63A7D">
              <w:t>)</w:t>
            </w:r>
          </w:p>
        </w:tc>
      </w:tr>
    </w:tbl>
    <w:p w14:paraId="37A58B23" w14:textId="77777777" w:rsidR="00FD119B" w:rsidRDefault="00FD119B" w:rsidP="00FD119B"/>
    <w:p w14:paraId="64D79527" w14:textId="77777777" w:rsidR="00FD119B" w:rsidRPr="00FD119B" w:rsidRDefault="00FD119B" w:rsidP="00FD119B">
      <w:pPr>
        <w:spacing w:before="0" w:after="200" w:line="0" w:lineRule="auto"/>
        <w:rPr>
          <w:b/>
          <w:i/>
          <w:sz w:val="24"/>
          <w:szCs w:val="24"/>
        </w:rPr>
      </w:pPr>
      <w:r w:rsidRPr="00FD119B">
        <w:rPr>
          <w:b/>
          <w:i/>
          <w:sz w:val="24"/>
          <w:szCs w:val="24"/>
        </w:rPr>
        <w:br w:type="page"/>
      </w:r>
    </w:p>
    <w:p w14:paraId="3D81F866" w14:textId="77777777" w:rsidR="008E7846" w:rsidRDefault="00F53C07" w:rsidP="008E7846">
      <w:pPr>
        <w:pStyle w:val="Heading2"/>
      </w:pPr>
      <w:bookmarkStart w:id="8" w:name="_Toc72489971"/>
      <w:r>
        <w:t>I.</w:t>
      </w:r>
      <w:r w:rsidR="008E7846">
        <w:t xml:space="preserve"> Introduction to product submission</w:t>
      </w:r>
      <w:bookmarkEnd w:id="0"/>
      <w:bookmarkEnd w:id="2"/>
      <w:bookmarkEnd w:id="8"/>
    </w:p>
    <w:p w14:paraId="3E2324DD" w14:textId="77777777" w:rsidR="008E7846" w:rsidRDefault="008E7846" w:rsidP="008E7846">
      <w:pPr>
        <w:pStyle w:val="Heading3"/>
        <w:rPr>
          <w:lang w:eastAsia="en-AU"/>
        </w:rPr>
      </w:pPr>
      <w:bookmarkStart w:id="9" w:name="_Toc247691502"/>
      <w:bookmarkStart w:id="10" w:name="_Toc314842483"/>
      <w:bookmarkStart w:id="11" w:name="_Toc72489972"/>
      <w:r>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3D1E62" w14:paraId="0FFB2E76" w14:textId="77777777" w:rsidTr="003735BC">
        <w:tc>
          <w:tcPr>
            <w:tcW w:w="2907" w:type="dxa"/>
          </w:tcPr>
          <w:p w14:paraId="654A1AE2"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66F63FD1" w14:textId="77777777" w:rsidR="008E7846" w:rsidRPr="003D1E62" w:rsidRDefault="008E7846" w:rsidP="004E2CF2">
            <w:r w:rsidRPr="003D1E62">
              <w:t xml:space="preserve">New </w:t>
            </w:r>
            <w:r w:rsidR="001B5C90">
              <w:t>c</w:t>
            </w:r>
            <w:r w:rsidRPr="003D1E62">
              <w:t xml:space="preserve">hemical </w:t>
            </w:r>
            <w:r w:rsidR="001B5C90">
              <w:t>e</w:t>
            </w:r>
            <w:r w:rsidR="004E2CF2">
              <w:t>ntity</w:t>
            </w:r>
          </w:p>
        </w:tc>
      </w:tr>
      <w:tr w:rsidR="00460036" w:rsidRPr="003D1E62" w14:paraId="18422B34" w14:textId="77777777" w:rsidTr="003735BC">
        <w:tc>
          <w:tcPr>
            <w:tcW w:w="2907" w:type="dxa"/>
          </w:tcPr>
          <w:p w14:paraId="3232302C" w14:textId="77777777" w:rsidR="00460036" w:rsidRPr="003D1E62" w:rsidRDefault="00460036" w:rsidP="003D1E62">
            <w:pPr>
              <w:rPr>
                <w:i/>
              </w:rPr>
            </w:pPr>
            <w:r w:rsidRPr="00460036">
              <w:rPr>
                <w:i/>
              </w:rPr>
              <w:t>Prod</w:t>
            </w:r>
            <w:r w:rsidR="004E2CF2">
              <w:rPr>
                <w:i/>
              </w:rPr>
              <w:t>uct name</w:t>
            </w:r>
            <w:r w:rsidRPr="00460036">
              <w:rPr>
                <w:i/>
              </w:rPr>
              <w:t>:</w:t>
            </w:r>
          </w:p>
        </w:tc>
        <w:tc>
          <w:tcPr>
            <w:tcW w:w="6307" w:type="dxa"/>
          </w:tcPr>
          <w:p w14:paraId="4A6ED084" w14:textId="77777777" w:rsidR="00460036" w:rsidRPr="003D1E62" w:rsidRDefault="004E2CF2" w:rsidP="001B5C90">
            <w:r>
              <w:t>Yondelis</w:t>
            </w:r>
          </w:p>
        </w:tc>
      </w:tr>
      <w:tr w:rsidR="00460036" w:rsidRPr="003D1E62" w14:paraId="72743AB8" w14:textId="77777777" w:rsidTr="003735BC">
        <w:tc>
          <w:tcPr>
            <w:tcW w:w="2907" w:type="dxa"/>
          </w:tcPr>
          <w:p w14:paraId="3D8015CD" w14:textId="77777777" w:rsidR="00460036" w:rsidRPr="003D1E62" w:rsidRDefault="004E2CF2" w:rsidP="003D1E62">
            <w:pPr>
              <w:rPr>
                <w:i/>
              </w:rPr>
            </w:pPr>
            <w:r>
              <w:rPr>
                <w:i/>
              </w:rPr>
              <w:t>Active ingredient</w:t>
            </w:r>
            <w:r w:rsidR="00460036" w:rsidRPr="00460036">
              <w:rPr>
                <w:i/>
              </w:rPr>
              <w:t>:</w:t>
            </w:r>
          </w:p>
        </w:tc>
        <w:tc>
          <w:tcPr>
            <w:tcW w:w="6307" w:type="dxa"/>
          </w:tcPr>
          <w:p w14:paraId="75D11DE1" w14:textId="77777777" w:rsidR="00460036" w:rsidRPr="003D1E62" w:rsidRDefault="004E2CF2" w:rsidP="001B5C90">
            <w:proofErr w:type="spellStart"/>
            <w:r>
              <w:t>T</w:t>
            </w:r>
            <w:r w:rsidRPr="004E2CF2">
              <w:t>rabectedin</w:t>
            </w:r>
            <w:proofErr w:type="spellEnd"/>
          </w:p>
        </w:tc>
      </w:tr>
      <w:tr w:rsidR="008E7846" w:rsidRPr="003D1E62" w14:paraId="2616A76D" w14:textId="77777777" w:rsidTr="003735BC">
        <w:tc>
          <w:tcPr>
            <w:tcW w:w="2907" w:type="dxa"/>
          </w:tcPr>
          <w:p w14:paraId="6FFD99F4" w14:textId="77777777" w:rsidR="008E7846" w:rsidRPr="003D1E62" w:rsidRDefault="008E7846" w:rsidP="003D1E62">
            <w:r w:rsidRPr="003D1E62">
              <w:rPr>
                <w:i/>
              </w:rPr>
              <w:t>Decision</w:t>
            </w:r>
            <w:r w:rsidRPr="003D1E62">
              <w:t>:</w:t>
            </w:r>
          </w:p>
        </w:tc>
        <w:tc>
          <w:tcPr>
            <w:tcW w:w="6307" w:type="dxa"/>
          </w:tcPr>
          <w:p w14:paraId="6F08223E" w14:textId="77777777" w:rsidR="008E7846" w:rsidRPr="003D1E62" w:rsidRDefault="004E2CF2" w:rsidP="004E2CF2">
            <w:r>
              <w:t>Approved</w:t>
            </w:r>
          </w:p>
        </w:tc>
      </w:tr>
      <w:tr w:rsidR="008E7846" w:rsidRPr="003D1E62" w14:paraId="279F746D" w14:textId="77777777" w:rsidTr="003735BC">
        <w:tc>
          <w:tcPr>
            <w:tcW w:w="2907" w:type="dxa"/>
          </w:tcPr>
          <w:p w14:paraId="4E21C0A9"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FE8F8D8" w14:textId="77777777" w:rsidR="008E7846" w:rsidRPr="003D1E62" w:rsidRDefault="004E2CF2" w:rsidP="001B5C90">
            <w:r>
              <w:t>21 April 2021</w:t>
            </w:r>
          </w:p>
        </w:tc>
      </w:tr>
      <w:tr w:rsidR="00ED2922" w:rsidRPr="003D1E62" w14:paraId="1C19F0C5" w14:textId="77777777" w:rsidTr="003735BC">
        <w:tc>
          <w:tcPr>
            <w:tcW w:w="2907" w:type="dxa"/>
          </w:tcPr>
          <w:p w14:paraId="2B423A1D" w14:textId="77777777" w:rsidR="00ED2922" w:rsidRPr="00441C3F" w:rsidRDefault="00ED2922" w:rsidP="001B5C90">
            <w:pPr>
              <w:rPr>
                <w:i/>
              </w:rPr>
            </w:pPr>
            <w:r w:rsidRPr="00441C3F">
              <w:rPr>
                <w:i/>
              </w:rPr>
              <w:t>Date of entry onto ARTG</w:t>
            </w:r>
            <w:r w:rsidR="00500337">
              <w:rPr>
                <w:i/>
              </w:rPr>
              <w:t>:</w:t>
            </w:r>
          </w:p>
        </w:tc>
        <w:tc>
          <w:tcPr>
            <w:tcW w:w="6307" w:type="dxa"/>
          </w:tcPr>
          <w:p w14:paraId="26BC2D13" w14:textId="77777777" w:rsidR="00ED2922" w:rsidRPr="00441C3F" w:rsidRDefault="004E2CF2" w:rsidP="004E2CF2">
            <w:pPr>
              <w:rPr>
                <w:i/>
              </w:rPr>
            </w:pPr>
            <w:r>
              <w:t xml:space="preserve">22 </w:t>
            </w:r>
            <w:r w:rsidRPr="004E2CF2">
              <w:t>April 2021</w:t>
            </w:r>
          </w:p>
        </w:tc>
      </w:tr>
      <w:tr w:rsidR="00500337" w:rsidRPr="003D1E62" w14:paraId="2E251D51" w14:textId="77777777" w:rsidTr="003735BC">
        <w:tc>
          <w:tcPr>
            <w:tcW w:w="2907" w:type="dxa"/>
          </w:tcPr>
          <w:p w14:paraId="2A367841" w14:textId="77777777" w:rsidR="00500337" w:rsidRPr="00441C3F" w:rsidRDefault="004E2CF2" w:rsidP="001B5C90">
            <w:pPr>
              <w:rPr>
                <w:i/>
              </w:rPr>
            </w:pPr>
            <w:r>
              <w:rPr>
                <w:i/>
              </w:rPr>
              <w:t>ARTG numbers</w:t>
            </w:r>
            <w:r w:rsidR="00500337">
              <w:rPr>
                <w:i/>
              </w:rPr>
              <w:t>:</w:t>
            </w:r>
          </w:p>
        </w:tc>
        <w:tc>
          <w:tcPr>
            <w:tcW w:w="6307" w:type="dxa"/>
          </w:tcPr>
          <w:p w14:paraId="06B0226B" w14:textId="77777777" w:rsidR="00500337" w:rsidRPr="00441C3F" w:rsidRDefault="004E2CF2" w:rsidP="00EC463D">
            <w:r>
              <w:t>332000, 332001</w:t>
            </w:r>
          </w:p>
        </w:tc>
      </w:tr>
      <w:tr w:rsidR="003735BC" w:rsidRPr="003D1E62" w14:paraId="70A799BF" w14:textId="77777777" w:rsidTr="003735BC">
        <w:tc>
          <w:tcPr>
            <w:tcW w:w="2907" w:type="dxa"/>
          </w:tcPr>
          <w:p w14:paraId="60E279FA"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r w:rsidR="004C4FBE">
              <w:rPr>
                <w:i/>
              </w:rPr>
              <w:t>:</w:t>
            </w:r>
            <w:bookmarkStart w:id="12" w:name="_Ref72479857"/>
            <w:r w:rsidR="00460036">
              <w:rPr>
                <w:rStyle w:val="FootnoteReference"/>
                <w:i/>
              </w:rPr>
              <w:footnoteReference w:id="1"/>
            </w:r>
            <w:bookmarkEnd w:id="12"/>
          </w:p>
        </w:tc>
        <w:tc>
          <w:tcPr>
            <w:tcW w:w="6307" w:type="dxa"/>
          </w:tcPr>
          <w:p w14:paraId="6B6E4595" w14:textId="77777777" w:rsidR="003735BC" w:rsidRDefault="004E2CF2" w:rsidP="003735BC">
            <w:r>
              <w:t>Yes</w:t>
            </w:r>
          </w:p>
          <w:p w14:paraId="00705633" w14:textId="77777777" w:rsidR="003735BC" w:rsidRPr="00487162" w:rsidRDefault="003735BC" w:rsidP="003735BC">
            <w:r>
              <w:t xml:space="preserve">This product will remain in the scheme for 5 years, starting on the date the product is first supplied in </w:t>
            </w:r>
            <w:r w:rsidR="004E2CF2">
              <w:t>Australia.</w:t>
            </w:r>
          </w:p>
        </w:tc>
      </w:tr>
      <w:tr w:rsidR="008E7846" w:rsidRPr="00487162" w14:paraId="176594E5" w14:textId="77777777" w:rsidTr="00BF1190">
        <w:tc>
          <w:tcPr>
            <w:tcW w:w="2907" w:type="dxa"/>
          </w:tcPr>
          <w:p w14:paraId="7CA7CABA"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4C1947D7" w14:textId="77777777" w:rsidR="004E2CF2" w:rsidRDefault="004E2CF2" w:rsidP="004E2CF2">
            <w:r>
              <w:t>Specialised Therapeutics Pharma Pty Ltd</w:t>
            </w:r>
          </w:p>
          <w:p w14:paraId="00E5F021" w14:textId="77777777" w:rsidR="00F63A7D" w:rsidRDefault="004E2CF2" w:rsidP="004E2CF2">
            <w:r>
              <w:t>Level 2, 17 Cotham Road,</w:t>
            </w:r>
          </w:p>
          <w:p w14:paraId="1039E07B" w14:textId="3C197E60" w:rsidR="008E7846" w:rsidRPr="00487162" w:rsidRDefault="004E2CF2" w:rsidP="004E2CF2">
            <w:r>
              <w:t>Kew, V</w:t>
            </w:r>
            <w:r w:rsidR="00F63A7D">
              <w:t>IC,</w:t>
            </w:r>
            <w:r>
              <w:t xml:space="preserve"> 3101</w:t>
            </w:r>
          </w:p>
        </w:tc>
      </w:tr>
      <w:tr w:rsidR="008E7846" w:rsidRPr="00487162" w14:paraId="24629F50" w14:textId="77777777" w:rsidTr="00BF1190">
        <w:tc>
          <w:tcPr>
            <w:tcW w:w="2907" w:type="dxa"/>
          </w:tcPr>
          <w:p w14:paraId="2F0DDBBD" w14:textId="77777777" w:rsidR="008E7846" w:rsidRPr="00487162" w:rsidRDefault="001B5C90" w:rsidP="004E2CF2">
            <w:pPr>
              <w:rPr>
                <w:i/>
              </w:rPr>
            </w:pPr>
            <w:r>
              <w:rPr>
                <w:i/>
              </w:rPr>
              <w:t>Dose form:</w:t>
            </w:r>
          </w:p>
        </w:tc>
        <w:tc>
          <w:tcPr>
            <w:tcW w:w="6307" w:type="dxa"/>
          </w:tcPr>
          <w:p w14:paraId="41B3A8E1" w14:textId="77777777" w:rsidR="008E7846" w:rsidRPr="00487162" w:rsidRDefault="004E2CF2" w:rsidP="00E45619">
            <w:r>
              <w:t>Powder for solution for infusion</w:t>
            </w:r>
          </w:p>
        </w:tc>
      </w:tr>
      <w:tr w:rsidR="008E7846" w:rsidRPr="00487162" w14:paraId="1E3C9E22" w14:textId="77777777" w:rsidTr="00BF1190">
        <w:tc>
          <w:tcPr>
            <w:tcW w:w="2907" w:type="dxa"/>
          </w:tcPr>
          <w:p w14:paraId="76867A81" w14:textId="77777777" w:rsidR="008E7846" w:rsidRPr="00487162" w:rsidRDefault="004E2CF2" w:rsidP="00E45619">
            <w:pPr>
              <w:rPr>
                <w:i/>
              </w:rPr>
            </w:pPr>
            <w:r>
              <w:rPr>
                <w:i/>
              </w:rPr>
              <w:t>Strengths</w:t>
            </w:r>
            <w:r w:rsidR="00324E45">
              <w:rPr>
                <w:i/>
              </w:rPr>
              <w:t>:</w:t>
            </w:r>
          </w:p>
        </w:tc>
        <w:tc>
          <w:tcPr>
            <w:tcW w:w="6307" w:type="dxa"/>
          </w:tcPr>
          <w:p w14:paraId="20169AC8" w14:textId="77777777" w:rsidR="008E7846" w:rsidRPr="00487162" w:rsidRDefault="004E2CF2" w:rsidP="00E45619">
            <w:r>
              <w:t>0.25 mg and 1 mg</w:t>
            </w:r>
          </w:p>
        </w:tc>
      </w:tr>
      <w:tr w:rsidR="008E7846" w:rsidRPr="00487162" w14:paraId="36ECE244" w14:textId="77777777" w:rsidTr="00BF1190">
        <w:tc>
          <w:tcPr>
            <w:tcW w:w="2907" w:type="dxa"/>
          </w:tcPr>
          <w:p w14:paraId="168B5007" w14:textId="77777777" w:rsidR="008E7846" w:rsidRPr="00487162" w:rsidRDefault="004E2CF2" w:rsidP="00E45619">
            <w:pPr>
              <w:rPr>
                <w:i/>
              </w:rPr>
            </w:pPr>
            <w:r>
              <w:rPr>
                <w:i/>
              </w:rPr>
              <w:t>Container</w:t>
            </w:r>
            <w:r w:rsidR="008E7846" w:rsidRPr="00487162">
              <w:rPr>
                <w:i/>
              </w:rPr>
              <w:t>:</w:t>
            </w:r>
          </w:p>
        </w:tc>
        <w:tc>
          <w:tcPr>
            <w:tcW w:w="6307" w:type="dxa"/>
          </w:tcPr>
          <w:p w14:paraId="7989CF91" w14:textId="77777777" w:rsidR="008E7846" w:rsidRPr="00487162" w:rsidRDefault="004E2CF2" w:rsidP="00E45619">
            <w:r>
              <w:t>Vial</w:t>
            </w:r>
          </w:p>
        </w:tc>
      </w:tr>
      <w:tr w:rsidR="008E7846" w:rsidRPr="00487162" w14:paraId="1FE41991" w14:textId="77777777" w:rsidTr="00BF1190">
        <w:tc>
          <w:tcPr>
            <w:tcW w:w="2907" w:type="dxa"/>
          </w:tcPr>
          <w:p w14:paraId="38B11675" w14:textId="77777777" w:rsidR="008E7846" w:rsidRPr="00487162" w:rsidRDefault="00237024" w:rsidP="00237024">
            <w:pPr>
              <w:rPr>
                <w:i/>
              </w:rPr>
            </w:pPr>
            <w:r>
              <w:rPr>
                <w:i/>
              </w:rPr>
              <w:t>Pack size</w:t>
            </w:r>
            <w:r w:rsidR="008E7846" w:rsidRPr="00487162">
              <w:rPr>
                <w:i/>
              </w:rPr>
              <w:t>:</w:t>
            </w:r>
          </w:p>
        </w:tc>
        <w:tc>
          <w:tcPr>
            <w:tcW w:w="6307" w:type="dxa"/>
          </w:tcPr>
          <w:p w14:paraId="7CB7527A" w14:textId="77777777" w:rsidR="008E7846" w:rsidRPr="00487162" w:rsidRDefault="004E2CF2" w:rsidP="00E45619">
            <w:r>
              <w:t>One</w:t>
            </w:r>
          </w:p>
        </w:tc>
      </w:tr>
      <w:tr w:rsidR="008E7846" w:rsidRPr="00487162" w14:paraId="54D8252B" w14:textId="77777777" w:rsidTr="00BF1190">
        <w:tc>
          <w:tcPr>
            <w:tcW w:w="2907" w:type="dxa"/>
          </w:tcPr>
          <w:p w14:paraId="0CB5A446"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F6BC7AE" w14:textId="77777777" w:rsidR="008E7846" w:rsidRPr="004E2CF2" w:rsidRDefault="004E2CF2" w:rsidP="00E45619">
            <w:pPr>
              <w:rPr>
                <w:rFonts w:eastAsia="MS Mincho"/>
                <w:i/>
                <w:lang w:eastAsia="ja-JP"/>
              </w:rPr>
            </w:pPr>
            <w:r w:rsidRPr="004E2CF2">
              <w:rPr>
                <w:i/>
              </w:rPr>
              <w:t xml:space="preserve">Yondelis is indicated for the treatment of patients with unresectable or metastatic </w:t>
            </w:r>
            <w:proofErr w:type="spellStart"/>
            <w:r w:rsidRPr="004E2CF2">
              <w:rPr>
                <w:i/>
              </w:rPr>
              <w:t>liposarcoma</w:t>
            </w:r>
            <w:proofErr w:type="spellEnd"/>
            <w:r w:rsidRPr="004E2CF2">
              <w:rPr>
                <w:i/>
              </w:rPr>
              <w:t xml:space="preserve"> or </w:t>
            </w:r>
            <w:proofErr w:type="spellStart"/>
            <w:r w:rsidRPr="004E2CF2">
              <w:rPr>
                <w:i/>
              </w:rPr>
              <w:t>leiomyosarcoma</w:t>
            </w:r>
            <w:proofErr w:type="spellEnd"/>
            <w:r w:rsidRPr="004E2CF2">
              <w:rPr>
                <w:i/>
              </w:rPr>
              <w:t xml:space="preserve"> who received a prior </w:t>
            </w:r>
            <w:proofErr w:type="spellStart"/>
            <w:r w:rsidRPr="004E2CF2">
              <w:rPr>
                <w:i/>
              </w:rPr>
              <w:t>anthracycline</w:t>
            </w:r>
            <w:proofErr w:type="spellEnd"/>
            <w:r w:rsidRPr="004E2CF2">
              <w:rPr>
                <w:i/>
              </w:rPr>
              <w:t>-containing regimen</w:t>
            </w:r>
          </w:p>
        </w:tc>
      </w:tr>
      <w:tr w:rsidR="008E7846" w:rsidRPr="00487162" w14:paraId="79C888C2" w14:textId="77777777" w:rsidTr="00BF1190">
        <w:tc>
          <w:tcPr>
            <w:tcW w:w="2907" w:type="dxa"/>
          </w:tcPr>
          <w:p w14:paraId="0316BCFD" w14:textId="77777777" w:rsidR="008E7846" w:rsidRPr="00487162" w:rsidRDefault="004E2CF2" w:rsidP="00E45619">
            <w:pPr>
              <w:rPr>
                <w:i/>
              </w:rPr>
            </w:pPr>
            <w:r>
              <w:rPr>
                <w:i/>
              </w:rPr>
              <w:t>Route</w:t>
            </w:r>
            <w:r w:rsidR="008E7846" w:rsidRPr="00487162">
              <w:rPr>
                <w:i/>
              </w:rPr>
              <w:t xml:space="preserve"> of administration:</w:t>
            </w:r>
          </w:p>
        </w:tc>
        <w:tc>
          <w:tcPr>
            <w:tcW w:w="6307" w:type="dxa"/>
          </w:tcPr>
          <w:p w14:paraId="1A5CEBA3" w14:textId="77777777" w:rsidR="008E7846" w:rsidRPr="00487162" w:rsidRDefault="004E2CF2" w:rsidP="00E45619">
            <w:r w:rsidRPr="002902C4">
              <w:t>Intravenous infusion</w:t>
            </w:r>
          </w:p>
        </w:tc>
      </w:tr>
      <w:tr w:rsidR="008E7846" w:rsidRPr="00487162" w14:paraId="67CF0E3C" w14:textId="77777777" w:rsidTr="00BF1190">
        <w:tc>
          <w:tcPr>
            <w:tcW w:w="2907" w:type="dxa"/>
          </w:tcPr>
          <w:p w14:paraId="1D336254" w14:textId="77777777" w:rsidR="008E7846" w:rsidRPr="00487162" w:rsidRDefault="008E7846" w:rsidP="00E45619">
            <w:pPr>
              <w:rPr>
                <w:i/>
              </w:rPr>
            </w:pPr>
            <w:r w:rsidRPr="00487162">
              <w:rPr>
                <w:i/>
              </w:rPr>
              <w:t>Dosage:</w:t>
            </w:r>
          </w:p>
        </w:tc>
        <w:tc>
          <w:tcPr>
            <w:tcW w:w="6307" w:type="dxa"/>
          </w:tcPr>
          <w:p w14:paraId="57500110" w14:textId="77777777" w:rsidR="004E2CF2" w:rsidRDefault="004E2CF2" w:rsidP="004E2CF2">
            <w:r>
              <w:t>Yondelis must be administered under the supervision of a physician experienced in the use of chemotherapy. Its use should be confined to qualified oncologists or other health professionals specialised in the administration of cytotoxic agents.</w:t>
            </w:r>
          </w:p>
          <w:p w14:paraId="3345A6C5" w14:textId="77777777" w:rsidR="004E2CF2" w:rsidRDefault="006A2C16" w:rsidP="004E2CF2">
            <w:r>
              <w:t>The recommended dose is 1.5 </w:t>
            </w:r>
            <w:r w:rsidR="004E2CF2">
              <w:t>mg/m</w:t>
            </w:r>
            <w:r w:rsidR="004E2CF2" w:rsidRPr="004E2CF2">
              <w:rPr>
                <w:vertAlign w:val="superscript"/>
              </w:rPr>
              <w:t>2</w:t>
            </w:r>
            <w:r w:rsidR="004E2CF2">
              <w:t xml:space="preserve"> body surface area, administered as </w:t>
            </w:r>
            <w:r>
              <w:t>an intravenous infusion over 24 </w:t>
            </w:r>
            <w:r w:rsidR="004E2CF2">
              <w:t>ho</w:t>
            </w:r>
            <w:r w:rsidR="00237024">
              <w:t xml:space="preserve">urs with a three </w:t>
            </w:r>
            <w:r w:rsidR="004E2CF2">
              <w:t>week interval between cycles.</w:t>
            </w:r>
          </w:p>
          <w:p w14:paraId="121B92E2" w14:textId="77777777" w:rsidR="008E7846" w:rsidRDefault="004E2CF2" w:rsidP="004E2CF2">
            <w:r>
              <w:t xml:space="preserve">All patients must receive </w:t>
            </w:r>
            <w:r w:rsidR="006A2C16">
              <w:t>corticosteroids for example, 20 </w:t>
            </w:r>
            <w:r>
              <w:t xml:space="preserve">mg of dexamethasone intravenously 30 minutes prior to Yondelis, not only as anti-emetic prophylaxis, but also because it appears to provide </w:t>
            </w:r>
            <w:proofErr w:type="spellStart"/>
            <w:r>
              <w:t>hepatoprotective</w:t>
            </w:r>
            <w:proofErr w:type="spellEnd"/>
            <w:r>
              <w:t xml:space="preserve"> effects. Additional anti-emetics may be administered as needed.</w:t>
            </w:r>
          </w:p>
          <w:p w14:paraId="46DEAE3C" w14:textId="77777777" w:rsidR="00460036" w:rsidRPr="00487162" w:rsidRDefault="00460036" w:rsidP="00E45619">
            <w:r w:rsidRPr="00460036">
              <w:t>For further information regarding dosage, refer to the Product Information.</w:t>
            </w:r>
          </w:p>
        </w:tc>
      </w:tr>
      <w:tr w:rsidR="00460036" w:rsidRPr="00487162" w14:paraId="710B7729" w14:textId="77777777" w:rsidTr="00BF1190">
        <w:tc>
          <w:tcPr>
            <w:tcW w:w="2907" w:type="dxa"/>
          </w:tcPr>
          <w:p w14:paraId="0D61F6DB" w14:textId="77777777" w:rsidR="00460036" w:rsidRPr="00487162" w:rsidRDefault="00460036" w:rsidP="00E45619">
            <w:pPr>
              <w:rPr>
                <w:i/>
              </w:rPr>
            </w:pPr>
            <w:r w:rsidRPr="00460036">
              <w:rPr>
                <w:i/>
              </w:rPr>
              <w:t>Pregnancy category</w:t>
            </w:r>
            <w:r>
              <w:rPr>
                <w:i/>
              </w:rPr>
              <w:t>:</w:t>
            </w:r>
          </w:p>
        </w:tc>
        <w:tc>
          <w:tcPr>
            <w:tcW w:w="6307" w:type="dxa"/>
          </w:tcPr>
          <w:p w14:paraId="0247E7FC" w14:textId="77777777" w:rsidR="004E2CF2" w:rsidRDefault="004E2CF2" w:rsidP="004E2CF2">
            <w:r>
              <w:t>D</w:t>
            </w:r>
          </w:p>
          <w:p w14:paraId="1B9B5969" w14:textId="77777777" w:rsidR="004E2CF2" w:rsidRDefault="004E2CF2" w:rsidP="004E2CF2">
            <w:r>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31C1C0BA" w14:textId="77777777" w:rsidR="00460036" w:rsidRPr="00487162" w:rsidRDefault="00460036" w:rsidP="004E2CF2">
            <w:r>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w:t>
            </w:r>
            <w:r w:rsidR="004E2CF2">
              <w:t>ices in your State or Territory</w:t>
            </w:r>
            <w:r>
              <w:t>.</w:t>
            </w:r>
          </w:p>
        </w:tc>
      </w:tr>
    </w:tbl>
    <w:p w14:paraId="5FE746B2" w14:textId="77777777" w:rsidR="008E7846" w:rsidRDefault="008E7846" w:rsidP="008E7846">
      <w:pPr>
        <w:pStyle w:val="Heading3"/>
      </w:pPr>
      <w:bookmarkStart w:id="13" w:name="_Toc247691503"/>
      <w:bookmarkStart w:id="14" w:name="_Toc314842484"/>
      <w:bookmarkStart w:id="15" w:name="_Toc72489973"/>
      <w:r>
        <w:t>Product background</w:t>
      </w:r>
      <w:bookmarkEnd w:id="13"/>
      <w:bookmarkEnd w:id="14"/>
      <w:bookmarkEnd w:id="15"/>
    </w:p>
    <w:p w14:paraId="468FFC98" w14:textId="54138F24" w:rsidR="008E7846" w:rsidRDefault="00250271" w:rsidP="00940A89">
      <w:r w:rsidRPr="00250271">
        <w:t>This AusPA</w:t>
      </w:r>
      <w:r w:rsidR="004E2CF2">
        <w:t>R describes the application by</w:t>
      </w:r>
      <w:r w:rsidR="004E2CF2" w:rsidRPr="00F423DB">
        <w:t xml:space="preserve"> Specialised Therapeutics Pharma Pty Ltd</w:t>
      </w:r>
      <w:r w:rsidR="004E2CF2">
        <w:t xml:space="preserve"> (the</w:t>
      </w:r>
      <w:r w:rsidR="00F63A7D">
        <w:t> </w:t>
      </w:r>
      <w:r w:rsidR="004E2CF2">
        <w:t xml:space="preserve">sponsor) to register Yondelis </w:t>
      </w:r>
      <w:r w:rsidRPr="00250271">
        <w:t>(</w:t>
      </w:r>
      <w:proofErr w:type="spellStart"/>
      <w:r w:rsidR="004E2CF2" w:rsidRPr="00F423DB">
        <w:t>trabectedin</w:t>
      </w:r>
      <w:proofErr w:type="spellEnd"/>
      <w:r w:rsidR="006A2C16">
        <w:t>) 0.25 mg and 1 </w:t>
      </w:r>
      <w:r w:rsidR="007A74F7">
        <w:t>mg, powder for solution for infusion</w:t>
      </w:r>
      <w:r w:rsidRPr="00250271">
        <w:t xml:space="preserve"> for th</w:t>
      </w:r>
      <w:r w:rsidR="007A74F7">
        <w:t>e following proposed indication</w:t>
      </w:r>
      <w:r w:rsidR="00CF5DAD">
        <w:t>:</w:t>
      </w:r>
    </w:p>
    <w:p w14:paraId="1CDA3C92" w14:textId="77777777" w:rsidR="00C73BEB" w:rsidRDefault="00C73BEB" w:rsidP="00316818">
      <w:pPr>
        <w:ind w:left="720"/>
        <w:rPr>
          <w:i/>
        </w:rPr>
      </w:pPr>
      <w:r w:rsidRPr="00C73BEB">
        <w:rPr>
          <w:i/>
        </w:rPr>
        <w:t xml:space="preserve">Yondelis is indicated for the treatment of patients with unresectable or metastatic </w:t>
      </w:r>
      <w:proofErr w:type="spellStart"/>
      <w:r w:rsidRPr="00C73BEB">
        <w:rPr>
          <w:i/>
        </w:rPr>
        <w:t>liposarcoma</w:t>
      </w:r>
      <w:proofErr w:type="spellEnd"/>
      <w:r w:rsidRPr="00C73BEB">
        <w:rPr>
          <w:i/>
        </w:rPr>
        <w:t xml:space="preserve"> or </w:t>
      </w:r>
      <w:proofErr w:type="spellStart"/>
      <w:r w:rsidRPr="00C73BEB">
        <w:rPr>
          <w:i/>
        </w:rPr>
        <w:t>leiomyosarcoma</w:t>
      </w:r>
      <w:proofErr w:type="spellEnd"/>
      <w:r w:rsidRPr="00C73BEB">
        <w:rPr>
          <w:i/>
        </w:rPr>
        <w:t xml:space="preserve"> who received a prior </w:t>
      </w:r>
      <w:proofErr w:type="spellStart"/>
      <w:r w:rsidRPr="00C73BEB">
        <w:rPr>
          <w:i/>
        </w:rPr>
        <w:t>anthracycline</w:t>
      </w:r>
      <w:proofErr w:type="spellEnd"/>
      <w:r w:rsidRPr="00C73BEB">
        <w:rPr>
          <w:i/>
        </w:rPr>
        <w:t>-containing regimen.</w:t>
      </w:r>
    </w:p>
    <w:p w14:paraId="7B526F59" w14:textId="383A51AA" w:rsidR="00C73BEB" w:rsidRDefault="00C73BEB" w:rsidP="00C73BEB">
      <w:proofErr w:type="spellStart"/>
      <w:r>
        <w:t>Leiomyosarcoma</w:t>
      </w:r>
      <w:proofErr w:type="spellEnd"/>
      <w:r>
        <w:t xml:space="preserve"> and </w:t>
      </w:r>
      <w:proofErr w:type="spellStart"/>
      <w:r>
        <w:t>liposarcoma</w:t>
      </w:r>
      <w:proofErr w:type="spellEnd"/>
      <w:r>
        <w:t xml:space="preserve"> are subtypes of soft tissue sarcoma</w:t>
      </w:r>
      <w:r w:rsidR="00F63A7D">
        <w:t>;</w:t>
      </w:r>
      <w:r>
        <w:t xml:space="preserve"> a heterogeneous group of malignant tumours arising in tissues deriv</w:t>
      </w:r>
      <w:r w:rsidR="00316818">
        <w:t>ed from the embryonic mesoderm.</w:t>
      </w:r>
    </w:p>
    <w:p w14:paraId="2486A005" w14:textId="77777777" w:rsidR="00C73BEB" w:rsidRDefault="00C73BEB" w:rsidP="00C73BEB">
      <w:r>
        <w:t>There are over fifty different histological subtypes, each with their own clinical behaviour an</w:t>
      </w:r>
      <w:r w:rsidR="00AF37E0">
        <w:t>d response to systemic therapy.</w:t>
      </w:r>
    </w:p>
    <w:p w14:paraId="5BB5AEDD" w14:textId="77777777" w:rsidR="00C73BEB" w:rsidRDefault="00F63A7D" w:rsidP="00C73BEB">
      <w:r>
        <w:t>Soft tissue sarcoma</w:t>
      </w:r>
      <w:r w:rsidR="00F7707A">
        <w:t xml:space="preserve"> (</w:t>
      </w:r>
      <w:r w:rsidR="00C73BEB">
        <w:t>STS</w:t>
      </w:r>
      <w:r w:rsidR="00F7707A">
        <w:t>)</w:t>
      </w:r>
      <w:r w:rsidR="00C73BEB">
        <w:t xml:space="preserve"> can develop anywhere in the body, but most common primary sites are the extremities (43%), the trunk (10%), visceral (19%), </w:t>
      </w:r>
      <w:proofErr w:type="spellStart"/>
      <w:r w:rsidR="00C73BEB">
        <w:t>retroperitoneum</w:t>
      </w:r>
      <w:proofErr w:type="spellEnd"/>
      <w:r w:rsidR="00C73BEB">
        <w:t xml:space="preserve"> (15%) and head and neck (9%). The tumours usually present as a </w:t>
      </w:r>
      <w:r w:rsidR="00AF37E0">
        <w:t>painless slowly enlarging mass.</w:t>
      </w:r>
      <w:bookmarkStart w:id="16" w:name="_Ref71022099"/>
      <w:r w:rsidR="00AF37E0">
        <w:rPr>
          <w:rStyle w:val="FootnoteReference"/>
        </w:rPr>
        <w:footnoteReference w:id="2"/>
      </w:r>
      <w:bookmarkEnd w:id="16"/>
      <w:r w:rsidR="00AF37E0" w:rsidRPr="00AF37E0">
        <w:rPr>
          <w:vertAlign w:val="superscript"/>
        </w:rPr>
        <w:t>,</w:t>
      </w:r>
      <w:bookmarkStart w:id="17" w:name="_Ref71021761"/>
      <w:r w:rsidR="00AF37E0">
        <w:rPr>
          <w:rStyle w:val="FootnoteReference"/>
        </w:rPr>
        <w:footnoteReference w:id="3"/>
      </w:r>
      <w:bookmarkEnd w:id="17"/>
    </w:p>
    <w:p w14:paraId="64024653" w14:textId="7C6D4368" w:rsidR="00C73BEB" w:rsidRDefault="00F63A7D" w:rsidP="00C73BEB">
      <w:r>
        <w:t>Soft tissue sarcoma</w:t>
      </w:r>
      <w:r w:rsidR="00C73BEB">
        <w:t xml:space="preserve"> are rare, comprising about 1% of a</w:t>
      </w:r>
      <w:r w:rsidR="00234535">
        <w:t xml:space="preserve">ll malignancies in adults and </w:t>
      </w:r>
      <w:r>
        <w:t xml:space="preserve">between </w:t>
      </w:r>
      <w:r w:rsidR="00234535">
        <w:t>7</w:t>
      </w:r>
      <w:r>
        <w:t>%</w:t>
      </w:r>
      <w:r w:rsidR="00234535">
        <w:t xml:space="preserve"> to </w:t>
      </w:r>
      <w:r w:rsidR="00237024">
        <w:t>15% of paediatric cancers</w:t>
      </w:r>
      <w:r w:rsidR="00C73BEB">
        <w:t>.</w:t>
      </w:r>
      <w:r w:rsidR="00237024">
        <w:fldChar w:fldCharType="begin"/>
      </w:r>
      <w:r w:rsidR="00237024">
        <w:instrText xml:space="preserve"> NOTEREF _Ref71021761 \f \h </w:instrText>
      </w:r>
      <w:r w:rsidR="00237024">
        <w:fldChar w:fldCharType="separate"/>
      </w:r>
      <w:r w:rsidR="0071409D" w:rsidRPr="0071409D">
        <w:rPr>
          <w:rStyle w:val="FootnoteReference"/>
        </w:rPr>
        <w:t>3</w:t>
      </w:r>
      <w:r w:rsidR="00237024">
        <w:fldChar w:fldCharType="end"/>
      </w:r>
      <w:bookmarkStart w:id="18" w:name="_Ref71276893"/>
      <w:r w:rsidR="00237024" w:rsidRPr="00237024">
        <w:rPr>
          <w:vertAlign w:val="superscript"/>
        </w:rPr>
        <w:t>,</w:t>
      </w:r>
      <w:r w:rsidR="00237024">
        <w:rPr>
          <w:rStyle w:val="FootnoteReference"/>
        </w:rPr>
        <w:footnoteReference w:id="4"/>
      </w:r>
      <w:bookmarkEnd w:id="18"/>
      <w:r w:rsidR="00237024" w:rsidRPr="00237024">
        <w:rPr>
          <w:vertAlign w:val="superscript"/>
        </w:rPr>
        <w:t>,</w:t>
      </w:r>
      <w:r w:rsidR="00C73BEB">
        <w:t xml:space="preserve"> According to the Australian Institute of Health and Welfare (AIHW), the incidence of STS in Australia in 2014 was 1,527 cases, with 855 in males and 672 in females.</w:t>
      </w:r>
      <w:r w:rsidR="00AF37E0">
        <w:rPr>
          <w:rStyle w:val="FootnoteReference"/>
        </w:rPr>
        <w:footnoteReference w:id="5"/>
      </w:r>
    </w:p>
    <w:p w14:paraId="4650C986" w14:textId="41558434" w:rsidR="00C73BEB" w:rsidRDefault="00C73BEB" w:rsidP="00C73BEB">
      <w:r>
        <w:t xml:space="preserve">The most commonly used system for grading and staging of STS is that produced by the American Joint Committee on Cancer (AJCC). There are separate AJCC staging systems for STS of the head neck, visceral STS and </w:t>
      </w:r>
      <w:r w:rsidR="00237024">
        <w:t>g</w:t>
      </w:r>
      <w:r w:rsidR="0001322F">
        <w:t>astrointestinal stromal tumo</w:t>
      </w:r>
      <w:r w:rsidR="00F63A7D">
        <w:t>u</w:t>
      </w:r>
      <w:r w:rsidR="0001322F">
        <w:t>r</w:t>
      </w:r>
      <w:r w:rsidR="00F63A7D">
        <w:t>s</w:t>
      </w:r>
      <w:r w:rsidR="00237024" w:rsidRPr="00237024">
        <w:t xml:space="preserve"> </w:t>
      </w:r>
      <w:r w:rsidR="00237024">
        <w:t>(</w:t>
      </w:r>
      <w:r>
        <w:t>GIST</w:t>
      </w:r>
      <w:r w:rsidR="00237024">
        <w:t>)</w:t>
      </w:r>
      <w:r>
        <w:t>. Peripheral</w:t>
      </w:r>
      <w:r w:rsidR="00F63A7D">
        <w:t> </w:t>
      </w:r>
      <w:r>
        <w:t>STS most commonly metastasise to the lungs while those arising in the abdomen commonly spread to the liver and peritoneu</w:t>
      </w:r>
      <w:r w:rsidR="00234535">
        <w:t>m. Locally advanced STS has a five</w:t>
      </w:r>
      <w:r w:rsidR="00394D1E">
        <w:t xml:space="preserve"> </w:t>
      </w:r>
      <w:r>
        <w:t>year survival rate of approximately 57%.</w:t>
      </w:r>
      <w:bookmarkStart w:id="19" w:name="_Ref71021603"/>
      <w:r w:rsidR="00AF37E0">
        <w:rPr>
          <w:rStyle w:val="FootnoteReference"/>
        </w:rPr>
        <w:footnoteReference w:id="6"/>
      </w:r>
      <w:bookmarkEnd w:id="19"/>
      <w:r>
        <w:t xml:space="preserve"> The prognosis for meta</w:t>
      </w:r>
      <w:r w:rsidR="00234535">
        <w:t>static disease is poor with a five</w:t>
      </w:r>
      <w:r w:rsidR="00394D1E">
        <w:t xml:space="preserve"> </w:t>
      </w:r>
      <w:r>
        <w:t>year survival rate of only 16%</w:t>
      </w:r>
      <w:r w:rsidR="00AF37E0">
        <w:t>;</w:t>
      </w:r>
      <w:r w:rsidR="00AF37E0" w:rsidRPr="00AF37E0">
        <w:rPr>
          <w:vertAlign w:val="superscript"/>
        </w:rPr>
        <w:fldChar w:fldCharType="begin"/>
      </w:r>
      <w:r w:rsidR="00AF37E0" w:rsidRPr="00AF37E0">
        <w:rPr>
          <w:vertAlign w:val="superscript"/>
        </w:rPr>
        <w:instrText xml:space="preserve"> NOTEREF _Ref71021603 \h </w:instrText>
      </w:r>
      <w:r w:rsidR="00AF37E0">
        <w:rPr>
          <w:vertAlign w:val="superscript"/>
        </w:rPr>
        <w:instrText xml:space="preserve"> \* MERGEFORMAT </w:instrText>
      </w:r>
      <w:r w:rsidR="00AF37E0" w:rsidRPr="00AF37E0">
        <w:rPr>
          <w:vertAlign w:val="superscript"/>
        </w:rPr>
      </w:r>
      <w:r w:rsidR="00AF37E0" w:rsidRPr="00AF37E0">
        <w:rPr>
          <w:vertAlign w:val="superscript"/>
        </w:rPr>
        <w:fldChar w:fldCharType="separate"/>
      </w:r>
      <w:r w:rsidR="0071409D">
        <w:rPr>
          <w:vertAlign w:val="superscript"/>
        </w:rPr>
        <w:t>6</w:t>
      </w:r>
      <w:r w:rsidR="00AF37E0" w:rsidRPr="00AF37E0">
        <w:rPr>
          <w:vertAlign w:val="superscript"/>
        </w:rPr>
        <w:fldChar w:fldCharType="end"/>
      </w:r>
      <w:r w:rsidR="00394D1E">
        <w:t xml:space="preserve"> and a median survival of 14 to </w:t>
      </w:r>
      <w:r>
        <w:t>17 months.</w:t>
      </w:r>
      <w:r w:rsidR="00AF37E0">
        <w:rPr>
          <w:rStyle w:val="FootnoteReference"/>
        </w:rPr>
        <w:footnoteReference w:id="7"/>
      </w:r>
    </w:p>
    <w:p w14:paraId="244FFEAF" w14:textId="06BFEC50" w:rsidR="00C73BEB" w:rsidRDefault="00C73BEB" w:rsidP="00C73BEB">
      <w:r>
        <w:t>Adverse prognostic factors in subjects with STS include large tumour size, high grade, advanced stage, older age, poor performance status, liver involvement and histological subtype.</w:t>
      </w:r>
      <w:r w:rsidR="00AF37E0">
        <w:fldChar w:fldCharType="begin"/>
      </w:r>
      <w:r w:rsidR="00AF37E0">
        <w:instrText xml:space="preserve"> NOTEREF _Ref71021761 \f \h </w:instrText>
      </w:r>
      <w:r w:rsidR="00AF37E0">
        <w:fldChar w:fldCharType="separate"/>
      </w:r>
      <w:r w:rsidR="0071409D" w:rsidRPr="0071409D">
        <w:rPr>
          <w:rStyle w:val="FootnoteReference"/>
        </w:rPr>
        <w:t>3</w:t>
      </w:r>
      <w:r w:rsidR="00AF37E0">
        <w:fldChar w:fldCharType="end"/>
      </w:r>
      <w:r w:rsidR="00AF37E0" w:rsidRPr="00AF37E0">
        <w:rPr>
          <w:vertAlign w:val="superscript"/>
        </w:rPr>
        <w:t>,</w:t>
      </w:r>
      <w:r w:rsidR="00AF37E0">
        <w:rPr>
          <w:rStyle w:val="FootnoteReference"/>
        </w:rPr>
        <w:footnoteReference w:id="8"/>
      </w:r>
    </w:p>
    <w:p w14:paraId="2BEA53B8" w14:textId="77777777" w:rsidR="00C73BEB" w:rsidRDefault="00F63A7D" w:rsidP="00C73BEB">
      <w:proofErr w:type="spellStart"/>
      <w:r>
        <w:t>Leiomyosarcoma</w:t>
      </w:r>
      <w:proofErr w:type="spellEnd"/>
      <w:r>
        <w:t xml:space="preserve"> (</w:t>
      </w:r>
      <w:r w:rsidR="00C73BEB">
        <w:t>LMS</w:t>
      </w:r>
      <w:r>
        <w:t>)</w:t>
      </w:r>
      <w:r w:rsidR="00C73BEB">
        <w:t xml:space="preserve"> is the most common subtype of STS, </w:t>
      </w:r>
      <w:r w:rsidR="00234535">
        <w:t xml:space="preserve">accounting for approximately 20 to </w:t>
      </w:r>
      <w:r w:rsidR="00C73BEB">
        <w:t>25% of all newly diagnosed cases.</w:t>
      </w:r>
      <w:r w:rsidR="00AF37E0">
        <w:rPr>
          <w:rStyle w:val="FootnoteReference"/>
        </w:rPr>
        <w:footnoteReference w:id="9"/>
      </w:r>
      <w:r w:rsidR="00C73BEB">
        <w:t xml:space="preserve"> Common sites for LMS include the abdomen, </w:t>
      </w:r>
      <w:proofErr w:type="spellStart"/>
      <w:r w:rsidR="00C73BEB">
        <w:t>retroperitoneum</w:t>
      </w:r>
      <w:proofErr w:type="spellEnd"/>
      <w:r w:rsidR="00C73BEB">
        <w:t>, larger blood vessels, and the uterus. It is less common in the extremities compared with other STS subtypes, accounting for 10% to 15% of limb sarcomas.</w:t>
      </w:r>
      <w:r w:rsidR="00AF37E0">
        <w:rPr>
          <w:rStyle w:val="FootnoteReference"/>
        </w:rPr>
        <w:footnoteReference w:id="10"/>
      </w:r>
    </w:p>
    <w:p w14:paraId="579A9302" w14:textId="77777777" w:rsidR="00C73BEB" w:rsidRDefault="00F63A7D" w:rsidP="00C73BEB">
      <w:proofErr w:type="spellStart"/>
      <w:r>
        <w:t>Liposarcoma</w:t>
      </w:r>
      <w:proofErr w:type="spellEnd"/>
      <w:r>
        <w:t xml:space="preserve"> (</w:t>
      </w:r>
      <w:r w:rsidR="00C73BEB">
        <w:t>LPS</w:t>
      </w:r>
      <w:r>
        <w:t>)</w:t>
      </w:r>
      <w:r w:rsidR="00C73BEB">
        <w:t xml:space="preserve"> a</w:t>
      </w:r>
      <w:r w:rsidR="00394D1E">
        <w:t xml:space="preserve">ccounts for approximately 10 to </w:t>
      </w:r>
      <w:r w:rsidR="00C73BEB">
        <w:t xml:space="preserve">15% of cases of STS. Typical sites of origin include the extremities and </w:t>
      </w:r>
      <w:proofErr w:type="spellStart"/>
      <w:r w:rsidR="00C73BEB">
        <w:t>retroperitoneum</w:t>
      </w:r>
      <w:proofErr w:type="spellEnd"/>
      <w:r w:rsidR="00C73BEB">
        <w:t>.</w:t>
      </w:r>
      <w:r w:rsidR="00AF37E0">
        <w:rPr>
          <w:rStyle w:val="FootnoteReference"/>
        </w:rPr>
        <w:footnoteReference w:id="11"/>
      </w:r>
    </w:p>
    <w:p w14:paraId="60069369" w14:textId="0BD97289" w:rsidR="00C73BEB" w:rsidRDefault="00C73BEB" w:rsidP="00C73BEB">
      <w:r>
        <w:t xml:space="preserve">The incidence of both LMS and LPS increases with age. Both are uncommon in children with </w:t>
      </w:r>
      <w:proofErr w:type="spellStart"/>
      <w:r>
        <w:t>liposarcoma</w:t>
      </w:r>
      <w:proofErr w:type="spellEnd"/>
      <w:r>
        <w:t xml:space="preserve"> accounting for 3%, and </w:t>
      </w:r>
      <w:proofErr w:type="spellStart"/>
      <w:r>
        <w:t>leiomyosarcoma</w:t>
      </w:r>
      <w:proofErr w:type="spellEnd"/>
      <w:r>
        <w:t xml:space="preserve"> 2%, of soft tissue sarcoma in patients younger than 20 years.</w:t>
      </w:r>
      <w:r w:rsidR="00237024">
        <w:fldChar w:fldCharType="begin"/>
      </w:r>
      <w:r w:rsidR="00237024">
        <w:instrText xml:space="preserve"> NOTEREF _Ref71276893 \f \h </w:instrText>
      </w:r>
      <w:r w:rsidR="00237024">
        <w:fldChar w:fldCharType="separate"/>
      </w:r>
      <w:r w:rsidR="0071409D" w:rsidRPr="0071409D">
        <w:rPr>
          <w:rStyle w:val="FootnoteReference"/>
        </w:rPr>
        <w:t>4</w:t>
      </w:r>
      <w:r w:rsidR="00237024">
        <w:fldChar w:fldCharType="end"/>
      </w:r>
    </w:p>
    <w:p w14:paraId="7751FB42" w14:textId="77777777" w:rsidR="00C73BEB" w:rsidRDefault="00C73BEB" w:rsidP="00C73BEB">
      <w:r>
        <w:t>Although there are a large number of subtypes of STS, recommended treatment is similar for many of them. A number of current clinical pract</w:t>
      </w:r>
      <w:r w:rsidR="00234535">
        <w:t xml:space="preserve">ice guidelines provide evidence </w:t>
      </w:r>
      <w:r>
        <w:t>based recommendations regarding appropriate treatment of STS in adults. These include guidelines produced by:</w:t>
      </w:r>
    </w:p>
    <w:p w14:paraId="1F210432" w14:textId="300BB176" w:rsidR="00C73BEB" w:rsidRDefault="00F7707A" w:rsidP="0071409D">
      <w:pPr>
        <w:pStyle w:val="ListBullet"/>
      </w:pPr>
      <w:r>
        <w:t>t</w:t>
      </w:r>
      <w:r w:rsidR="00C73BEB">
        <w:t>he National Comprehensive Cancer Network (NCCN) in the United States</w:t>
      </w:r>
      <w:r>
        <w:t xml:space="preserve"> of America (USA)</w:t>
      </w:r>
      <w:r w:rsidR="00C73BEB">
        <w:t>;</w:t>
      </w:r>
      <w:r w:rsidR="00237024">
        <w:fldChar w:fldCharType="begin"/>
      </w:r>
      <w:r w:rsidR="00237024">
        <w:instrText xml:space="preserve"> NOTEREF _Ref71276893 \f \h </w:instrText>
      </w:r>
      <w:r w:rsidR="00237024">
        <w:fldChar w:fldCharType="separate"/>
      </w:r>
      <w:r w:rsidR="0071409D" w:rsidRPr="0071409D">
        <w:rPr>
          <w:rStyle w:val="FootnoteReference"/>
        </w:rPr>
        <w:t>4</w:t>
      </w:r>
      <w:r w:rsidR="00237024">
        <w:fldChar w:fldCharType="end"/>
      </w:r>
    </w:p>
    <w:p w14:paraId="50AAB752" w14:textId="2D388321" w:rsidR="00C73BEB" w:rsidRDefault="00F7707A" w:rsidP="0071409D">
      <w:pPr>
        <w:pStyle w:val="ListBullet"/>
      </w:pPr>
      <w:r>
        <w:t>t</w:t>
      </w:r>
      <w:r w:rsidR="00C73BEB">
        <w:t>he Cancer Council of Australia in collaboration with the Australia and New Zealand Sarcoma Association;</w:t>
      </w:r>
      <w:r w:rsidR="00542BF5">
        <w:rPr>
          <w:rStyle w:val="FootnoteReference"/>
        </w:rPr>
        <w:footnoteReference w:id="12"/>
      </w:r>
      <w:r>
        <w:t xml:space="preserve"> and</w:t>
      </w:r>
    </w:p>
    <w:p w14:paraId="4047B7BB" w14:textId="696CAE9F" w:rsidR="00C73BEB" w:rsidRDefault="00F7707A" w:rsidP="0071409D">
      <w:pPr>
        <w:pStyle w:val="ListBullet"/>
      </w:pPr>
      <w:r>
        <w:t>t</w:t>
      </w:r>
      <w:r w:rsidR="00C73BEB">
        <w:t>he European Society of Medical Oncology (ESMO).</w:t>
      </w:r>
      <w:r w:rsidR="00542BF5">
        <w:rPr>
          <w:rStyle w:val="FootnoteReference"/>
        </w:rPr>
        <w:footnoteReference w:id="13"/>
      </w:r>
    </w:p>
    <w:p w14:paraId="1A604CD7" w14:textId="63CF3A84" w:rsidR="00C73BEB" w:rsidRDefault="00C73BEB" w:rsidP="00C73BEB">
      <w:r>
        <w:t xml:space="preserve">The mainstay of treatment for STS is surgery. Radiotherapy improves local control in subjects with </w:t>
      </w:r>
      <w:proofErr w:type="spellStart"/>
      <w:r>
        <w:t>resectable</w:t>
      </w:r>
      <w:proofErr w:type="spellEnd"/>
      <w:r>
        <w:t xml:space="preserve"> disease and can be used alone in subjects in whom surgery is considered inappropriate.</w:t>
      </w:r>
      <w:r w:rsidR="00542BF5">
        <w:fldChar w:fldCharType="begin"/>
      </w:r>
      <w:r w:rsidR="00542BF5">
        <w:instrText xml:space="preserve"> NOTEREF _Ref71022099 \f \h </w:instrText>
      </w:r>
      <w:r w:rsidR="00542BF5">
        <w:fldChar w:fldCharType="separate"/>
      </w:r>
      <w:r w:rsidR="0071409D" w:rsidRPr="0071409D">
        <w:rPr>
          <w:rStyle w:val="FootnoteReference"/>
        </w:rPr>
        <w:t>2</w:t>
      </w:r>
      <w:r w:rsidR="00542BF5">
        <w:fldChar w:fldCharType="end"/>
      </w:r>
      <w:r w:rsidR="00542BF5" w:rsidRPr="00542BF5">
        <w:rPr>
          <w:vertAlign w:val="superscript"/>
        </w:rPr>
        <w:t>,</w:t>
      </w:r>
      <w:r w:rsidR="00542BF5">
        <w:fldChar w:fldCharType="begin"/>
      </w:r>
      <w:r w:rsidR="00542BF5">
        <w:instrText xml:space="preserve"> NOTEREF _Ref71021761 \f \h </w:instrText>
      </w:r>
      <w:r w:rsidR="00542BF5">
        <w:fldChar w:fldCharType="separate"/>
      </w:r>
      <w:r w:rsidR="0071409D" w:rsidRPr="0071409D">
        <w:rPr>
          <w:rStyle w:val="FootnoteReference"/>
        </w:rPr>
        <w:t>3</w:t>
      </w:r>
      <w:r w:rsidR="00542BF5">
        <w:fldChar w:fldCharType="end"/>
      </w:r>
      <w:r>
        <w:t xml:space="preserve"> Systemic chemotherapy is used in subjects with unresectable disease.</w:t>
      </w:r>
    </w:p>
    <w:p w14:paraId="7B7087A7" w14:textId="604A749F" w:rsidR="00C73BEB" w:rsidRPr="00C73BEB" w:rsidRDefault="00C73BEB" w:rsidP="00C73BEB">
      <w:r>
        <w:t xml:space="preserve">In Australia, agents registered for the treatment of STS include various grandfathered agents such as doxorubicin, epirubicin, </w:t>
      </w:r>
      <w:proofErr w:type="spellStart"/>
      <w:r>
        <w:t>ifosfamide</w:t>
      </w:r>
      <w:proofErr w:type="spellEnd"/>
      <w:r>
        <w:t xml:space="preserve"> and </w:t>
      </w:r>
      <w:proofErr w:type="spellStart"/>
      <w:r>
        <w:t>dacarbazine</w:t>
      </w:r>
      <w:proofErr w:type="spellEnd"/>
      <w:r>
        <w:t>. These agents all have a broad STS indication, not restricted by line of therapy or histological subtype. The tyros</w:t>
      </w:r>
      <w:r w:rsidR="002E0987">
        <w:t xml:space="preserve">ine kinase inhibitor </w:t>
      </w:r>
      <w:proofErr w:type="spellStart"/>
      <w:r w:rsidR="002E0987">
        <w:t>pazopanib</w:t>
      </w:r>
      <w:proofErr w:type="spellEnd"/>
      <w:r w:rsidR="002E0987">
        <w:t>;</w:t>
      </w:r>
      <w:r w:rsidR="002E0987">
        <w:rPr>
          <w:rStyle w:val="FootnoteReference"/>
        </w:rPr>
        <w:footnoteReference w:id="14"/>
      </w:r>
      <w:r>
        <w:t xml:space="preserve"> is registered for use as second or later line therapy of STS, excluding GIST and </w:t>
      </w:r>
      <w:proofErr w:type="spellStart"/>
      <w:r>
        <w:t>liposarc</w:t>
      </w:r>
      <w:r w:rsidR="002E0987">
        <w:t>omas</w:t>
      </w:r>
      <w:proofErr w:type="spellEnd"/>
      <w:r w:rsidR="002E0987">
        <w:t xml:space="preserve">. </w:t>
      </w:r>
      <w:proofErr w:type="spellStart"/>
      <w:r w:rsidR="002E0987">
        <w:t>Eribulin</w:t>
      </w:r>
      <w:proofErr w:type="spellEnd"/>
      <w:r w:rsidR="002E0987">
        <w:t>;</w:t>
      </w:r>
      <w:r w:rsidR="002E0987">
        <w:rPr>
          <w:rStyle w:val="FootnoteReference"/>
        </w:rPr>
        <w:footnoteReference w:id="15"/>
      </w:r>
      <w:r>
        <w:t xml:space="preserve">is registered for the treatment of patients with unresectable </w:t>
      </w:r>
      <w:proofErr w:type="spellStart"/>
      <w:r>
        <w:t>liposarcoma</w:t>
      </w:r>
      <w:proofErr w:type="spellEnd"/>
      <w:r>
        <w:t xml:space="preserve"> who have received prior chemotherapy for advanced or metastatic disease.</w:t>
      </w:r>
    </w:p>
    <w:p w14:paraId="271110AC" w14:textId="77777777" w:rsidR="008E7846" w:rsidRPr="003F31A2" w:rsidRDefault="00386150" w:rsidP="008E7846">
      <w:pPr>
        <w:pStyle w:val="Heading3"/>
      </w:pPr>
      <w:bookmarkStart w:id="20" w:name="_Toc314842485"/>
      <w:bookmarkStart w:id="21" w:name="_Toc247691504"/>
      <w:bookmarkStart w:id="22" w:name="_Toc72489974"/>
      <w:r>
        <w:t>Regulatory s</w:t>
      </w:r>
      <w:r w:rsidR="008E7846">
        <w:t>tatus</w:t>
      </w:r>
      <w:bookmarkEnd w:id="20"/>
      <w:bookmarkEnd w:id="21"/>
      <w:bookmarkEnd w:id="22"/>
    </w:p>
    <w:p w14:paraId="54B96BD4" w14:textId="77777777" w:rsidR="00940A89" w:rsidRDefault="00006FAB" w:rsidP="00940A89">
      <w:bookmarkStart w:id="23" w:name="_Toc247691505"/>
      <w:bookmarkStart w:id="24" w:name="_Toc314842486"/>
      <w:r w:rsidRPr="00006FAB">
        <w:t>This produ</w:t>
      </w:r>
      <w:r w:rsidR="002E0987">
        <w:t>ct is considered a new chemical</w:t>
      </w:r>
      <w:r w:rsidRPr="00006FAB">
        <w:t xml:space="preserve"> entity for Australian regulatory purposes.</w:t>
      </w:r>
    </w:p>
    <w:p w14:paraId="686A7995" w14:textId="332C5727" w:rsidR="00006FAB" w:rsidRDefault="00006FAB" w:rsidP="00006FAB">
      <w:r>
        <w:t>At the time the TGA considered this application,</w:t>
      </w:r>
      <w:r w:rsidR="00F7707A">
        <w:t xml:space="preserve"> </w:t>
      </w:r>
      <w:r>
        <w:t>simila</w:t>
      </w:r>
      <w:r w:rsidR="002E0987">
        <w:t>r application</w:t>
      </w:r>
      <w:r w:rsidR="00F7707A">
        <w:t>s</w:t>
      </w:r>
      <w:r w:rsidR="002E0987">
        <w:t xml:space="preserve"> had been approved </w:t>
      </w:r>
      <w:r>
        <w:t xml:space="preserve">in </w:t>
      </w:r>
      <w:r w:rsidR="00F7707A">
        <w:t xml:space="preserve">the </w:t>
      </w:r>
      <w:r w:rsidR="00416162">
        <w:t>USA on 23 </w:t>
      </w:r>
      <w:r w:rsidR="002E0987">
        <w:t xml:space="preserve">October 2015, </w:t>
      </w:r>
      <w:r w:rsidR="00F7707A">
        <w:t xml:space="preserve">in the </w:t>
      </w:r>
      <w:r w:rsidR="002E0987">
        <w:t>Europe</w:t>
      </w:r>
      <w:r w:rsidR="0001322F">
        <w:t>an Union (EU)</w:t>
      </w:r>
      <w:r w:rsidR="00416162">
        <w:t xml:space="preserve"> on 17 </w:t>
      </w:r>
      <w:r w:rsidR="002E0987">
        <w:t xml:space="preserve">September 2007, </w:t>
      </w:r>
      <w:r w:rsidR="00F7707A">
        <w:t xml:space="preserve">in </w:t>
      </w:r>
      <w:r w:rsidR="002E0987">
        <w:t>Canada on</w:t>
      </w:r>
      <w:r w:rsidR="00416162">
        <w:t xml:space="preserve"> 5 August 2010, Singapore on 19 </w:t>
      </w:r>
      <w:r w:rsidR="002E0987">
        <w:t>June 2009</w:t>
      </w:r>
      <w:r>
        <w:t xml:space="preserve"> </w:t>
      </w:r>
      <w:r w:rsidR="00416162">
        <w:t>and Switzerland on 4 </w:t>
      </w:r>
      <w:r w:rsidR="002E0987">
        <w:t>February</w:t>
      </w:r>
      <w:r w:rsidR="00F7707A">
        <w:t> </w:t>
      </w:r>
      <w:r w:rsidR="002E0987">
        <w:t>2009.</w:t>
      </w:r>
    </w:p>
    <w:p w14:paraId="57C7339A" w14:textId="757BA1A8" w:rsidR="00324E45" w:rsidRPr="00F0146F" w:rsidRDefault="00324E45" w:rsidP="00324E45">
      <w:pPr>
        <w:pStyle w:val="TableTitle"/>
      </w:pPr>
      <w:r>
        <w:t xml:space="preserve">Table </w:t>
      </w:r>
      <w:fldSimple w:instr=" SEQ Table \* ARABIC ">
        <w:r w:rsidR="0071409D">
          <w:rPr>
            <w:noProof/>
          </w:rPr>
          <w:t>1</w:t>
        </w:r>
      </w:fldSimple>
      <w:r>
        <w:t>: International regulatory status</w:t>
      </w:r>
    </w:p>
    <w:tbl>
      <w:tblPr>
        <w:tblStyle w:val="TableTGAblue"/>
        <w:tblW w:w="5000" w:type="pct"/>
        <w:tblLook w:val="04A0" w:firstRow="1" w:lastRow="0" w:firstColumn="1" w:lastColumn="0" w:noHBand="0" w:noVBand="1"/>
      </w:tblPr>
      <w:tblGrid>
        <w:gridCol w:w="2811"/>
        <w:gridCol w:w="2815"/>
        <w:gridCol w:w="2868"/>
      </w:tblGrid>
      <w:tr w:rsidR="0071409D" w14:paraId="63A379E7" w14:textId="77777777" w:rsidTr="0071409D">
        <w:trPr>
          <w:cnfStyle w:val="100000000000" w:firstRow="1" w:lastRow="0" w:firstColumn="0" w:lastColumn="0" w:oddVBand="0" w:evenVBand="0" w:oddHBand="0" w:evenHBand="0" w:firstRowFirstColumn="0" w:firstRowLastColumn="0" w:lastRowFirstColumn="0" w:lastRowLastColumn="0"/>
        </w:trPr>
        <w:tc>
          <w:tcPr>
            <w:tcW w:w="1655" w:type="pct"/>
            <w:tcBorders>
              <w:top w:val="single" w:sz="4" w:space="0" w:color="auto"/>
              <w:left w:val="single" w:sz="4" w:space="0" w:color="auto"/>
              <w:bottom w:val="single" w:sz="4" w:space="0" w:color="auto"/>
              <w:right w:val="single" w:sz="4" w:space="0" w:color="auto"/>
            </w:tcBorders>
          </w:tcPr>
          <w:p w14:paraId="1013790F" w14:textId="77777777" w:rsidR="0071409D" w:rsidRDefault="0071409D" w:rsidP="00006FAB">
            <w:pPr>
              <w:ind w:left="0" w:right="0"/>
            </w:pPr>
            <w:r>
              <w:t>Region</w:t>
            </w:r>
          </w:p>
        </w:tc>
        <w:tc>
          <w:tcPr>
            <w:tcW w:w="1657" w:type="pct"/>
            <w:tcBorders>
              <w:top w:val="single" w:sz="4" w:space="0" w:color="auto"/>
              <w:left w:val="single" w:sz="4" w:space="0" w:color="auto"/>
              <w:bottom w:val="single" w:sz="4" w:space="0" w:color="auto"/>
              <w:right w:val="single" w:sz="4" w:space="0" w:color="auto"/>
            </w:tcBorders>
          </w:tcPr>
          <w:p w14:paraId="6EF83775" w14:textId="77777777" w:rsidR="0071409D" w:rsidRDefault="0071409D" w:rsidP="00006FAB">
            <w:pPr>
              <w:ind w:left="0" w:right="0"/>
            </w:pPr>
            <w:r>
              <w:t>Status</w:t>
            </w:r>
          </w:p>
        </w:tc>
        <w:tc>
          <w:tcPr>
            <w:tcW w:w="1688" w:type="pct"/>
            <w:tcBorders>
              <w:top w:val="single" w:sz="4" w:space="0" w:color="auto"/>
              <w:left w:val="single" w:sz="4" w:space="0" w:color="auto"/>
              <w:bottom w:val="single" w:sz="4" w:space="0" w:color="auto"/>
              <w:right w:val="single" w:sz="4" w:space="0" w:color="auto"/>
            </w:tcBorders>
          </w:tcPr>
          <w:p w14:paraId="43746715" w14:textId="77777777" w:rsidR="0071409D" w:rsidRDefault="0071409D" w:rsidP="00006FAB">
            <w:pPr>
              <w:ind w:left="0" w:right="0"/>
            </w:pPr>
            <w:r>
              <w:t>Approved indications</w:t>
            </w:r>
          </w:p>
        </w:tc>
      </w:tr>
      <w:tr w:rsidR="0071409D" w14:paraId="35AF7CE7" w14:textId="77777777" w:rsidTr="0071409D">
        <w:tc>
          <w:tcPr>
            <w:tcW w:w="1655" w:type="pct"/>
            <w:tcBorders>
              <w:top w:val="single" w:sz="4" w:space="0" w:color="auto"/>
            </w:tcBorders>
          </w:tcPr>
          <w:p w14:paraId="118874A1" w14:textId="77777777" w:rsidR="0071409D" w:rsidRDefault="0071409D" w:rsidP="00006FAB">
            <w:pPr>
              <w:ind w:left="0" w:right="0"/>
            </w:pPr>
            <w:r>
              <w:t>USA</w:t>
            </w:r>
          </w:p>
        </w:tc>
        <w:tc>
          <w:tcPr>
            <w:tcW w:w="1657" w:type="pct"/>
            <w:tcBorders>
              <w:top w:val="single" w:sz="4" w:space="0" w:color="auto"/>
            </w:tcBorders>
          </w:tcPr>
          <w:p w14:paraId="7BDC99B6" w14:textId="19C87BC0" w:rsidR="0071409D" w:rsidRDefault="0071409D" w:rsidP="00006FAB">
            <w:pPr>
              <w:ind w:left="0" w:right="0"/>
            </w:pPr>
            <w:r>
              <w:t>Approved on 23 October 2015</w:t>
            </w:r>
          </w:p>
        </w:tc>
        <w:tc>
          <w:tcPr>
            <w:tcW w:w="1688" w:type="pct"/>
            <w:tcBorders>
              <w:top w:val="single" w:sz="4" w:space="0" w:color="auto"/>
            </w:tcBorders>
          </w:tcPr>
          <w:p w14:paraId="5901D0AE" w14:textId="77777777" w:rsidR="0071409D" w:rsidRPr="005D4066" w:rsidRDefault="0071409D" w:rsidP="005D4066">
            <w:pPr>
              <w:ind w:left="0"/>
              <w:rPr>
                <w:i/>
              </w:rPr>
            </w:pPr>
            <w:r w:rsidRPr="005D4066">
              <w:rPr>
                <w:i/>
              </w:rPr>
              <w:t xml:space="preserve">Yondelis is an alkylating drug indicated for the treatment of patients with unresectable or metastatic </w:t>
            </w:r>
            <w:proofErr w:type="spellStart"/>
            <w:r w:rsidRPr="005D4066">
              <w:rPr>
                <w:i/>
              </w:rPr>
              <w:t>liposarcoma</w:t>
            </w:r>
            <w:proofErr w:type="spellEnd"/>
            <w:r w:rsidRPr="005D4066">
              <w:rPr>
                <w:i/>
              </w:rPr>
              <w:t xml:space="preserve"> or </w:t>
            </w:r>
            <w:proofErr w:type="spellStart"/>
            <w:r w:rsidRPr="005D4066">
              <w:rPr>
                <w:i/>
              </w:rPr>
              <w:t>leiomyosarcoma</w:t>
            </w:r>
            <w:proofErr w:type="spellEnd"/>
            <w:r w:rsidRPr="005D4066">
              <w:rPr>
                <w:i/>
              </w:rPr>
              <w:t xml:space="preserve"> who received a prior </w:t>
            </w:r>
            <w:proofErr w:type="spellStart"/>
            <w:r w:rsidRPr="005D4066">
              <w:rPr>
                <w:i/>
              </w:rPr>
              <w:t>anthracycline</w:t>
            </w:r>
            <w:proofErr w:type="spellEnd"/>
            <w:r w:rsidRPr="005D4066">
              <w:rPr>
                <w:i/>
              </w:rPr>
              <w:t>-containing regimen.</w:t>
            </w:r>
          </w:p>
        </w:tc>
      </w:tr>
      <w:tr w:rsidR="0071409D" w14:paraId="2BB1C03A" w14:textId="77777777" w:rsidTr="0071409D">
        <w:tc>
          <w:tcPr>
            <w:tcW w:w="1655" w:type="pct"/>
          </w:tcPr>
          <w:p w14:paraId="28576DA8" w14:textId="77777777" w:rsidR="0071409D" w:rsidRDefault="0071409D" w:rsidP="00006FAB">
            <w:pPr>
              <w:ind w:left="0" w:right="0"/>
            </w:pPr>
            <w:r>
              <w:t>EU via European Medicine Agency (EMA)</w:t>
            </w:r>
          </w:p>
        </w:tc>
        <w:tc>
          <w:tcPr>
            <w:tcW w:w="1657" w:type="pct"/>
          </w:tcPr>
          <w:p w14:paraId="236B3473" w14:textId="4E58CAF7" w:rsidR="0071409D" w:rsidRDefault="0071409D" w:rsidP="00006FAB">
            <w:pPr>
              <w:ind w:left="0" w:right="0"/>
            </w:pPr>
            <w:r>
              <w:t>Approved on 17 September 2007</w:t>
            </w:r>
          </w:p>
        </w:tc>
        <w:tc>
          <w:tcPr>
            <w:tcW w:w="1688" w:type="pct"/>
          </w:tcPr>
          <w:p w14:paraId="62C7F292" w14:textId="77777777" w:rsidR="0071409D" w:rsidRPr="005D4066" w:rsidRDefault="0071409D" w:rsidP="005D4066">
            <w:pPr>
              <w:ind w:left="0"/>
              <w:rPr>
                <w:i/>
              </w:rPr>
            </w:pPr>
            <w:r w:rsidRPr="005D4066">
              <w:rPr>
                <w:i/>
              </w:rPr>
              <w:t xml:space="preserve">Yondelis is indicated for the treatment of adult patients with advanced soft tissue sarcoma, after failure of </w:t>
            </w:r>
            <w:proofErr w:type="spellStart"/>
            <w:r w:rsidRPr="005D4066">
              <w:rPr>
                <w:i/>
              </w:rPr>
              <w:t>anthracyclines</w:t>
            </w:r>
            <w:proofErr w:type="spellEnd"/>
            <w:r w:rsidRPr="005D4066">
              <w:rPr>
                <w:i/>
              </w:rPr>
              <w:t xml:space="preserve"> and </w:t>
            </w:r>
            <w:proofErr w:type="spellStart"/>
            <w:r w:rsidRPr="005D4066">
              <w:rPr>
                <w:i/>
              </w:rPr>
              <w:t>ifosfamide</w:t>
            </w:r>
            <w:proofErr w:type="spellEnd"/>
            <w:r w:rsidRPr="005D4066">
              <w:rPr>
                <w:i/>
              </w:rPr>
              <w:t>, or who are unsuited to receive these agents.</w:t>
            </w:r>
          </w:p>
        </w:tc>
      </w:tr>
      <w:tr w:rsidR="0071409D" w14:paraId="31A51A07" w14:textId="77777777" w:rsidTr="0071409D">
        <w:tc>
          <w:tcPr>
            <w:tcW w:w="1655" w:type="pct"/>
          </w:tcPr>
          <w:p w14:paraId="5D284E34" w14:textId="77777777" w:rsidR="0071409D" w:rsidRDefault="0071409D" w:rsidP="002E0987">
            <w:pPr>
              <w:ind w:left="0"/>
            </w:pPr>
            <w:r>
              <w:t>Canada</w:t>
            </w:r>
          </w:p>
        </w:tc>
        <w:tc>
          <w:tcPr>
            <w:tcW w:w="1657" w:type="pct"/>
          </w:tcPr>
          <w:p w14:paraId="1EB69602" w14:textId="234713EC" w:rsidR="0071409D" w:rsidRDefault="0071409D" w:rsidP="002E0987">
            <w:pPr>
              <w:ind w:left="0"/>
            </w:pPr>
            <w:r>
              <w:t>Approved on 5 August 2010</w:t>
            </w:r>
          </w:p>
        </w:tc>
        <w:tc>
          <w:tcPr>
            <w:tcW w:w="1688" w:type="pct"/>
          </w:tcPr>
          <w:p w14:paraId="5DA58325" w14:textId="77777777" w:rsidR="0071409D" w:rsidRPr="005D4066" w:rsidRDefault="0071409D" w:rsidP="005D4066">
            <w:pPr>
              <w:ind w:left="0"/>
              <w:rPr>
                <w:i/>
              </w:rPr>
            </w:pPr>
            <w:r w:rsidRPr="005D4066">
              <w:rPr>
                <w:i/>
              </w:rPr>
              <w:t>Yondelis (</w:t>
            </w:r>
            <w:proofErr w:type="spellStart"/>
            <w:r w:rsidRPr="005D4066">
              <w:rPr>
                <w:i/>
              </w:rPr>
              <w:t>trabectedin</w:t>
            </w:r>
            <w:proofErr w:type="spellEnd"/>
            <w:r w:rsidRPr="005D4066">
              <w:rPr>
                <w:i/>
              </w:rPr>
              <w:t xml:space="preserve">) is indicated for the treatment of patients with metastatic </w:t>
            </w:r>
            <w:proofErr w:type="spellStart"/>
            <w:r w:rsidRPr="005D4066">
              <w:rPr>
                <w:i/>
              </w:rPr>
              <w:t>liposarcoma</w:t>
            </w:r>
            <w:proofErr w:type="spellEnd"/>
            <w:r w:rsidRPr="005D4066">
              <w:rPr>
                <w:i/>
              </w:rPr>
              <w:t xml:space="preserve"> or </w:t>
            </w:r>
            <w:proofErr w:type="spellStart"/>
            <w:r w:rsidRPr="005D4066">
              <w:rPr>
                <w:i/>
              </w:rPr>
              <w:t>leiomyosarcoma</w:t>
            </w:r>
            <w:proofErr w:type="spellEnd"/>
            <w:r w:rsidRPr="005D4066">
              <w:rPr>
                <w:i/>
              </w:rPr>
              <w:t xml:space="preserve"> after failure of prior </w:t>
            </w:r>
            <w:proofErr w:type="spellStart"/>
            <w:r w:rsidRPr="005D4066">
              <w:rPr>
                <w:i/>
              </w:rPr>
              <w:t>anthracycline</w:t>
            </w:r>
            <w:proofErr w:type="spellEnd"/>
            <w:r w:rsidRPr="005D4066">
              <w:rPr>
                <w:i/>
              </w:rPr>
              <w:t xml:space="preserve"> and </w:t>
            </w:r>
            <w:proofErr w:type="spellStart"/>
            <w:r w:rsidRPr="005D4066">
              <w:rPr>
                <w:i/>
              </w:rPr>
              <w:t>ifosfamide</w:t>
            </w:r>
            <w:proofErr w:type="spellEnd"/>
            <w:r w:rsidRPr="005D4066">
              <w:rPr>
                <w:i/>
              </w:rPr>
              <w:t xml:space="preserve"> chemotherapy.</w:t>
            </w:r>
          </w:p>
        </w:tc>
      </w:tr>
      <w:tr w:rsidR="0071409D" w14:paraId="03E42586" w14:textId="77777777" w:rsidTr="0071409D">
        <w:tc>
          <w:tcPr>
            <w:tcW w:w="1655" w:type="pct"/>
          </w:tcPr>
          <w:p w14:paraId="25E4547D" w14:textId="77777777" w:rsidR="0071409D" w:rsidRDefault="0071409D" w:rsidP="002E0987">
            <w:pPr>
              <w:ind w:left="0"/>
            </w:pPr>
            <w:r>
              <w:t>Singapore</w:t>
            </w:r>
          </w:p>
        </w:tc>
        <w:tc>
          <w:tcPr>
            <w:tcW w:w="1657" w:type="pct"/>
          </w:tcPr>
          <w:p w14:paraId="202EC982" w14:textId="5E9E7378" w:rsidR="0071409D" w:rsidRDefault="0071409D" w:rsidP="002E0987">
            <w:pPr>
              <w:ind w:left="0"/>
            </w:pPr>
            <w:r>
              <w:t>Approved on 19 June 2009</w:t>
            </w:r>
          </w:p>
        </w:tc>
        <w:tc>
          <w:tcPr>
            <w:tcW w:w="1688" w:type="pct"/>
          </w:tcPr>
          <w:p w14:paraId="3DF53AF9" w14:textId="77777777" w:rsidR="0071409D" w:rsidRPr="005D4066" w:rsidRDefault="0071409D" w:rsidP="005D4066">
            <w:pPr>
              <w:ind w:left="0"/>
              <w:rPr>
                <w:i/>
              </w:rPr>
            </w:pPr>
            <w:r w:rsidRPr="005D4066">
              <w:rPr>
                <w:i/>
              </w:rPr>
              <w:t xml:space="preserve">Yondelis is indicated for the treatment of patients with advanced or metastatic </w:t>
            </w:r>
            <w:proofErr w:type="spellStart"/>
            <w:r w:rsidRPr="005D4066">
              <w:rPr>
                <w:i/>
              </w:rPr>
              <w:t>liposarcoma</w:t>
            </w:r>
            <w:proofErr w:type="spellEnd"/>
            <w:r w:rsidRPr="005D4066">
              <w:rPr>
                <w:i/>
              </w:rPr>
              <w:t xml:space="preserve"> or </w:t>
            </w:r>
            <w:proofErr w:type="spellStart"/>
            <w:r w:rsidRPr="005D4066">
              <w:rPr>
                <w:i/>
              </w:rPr>
              <w:t>leiomyosarcoma</w:t>
            </w:r>
            <w:proofErr w:type="spellEnd"/>
            <w:r w:rsidRPr="005D4066">
              <w:rPr>
                <w:i/>
              </w:rPr>
              <w:t xml:space="preserve">, after failure of </w:t>
            </w:r>
            <w:proofErr w:type="spellStart"/>
            <w:r w:rsidRPr="005D4066">
              <w:rPr>
                <w:i/>
              </w:rPr>
              <w:t>anthracyclines</w:t>
            </w:r>
            <w:proofErr w:type="spellEnd"/>
            <w:r w:rsidRPr="005D4066">
              <w:rPr>
                <w:i/>
              </w:rPr>
              <w:t xml:space="preserve"> and </w:t>
            </w:r>
            <w:proofErr w:type="spellStart"/>
            <w:r w:rsidRPr="005D4066">
              <w:rPr>
                <w:i/>
              </w:rPr>
              <w:t>ifosfamide</w:t>
            </w:r>
            <w:proofErr w:type="spellEnd"/>
            <w:r w:rsidRPr="005D4066">
              <w:rPr>
                <w:i/>
              </w:rPr>
              <w:t>, or who are unsuited to receive these agents.</w:t>
            </w:r>
          </w:p>
        </w:tc>
      </w:tr>
      <w:tr w:rsidR="0071409D" w14:paraId="622823CE" w14:textId="77777777" w:rsidTr="0071409D">
        <w:tc>
          <w:tcPr>
            <w:tcW w:w="1655" w:type="pct"/>
          </w:tcPr>
          <w:p w14:paraId="62802898" w14:textId="77777777" w:rsidR="0071409D" w:rsidRDefault="0071409D" w:rsidP="002E0987">
            <w:pPr>
              <w:ind w:left="0"/>
            </w:pPr>
            <w:r>
              <w:t>Switzerland</w:t>
            </w:r>
          </w:p>
        </w:tc>
        <w:tc>
          <w:tcPr>
            <w:tcW w:w="1657" w:type="pct"/>
          </w:tcPr>
          <w:p w14:paraId="10C28B72" w14:textId="40BAE9BC" w:rsidR="0071409D" w:rsidRDefault="0071409D" w:rsidP="002E0987">
            <w:pPr>
              <w:ind w:left="0"/>
            </w:pPr>
            <w:r>
              <w:t>Approved on 4 February 2009</w:t>
            </w:r>
          </w:p>
        </w:tc>
        <w:tc>
          <w:tcPr>
            <w:tcW w:w="1688" w:type="pct"/>
          </w:tcPr>
          <w:p w14:paraId="126C5C93" w14:textId="77777777" w:rsidR="0071409D" w:rsidRPr="005D4066" w:rsidRDefault="0071409D" w:rsidP="005D4066">
            <w:pPr>
              <w:ind w:left="0"/>
              <w:rPr>
                <w:i/>
              </w:rPr>
            </w:pPr>
            <w:r w:rsidRPr="005D4066">
              <w:rPr>
                <w:i/>
              </w:rPr>
              <w:t>Advanced or metastatic soft tissue sarcoma</w:t>
            </w:r>
          </w:p>
        </w:tc>
      </w:tr>
    </w:tbl>
    <w:p w14:paraId="38F27CB7" w14:textId="77777777" w:rsidR="008E7846" w:rsidRDefault="008E7846" w:rsidP="00940A89">
      <w:pPr>
        <w:pStyle w:val="Heading3"/>
      </w:pPr>
      <w:bookmarkStart w:id="25" w:name="_Toc72489975"/>
      <w:r>
        <w:t>Product Information</w:t>
      </w:r>
      <w:bookmarkEnd w:id="23"/>
      <w:bookmarkEnd w:id="24"/>
      <w:bookmarkEnd w:id="25"/>
    </w:p>
    <w:p w14:paraId="49A73B04" w14:textId="02C81391" w:rsidR="00940A89" w:rsidRDefault="006136D7" w:rsidP="00940A89">
      <w:bookmarkStart w:id="26" w:name="_Toc247691506"/>
      <w:bookmarkStart w:id="27"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2F8FEDAF" w14:textId="77777777" w:rsidR="00500337" w:rsidRDefault="00500337" w:rsidP="00500337">
      <w:pPr>
        <w:pStyle w:val="Heading2"/>
      </w:pPr>
      <w:bookmarkStart w:id="28" w:name="_Toc504480011"/>
      <w:bookmarkStart w:id="29" w:name="_Toc72489976"/>
      <w:r>
        <w:t>II. Registration timeline</w:t>
      </w:r>
      <w:bookmarkEnd w:id="28"/>
      <w:bookmarkEnd w:id="29"/>
    </w:p>
    <w:p w14:paraId="56FD6565" w14:textId="77777777" w:rsidR="0071409D" w:rsidRDefault="00500337" w:rsidP="0071409D">
      <w:r>
        <w:t>The following table captures the key steps and dates for this application and which are detailed and discussed in this AusPAR.</w:t>
      </w:r>
    </w:p>
    <w:p w14:paraId="29E7DDE3" w14:textId="4595A4D4" w:rsidR="00D36A4E" w:rsidRDefault="00D36A4E" w:rsidP="0071409D">
      <w:pPr>
        <w:pStyle w:val="TableTitle"/>
      </w:pPr>
      <w:r>
        <w:t xml:space="preserve">Table </w:t>
      </w:r>
      <w:fldSimple w:instr=" SEQ Table \* ARABIC ">
        <w:r w:rsidR="0071409D">
          <w:rPr>
            <w:noProof/>
          </w:rPr>
          <w:t>2</w:t>
        </w:r>
      </w:fldSimple>
      <w:r>
        <w:t xml:space="preserve">: </w:t>
      </w:r>
      <w:r w:rsidRPr="006A58A8">
        <w:t>Timeline for Submission PM-20</w:t>
      </w:r>
      <w:r>
        <w:t>20-01313-1-4</w:t>
      </w:r>
    </w:p>
    <w:tbl>
      <w:tblPr>
        <w:tblStyle w:val="TableTGAblue"/>
        <w:tblW w:w="0" w:type="auto"/>
        <w:tblLook w:val="04A0" w:firstRow="1" w:lastRow="0" w:firstColumn="1" w:lastColumn="0" w:noHBand="0" w:noVBand="1"/>
      </w:tblPr>
      <w:tblGrid>
        <w:gridCol w:w="5949"/>
        <w:gridCol w:w="2545"/>
      </w:tblGrid>
      <w:tr w:rsidR="00500337" w14:paraId="2206290D" w14:textId="77777777" w:rsidTr="00FF1E0D">
        <w:trPr>
          <w:cnfStyle w:val="100000000000" w:firstRow="1" w:lastRow="0" w:firstColumn="0" w:lastColumn="0" w:oddVBand="0" w:evenVBand="0" w:oddHBand="0" w:evenHBand="0" w:firstRowFirstColumn="0" w:firstRowLastColumn="0" w:lastRowFirstColumn="0" w:lastRowLastColumn="0"/>
          <w:cantSplit/>
        </w:trPr>
        <w:tc>
          <w:tcPr>
            <w:tcW w:w="5949" w:type="dxa"/>
            <w:tcBorders>
              <w:top w:val="single" w:sz="4" w:space="0" w:color="auto"/>
              <w:left w:val="single" w:sz="4" w:space="0" w:color="auto"/>
              <w:bottom w:val="single" w:sz="4" w:space="0" w:color="auto"/>
              <w:right w:val="single" w:sz="4" w:space="0" w:color="auto"/>
            </w:tcBorders>
          </w:tcPr>
          <w:p w14:paraId="3F381B04" w14:textId="77777777" w:rsidR="00500337" w:rsidRDefault="00500337" w:rsidP="00F7707A">
            <w:pPr>
              <w:ind w:left="0" w:right="0"/>
            </w:pPr>
            <w:r>
              <w:t>Description</w:t>
            </w:r>
          </w:p>
        </w:tc>
        <w:tc>
          <w:tcPr>
            <w:tcW w:w="2545" w:type="dxa"/>
            <w:tcBorders>
              <w:top w:val="single" w:sz="4" w:space="0" w:color="auto"/>
              <w:left w:val="single" w:sz="4" w:space="0" w:color="auto"/>
              <w:bottom w:val="single" w:sz="4" w:space="0" w:color="auto"/>
              <w:right w:val="single" w:sz="4" w:space="0" w:color="auto"/>
            </w:tcBorders>
          </w:tcPr>
          <w:p w14:paraId="66714237" w14:textId="77777777" w:rsidR="00500337" w:rsidRDefault="00500337" w:rsidP="00D36A4E">
            <w:pPr>
              <w:ind w:left="0" w:right="0"/>
            </w:pPr>
            <w:r>
              <w:t>Date</w:t>
            </w:r>
          </w:p>
        </w:tc>
      </w:tr>
      <w:tr w:rsidR="00500337" w14:paraId="44B6C38F" w14:textId="77777777" w:rsidTr="00FF1E0D">
        <w:tc>
          <w:tcPr>
            <w:tcW w:w="5949" w:type="dxa"/>
            <w:tcBorders>
              <w:top w:val="single" w:sz="4" w:space="0" w:color="auto"/>
            </w:tcBorders>
          </w:tcPr>
          <w:p w14:paraId="61618EDE" w14:textId="7147FEFE" w:rsidR="00500337" w:rsidRDefault="00C7357C" w:rsidP="0071409D">
            <w:pPr>
              <w:keepNext/>
              <w:ind w:left="0" w:right="0"/>
            </w:pPr>
            <w:r>
              <w:t xml:space="preserve">Designation </w:t>
            </w:r>
            <w:r w:rsidR="00F7707A">
              <w:t>(</w:t>
            </w:r>
            <w:r>
              <w:t>Orphan</w:t>
            </w:r>
            <w:r w:rsidR="00F7707A">
              <w:t>)</w:t>
            </w:r>
            <w:r w:rsidR="003D2ACE">
              <w:rPr>
                <w:rStyle w:val="FootnoteReference"/>
              </w:rPr>
              <w:footnoteReference w:id="16"/>
            </w:r>
          </w:p>
        </w:tc>
        <w:tc>
          <w:tcPr>
            <w:tcW w:w="2545" w:type="dxa"/>
            <w:tcBorders>
              <w:top w:val="single" w:sz="4" w:space="0" w:color="auto"/>
            </w:tcBorders>
          </w:tcPr>
          <w:p w14:paraId="76B2CEDC" w14:textId="77777777" w:rsidR="00500337" w:rsidRDefault="00C86935" w:rsidP="0071409D">
            <w:pPr>
              <w:keepNext/>
              <w:ind w:left="0" w:right="0"/>
            </w:pPr>
            <w:r>
              <w:t>21 January 2020</w:t>
            </w:r>
          </w:p>
        </w:tc>
      </w:tr>
      <w:tr w:rsidR="00500337" w14:paraId="6EACE96A" w14:textId="77777777" w:rsidTr="00FF1E0D">
        <w:tc>
          <w:tcPr>
            <w:tcW w:w="5949" w:type="dxa"/>
          </w:tcPr>
          <w:p w14:paraId="327925AF" w14:textId="77777777" w:rsidR="00500337" w:rsidRDefault="00500337" w:rsidP="00500337">
            <w:pPr>
              <w:ind w:left="0" w:right="0"/>
            </w:pPr>
            <w:r>
              <w:t>Submission dossier accepted and first round evaluation commenced</w:t>
            </w:r>
          </w:p>
        </w:tc>
        <w:tc>
          <w:tcPr>
            <w:tcW w:w="2545" w:type="dxa"/>
          </w:tcPr>
          <w:p w14:paraId="6CA77127" w14:textId="77777777" w:rsidR="00500337" w:rsidRDefault="00C7357C" w:rsidP="00500337">
            <w:pPr>
              <w:ind w:left="0" w:right="0"/>
            </w:pPr>
            <w:r>
              <w:t>30 April 2020</w:t>
            </w:r>
          </w:p>
        </w:tc>
      </w:tr>
      <w:tr w:rsidR="00500337" w14:paraId="346F233E" w14:textId="77777777" w:rsidTr="00FF1E0D">
        <w:tc>
          <w:tcPr>
            <w:tcW w:w="5949" w:type="dxa"/>
          </w:tcPr>
          <w:p w14:paraId="7A837846" w14:textId="77777777" w:rsidR="00500337" w:rsidRDefault="00500337" w:rsidP="00500337">
            <w:pPr>
              <w:ind w:left="0" w:right="0"/>
            </w:pPr>
            <w:r>
              <w:t>First round evaluation completed</w:t>
            </w:r>
          </w:p>
        </w:tc>
        <w:tc>
          <w:tcPr>
            <w:tcW w:w="2545" w:type="dxa"/>
          </w:tcPr>
          <w:p w14:paraId="20A9FD82" w14:textId="77777777" w:rsidR="00500337" w:rsidRDefault="00C7357C" w:rsidP="00500337">
            <w:pPr>
              <w:ind w:left="0" w:right="0"/>
            </w:pPr>
            <w:r>
              <w:t>30 September 2020</w:t>
            </w:r>
          </w:p>
        </w:tc>
      </w:tr>
      <w:tr w:rsidR="00500337" w14:paraId="1C219158" w14:textId="77777777" w:rsidTr="00FF1E0D">
        <w:tc>
          <w:tcPr>
            <w:tcW w:w="5949" w:type="dxa"/>
          </w:tcPr>
          <w:p w14:paraId="26A7D226" w14:textId="77777777" w:rsidR="00500337" w:rsidRDefault="00500337" w:rsidP="00500337">
            <w:pPr>
              <w:ind w:left="0" w:right="0"/>
            </w:pPr>
            <w:r>
              <w:t>Sponsor provides responses on questions raised in first round evaluation</w:t>
            </w:r>
          </w:p>
        </w:tc>
        <w:tc>
          <w:tcPr>
            <w:tcW w:w="2545" w:type="dxa"/>
          </w:tcPr>
          <w:p w14:paraId="0F35C05E" w14:textId="77777777" w:rsidR="00500337" w:rsidRDefault="00C7357C" w:rsidP="00500337">
            <w:pPr>
              <w:ind w:left="0" w:right="0"/>
            </w:pPr>
            <w:r>
              <w:t>30 November 2020</w:t>
            </w:r>
          </w:p>
        </w:tc>
      </w:tr>
      <w:tr w:rsidR="00500337" w14:paraId="58EE309C" w14:textId="77777777" w:rsidTr="00FF1E0D">
        <w:tc>
          <w:tcPr>
            <w:tcW w:w="5949" w:type="dxa"/>
          </w:tcPr>
          <w:p w14:paraId="4ED1A37A" w14:textId="77777777" w:rsidR="00500337" w:rsidRDefault="00500337" w:rsidP="00500337">
            <w:pPr>
              <w:ind w:left="0" w:right="0"/>
            </w:pPr>
            <w:r>
              <w:t>Second round evaluation completed</w:t>
            </w:r>
          </w:p>
        </w:tc>
        <w:tc>
          <w:tcPr>
            <w:tcW w:w="2545" w:type="dxa"/>
          </w:tcPr>
          <w:p w14:paraId="5B79563C" w14:textId="77777777" w:rsidR="00500337" w:rsidRDefault="00C7357C" w:rsidP="00500337">
            <w:pPr>
              <w:ind w:left="0" w:right="0"/>
            </w:pPr>
            <w:r>
              <w:t>12 January 2021</w:t>
            </w:r>
          </w:p>
        </w:tc>
      </w:tr>
      <w:tr w:rsidR="00500337" w14:paraId="3064C8C8" w14:textId="77777777" w:rsidTr="00FF1E0D">
        <w:tc>
          <w:tcPr>
            <w:tcW w:w="5949" w:type="dxa"/>
          </w:tcPr>
          <w:p w14:paraId="44CBB154" w14:textId="77777777" w:rsidR="00500337" w:rsidRDefault="00324E45" w:rsidP="00C7357C">
            <w:pPr>
              <w:ind w:left="0" w:right="0"/>
            </w:pPr>
            <w:r>
              <w:t xml:space="preserve">Delegate’s Overall benefit-risk assessment </w:t>
            </w:r>
          </w:p>
        </w:tc>
        <w:tc>
          <w:tcPr>
            <w:tcW w:w="2545" w:type="dxa"/>
          </w:tcPr>
          <w:p w14:paraId="555EC97E" w14:textId="77777777" w:rsidR="00500337" w:rsidRDefault="00C7357C" w:rsidP="00500337">
            <w:pPr>
              <w:ind w:left="0" w:right="0"/>
            </w:pPr>
            <w:r>
              <w:t>12 April 2021</w:t>
            </w:r>
          </w:p>
        </w:tc>
      </w:tr>
      <w:tr w:rsidR="00500337" w14:paraId="0384CCC6" w14:textId="77777777" w:rsidTr="00FF1E0D">
        <w:tc>
          <w:tcPr>
            <w:tcW w:w="5949" w:type="dxa"/>
          </w:tcPr>
          <w:p w14:paraId="25776A9D" w14:textId="77777777" w:rsidR="00500337" w:rsidRDefault="00500337" w:rsidP="00500337">
            <w:pPr>
              <w:ind w:left="0" w:right="0"/>
            </w:pPr>
            <w:r>
              <w:t>Sponsor’s pre-Advisory Committee response</w:t>
            </w:r>
          </w:p>
        </w:tc>
        <w:tc>
          <w:tcPr>
            <w:tcW w:w="2545" w:type="dxa"/>
          </w:tcPr>
          <w:p w14:paraId="7141C739" w14:textId="77777777" w:rsidR="00500337" w:rsidRDefault="00C7357C" w:rsidP="00500337">
            <w:pPr>
              <w:ind w:left="0" w:right="0"/>
            </w:pPr>
            <w:r>
              <w:t>Not applicable</w:t>
            </w:r>
          </w:p>
        </w:tc>
      </w:tr>
      <w:tr w:rsidR="00500337" w14:paraId="45D6A24E" w14:textId="77777777" w:rsidTr="00FF1E0D">
        <w:tc>
          <w:tcPr>
            <w:tcW w:w="5949" w:type="dxa"/>
          </w:tcPr>
          <w:p w14:paraId="18B06D2C" w14:textId="77777777" w:rsidR="00500337" w:rsidRDefault="00500337" w:rsidP="00500337">
            <w:pPr>
              <w:ind w:left="0" w:right="0"/>
            </w:pPr>
            <w:r>
              <w:t>Advisory Committee meeting</w:t>
            </w:r>
          </w:p>
        </w:tc>
        <w:tc>
          <w:tcPr>
            <w:tcW w:w="2545" w:type="dxa"/>
          </w:tcPr>
          <w:p w14:paraId="4358EF06" w14:textId="77777777" w:rsidR="00500337" w:rsidRDefault="00C7357C" w:rsidP="00500337">
            <w:pPr>
              <w:ind w:left="0" w:right="0"/>
            </w:pPr>
            <w:r>
              <w:t>Not applicable</w:t>
            </w:r>
          </w:p>
        </w:tc>
      </w:tr>
      <w:tr w:rsidR="00500337" w14:paraId="6028EC0F" w14:textId="77777777" w:rsidTr="00FF1E0D">
        <w:tc>
          <w:tcPr>
            <w:tcW w:w="5949" w:type="dxa"/>
          </w:tcPr>
          <w:p w14:paraId="561D5E1B" w14:textId="77777777" w:rsidR="00500337" w:rsidRDefault="00500337" w:rsidP="00500337">
            <w:pPr>
              <w:ind w:left="0" w:right="0"/>
            </w:pPr>
            <w:r>
              <w:t>Registration decision (Outcome)</w:t>
            </w:r>
          </w:p>
        </w:tc>
        <w:tc>
          <w:tcPr>
            <w:tcW w:w="2545" w:type="dxa"/>
          </w:tcPr>
          <w:p w14:paraId="3FB00E7F" w14:textId="77777777" w:rsidR="00500337" w:rsidRDefault="00C7357C" w:rsidP="00500337">
            <w:pPr>
              <w:ind w:left="0" w:right="0"/>
            </w:pPr>
            <w:r>
              <w:t>21 April 2021</w:t>
            </w:r>
          </w:p>
        </w:tc>
      </w:tr>
      <w:tr w:rsidR="00500337" w14:paraId="475D933E" w14:textId="77777777" w:rsidTr="00FF1E0D">
        <w:tc>
          <w:tcPr>
            <w:tcW w:w="5949" w:type="dxa"/>
          </w:tcPr>
          <w:p w14:paraId="1CF4F80F" w14:textId="77777777" w:rsidR="00500337" w:rsidRDefault="00500337" w:rsidP="00500337">
            <w:pPr>
              <w:ind w:left="0" w:right="0"/>
            </w:pPr>
            <w:r>
              <w:t xml:space="preserve">Completion of administrative activities and registration on </w:t>
            </w:r>
            <w:r w:rsidR="00006FAB">
              <w:t xml:space="preserve">the </w:t>
            </w:r>
            <w:r>
              <w:t>ARTG</w:t>
            </w:r>
          </w:p>
        </w:tc>
        <w:tc>
          <w:tcPr>
            <w:tcW w:w="2545" w:type="dxa"/>
          </w:tcPr>
          <w:p w14:paraId="7CDD0D8B" w14:textId="77777777" w:rsidR="00500337" w:rsidRDefault="00C7357C" w:rsidP="00500337">
            <w:pPr>
              <w:ind w:left="0" w:right="0"/>
            </w:pPr>
            <w:r>
              <w:t>22 April 2021</w:t>
            </w:r>
          </w:p>
        </w:tc>
      </w:tr>
      <w:tr w:rsidR="00500337" w14:paraId="629370FD" w14:textId="77777777" w:rsidTr="00FF1E0D">
        <w:tc>
          <w:tcPr>
            <w:tcW w:w="5949" w:type="dxa"/>
          </w:tcPr>
          <w:p w14:paraId="6BE69434" w14:textId="77777777" w:rsidR="00500337" w:rsidRDefault="00500337" w:rsidP="00500337">
            <w:pPr>
              <w:ind w:left="0" w:right="0"/>
            </w:pPr>
            <w:r>
              <w:t>Number of working days from submission dossier acceptance to registration decision*</w:t>
            </w:r>
          </w:p>
        </w:tc>
        <w:tc>
          <w:tcPr>
            <w:tcW w:w="2545" w:type="dxa"/>
          </w:tcPr>
          <w:p w14:paraId="07D07133" w14:textId="77777777" w:rsidR="00500337" w:rsidRDefault="00C7357C" w:rsidP="00500337">
            <w:pPr>
              <w:ind w:left="0" w:right="0"/>
            </w:pPr>
            <w:r>
              <w:t>193</w:t>
            </w:r>
          </w:p>
        </w:tc>
      </w:tr>
    </w:tbl>
    <w:p w14:paraId="4D629458" w14:textId="77777777" w:rsidR="00500337" w:rsidRDefault="00500337" w:rsidP="00500337">
      <w:pPr>
        <w:pStyle w:val="TableDescription"/>
      </w:pPr>
      <w:r>
        <w:t>*</w:t>
      </w:r>
      <w:r w:rsidR="006603BC" w:rsidRPr="006603BC">
        <w:t>Statutory timeframe for standard applications is 255 working days</w:t>
      </w:r>
    </w:p>
    <w:p w14:paraId="59E1C62A" w14:textId="77777777" w:rsidR="008E7846" w:rsidRPr="00792A32" w:rsidRDefault="00456765" w:rsidP="008E7846">
      <w:pPr>
        <w:pStyle w:val="Heading2"/>
      </w:pPr>
      <w:bookmarkStart w:id="30" w:name="_Toc196046504"/>
      <w:bookmarkStart w:id="31" w:name="_Toc247691527"/>
      <w:bookmarkStart w:id="32" w:name="_Toc314842510"/>
      <w:bookmarkStart w:id="33" w:name="_Toc72489977"/>
      <w:bookmarkStart w:id="34" w:name="_Toc163441390"/>
      <w:bookmarkEnd w:id="1"/>
      <w:bookmarkEnd w:id="26"/>
      <w:bookmarkEnd w:id="27"/>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30"/>
      <w:bookmarkEnd w:id="31"/>
      <w:bookmarkEnd w:id="32"/>
      <w:bookmarkEnd w:id="33"/>
    </w:p>
    <w:p w14:paraId="457C1D10" w14:textId="77777777" w:rsidR="008E7846" w:rsidRDefault="00006FAB" w:rsidP="006928C7">
      <w:bookmarkStart w:id="35" w:name="_Toc247691528"/>
      <w:r>
        <w:t>The submission was summarised in the following Delegate’</w:t>
      </w:r>
      <w:r w:rsidR="006928C7">
        <w:t>s overview and recommendations</w:t>
      </w:r>
      <w:r>
        <w:t>.</w:t>
      </w:r>
    </w:p>
    <w:p w14:paraId="4573C68E" w14:textId="77777777" w:rsidR="008E7846" w:rsidRDefault="008E7846" w:rsidP="008E7846">
      <w:pPr>
        <w:pStyle w:val="Heading3"/>
      </w:pPr>
      <w:bookmarkStart w:id="36" w:name="_Toc314842511"/>
      <w:bookmarkStart w:id="37" w:name="_Toc72489978"/>
      <w:r>
        <w:t>Quality</w:t>
      </w:r>
      <w:bookmarkEnd w:id="35"/>
      <w:bookmarkEnd w:id="36"/>
      <w:bookmarkEnd w:id="37"/>
    </w:p>
    <w:p w14:paraId="059503F7" w14:textId="77777777" w:rsidR="00316818" w:rsidRDefault="00316818" w:rsidP="00316818">
      <w:bookmarkStart w:id="38" w:name="_Toc314842512"/>
      <w:r w:rsidRPr="00316818">
        <w:t>The application and the supporting data relating to the composition, development, manufacture, quality control and stability of the product have been assessed and checked for compliance, as applicable, with Australian legislation and requirements for new medicines and in accordance with pharmacopoeial standards and the technical guidelines adopted by the TGA.</w:t>
      </w:r>
      <w:r>
        <w:t xml:space="preserve"> The quality evaluator has recommended approval to marketing to </w:t>
      </w:r>
      <w:proofErr w:type="spellStart"/>
      <w:r>
        <w:t>trabectedin</w:t>
      </w:r>
      <w:proofErr w:type="spellEnd"/>
      <w:r>
        <w:t>.</w:t>
      </w:r>
    </w:p>
    <w:p w14:paraId="40C5CE0E" w14:textId="711BB146" w:rsidR="00316818" w:rsidRDefault="00316818" w:rsidP="00316818">
      <w:proofErr w:type="spellStart"/>
      <w:r w:rsidRPr="00316818">
        <w:t>Trabectedin</w:t>
      </w:r>
      <w:proofErr w:type="spellEnd"/>
      <w:r w:rsidRPr="00316818">
        <w:t xml:space="preserve"> i</w:t>
      </w:r>
      <w:r w:rsidR="00234535">
        <w:t>s composed of three</w:t>
      </w:r>
      <w:r w:rsidRPr="00316818">
        <w:t xml:space="preserve"> </w:t>
      </w:r>
      <w:proofErr w:type="spellStart"/>
      <w:r w:rsidRPr="00316818">
        <w:t>te</w:t>
      </w:r>
      <w:r w:rsidR="00234535">
        <w:t>trahydroisoquinoline</w:t>
      </w:r>
      <w:proofErr w:type="spellEnd"/>
      <w:r w:rsidR="00234535">
        <w:t xml:space="preserve"> moieties, eight rings including one ten-</w:t>
      </w:r>
      <w:r w:rsidRPr="00316818">
        <w:t>membered heterocycle lactone bridge ring containing a cysteine</w:t>
      </w:r>
      <w:r w:rsidR="00234535">
        <w:t xml:space="preserve"> residue and seven</w:t>
      </w:r>
      <w:r>
        <w:t xml:space="preserve"> chiral centres. </w:t>
      </w:r>
      <w:r w:rsidRPr="00316818">
        <w:t xml:space="preserve">The synthetic </w:t>
      </w:r>
      <w:proofErr w:type="spellStart"/>
      <w:r w:rsidRPr="00316818">
        <w:t>trabectedin</w:t>
      </w:r>
      <w:proofErr w:type="spellEnd"/>
      <w:r w:rsidRPr="00316818">
        <w:t xml:space="preserve"> used in the proposed product is a single enantiom</w:t>
      </w:r>
      <w:r>
        <w:t>er (</w:t>
      </w:r>
      <w:r w:rsidR="003D2ACE">
        <w:t>s</w:t>
      </w:r>
      <w:r>
        <w:t xml:space="preserve">ee </w:t>
      </w:r>
      <w:r>
        <w:fldChar w:fldCharType="begin"/>
      </w:r>
      <w:r>
        <w:instrText xml:space="preserve"> REF _Ref71096152 \h </w:instrText>
      </w:r>
      <w:r>
        <w:fldChar w:fldCharType="separate"/>
      </w:r>
      <w:r w:rsidR="0071409D" w:rsidRPr="00316818">
        <w:t xml:space="preserve">Figure </w:t>
      </w:r>
      <w:r w:rsidR="0071409D">
        <w:rPr>
          <w:noProof/>
        </w:rPr>
        <w:t>1</w:t>
      </w:r>
      <w:r>
        <w:fldChar w:fldCharType="end"/>
      </w:r>
      <w:r>
        <w:t xml:space="preserve">). </w:t>
      </w:r>
      <w:r w:rsidRPr="00316818">
        <w:t>The structure is well characterised.</w:t>
      </w:r>
    </w:p>
    <w:p w14:paraId="7F7ED92E" w14:textId="5460EFDE" w:rsidR="00316818" w:rsidRDefault="00316818" w:rsidP="00316818">
      <w:pPr>
        <w:pStyle w:val="TableTitle"/>
      </w:pPr>
      <w:bookmarkStart w:id="39" w:name="_Ref71096152"/>
      <w:r w:rsidRPr="00316818">
        <w:t xml:space="preserve">Figure </w:t>
      </w:r>
      <w:fldSimple w:instr=" SEQ Figure \* ARABIC ">
        <w:r w:rsidR="0071409D">
          <w:rPr>
            <w:noProof/>
          </w:rPr>
          <w:t>1</w:t>
        </w:r>
      </w:fldSimple>
      <w:bookmarkEnd w:id="39"/>
      <w:r>
        <w:t xml:space="preserve">: Chemical structure of </w:t>
      </w:r>
      <w:proofErr w:type="spellStart"/>
      <w:r>
        <w:t>trabectedin</w:t>
      </w:r>
      <w:proofErr w:type="spellEnd"/>
    </w:p>
    <w:p w14:paraId="405EC1B5" w14:textId="77777777" w:rsidR="00316818" w:rsidRDefault="00316818" w:rsidP="00316818">
      <w:pPr>
        <w:rPr>
          <w:b/>
          <w:bCs/>
        </w:rPr>
      </w:pPr>
      <w:r>
        <w:rPr>
          <w:noProof/>
          <w:lang w:eastAsia="en-AU"/>
        </w:rPr>
        <w:drawing>
          <wp:inline distT="0" distB="0" distL="0" distR="0" wp14:anchorId="19C25258" wp14:editId="7C175FD2">
            <wp:extent cx="2440985" cy="2123322"/>
            <wp:effectExtent l="0" t="0" r="0" b="0"/>
            <wp:docPr id="24" name="Picture 24" descr="Figure 1: Chemical structure of trabect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74294" cy="2152296"/>
                    </a:xfrm>
                    <a:prstGeom prst="rect">
                      <a:avLst/>
                    </a:prstGeom>
                  </pic:spPr>
                </pic:pic>
              </a:graphicData>
            </a:graphic>
          </wp:inline>
        </w:drawing>
      </w:r>
    </w:p>
    <w:p w14:paraId="0E3A0A4F" w14:textId="77777777" w:rsidR="008E7846" w:rsidRDefault="008E7846" w:rsidP="008E7846">
      <w:pPr>
        <w:pStyle w:val="Heading3"/>
      </w:pPr>
      <w:bookmarkStart w:id="40" w:name="_Toc72489979"/>
      <w:r>
        <w:t>Nonclinical</w:t>
      </w:r>
      <w:bookmarkEnd w:id="38"/>
      <w:bookmarkEnd w:id="40"/>
    </w:p>
    <w:p w14:paraId="63AA2C19" w14:textId="77777777" w:rsidR="00193572" w:rsidRDefault="00193572" w:rsidP="00193572">
      <w:proofErr w:type="spellStart"/>
      <w:r>
        <w:t>Trabectedin</w:t>
      </w:r>
      <w:proofErr w:type="spellEnd"/>
      <w:r>
        <w:t xml:space="preserve"> was shown to be active against </w:t>
      </w:r>
      <w:r w:rsidR="00A3301D">
        <w:t>STS</w:t>
      </w:r>
      <w:r>
        <w:t xml:space="preserve"> cells including </w:t>
      </w:r>
      <w:proofErr w:type="spellStart"/>
      <w:r>
        <w:t>liposarcoma</w:t>
      </w:r>
      <w:proofErr w:type="spellEnd"/>
      <w:r>
        <w:t xml:space="preserve"> and </w:t>
      </w:r>
      <w:proofErr w:type="spellStart"/>
      <w:r>
        <w:t>leiomyosarcoma</w:t>
      </w:r>
      <w:proofErr w:type="spellEnd"/>
      <w:r>
        <w:t xml:space="preserve"> </w:t>
      </w:r>
      <w:r w:rsidRPr="00193572">
        <w:rPr>
          <w:i/>
        </w:rPr>
        <w:t>in vitro</w:t>
      </w:r>
      <w:r>
        <w:t xml:space="preserve"> and various sarcoma xenografts </w:t>
      </w:r>
      <w:r w:rsidRPr="00193572">
        <w:rPr>
          <w:i/>
        </w:rPr>
        <w:t>in vivo</w:t>
      </w:r>
      <w:r>
        <w:t>, although this was not comprehensively investigated and concentrations or doses required for appreciable activity were relatively high.</w:t>
      </w:r>
    </w:p>
    <w:p w14:paraId="126AAC27" w14:textId="57F57DC5" w:rsidR="00193572" w:rsidRDefault="00193572" w:rsidP="00193572">
      <w:r>
        <w:t xml:space="preserve">Doses that could be used in the toxicity studies were limited by excessive toxicity and mortalities, and drug exposures based on </w:t>
      </w:r>
      <w:r w:rsidR="003D2ACE">
        <w:t xml:space="preserve">the </w:t>
      </w:r>
      <w:r>
        <w:t xml:space="preserve">area under </w:t>
      </w:r>
      <w:r w:rsidR="003D2ACE">
        <w:t xml:space="preserve">the time </w:t>
      </w:r>
      <w:proofErr w:type="spellStart"/>
      <w:r w:rsidR="003D2ACE">
        <w:t>versus</w:t>
      </w:r>
      <w:r>
        <w:t>concentration</w:t>
      </w:r>
      <w:proofErr w:type="spellEnd"/>
      <w:r>
        <w:t xml:space="preserve"> curve (AUC) </w:t>
      </w:r>
      <w:r w:rsidR="003D2ACE">
        <w:t xml:space="preserve">in plasma </w:t>
      </w:r>
      <w:r>
        <w:t>were generally below that expected during therapy with the recommended dose. This is, however, often the case with cytotoxic anti-neoplastic drugs and should not preclude approval of registratio</w:t>
      </w:r>
      <w:r w:rsidR="00EC3076">
        <w:t xml:space="preserve">n. Although individual repeated </w:t>
      </w:r>
      <w:r>
        <w:t xml:space="preserve">dose studies in </w:t>
      </w:r>
      <w:proofErr w:type="spellStart"/>
      <w:r>
        <w:t>cynomolgus</w:t>
      </w:r>
      <w:proofErr w:type="spellEnd"/>
      <w:r>
        <w:t xml:space="preserve"> monkeys were not ideal, taken together they were adequate to indicate potential tox</w:t>
      </w:r>
      <w:r w:rsidR="00EC3076">
        <w:t xml:space="preserve">icity in this species. Results </w:t>
      </w:r>
      <w:r>
        <w:t xml:space="preserve">combined with those in rats, revealed major toxicities occurred in the liver, bone marrow, </w:t>
      </w:r>
      <w:r w:rsidR="00EC3076">
        <w:t>gastrointestinal (</w:t>
      </w:r>
      <w:r>
        <w:t>GI</w:t>
      </w:r>
      <w:r w:rsidR="00EC3076">
        <w:t xml:space="preserve">) </w:t>
      </w:r>
      <w:r>
        <w:t>tract and infusion site.</w:t>
      </w:r>
    </w:p>
    <w:p w14:paraId="215B0B51" w14:textId="77777777" w:rsidR="00193572" w:rsidRDefault="00EC3076" w:rsidP="00193572">
      <w:r>
        <w:t xml:space="preserve">Except for the GI </w:t>
      </w:r>
      <w:r w:rsidR="00193572">
        <w:t>tract, the above toxicities are specific</w:t>
      </w:r>
      <w:r>
        <w:t>ally mentioned in the proposed Product I</w:t>
      </w:r>
      <w:r w:rsidR="00193572">
        <w:t>nformation</w:t>
      </w:r>
      <w:r>
        <w:t xml:space="preserve"> (PI)</w:t>
      </w:r>
      <w:r w:rsidR="00193572">
        <w:t xml:space="preserve"> and the extent to which these are acceptable given the proposed indications will depend on evaluation of the clinical data and their inclusion in a proposed risk management plan.</w:t>
      </w:r>
    </w:p>
    <w:p w14:paraId="3CCDF047" w14:textId="77777777" w:rsidR="00193572" w:rsidRDefault="00193572" w:rsidP="00193572">
      <w:r>
        <w:t>Renal toxicity was p</w:t>
      </w:r>
      <w:r w:rsidR="00EC3076">
        <w:t xml:space="preserve">rominent in </w:t>
      </w:r>
      <w:proofErr w:type="spellStart"/>
      <w:r w:rsidR="00EC3076">
        <w:t>cynomolgus</w:t>
      </w:r>
      <w:proofErr w:type="spellEnd"/>
      <w:r w:rsidR="00EC3076">
        <w:t xml:space="preserve"> monkeys </w:t>
      </w:r>
      <w:r>
        <w:t>but not rats</w:t>
      </w:r>
      <w:r w:rsidR="00EC3076">
        <w:t>,</w:t>
      </w:r>
      <w:r>
        <w:t xml:space="preserve"> and was considered by the </w:t>
      </w:r>
      <w:r w:rsidR="00EC3076">
        <w:t>investigators</w:t>
      </w:r>
      <w:r>
        <w:t xml:space="preserve"> to be secondary to infusion site reactions which were often marked and involved surrounding tissues. </w:t>
      </w:r>
      <w:r w:rsidR="00EC3076">
        <w:t>W</w:t>
      </w:r>
      <w:r>
        <w:t>hile this is a probable cause, it would be difficult to exclude a pote</w:t>
      </w:r>
      <w:r w:rsidR="00EC3076">
        <w:t>ntial for direct nephrotoxicity. T</w:t>
      </w:r>
      <w:r>
        <w:t xml:space="preserve">his should receive attention by the clinical evaluator. This also applies to retinal oedema, which was noted at ophthalmic examination in one </w:t>
      </w:r>
      <w:proofErr w:type="spellStart"/>
      <w:r>
        <w:t>cyn</w:t>
      </w:r>
      <w:r w:rsidR="00234535">
        <w:t>omolgus</w:t>
      </w:r>
      <w:proofErr w:type="spellEnd"/>
      <w:r w:rsidR="00234535">
        <w:t xml:space="preserve"> monkey study following six to eight</w:t>
      </w:r>
      <w:r>
        <w:t xml:space="preserve"> cycles of treatment. While this finding appeared to be incidental or secondary to other toxicity, the ophthalmologist noted that it may possibly represent a sign of retinal toxicity, although there were no corresponding histological findings. </w:t>
      </w:r>
      <w:r w:rsidR="00EC3076">
        <w:t>While</w:t>
      </w:r>
      <w:r>
        <w:t xml:space="preserve"> both these observations are included in the proposed risk management plan, a review of clinical and post-marketing data reported no relevant clinical findings for retinal toxicity.</w:t>
      </w:r>
    </w:p>
    <w:p w14:paraId="4387A311" w14:textId="77777777" w:rsidR="00193572" w:rsidRPr="00193572" w:rsidRDefault="00193572" w:rsidP="00193572">
      <w:r>
        <w:t>Overall, there are no nonclinical objections to this application for registration, provided adverse effects in patients are manageable.</w:t>
      </w:r>
    </w:p>
    <w:p w14:paraId="4587A3C2" w14:textId="77777777" w:rsidR="008E7846" w:rsidRDefault="008E7846" w:rsidP="008E7846">
      <w:pPr>
        <w:pStyle w:val="Heading3"/>
      </w:pPr>
      <w:bookmarkStart w:id="41" w:name="_Toc247691530"/>
      <w:bookmarkStart w:id="42" w:name="_Toc314842513"/>
      <w:bookmarkStart w:id="43" w:name="_Toc72489980"/>
      <w:r>
        <w:t>Clinical</w:t>
      </w:r>
      <w:bookmarkEnd w:id="41"/>
      <w:bookmarkEnd w:id="42"/>
      <w:bookmarkEnd w:id="43"/>
    </w:p>
    <w:p w14:paraId="7FA2287B" w14:textId="77777777" w:rsidR="00CF5CBF" w:rsidRDefault="00CF5CBF" w:rsidP="00CF5CBF">
      <w:bookmarkStart w:id="44" w:name="_Toc314842514"/>
      <w:r>
        <w:t>The clinical dossier consisted of</w:t>
      </w:r>
      <w:r w:rsidR="003D2ACE">
        <w:t xml:space="preserve"> the following:</w:t>
      </w:r>
    </w:p>
    <w:p w14:paraId="0AF8032D" w14:textId="77777777" w:rsidR="00CF5CBF" w:rsidRPr="00CF5CBF" w:rsidRDefault="002351CE" w:rsidP="00CF5CBF">
      <w:pPr>
        <w:pStyle w:val="ListBullet"/>
      </w:pPr>
      <w:r>
        <w:t>o</w:t>
      </w:r>
      <w:r w:rsidR="00CF5CBF">
        <w:t>ne pivotal study (Study ET743-SAR-3007), Phase III</w:t>
      </w:r>
      <w:r w:rsidR="00EC3076">
        <w:t xml:space="preserve">, open </w:t>
      </w:r>
      <w:r w:rsidR="00CF5CBF" w:rsidRPr="00CF5CBF">
        <w:t xml:space="preserve">label, randomised, controlled trial comparing </w:t>
      </w:r>
      <w:proofErr w:type="spellStart"/>
      <w:r w:rsidR="00CF5CBF" w:rsidRPr="00CF5CBF">
        <w:t>trabectedin</w:t>
      </w:r>
      <w:proofErr w:type="spellEnd"/>
      <w:r w:rsidR="00CF5CBF" w:rsidRPr="00CF5CBF">
        <w:t xml:space="preserve"> with </w:t>
      </w:r>
      <w:proofErr w:type="spellStart"/>
      <w:r w:rsidR="00CF5CBF" w:rsidRPr="00CF5CBF">
        <w:t>dacarbaz</w:t>
      </w:r>
      <w:r>
        <w:t>ine</w:t>
      </w:r>
      <w:proofErr w:type="spellEnd"/>
      <w:r>
        <w:t xml:space="preserve"> in subjects with LMS or LPS</w:t>
      </w:r>
    </w:p>
    <w:p w14:paraId="679E9F00" w14:textId="77777777" w:rsidR="00CF5CBF" w:rsidRDefault="002351CE" w:rsidP="00CF5CBF">
      <w:pPr>
        <w:pStyle w:val="ListBullet"/>
      </w:pPr>
      <w:r>
        <w:t>twelve</w:t>
      </w:r>
      <w:r w:rsidR="00CF5CBF">
        <w:t xml:space="preserve"> Phase II studies in subjects with STS</w:t>
      </w:r>
    </w:p>
    <w:p w14:paraId="4B46B20B" w14:textId="77777777" w:rsidR="002351CE" w:rsidRDefault="002351CE" w:rsidP="00CF5CBF">
      <w:pPr>
        <w:pStyle w:val="ListBullet"/>
      </w:pPr>
      <w:r>
        <w:t>one Phase III studies in subjects with other oncology indications</w:t>
      </w:r>
    </w:p>
    <w:p w14:paraId="7229312D" w14:textId="77777777" w:rsidR="00CF5CBF" w:rsidRDefault="002351CE" w:rsidP="00CF5CBF">
      <w:pPr>
        <w:pStyle w:val="ListBullet"/>
      </w:pPr>
      <w:r>
        <w:t>nineteen</w:t>
      </w:r>
      <w:r w:rsidR="00CF5CBF">
        <w:t xml:space="preserve"> Phase II studies in subjects </w:t>
      </w:r>
      <w:r>
        <w:t>with other oncology indications</w:t>
      </w:r>
    </w:p>
    <w:p w14:paraId="31507BBE" w14:textId="77777777" w:rsidR="00CF5CBF" w:rsidRDefault="002351CE" w:rsidP="00CF5CBF">
      <w:pPr>
        <w:pStyle w:val="ListBullet"/>
      </w:pPr>
      <w:r>
        <w:t>fifteen pharmacokinetics (PK) studies and one</w:t>
      </w:r>
      <w:r w:rsidR="00CF5CBF">
        <w:t xml:space="preserve"> </w:t>
      </w:r>
      <w:r>
        <w:t>pharmacodynamics (</w:t>
      </w:r>
      <w:r w:rsidR="00CF5CBF">
        <w:t>PD</w:t>
      </w:r>
      <w:r>
        <w:t>)</w:t>
      </w:r>
      <w:r w:rsidR="00CF5CBF">
        <w:t xml:space="preserve"> study</w:t>
      </w:r>
    </w:p>
    <w:p w14:paraId="77A7ED2E" w14:textId="77777777" w:rsidR="00CF5CBF" w:rsidRDefault="002351CE" w:rsidP="00CF5CBF">
      <w:pPr>
        <w:pStyle w:val="ListBullet"/>
      </w:pPr>
      <w:r>
        <w:t>one</w:t>
      </w:r>
      <w:r w:rsidR="00CF5CBF">
        <w:t xml:space="preserve"> pooled PK analysis in children</w:t>
      </w:r>
    </w:p>
    <w:p w14:paraId="0042F0A8" w14:textId="77777777" w:rsidR="00CF5CBF" w:rsidRDefault="002351CE" w:rsidP="00CF5CBF">
      <w:pPr>
        <w:pStyle w:val="ListBullet"/>
      </w:pPr>
      <w:r>
        <w:t>eleven</w:t>
      </w:r>
      <w:r w:rsidR="00CF5CBF">
        <w:t xml:space="preserve"> Phase I dose finding studies</w:t>
      </w:r>
    </w:p>
    <w:p w14:paraId="231702B9" w14:textId="77777777" w:rsidR="00CF5CBF" w:rsidRDefault="002351CE" w:rsidP="00CF5CBF">
      <w:pPr>
        <w:pStyle w:val="ListBullet"/>
      </w:pPr>
      <w:r>
        <w:t>three</w:t>
      </w:r>
      <w:r w:rsidR="00CF5CBF">
        <w:t xml:space="preserve"> population PK studies</w:t>
      </w:r>
    </w:p>
    <w:p w14:paraId="44D034B2" w14:textId="77777777" w:rsidR="00CF5CBF" w:rsidRDefault="002351CE" w:rsidP="00CF5CBF">
      <w:pPr>
        <w:pStyle w:val="ListBullet"/>
      </w:pPr>
      <w:r>
        <w:t>two</w:t>
      </w:r>
      <w:r w:rsidR="00CF5CBF">
        <w:t xml:space="preserve"> population PK/PD studies</w:t>
      </w:r>
    </w:p>
    <w:p w14:paraId="02826F74" w14:textId="77777777" w:rsidR="00CF5CBF" w:rsidRDefault="002351CE" w:rsidP="00CF5CBF">
      <w:pPr>
        <w:pStyle w:val="ListBullet"/>
      </w:pPr>
      <w:r>
        <w:t>v</w:t>
      </w:r>
      <w:r w:rsidR="00CF5CBF">
        <w:t>arious reports on post-marketing safety data</w:t>
      </w:r>
    </w:p>
    <w:p w14:paraId="60FA5FFF" w14:textId="4CAAEAE1" w:rsidR="00CF5CBF" w:rsidRPr="00C36CC9" w:rsidRDefault="002351CE" w:rsidP="00CF5CBF">
      <w:pPr>
        <w:pStyle w:val="ListBullet"/>
      </w:pPr>
      <w:r>
        <w:t>an</w:t>
      </w:r>
      <w:r w:rsidR="00CF5CBF" w:rsidRPr="00C36CC9">
        <w:t xml:space="preserve"> integrated summary of safety data which provided tabulations of safety data from </w:t>
      </w:r>
      <w:r w:rsidR="00CF5CBF">
        <w:t>Phase II and Phase III</w:t>
      </w:r>
      <w:r w:rsidR="00CF5CBF" w:rsidRPr="00C36CC9">
        <w:t xml:space="preserve"> studies</w:t>
      </w:r>
    </w:p>
    <w:p w14:paraId="0041B5F3" w14:textId="77777777" w:rsidR="00CF5CBF" w:rsidRDefault="002351CE" w:rsidP="00CF5CBF">
      <w:pPr>
        <w:pStyle w:val="ListBullet"/>
      </w:pPr>
      <w:r>
        <w:t>l</w:t>
      </w:r>
      <w:r w:rsidR="00CF5CBF">
        <w:t>iterature references</w:t>
      </w:r>
      <w:r>
        <w:t>.</w:t>
      </w:r>
    </w:p>
    <w:p w14:paraId="73EDDC81" w14:textId="77777777" w:rsidR="002351CE" w:rsidRDefault="002351CE" w:rsidP="002351CE">
      <w:pPr>
        <w:pStyle w:val="Heading4"/>
      </w:pPr>
      <w:r>
        <w:t>Pharmacology</w:t>
      </w:r>
    </w:p>
    <w:p w14:paraId="073127AC" w14:textId="77777777" w:rsidR="002351CE" w:rsidRDefault="002351CE" w:rsidP="002351CE">
      <w:proofErr w:type="spellStart"/>
      <w:r>
        <w:t>Trabectedin</w:t>
      </w:r>
      <w:proofErr w:type="spellEnd"/>
      <w:r>
        <w:t xml:space="preserve"> is an alkylating drug that binds guanine residues in the minor groove of </w:t>
      </w:r>
      <w:r w:rsidR="00EC3076">
        <w:t>d</w:t>
      </w:r>
      <w:r w:rsidR="00EC3076" w:rsidRPr="00EC3076">
        <w:t xml:space="preserve">eoxyribonucleic acid </w:t>
      </w:r>
      <w:r w:rsidR="00EC3076">
        <w:t>(</w:t>
      </w:r>
      <w:r>
        <w:t>DNA</w:t>
      </w:r>
      <w:r w:rsidR="00EC3076">
        <w:t>)</w:t>
      </w:r>
      <w:r>
        <w:t>, forming adducts and resulting in a bending of the DNA helix towards the major groove. Adduct formation triggers a cascade of events that can affect the subsequent activity of DNA binding proteins, including some transcription factors, and DNA repair pathways, resulting in perturbation of the cell cycle and eventual cell death.</w:t>
      </w:r>
    </w:p>
    <w:p w14:paraId="03CB9514" w14:textId="77777777" w:rsidR="002351CE" w:rsidRDefault="002351CE" w:rsidP="002351CE">
      <w:pPr>
        <w:pStyle w:val="Heading5"/>
      </w:pPr>
      <w:r>
        <w:t>Pharmacokinetics</w:t>
      </w:r>
    </w:p>
    <w:p w14:paraId="3422DE75" w14:textId="41A7467B" w:rsidR="002351CE" w:rsidRDefault="002351CE" w:rsidP="002351CE">
      <w:r>
        <w:t xml:space="preserve">The pharmacokinetics of </w:t>
      </w:r>
      <w:proofErr w:type="spellStart"/>
      <w:r>
        <w:t>trabectedin</w:t>
      </w:r>
      <w:proofErr w:type="spellEnd"/>
      <w:r>
        <w:t xml:space="preserve"> is characterised by a rapid decline phase at the end of the infusion and slower exponential phases. Population pharmacokinetic analyses suggest that the pharmaco</w:t>
      </w:r>
      <w:r w:rsidR="00234535">
        <w:t xml:space="preserve">kinetics of </w:t>
      </w:r>
      <w:proofErr w:type="spellStart"/>
      <w:r w:rsidR="00234535">
        <w:t>trabectedin</w:t>
      </w:r>
      <w:proofErr w:type="spellEnd"/>
      <w:r w:rsidR="00234535">
        <w:t xml:space="preserve"> is dose </w:t>
      </w:r>
      <w:r>
        <w:t>proportional (over</w:t>
      </w:r>
      <w:r w:rsidR="00416162">
        <w:t xml:space="preserve"> the dose range of 0.024 to 1.8 </w:t>
      </w:r>
      <w:r>
        <w:t>mg/m</w:t>
      </w:r>
      <w:r w:rsidRPr="002351CE">
        <w:rPr>
          <w:vertAlign w:val="superscript"/>
        </w:rPr>
        <w:t>2</w:t>
      </w:r>
      <w:r w:rsidR="00EC3076">
        <w:t xml:space="preserve">) and exposure is time </w:t>
      </w:r>
      <w:r>
        <w:t xml:space="preserve">independent. No accumulation of </w:t>
      </w:r>
      <w:proofErr w:type="spellStart"/>
      <w:r>
        <w:t>trabectedin</w:t>
      </w:r>
      <w:proofErr w:type="spellEnd"/>
      <w:r>
        <w:t xml:space="preserve"> in plasma is observed upon </w:t>
      </w:r>
      <w:r w:rsidR="00EC3076">
        <w:t xml:space="preserve">repeated administrations every </w:t>
      </w:r>
      <w:r w:rsidR="00742AD5">
        <w:t>three</w:t>
      </w:r>
      <w:r>
        <w:t xml:space="preserve"> weeks.</w:t>
      </w:r>
    </w:p>
    <w:p w14:paraId="38BCFF34" w14:textId="77777777" w:rsidR="002351CE" w:rsidRDefault="002351CE" w:rsidP="002351CE">
      <w:pPr>
        <w:pStyle w:val="Heading5"/>
      </w:pPr>
      <w:r>
        <w:t>Distribution</w:t>
      </w:r>
    </w:p>
    <w:p w14:paraId="4597396B" w14:textId="4504C9D0" w:rsidR="002351CE" w:rsidRDefault="002351CE" w:rsidP="002351CE">
      <w:r>
        <w:t xml:space="preserve">Binding of </w:t>
      </w:r>
      <w:proofErr w:type="spellStart"/>
      <w:r>
        <w:t>trabectedin</w:t>
      </w:r>
      <w:proofErr w:type="spellEnd"/>
      <w:r>
        <w:t xml:space="preserve"> to human plasma proteins was approximately 97%, independent of </w:t>
      </w:r>
      <w:proofErr w:type="spellStart"/>
      <w:r>
        <w:t>trabectedin</w:t>
      </w:r>
      <w:proofErr w:type="spellEnd"/>
      <w:r>
        <w:t xml:space="preserve"> concentratio</w:t>
      </w:r>
      <w:r w:rsidR="00416162">
        <w:t>ns ranging from 10 ng/mL to 100 </w:t>
      </w:r>
      <w:r>
        <w:t>ng/</w:t>
      </w:r>
      <w:proofErr w:type="spellStart"/>
      <w:r>
        <w:t>mL.</w:t>
      </w:r>
      <w:proofErr w:type="spellEnd"/>
      <w:r>
        <w:t xml:space="preserve"> Steady state volume of distributi</w:t>
      </w:r>
      <w:r w:rsidR="00EC3076">
        <w:t xml:space="preserve">on of </w:t>
      </w:r>
      <w:proofErr w:type="spellStart"/>
      <w:r w:rsidR="00EC3076">
        <w:t>trabectedin</w:t>
      </w:r>
      <w:proofErr w:type="spellEnd"/>
      <w:r w:rsidR="00EC3076">
        <w:t xml:space="preserve"> exceeds 5000 </w:t>
      </w:r>
      <w:r w:rsidR="003D2ACE">
        <w:t>L</w:t>
      </w:r>
      <w:r>
        <w:t>.</w:t>
      </w:r>
    </w:p>
    <w:p w14:paraId="55829B4E" w14:textId="77777777" w:rsidR="002351CE" w:rsidRDefault="002351CE" w:rsidP="002351CE">
      <w:pPr>
        <w:pStyle w:val="Heading5"/>
      </w:pPr>
      <w:r>
        <w:t>Elimination</w:t>
      </w:r>
    </w:p>
    <w:p w14:paraId="0E8CEC96" w14:textId="77777777" w:rsidR="002351CE" w:rsidRDefault="002351CE" w:rsidP="002351CE">
      <w:r>
        <w:t xml:space="preserve">The estimated mean (% coefficient of variation) clearance of </w:t>
      </w:r>
      <w:proofErr w:type="spellStart"/>
      <w:r>
        <w:t>trabectedin</w:t>
      </w:r>
      <w:proofErr w:type="spellEnd"/>
      <w:r>
        <w:t xml:space="preserve"> is 31.5 L/hr (50%) and the terminal elimination half-life is approximately 175 hours.</w:t>
      </w:r>
    </w:p>
    <w:p w14:paraId="4F5CE386" w14:textId="77777777" w:rsidR="002351CE" w:rsidRDefault="002351CE" w:rsidP="002351CE">
      <w:pPr>
        <w:pStyle w:val="Heading5"/>
      </w:pPr>
      <w:r>
        <w:t>Metabolism</w:t>
      </w:r>
    </w:p>
    <w:p w14:paraId="39916BE3" w14:textId="77777777" w:rsidR="002351CE" w:rsidRDefault="002351CE" w:rsidP="002351CE">
      <w:r>
        <w:t xml:space="preserve">CYP3A is the predominant </w:t>
      </w:r>
      <w:r w:rsidR="00EC3076">
        <w:t>cytochrome P450 (</w:t>
      </w:r>
      <w:r>
        <w:t>CYP</w:t>
      </w:r>
      <w:r w:rsidR="00EC3076">
        <w:t>)</w:t>
      </w:r>
      <w:r>
        <w:t xml:space="preserve"> enzyme</w:t>
      </w:r>
      <w:r w:rsidR="00793F4E">
        <w:t>;</w:t>
      </w:r>
      <w:r w:rsidR="00793F4E">
        <w:rPr>
          <w:rStyle w:val="FootnoteReference"/>
        </w:rPr>
        <w:footnoteReference w:id="17"/>
      </w:r>
      <w:r>
        <w:t xml:space="preserve"> responsible for the hepatic metabolism of </w:t>
      </w:r>
      <w:proofErr w:type="spellStart"/>
      <w:r>
        <w:t>trabectedin</w:t>
      </w:r>
      <w:proofErr w:type="spellEnd"/>
      <w:r>
        <w:t xml:space="preserve">. </w:t>
      </w:r>
      <w:proofErr w:type="spellStart"/>
      <w:r>
        <w:t>Trabectedin</w:t>
      </w:r>
      <w:proofErr w:type="spellEnd"/>
      <w:r>
        <w:t xml:space="preserve"> was extensively metabolised with negligible unchanged drug in urine and faeces following administration of </w:t>
      </w:r>
      <w:proofErr w:type="spellStart"/>
      <w:r>
        <w:t>trabectedin</w:t>
      </w:r>
      <w:proofErr w:type="spellEnd"/>
      <w:r>
        <w:t xml:space="preserve"> to humans.</w:t>
      </w:r>
    </w:p>
    <w:p w14:paraId="1AE4C600" w14:textId="77777777" w:rsidR="002351CE" w:rsidRDefault="002351CE" w:rsidP="002351CE">
      <w:pPr>
        <w:pStyle w:val="Heading5"/>
      </w:pPr>
      <w:r>
        <w:t>Excretion</w:t>
      </w:r>
    </w:p>
    <w:p w14:paraId="558C9C01" w14:textId="77777777" w:rsidR="002351CE" w:rsidRDefault="002351CE" w:rsidP="002351CE">
      <w:r>
        <w:t>In patients with sol</w:t>
      </w:r>
      <w:r w:rsidR="00EC3076">
        <w:t>id tumours, following a three</w:t>
      </w:r>
      <w:r w:rsidR="00793F4E">
        <w:t xml:space="preserve"> hour or a 24 </w:t>
      </w:r>
      <w:r>
        <w:t xml:space="preserve">hour intravenous infusion of </w:t>
      </w:r>
      <w:r w:rsidR="003D2ACE">
        <w:t>[</w:t>
      </w:r>
      <w:r w:rsidRPr="00793F4E">
        <w:rPr>
          <w:vertAlign w:val="superscript"/>
        </w:rPr>
        <w:t>14</w:t>
      </w:r>
      <w:r>
        <w:t>C</w:t>
      </w:r>
      <w:r w:rsidR="003D2ACE">
        <w:t>]</w:t>
      </w:r>
      <w:r>
        <w:t>-labe</w:t>
      </w:r>
      <w:r w:rsidR="003D2ACE">
        <w:t>l</w:t>
      </w:r>
      <w:r>
        <w:t xml:space="preserve">led </w:t>
      </w:r>
      <w:proofErr w:type="spellStart"/>
      <w:r>
        <w:t>trabectedin</w:t>
      </w:r>
      <w:proofErr w:type="spellEnd"/>
      <w:r>
        <w:t>, 64% of the total administered radio</w:t>
      </w:r>
      <w:r w:rsidR="00EC3076">
        <w:t>active dose was recovered in 24 </w:t>
      </w:r>
      <w:r>
        <w:t>days, with 58% in faeces and 6% in urine.</w:t>
      </w:r>
    </w:p>
    <w:p w14:paraId="0E49C070" w14:textId="77777777" w:rsidR="00793F4E" w:rsidRDefault="00793F4E" w:rsidP="00793F4E">
      <w:pPr>
        <w:pStyle w:val="Heading4"/>
      </w:pPr>
      <w:r>
        <w:t>Efficacy</w:t>
      </w:r>
    </w:p>
    <w:p w14:paraId="3E6835A5" w14:textId="0ABCD5F2" w:rsidR="00793F4E" w:rsidRDefault="00793F4E" w:rsidP="00793F4E">
      <w:r>
        <w:t>The main evidence for efficacy comes from the Phase III Study ET743-SAR-3007. Study</w:t>
      </w:r>
      <w:r w:rsidR="003D2ACE">
        <w:t> </w:t>
      </w:r>
      <w:r>
        <w:t xml:space="preserve">ET743-SAR-3007 is a randomised (2:1), open label, active controlled trial comparing the safety and efficacy of </w:t>
      </w:r>
      <w:proofErr w:type="spellStart"/>
      <w:r>
        <w:t>trabectedin</w:t>
      </w:r>
      <w:proofErr w:type="spellEnd"/>
      <w:r>
        <w:t xml:space="preserve"> to </w:t>
      </w:r>
      <w:proofErr w:type="spellStart"/>
      <w:r>
        <w:t>dacarbazine</w:t>
      </w:r>
      <w:proofErr w:type="spellEnd"/>
      <w:r>
        <w:t xml:space="preserve"> in patients with unresectable or metastatic L-type sarcoma who had received prior </w:t>
      </w:r>
      <w:proofErr w:type="spellStart"/>
      <w:r>
        <w:t>anthracycline</w:t>
      </w:r>
      <w:proofErr w:type="spellEnd"/>
      <w:r w:rsidR="00EC3076">
        <w:t xml:space="preserve"> </w:t>
      </w:r>
      <w:r>
        <w:t>containing systemic therapy. Supportive evidence for efficacy in LMS and LPS comes from Study ET743-</w:t>
      </w:r>
      <w:r w:rsidR="00394D1E">
        <w:t> </w:t>
      </w:r>
      <w:r>
        <w:t>STS-</w:t>
      </w:r>
      <w:r w:rsidR="00394D1E">
        <w:t> </w:t>
      </w:r>
      <w:r>
        <w:t>201,</w:t>
      </w:r>
      <w:r w:rsidR="00EC3076">
        <w:t xml:space="preserve"> a</w:t>
      </w:r>
      <w:r>
        <w:t xml:space="preserve"> Phase II dose finding study.</w:t>
      </w:r>
    </w:p>
    <w:p w14:paraId="3EDED42E" w14:textId="52B20A9E" w:rsidR="00793F4E" w:rsidRDefault="00793F4E" w:rsidP="00793F4E">
      <w:r>
        <w:t xml:space="preserve">In Study ET743-SAR-3007, patients were randomised to </w:t>
      </w:r>
      <w:proofErr w:type="spellStart"/>
      <w:r>
        <w:t>trabectedin</w:t>
      </w:r>
      <w:proofErr w:type="spellEnd"/>
      <w:r>
        <w:t xml:space="preserve"> 1.5 mg/m</w:t>
      </w:r>
      <w:r w:rsidRPr="00793F4E">
        <w:rPr>
          <w:vertAlign w:val="superscript"/>
        </w:rPr>
        <w:t>2</w:t>
      </w:r>
      <w:r>
        <w:t xml:space="preserve"> as a 24</w:t>
      </w:r>
      <w:r w:rsidR="00035A39">
        <w:t> </w:t>
      </w:r>
      <w:r w:rsidR="00EC3076">
        <w:t>hour intravenous (IV</w:t>
      </w:r>
      <w:r>
        <w:t xml:space="preserve">) infusion once </w:t>
      </w:r>
      <w:r w:rsidR="009D3A23">
        <w:t>every 3 weeks</w:t>
      </w:r>
      <w:r w:rsidR="00035A39">
        <w:t xml:space="preserve"> or </w:t>
      </w:r>
      <w:proofErr w:type="spellStart"/>
      <w:r w:rsidR="00035A39">
        <w:t>dacarbazine</w:t>
      </w:r>
      <w:proofErr w:type="spellEnd"/>
      <w:r w:rsidR="00035A39">
        <w:t xml:space="preserve"> 1000 </w:t>
      </w:r>
      <w:r>
        <w:t>mg/m</w:t>
      </w:r>
      <w:r w:rsidRPr="00035A39">
        <w:rPr>
          <w:vertAlign w:val="superscript"/>
        </w:rPr>
        <w:t>2</w:t>
      </w:r>
      <w:r w:rsidR="00742AD5">
        <w:t xml:space="preserve"> as an IV</w:t>
      </w:r>
      <w:r w:rsidR="00416162">
        <w:t xml:space="preserve"> infusion (20 to 120 </w:t>
      </w:r>
      <w:r>
        <w:t xml:space="preserve">minutes) </w:t>
      </w:r>
      <w:r w:rsidR="00742AD5">
        <w:t xml:space="preserve">once </w:t>
      </w:r>
      <w:r w:rsidR="009D3A23">
        <w:t>every 3 weeks</w:t>
      </w:r>
      <w:r>
        <w:t xml:space="preserve">. All patients in the </w:t>
      </w:r>
      <w:proofErr w:type="spellStart"/>
      <w:r>
        <w:t>trabectedin</w:t>
      </w:r>
      <w:proofErr w:type="spellEnd"/>
      <w:r>
        <w:t xml:space="preserve"> arm received dexamethasone 20</w:t>
      </w:r>
      <w:r w:rsidR="00416162">
        <w:t> </w:t>
      </w:r>
      <w:r>
        <w:t>mg</w:t>
      </w:r>
      <w:r w:rsidR="00035A39">
        <w:t xml:space="preserve"> </w:t>
      </w:r>
      <w:r w:rsidR="00742AD5">
        <w:t>IV</w:t>
      </w:r>
      <w:r>
        <w:t xml:space="preserve"> bolus prior to each</w:t>
      </w:r>
      <w:r w:rsidR="00035A39">
        <w:t xml:space="preserve"> dose to mitigate the risks of G</w:t>
      </w:r>
      <w:r>
        <w:t xml:space="preserve">rade 3 and 4 toxicities, including hepatotoxicity. Patients in the </w:t>
      </w:r>
      <w:proofErr w:type="spellStart"/>
      <w:r>
        <w:t>dacarbazine</w:t>
      </w:r>
      <w:proofErr w:type="spellEnd"/>
      <w:r>
        <w:t xml:space="preserve"> arm were not offered </w:t>
      </w:r>
      <w:proofErr w:type="spellStart"/>
      <w:r>
        <w:t>trabectedin</w:t>
      </w:r>
      <w:proofErr w:type="spellEnd"/>
      <w:r>
        <w:t xml:space="preserve"> at the time of disease progression.</w:t>
      </w:r>
    </w:p>
    <w:p w14:paraId="057ECF5E" w14:textId="22CA5335" w:rsidR="00793F4E" w:rsidRDefault="00793F4E" w:rsidP="00793F4E">
      <w:r>
        <w:t>Randomisation was stratified by</w:t>
      </w:r>
      <w:r w:rsidR="003D2ACE">
        <w:t>:</w:t>
      </w:r>
    </w:p>
    <w:p w14:paraId="6CE5F6C7" w14:textId="64F4A09D" w:rsidR="00793F4E" w:rsidRDefault="00793F4E" w:rsidP="00CA40FF">
      <w:pPr>
        <w:pStyle w:val="ListBullet"/>
      </w:pPr>
      <w:r>
        <w:t>L-sarcoma subtype (</w:t>
      </w:r>
      <w:proofErr w:type="spellStart"/>
      <w:r>
        <w:t>l</w:t>
      </w:r>
      <w:r w:rsidR="00035A39">
        <w:t>iposarcoma</w:t>
      </w:r>
      <w:proofErr w:type="spellEnd"/>
      <w:r w:rsidR="00035A39">
        <w:t xml:space="preserve"> </w:t>
      </w:r>
      <w:r w:rsidR="003D2ACE">
        <w:t xml:space="preserve">(LPS) </w:t>
      </w:r>
      <w:r w:rsidR="00035A39">
        <w:t>v</w:t>
      </w:r>
      <w:r w:rsidR="00394D1E">
        <w:t>er</w:t>
      </w:r>
      <w:r w:rsidR="00035A39">
        <w:t>s</w:t>
      </w:r>
      <w:r w:rsidR="00394D1E">
        <w:t>us</w:t>
      </w:r>
      <w:r w:rsidR="00035A39">
        <w:t xml:space="preserve"> </w:t>
      </w:r>
      <w:proofErr w:type="spellStart"/>
      <w:r w:rsidR="003D2ACE">
        <w:t>L</w:t>
      </w:r>
      <w:r w:rsidR="00035A39">
        <w:t>eiomyosarcoma</w:t>
      </w:r>
      <w:proofErr w:type="spellEnd"/>
      <w:r w:rsidR="003D2ACE">
        <w:t xml:space="preserve"> (LMS)</w:t>
      </w:r>
      <w:r w:rsidR="00035A39">
        <w:t>)</w:t>
      </w:r>
      <w:r w:rsidR="003D2ACE">
        <w:t>;</w:t>
      </w:r>
    </w:p>
    <w:p w14:paraId="4D3921E2" w14:textId="4D79935F" w:rsidR="00793F4E" w:rsidRDefault="00793F4E" w:rsidP="00CA40FF">
      <w:pPr>
        <w:pStyle w:val="ListBullet"/>
      </w:pPr>
      <w:r>
        <w:t>Eastern Cooperative Oncology Group (ECOG) Pe</w:t>
      </w:r>
      <w:r w:rsidR="00742AD5">
        <w:t>rformance s</w:t>
      </w:r>
      <w:r w:rsidR="00035A39">
        <w:t>tatus</w:t>
      </w:r>
      <w:r w:rsidR="003D2ACE">
        <w:t xml:space="preserve"> (PS; 0 versus 1)</w:t>
      </w:r>
      <w:r w:rsidR="00CA40FF">
        <w:t>;</w:t>
      </w:r>
      <w:r w:rsidR="00CA40FF">
        <w:rPr>
          <w:rStyle w:val="FootnoteReference"/>
        </w:rPr>
        <w:footnoteReference w:id="18"/>
      </w:r>
    </w:p>
    <w:p w14:paraId="23D5C307" w14:textId="5F712205" w:rsidR="00793F4E" w:rsidRDefault="00793F4E" w:rsidP="00CA40FF">
      <w:pPr>
        <w:pStyle w:val="ListBullet"/>
      </w:pPr>
      <w:r>
        <w:t>number of prior ch</w:t>
      </w:r>
      <w:r w:rsidR="00035A39">
        <w:t>emotherapy regimens (1 versus ≥</w:t>
      </w:r>
      <w:r w:rsidR="00CA40FF">
        <w:t xml:space="preserve"> </w:t>
      </w:r>
      <w:r w:rsidR="00035A39">
        <w:t>2).</w:t>
      </w:r>
    </w:p>
    <w:p w14:paraId="5AA7BAE8" w14:textId="77777777" w:rsidR="00793F4E" w:rsidRDefault="00793F4E" w:rsidP="00793F4E">
      <w:r>
        <w:t>The major efficacy outcomes were investigator-assessed progression</w:t>
      </w:r>
      <w:r w:rsidR="00742AD5">
        <w:t xml:space="preserve"> </w:t>
      </w:r>
      <w:r>
        <w:t xml:space="preserve">free survival (PFS) according to </w:t>
      </w:r>
      <w:r w:rsidR="00742AD5">
        <w:t>the response evaluation criteria in solid t</w:t>
      </w:r>
      <w:r w:rsidR="00742AD5" w:rsidRPr="00742AD5">
        <w:t xml:space="preserve">umours </w:t>
      </w:r>
      <w:r w:rsidR="00742AD5">
        <w:t>(</w:t>
      </w:r>
      <w:r>
        <w:t>RECIST</w:t>
      </w:r>
      <w:r w:rsidR="00742AD5">
        <w:t>)</w:t>
      </w:r>
      <w:r>
        <w:t xml:space="preserve"> 1.1,</w:t>
      </w:r>
      <w:r w:rsidR="00006F94">
        <w:rPr>
          <w:rStyle w:val="FootnoteReference"/>
        </w:rPr>
        <w:footnoteReference w:id="19"/>
      </w:r>
      <w:r w:rsidR="00742AD5">
        <w:t xml:space="preserve"> overall survival (</w:t>
      </w:r>
      <w:r>
        <w:t>OS</w:t>
      </w:r>
      <w:r w:rsidR="00742AD5">
        <w:t>)</w:t>
      </w:r>
      <w:r>
        <w:t>, objective response rate (</w:t>
      </w:r>
      <w:r w:rsidR="00006F94">
        <w:t>ORR), and duration of response</w:t>
      </w:r>
      <w:r w:rsidR="00742AD5">
        <w:t xml:space="preserve"> (DOR)</w:t>
      </w:r>
      <w:r w:rsidR="00006F94">
        <w:t>.</w:t>
      </w:r>
    </w:p>
    <w:p w14:paraId="6FBA4E8A" w14:textId="77777777" w:rsidR="00793F4E" w:rsidRDefault="00793F4E" w:rsidP="00793F4E">
      <w:r>
        <w:t>Investigators assessed tumour response by radiographic imaging of the ch</w:t>
      </w:r>
      <w:r w:rsidR="00006F94">
        <w:t>est, abdomen, and pelvis every six</w:t>
      </w:r>
      <w:r>
        <w:t xml:space="preserve"> weeks for the fir</w:t>
      </w:r>
      <w:r w:rsidR="00006F94">
        <w:t>st 36 weeks on study and every nine</w:t>
      </w:r>
      <w:r>
        <w:t xml:space="preserve"> weeks thereafter until disease progression, subsequent anticancer therapy, or patient death occurred.</w:t>
      </w:r>
    </w:p>
    <w:p w14:paraId="5963F26D" w14:textId="77777777" w:rsidR="00793F4E" w:rsidRDefault="00793F4E" w:rsidP="00793F4E">
      <w:r>
        <w:t xml:space="preserve">The study was designed to have </w:t>
      </w:r>
      <w:r w:rsidR="00006F94">
        <w:t>more than 90% power to detect a</w:t>
      </w:r>
      <w:r>
        <w:t xml:space="preserve"> </w:t>
      </w:r>
      <w:r w:rsidR="00006F94">
        <w:t>hazard ratio (</w:t>
      </w:r>
      <w:r>
        <w:t>HR</w:t>
      </w:r>
      <w:r w:rsidR="00006F94">
        <w:t>)</w:t>
      </w:r>
      <w:r>
        <w:t xml:space="preserve"> of 0.667 with a two-sided alpha of 0.05, assuming a median PFS of 2.5 months for the </w:t>
      </w:r>
      <w:proofErr w:type="spellStart"/>
      <w:r>
        <w:t>dacarbazine</w:t>
      </w:r>
      <w:proofErr w:type="spellEnd"/>
      <w:r>
        <w:t xml:space="preserve"> arm and 3.75 months for the </w:t>
      </w:r>
      <w:proofErr w:type="spellStart"/>
      <w:r>
        <w:t>trabectedin</w:t>
      </w:r>
      <w:proofErr w:type="spellEnd"/>
      <w:r>
        <w:t xml:space="preserve"> arm.</w:t>
      </w:r>
    </w:p>
    <w:p w14:paraId="6A5827D2" w14:textId="7E1E93FB" w:rsidR="00793F4E" w:rsidRDefault="00793F4E" w:rsidP="00793F4E">
      <w:r>
        <w:t>The</w:t>
      </w:r>
      <w:r w:rsidR="00006F94">
        <w:t xml:space="preserve"> original primary endpoint for S</w:t>
      </w:r>
      <w:r>
        <w:t>tudy E743-SAR-3007 was OS. However, following</w:t>
      </w:r>
      <w:r w:rsidR="003D2ACE">
        <w:t xml:space="preserve"> the US Food and Drug Administration</w:t>
      </w:r>
      <w:r>
        <w:t xml:space="preserve"> </w:t>
      </w:r>
      <w:r w:rsidR="003D2ACE">
        <w:t>(</w:t>
      </w:r>
      <w:r>
        <w:t>FDA</w:t>
      </w:r>
      <w:r w:rsidR="003D2ACE">
        <w:t>)</w:t>
      </w:r>
      <w:r>
        <w:t xml:space="preserve"> approval of </w:t>
      </w:r>
      <w:proofErr w:type="spellStart"/>
      <w:r>
        <w:t>pazopanib</w:t>
      </w:r>
      <w:proofErr w:type="spellEnd"/>
      <w:r>
        <w:t xml:space="preserve"> based on an improvement i</w:t>
      </w:r>
      <w:r w:rsidR="00027DDE">
        <w:t xml:space="preserve">n PFS and prior to the data cut </w:t>
      </w:r>
      <w:r>
        <w:t>off</w:t>
      </w:r>
      <w:r w:rsidR="00006F94">
        <w:t xml:space="preserve"> data for the PFS analysis in St</w:t>
      </w:r>
      <w:r>
        <w:t>udy E743-SAR-3007</w:t>
      </w:r>
      <w:r w:rsidRPr="00416162">
        <w:t xml:space="preserve">, the </w:t>
      </w:r>
      <w:r w:rsidR="003D2ACE">
        <w:t>US-sponsor</w:t>
      </w:r>
      <w:r w:rsidRPr="00416162">
        <w:t xml:space="preserve"> </w:t>
      </w:r>
      <w:r w:rsidR="003D2ACE">
        <w:t xml:space="preserve">made a proposal to the US FDA, to which the FDA agreed, </w:t>
      </w:r>
      <w:r w:rsidRPr="00416162">
        <w:t xml:space="preserve">to consider the results of mature PFS and </w:t>
      </w:r>
      <w:r w:rsidR="003D2ACE">
        <w:t xml:space="preserve">results of the </w:t>
      </w:r>
      <w:r w:rsidRPr="00416162">
        <w:t xml:space="preserve">ORR as a basis for possible accelerated approval for </w:t>
      </w:r>
      <w:proofErr w:type="spellStart"/>
      <w:r w:rsidRPr="00416162">
        <w:t>trabectedin</w:t>
      </w:r>
      <w:proofErr w:type="spellEnd"/>
      <w:r w:rsidRPr="00416162">
        <w:t xml:space="preserve">. </w:t>
      </w:r>
      <w:r w:rsidR="00D36A4E">
        <w:t>The US-</w:t>
      </w:r>
      <w:proofErr w:type="spellStart"/>
      <w:r w:rsidR="00D36A4E">
        <w:t>sponsor</w:t>
      </w:r>
      <w:r w:rsidRPr="00416162">
        <w:t>also</w:t>
      </w:r>
      <w:proofErr w:type="spellEnd"/>
      <w:r w:rsidRPr="00416162">
        <w:t xml:space="preserve"> agreed to conduc</w:t>
      </w:r>
      <w:r w:rsidR="00BF731E" w:rsidRPr="00416162">
        <w:t>t a blinded-independent review (</w:t>
      </w:r>
      <w:r>
        <w:t>blinded inde</w:t>
      </w:r>
      <w:r w:rsidR="00BF731E">
        <w:t>pendent review committee (BIRC))</w:t>
      </w:r>
      <w:r>
        <w:t xml:space="preserve"> of PFS and ORR in retrospective audit in an agreed</w:t>
      </w:r>
      <w:r w:rsidR="00027DDE">
        <w:t xml:space="preserve"> </w:t>
      </w:r>
      <w:r>
        <w:t>upon subset (high accruing sites) as a supportive analysis and to evaluate for potential ascertainment bias as the first s</w:t>
      </w:r>
      <w:r w:rsidR="00BF731E">
        <w:t xml:space="preserve">tage of the Dodd two-stage plan (See </w:t>
      </w:r>
      <w:r w:rsidR="00BF731E">
        <w:fldChar w:fldCharType="begin"/>
      </w:r>
      <w:r w:rsidR="00BF731E">
        <w:instrText xml:space="preserve"> REF _Ref71193602 \h </w:instrText>
      </w:r>
      <w:r w:rsidR="00BF731E">
        <w:fldChar w:fldCharType="separate"/>
      </w:r>
      <w:r w:rsidR="0071409D" w:rsidRPr="00BF731E">
        <w:t xml:space="preserve">Figure </w:t>
      </w:r>
      <w:r w:rsidR="0071409D">
        <w:rPr>
          <w:noProof/>
        </w:rPr>
        <w:t>2</w:t>
      </w:r>
      <w:r w:rsidR="00BF731E">
        <w:fldChar w:fldCharType="end"/>
      </w:r>
      <w:r w:rsidR="00BF731E">
        <w:t xml:space="preserve"> and </w:t>
      </w:r>
      <w:r w:rsidR="00BF731E">
        <w:fldChar w:fldCharType="begin"/>
      </w:r>
      <w:r w:rsidR="00BF731E">
        <w:instrText xml:space="preserve"> REF _Ref71193705 \h </w:instrText>
      </w:r>
      <w:r w:rsidR="00BF731E">
        <w:fldChar w:fldCharType="separate"/>
      </w:r>
      <w:r w:rsidR="0071409D" w:rsidRPr="00BF731E">
        <w:t xml:space="preserve">Table </w:t>
      </w:r>
      <w:r w:rsidR="0071409D">
        <w:rPr>
          <w:noProof/>
        </w:rPr>
        <w:t>3</w:t>
      </w:r>
      <w:r w:rsidR="00BF731E">
        <w:fldChar w:fldCharType="end"/>
      </w:r>
      <w:r w:rsidR="00BF731E">
        <w:t>).</w:t>
      </w:r>
    </w:p>
    <w:p w14:paraId="52FC9687" w14:textId="43022BE8" w:rsidR="00BF731E" w:rsidRDefault="00BF731E" w:rsidP="00BF731E">
      <w:pPr>
        <w:pStyle w:val="FigureTitle"/>
      </w:pPr>
      <w:bookmarkStart w:id="45" w:name="_Ref71193602"/>
      <w:r w:rsidRPr="00BF731E">
        <w:t xml:space="preserve">Figure </w:t>
      </w:r>
      <w:fldSimple w:instr=" SEQ Figure \* ARABIC ">
        <w:r w:rsidR="0071409D">
          <w:rPr>
            <w:noProof/>
          </w:rPr>
          <w:t>2</w:t>
        </w:r>
      </w:fldSimple>
      <w:bookmarkEnd w:id="45"/>
      <w:r>
        <w:t>: Study E743-SAR-3007 Consort diagram</w:t>
      </w:r>
    </w:p>
    <w:p w14:paraId="3F27A0D2" w14:textId="77777777" w:rsidR="00BF731E" w:rsidRDefault="00BF731E" w:rsidP="00BF731E">
      <w:pPr>
        <w:pStyle w:val="Caption"/>
      </w:pPr>
      <w:r>
        <w:rPr>
          <w:noProof/>
          <w:lang w:eastAsia="en-AU"/>
        </w:rPr>
        <w:drawing>
          <wp:inline distT="0" distB="0" distL="0" distR="0" wp14:anchorId="2CA699CF" wp14:editId="0E675505">
            <wp:extent cx="5400040" cy="3078130"/>
            <wp:effectExtent l="0" t="0" r="0" b="8255"/>
            <wp:docPr id="11" name="Picture 11" descr="Study E743-SAR-3007 Consort diagram. A total of 518 patients were randomized, 345 to the trabectedin arm and 173 patients to the dacarbazine arm. Of the 345 patients allocated to trabcdetedin, 340 patients recieved trabectedin. 244 patients discontinued trabectedin due to disease progression (n = 244), adverse events ( n= 186), withdrew (n = 11), died ( n= 9), other (n =4).  96 patients continued with trabectedin treatment.  &#10;&#10;Of the 173 patients allocated to dacarbazine, 155 received dacarbazine, 18 did not receive dacarbazine. 132 patients discontinued dacarbazine treatment due to disease progression (n = 106), adverse event (n = 11), withdrew (n = 11), died (n = 1) and other (n = 3).  23 pateints continued with dacarbazine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00040" cy="3078130"/>
                    </a:xfrm>
                    <a:prstGeom prst="rect">
                      <a:avLst/>
                    </a:prstGeom>
                  </pic:spPr>
                </pic:pic>
              </a:graphicData>
            </a:graphic>
          </wp:inline>
        </w:drawing>
      </w:r>
    </w:p>
    <w:p w14:paraId="6E5161B7" w14:textId="00C75F78" w:rsidR="00BF731E" w:rsidRDefault="00BF731E" w:rsidP="00BF731E">
      <w:pPr>
        <w:pStyle w:val="TableTitle"/>
      </w:pPr>
      <w:bookmarkStart w:id="46" w:name="_Ref71193705"/>
      <w:r w:rsidRPr="00BF731E">
        <w:t xml:space="preserve">Table </w:t>
      </w:r>
      <w:fldSimple w:instr=" SEQ Table \* ARABIC ">
        <w:r w:rsidR="0071409D">
          <w:rPr>
            <w:noProof/>
          </w:rPr>
          <w:t>3</w:t>
        </w:r>
      </w:fldSimple>
      <w:bookmarkEnd w:id="46"/>
      <w:r>
        <w:t>: Study E743-SAR-3007 Baseline demographic and disease c</w:t>
      </w:r>
      <w:r w:rsidRPr="00BF731E">
        <w:t>haracteristics</w:t>
      </w:r>
    </w:p>
    <w:p w14:paraId="431EA9FC" w14:textId="77777777" w:rsidR="00BF731E" w:rsidRDefault="00BF731E" w:rsidP="00BF731E">
      <w:r>
        <w:rPr>
          <w:noProof/>
          <w:lang w:eastAsia="en-AU"/>
        </w:rPr>
        <w:drawing>
          <wp:inline distT="0" distB="0" distL="0" distR="0" wp14:anchorId="2D356AD9" wp14:editId="7550CBFD">
            <wp:extent cx="3687541" cy="7458075"/>
            <wp:effectExtent l="0" t="0" r="8255" b="0"/>
            <wp:docPr id="10" name="Picture 10" descr="Study E743-SAR-3007 Baseline demographic and disease character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487" t="835" r="-7" b="1156"/>
                    <a:stretch/>
                  </pic:blipFill>
                  <pic:spPr bwMode="auto">
                    <a:xfrm>
                      <a:off x="0" y="0"/>
                      <a:ext cx="3687920" cy="7458841"/>
                    </a:xfrm>
                    <a:prstGeom prst="rect">
                      <a:avLst/>
                    </a:prstGeom>
                    <a:ln>
                      <a:noFill/>
                    </a:ln>
                    <a:extLst>
                      <a:ext uri="{53640926-AAD7-44D8-BBD7-CCE9431645EC}">
                        <a14:shadowObscured xmlns:a14="http://schemas.microsoft.com/office/drawing/2010/main"/>
                      </a:ext>
                    </a:extLst>
                  </pic:spPr>
                </pic:pic>
              </a:graphicData>
            </a:graphic>
          </wp:inline>
        </w:drawing>
      </w:r>
    </w:p>
    <w:p w14:paraId="0A6BEFCF" w14:textId="41FF6232" w:rsidR="00BF731E" w:rsidRDefault="00BF731E" w:rsidP="00BF731E">
      <w:r>
        <w:t>A tot</w:t>
      </w:r>
      <w:r w:rsidR="00AA1F21">
        <w:t>al of 518 patients were randomis</w:t>
      </w:r>
      <w:r>
        <w:t xml:space="preserve">ed, 345 to the </w:t>
      </w:r>
      <w:proofErr w:type="spellStart"/>
      <w:r>
        <w:t>trabectedin</w:t>
      </w:r>
      <w:proofErr w:type="spellEnd"/>
      <w:r>
        <w:t xml:space="preserve"> arm and 173 patients to the </w:t>
      </w:r>
      <w:proofErr w:type="spellStart"/>
      <w:r>
        <w:t>dacarbazine</w:t>
      </w:r>
      <w:proofErr w:type="spellEnd"/>
      <w:r>
        <w:t xml:space="preserve"> arm. The median patient age was 56 years (range: 17 to 81</w:t>
      </w:r>
      <w:r w:rsidR="00CC2AE4">
        <w:t xml:space="preserve"> years old</w:t>
      </w:r>
      <w:r>
        <w:t xml:space="preserve">); 30% were male; 76% </w:t>
      </w:r>
      <w:r w:rsidR="00D36A4E">
        <w:t xml:space="preserve">were </w:t>
      </w:r>
      <w:r>
        <w:t xml:space="preserve">White, 12% Black, and 4% Asian; 73% had </w:t>
      </w:r>
      <w:proofErr w:type="spellStart"/>
      <w:r>
        <w:t>leiomyosarcomas</w:t>
      </w:r>
      <w:proofErr w:type="spellEnd"/>
      <w:r>
        <w:t xml:space="preserve"> and 27% </w:t>
      </w:r>
      <w:proofErr w:type="spellStart"/>
      <w:r>
        <w:t>liposarcomas</w:t>
      </w:r>
      <w:proofErr w:type="spellEnd"/>
      <w:r>
        <w:t>; 49% had an ECOG PS of 0; and 89% received ≥</w:t>
      </w:r>
      <w:r w:rsidR="00CC2AE4">
        <w:t xml:space="preserve"> </w:t>
      </w:r>
      <w:r>
        <w:t>2 prior chemotherapy regimens. The most common (≥</w:t>
      </w:r>
      <w:r w:rsidR="00A90F50">
        <w:t xml:space="preserve"> </w:t>
      </w:r>
      <w:r>
        <w:t xml:space="preserve">20%) pre-study chemotherapeutic agents administered were doxorubicin (90%), gemcitabine (81%), docetaxel (74%), and </w:t>
      </w:r>
      <w:proofErr w:type="spellStart"/>
      <w:r>
        <w:t>ifosfamide</w:t>
      </w:r>
      <w:proofErr w:type="spellEnd"/>
      <w:r>
        <w:t xml:space="preserve"> (59%). Approximately 10% of </w:t>
      </w:r>
      <w:r w:rsidR="00B478CE">
        <w:t xml:space="preserve">patients had received </w:t>
      </w:r>
      <w:proofErr w:type="spellStart"/>
      <w:r w:rsidR="00B478CE">
        <w:t>pazopanib</w:t>
      </w:r>
      <w:proofErr w:type="spellEnd"/>
      <w:r w:rsidR="00B478CE">
        <w:t xml:space="preserve"> (</w:t>
      </w:r>
      <w:r w:rsidR="00D36A4E">
        <w:t>s</w:t>
      </w:r>
      <w:r w:rsidR="00B478CE">
        <w:t xml:space="preserve">ee </w:t>
      </w:r>
      <w:r w:rsidR="00B478CE">
        <w:fldChar w:fldCharType="begin"/>
      </w:r>
      <w:r w:rsidR="00B478CE">
        <w:instrText xml:space="preserve"> REF _Ref71193705 \h </w:instrText>
      </w:r>
      <w:r w:rsidR="00B478CE">
        <w:fldChar w:fldCharType="separate"/>
      </w:r>
      <w:r w:rsidR="0071409D" w:rsidRPr="00BF731E">
        <w:t xml:space="preserve">Table </w:t>
      </w:r>
      <w:r w:rsidR="0071409D">
        <w:rPr>
          <w:noProof/>
        </w:rPr>
        <w:t>3</w:t>
      </w:r>
      <w:r w:rsidR="00B478CE">
        <w:fldChar w:fldCharType="end"/>
      </w:r>
      <w:r w:rsidR="00B478CE">
        <w:t>)</w:t>
      </w:r>
    </w:p>
    <w:p w14:paraId="69DB81B5" w14:textId="72DA50F6" w:rsidR="00BF731E" w:rsidRDefault="00B478CE" w:rsidP="00BF731E">
      <w:r>
        <w:t>Study</w:t>
      </w:r>
      <w:r w:rsidR="00BF731E">
        <w:t xml:space="preserve"> ET743-SAR-3007 demonstrated a statistically significant</w:t>
      </w:r>
      <w:r w:rsidR="00416162">
        <w:t xml:space="preserve"> improvement in PFS (HR = </w:t>
      </w:r>
      <w:r>
        <w:t xml:space="preserve">0.55 (95% </w:t>
      </w:r>
      <w:r w:rsidR="00CC2AE4">
        <w:t>confidence interval (</w:t>
      </w:r>
      <w:r>
        <w:t>CI</w:t>
      </w:r>
      <w:r w:rsidR="00CC2AE4">
        <w:t>)</w:t>
      </w:r>
      <w:r>
        <w:t>: 0.44 to 0.70)</w:t>
      </w:r>
      <w:r w:rsidR="00BF731E">
        <w:t xml:space="preserve">; p &lt; 0.001). Median PFS was increased from 1.5 months with </w:t>
      </w:r>
      <w:proofErr w:type="spellStart"/>
      <w:r w:rsidR="00BF731E">
        <w:t>dacarbazine</w:t>
      </w:r>
      <w:proofErr w:type="spellEnd"/>
      <w:r w:rsidR="00BF731E">
        <w:t xml:space="preserve"> to 4.2 months with </w:t>
      </w:r>
      <w:proofErr w:type="spellStart"/>
      <w:r w:rsidR="00BF731E">
        <w:t>trabectedin</w:t>
      </w:r>
      <w:proofErr w:type="spellEnd"/>
      <w:r w:rsidR="00BF731E">
        <w:t>. An exploratory analysis of independent radiology committee</w:t>
      </w:r>
      <w:r w:rsidR="00CC2AE4">
        <w:t xml:space="preserve"> </w:t>
      </w:r>
      <w:r w:rsidR="00BF731E">
        <w:t>determined PFS, in a subgroup consisting of approximately 60% of the total population, provided simi</w:t>
      </w:r>
      <w:r w:rsidR="00CC2AE4">
        <w:t xml:space="preserve">lar results to the investigator </w:t>
      </w:r>
      <w:r w:rsidR="00BF731E">
        <w:t>determi</w:t>
      </w:r>
      <w:r>
        <w:t>ned PFS. Efficacy results from Study</w:t>
      </w:r>
      <w:r w:rsidR="00BF731E">
        <w:t xml:space="preserve"> ET743-SAR-3007 a</w:t>
      </w:r>
      <w:r w:rsidR="00CC2AE4">
        <w:t>re presented in</w:t>
      </w:r>
      <w:r>
        <w:t xml:space="preserve"> </w:t>
      </w:r>
      <w:r>
        <w:fldChar w:fldCharType="begin"/>
      </w:r>
      <w:r>
        <w:instrText xml:space="preserve"> REF _Ref71198647 \h </w:instrText>
      </w:r>
      <w:r>
        <w:fldChar w:fldCharType="separate"/>
      </w:r>
      <w:r w:rsidR="0071409D" w:rsidRPr="00B478CE">
        <w:t xml:space="preserve">Table </w:t>
      </w:r>
      <w:r w:rsidR="0071409D">
        <w:rPr>
          <w:noProof/>
        </w:rPr>
        <w:t>4</w:t>
      </w:r>
      <w:r>
        <w:fldChar w:fldCharType="end"/>
      </w:r>
      <w:r w:rsidR="00A81A87">
        <w:t xml:space="preserve"> </w:t>
      </w:r>
      <w:r>
        <w:t>below.</w:t>
      </w:r>
    </w:p>
    <w:p w14:paraId="250BEEB9" w14:textId="2C1440D4" w:rsidR="00B478CE" w:rsidRDefault="00B478CE" w:rsidP="00B478CE">
      <w:pPr>
        <w:pStyle w:val="TableTitle"/>
      </w:pPr>
      <w:bookmarkStart w:id="47" w:name="_Ref71198647"/>
      <w:r w:rsidRPr="00B478CE">
        <w:t xml:space="preserve">Table </w:t>
      </w:r>
      <w:fldSimple w:instr=" SEQ Table \* ARABIC ">
        <w:r w:rsidR="0071409D">
          <w:rPr>
            <w:noProof/>
          </w:rPr>
          <w:t>4</w:t>
        </w:r>
      </w:fldSimple>
      <w:bookmarkEnd w:id="47"/>
      <w:r>
        <w:t>: Study ET743-SAR-3007 Efficacy results</w:t>
      </w:r>
    </w:p>
    <w:p w14:paraId="55D1ED3F" w14:textId="77777777" w:rsidR="00B478CE" w:rsidRDefault="00B478CE" w:rsidP="00B478CE">
      <w:r>
        <w:rPr>
          <w:noProof/>
          <w:lang w:eastAsia="en-AU"/>
        </w:rPr>
        <w:drawing>
          <wp:inline distT="0" distB="0" distL="0" distR="0" wp14:anchorId="37AE9BDA" wp14:editId="409DC63F">
            <wp:extent cx="5399405" cy="2704081"/>
            <wp:effectExtent l="0" t="0" r="0" b="1270"/>
            <wp:docPr id="1" name="Picture 1" descr="Study ET743-SAR-3007 Efficacy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1602" b="20569"/>
                    <a:stretch/>
                  </pic:blipFill>
                  <pic:spPr bwMode="auto">
                    <a:xfrm>
                      <a:off x="0" y="0"/>
                      <a:ext cx="5400040" cy="2704399"/>
                    </a:xfrm>
                    <a:prstGeom prst="rect">
                      <a:avLst/>
                    </a:prstGeom>
                    <a:ln>
                      <a:noFill/>
                    </a:ln>
                    <a:extLst>
                      <a:ext uri="{53640926-AAD7-44D8-BBD7-CCE9431645EC}">
                        <a14:shadowObscured xmlns:a14="http://schemas.microsoft.com/office/drawing/2010/main"/>
                      </a:ext>
                    </a:extLst>
                  </pic:spPr>
                </pic:pic>
              </a:graphicData>
            </a:graphic>
          </wp:inline>
        </w:drawing>
      </w:r>
    </w:p>
    <w:p w14:paraId="71877302" w14:textId="77777777" w:rsidR="00CC2AE4" w:rsidRDefault="00CC2AE4" w:rsidP="00CC2AE4">
      <w:pPr>
        <w:pStyle w:val="TableDescription"/>
      </w:pPr>
      <w:r w:rsidRPr="00CC2AE4">
        <w:rPr>
          <w:vertAlign w:val="superscript"/>
        </w:rPr>
        <w:t>a</w:t>
      </w:r>
      <w:r>
        <w:t xml:space="preserve"> cox proportional hazards model with treatment group as the only covariate</w:t>
      </w:r>
    </w:p>
    <w:p w14:paraId="74540DDB" w14:textId="77777777" w:rsidR="00CC2AE4" w:rsidRDefault="00CC2AE4" w:rsidP="00CC2AE4">
      <w:pPr>
        <w:pStyle w:val="TableDescription"/>
      </w:pPr>
      <w:r w:rsidRPr="00CC2AE4">
        <w:rPr>
          <w:vertAlign w:val="superscript"/>
        </w:rPr>
        <w:t>b</w:t>
      </w:r>
      <w:r>
        <w:t xml:space="preserve"> </w:t>
      </w:r>
      <w:proofErr w:type="spellStart"/>
      <w:r>
        <w:t>Unstratified</w:t>
      </w:r>
      <w:proofErr w:type="spellEnd"/>
      <w:r>
        <w:t xml:space="preserve"> log rank test</w:t>
      </w:r>
    </w:p>
    <w:p w14:paraId="57A48DC2" w14:textId="77777777" w:rsidR="00CC2AE4" w:rsidRDefault="00CC2AE4" w:rsidP="00CC2AE4">
      <w:pPr>
        <w:pStyle w:val="TableDescription"/>
      </w:pPr>
      <w:r w:rsidRPr="00CC2AE4">
        <w:rPr>
          <w:vertAlign w:val="superscript"/>
        </w:rPr>
        <w:t>c</w:t>
      </w:r>
      <w:r>
        <w:t xml:space="preserve"> Based on 384 patients randomised to Yondelis arm and 193 patients randomised to </w:t>
      </w:r>
      <w:proofErr w:type="spellStart"/>
      <w:r>
        <w:t>dacarbazine</w:t>
      </w:r>
      <w:proofErr w:type="spellEnd"/>
    </w:p>
    <w:p w14:paraId="5EDF2769" w14:textId="77777777" w:rsidR="00CC2AE4" w:rsidRDefault="00CC2AE4" w:rsidP="00CC2AE4">
      <w:pPr>
        <w:pStyle w:val="TableDescription"/>
      </w:pPr>
      <w:r w:rsidRPr="00CC2AE4">
        <w:rPr>
          <w:vertAlign w:val="superscript"/>
        </w:rPr>
        <w:t>d</w:t>
      </w:r>
      <w:r>
        <w:t xml:space="preserve"> Fisher’s exact CI</w:t>
      </w:r>
    </w:p>
    <w:p w14:paraId="31F7E27A" w14:textId="77777777" w:rsidR="00CC2AE4" w:rsidRPr="00B478CE" w:rsidRDefault="00CC2AE4" w:rsidP="00CC2AE4">
      <w:pPr>
        <w:pStyle w:val="TableDescription"/>
      </w:pPr>
      <w:r>
        <w:t>CR = complete response; PR = partial response; CI = confidence interval, HR = hazard ratio, NE = not estimable.</w:t>
      </w:r>
    </w:p>
    <w:p w14:paraId="0DB83B6A" w14:textId="16AA4608" w:rsidR="00BF731E" w:rsidRDefault="00BF731E" w:rsidP="00BF731E">
      <w:r>
        <w:t>The final analysis of OS failed to demonstrate a difference between treatment arms (HR, 0.93; 95% CI, 0.75–1.1</w:t>
      </w:r>
      <w:r w:rsidR="00B478CE">
        <w:t xml:space="preserve">5; </w:t>
      </w:r>
      <w:proofErr w:type="spellStart"/>
      <w:r w:rsidR="00B478CE">
        <w:t>unst</w:t>
      </w:r>
      <w:r w:rsidR="00CC2AE4">
        <w:t>ratified</w:t>
      </w:r>
      <w:proofErr w:type="spellEnd"/>
      <w:r w:rsidR="00CC2AE4">
        <w:t xml:space="preserve"> log </w:t>
      </w:r>
      <w:r w:rsidR="00B478CE">
        <w:t>rank test, p</w:t>
      </w:r>
      <w:r>
        <w:t xml:space="preserve"> = 0.49). The estimated median O</w:t>
      </w:r>
      <w:r w:rsidR="00B478CE">
        <w:t xml:space="preserve">S was 13.7 months (95% CI, 12.2 to </w:t>
      </w:r>
      <w:r>
        <w:t xml:space="preserve">16.0) for the </w:t>
      </w:r>
      <w:proofErr w:type="spellStart"/>
      <w:r>
        <w:t>trabectedin</w:t>
      </w:r>
      <w:proofErr w:type="spellEnd"/>
      <w:r>
        <w:t xml:space="preserve"> a</w:t>
      </w:r>
      <w:r w:rsidR="00B478CE">
        <w:t xml:space="preserve">rm and 13.1 months (95% CI, 9.1 to </w:t>
      </w:r>
      <w:r>
        <w:t xml:space="preserve">16.2) for the </w:t>
      </w:r>
      <w:proofErr w:type="spellStart"/>
      <w:r>
        <w:t>dacarbazine</w:t>
      </w:r>
      <w:proofErr w:type="spellEnd"/>
      <w:r>
        <w:t xml:space="preserve"> ar</w:t>
      </w:r>
      <w:r w:rsidR="00B478CE">
        <w:t xml:space="preserve">m (see </w:t>
      </w:r>
      <w:r w:rsidR="00B478CE">
        <w:fldChar w:fldCharType="begin"/>
      </w:r>
      <w:r w:rsidR="00B478CE">
        <w:instrText xml:space="preserve"> REF _Ref71198647 \h </w:instrText>
      </w:r>
      <w:r w:rsidR="00B478CE">
        <w:fldChar w:fldCharType="separate"/>
      </w:r>
      <w:r w:rsidR="0071409D" w:rsidRPr="00B478CE">
        <w:t xml:space="preserve">Table </w:t>
      </w:r>
      <w:r w:rsidR="0071409D">
        <w:rPr>
          <w:noProof/>
        </w:rPr>
        <w:t>4</w:t>
      </w:r>
      <w:r w:rsidR="00B478CE">
        <w:fldChar w:fldCharType="end"/>
      </w:r>
      <w:r w:rsidR="00B478CE">
        <w:t xml:space="preserve">). </w:t>
      </w:r>
      <w:r>
        <w:t>In addition, there was no significant improvement in ORR (</w:t>
      </w:r>
      <w:proofErr w:type="spellStart"/>
      <w:r>
        <w:t>trabecte</w:t>
      </w:r>
      <w:r w:rsidR="00B478CE">
        <w:t>din</w:t>
      </w:r>
      <w:proofErr w:type="spellEnd"/>
      <w:r w:rsidR="00B478CE">
        <w:t xml:space="preserve"> 9.9% v</w:t>
      </w:r>
      <w:r w:rsidR="00CC2AE4">
        <w:t>ersu</w:t>
      </w:r>
      <w:r w:rsidR="00B478CE">
        <w:t xml:space="preserve">s. </w:t>
      </w:r>
      <w:proofErr w:type="spellStart"/>
      <w:r w:rsidR="00B478CE">
        <w:t>dacarbazine</w:t>
      </w:r>
      <w:proofErr w:type="spellEnd"/>
      <w:r w:rsidR="00B478CE">
        <w:t xml:space="preserve"> 6.9%). </w:t>
      </w:r>
      <w:r>
        <w:t xml:space="preserve">Median duration of response (DOR, </w:t>
      </w:r>
      <w:r w:rsidR="00CC2AE4">
        <w:t>complete response (CR) plus partial response (PR)</w:t>
      </w:r>
      <w:r>
        <w:t>) was 6.5 months v</w:t>
      </w:r>
      <w:r w:rsidR="00B478CE">
        <w:t>er</w:t>
      </w:r>
      <w:r>
        <w:t>s</w:t>
      </w:r>
      <w:r w:rsidR="00B478CE">
        <w:t xml:space="preserve">us 4.2 months (see </w:t>
      </w:r>
      <w:r w:rsidR="00B478CE">
        <w:fldChar w:fldCharType="begin"/>
      </w:r>
      <w:r w:rsidR="00B478CE">
        <w:instrText xml:space="preserve"> REF _Ref71198647 \h </w:instrText>
      </w:r>
      <w:r w:rsidR="00B478CE">
        <w:fldChar w:fldCharType="separate"/>
      </w:r>
      <w:r w:rsidR="0071409D" w:rsidRPr="00B478CE">
        <w:t xml:space="preserve">Table </w:t>
      </w:r>
      <w:r w:rsidR="0071409D">
        <w:rPr>
          <w:noProof/>
        </w:rPr>
        <w:t>4</w:t>
      </w:r>
      <w:r w:rsidR="00B478CE">
        <w:fldChar w:fldCharType="end"/>
      </w:r>
      <w:r w:rsidR="00B478CE">
        <w:t>).</w:t>
      </w:r>
    </w:p>
    <w:p w14:paraId="6FCC03DB" w14:textId="3EA6C1BB" w:rsidR="00A81A87" w:rsidRDefault="00A81A87" w:rsidP="00A81A87">
      <w:pPr>
        <w:pStyle w:val="Heading5"/>
      </w:pPr>
      <w:r>
        <w:t xml:space="preserve">Summary of </w:t>
      </w:r>
      <w:r w:rsidR="00FF1E0D">
        <w:t>e</w:t>
      </w:r>
      <w:r>
        <w:t>fficacy</w:t>
      </w:r>
    </w:p>
    <w:p w14:paraId="00BCEB2A" w14:textId="45D1BFBE" w:rsidR="00A81A87" w:rsidRDefault="00A81A87" w:rsidP="00A81A87">
      <w:r>
        <w:t xml:space="preserve">Evidence to support the efficacy of </w:t>
      </w:r>
      <w:proofErr w:type="spellStart"/>
      <w:r>
        <w:t>trabectedin</w:t>
      </w:r>
      <w:proofErr w:type="spellEnd"/>
      <w:r>
        <w:t xml:space="preserve"> in the treatment of LMS and LPS comes mainly from the Phase III pivotal Study ET743-SAR-3007. This study demonstrated a statistically significant efficacy benefit in terms of PFS (HR = 0.55 (95% CI: 0.44 to 0.70); p &lt; 0.001). Median PFS was increased from 1.5 months with </w:t>
      </w:r>
      <w:proofErr w:type="spellStart"/>
      <w:r>
        <w:t>dacarbazine</w:t>
      </w:r>
      <w:proofErr w:type="spellEnd"/>
      <w:r>
        <w:t xml:space="preserve"> to 4.2 months with </w:t>
      </w:r>
      <w:proofErr w:type="spellStart"/>
      <w:r>
        <w:t>trabectedin</w:t>
      </w:r>
      <w:proofErr w:type="spellEnd"/>
      <w:r>
        <w:t xml:space="preserve"> (see </w:t>
      </w:r>
      <w:r>
        <w:fldChar w:fldCharType="begin"/>
      </w:r>
      <w:r>
        <w:instrText xml:space="preserve"> REF _Ref71199263 \h </w:instrText>
      </w:r>
      <w:r>
        <w:fldChar w:fldCharType="separate"/>
      </w:r>
      <w:r w:rsidR="0071409D">
        <w:t xml:space="preserve">Figure </w:t>
      </w:r>
      <w:r w:rsidR="0071409D">
        <w:rPr>
          <w:noProof/>
        </w:rPr>
        <w:t>3</w:t>
      </w:r>
      <w:r>
        <w:fldChar w:fldCharType="end"/>
      </w:r>
      <w:r>
        <w:t>).</w:t>
      </w:r>
    </w:p>
    <w:p w14:paraId="6A964E72" w14:textId="399FB14D" w:rsidR="00A81A87" w:rsidRDefault="00A81A87" w:rsidP="00A81A87">
      <w:r>
        <w:t>The final analysis of OS failed to demonstrate a difference between treatme</w:t>
      </w:r>
      <w:r w:rsidR="006E2542">
        <w:t xml:space="preserve">nt arms (HR, 0.93; 95% CI, 0.75 to 1.15; </w:t>
      </w:r>
      <w:proofErr w:type="spellStart"/>
      <w:r w:rsidR="006E2542">
        <w:t>unstratified</w:t>
      </w:r>
      <w:proofErr w:type="spellEnd"/>
      <w:r w:rsidR="006E2542">
        <w:t xml:space="preserve"> log </w:t>
      </w:r>
      <w:r>
        <w:t xml:space="preserve">rank test, p = 0.49). The estimated median OS was 13.7 months (95% CI, 12.2 to 16.0) for the </w:t>
      </w:r>
      <w:proofErr w:type="spellStart"/>
      <w:r>
        <w:t>trabectedin</w:t>
      </w:r>
      <w:proofErr w:type="spellEnd"/>
      <w:r>
        <w:t xml:space="preserve"> arm and 13.1 months (95% CI, 9.1 to 16.2) for the </w:t>
      </w:r>
      <w:proofErr w:type="spellStart"/>
      <w:r>
        <w:t>dacarbazine</w:t>
      </w:r>
      <w:proofErr w:type="spellEnd"/>
      <w:r>
        <w:t xml:space="preserve"> arm (see </w:t>
      </w:r>
      <w:r>
        <w:fldChar w:fldCharType="begin"/>
      </w:r>
      <w:r>
        <w:instrText xml:space="preserve"> REF _Ref71198647 \h </w:instrText>
      </w:r>
      <w:r>
        <w:fldChar w:fldCharType="separate"/>
      </w:r>
      <w:r w:rsidR="0071409D" w:rsidRPr="00B478CE">
        <w:t xml:space="preserve">Table </w:t>
      </w:r>
      <w:r w:rsidR="0071409D">
        <w:rPr>
          <w:noProof/>
        </w:rPr>
        <w:t>4</w:t>
      </w:r>
      <w:r>
        <w:fldChar w:fldCharType="end"/>
      </w:r>
      <w:r>
        <w:t>).</w:t>
      </w:r>
    </w:p>
    <w:p w14:paraId="234C615B" w14:textId="44A94EA8" w:rsidR="00A81A87" w:rsidRDefault="00A81A87" w:rsidP="00A81A87">
      <w:r>
        <w:t>In addition, there was no improvement in ORR (</w:t>
      </w:r>
      <w:proofErr w:type="spellStart"/>
      <w:r>
        <w:t>trabectedin</w:t>
      </w:r>
      <w:proofErr w:type="spellEnd"/>
      <w:r>
        <w:t xml:space="preserve"> 9.9% v</w:t>
      </w:r>
      <w:r w:rsidR="006E2542">
        <w:t>ersu</w:t>
      </w:r>
      <w:r>
        <w:t xml:space="preserve">s </w:t>
      </w:r>
      <w:proofErr w:type="spellStart"/>
      <w:r>
        <w:t>dacarbazine</w:t>
      </w:r>
      <w:proofErr w:type="spellEnd"/>
      <w:r>
        <w:t xml:space="preserve"> </w:t>
      </w:r>
      <w:r w:rsidR="006E2542">
        <w:t>6.9%, s</w:t>
      </w:r>
      <w:r w:rsidR="00933BF1">
        <w:t xml:space="preserve">ee </w:t>
      </w:r>
      <w:r w:rsidR="00933BF1">
        <w:fldChar w:fldCharType="begin"/>
      </w:r>
      <w:r w:rsidR="00933BF1">
        <w:instrText xml:space="preserve"> REF _Ref71198647 \h </w:instrText>
      </w:r>
      <w:r w:rsidR="00933BF1">
        <w:fldChar w:fldCharType="separate"/>
      </w:r>
      <w:r w:rsidR="0071409D" w:rsidRPr="00B478CE">
        <w:t xml:space="preserve">Table </w:t>
      </w:r>
      <w:r w:rsidR="0071409D">
        <w:rPr>
          <w:noProof/>
        </w:rPr>
        <w:t>4</w:t>
      </w:r>
      <w:r w:rsidR="00933BF1">
        <w:fldChar w:fldCharType="end"/>
      </w:r>
      <w:r w:rsidR="00933BF1">
        <w:t>).</w:t>
      </w:r>
    </w:p>
    <w:p w14:paraId="443F9B41" w14:textId="3760BD6F" w:rsidR="00A81A87" w:rsidRDefault="00A81A87" w:rsidP="00A81A87">
      <w:r>
        <w:t xml:space="preserve">The TGA has previously approved </w:t>
      </w:r>
      <w:proofErr w:type="spellStart"/>
      <w:r>
        <w:t>pazopanib</w:t>
      </w:r>
      <w:proofErr w:type="spellEnd"/>
      <w:r>
        <w:t xml:space="preserve"> for the second line treatment of STS (other than </w:t>
      </w:r>
      <w:proofErr w:type="spellStart"/>
      <w:r>
        <w:t>liposarcoma</w:t>
      </w:r>
      <w:proofErr w:type="spellEnd"/>
      <w:r>
        <w:t xml:space="preserve"> and GIST). The pivotal study demonstrated an improvement in PF</w:t>
      </w:r>
      <w:r w:rsidR="00933BF1">
        <w:t>S compared to placebo (HR</w:t>
      </w:r>
      <w:r w:rsidR="006E2542">
        <w:t xml:space="preserve"> </w:t>
      </w:r>
      <w:r w:rsidR="00933BF1">
        <w:t>=</w:t>
      </w:r>
      <w:r w:rsidR="006E2542">
        <w:t xml:space="preserve"> </w:t>
      </w:r>
      <w:r w:rsidR="00933BF1">
        <w:t>0.35 (95%CI: 0.26, 0.48)</w:t>
      </w:r>
      <w:r>
        <w:t xml:space="preserve">; p &lt; 0.001). Median PFS was increased from 1.6 months with placebo to 4.6 months with </w:t>
      </w:r>
      <w:proofErr w:type="spellStart"/>
      <w:r>
        <w:t>pazopanib</w:t>
      </w:r>
      <w:proofErr w:type="spellEnd"/>
      <w:r>
        <w:t xml:space="preserve">. There were no significant differences in terms of OS. The PFS benefit obtained with </w:t>
      </w:r>
      <w:proofErr w:type="spellStart"/>
      <w:r>
        <w:t>pazopanib</w:t>
      </w:r>
      <w:proofErr w:type="spellEnd"/>
      <w:r>
        <w:t xml:space="preserve"> in this study was of a comparable magnitude to that obtained with </w:t>
      </w:r>
      <w:proofErr w:type="spellStart"/>
      <w:r>
        <w:t>trabectedin</w:t>
      </w:r>
      <w:proofErr w:type="spellEnd"/>
      <w:r>
        <w:t xml:space="preserve"> in the p</w:t>
      </w:r>
      <w:r w:rsidR="00933BF1">
        <w:t xml:space="preserve">ivotal study in this submission (see </w:t>
      </w:r>
      <w:r w:rsidR="00933BF1">
        <w:fldChar w:fldCharType="begin"/>
      </w:r>
      <w:r w:rsidR="00933BF1">
        <w:instrText xml:space="preserve"> REF _Ref71198647 \h </w:instrText>
      </w:r>
      <w:r w:rsidR="00933BF1">
        <w:fldChar w:fldCharType="separate"/>
      </w:r>
      <w:r w:rsidR="0071409D" w:rsidRPr="00B478CE">
        <w:t xml:space="preserve">Table </w:t>
      </w:r>
      <w:r w:rsidR="0071409D">
        <w:rPr>
          <w:noProof/>
        </w:rPr>
        <w:t>4</w:t>
      </w:r>
      <w:r w:rsidR="00933BF1">
        <w:fldChar w:fldCharType="end"/>
      </w:r>
      <w:r w:rsidR="00933BF1">
        <w:t>).</w:t>
      </w:r>
    </w:p>
    <w:p w14:paraId="5733D31F" w14:textId="75320ADB" w:rsidR="00A81A87" w:rsidRDefault="00A81A87" w:rsidP="00A81A87">
      <w:r>
        <w:t xml:space="preserve">In recent years the TGA has also registered </w:t>
      </w:r>
      <w:proofErr w:type="spellStart"/>
      <w:r>
        <w:t>eribulin</w:t>
      </w:r>
      <w:proofErr w:type="spellEnd"/>
      <w:r>
        <w:t xml:space="preserve"> for the second line treatment of </w:t>
      </w:r>
      <w:proofErr w:type="spellStart"/>
      <w:r>
        <w:t>liposarcoma</w:t>
      </w:r>
      <w:proofErr w:type="spellEnd"/>
      <w:r w:rsidR="00AA1F21">
        <w:t xml:space="preserve"> (see </w:t>
      </w:r>
      <w:r w:rsidR="00AA1F21">
        <w:fldChar w:fldCharType="begin"/>
      </w:r>
      <w:r w:rsidR="00AA1F21">
        <w:instrText xml:space="preserve"> REF _Ref71201265 \h </w:instrText>
      </w:r>
      <w:r w:rsidR="00AA1F21">
        <w:fldChar w:fldCharType="separate"/>
      </w:r>
      <w:r w:rsidR="0071409D" w:rsidRPr="004359D7">
        <w:t xml:space="preserve">Table </w:t>
      </w:r>
      <w:r w:rsidR="0071409D">
        <w:rPr>
          <w:noProof/>
        </w:rPr>
        <w:t>5</w:t>
      </w:r>
      <w:r w:rsidR="00AA1F21">
        <w:fldChar w:fldCharType="end"/>
      </w:r>
      <w:r w:rsidR="00AA1F21">
        <w:t>)</w:t>
      </w:r>
      <w:r>
        <w:t>. The pivotal study in that submission demonstrated a significant benefit in term</w:t>
      </w:r>
      <w:r w:rsidR="00933BF1">
        <w:t xml:space="preserve">s of OS compared to </w:t>
      </w:r>
      <w:proofErr w:type="spellStart"/>
      <w:r w:rsidR="00933BF1">
        <w:t>dacarbazine</w:t>
      </w:r>
      <w:proofErr w:type="spellEnd"/>
      <w:r w:rsidR="00AA1F21">
        <w:t>.</w:t>
      </w:r>
    </w:p>
    <w:p w14:paraId="7A37232D" w14:textId="65D1596A" w:rsidR="00A81A87" w:rsidRDefault="00A81A87" w:rsidP="00A81A87">
      <w:r>
        <w:t xml:space="preserve">Overall, the improvement in PFS observed with </w:t>
      </w:r>
      <w:proofErr w:type="spellStart"/>
      <w:r>
        <w:t>trabectedin</w:t>
      </w:r>
      <w:proofErr w:type="spellEnd"/>
      <w:r>
        <w:t xml:space="preserve"> is considered clinically meaningful, and the evidence to support the efficacy </w:t>
      </w:r>
      <w:proofErr w:type="spellStart"/>
      <w:r>
        <w:t>trabectedin</w:t>
      </w:r>
      <w:proofErr w:type="spellEnd"/>
      <w:r>
        <w:t xml:space="preserve"> for the pr</w:t>
      </w:r>
      <w:r w:rsidR="00933BF1">
        <w:t xml:space="preserve">oposed indication is acceptable (See </w:t>
      </w:r>
      <w:r w:rsidR="00933BF1">
        <w:fldChar w:fldCharType="begin"/>
      </w:r>
      <w:r w:rsidR="00933BF1">
        <w:instrText xml:space="preserve"> REF _Ref71199263 \h </w:instrText>
      </w:r>
      <w:r w:rsidR="00933BF1">
        <w:fldChar w:fldCharType="separate"/>
      </w:r>
      <w:r w:rsidR="0071409D">
        <w:t xml:space="preserve">Figure </w:t>
      </w:r>
      <w:r w:rsidR="0071409D">
        <w:rPr>
          <w:noProof/>
        </w:rPr>
        <w:t>3</w:t>
      </w:r>
      <w:r w:rsidR="00933BF1">
        <w:fldChar w:fldCharType="end"/>
      </w:r>
      <w:r w:rsidR="00933BF1">
        <w:t>).</w:t>
      </w:r>
    </w:p>
    <w:p w14:paraId="304D6A2A" w14:textId="131529C6" w:rsidR="00B478CE" w:rsidRDefault="00B478CE" w:rsidP="00B478CE">
      <w:pPr>
        <w:pStyle w:val="FigureTitle"/>
      </w:pPr>
      <w:bookmarkStart w:id="48" w:name="_Ref71199263"/>
      <w:r>
        <w:t xml:space="preserve">Figure </w:t>
      </w:r>
      <w:fldSimple w:instr=" SEQ Figure \* ARABIC ">
        <w:r w:rsidR="0071409D">
          <w:rPr>
            <w:noProof/>
          </w:rPr>
          <w:t>3</w:t>
        </w:r>
      </w:fldSimple>
      <w:bookmarkEnd w:id="48"/>
      <w:r>
        <w:t>:</w:t>
      </w:r>
      <w:r w:rsidRPr="00B478CE">
        <w:t xml:space="preserve"> </w:t>
      </w:r>
      <w:r>
        <w:t>Study</w:t>
      </w:r>
      <w:r w:rsidRPr="00100DA5">
        <w:t xml:space="preserve"> ET743-SAR-3007</w:t>
      </w:r>
      <w:r>
        <w:t xml:space="preserve"> </w:t>
      </w:r>
      <w:r w:rsidR="006E2542">
        <w:t>Kaplan-Meier c</w:t>
      </w:r>
      <w:r w:rsidRPr="00100DA5">
        <w:t xml:space="preserve">urves </w:t>
      </w:r>
      <w:r w:rsidR="006E2542">
        <w:t>of progression free s</w:t>
      </w:r>
      <w:r>
        <w:t>urvival</w:t>
      </w:r>
    </w:p>
    <w:p w14:paraId="24EE87A1" w14:textId="77777777" w:rsidR="00B478CE" w:rsidRDefault="00B478CE" w:rsidP="00B478CE">
      <w:r>
        <w:rPr>
          <w:noProof/>
          <w:lang w:eastAsia="en-AU"/>
        </w:rPr>
        <w:drawing>
          <wp:inline distT="0" distB="0" distL="0" distR="0" wp14:anchorId="7FCB46BC" wp14:editId="342A0112">
            <wp:extent cx="4821152" cy="3236181"/>
            <wp:effectExtent l="0" t="0" r="0" b="2540"/>
            <wp:docPr id="3" name="Picture 3" descr="Study ET743-SAR-3007 Kaplan-Meier curves of progression free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7909" cy="3247429"/>
                    </a:xfrm>
                    <a:prstGeom prst="rect">
                      <a:avLst/>
                    </a:prstGeom>
                    <a:noFill/>
                  </pic:spPr>
                </pic:pic>
              </a:graphicData>
            </a:graphic>
          </wp:inline>
        </w:drawing>
      </w:r>
    </w:p>
    <w:p w14:paraId="6DD5F211" w14:textId="0DA55BF7" w:rsidR="00A81A87" w:rsidRDefault="004359D7" w:rsidP="004359D7">
      <w:pPr>
        <w:pStyle w:val="TableTitle"/>
      </w:pPr>
      <w:bookmarkStart w:id="49" w:name="_Ref71201265"/>
      <w:r w:rsidRPr="004359D7">
        <w:t xml:space="preserve">Table </w:t>
      </w:r>
      <w:fldSimple w:instr=" SEQ Table \* ARABIC ">
        <w:r w:rsidR="0071409D">
          <w:rPr>
            <w:noProof/>
          </w:rPr>
          <w:t>5</w:t>
        </w:r>
      </w:fldSimple>
      <w:bookmarkEnd w:id="49"/>
      <w:r>
        <w:t>: Study</w:t>
      </w:r>
      <w:r w:rsidRPr="00100DA5">
        <w:t xml:space="preserve"> ET743-SAR-3007</w:t>
      </w:r>
      <w:r>
        <w:t xml:space="preserve"> Selected subsequent anticancer therapy</w:t>
      </w:r>
    </w:p>
    <w:p w14:paraId="43B47A6D" w14:textId="77777777" w:rsidR="004359D7" w:rsidRDefault="004359D7" w:rsidP="00FF1E0D">
      <w:r>
        <w:rPr>
          <w:noProof/>
          <w:lang w:eastAsia="en-AU"/>
        </w:rPr>
        <w:drawing>
          <wp:inline distT="0" distB="0" distL="0" distR="0" wp14:anchorId="377AC28B" wp14:editId="7B861D05">
            <wp:extent cx="3587735" cy="2039063"/>
            <wp:effectExtent l="0" t="0" r="0" b="0"/>
            <wp:docPr id="8" name="Picture 8" descr="Study ET743-SAR-3007 Selected subsequent anticancer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228" t="1086" r="1160" b="25246"/>
                    <a:stretch/>
                  </pic:blipFill>
                  <pic:spPr bwMode="auto">
                    <a:xfrm>
                      <a:off x="0" y="0"/>
                      <a:ext cx="3590871" cy="2040845"/>
                    </a:xfrm>
                    <a:prstGeom prst="rect">
                      <a:avLst/>
                    </a:prstGeom>
                    <a:ln>
                      <a:noFill/>
                    </a:ln>
                    <a:extLst>
                      <a:ext uri="{53640926-AAD7-44D8-BBD7-CCE9431645EC}">
                        <a14:shadowObscured xmlns:a14="http://schemas.microsoft.com/office/drawing/2010/main"/>
                      </a:ext>
                    </a:extLst>
                  </pic:spPr>
                </pic:pic>
              </a:graphicData>
            </a:graphic>
          </wp:inline>
        </w:drawing>
      </w:r>
    </w:p>
    <w:p w14:paraId="7DC971FF" w14:textId="77777777" w:rsidR="006E2542" w:rsidRDefault="006E2542" w:rsidP="006E2542">
      <w:pPr>
        <w:pStyle w:val="TableDescription"/>
      </w:pPr>
      <w:r>
        <w:t xml:space="preserve">Note: Subsequent anticancer therapies that were used for at least 5% of patients in either treatment group were included. In addition, doxorubicin, </w:t>
      </w:r>
      <w:proofErr w:type="spellStart"/>
      <w:r>
        <w:t>eribulin</w:t>
      </w:r>
      <w:proofErr w:type="spellEnd"/>
      <w:r>
        <w:t xml:space="preserve">, and </w:t>
      </w:r>
      <w:proofErr w:type="spellStart"/>
      <w:r>
        <w:t>trabectedin</w:t>
      </w:r>
      <w:proofErr w:type="spellEnd"/>
      <w:r>
        <w:t xml:space="preserve"> were also included on the basis of their previously demonstrated activities.</w:t>
      </w:r>
    </w:p>
    <w:p w14:paraId="34275200" w14:textId="77777777" w:rsidR="00933BF1" w:rsidRDefault="00933BF1" w:rsidP="00933BF1">
      <w:pPr>
        <w:pStyle w:val="Heading4"/>
      </w:pPr>
      <w:r>
        <w:t>Safety</w:t>
      </w:r>
    </w:p>
    <w:p w14:paraId="6381A855" w14:textId="77777777" w:rsidR="00933BF1" w:rsidRDefault="00933BF1" w:rsidP="00933BF1">
      <w:r>
        <w:t xml:space="preserve">Data on the safety of </w:t>
      </w:r>
      <w:proofErr w:type="spellStart"/>
      <w:r>
        <w:t>trabectedin</w:t>
      </w:r>
      <w:proofErr w:type="spellEnd"/>
      <w:r>
        <w:t xml:space="preserve"> as monotherapy was available for 378 subjects in the pivotal study, an additional 525 subjects in other STS studies, an additional 1,341 subjects in studies in other indications and a total of 1,803 subjects in the expanded access program study. The total clinical trial safety database is therefore includes in excess of 4,000 subjects. Most of these subjects were treate</w:t>
      </w:r>
      <w:r w:rsidR="00416162">
        <w:t>d with the proposed dose of 1.5 </w:t>
      </w:r>
      <w:r>
        <w:t>mg/m</w:t>
      </w:r>
      <w:r w:rsidRPr="00CA6FFE">
        <w:rPr>
          <w:vertAlign w:val="superscript"/>
        </w:rPr>
        <w:t>2</w:t>
      </w:r>
      <w:r w:rsidR="00416162">
        <w:t xml:space="preserve"> given over 24 </w:t>
      </w:r>
      <w:r>
        <w:t>hou</w:t>
      </w:r>
      <w:r w:rsidR="00CA6FFE">
        <w:t>rs on D</w:t>
      </w:r>
      <w:r w:rsidR="006E2542">
        <w:t xml:space="preserve">ay 1 of a 21 </w:t>
      </w:r>
      <w:r>
        <w:t>day</w:t>
      </w:r>
      <w:r w:rsidR="006E2542">
        <w:t>s</w:t>
      </w:r>
      <w:r>
        <w:t xml:space="preserve"> cycle. In addition, the drug has been marketed in foreign jurisdictions since 2007. The available database is considered adequate for determining the safety of </w:t>
      </w:r>
      <w:proofErr w:type="spellStart"/>
      <w:r>
        <w:t>trabectedin</w:t>
      </w:r>
      <w:proofErr w:type="spellEnd"/>
      <w:r>
        <w:t>, especially as LMS and LPS are rare diseases.</w:t>
      </w:r>
    </w:p>
    <w:p w14:paraId="0023B906" w14:textId="42D83192" w:rsidR="00933BF1" w:rsidRDefault="00933BF1" w:rsidP="00933BF1">
      <w:r>
        <w:t xml:space="preserve">Compared to </w:t>
      </w:r>
      <w:proofErr w:type="spellStart"/>
      <w:r>
        <w:t>dacarbazine</w:t>
      </w:r>
      <w:proofErr w:type="spellEnd"/>
      <w:r>
        <w:t xml:space="preserve">, </w:t>
      </w:r>
      <w:proofErr w:type="spellStart"/>
      <w:r>
        <w:t>trabectedin</w:t>
      </w:r>
      <w:proofErr w:type="spellEnd"/>
      <w:r>
        <w:t xml:space="preserve"> has significant toxicity. In the pivotal study it was associated </w:t>
      </w:r>
      <w:r w:rsidR="00CA6FFE">
        <w:t>with an increased incidence of G</w:t>
      </w:r>
      <w:r>
        <w:t>rade 3</w:t>
      </w:r>
      <w:r w:rsidR="00CA6FFE">
        <w:t xml:space="preserve"> to </w:t>
      </w:r>
      <w:r>
        <w:t xml:space="preserve">4 </w:t>
      </w:r>
      <w:r w:rsidR="00CA6FFE">
        <w:t>adverse events (</w:t>
      </w:r>
      <w:r>
        <w:t>AE</w:t>
      </w:r>
      <w:r w:rsidR="00CA6FFE">
        <w:t>)</w:t>
      </w:r>
      <w:r>
        <w:t xml:space="preserve"> (81.2% v</w:t>
      </w:r>
      <w:r w:rsidR="00CA6FFE">
        <w:t>ersu</w:t>
      </w:r>
      <w:r>
        <w:t>s 57.0%) and serious AEs (41.0% v</w:t>
      </w:r>
      <w:r w:rsidR="00CA6FFE">
        <w:t>er</w:t>
      </w:r>
      <w:r>
        <w:t>s</w:t>
      </w:r>
      <w:r w:rsidR="00CA6FFE">
        <w:t>us</w:t>
      </w:r>
      <w:r>
        <w:t xml:space="preserve"> 30.2%). It was also associated with</w:t>
      </w:r>
      <w:r w:rsidR="00CA6FFE">
        <w:t xml:space="preserve"> an increased incidence of drug </w:t>
      </w:r>
      <w:r>
        <w:t>related fatal AEs (2.4% v</w:t>
      </w:r>
      <w:r w:rsidR="006E2542">
        <w:t>ersu</w:t>
      </w:r>
      <w:r>
        <w:t xml:space="preserve">s 0%). However, there was lower incidence of deaths due to progressive disease in the </w:t>
      </w:r>
      <w:proofErr w:type="spellStart"/>
      <w:r>
        <w:t>trabectedin</w:t>
      </w:r>
      <w:proofErr w:type="spellEnd"/>
      <w:r>
        <w:t xml:space="preserve"> group (60.1% v</w:t>
      </w:r>
      <w:r w:rsidR="00CA6FFE">
        <w:t>ersu</w:t>
      </w:r>
      <w:r>
        <w:t>s 66.3%) and the efficacy data suggested a non</w:t>
      </w:r>
      <w:r w:rsidR="00CA6FFE">
        <w:t>-</w:t>
      </w:r>
      <w:r>
        <w:t xml:space="preserve">significant trend towards improved overall survival with </w:t>
      </w:r>
      <w:proofErr w:type="spellStart"/>
      <w:r>
        <w:t>trabectedin</w:t>
      </w:r>
      <w:proofErr w:type="spellEnd"/>
      <w:r>
        <w:t>. The incidence of AEs leading to discontinuation of study drug was only modestly increased (26.7% v</w:t>
      </w:r>
      <w:r w:rsidR="00CA6FFE">
        <w:t>ersu</w:t>
      </w:r>
      <w:r>
        <w:t>s 22.1% for all AEs, 16.7% v</w:t>
      </w:r>
      <w:r w:rsidR="00CA6FFE">
        <w:t xml:space="preserve">ersus 7.6% for drug </w:t>
      </w:r>
      <w:r>
        <w:t xml:space="preserve">related AEs) suggesting that </w:t>
      </w:r>
      <w:proofErr w:type="spellStart"/>
      <w:r>
        <w:t>trabectedin</w:t>
      </w:r>
      <w:proofErr w:type="spellEnd"/>
      <w:r>
        <w:t xml:space="preserve"> toxicity is manageable in most patients with dose delays, dose reductions and supportive therapy.</w:t>
      </w:r>
    </w:p>
    <w:p w14:paraId="757DBD1F" w14:textId="77777777" w:rsidR="00933BF1" w:rsidRDefault="00933BF1" w:rsidP="00933BF1">
      <w:r>
        <w:t xml:space="preserve">Specific toxicities associated with </w:t>
      </w:r>
      <w:proofErr w:type="spellStart"/>
      <w:r>
        <w:t>trabectedin</w:t>
      </w:r>
      <w:proofErr w:type="spellEnd"/>
      <w:r>
        <w:t xml:space="preserve"> are:</w:t>
      </w:r>
    </w:p>
    <w:p w14:paraId="73CD32F7" w14:textId="177508AF" w:rsidR="00933BF1" w:rsidRDefault="00F014C3" w:rsidP="00CA6FFE">
      <w:pPr>
        <w:pStyle w:val="ListBullet"/>
      </w:pPr>
      <w:r>
        <w:t>H</w:t>
      </w:r>
      <w:r w:rsidR="00933BF1">
        <w:t xml:space="preserve">aematological toxicity including </w:t>
      </w:r>
      <w:proofErr w:type="spellStart"/>
      <w:r w:rsidR="00933BF1">
        <w:t>neutropaenia</w:t>
      </w:r>
      <w:proofErr w:type="spellEnd"/>
      <w:r w:rsidR="00933BF1">
        <w:t>, thrombocytopaenia and anaemia</w:t>
      </w:r>
      <w:r>
        <w:t>:</w:t>
      </w:r>
      <w:r w:rsidR="00933BF1">
        <w:t xml:space="preserve"> </w:t>
      </w:r>
      <w:proofErr w:type="spellStart"/>
      <w:r w:rsidR="00933BF1">
        <w:t>Neutropaenia</w:t>
      </w:r>
      <w:proofErr w:type="spellEnd"/>
      <w:r w:rsidR="00933BF1">
        <w:t xml:space="preserve"> was the most c</w:t>
      </w:r>
      <w:r w:rsidR="00CA6FFE">
        <w:t xml:space="preserve">ommon of these toxicities with Grade 3 to </w:t>
      </w:r>
      <w:r w:rsidR="00933BF1">
        <w:t>4 toxicity occurring in 42.7%</w:t>
      </w:r>
      <w:r w:rsidR="006E2542">
        <w:t xml:space="preserve"> of subjects </w:t>
      </w:r>
      <w:r w:rsidR="00933BF1">
        <w:t>v</w:t>
      </w:r>
      <w:r w:rsidR="006E2542">
        <w:t xml:space="preserve">ersus 25.6% with </w:t>
      </w:r>
      <w:proofErr w:type="spellStart"/>
      <w:r w:rsidR="006E2542">
        <w:t>dacarbazine</w:t>
      </w:r>
      <w:proofErr w:type="spellEnd"/>
      <w:r w:rsidR="00CA6FFE">
        <w:t xml:space="preserve">. </w:t>
      </w:r>
      <w:proofErr w:type="spellStart"/>
      <w:r w:rsidR="00933BF1">
        <w:t>Neutropaenia</w:t>
      </w:r>
      <w:proofErr w:type="spellEnd"/>
      <w:r w:rsidR="00933BF1">
        <w:t xml:space="preserve"> may be complicated by infection, including sepsis and septic shock. In the pivotal study 1.1% of </w:t>
      </w:r>
      <w:proofErr w:type="spellStart"/>
      <w:r w:rsidR="00933BF1">
        <w:t>trabectedin</w:t>
      </w:r>
      <w:proofErr w:type="spellEnd"/>
      <w:r w:rsidR="00933BF1">
        <w:t xml:space="preserve"> subjects died from sepsis/septic shock v</w:t>
      </w:r>
      <w:r w:rsidR="00CA6FFE">
        <w:t>ersu</w:t>
      </w:r>
      <w:r w:rsidR="006E2542">
        <w:t>s</w:t>
      </w:r>
      <w:r w:rsidR="00933BF1">
        <w:t xml:space="preserve"> 0% with </w:t>
      </w:r>
      <w:proofErr w:type="spellStart"/>
      <w:r w:rsidR="00933BF1">
        <w:t>dacarb</w:t>
      </w:r>
      <w:r w:rsidR="006E2542">
        <w:t>azine</w:t>
      </w:r>
      <w:proofErr w:type="spellEnd"/>
      <w:r w:rsidR="00CA6FFE">
        <w:t>. All these subjects had G</w:t>
      </w:r>
      <w:r w:rsidR="00E85F98">
        <w:t xml:space="preserve">rade 4 </w:t>
      </w:r>
      <w:proofErr w:type="spellStart"/>
      <w:r w:rsidR="00E85F98">
        <w:t>neutropaenia</w:t>
      </w:r>
      <w:proofErr w:type="spellEnd"/>
      <w:r w:rsidR="00E85F98">
        <w:t>.</w:t>
      </w:r>
    </w:p>
    <w:p w14:paraId="22291AC1" w14:textId="77777777" w:rsidR="00933BF1" w:rsidRDefault="00CA6FFE" w:rsidP="00CA6FFE">
      <w:pPr>
        <w:pStyle w:val="ListBullet"/>
      </w:pPr>
      <w:r>
        <w:t xml:space="preserve">Grade 3 to </w:t>
      </w:r>
      <w:r w:rsidR="00933BF1">
        <w:t>4 anaemia and thrombocytopaenia occurred in</w:t>
      </w:r>
      <w:r>
        <w:t xml:space="preserve"> 18.9% and 20.9% of </w:t>
      </w:r>
      <w:proofErr w:type="spellStart"/>
      <w:r>
        <w:t>trabectedin</w:t>
      </w:r>
      <w:proofErr w:type="spellEnd"/>
      <w:r>
        <w:t xml:space="preserve"> </w:t>
      </w:r>
      <w:r w:rsidR="00933BF1">
        <w:t>treated s</w:t>
      </w:r>
      <w:r w:rsidR="00E85F98">
        <w:t>ubjects respectively.</w:t>
      </w:r>
    </w:p>
    <w:p w14:paraId="73966471" w14:textId="1A4C21D0" w:rsidR="00F014C3" w:rsidRDefault="00F014C3" w:rsidP="00CA6FFE">
      <w:pPr>
        <w:pStyle w:val="ListBullet"/>
      </w:pPr>
      <w:r>
        <w:t>Hepatotoxicity:</w:t>
      </w:r>
    </w:p>
    <w:p w14:paraId="1DF41CAE" w14:textId="347B2B35" w:rsidR="00933BF1" w:rsidRDefault="00933BF1" w:rsidP="0071409D">
      <w:pPr>
        <w:pStyle w:val="ListBullet2"/>
      </w:pPr>
      <w:r>
        <w:t xml:space="preserve">Increases in serum </w:t>
      </w:r>
      <w:r w:rsidR="00CA6FFE">
        <w:t>a</w:t>
      </w:r>
      <w:r w:rsidR="00CA6FFE" w:rsidRPr="00CA6FFE">
        <w:t xml:space="preserve">lanine aminotransferase </w:t>
      </w:r>
      <w:r w:rsidR="00CA6FFE">
        <w:t>(</w:t>
      </w:r>
      <w:r>
        <w:t>ALT</w:t>
      </w:r>
      <w:r w:rsidR="00CA6FFE">
        <w:t>)</w:t>
      </w:r>
      <w:r>
        <w:t xml:space="preserve"> and </w:t>
      </w:r>
      <w:r w:rsidR="00CA6FFE" w:rsidRPr="00CA6FFE">
        <w:t xml:space="preserve">aspartate aminotransferase </w:t>
      </w:r>
      <w:r w:rsidR="00CA6FFE">
        <w:t>(</w:t>
      </w:r>
      <w:r>
        <w:t>AST</w:t>
      </w:r>
      <w:r w:rsidR="00CA6FFE">
        <w:t xml:space="preserve">) were very common, with new Grade 3 to </w:t>
      </w:r>
      <w:r>
        <w:t>4 abnormalities occurring in 31.5% and 16.7% of subjects respectively in the pivotal study. Increases in serum bilir</w:t>
      </w:r>
      <w:r w:rsidR="00CA6FFE">
        <w:t xml:space="preserve">ubin were less common with new Grade 3 to </w:t>
      </w:r>
      <w:r>
        <w:t>4 abnormalities bein</w:t>
      </w:r>
      <w:r w:rsidR="00E85F98">
        <w:t>g reported in 1.9% of subjects.</w:t>
      </w:r>
    </w:p>
    <w:p w14:paraId="38FD0C63" w14:textId="7A6D4043" w:rsidR="00933BF1" w:rsidRDefault="00F014C3" w:rsidP="0071409D">
      <w:pPr>
        <w:pStyle w:val="ListBullet2"/>
      </w:pPr>
      <w:r>
        <w:t>A</w:t>
      </w:r>
      <w:r w:rsidR="00933BF1">
        <w:t xml:space="preserve">cross the clinical trial program there were multiple subjects who met the criteria for a </w:t>
      </w:r>
      <w:proofErr w:type="spellStart"/>
      <w:r w:rsidR="00933BF1">
        <w:t>Hy’s</w:t>
      </w:r>
      <w:proofErr w:type="spellEnd"/>
      <w:r w:rsidR="00933BF1">
        <w:t xml:space="preserve"> law case,</w:t>
      </w:r>
      <w:r w:rsidR="00CA6FFE">
        <w:rPr>
          <w:rStyle w:val="FootnoteReference"/>
        </w:rPr>
        <w:footnoteReference w:id="20"/>
      </w:r>
      <w:r w:rsidR="00933BF1">
        <w:t xml:space="preserve"> indicating that </w:t>
      </w:r>
      <w:proofErr w:type="spellStart"/>
      <w:r w:rsidR="00933BF1">
        <w:t>trabectedin</w:t>
      </w:r>
      <w:proofErr w:type="spellEnd"/>
      <w:r w:rsidR="00933BF1">
        <w:t xml:space="preserve"> is likely to be associated with sev</w:t>
      </w:r>
      <w:r w:rsidR="00CA6FFE">
        <w:t xml:space="preserve">ere drug-induced liver injury. </w:t>
      </w:r>
      <w:r w:rsidR="00933BF1">
        <w:t>A post-marketing review of the sponsor’s safety database concluded</w:t>
      </w:r>
      <w:r w:rsidR="00416162">
        <w:t xml:space="preserve"> that the term ‘</w:t>
      </w:r>
      <w:r w:rsidR="00416162" w:rsidRPr="00416162">
        <w:rPr>
          <w:i/>
        </w:rPr>
        <w:t>hepatic failure</w:t>
      </w:r>
      <w:r w:rsidR="00416162">
        <w:t>’</w:t>
      </w:r>
      <w:r w:rsidR="00933BF1">
        <w:t xml:space="preserve"> should be listed as an adverse reaction in the prescribing information.</w:t>
      </w:r>
    </w:p>
    <w:p w14:paraId="5ED10F40" w14:textId="6D41FE81" w:rsidR="00933BF1" w:rsidRDefault="00F014C3" w:rsidP="00E85F98">
      <w:pPr>
        <w:pStyle w:val="ListBullet"/>
      </w:pPr>
      <w:r>
        <w:t>M</w:t>
      </w:r>
      <w:r w:rsidR="00933BF1">
        <w:t>uscle toxicity</w:t>
      </w:r>
      <w:r>
        <w:t>:</w:t>
      </w:r>
      <w:r w:rsidR="00933BF1">
        <w:t xml:space="preserve"> In the pivotal study, new </w:t>
      </w:r>
      <w:r w:rsidR="00CA6FFE">
        <w:t>G</w:t>
      </w:r>
      <w:r w:rsidR="00933BF1">
        <w:t xml:space="preserve">rade 3 or 4 increases in </w:t>
      </w:r>
      <w:proofErr w:type="spellStart"/>
      <w:r w:rsidR="00E85F98" w:rsidRPr="00E85F98">
        <w:t>creatine</w:t>
      </w:r>
      <w:proofErr w:type="spellEnd"/>
      <w:r w:rsidR="00E85F98" w:rsidRPr="00E85F98">
        <w:t xml:space="preserve"> phosphokinase </w:t>
      </w:r>
      <w:r w:rsidR="00E85F98">
        <w:t>(</w:t>
      </w:r>
      <w:r w:rsidR="00933BF1">
        <w:t>CPK</w:t>
      </w:r>
      <w:r w:rsidR="00E85F98">
        <w:t>)</w:t>
      </w:r>
      <w:r w:rsidR="00933BF1">
        <w:t xml:space="preserve"> occurred in 0.6% of subjects in the </w:t>
      </w:r>
      <w:proofErr w:type="spellStart"/>
      <w:r w:rsidR="00933BF1">
        <w:t>dacarbazine</w:t>
      </w:r>
      <w:proofErr w:type="spellEnd"/>
      <w:r w:rsidR="00933BF1">
        <w:t xml:space="preserve"> arm and 6.4% of subjects in the </w:t>
      </w:r>
      <w:proofErr w:type="spellStart"/>
      <w:r w:rsidR="00933BF1">
        <w:t>trabectedin</w:t>
      </w:r>
      <w:proofErr w:type="spellEnd"/>
      <w:r w:rsidR="00933BF1">
        <w:t xml:space="preserve"> arm. Rhabdomyolysis was reported as a serious AE in 1.1% o</w:t>
      </w:r>
      <w:r w:rsidR="006E2542">
        <w:t xml:space="preserve">f </w:t>
      </w:r>
      <w:proofErr w:type="spellStart"/>
      <w:r w:rsidR="006E2542">
        <w:t>trabectedin</w:t>
      </w:r>
      <w:proofErr w:type="spellEnd"/>
      <w:r w:rsidR="006E2542">
        <w:t xml:space="preserve">-treated subjects </w:t>
      </w:r>
      <w:r w:rsidR="00933BF1">
        <w:t>v</w:t>
      </w:r>
      <w:r w:rsidR="00E85F98">
        <w:t>ersu</w:t>
      </w:r>
      <w:r w:rsidR="006E2542">
        <w:t xml:space="preserve">s 0% in the </w:t>
      </w:r>
      <w:proofErr w:type="spellStart"/>
      <w:r w:rsidR="006E2542">
        <w:t>dacarbazine</w:t>
      </w:r>
      <w:proofErr w:type="spellEnd"/>
      <w:r w:rsidR="006E2542">
        <w:t xml:space="preserve"> arm</w:t>
      </w:r>
      <w:r w:rsidR="00933BF1">
        <w:t xml:space="preserve"> and was reported as a</w:t>
      </w:r>
      <w:r w:rsidR="00E85F98">
        <w:t xml:space="preserve"> fatal AE in 2 subjects (0.5%).</w:t>
      </w:r>
    </w:p>
    <w:p w14:paraId="1542E990" w14:textId="62B247E0" w:rsidR="00933BF1" w:rsidRDefault="00F014C3" w:rsidP="00CA6FFE">
      <w:pPr>
        <w:pStyle w:val="ListBullet"/>
      </w:pPr>
      <w:r>
        <w:t>G</w:t>
      </w:r>
      <w:r w:rsidR="00933BF1">
        <w:t>astrointestinal toxicity</w:t>
      </w:r>
      <w:r>
        <w:t>:</w:t>
      </w:r>
      <w:r w:rsidR="00933BF1">
        <w:t xml:space="preserve"> Nausea, vomiting and anorexia were very commo</w:t>
      </w:r>
      <w:r w:rsidR="00E85F98">
        <w:t xml:space="preserve">nly reported AEs in </w:t>
      </w:r>
      <w:proofErr w:type="spellStart"/>
      <w:r w:rsidR="00E85F98">
        <w:t>trabectedin</w:t>
      </w:r>
      <w:proofErr w:type="spellEnd"/>
      <w:r w:rsidR="00E85F98">
        <w:t xml:space="preserve"> </w:t>
      </w:r>
      <w:r w:rsidR="00933BF1">
        <w:t>treated subjects.</w:t>
      </w:r>
    </w:p>
    <w:p w14:paraId="4306EE96" w14:textId="03899D71" w:rsidR="00933BF1" w:rsidRDefault="00F014C3" w:rsidP="00CA6FFE">
      <w:pPr>
        <w:pStyle w:val="ListBullet"/>
      </w:pPr>
      <w:r>
        <w:t>F</w:t>
      </w:r>
      <w:r w:rsidR="00933BF1">
        <w:t xml:space="preserve">atigue was commonly reported with </w:t>
      </w:r>
      <w:proofErr w:type="spellStart"/>
      <w:r w:rsidR="00933BF1">
        <w:t>trabectedin</w:t>
      </w:r>
      <w:proofErr w:type="spellEnd"/>
      <w:r w:rsidR="00933BF1">
        <w:t xml:space="preserve"> than with </w:t>
      </w:r>
      <w:proofErr w:type="spellStart"/>
      <w:r w:rsidR="00933BF1">
        <w:t>dacarbazine</w:t>
      </w:r>
      <w:proofErr w:type="spellEnd"/>
      <w:r w:rsidR="00933BF1">
        <w:t xml:space="preserve"> (69.3% v</w:t>
      </w:r>
      <w:r w:rsidR="00E85F98">
        <w:t>ersu</w:t>
      </w:r>
      <w:r w:rsidR="00933BF1">
        <w:t>s 52.3%).</w:t>
      </w:r>
    </w:p>
    <w:p w14:paraId="7BFBCFF3" w14:textId="0347D1DD" w:rsidR="00933BF1" w:rsidRDefault="00F014C3" w:rsidP="00CA6FFE">
      <w:pPr>
        <w:pStyle w:val="ListBullet"/>
      </w:pPr>
      <w:r>
        <w:t>C</w:t>
      </w:r>
      <w:r w:rsidR="00933BF1">
        <w:t>ardiac toxicity with an increased incidence of heart failure (2.9% v</w:t>
      </w:r>
      <w:r w:rsidR="00E85F98">
        <w:t>ersus</w:t>
      </w:r>
      <w:r w:rsidR="00933BF1">
        <w:t xml:space="preserve"> 0.6%) and decre</w:t>
      </w:r>
      <w:r w:rsidR="00E85F98">
        <w:t>ased ejection fraction (3.4% versus</w:t>
      </w:r>
      <w:r w:rsidR="00933BF1">
        <w:t xml:space="preserve"> 2.3%) compared to </w:t>
      </w:r>
      <w:proofErr w:type="spellStart"/>
      <w:r w:rsidR="00933BF1">
        <w:t>dacarbazine</w:t>
      </w:r>
      <w:proofErr w:type="spellEnd"/>
      <w:r w:rsidR="00933BF1">
        <w:t>.</w:t>
      </w:r>
    </w:p>
    <w:p w14:paraId="066586DB" w14:textId="69D4DCB2" w:rsidR="00933BF1" w:rsidRDefault="00F014C3" w:rsidP="00CA6FFE">
      <w:pPr>
        <w:pStyle w:val="ListBullet"/>
      </w:pPr>
      <w:r>
        <w:t>R</w:t>
      </w:r>
      <w:r w:rsidR="00933BF1">
        <w:t xml:space="preserve">espiratory symptoms (mainly dyspnoea and cough) were reported more commonly with </w:t>
      </w:r>
      <w:proofErr w:type="spellStart"/>
      <w:r w:rsidR="00933BF1">
        <w:t>trabectedin</w:t>
      </w:r>
      <w:proofErr w:type="spellEnd"/>
      <w:r w:rsidR="00933BF1">
        <w:t xml:space="preserve"> than with </w:t>
      </w:r>
      <w:proofErr w:type="spellStart"/>
      <w:r w:rsidR="00933BF1">
        <w:t>dacarbazine</w:t>
      </w:r>
      <w:proofErr w:type="spellEnd"/>
      <w:r w:rsidR="00933BF1">
        <w:t>.</w:t>
      </w:r>
    </w:p>
    <w:p w14:paraId="7FF3307C" w14:textId="48C9D7B0" w:rsidR="00933BF1" w:rsidRDefault="00F014C3" w:rsidP="00CA6FFE">
      <w:pPr>
        <w:pStyle w:val="ListBullet"/>
      </w:pPr>
      <w:r>
        <w:t>L</w:t>
      </w:r>
      <w:r w:rsidR="00933BF1">
        <w:t>ocal infusion reactions secondary to extravasation (based on post-marketing data).</w:t>
      </w:r>
    </w:p>
    <w:p w14:paraId="2F97F657" w14:textId="594555F8" w:rsidR="00933BF1" w:rsidRDefault="00F014C3" w:rsidP="00CA6FFE">
      <w:pPr>
        <w:pStyle w:val="ListBullet"/>
      </w:pPr>
      <w:r>
        <w:t>H</w:t>
      </w:r>
      <w:r w:rsidR="00933BF1">
        <w:t>ypersensitivity reactions (based on post-marketing data).</w:t>
      </w:r>
    </w:p>
    <w:p w14:paraId="73D233A8" w14:textId="1DF3592C" w:rsidR="00933BF1" w:rsidRDefault="00F014C3" w:rsidP="00CA6FFE">
      <w:pPr>
        <w:pStyle w:val="ListBullet"/>
      </w:pPr>
      <w:r>
        <w:t>C</w:t>
      </w:r>
      <w:r w:rsidR="00933BF1">
        <w:t>apillary leak syndrome (based on post-marketing data).</w:t>
      </w:r>
    </w:p>
    <w:p w14:paraId="62149BE1" w14:textId="77777777" w:rsidR="00933BF1" w:rsidRDefault="00933BF1" w:rsidP="00933BF1">
      <w:r>
        <w:t xml:space="preserve">In the pivotal study, </w:t>
      </w:r>
      <w:proofErr w:type="spellStart"/>
      <w:r>
        <w:t>trabectedin</w:t>
      </w:r>
      <w:proofErr w:type="spellEnd"/>
      <w:r>
        <w:t xml:space="preserve"> treatment was associated with a higher incidence of increased serum creatinine. The sponsor has not included renal toxicity as an adverse drug reaction in the proposed PI or in the </w:t>
      </w:r>
      <w:r w:rsidR="00E85F98">
        <w:t>risk management plan (</w:t>
      </w:r>
      <w:r>
        <w:t>RMP</w:t>
      </w:r>
      <w:r w:rsidR="00E85F98">
        <w:t>)</w:t>
      </w:r>
      <w:r>
        <w:t xml:space="preserve">. The creatinine elevations may be a reflection of the increased incidence of nausea, vomiting and dehydration observed with </w:t>
      </w:r>
      <w:proofErr w:type="spellStart"/>
      <w:r>
        <w:t>trabectedin</w:t>
      </w:r>
      <w:proofErr w:type="spellEnd"/>
      <w:r>
        <w:t>. The incidence of renal failure as an adverse event was only increased slightly</w:t>
      </w:r>
      <w:r w:rsidR="00E85F98">
        <w:t xml:space="preserve"> in the </w:t>
      </w:r>
      <w:proofErr w:type="spellStart"/>
      <w:r w:rsidR="00E85F98">
        <w:t>trabectedin</w:t>
      </w:r>
      <w:proofErr w:type="spellEnd"/>
      <w:r w:rsidR="00E85F98">
        <w:t xml:space="preserve"> arm (4.5% versus</w:t>
      </w:r>
      <w:r>
        <w:t xml:space="preserve"> 3.5%). According to the </w:t>
      </w:r>
      <w:r w:rsidR="00F206D5" w:rsidRPr="00F206D5">
        <w:t>summary of clinical safety report</w:t>
      </w:r>
      <w:r w:rsidR="00353080" w:rsidRPr="00F206D5">
        <w:t>,</w:t>
      </w:r>
      <w:r w:rsidR="00353080">
        <w:t xml:space="preserve"> most cases of renal failure ‘</w:t>
      </w:r>
      <w:r w:rsidRPr="00353080">
        <w:rPr>
          <w:i/>
        </w:rPr>
        <w:t>were known to have occurred in the presence of confounding factors, developing in the clinical context of a rhabdomyolysis/sepsis, disease progression, dehydration/gastrointestinal bleeding, or congest</w:t>
      </w:r>
      <w:r w:rsidR="00353080" w:rsidRPr="00353080">
        <w:rPr>
          <w:i/>
        </w:rPr>
        <w:t>ive cardiac failure/hypotension</w:t>
      </w:r>
      <w:r w:rsidR="00353080">
        <w:t>’</w:t>
      </w:r>
      <w:r>
        <w:t>.</w:t>
      </w:r>
    </w:p>
    <w:p w14:paraId="4BACFDA6" w14:textId="59D55405" w:rsidR="00933BF1" w:rsidRDefault="00353080" w:rsidP="00933BF1">
      <w:r>
        <w:t>Catheter</w:t>
      </w:r>
      <w:r w:rsidR="00F014C3">
        <w:noBreakHyphen/>
      </w:r>
      <w:r w:rsidR="00933BF1">
        <w:t xml:space="preserve">related complications were more common with </w:t>
      </w:r>
      <w:proofErr w:type="spellStart"/>
      <w:r w:rsidR="00933BF1">
        <w:t>trabectedin</w:t>
      </w:r>
      <w:proofErr w:type="spellEnd"/>
      <w:r w:rsidR="00933BF1">
        <w:t xml:space="preserve"> in the pivotal study. This may have been due to more frequent use of a central line in this group.</w:t>
      </w:r>
    </w:p>
    <w:p w14:paraId="468BAD42" w14:textId="77777777" w:rsidR="00933BF1" w:rsidRPr="00B478CE" w:rsidRDefault="00933BF1" w:rsidP="00933BF1">
      <w:r>
        <w:t xml:space="preserve">Unresectable advanced or </w:t>
      </w:r>
      <w:r w:rsidR="00353080">
        <w:t xml:space="preserve">metastatic LPS and LMS are life </w:t>
      </w:r>
      <w:r>
        <w:t>threatening conditions associated with poor survival as shown by a median overall su</w:t>
      </w:r>
      <w:r w:rsidR="00353080">
        <w:t xml:space="preserve">rvival of only approximately 13 to </w:t>
      </w:r>
      <w:r>
        <w:t xml:space="preserve">14 months in the pivotal study in this submission. In this setting, the above toxicities produced by </w:t>
      </w:r>
      <w:proofErr w:type="spellStart"/>
      <w:r>
        <w:t>trabectedin</w:t>
      </w:r>
      <w:proofErr w:type="spellEnd"/>
      <w:r>
        <w:t xml:space="preserve"> would be considered acceptable</w:t>
      </w:r>
    </w:p>
    <w:p w14:paraId="7782A2A7" w14:textId="77777777" w:rsidR="008E7846" w:rsidRDefault="00386150" w:rsidP="007B6132">
      <w:pPr>
        <w:pStyle w:val="Heading3"/>
        <w:rPr>
          <w:lang w:eastAsia="en-AU"/>
        </w:rPr>
      </w:pPr>
      <w:bookmarkStart w:id="50" w:name="_Toc72489981"/>
      <w:r>
        <w:rPr>
          <w:lang w:eastAsia="en-AU"/>
        </w:rPr>
        <w:t>Risk m</w:t>
      </w:r>
      <w:r w:rsidR="008E7846">
        <w:rPr>
          <w:lang w:eastAsia="en-AU"/>
        </w:rPr>
        <w:t xml:space="preserve">anagement </w:t>
      </w:r>
      <w:r>
        <w:rPr>
          <w:lang w:eastAsia="en-AU"/>
        </w:rPr>
        <w:t>p</w:t>
      </w:r>
      <w:r w:rsidR="008E7846">
        <w:rPr>
          <w:lang w:eastAsia="en-AU"/>
        </w:rPr>
        <w:t>lan</w:t>
      </w:r>
      <w:bookmarkEnd w:id="44"/>
      <w:bookmarkEnd w:id="50"/>
    </w:p>
    <w:p w14:paraId="69A6CD29" w14:textId="77777777" w:rsidR="007D53B6" w:rsidRDefault="00353080" w:rsidP="00353080">
      <w:r>
        <w:t xml:space="preserve">Specialised Therapeutics Pharma Pty Ltd has submitted EU-RMP </w:t>
      </w:r>
      <w:r w:rsidR="00DC7B5C">
        <w:t>version 8 (date 31 March 2017; data lock point (D</w:t>
      </w:r>
      <w:r>
        <w:t>LP</w:t>
      </w:r>
      <w:r w:rsidR="00DC7B5C">
        <w:t>)</w:t>
      </w:r>
      <w:r>
        <w:t xml:space="preserve"> 17 September 2016) and </w:t>
      </w:r>
      <w:r w:rsidR="00DC7B5C">
        <w:t>Australian specific annex (</w:t>
      </w:r>
      <w:r>
        <w:t>ASA</w:t>
      </w:r>
      <w:r w:rsidR="00DC7B5C">
        <w:t>) version 0.1 (</w:t>
      </w:r>
      <w:r>
        <w:t>March 2020) in support of this application.</w:t>
      </w:r>
    </w:p>
    <w:p w14:paraId="3F199EB2" w14:textId="32FC9789" w:rsidR="007D53B6" w:rsidRDefault="007D53B6" w:rsidP="007D53B6">
      <w:r>
        <w:t>The summary of safety concerns and their associated risk monitoring and mitigation strate</w:t>
      </w:r>
      <w:r w:rsidR="00DC7B5C">
        <w:t xml:space="preserve">gies are summarised in </w:t>
      </w:r>
      <w:r w:rsidR="00DC7B5C">
        <w:fldChar w:fldCharType="begin"/>
      </w:r>
      <w:r w:rsidR="00DC7B5C">
        <w:instrText xml:space="preserve"> REF _Ref71273025 \h </w:instrText>
      </w:r>
      <w:r w:rsidR="00DC7B5C">
        <w:fldChar w:fldCharType="separate"/>
      </w:r>
      <w:r w:rsidR="0071409D">
        <w:t xml:space="preserve">Table </w:t>
      </w:r>
      <w:r w:rsidR="0071409D">
        <w:rPr>
          <w:noProof/>
        </w:rPr>
        <w:t>6</w:t>
      </w:r>
      <w:r w:rsidR="00DC7B5C">
        <w:fldChar w:fldCharType="end"/>
      </w:r>
      <w:r w:rsidR="00DC7B5C">
        <w:t>.</w:t>
      </w:r>
      <w:r>
        <w:rPr>
          <w:rStyle w:val="FootnoteReference"/>
        </w:rPr>
        <w:footnoteReference w:id="21"/>
      </w:r>
    </w:p>
    <w:p w14:paraId="54E9F5B8" w14:textId="72092D0C" w:rsidR="00DC7B5C" w:rsidRDefault="00DC7B5C" w:rsidP="00DC7B5C">
      <w:pPr>
        <w:pStyle w:val="TableTitle"/>
      </w:pPr>
      <w:bookmarkStart w:id="51" w:name="_Ref71273025"/>
      <w:r>
        <w:t xml:space="preserve">Table </w:t>
      </w:r>
      <w:fldSimple w:instr=" SEQ Table \* ARABIC ">
        <w:r w:rsidR="0071409D">
          <w:rPr>
            <w:noProof/>
          </w:rPr>
          <w:t>6</w:t>
        </w:r>
      </w:fldSimple>
      <w:bookmarkEnd w:id="51"/>
      <w:r>
        <w:t>: Summary of safety concerns and their associated risk monitoring and mitigation strategies for Yondelis</w:t>
      </w:r>
    </w:p>
    <w:tbl>
      <w:tblPr>
        <w:tblStyle w:val="TableTGAblue"/>
        <w:tblW w:w="5000" w:type="pct"/>
        <w:tblLook w:val="04A0" w:firstRow="1" w:lastRow="0" w:firstColumn="1" w:lastColumn="0" w:noHBand="0" w:noVBand="1"/>
      </w:tblPr>
      <w:tblGrid>
        <w:gridCol w:w="1612"/>
        <w:gridCol w:w="2276"/>
        <w:gridCol w:w="1042"/>
        <w:gridCol w:w="1261"/>
        <w:gridCol w:w="1042"/>
        <w:gridCol w:w="1261"/>
      </w:tblGrid>
      <w:tr w:rsidR="00353080" w:rsidRPr="00BF52F4" w14:paraId="295DC567" w14:textId="77777777" w:rsidTr="00353080">
        <w:trPr>
          <w:cnfStyle w:val="100000000000" w:firstRow="1" w:lastRow="0" w:firstColumn="0" w:lastColumn="0" w:oddVBand="0" w:evenVBand="0" w:oddHBand="0" w:evenHBand="0" w:firstRowFirstColumn="0" w:firstRowLastColumn="0" w:lastRowFirstColumn="0" w:lastRowLastColumn="0"/>
          <w:trHeight w:val="131"/>
        </w:trPr>
        <w:tc>
          <w:tcPr>
            <w:tcW w:w="2935" w:type="pct"/>
            <w:gridSpan w:val="2"/>
            <w:vMerge w:val="restart"/>
            <w:tcBorders>
              <w:top w:val="single" w:sz="4" w:space="0" w:color="auto"/>
              <w:left w:val="single" w:sz="4" w:space="0" w:color="auto"/>
              <w:bottom w:val="single" w:sz="4" w:space="0" w:color="auto"/>
              <w:right w:val="single" w:sz="4" w:space="0" w:color="auto"/>
            </w:tcBorders>
          </w:tcPr>
          <w:p w14:paraId="2E8472A1" w14:textId="77777777" w:rsidR="00353080" w:rsidRPr="00BF52F4" w:rsidRDefault="00353080" w:rsidP="00237024">
            <w:pPr>
              <w:pStyle w:val="Tabletext"/>
              <w:rPr>
                <w:b w:val="0"/>
              </w:rPr>
            </w:pPr>
            <w:r w:rsidRPr="00BF52F4">
              <w:t>Sum</w:t>
            </w:r>
            <w:bookmarkStart w:id="52" w:name="_GoBack"/>
            <w:bookmarkEnd w:id="52"/>
            <w:r w:rsidRPr="00BF52F4">
              <w:t>mary of safety concerns</w:t>
            </w:r>
          </w:p>
        </w:tc>
        <w:tc>
          <w:tcPr>
            <w:tcW w:w="1033" w:type="pct"/>
            <w:gridSpan w:val="2"/>
            <w:tcBorders>
              <w:top w:val="single" w:sz="4" w:space="0" w:color="auto"/>
              <w:left w:val="single" w:sz="4" w:space="0" w:color="auto"/>
              <w:bottom w:val="single" w:sz="4" w:space="0" w:color="auto"/>
              <w:right w:val="single" w:sz="4" w:space="0" w:color="auto"/>
            </w:tcBorders>
          </w:tcPr>
          <w:p w14:paraId="2A2E5BB6" w14:textId="77777777" w:rsidR="00353080" w:rsidRPr="00BF52F4" w:rsidRDefault="00353080" w:rsidP="00353080">
            <w:pPr>
              <w:pStyle w:val="Tabletext"/>
              <w:ind w:left="0"/>
              <w:jc w:val="center"/>
              <w:rPr>
                <w:b w:val="0"/>
                <w:sz w:val="18"/>
              </w:rPr>
            </w:pPr>
            <w:r w:rsidRPr="00BF52F4">
              <w:rPr>
                <w:sz w:val="18"/>
              </w:rPr>
              <w:t>Pharmacovigilance</w:t>
            </w:r>
          </w:p>
        </w:tc>
        <w:tc>
          <w:tcPr>
            <w:tcW w:w="1033" w:type="pct"/>
            <w:gridSpan w:val="2"/>
            <w:tcBorders>
              <w:top w:val="single" w:sz="4" w:space="0" w:color="auto"/>
              <w:left w:val="single" w:sz="4" w:space="0" w:color="auto"/>
              <w:bottom w:val="single" w:sz="4" w:space="0" w:color="auto"/>
              <w:right w:val="single" w:sz="4" w:space="0" w:color="auto"/>
            </w:tcBorders>
          </w:tcPr>
          <w:p w14:paraId="4F812B0F" w14:textId="77777777" w:rsidR="00353080" w:rsidRPr="00BF52F4" w:rsidRDefault="00353080" w:rsidP="00353080">
            <w:pPr>
              <w:pStyle w:val="Tabletext"/>
              <w:ind w:left="0"/>
              <w:jc w:val="center"/>
              <w:rPr>
                <w:b w:val="0"/>
                <w:sz w:val="18"/>
              </w:rPr>
            </w:pPr>
            <w:r w:rsidRPr="00BF52F4">
              <w:rPr>
                <w:sz w:val="18"/>
              </w:rPr>
              <w:t>Risk Minimisation</w:t>
            </w:r>
          </w:p>
        </w:tc>
      </w:tr>
      <w:tr w:rsidR="00353080" w:rsidRPr="00BF52F4" w14:paraId="355D423F" w14:textId="77777777" w:rsidTr="00353080">
        <w:trPr>
          <w:trHeight w:val="150"/>
        </w:trPr>
        <w:tc>
          <w:tcPr>
            <w:tcW w:w="2935" w:type="pct"/>
            <w:gridSpan w:val="2"/>
            <w:vMerge/>
            <w:tcBorders>
              <w:top w:val="single" w:sz="4" w:space="0" w:color="auto"/>
              <w:left w:val="single" w:sz="4" w:space="0" w:color="auto"/>
              <w:bottom w:val="single" w:sz="4" w:space="0" w:color="auto"/>
              <w:right w:val="single" w:sz="4" w:space="0" w:color="auto"/>
            </w:tcBorders>
          </w:tcPr>
          <w:p w14:paraId="0D6AC9ED" w14:textId="77777777" w:rsidR="00353080" w:rsidRPr="00BF52F4" w:rsidRDefault="00353080" w:rsidP="00237024">
            <w:pPr>
              <w:pStyle w:val="Tabletext"/>
              <w:rPr>
                <w:b/>
              </w:rPr>
            </w:pPr>
          </w:p>
        </w:tc>
        <w:tc>
          <w:tcPr>
            <w:tcW w:w="457" w:type="pct"/>
            <w:tcBorders>
              <w:top w:val="single" w:sz="4" w:space="0" w:color="auto"/>
              <w:left w:val="single" w:sz="4" w:space="0" w:color="auto"/>
              <w:bottom w:val="single" w:sz="4" w:space="0" w:color="auto"/>
              <w:right w:val="single" w:sz="4" w:space="0" w:color="auto"/>
            </w:tcBorders>
            <w:shd w:val="clear" w:color="auto" w:fill="006DA7"/>
          </w:tcPr>
          <w:p w14:paraId="54D143D7" w14:textId="77777777" w:rsidR="00353080" w:rsidRPr="00353080" w:rsidRDefault="00353080" w:rsidP="00353080">
            <w:pPr>
              <w:pStyle w:val="Tabletext"/>
              <w:ind w:left="0"/>
              <w:rPr>
                <w:b/>
                <w:color w:val="F2F2F2" w:themeColor="background1" w:themeShade="F2"/>
                <w:sz w:val="18"/>
              </w:rPr>
            </w:pPr>
            <w:r w:rsidRPr="00353080">
              <w:rPr>
                <w:b/>
                <w:color w:val="F2F2F2" w:themeColor="background1" w:themeShade="F2"/>
                <w:sz w:val="18"/>
              </w:rPr>
              <w:t>Routine</w:t>
            </w:r>
          </w:p>
        </w:tc>
        <w:tc>
          <w:tcPr>
            <w:tcW w:w="575" w:type="pct"/>
            <w:tcBorders>
              <w:top w:val="single" w:sz="4" w:space="0" w:color="auto"/>
              <w:left w:val="single" w:sz="4" w:space="0" w:color="auto"/>
              <w:bottom w:val="single" w:sz="4" w:space="0" w:color="auto"/>
              <w:right w:val="single" w:sz="4" w:space="0" w:color="auto"/>
            </w:tcBorders>
            <w:shd w:val="clear" w:color="auto" w:fill="006DA7"/>
          </w:tcPr>
          <w:p w14:paraId="7B247887" w14:textId="77777777" w:rsidR="00353080" w:rsidRPr="00353080" w:rsidRDefault="00353080" w:rsidP="00353080">
            <w:pPr>
              <w:pStyle w:val="Tabletext"/>
              <w:ind w:left="0"/>
              <w:rPr>
                <w:b/>
                <w:color w:val="F2F2F2" w:themeColor="background1" w:themeShade="F2"/>
                <w:sz w:val="18"/>
              </w:rPr>
            </w:pPr>
            <w:r w:rsidRPr="00353080">
              <w:rPr>
                <w:b/>
                <w:color w:val="F2F2F2" w:themeColor="background1" w:themeShade="F2"/>
                <w:sz w:val="18"/>
              </w:rPr>
              <w:t>Additional</w:t>
            </w:r>
          </w:p>
        </w:tc>
        <w:tc>
          <w:tcPr>
            <w:tcW w:w="457" w:type="pct"/>
            <w:tcBorders>
              <w:top w:val="single" w:sz="4" w:space="0" w:color="auto"/>
              <w:left w:val="single" w:sz="4" w:space="0" w:color="auto"/>
              <w:bottom w:val="single" w:sz="4" w:space="0" w:color="auto"/>
              <w:right w:val="single" w:sz="4" w:space="0" w:color="auto"/>
            </w:tcBorders>
            <w:shd w:val="clear" w:color="auto" w:fill="006DA7"/>
          </w:tcPr>
          <w:p w14:paraId="4130C2B0" w14:textId="77777777" w:rsidR="00353080" w:rsidRPr="00353080" w:rsidRDefault="00353080" w:rsidP="00353080">
            <w:pPr>
              <w:pStyle w:val="Tabletext"/>
              <w:ind w:left="0"/>
              <w:rPr>
                <w:b/>
                <w:color w:val="F2F2F2" w:themeColor="background1" w:themeShade="F2"/>
                <w:sz w:val="18"/>
              </w:rPr>
            </w:pPr>
            <w:r w:rsidRPr="00353080">
              <w:rPr>
                <w:b/>
                <w:color w:val="F2F2F2" w:themeColor="background1" w:themeShade="F2"/>
                <w:sz w:val="18"/>
              </w:rPr>
              <w:t>Routine</w:t>
            </w:r>
          </w:p>
        </w:tc>
        <w:tc>
          <w:tcPr>
            <w:tcW w:w="575" w:type="pct"/>
            <w:tcBorders>
              <w:top w:val="single" w:sz="4" w:space="0" w:color="auto"/>
              <w:left w:val="single" w:sz="4" w:space="0" w:color="auto"/>
              <w:bottom w:val="single" w:sz="4" w:space="0" w:color="auto"/>
              <w:right w:val="single" w:sz="4" w:space="0" w:color="auto"/>
            </w:tcBorders>
            <w:shd w:val="clear" w:color="auto" w:fill="006DA7"/>
          </w:tcPr>
          <w:p w14:paraId="06A9A64B" w14:textId="77777777" w:rsidR="00353080" w:rsidRPr="00353080" w:rsidRDefault="00353080" w:rsidP="00353080">
            <w:pPr>
              <w:pStyle w:val="Tabletext"/>
              <w:ind w:left="0"/>
              <w:rPr>
                <w:b/>
                <w:color w:val="F2F2F2" w:themeColor="background1" w:themeShade="F2"/>
                <w:sz w:val="18"/>
              </w:rPr>
            </w:pPr>
            <w:r w:rsidRPr="00353080">
              <w:rPr>
                <w:b/>
                <w:color w:val="F2F2F2" w:themeColor="background1" w:themeShade="F2"/>
                <w:sz w:val="18"/>
              </w:rPr>
              <w:t>Additional</w:t>
            </w:r>
          </w:p>
        </w:tc>
      </w:tr>
      <w:tr w:rsidR="00353080" w:rsidRPr="00BF52F4" w14:paraId="465508D7" w14:textId="77777777" w:rsidTr="00353080">
        <w:trPr>
          <w:trHeight w:val="137"/>
        </w:trPr>
        <w:tc>
          <w:tcPr>
            <w:tcW w:w="723" w:type="pct"/>
            <w:vMerge w:val="restart"/>
            <w:tcBorders>
              <w:top w:val="single" w:sz="4" w:space="0" w:color="auto"/>
            </w:tcBorders>
          </w:tcPr>
          <w:p w14:paraId="55C32ACD" w14:textId="77777777" w:rsidR="00353080" w:rsidRPr="00BF52F4" w:rsidRDefault="00353080" w:rsidP="00237024">
            <w:pPr>
              <w:pStyle w:val="Tabletext"/>
              <w:rPr>
                <w:b/>
              </w:rPr>
            </w:pPr>
            <w:r w:rsidRPr="00BF52F4">
              <w:rPr>
                <w:b/>
              </w:rPr>
              <w:t>Important identified risks</w:t>
            </w:r>
          </w:p>
        </w:tc>
        <w:tc>
          <w:tcPr>
            <w:tcW w:w="2212" w:type="pct"/>
            <w:tcBorders>
              <w:top w:val="single" w:sz="4" w:space="0" w:color="auto"/>
            </w:tcBorders>
          </w:tcPr>
          <w:p w14:paraId="3B4DD1FD" w14:textId="77777777" w:rsidR="00353080" w:rsidRPr="008737EF" w:rsidRDefault="0051409A" w:rsidP="00237024">
            <w:pPr>
              <w:pStyle w:val="Tabletext"/>
            </w:pPr>
            <w:r>
              <w:rPr>
                <w:rFonts w:ascii="Times New Roman" w:hAnsi="Times New Roman"/>
                <w:szCs w:val="20"/>
              </w:rPr>
              <w:t>Capillary leak s</w:t>
            </w:r>
            <w:r w:rsidR="00353080" w:rsidRPr="008737EF">
              <w:rPr>
                <w:rFonts w:ascii="Times New Roman" w:hAnsi="Times New Roman"/>
                <w:szCs w:val="20"/>
              </w:rPr>
              <w:t>yndrome</w:t>
            </w:r>
          </w:p>
        </w:tc>
        <w:tc>
          <w:tcPr>
            <w:tcW w:w="457" w:type="pct"/>
            <w:tcBorders>
              <w:top w:val="single" w:sz="4" w:space="0" w:color="auto"/>
            </w:tcBorders>
          </w:tcPr>
          <w:p w14:paraId="337DB6BF" w14:textId="77777777" w:rsidR="00353080" w:rsidRPr="00806263" w:rsidRDefault="00353080" w:rsidP="00237024">
            <w:pPr>
              <w:pStyle w:val="Tabletext"/>
              <w:jc w:val="center"/>
            </w:pPr>
            <w:r w:rsidRPr="00806263">
              <w:sym w:font="Wingdings" w:char="F0FC"/>
            </w:r>
            <w:r w:rsidRPr="00806263">
              <w:t>*</w:t>
            </w:r>
          </w:p>
        </w:tc>
        <w:tc>
          <w:tcPr>
            <w:tcW w:w="575" w:type="pct"/>
            <w:tcBorders>
              <w:top w:val="single" w:sz="4" w:space="0" w:color="auto"/>
            </w:tcBorders>
          </w:tcPr>
          <w:p w14:paraId="78D87D13" w14:textId="77777777" w:rsidR="00353080" w:rsidRPr="00806263" w:rsidRDefault="00353080" w:rsidP="00237024">
            <w:pPr>
              <w:pStyle w:val="Tabletext"/>
              <w:jc w:val="center"/>
            </w:pPr>
            <w:r w:rsidRPr="00806263">
              <w:t>–</w:t>
            </w:r>
          </w:p>
        </w:tc>
        <w:tc>
          <w:tcPr>
            <w:tcW w:w="457" w:type="pct"/>
            <w:tcBorders>
              <w:top w:val="single" w:sz="4" w:space="0" w:color="auto"/>
            </w:tcBorders>
          </w:tcPr>
          <w:p w14:paraId="24432AE1" w14:textId="77777777" w:rsidR="00353080" w:rsidRPr="00806263" w:rsidRDefault="00353080" w:rsidP="00237024">
            <w:pPr>
              <w:pStyle w:val="Tabletext"/>
              <w:jc w:val="center"/>
            </w:pPr>
            <w:r w:rsidRPr="00806263">
              <w:sym w:font="Wingdings" w:char="F0FC"/>
            </w:r>
          </w:p>
        </w:tc>
        <w:tc>
          <w:tcPr>
            <w:tcW w:w="575" w:type="pct"/>
            <w:tcBorders>
              <w:top w:val="single" w:sz="4" w:space="0" w:color="auto"/>
            </w:tcBorders>
          </w:tcPr>
          <w:p w14:paraId="3FD0BFA6" w14:textId="77777777" w:rsidR="00353080" w:rsidRPr="00806263" w:rsidRDefault="00353080" w:rsidP="00237024">
            <w:pPr>
              <w:pStyle w:val="Tabletext"/>
              <w:jc w:val="center"/>
            </w:pPr>
            <w:r w:rsidRPr="00806263">
              <w:t>–</w:t>
            </w:r>
          </w:p>
        </w:tc>
      </w:tr>
      <w:tr w:rsidR="00353080" w:rsidRPr="00BF52F4" w14:paraId="6CD4CE26" w14:textId="77777777" w:rsidTr="00353080">
        <w:trPr>
          <w:trHeight w:val="94"/>
        </w:trPr>
        <w:tc>
          <w:tcPr>
            <w:tcW w:w="723" w:type="pct"/>
            <w:vMerge/>
          </w:tcPr>
          <w:p w14:paraId="4740E929" w14:textId="77777777" w:rsidR="00353080" w:rsidRPr="00BF52F4" w:rsidRDefault="00353080" w:rsidP="00237024">
            <w:pPr>
              <w:pStyle w:val="Tabletext"/>
              <w:rPr>
                <w:b/>
              </w:rPr>
            </w:pPr>
          </w:p>
        </w:tc>
        <w:tc>
          <w:tcPr>
            <w:tcW w:w="2212" w:type="pct"/>
          </w:tcPr>
          <w:p w14:paraId="203DA78F" w14:textId="77777777" w:rsidR="00353080" w:rsidRPr="008737EF" w:rsidRDefault="0051409A" w:rsidP="00237024">
            <w:pPr>
              <w:pStyle w:val="Tabletext"/>
            </w:pPr>
            <w:r>
              <w:rPr>
                <w:rFonts w:ascii="Times New Roman" w:hAnsi="Times New Roman"/>
                <w:szCs w:val="20"/>
              </w:rPr>
              <w:t>Neutropenia and n</w:t>
            </w:r>
            <w:r w:rsidR="00353080" w:rsidRPr="008737EF">
              <w:rPr>
                <w:rFonts w:ascii="Times New Roman" w:hAnsi="Times New Roman"/>
                <w:szCs w:val="20"/>
              </w:rPr>
              <w:t>eutropenia with infections including septic shock</w:t>
            </w:r>
          </w:p>
        </w:tc>
        <w:tc>
          <w:tcPr>
            <w:tcW w:w="457" w:type="pct"/>
          </w:tcPr>
          <w:p w14:paraId="7851CE5F" w14:textId="77777777" w:rsidR="00353080" w:rsidRPr="00806263" w:rsidRDefault="00353080" w:rsidP="00237024">
            <w:pPr>
              <w:pStyle w:val="Tabletext"/>
              <w:jc w:val="center"/>
            </w:pPr>
            <w:r w:rsidRPr="00806263">
              <w:sym w:font="Wingdings" w:char="F0FC"/>
            </w:r>
          </w:p>
        </w:tc>
        <w:tc>
          <w:tcPr>
            <w:tcW w:w="575" w:type="pct"/>
          </w:tcPr>
          <w:p w14:paraId="7566FFE7" w14:textId="77777777" w:rsidR="00353080" w:rsidRPr="00806263" w:rsidRDefault="00353080" w:rsidP="00237024">
            <w:pPr>
              <w:pStyle w:val="Tabletext"/>
              <w:jc w:val="center"/>
            </w:pPr>
            <w:r w:rsidRPr="00806263">
              <w:t>–</w:t>
            </w:r>
          </w:p>
        </w:tc>
        <w:tc>
          <w:tcPr>
            <w:tcW w:w="457" w:type="pct"/>
          </w:tcPr>
          <w:p w14:paraId="0B74489E" w14:textId="77777777" w:rsidR="00353080" w:rsidRPr="00806263" w:rsidRDefault="00353080" w:rsidP="00237024">
            <w:pPr>
              <w:pStyle w:val="Tabletext"/>
              <w:jc w:val="center"/>
            </w:pPr>
            <w:r w:rsidRPr="00806263">
              <w:sym w:font="Wingdings" w:char="F0FC"/>
            </w:r>
          </w:p>
        </w:tc>
        <w:tc>
          <w:tcPr>
            <w:tcW w:w="575" w:type="pct"/>
          </w:tcPr>
          <w:p w14:paraId="07128714" w14:textId="77777777" w:rsidR="00353080" w:rsidRPr="00806263" w:rsidRDefault="00353080" w:rsidP="00237024">
            <w:pPr>
              <w:pStyle w:val="Tabletext"/>
              <w:jc w:val="center"/>
            </w:pPr>
            <w:r w:rsidRPr="00806263">
              <w:t>–</w:t>
            </w:r>
          </w:p>
        </w:tc>
      </w:tr>
      <w:tr w:rsidR="00353080" w:rsidRPr="00BF52F4" w14:paraId="39C0910F" w14:textId="77777777" w:rsidTr="00353080">
        <w:trPr>
          <w:trHeight w:val="94"/>
        </w:trPr>
        <w:tc>
          <w:tcPr>
            <w:tcW w:w="723" w:type="pct"/>
            <w:vMerge/>
          </w:tcPr>
          <w:p w14:paraId="3AF57760" w14:textId="77777777" w:rsidR="00353080" w:rsidRPr="00BF52F4" w:rsidRDefault="00353080" w:rsidP="00237024">
            <w:pPr>
              <w:pStyle w:val="Tabletext"/>
              <w:rPr>
                <w:b/>
              </w:rPr>
            </w:pPr>
          </w:p>
        </w:tc>
        <w:tc>
          <w:tcPr>
            <w:tcW w:w="2212" w:type="pct"/>
          </w:tcPr>
          <w:p w14:paraId="75F1632E" w14:textId="77777777" w:rsidR="00353080" w:rsidRPr="008737EF" w:rsidRDefault="0051409A" w:rsidP="00237024">
            <w:pPr>
              <w:pStyle w:val="Tabletext"/>
            </w:pPr>
            <w:r>
              <w:rPr>
                <w:rFonts w:ascii="Times New Roman" w:hAnsi="Times New Roman"/>
                <w:szCs w:val="20"/>
              </w:rPr>
              <w:t>Thrombocytopenia and t</w:t>
            </w:r>
            <w:r w:rsidR="00353080" w:rsidRPr="008737EF">
              <w:rPr>
                <w:rFonts w:ascii="Times New Roman" w:hAnsi="Times New Roman"/>
                <w:szCs w:val="20"/>
              </w:rPr>
              <w:t>hrombocytopenia with bleeding</w:t>
            </w:r>
          </w:p>
        </w:tc>
        <w:tc>
          <w:tcPr>
            <w:tcW w:w="457" w:type="pct"/>
          </w:tcPr>
          <w:p w14:paraId="4876DC96" w14:textId="77777777" w:rsidR="00353080" w:rsidRPr="00806263" w:rsidRDefault="00353080" w:rsidP="00237024">
            <w:pPr>
              <w:pStyle w:val="Tabletext"/>
              <w:jc w:val="center"/>
            </w:pPr>
            <w:r w:rsidRPr="00806263">
              <w:sym w:font="Wingdings" w:char="F0FC"/>
            </w:r>
          </w:p>
        </w:tc>
        <w:tc>
          <w:tcPr>
            <w:tcW w:w="575" w:type="pct"/>
          </w:tcPr>
          <w:p w14:paraId="12F95085" w14:textId="77777777" w:rsidR="00353080" w:rsidRPr="00806263" w:rsidRDefault="00353080" w:rsidP="00237024">
            <w:pPr>
              <w:pStyle w:val="Tabletext"/>
              <w:jc w:val="center"/>
            </w:pPr>
            <w:r w:rsidRPr="00806263">
              <w:t>–</w:t>
            </w:r>
          </w:p>
        </w:tc>
        <w:tc>
          <w:tcPr>
            <w:tcW w:w="457" w:type="pct"/>
          </w:tcPr>
          <w:p w14:paraId="0192B29F" w14:textId="77777777" w:rsidR="00353080" w:rsidRPr="00806263" w:rsidRDefault="00353080" w:rsidP="00237024">
            <w:pPr>
              <w:pStyle w:val="Tabletext"/>
              <w:jc w:val="center"/>
            </w:pPr>
            <w:r w:rsidRPr="00806263">
              <w:sym w:font="Wingdings" w:char="F0FC"/>
            </w:r>
          </w:p>
        </w:tc>
        <w:tc>
          <w:tcPr>
            <w:tcW w:w="575" w:type="pct"/>
          </w:tcPr>
          <w:p w14:paraId="73DB28FE" w14:textId="77777777" w:rsidR="00353080" w:rsidRPr="00806263" w:rsidRDefault="00353080" w:rsidP="00237024">
            <w:pPr>
              <w:pStyle w:val="Tabletext"/>
              <w:jc w:val="center"/>
            </w:pPr>
            <w:r w:rsidRPr="00806263">
              <w:t>–</w:t>
            </w:r>
          </w:p>
        </w:tc>
      </w:tr>
      <w:tr w:rsidR="00353080" w:rsidRPr="00BF52F4" w14:paraId="5038EDAF" w14:textId="77777777" w:rsidTr="00353080">
        <w:trPr>
          <w:trHeight w:val="94"/>
        </w:trPr>
        <w:tc>
          <w:tcPr>
            <w:tcW w:w="723" w:type="pct"/>
            <w:vMerge/>
          </w:tcPr>
          <w:p w14:paraId="2B89CA56" w14:textId="77777777" w:rsidR="00353080" w:rsidRPr="00BF52F4" w:rsidRDefault="00353080" w:rsidP="00237024">
            <w:pPr>
              <w:pStyle w:val="Tabletext"/>
              <w:rPr>
                <w:b/>
              </w:rPr>
            </w:pPr>
          </w:p>
        </w:tc>
        <w:tc>
          <w:tcPr>
            <w:tcW w:w="2212" w:type="pct"/>
          </w:tcPr>
          <w:p w14:paraId="60240F92" w14:textId="77777777" w:rsidR="00353080" w:rsidRPr="008737EF" w:rsidRDefault="00353080" w:rsidP="00237024">
            <w:pPr>
              <w:pStyle w:val="Tabletext"/>
            </w:pPr>
            <w:r w:rsidRPr="008737EF">
              <w:rPr>
                <w:rFonts w:ascii="Times New Roman" w:hAnsi="Times New Roman"/>
                <w:szCs w:val="20"/>
              </w:rPr>
              <w:t>Anaemia</w:t>
            </w:r>
          </w:p>
        </w:tc>
        <w:tc>
          <w:tcPr>
            <w:tcW w:w="457" w:type="pct"/>
          </w:tcPr>
          <w:p w14:paraId="62763512" w14:textId="77777777" w:rsidR="00353080" w:rsidRPr="00806263" w:rsidRDefault="00353080" w:rsidP="00237024">
            <w:pPr>
              <w:pStyle w:val="Tabletext"/>
              <w:jc w:val="center"/>
            </w:pPr>
            <w:r w:rsidRPr="00806263">
              <w:sym w:font="Wingdings" w:char="F0FC"/>
            </w:r>
          </w:p>
        </w:tc>
        <w:tc>
          <w:tcPr>
            <w:tcW w:w="575" w:type="pct"/>
          </w:tcPr>
          <w:p w14:paraId="6BDED5FE" w14:textId="77777777" w:rsidR="00353080" w:rsidRPr="00806263" w:rsidRDefault="00353080" w:rsidP="00237024">
            <w:pPr>
              <w:pStyle w:val="Tabletext"/>
              <w:jc w:val="center"/>
            </w:pPr>
            <w:r w:rsidRPr="00806263">
              <w:t>–</w:t>
            </w:r>
          </w:p>
        </w:tc>
        <w:tc>
          <w:tcPr>
            <w:tcW w:w="457" w:type="pct"/>
          </w:tcPr>
          <w:p w14:paraId="5EC46509" w14:textId="77777777" w:rsidR="00353080" w:rsidRPr="00806263" w:rsidRDefault="00353080" w:rsidP="00237024">
            <w:pPr>
              <w:pStyle w:val="Tabletext"/>
              <w:jc w:val="center"/>
            </w:pPr>
            <w:r w:rsidRPr="00806263">
              <w:sym w:font="Wingdings" w:char="F0FC"/>
            </w:r>
          </w:p>
        </w:tc>
        <w:tc>
          <w:tcPr>
            <w:tcW w:w="575" w:type="pct"/>
          </w:tcPr>
          <w:p w14:paraId="2F64FC89" w14:textId="77777777" w:rsidR="00353080" w:rsidRPr="00806263" w:rsidRDefault="00353080" w:rsidP="00237024">
            <w:pPr>
              <w:pStyle w:val="Tabletext"/>
              <w:jc w:val="center"/>
            </w:pPr>
            <w:r w:rsidRPr="00806263">
              <w:t>–</w:t>
            </w:r>
          </w:p>
        </w:tc>
      </w:tr>
      <w:tr w:rsidR="00353080" w:rsidRPr="00BF52F4" w14:paraId="14FE7C21" w14:textId="77777777" w:rsidTr="00353080">
        <w:trPr>
          <w:trHeight w:val="94"/>
        </w:trPr>
        <w:tc>
          <w:tcPr>
            <w:tcW w:w="723" w:type="pct"/>
            <w:vMerge/>
          </w:tcPr>
          <w:p w14:paraId="33032B37" w14:textId="77777777" w:rsidR="00353080" w:rsidRPr="00BF52F4" w:rsidRDefault="00353080" w:rsidP="00237024">
            <w:pPr>
              <w:pStyle w:val="Tabletext"/>
              <w:rPr>
                <w:b/>
              </w:rPr>
            </w:pPr>
          </w:p>
        </w:tc>
        <w:tc>
          <w:tcPr>
            <w:tcW w:w="2212" w:type="pct"/>
          </w:tcPr>
          <w:p w14:paraId="1B9DB240" w14:textId="77777777" w:rsidR="00353080" w:rsidRPr="008737EF" w:rsidRDefault="00353080" w:rsidP="00237024">
            <w:pPr>
              <w:pStyle w:val="Tabletext"/>
            </w:pPr>
            <w:r w:rsidRPr="008737EF">
              <w:rPr>
                <w:rFonts w:ascii="Times New Roman" w:hAnsi="Times New Roman"/>
                <w:szCs w:val="20"/>
              </w:rPr>
              <w:t>Hepatotoxicity including hepatic failure</w:t>
            </w:r>
          </w:p>
        </w:tc>
        <w:tc>
          <w:tcPr>
            <w:tcW w:w="457" w:type="pct"/>
          </w:tcPr>
          <w:p w14:paraId="0BCC0FDA" w14:textId="77777777" w:rsidR="00353080" w:rsidRPr="00806263" w:rsidRDefault="00353080" w:rsidP="00237024">
            <w:pPr>
              <w:pStyle w:val="Tabletext"/>
              <w:jc w:val="center"/>
            </w:pPr>
            <w:r w:rsidRPr="00806263">
              <w:sym w:font="Wingdings" w:char="F0FC"/>
            </w:r>
            <w:r w:rsidRPr="00806263">
              <w:t>*</w:t>
            </w:r>
          </w:p>
        </w:tc>
        <w:tc>
          <w:tcPr>
            <w:tcW w:w="575" w:type="pct"/>
          </w:tcPr>
          <w:p w14:paraId="2E88E66D" w14:textId="77777777" w:rsidR="00353080" w:rsidRPr="00806263" w:rsidRDefault="00353080" w:rsidP="00237024">
            <w:pPr>
              <w:pStyle w:val="Tabletext"/>
              <w:jc w:val="center"/>
            </w:pPr>
            <w:r w:rsidRPr="00806263">
              <w:t>–</w:t>
            </w:r>
          </w:p>
        </w:tc>
        <w:tc>
          <w:tcPr>
            <w:tcW w:w="457" w:type="pct"/>
          </w:tcPr>
          <w:p w14:paraId="54FCC155" w14:textId="77777777" w:rsidR="00353080" w:rsidRPr="00806263" w:rsidRDefault="00353080" w:rsidP="00237024">
            <w:pPr>
              <w:pStyle w:val="Tabletext"/>
              <w:jc w:val="center"/>
            </w:pPr>
            <w:r w:rsidRPr="00806263">
              <w:sym w:font="Wingdings" w:char="F0FC"/>
            </w:r>
          </w:p>
        </w:tc>
        <w:tc>
          <w:tcPr>
            <w:tcW w:w="575" w:type="pct"/>
          </w:tcPr>
          <w:p w14:paraId="7F91BCA1" w14:textId="77777777" w:rsidR="00353080" w:rsidRPr="00806263" w:rsidRDefault="00353080" w:rsidP="00237024">
            <w:pPr>
              <w:pStyle w:val="Tabletext"/>
              <w:jc w:val="center"/>
            </w:pPr>
            <w:r w:rsidRPr="00806263">
              <w:t>–</w:t>
            </w:r>
          </w:p>
        </w:tc>
      </w:tr>
      <w:tr w:rsidR="00353080" w:rsidRPr="00BF52F4" w14:paraId="0C5640D9" w14:textId="77777777" w:rsidTr="00353080">
        <w:trPr>
          <w:trHeight w:val="94"/>
        </w:trPr>
        <w:tc>
          <w:tcPr>
            <w:tcW w:w="723" w:type="pct"/>
            <w:vMerge/>
          </w:tcPr>
          <w:p w14:paraId="01ECB969" w14:textId="77777777" w:rsidR="00353080" w:rsidRPr="00BF52F4" w:rsidRDefault="00353080" w:rsidP="00237024">
            <w:pPr>
              <w:pStyle w:val="Tabletext"/>
              <w:rPr>
                <w:b/>
              </w:rPr>
            </w:pPr>
          </w:p>
        </w:tc>
        <w:tc>
          <w:tcPr>
            <w:tcW w:w="2212" w:type="pct"/>
          </w:tcPr>
          <w:p w14:paraId="7191A631" w14:textId="77777777" w:rsidR="00353080" w:rsidRPr="008737EF" w:rsidRDefault="0051409A" w:rsidP="00237024">
            <w:pPr>
              <w:pStyle w:val="Tabletext"/>
            </w:pPr>
            <w:r>
              <w:rPr>
                <w:rFonts w:ascii="Times New Roman" w:hAnsi="Times New Roman"/>
                <w:szCs w:val="20"/>
              </w:rPr>
              <w:t>CPK elevations and/or r</w:t>
            </w:r>
            <w:r w:rsidR="00353080" w:rsidRPr="008737EF">
              <w:rPr>
                <w:rFonts w:ascii="Times New Roman" w:hAnsi="Times New Roman"/>
                <w:szCs w:val="20"/>
              </w:rPr>
              <w:t>habdomyolysis</w:t>
            </w:r>
          </w:p>
        </w:tc>
        <w:tc>
          <w:tcPr>
            <w:tcW w:w="457" w:type="pct"/>
          </w:tcPr>
          <w:p w14:paraId="7BA196B7" w14:textId="77777777" w:rsidR="00353080" w:rsidRPr="00806263" w:rsidRDefault="00353080" w:rsidP="00237024">
            <w:pPr>
              <w:pStyle w:val="Tabletext"/>
              <w:jc w:val="center"/>
            </w:pPr>
            <w:r w:rsidRPr="00806263">
              <w:sym w:font="Wingdings" w:char="F0FC"/>
            </w:r>
          </w:p>
        </w:tc>
        <w:tc>
          <w:tcPr>
            <w:tcW w:w="575" w:type="pct"/>
          </w:tcPr>
          <w:p w14:paraId="011FF76D" w14:textId="77777777" w:rsidR="00353080" w:rsidRPr="00806263" w:rsidRDefault="00353080" w:rsidP="00237024">
            <w:pPr>
              <w:pStyle w:val="Tabletext"/>
              <w:jc w:val="center"/>
            </w:pPr>
            <w:r w:rsidRPr="00806263">
              <w:t>–</w:t>
            </w:r>
          </w:p>
        </w:tc>
        <w:tc>
          <w:tcPr>
            <w:tcW w:w="457" w:type="pct"/>
          </w:tcPr>
          <w:p w14:paraId="4263B756" w14:textId="77777777" w:rsidR="00353080" w:rsidRPr="00806263" w:rsidRDefault="00353080" w:rsidP="00237024">
            <w:pPr>
              <w:pStyle w:val="Tabletext"/>
              <w:jc w:val="center"/>
            </w:pPr>
            <w:r w:rsidRPr="00806263">
              <w:sym w:font="Wingdings" w:char="F0FC"/>
            </w:r>
          </w:p>
        </w:tc>
        <w:tc>
          <w:tcPr>
            <w:tcW w:w="575" w:type="pct"/>
          </w:tcPr>
          <w:p w14:paraId="067D3491" w14:textId="77777777" w:rsidR="00353080" w:rsidRPr="00806263" w:rsidRDefault="00353080" w:rsidP="00237024">
            <w:pPr>
              <w:pStyle w:val="Tabletext"/>
              <w:jc w:val="center"/>
            </w:pPr>
            <w:r w:rsidRPr="00806263">
              <w:t>–</w:t>
            </w:r>
          </w:p>
        </w:tc>
      </w:tr>
      <w:tr w:rsidR="00353080" w:rsidRPr="00BF52F4" w14:paraId="17BCCA3E" w14:textId="77777777" w:rsidTr="00353080">
        <w:trPr>
          <w:trHeight w:val="94"/>
        </w:trPr>
        <w:tc>
          <w:tcPr>
            <w:tcW w:w="723" w:type="pct"/>
            <w:vMerge/>
          </w:tcPr>
          <w:p w14:paraId="640271B6" w14:textId="77777777" w:rsidR="00353080" w:rsidRPr="00BF52F4" w:rsidRDefault="00353080" w:rsidP="00237024">
            <w:pPr>
              <w:pStyle w:val="Tabletext"/>
              <w:rPr>
                <w:b/>
              </w:rPr>
            </w:pPr>
          </w:p>
        </w:tc>
        <w:tc>
          <w:tcPr>
            <w:tcW w:w="2212" w:type="pct"/>
          </w:tcPr>
          <w:p w14:paraId="4CD14BC0" w14:textId="77777777" w:rsidR="00353080" w:rsidRPr="008737EF" w:rsidRDefault="00353080" w:rsidP="00237024">
            <w:pPr>
              <w:pStyle w:val="Tabletext"/>
            </w:pPr>
            <w:r w:rsidRPr="008737EF">
              <w:rPr>
                <w:rFonts w:ascii="Times New Roman" w:hAnsi="Times New Roman"/>
                <w:szCs w:val="20"/>
              </w:rPr>
              <w:t>Multi-organ failure</w:t>
            </w:r>
          </w:p>
        </w:tc>
        <w:tc>
          <w:tcPr>
            <w:tcW w:w="457" w:type="pct"/>
          </w:tcPr>
          <w:p w14:paraId="1453EF87" w14:textId="77777777" w:rsidR="00353080" w:rsidRPr="00806263" w:rsidRDefault="00353080" w:rsidP="00237024">
            <w:pPr>
              <w:pStyle w:val="Tabletext"/>
              <w:jc w:val="center"/>
            </w:pPr>
            <w:r w:rsidRPr="00806263">
              <w:sym w:font="Wingdings" w:char="F0FC"/>
            </w:r>
          </w:p>
        </w:tc>
        <w:tc>
          <w:tcPr>
            <w:tcW w:w="575" w:type="pct"/>
          </w:tcPr>
          <w:p w14:paraId="7318BB4C" w14:textId="77777777" w:rsidR="00353080" w:rsidRPr="00806263" w:rsidRDefault="00353080" w:rsidP="00237024">
            <w:pPr>
              <w:pStyle w:val="Tabletext"/>
              <w:jc w:val="center"/>
            </w:pPr>
            <w:r w:rsidRPr="00806263">
              <w:t>–</w:t>
            </w:r>
          </w:p>
        </w:tc>
        <w:tc>
          <w:tcPr>
            <w:tcW w:w="457" w:type="pct"/>
          </w:tcPr>
          <w:p w14:paraId="16D647BA" w14:textId="77777777" w:rsidR="00353080" w:rsidRPr="00806263" w:rsidRDefault="00353080" w:rsidP="00237024">
            <w:pPr>
              <w:pStyle w:val="Tabletext"/>
              <w:jc w:val="center"/>
            </w:pPr>
            <w:r w:rsidRPr="00806263">
              <w:sym w:font="Wingdings" w:char="F0FC"/>
            </w:r>
          </w:p>
        </w:tc>
        <w:tc>
          <w:tcPr>
            <w:tcW w:w="575" w:type="pct"/>
          </w:tcPr>
          <w:p w14:paraId="358A5A73" w14:textId="77777777" w:rsidR="00353080" w:rsidRPr="00806263" w:rsidRDefault="00353080" w:rsidP="00237024">
            <w:pPr>
              <w:pStyle w:val="Tabletext"/>
              <w:jc w:val="center"/>
            </w:pPr>
            <w:r w:rsidRPr="00806263">
              <w:t>–</w:t>
            </w:r>
          </w:p>
        </w:tc>
      </w:tr>
      <w:tr w:rsidR="00353080" w:rsidRPr="00BF52F4" w14:paraId="717D039E" w14:textId="77777777" w:rsidTr="00353080">
        <w:trPr>
          <w:trHeight w:val="94"/>
        </w:trPr>
        <w:tc>
          <w:tcPr>
            <w:tcW w:w="723" w:type="pct"/>
            <w:vMerge/>
          </w:tcPr>
          <w:p w14:paraId="40A7658B" w14:textId="77777777" w:rsidR="00353080" w:rsidRPr="00BF52F4" w:rsidRDefault="00353080" w:rsidP="00237024">
            <w:pPr>
              <w:pStyle w:val="Tabletext"/>
              <w:rPr>
                <w:b/>
              </w:rPr>
            </w:pPr>
          </w:p>
        </w:tc>
        <w:tc>
          <w:tcPr>
            <w:tcW w:w="2212" w:type="pct"/>
          </w:tcPr>
          <w:p w14:paraId="70EF6819" w14:textId="77777777" w:rsidR="00353080" w:rsidRPr="008737EF" w:rsidRDefault="00353080" w:rsidP="00237024">
            <w:pPr>
              <w:pStyle w:val="Tabletext"/>
            </w:pPr>
            <w:r w:rsidRPr="008737EF">
              <w:rPr>
                <w:rFonts w:ascii="Times New Roman" w:hAnsi="Times New Roman"/>
                <w:szCs w:val="20"/>
              </w:rPr>
              <w:t>Severe hypersensitivity reactions including fatal outcome</w:t>
            </w:r>
          </w:p>
        </w:tc>
        <w:tc>
          <w:tcPr>
            <w:tcW w:w="457" w:type="pct"/>
          </w:tcPr>
          <w:p w14:paraId="2B7988C9" w14:textId="77777777" w:rsidR="00353080" w:rsidRPr="00806263" w:rsidRDefault="00353080" w:rsidP="00237024">
            <w:pPr>
              <w:pStyle w:val="Tabletext"/>
              <w:jc w:val="center"/>
            </w:pPr>
            <w:r w:rsidRPr="00806263">
              <w:sym w:font="Wingdings" w:char="F0FC"/>
            </w:r>
          </w:p>
        </w:tc>
        <w:tc>
          <w:tcPr>
            <w:tcW w:w="575" w:type="pct"/>
          </w:tcPr>
          <w:p w14:paraId="70814AAD" w14:textId="77777777" w:rsidR="00353080" w:rsidRPr="00806263" w:rsidRDefault="00353080" w:rsidP="00237024">
            <w:pPr>
              <w:pStyle w:val="Tabletext"/>
              <w:jc w:val="center"/>
            </w:pPr>
            <w:r w:rsidRPr="00806263">
              <w:t>–</w:t>
            </w:r>
          </w:p>
        </w:tc>
        <w:tc>
          <w:tcPr>
            <w:tcW w:w="457" w:type="pct"/>
          </w:tcPr>
          <w:p w14:paraId="2B1ACFE0" w14:textId="77777777" w:rsidR="00353080" w:rsidRPr="00806263" w:rsidRDefault="00353080" w:rsidP="00237024">
            <w:pPr>
              <w:pStyle w:val="Tabletext"/>
              <w:jc w:val="center"/>
            </w:pPr>
            <w:r w:rsidRPr="00806263">
              <w:sym w:font="Wingdings" w:char="F0FC"/>
            </w:r>
          </w:p>
        </w:tc>
        <w:tc>
          <w:tcPr>
            <w:tcW w:w="575" w:type="pct"/>
          </w:tcPr>
          <w:p w14:paraId="3EA5961F" w14:textId="77777777" w:rsidR="00353080" w:rsidRPr="00806263" w:rsidRDefault="00353080" w:rsidP="00237024">
            <w:pPr>
              <w:pStyle w:val="Tabletext"/>
              <w:jc w:val="center"/>
            </w:pPr>
            <w:r w:rsidRPr="00806263">
              <w:t>–</w:t>
            </w:r>
          </w:p>
        </w:tc>
      </w:tr>
      <w:tr w:rsidR="00353080" w:rsidRPr="00BF52F4" w14:paraId="3D05FDD5" w14:textId="77777777" w:rsidTr="00353080">
        <w:trPr>
          <w:trHeight w:val="94"/>
        </w:trPr>
        <w:tc>
          <w:tcPr>
            <w:tcW w:w="723" w:type="pct"/>
            <w:vMerge/>
          </w:tcPr>
          <w:p w14:paraId="6400B4DD" w14:textId="77777777" w:rsidR="00353080" w:rsidRPr="00BF52F4" w:rsidRDefault="00353080" w:rsidP="00237024">
            <w:pPr>
              <w:pStyle w:val="Tabletext"/>
              <w:rPr>
                <w:b/>
              </w:rPr>
            </w:pPr>
          </w:p>
        </w:tc>
        <w:tc>
          <w:tcPr>
            <w:tcW w:w="2212" w:type="pct"/>
          </w:tcPr>
          <w:p w14:paraId="0A2774DB" w14:textId="77777777" w:rsidR="00353080" w:rsidRPr="008737EF" w:rsidRDefault="00353080" w:rsidP="00237024">
            <w:pPr>
              <w:pStyle w:val="Tabletext"/>
            </w:pPr>
            <w:r w:rsidRPr="008737EF">
              <w:rPr>
                <w:rFonts w:ascii="Times New Roman" w:hAnsi="Times New Roman"/>
                <w:szCs w:val="20"/>
              </w:rPr>
              <w:t>Emesis</w:t>
            </w:r>
          </w:p>
        </w:tc>
        <w:tc>
          <w:tcPr>
            <w:tcW w:w="457" w:type="pct"/>
          </w:tcPr>
          <w:p w14:paraId="26BA9E9F" w14:textId="77777777" w:rsidR="00353080" w:rsidRPr="00806263" w:rsidRDefault="00353080" w:rsidP="00237024">
            <w:pPr>
              <w:pStyle w:val="Tabletext"/>
              <w:jc w:val="center"/>
            </w:pPr>
            <w:r w:rsidRPr="00806263">
              <w:sym w:font="Wingdings" w:char="F0FC"/>
            </w:r>
          </w:p>
        </w:tc>
        <w:tc>
          <w:tcPr>
            <w:tcW w:w="575" w:type="pct"/>
          </w:tcPr>
          <w:p w14:paraId="606401EA" w14:textId="77777777" w:rsidR="00353080" w:rsidRPr="00806263" w:rsidRDefault="00353080" w:rsidP="00237024">
            <w:pPr>
              <w:pStyle w:val="Tabletext"/>
              <w:jc w:val="center"/>
            </w:pPr>
            <w:r w:rsidRPr="00806263">
              <w:t>–</w:t>
            </w:r>
          </w:p>
        </w:tc>
        <w:tc>
          <w:tcPr>
            <w:tcW w:w="457" w:type="pct"/>
          </w:tcPr>
          <w:p w14:paraId="77AA6B23" w14:textId="77777777" w:rsidR="00353080" w:rsidRPr="00806263" w:rsidRDefault="00353080" w:rsidP="00237024">
            <w:pPr>
              <w:pStyle w:val="Tabletext"/>
              <w:jc w:val="center"/>
            </w:pPr>
            <w:r w:rsidRPr="00806263">
              <w:sym w:font="Wingdings" w:char="F0FC"/>
            </w:r>
          </w:p>
        </w:tc>
        <w:tc>
          <w:tcPr>
            <w:tcW w:w="575" w:type="pct"/>
          </w:tcPr>
          <w:p w14:paraId="5FDD0497" w14:textId="77777777" w:rsidR="00353080" w:rsidRPr="00806263" w:rsidRDefault="00353080" w:rsidP="00237024">
            <w:pPr>
              <w:pStyle w:val="Tabletext"/>
              <w:jc w:val="center"/>
            </w:pPr>
            <w:r w:rsidRPr="00806263">
              <w:t>–</w:t>
            </w:r>
          </w:p>
        </w:tc>
      </w:tr>
      <w:tr w:rsidR="00353080" w:rsidRPr="00BF52F4" w14:paraId="45742279" w14:textId="77777777" w:rsidTr="00353080">
        <w:trPr>
          <w:trHeight w:val="94"/>
        </w:trPr>
        <w:tc>
          <w:tcPr>
            <w:tcW w:w="723" w:type="pct"/>
            <w:vMerge/>
          </w:tcPr>
          <w:p w14:paraId="29E79A37" w14:textId="77777777" w:rsidR="00353080" w:rsidRPr="00BF52F4" w:rsidRDefault="00353080" w:rsidP="00237024">
            <w:pPr>
              <w:pStyle w:val="Tabletext"/>
              <w:rPr>
                <w:b/>
              </w:rPr>
            </w:pPr>
          </w:p>
        </w:tc>
        <w:tc>
          <w:tcPr>
            <w:tcW w:w="2212" w:type="pct"/>
          </w:tcPr>
          <w:p w14:paraId="3513EE8C" w14:textId="77777777" w:rsidR="00353080" w:rsidRPr="008737EF" w:rsidRDefault="00353080" w:rsidP="00237024">
            <w:pPr>
              <w:pStyle w:val="Tabletext"/>
            </w:pPr>
            <w:r w:rsidRPr="008737EF">
              <w:rPr>
                <w:rFonts w:ascii="Times New Roman" w:hAnsi="Times New Roman"/>
                <w:szCs w:val="20"/>
              </w:rPr>
              <w:t>Injection site reactions</w:t>
            </w:r>
          </w:p>
        </w:tc>
        <w:tc>
          <w:tcPr>
            <w:tcW w:w="457" w:type="pct"/>
          </w:tcPr>
          <w:p w14:paraId="58B33E09" w14:textId="77777777" w:rsidR="00353080" w:rsidRPr="00806263" w:rsidRDefault="00353080" w:rsidP="00237024">
            <w:pPr>
              <w:pStyle w:val="Tabletext"/>
              <w:jc w:val="center"/>
            </w:pPr>
            <w:r w:rsidRPr="00806263">
              <w:sym w:font="Wingdings" w:char="F0FC"/>
            </w:r>
            <w:r w:rsidRPr="00806263">
              <w:t>*</w:t>
            </w:r>
          </w:p>
        </w:tc>
        <w:tc>
          <w:tcPr>
            <w:tcW w:w="575" w:type="pct"/>
          </w:tcPr>
          <w:p w14:paraId="6F5FBC8D" w14:textId="77777777" w:rsidR="00353080" w:rsidRPr="00806263" w:rsidRDefault="00353080" w:rsidP="00237024">
            <w:pPr>
              <w:pStyle w:val="Tabletext"/>
              <w:jc w:val="center"/>
            </w:pPr>
            <w:r w:rsidRPr="00806263">
              <w:t>–</w:t>
            </w:r>
          </w:p>
        </w:tc>
        <w:tc>
          <w:tcPr>
            <w:tcW w:w="457" w:type="pct"/>
          </w:tcPr>
          <w:p w14:paraId="46D172E5" w14:textId="77777777" w:rsidR="00353080" w:rsidRPr="00806263" w:rsidRDefault="00353080" w:rsidP="00237024">
            <w:pPr>
              <w:pStyle w:val="Tabletext"/>
              <w:jc w:val="center"/>
            </w:pPr>
            <w:r w:rsidRPr="00806263">
              <w:sym w:font="Wingdings" w:char="F0FC"/>
            </w:r>
          </w:p>
        </w:tc>
        <w:tc>
          <w:tcPr>
            <w:tcW w:w="575" w:type="pct"/>
          </w:tcPr>
          <w:p w14:paraId="6C3196D4" w14:textId="77777777" w:rsidR="00353080" w:rsidRPr="00806263" w:rsidRDefault="00353080" w:rsidP="00237024">
            <w:pPr>
              <w:pStyle w:val="Tabletext"/>
              <w:jc w:val="center"/>
            </w:pPr>
            <w:r w:rsidRPr="00806263">
              <w:t>–</w:t>
            </w:r>
          </w:p>
        </w:tc>
      </w:tr>
      <w:tr w:rsidR="00353080" w:rsidRPr="00BF52F4" w14:paraId="559F49E9" w14:textId="77777777" w:rsidTr="00353080">
        <w:trPr>
          <w:trHeight w:val="187"/>
        </w:trPr>
        <w:tc>
          <w:tcPr>
            <w:tcW w:w="723" w:type="pct"/>
            <w:vMerge/>
          </w:tcPr>
          <w:p w14:paraId="135B65AF" w14:textId="77777777" w:rsidR="00353080" w:rsidRPr="00BF52F4" w:rsidRDefault="00353080" w:rsidP="00237024">
            <w:pPr>
              <w:pStyle w:val="Tabletext"/>
              <w:rPr>
                <w:b/>
              </w:rPr>
            </w:pPr>
          </w:p>
        </w:tc>
        <w:tc>
          <w:tcPr>
            <w:tcW w:w="2212" w:type="pct"/>
          </w:tcPr>
          <w:p w14:paraId="3458A95D" w14:textId="77777777" w:rsidR="00353080" w:rsidRPr="008737EF" w:rsidRDefault="00353080" w:rsidP="00237024">
            <w:pPr>
              <w:pStyle w:val="Tabletext"/>
            </w:pPr>
            <w:r w:rsidRPr="008737EF">
              <w:rPr>
                <w:rFonts w:ascii="Times New Roman" w:hAnsi="Times New Roman"/>
                <w:szCs w:val="20"/>
              </w:rPr>
              <w:t>Respiratory disorders</w:t>
            </w:r>
          </w:p>
        </w:tc>
        <w:tc>
          <w:tcPr>
            <w:tcW w:w="457" w:type="pct"/>
          </w:tcPr>
          <w:p w14:paraId="486636DE" w14:textId="77777777" w:rsidR="00353080" w:rsidRPr="00806263" w:rsidRDefault="00353080" w:rsidP="00237024">
            <w:pPr>
              <w:pStyle w:val="Tabletext"/>
              <w:jc w:val="center"/>
            </w:pPr>
            <w:r w:rsidRPr="00806263">
              <w:sym w:font="Wingdings" w:char="F0FC"/>
            </w:r>
            <w:r w:rsidRPr="00806263">
              <w:t>*</w:t>
            </w:r>
          </w:p>
        </w:tc>
        <w:tc>
          <w:tcPr>
            <w:tcW w:w="575" w:type="pct"/>
          </w:tcPr>
          <w:p w14:paraId="1453B393" w14:textId="77777777" w:rsidR="00353080" w:rsidRPr="00806263" w:rsidRDefault="00353080" w:rsidP="00237024">
            <w:pPr>
              <w:pStyle w:val="Tabletext"/>
              <w:jc w:val="center"/>
            </w:pPr>
            <w:r w:rsidRPr="00806263">
              <w:t>–</w:t>
            </w:r>
          </w:p>
        </w:tc>
        <w:tc>
          <w:tcPr>
            <w:tcW w:w="457" w:type="pct"/>
          </w:tcPr>
          <w:p w14:paraId="6A1CC878" w14:textId="77777777" w:rsidR="00353080" w:rsidRPr="00806263" w:rsidRDefault="00353080" w:rsidP="00237024">
            <w:pPr>
              <w:pStyle w:val="Tabletext"/>
              <w:jc w:val="center"/>
            </w:pPr>
            <w:r w:rsidRPr="00806263">
              <w:sym w:font="Wingdings" w:char="F0FC"/>
            </w:r>
          </w:p>
        </w:tc>
        <w:tc>
          <w:tcPr>
            <w:tcW w:w="575" w:type="pct"/>
          </w:tcPr>
          <w:p w14:paraId="6D439B07" w14:textId="77777777" w:rsidR="00353080" w:rsidRPr="00806263" w:rsidRDefault="00353080" w:rsidP="00237024">
            <w:pPr>
              <w:pStyle w:val="Tabletext"/>
              <w:jc w:val="center"/>
            </w:pPr>
            <w:r w:rsidRPr="00806263">
              <w:t>–</w:t>
            </w:r>
          </w:p>
        </w:tc>
      </w:tr>
      <w:tr w:rsidR="00353080" w:rsidRPr="00BF52F4" w14:paraId="12E17550" w14:textId="77777777" w:rsidTr="00353080">
        <w:trPr>
          <w:trHeight w:val="159"/>
        </w:trPr>
        <w:tc>
          <w:tcPr>
            <w:tcW w:w="723" w:type="pct"/>
            <w:vMerge w:val="restart"/>
          </w:tcPr>
          <w:p w14:paraId="5AE35EE9" w14:textId="77777777" w:rsidR="00353080" w:rsidRPr="00BF52F4" w:rsidRDefault="00353080" w:rsidP="00237024">
            <w:pPr>
              <w:pStyle w:val="Tabletext"/>
              <w:rPr>
                <w:b/>
              </w:rPr>
            </w:pPr>
            <w:r w:rsidRPr="00BF52F4">
              <w:rPr>
                <w:b/>
              </w:rPr>
              <w:t>Important potential risks</w:t>
            </w:r>
          </w:p>
        </w:tc>
        <w:tc>
          <w:tcPr>
            <w:tcW w:w="2212" w:type="pct"/>
          </w:tcPr>
          <w:p w14:paraId="5FBD06BB" w14:textId="77777777" w:rsidR="00353080" w:rsidRPr="008737EF" w:rsidRDefault="0051409A" w:rsidP="00237024">
            <w:pPr>
              <w:pStyle w:val="Tabletext"/>
            </w:pPr>
            <w:r>
              <w:rPr>
                <w:rFonts w:ascii="Times New Roman" w:hAnsi="Times New Roman"/>
                <w:szCs w:val="20"/>
              </w:rPr>
              <w:t>Acute Myeloid Leukaemia / m</w:t>
            </w:r>
            <w:r w:rsidR="00353080" w:rsidRPr="008737EF">
              <w:rPr>
                <w:rFonts w:ascii="Times New Roman" w:hAnsi="Times New Roman"/>
                <w:szCs w:val="20"/>
              </w:rPr>
              <w:t>yelodysplasia (AML/ MDS)</w:t>
            </w:r>
          </w:p>
        </w:tc>
        <w:tc>
          <w:tcPr>
            <w:tcW w:w="457" w:type="pct"/>
          </w:tcPr>
          <w:p w14:paraId="71B817F6" w14:textId="77777777" w:rsidR="00353080" w:rsidRPr="00806263" w:rsidRDefault="00353080" w:rsidP="00237024">
            <w:pPr>
              <w:pStyle w:val="Tabletext"/>
              <w:jc w:val="center"/>
            </w:pPr>
            <w:r w:rsidRPr="00806263">
              <w:sym w:font="Wingdings" w:char="F0FC"/>
            </w:r>
            <w:r w:rsidRPr="00806263">
              <w:t>*</w:t>
            </w:r>
          </w:p>
        </w:tc>
        <w:tc>
          <w:tcPr>
            <w:tcW w:w="575" w:type="pct"/>
          </w:tcPr>
          <w:p w14:paraId="3E7C2503" w14:textId="77777777" w:rsidR="00353080" w:rsidRPr="00806263" w:rsidRDefault="00353080" w:rsidP="00237024">
            <w:pPr>
              <w:pStyle w:val="Tabletext"/>
              <w:jc w:val="center"/>
            </w:pPr>
            <w:r w:rsidRPr="00806263">
              <w:t>–</w:t>
            </w:r>
          </w:p>
        </w:tc>
        <w:tc>
          <w:tcPr>
            <w:tcW w:w="457" w:type="pct"/>
          </w:tcPr>
          <w:p w14:paraId="3BA4CC9E" w14:textId="77777777" w:rsidR="00353080" w:rsidRPr="00806263" w:rsidRDefault="00353080" w:rsidP="00237024">
            <w:pPr>
              <w:pStyle w:val="Tabletext"/>
              <w:jc w:val="center"/>
            </w:pPr>
            <w:r w:rsidRPr="00806263">
              <w:t>–</w:t>
            </w:r>
          </w:p>
        </w:tc>
        <w:tc>
          <w:tcPr>
            <w:tcW w:w="575" w:type="pct"/>
          </w:tcPr>
          <w:p w14:paraId="3C4A8BC9" w14:textId="77777777" w:rsidR="00353080" w:rsidRPr="00806263" w:rsidRDefault="00353080" w:rsidP="00237024">
            <w:pPr>
              <w:pStyle w:val="Tabletext"/>
              <w:jc w:val="center"/>
            </w:pPr>
            <w:r w:rsidRPr="00806263">
              <w:t>–</w:t>
            </w:r>
          </w:p>
        </w:tc>
      </w:tr>
      <w:tr w:rsidR="00353080" w:rsidRPr="00BF52F4" w14:paraId="32F7C670" w14:textId="77777777" w:rsidTr="00353080">
        <w:trPr>
          <w:trHeight w:val="122"/>
        </w:trPr>
        <w:tc>
          <w:tcPr>
            <w:tcW w:w="723" w:type="pct"/>
            <w:vMerge/>
          </w:tcPr>
          <w:p w14:paraId="6E5E48FD" w14:textId="77777777" w:rsidR="00353080" w:rsidRPr="00BF52F4" w:rsidRDefault="00353080" w:rsidP="00237024">
            <w:pPr>
              <w:pStyle w:val="Tabletext"/>
              <w:rPr>
                <w:b/>
              </w:rPr>
            </w:pPr>
          </w:p>
        </w:tc>
        <w:tc>
          <w:tcPr>
            <w:tcW w:w="2212" w:type="pct"/>
          </w:tcPr>
          <w:p w14:paraId="32230454" w14:textId="77777777" w:rsidR="00353080" w:rsidRPr="008737EF" w:rsidRDefault="0051409A" w:rsidP="00237024">
            <w:pPr>
              <w:pStyle w:val="Tabletext"/>
            </w:pPr>
            <w:r>
              <w:rPr>
                <w:rFonts w:ascii="Times New Roman" w:hAnsi="Times New Roman"/>
                <w:szCs w:val="20"/>
              </w:rPr>
              <w:t>Cardiac d</w:t>
            </w:r>
            <w:r w:rsidR="00353080" w:rsidRPr="008737EF">
              <w:rPr>
                <w:rFonts w:ascii="Times New Roman" w:hAnsi="Times New Roman"/>
                <w:szCs w:val="20"/>
              </w:rPr>
              <w:t>ysfunction</w:t>
            </w:r>
          </w:p>
        </w:tc>
        <w:tc>
          <w:tcPr>
            <w:tcW w:w="457" w:type="pct"/>
          </w:tcPr>
          <w:p w14:paraId="0469CC15" w14:textId="77777777" w:rsidR="00353080" w:rsidRPr="00806263" w:rsidRDefault="00353080" w:rsidP="00237024">
            <w:pPr>
              <w:pStyle w:val="Tabletext"/>
              <w:jc w:val="center"/>
            </w:pPr>
            <w:r w:rsidRPr="00806263">
              <w:sym w:font="Wingdings" w:char="F0FC"/>
            </w:r>
          </w:p>
        </w:tc>
        <w:tc>
          <w:tcPr>
            <w:tcW w:w="575" w:type="pct"/>
          </w:tcPr>
          <w:p w14:paraId="69C6F2A1" w14:textId="77777777" w:rsidR="00353080" w:rsidRPr="00806263" w:rsidRDefault="00353080" w:rsidP="00237024">
            <w:pPr>
              <w:pStyle w:val="Tabletext"/>
              <w:jc w:val="center"/>
            </w:pPr>
            <w:r w:rsidRPr="00806263">
              <w:t>–</w:t>
            </w:r>
          </w:p>
        </w:tc>
        <w:tc>
          <w:tcPr>
            <w:tcW w:w="457" w:type="pct"/>
          </w:tcPr>
          <w:p w14:paraId="105702C0" w14:textId="77777777" w:rsidR="00353080" w:rsidRPr="00806263" w:rsidRDefault="00353080" w:rsidP="00237024">
            <w:pPr>
              <w:pStyle w:val="Tabletext"/>
              <w:jc w:val="center"/>
            </w:pPr>
            <w:r w:rsidRPr="00806263">
              <w:sym w:font="Wingdings" w:char="F0FC"/>
            </w:r>
          </w:p>
        </w:tc>
        <w:tc>
          <w:tcPr>
            <w:tcW w:w="575" w:type="pct"/>
          </w:tcPr>
          <w:p w14:paraId="751147AE" w14:textId="77777777" w:rsidR="00353080" w:rsidRPr="00806263" w:rsidRDefault="00353080" w:rsidP="00237024">
            <w:pPr>
              <w:pStyle w:val="Tabletext"/>
              <w:jc w:val="center"/>
            </w:pPr>
            <w:r w:rsidRPr="00806263">
              <w:t>–</w:t>
            </w:r>
          </w:p>
        </w:tc>
      </w:tr>
      <w:tr w:rsidR="00353080" w:rsidRPr="00BF52F4" w14:paraId="5C64BADC" w14:textId="77777777" w:rsidTr="00353080">
        <w:trPr>
          <w:trHeight w:val="122"/>
        </w:trPr>
        <w:tc>
          <w:tcPr>
            <w:tcW w:w="723" w:type="pct"/>
            <w:vMerge/>
          </w:tcPr>
          <w:p w14:paraId="668483A3" w14:textId="77777777" w:rsidR="00353080" w:rsidRPr="00BF52F4" w:rsidRDefault="00353080" w:rsidP="00237024">
            <w:pPr>
              <w:pStyle w:val="Tabletext"/>
              <w:rPr>
                <w:b/>
              </w:rPr>
            </w:pPr>
          </w:p>
        </w:tc>
        <w:tc>
          <w:tcPr>
            <w:tcW w:w="2212" w:type="pct"/>
          </w:tcPr>
          <w:p w14:paraId="04BAF2F6" w14:textId="77777777" w:rsidR="00353080" w:rsidRPr="008737EF" w:rsidRDefault="00353080" w:rsidP="00237024">
            <w:pPr>
              <w:pStyle w:val="Tabletext"/>
            </w:pPr>
            <w:r w:rsidRPr="008737EF">
              <w:rPr>
                <w:rFonts w:ascii="Times New Roman" w:hAnsi="Times New Roman"/>
                <w:szCs w:val="20"/>
              </w:rPr>
              <w:t>Drug-drug interactions of CYP3A4 inhibitors</w:t>
            </w:r>
          </w:p>
        </w:tc>
        <w:tc>
          <w:tcPr>
            <w:tcW w:w="457" w:type="pct"/>
          </w:tcPr>
          <w:p w14:paraId="13078CAE" w14:textId="77777777" w:rsidR="00353080" w:rsidRPr="00806263" w:rsidRDefault="00353080" w:rsidP="00237024">
            <w:pPr>
              <w:pStyle w:val="Tabletext"/>
              <w:jc w:val="center"/>
            </w:pPr>
            <w:r w:rsidRPr="00806263">
              <w:sym w:font="Wingdings" w:char="F0FC"/>
            </w:r>
          </w:p>
        </w:tc>
        <w:tc>
          <w:tcPr>
            <w:tcW w:w="575" w:type="pct"/>
          </w:tcPr>
          <w:p w14:paraId="23ACA35D" w14:textId="77777777" w:rsidR="00353080" w:rsidRPr="00806263" w:rsidRDefault="00353080" w:rsidP="00237024">
            <w:pPr>
              <w:pStyle w:val="Tabletext"/>
              <w:jc w:val="center"/>
            </w:pPr>
            <w:r w:rsidRPr="00806263">
              <w:t>–</w:t>
            </w:r>
          </w:p>
        </w:tc>
        <w:tc>
          <w:tcPr>
            <w:tcW w:w="457" w:type="pct"/>
          </w:tcPr>
          <w:p w14:paraId="3103EA72" w14:textId="77777777" w:rsidR="00353080" w:rsidRPr="00806263" w:rsidRDefault="00353080" w:rsidP="00237024">
            <w:pPr>
              <w:pStyle w:val="Tabletext"/>
              <w:jc w:val="center"/>
            </w:pPr>
            <w:r w:rsidRPr="00806263">
              <w:sym w:font="Wingdings" w:char="F0FC"/>
            </w:r>
          </w:p>
        </w:tc>
        <w:tc>
          <w:tcPr>
            <w:tcW w:w="575" w:type="pct"/>
          </w:tcPr>
          <w:p w14:paraId="7E45F213" w14:textId="77777777" w:rsidR="00353080" w:rsidRPr="00806263" w:rsidRDefault="00353080" w:rsidP="00237024">
            <w:pPr>
              <w:pStyle w:val="Tabletext"/>
              <w:jc w:val="center"/>
            </w:pPr>
            <w:r w:rsidRPr="00806263">
              <w:t>–</w:t>
            </w:r>
          </w:p>
        </w:tc>
      </w:tr>
      <w:tr w:rsidR="00353080" w:rsidRPr="00BF52F4" w14:paraId="12D4B055" w14:textId="77777777" w:rsidTr="00353080">
        <w:trPr>
          <w:trHeight w:val="122"/>
        </w:trPr>
        <w:tc>
          <w:tcPr>
            <w:tcW w:w="723" w:type="pct"/>
            <w:vMerge/>
          </w:tcPr>
          <w:p w14:paraId="1F6182C9" w14:textId="77777777" w:rsidR="00353080" w:rsidRPr="00BF52F4" w:rsidRDefault="00353080" w:rsidP="00237024">
            <w:pPr>
              <w:pStyle w:val="Tabletext"/>
              <w:rPr>
                <w:b/>
              </w:rPr>
            </w:pPr>
          </w:p>
        </w:tc>
        <w:tc>
          <w:tcPr>
            <w:tcW w:w="2212" w:type="pct"/>
          </w:tcPr>
          <w:p w14:paraId="7AE30BF8" w14:textId="77777777" w:rsidR="00353080" w:rsidRPr="008737EF" w:rsidRDefault="00353080" w:rsidP="00237024">
            <w:pPr>
              <w:pStyle w:val="Tabletext"/>
            </w:pPr>
            <w:proofErr w:type="spellStart"/>
            <w:r w:rsidRPr="008737EF">
              <w:rPr>
                <w:rFonts w:ascii="Times New Roman" w:hAnsi="Times New Roman"/>
                <w:szCs w:val="20"/>
              </w:rPr>
              <w:t>Reprotoxicity</w:t>
            </w:r>
            <w:proofErr w:type="spellEnd"/>
            <w:r w:rsidRPr="008737EF">
              <w:rPr>
                <w:rFonts w:ascii="Times New Roman" w:hAnsi="Times New Roman"/>
                <w:szCs w:val="20"/>
              </w:rPr>
              <w:t xml:space="preserve"> and development toxicities</w:t>
            </w:r>
          </w:p>
        </w:tc>
        <w:tc>
          <w:tcPr>
            <w:tcW w:w="457" w:type="pct"/>
          </w:tcPr>
          <w:p w14:paraId="734F16B6" w14:textId="77777777" w:rsidR="00353080" w:rsidRPr="00806263" w:rsidRDefault="00353080" w:rsidP="00237024">
            <w:pPr>
              <w:pStyle w:val="Tabletext"/>
              <w:jc w:val="center"/>
            </w:pPr>
            <w:r w:rsidRPr="00806263">
              <w:sym w:font="Wingdings" w:char="F0FC"/>
            </w:r>
          </w:p>
        </w:tc>
        <w:tc>
          <w:tcPr>
            <w:tcW w:w="575" w:type="pct"/>
          </w:tcPr>
          <w:p w14:paraId="3C273A6E" w14:textId="77777777" w:rsidR="00353080" w:rsidRPr="00806263" w:rsidRDefault="00353080" w:rsidP="00237024">
            <w:pPr>
              <w:pStyle w:val="Tabletext"/>
              <w:jc w:val="center"/>
            </w:pPr>
            <w:r w:rsidRPr="00806263">
              <w:t>–</w:t>
            </w:r>
          </w:p>
        </w:tc>
        <w:tc>
          <w:tcPr>
            <w:tcW w:w="457" w:type="pct"/>
          </w:tcPr>
          <w:p w14:paraId="47F9609B" w14:textId="77777777" w:rsidR="00353080" w:rsidRPr="00806263" w:rsidRDefault="00353080" w:rsidP="00237024">
            <w:pPr>
              <w:pStyle w:val="Tabletext"/>
              <w:jc w:val="center"/>
            </w:pPr>
            <w:r w:rsidRPr="00806263">
              <w:sym w:font="Wingdings" w:char="F0FC"/>
            </w:r>
          </w:p>
        </w:tc>
        <w:tc>
          <w:tcPr>
            <w:tcW w:w="575" w:type="pct"/>
          </w:tcPr>
          <w:p w14:paraId="44FC018F" w14:textId="77777777" w:rsidR="00353080" w:rsidRPr="00806263" w:rsidRDefault="00353080" w:rsidP="00237024">
            <w:pPr>
              <w:pStyle w:val="Tabletext"/>
              <w:jc w:val="center"/>
            </w:pPr>
            <w:r w:rsidRPr="00806263">
              <w:t>–</w:t>
            </w:r>
          </w:p>
        </w:tc>
      </w:tr>
      <w:tr w:rsidR="00353080" w:rsidRPr="00BF52F4" w14:paraId="6AAA0E22" w14:textId="77777777" w:rsidTr="00353080">
        <w:trPr>
          <w:trHeight w:val="112"/>
        </w:trPr>
        <w:tc>
          <w:tcPr>
            <w:tcW w:w="723" w:type="pct"/>
            <w:vMerge/>
          </w:tcPr>
          <w:p w14:paraId="047D5724" w14:textId="77777777" w:rsidR="00353080" w:rsidRPr="00BF52F4" w:rsidRDefault="00353080" w:rsidP="00237024">
            <w:pPr>
              <w:pStyle w:val="Tabletext"/>
              <w:rPr>
                <w:b/>
              </w:rPr>
            </w:pPr>
          </w:p>
        </w:tc>
        <w:tc>
          <w:tcPr>
            <w:tcW w:w="2212" w:type="pct"/>
          </w:tcPr>
          <w:p w14:paraId="5784C4A3" w14:textId="77777777" w:rsidR="00353080" w:rsidRPr="008737EF" w:rsidRDefault="0051409A" w:rsidP="00237024">
            <w:pPr>
              <w:pStyle w:val="Tabletext"/>
            </w:pPr>
            <w:r>
              <w:rPr>
                <w:rFonts w:ascii="Times New Roman" w:hAnsi="Times New Roman"/>
                <w:szCs w:val="20"/>
              </w:rPr>
              <w:t>Pancreatitis, lipase and/or amylase i</w:t>
            </w:r>
            <w:r w:rsidR="00353080" w:rsidRPr="008737EF">
              <w:rPr>
                <w:rFonts w:ascii="Times New Roman" w:hAnsi="Times New Roman"/>
                <w:szCs w:val="20"/>
              </w:rPr>
              <w:t>ncreased</w:t>
            </w:r>
          </w:p>
        </w:tc>
        <w:tc>
          <w:tcPr>
            <w:tcW w:w="457" w:type="pct"/>
          </w:tcPr>
          <w:p w14:paraId="1B7882C6" w14:textId="77777777" w:rsidR="00353080" w:rsidRPr="00806263" w:rsidRDefault="00353080" w:rsidP="00237024">
            <w:pPr>
              <w:pStyle w:val="Tabletext"/>
              <w:jc w:val="center"/>
            </w:pPr>
            <w:r w:rsidRPr="00806263">
              <w:sym w:font="Wingdings" w:char="F0FC"/>
            </w:r>
            <w:r w:rsidRPr="00806263">
              <w:t>*</w:t>
            </w:r>
          </w:p>
        </w:tc>
        <w:tc>
          <w:tcPr>
            <w:tcW w:w="575" w:type="pct"/>
          </w:tcPr>
          <w:p w14:paraId="793DAC6F" w14:textId="77777777" w:rsidR="00353080" w:rsidRPr="00806263" w:rsidRDefault="00353080" w:rsidP="00237024">
            <w:pPr>
              <w:pStyle w:val="Tabletext"/>
              <w:jc w:val="center"/>
            </w:pPr>
            <w:r w:rsidRPr="00806263">
              <w:t>–</w:t>
            </w:r>
          </w:p>
        </w:tc>
        <w:tc>
          <w:tcPr>
            <w:tcW w:w="457" w:type="pct"/>
          </w:tcPr>
          <w:p w14:paraId="4E0D1B9B" w14:textId="77777777" w:rsidR="00353080" w:rsidRPr="00806263" w:rsidRDefault="00353080" w:rsidP="00237024">
            <w:pPr>
              <w:pStyle w:val="Tabletext"/>
              <w:jc w:val="center"/>
            </w:pPr>
            <w:r w:rsidRPr="00806263">
              <w:t>–</w:t>
            </w:r>
          </w:p>
        </w:tc>
        <w:tc>
          <w:tcPr>
            <w:tcW w:w="575" w:type="pct"/>
          </w:tcPr>
          <w:p w14:paraId="67E8D7C2" w14:textId="77777777" w:rsidR="00353080" w:rsidRPr="00806263" w:rsidRDefault="00353080" w:rsidP="00237024">
            <w:pPr>
              <w:pStyle w:val="Tabletext"/>
              <w:jc w:val="center"/>
            </w:pPr>
            <w:r w:rsidRPr="00806263">
              <w:t>–</w:t>
            </w:r>
          </w:p>
        </w:tc>
      </w:tr>
      <w:tr w:rsidR="00353080" w:rsidRPr="00BF52F4" w14:paraId="62373E0D" w14:textId="77777777" w:rsidTr="00353080">
        <w:trPr>
          <w:trHeight w:val="178"/>
        </w:trPr>
        <w:tc>
          <w:tcPr>
            <w:tcW w:w="723" w:type="pct"/>
            <w:vMerge w:val="restart"/>
          </w:tcPr>
          <w:p w14:paraId="18ED1455" w14:textId="77777777" w:rsidR="00353080" w:rsidRPr="00BF52F4" w:rsidRDefault="00353080" w:rsidP="00237024">
            <w:pPr>
              <w:pStyle w:val="Tabletext"/>
              <w:rPr>
                <w:b/>
              </w:rPr>
            </w:pPr>
            <w:r w:rsidRPr="00BF52F4">
              <w:rPr>
                <w:b/>
              </w:rPr>
              <w:t>Missing information</w:t>
            </w:r>
          </w:p>
        </w:tc>
        <w:tc>
          <w:tcPr>
            <w:tcW w:w="2212" w:type="pct"/>
          </w:tcPr>
          <w:p w14:paraId="5A31BC85" w14:textId="77777777" w:rsidR="00353080" w:rsidRPr="008737EF" w:rsidRDefault="00353080" w:rsidP="00237024">
            <w:pPr>
              <w:pStyle w:val="Tabletext"/>
            </w:pPr>
            <w:r w:rsidRPr="008737EF">
              <w:rPr>
                <w:rFonts w:ascii="Times New Roman" w:hAnsi="Times New Roman"/>
                <w:szCs w:val="20"/>
              </w:rPr>
              <w:t>Off-label use in paediatric population</w:t>
            </w:r>
          </w:p>
        </w:tc>
        <w:tc>
          <w:tcPr>
            <w:tcW w:w="457" w:type="pct"/>
          </w:tcPr>
          <w:p w14:paraId="411A2AA2" w14:textId="77777777" w:rsidR="00353080" w:rsidRPr="00806263" w:rsidRDefault="00353080" w:rsidP="00237024">
            <w:pPr>
              <w:pStyle w:val="Tabletext"/>
              <w:jc w:val="center"/>
            </w:pPr>
            <w:r w:rsidRPr="00806263">
              <w:sym w:font="Wingdings" w:char="F0FC"/>
            </w:r>
          </w:p>
        </w:tc>
        <w:tc>
          <w:tcPr>
            <w:tcW w:w="575" w:type="pct"/>
          </w:tcPr>
          <w:p w14:paraId="23E26D68" w14:textId="77777777" w:rsidR="00353080" w:rsidRPr="00806263" w:rsidRDefault="00353080" w:rsidP="00237024">
            <w:pPr>
              <w:pStyle w:val="Tabletext"/>
              <w:jc w:val="center"/>
            </w:pPr>
            <w:r w:rsidRPr="00806263">
              <w:t>–</w:t>
            </w:r>
          </w:p>
        </w:tc>
        <w:tc>
          <w:tcPr>
            <w:tcW w:w="457" w:type="pct"/>
          </w:tcPr>
          <w:p w14:paraId="408BFF7B" w14:textId="77777777" w:rsidR="00353080" w:rsidRPr="00806263" w:rsidRDefault="00353080" w:rsidP="00237024">
            <w:pPr>
              <w:pStyle w:val="Tabletext"/>
              <w:jc w:val="center"/>
            </w:pPr>
            <w:r w:rsidRPr="00806263">
              <w:sym w:font="Wingdings" w:char="F0FC"/>
            </w:r>
          </w:p>
        </w:tc>
        <w:tc>
          <w:tcPr>
            <w:tcW w:w="575" w:type="pct"/>
          </w:tcPr>
          <w:p w14:paraId="55D4DD36" w14:textId="77777777" w:rsidR="00353080" w:rsidRPr="00806263" w:rsidRDefault="00353080" w:rsidP="00237024">
            <w:pPr>
              <w:pStyle w:val="Tabletext"/>
              <w:jc w:val="center"/>
            </w:pPr>
            <w:r w:rsidRPr="00806263">
              <w:t>–</w:t>
            </w:r>
          </w:p>
        </w:tc>
      </w:tr>
      <w:tr w:rsidR="00353080" w:rsidRPr="00BF52F4" w14:paraId="049357AF" w14:textId="77777777" w:rsidTr="00353080">
        <w:trPr>
          <w:trHeight w:val="103"/>
        </w:trPr>
        <w:tc>
          <w:tcPr>
            <w:tcW w:w="723" w:type="pct"/>
            <w:vMerge/>
          </w:tcPr>
          <w:p w14:paraId="7C5465F7" w14:textId="77777777" w:rsidR="00353080" w:rsidRPr="00BF52F4" w:rsidRDefault="00353080" w:rsidP="00237024">
            <w:pPr>
              <w:pStyle w:val="Tabletext"/>
            </w:pPr>
          </w:p>
        </w:tc>
        <w:tc>
          <w:tcPr>
            <w:tcW w:w="2212" w:type="pct"/>
          </w:tcPr>
          <w:p w14:paraId="4CD8AE7D" w14:textId="77777777" w:rsidR="00353080" w:rsidRPr="008737EF" w:rsidRDefault="00353080" w:rsidP="00237024">
            <w:pPr>
              <w:pStyle w:val="Tabletext"/>
            </w:pPr>
            <w:r w:rsidRPr="008737EF">
              <w:rPr>
                <w:rFonts w:ascii="Times New Roman" w:hAnsi="Times New Roman"/>
                <w:szCs w:val="20"/>
              </w:rPr>
              <w:t>Use in patients with renal impairment and direct renal toxicity</w:t>
            </w:r>
          </w:p>
        </w:tc>
        <w:tc>
          <w:tcPr>
            <w:tcW w:w="457" w:type="pct"/>
          </w:tcPr>
          <w:p w14:paraId="2FAAD1B2" w14:textId="77777777" w:rsidR="00353080" w:rsidRPr="00806263" w:rsidRDefault="00353080" w:rsidP="00237024">
            <w:pPr>
              <w:pStyle w:val="Tabletext"/>
              <w:jc w:val="center"/>
            </w:pPr>
            <w:r w:rsidRPr="00806263">
              <w:sym w:font="Wingdings" w:char="F0FC"/>
            </w:r>
          </w:p>
        </w:tc>
        <w:tc>
          <w:tcPr>
            <w:tcW w:w="575" w:type="pct"/>
          </w:tcPr>
          <w:p w14:paraId="473B5CCD" w14:textId="77777777" w:rsidR="00353080" w:rsidRPr="00806263" w:rsidRDefault="00353080" w:rsidP="00237024">
            <w:pPr>
              <w:pStyle w:val="Tabletext"/>
              <w:jc w:val="center"/>
            </w:pPr>
            <w:r w:rsidRPr="00806263">
              <w:t>–</w:t>
            </w:r>
          </w:p>
        </w:tc>
        <w:tc>
          <w:tcPr>
            <w:tcW w:w="457" w:type="pct"/>
          </w:tcPr>
          <w:p w14:paraId="4B63F4B8" w14:textId="77777777" w:rsidR="00353080" w:rsidRPr="00806263" w:rsidRDefault="00353080" w:rsidP="00237024">
            <w:pPr>
              <w:pStyle w:val="Tabletext"/>
              <w:jc w:val="center"/>
            </w:pPr>
            <w:r w:rsidRPr="00806263">
              <w:sym w:font="Wingdings" w:char="F0FC"/>
            </w:r>
          </w:p>
        </w:tc>
        <w:tc>
          <w:tcPr>
            <w:tcW w:w="575" w:type="pct"/>
          </w:tcPr>
          <w:p w14:paraId="54B0254A" w14:textId="77777777" w:rsidR="00353080" w:rsidRPr="00806263" w:rsidRDefault="00353080" w:rsidP="00237024">
            <w:pPr>
              <w:pStyle w:val="Tabletext"/>
              <w:jc w:val="center"/>
            </w:pPr>
            <w:r w:rsidRPr="00806263">
              <w:t>–</w:t>
            </w:r>
          </w:p>
        </w:tc>
      </w:tr>
      <w:tr w:rsidR="00353080" w:rsidRPr="00BF52F4" w14:paraId="687AC4E2" w14:textId="77777777" w:rsidTr="00353080">
        <w:trPr>
          <w:trHeight w:val="103"/>
        </w:trPr>
        <w:tc>
          <w:tcPr>
            <w:tcW w:w="723" w:type="pct"/>
            <w:vMerge/>
          </w:tcPr>
          <w:p w14:paraId="23979936" w14:textId="77777777" w:rsidR="00353080" w:rsidRPr="00BF52F4" w:rsidRDefault="00353080" w:rsidP="00237024">
            <w:pPr>
              <w:pStyle w:val="Tabletext"/>
            </w:pPr>
          </w:p>
        </w:tc>
        <w:tc>
          <w:tcPr>
            <w:tcW w:w="2212" w:type="pct"/>
          </w:tcPr>
          <w:p w14:paraId="09DD6EC8" w14:textId="77777777" w:rsidR="00353080" w:rsidRPr="008737EF" w:rsidRDefault="00353080" w:rsidP="00237024">
            <w:pPr>
              <w:pStyle w:val="Tabletext"/>
            </w:pPr>
            <w:r w:rsidRPr="008737EF">
              <w:rPr>
                <w:rFonts w:ascii="Times New Roman" w:hAnsi="Times New Roman"/>
                <w:szCs w:val="20"/>
              </w:rPr>
              <w:t>Genetic polymorphism</w:t>
            </w:r>
          </w:p>
        </w:tc>
        <w:tc>
          <w:tcPr>
            <w:tcW w:w="457" w:type="pct"/>
          </w:tcPr>
          <w:p w14:paraId="0EEFB10C" w14:textId="77777777" w:rsidR="00353080" w:rsidRPr="00806263" w:rsidRDefault="00353080" w:rsidP="00237024">
            <w:pPr>
              <w:pStyle w:val="Tabletext"/>
              <w:jc w:val="center"/>
            </w:pPr>
            <w:r w:rsidRPr="00806263">
              <w:sym w:font="Wingdings" w:char="F0FC"/>
            </w:r>
          </w:p>
        </w:tc>
        <w:tc>
          <w:tcPr>
            <w:tcW w:w="575" w:type="pct"/>
          </w:tcPr>
          <w:p w14:paraId="1C67CA4A" w14:textId="77777777" w:rsidR="00353080" w:rsidRPr="00806263" w:rsidRDefault="00353080" w:rsidP="00237024">
            <w:pPr>
              <w:pStyle w:val="Tabletext"/>
              <w:jc w:val="center"/>
            </w:pPr>
            <w:r w:rsidRPr="00806263">
              <w:t>–</w:t>
            </w:r>
          </w:p>
        </w:tc>
        <w:tc>
          <w:tcPr>
            <w:tcW w:w="457" w:type="pct"/>
          </w:tcPr>
          <w:p w14:paraId="54C843CF" w14:textId="77777777" w:rsidR="00353080" w:rsidRPr="00806263" w:rsidRDefault="00353080" w:rsidP="00237024">
            <w:pPr>
              <w:pStyle w:val="Tabletext"/>
              <w:jc w:val="center"/>
            </w:pPr>
            <w:r w:rsidRPr="00806263">
              <w:t>–</w:t>
            </w:r>
          </w:p>
        </w:tc>
        <w:tc>
          <w:tcPr>
            <w:tcW w:w="575" w:type="pct"/>
          </w:tcPr>
          <w:p w14:paraId="21DE4E9E" w14:textId="77777777" w:rsidR="00353080" w:rsidRPr="00806263" w:rsidRDefault="00353080" w:rsidP="00237024">
            <w:pPr>
              <w:pStyle w:val="Tabletext"/>
              <w:jc w:val="center"/>
            </w:pPr>
            <w:r w:rsidRPr="00806263">
              <w:t>–</w:t>
            </w:r>
          </w:p>
        </w:tc>
      </w:tr>
      <w:tr w:rsidR="00353080" w:rsidRPr="00BF52F4" w14:paraId="6EE67E45" w14:textId="77777777" w:rsidTr="00353080">
        <w:trPr>
          <w:trHeight w:val="103"/>
        </w:trPr>
        <w:tc>
          <w:tcPr>
            <w:tcW w:w="723" w:type="pct"/>
            <w:vMerge/>
          </w:tcPr>
          <w:p w14:paraId="48E008DD" w14:textId="77777777" w:rsidR="00353080" w:rsidRPr="00BF52F4" w:rsidRDefault="00353080" w:rsidP="00237024">
            <w:pPr>
              <w:pStyle w:val="Tabletext"/>
            </w:pPr>
          </w:p>
        </w:tc>
        <w:tc>
          <w:tcPr>
            <w:tcW w:w="2212" w:type="pct"/>
          </w:tcPr>
          <w:p w14:paraId="55C0DC4D" w14:textId="77777777" w:rsidR="00353080" w:rsidRPr="008737EF" w:rsidRDefault="00353080" w:rsidP="0051409A">
            <w:pPr>
              <w:pStyle w:val="Tabletext"/>
            </w:pPr>
            <w:r w:rsidRPr="008737EF">
              <w:rPr>
                <w:rFonts w:ascii="Times New Roman" w:hAnsi="Times New Roman"/>
                <w:szCs w:val="20"/>
              </w:rPr>
              <w:t>Use in patients of different racial/</w:t>
            </w:r>
            <w:r w:rsidR="0051409A">
              <w:rPr>
                <w:rFonts w:ascii="Times New Roman" w:hAnsi="Times New Roman"/>
                <w:szCs w:val="20"/>
              </w:rPr>
              <w:t>e</w:t>
            </w:r>
            <w:r w:rsidRPr="008737EF">
              <w:rPr>
                <w:rFonts w:ascii="Times New Roman" w:hAnsi="Times New Roman"/>
                <w:szCs w:val="20"/>
              </w:rPr>
              <w:t>thnic origin</w:t>
            </w:r>
          </w:p>
        </w:tc>
        <w:tc>
          <w:tcPr>
            <w:tcW w:w="457" w:type="pct"/>
          </w:tcPr>
          <w:p w14:paraId="62D063E4" w14:textId="77777777" w:rsidR="00353080" w:rsidRPr="00806263" w:rsidRDefault="00353080" w:rsidP="00237024">
            <w:pPr>
              <w:pStyle w:val="Tabletext"/>
              <w:jc w:val="center"/>
            </w:pPr>
            <w:r w:rsidRPr="00806263">
              <w:sym w:font="Wingdings" w:char="F0FC"/>
            </w:r>
          </w:p>
        </w:tc>
        <w:tc>
          <w:tcPr>
            <w:tcW w:w="575" w:type="pct"/>
          </w:tcPr>
          <w:p w14:paraId="6F950D93" w14:textId="77777777" w:rsidR="00353080" w:rsidRPr="00806263" w:rsidRDefault="00353080" w:rsidP="00237024">
            <w:pPr>
              <w:pStyle w:val="Tabletext"/>
              <w:jc w:val="center"/>
            </w:pPr>
            <w:r w:rsidRPr="00806263">
              <w:t>–</w:t>
            </w:r>
          </w:p>
        </w:tc>
        <w:tc>
          <w:tcPr>
            <w:tcW w:w="457" w:type="pct"/>
          </w:tcPr>
          <w:p w14:paraId="4436A1E2" w14:textId="77777777" w:rsidR="00353080" w:rsidRPr="00806263" w:rsidRDefault="00353080" w:rsidP="00237024">
            <w:pPr>
              <w:pStyle w:val="Tabletext"/>
              <w:jc w:val="center"/>
            </w:pPr>
            <w:r w:rsidRPr="00806263">
              <w:sym w:font="Wingdings" w:char="F0FC"/>
            </w:r>
          </w:p>
        </w:tc>
        <w:tc>
          <w:tcPr>
            <w:tcW w:w="575" w:type="pct"/>
          </w:tcPr>
          <w:p w14:paraId="7EED4113" w14:textId="77777777" w:rsidR="00353080" w:rsidRPr="00806263" w:rsidRDefault="00353080" w:rsidP="00237024">
            <w:pPr>
              <w:pStyle w:val="Tabletext"/>
              <w:jc w:val="center"/>
            </w:pPr>
            <w:r w:rsidRPr="00806263">
              <w:t>–</w:t>
            </w:r>
          </w:p>
        </w:tc>
      </w:tr>
      <w:tr w:rsidR="00353080" w:rsidRPr="00BF52F4" w14:paraId="2FDD1626" w14:textId="77777777" w:rsidTr="00353080">
        <w:trPr>
          <w:trHeight w:val="140"/>
        </w:trPr>
        <w:tc>
          <w:tcPr>
            <w:tcW w:w="723" w:type="pct"/>
            <w:vMerge/>
          </w:tcPr>
          <w:p w14:paraId="1B870D63" w14:textId="77777777" w:rsidR="00353080" w:rsidRPr="00BF52F4" w:rsidRDefault="00353080" w:rsidP="00237024">
            <w:pPr>
              <w:pStyle w:val="Tabletext"/>
            </w:pPr>
          </w:p>
        </w:tc>
        <w:tc>
          <w:tcPr>
            <w:tcW w:w="2212" w:type="pct"/>
          </w:tcPr>
          <w:p w14:paraId="27194D3B" w14:textId="77777777" w:rsidR="00353080" w:rsidRPr="008737EF" w:rsidRDefault="00353080" w:rsidP="00237024">
            <w:pPr>
              <w:pStyle w:val="Tabletext"/>
            </w:pPr>
            <w:r w:rsidRPr="008737EF">
              <w:rPr>
                <w:rFonts w:ascii="Times New Roman" w:hAnsi="Times New Roman"/>
                <w:szCs w:val="20"/>
              </w:rPr>
              <w:t>Drug-drug interactions with P-</w:t>
            </w:r>
            <w:proofErr w:type="spellStart"/>
            <w:r w:rsidRPr="008737EF">
              <w:rPr>
                <w:rFonts w:ascii="Times New Roman" w:hAnsi="Times New Roman"/>
                <w:szCs w:val="20"/>
              </w:rPr>
              <w:t>gp</w:t>
            </w:r>
            <w:proofErr w:type="spellEnd"/>
            <w:r w:rsidRPr="008737EF">
              <w:rPr>
                <w:rFonts w:ascii="Times New Roman" w:hAnsi="Times New Roman"/>
                <w:szCs w:val="20"/>
              </w:rPr>
              <w:t xml:space="preserve"> inhibitors</w:t>
            </w:r>
          </w:p>
        </w:tc>
        <w:tc>
          <w:tcPr>
            <w:tcW w:w="457" w:type="pct"/>
          </w:tcPr>
          <w:p w14:paraId="10B4A81A" w14:textId="77777777" w:rsidR="00353080" w:rsidRPr="00806263" w:rsidRDefault="00353080" w:rsidP="00237024">
            <w:pPr>
              <w:pStyle w:val="Tabletext"/>
              <w:jc w:val="center"/>
            </w:pPr>
            <w:r w:rsidRPr="00806263">
              <w:sym w:font="Wingdings" w:char="F0FC"/>
            </w:r>
          </w:p>
        </w:tc>
        <w:tc>
          <w:tcPr>
            <w:tcW w:w="575" w:type="pct"/>
          </w:tcPr>
          <w:p w14:paraId="7DA1B4D9" w14:textId="77777777" w:rsidR="00353080" w:rsidRPr="00806263" w:rsidRDefault="00353080" w:rsidP="00237024">
            <w:pPr>
              <w:pStyle w:val="Tabletext"/>
              <w:jc w:val="center"/>
            </w:pPr>
            <w:r w:rsidRPr="00806263">
              <w:t>–</w:t>
            </w:r>
          </w:p>
        </w:tc>
        <w:tc>
          <w:tcPr>
            <w:tcW w:w="457" w:type="pct"/>
          </w:tcPr>
          <w:p w14:paraId="3FA3ED02" w14:textId="77777777" w:rsidR="00353080" w:rsidRPr="00806263" w:rsidRDefault="00353080" w:rsidP="00237024">
            <w:pPr>
              <w:pStyle w:val="Tabletext"/>
              <w:jc w:val="center"/>
            </w:pPr>
            <w:r w:rsidRPr="00806263">
              <w:sym w:font="Wingdings" w:char="F0FC"/>
            </w:r>
          </w:p>
        </w:tc>
        <w:tc>
          <w:tcPr>
            <w:tcW w:w="575" w:type="pct"/>
          </w:tcPr>
          <w:p w14:paraId="0EC82917" w14:textId="77777777" w:rsidR="00353080" w:rsidRPr="00806263" w:rsidRDefault="00353080" w:rsidP="00237024">
            <w:pPr>
              <w:pStyle w:val="Tabletext"/>
              <w:jc w:val="center"/>
            </w:pPr>
            <w:r w:rsidRPr="00806263">
              <w:t>–</w:t>
            </w:r>
          </w:p>
        </w:tc>
      </w:tr>
    </w:tbl>
    <w:p w14:paraId="4FA76B86" w14:textId="77777777" w:rsidR="00353080" w:rsidRDefault="00353080" w:rsidP="00353080">
      <w:pPr>
        <w:pStyle w:val="TableDescription"/>
      </w:pPr>
      <w:r w:rsidRPr="00353080">
        <w:t>* Targeted follow-up questionnaire</w:t>
      </w:r>
    </w:p>
    <w:p w14:paraId="64D4C49A" w14:textId="77777777" w:rsidR="00DC7B5C" w:rsidRDefault="00DC7B5C" w:rsidP="00DC7B5C">
      <w:r>
        <w:t>The summary of safety concerns is considered acceptable from an RMP perspective.</w:t>
      </w:r>
    </w:p>
    <w:p w14:paraId="51872861" w14:textId="77777777" w:rsidR="00DC7B5C" w:rsidRDefault="00DC7B5C" w:rsidP="00DC7B5C">
      <w:r>
        <w:t>The sponsor has proposed routine pharmacovigilance for all safety concerns, which includes targeted follow-up questionnaires for the saf</w:t>
      </w:r>
      <w:r w:rsidR="0051409A">
        <w:t xml:space="preserve">ety concerns identified above. </w:t>
      </w:r>
      <w:r>
        <w:t>No additional pharmacovigilance activities have been proposed by the sponsor. This is acceptable.</w:t>
      </w:r>
    </w:p>
    <w:p w14:paraId="4924E24F" w14:textId="77777777" w:rsidR="00DC7B5C" w:rsidRDefault="00DC7B5C" w:rsidP="00DC7B5C">
      <w:r>
        <w:t>The sponsor has proposed routine risk minimisation activities for most safety concerns. No additional risk minimisation activities have been proposed however routine risk minimisation activities are considered acceptable to manage the safety concerns. The risk minimisation plan is considered acceptable.</w:t>
      </w:r>
    </w:p>
    <w:p w14:paraId="270ADF12" w14:textId="77777777" w:rsidR="00DC7B5C" w:rsidRPr="00C52E67" w:rsidRDefault="00DC7B5C" w:rsidP="00DC7B5C">
      <w:pPr>
        <w:pStyle w:val="Heading4"/>
      </w:pPr>
      <w:bookmarkStart w:id="53" w:name="_Toc66188026"/>
      <w:r w:rsidRPr="00C52E67">
        <w:t>Wording for conditions of registration</w:t>
      </w:r>
      <w:bookmarkEnd w:id="53"/>
    </w:p>
    <w:p w14:paraId="671C7E5E" w14:textId="77777777" w:rsidR="00DC7B5C" w:rsidRPr="00C52E67" w:rsidRDefault="00DC7B5C" w:rsidP="00DC7B5C">
      <w:r w:rsidRPr="00C52E67">
        <w:t>Any changes to which the sponsor has agreed should be included in a revised RMP and ASA. However, irrespective of whether or not they are included in the currently available version of the RMP document, the agreed changes become part</w:t>
      </w:r>
      <w:r>
        <w:t xml:space="preserve"> of the risk management system.</w:t>
      </w:r>
    </w:p>
    <w:p w14:paraId="4B28CB44" w14:textId="77777777" w:rsidR="00DC7B5C" w:rsidRPr="00C52E67" w:rsidRDefault="00DC7B5C" w:rsidP="00DC7B5C">
      <w:r w:rsidRPr="00C52E67">
        <w:t xml:space="preserve">The suggested wording is: </w:t>
      </w:r>
    </w:p>
    <w:p w14:paraId="770AD7DA" w14:textId="77777777" w:rsidR="00DC7B5C" w:rsidRPr="00C52E67" w:rsidRDefault="00DC7B5C" w:rsidP="00DC7B5C">
      <w:pPr>
        <w:ind w:left="720"/>
        <w:rPr>
          <w:i/>
          <w:iCs/>
        </w:rPr>
      </w:pPr>
      <w:r w:rsidRPr="00C52E67">
        <w:rPr>
          <w:i/>
          <w:iCs/>
        </w:rPr>
        <w:t>The Y</w:t>
      </w:r>
      <w:r>
        <w:rPr>
          <w:i/>
          <w:iCs/>
        </w:rPr>
        <w:t xml:space="preserve">ondelis </w:t>
      </w:r>
      <w:r w:rsidRPr="00C52E67">
        <w:rPr>
          <w:i/>
          <w:iCs/>
        </w:rPr>
        <w:t>EU-Risk Management Plan (RMP) (version 8, dated 31 March 2017, data lock point 17 September 2016</w:t>
      </w:r>
      <w:r>
        <w:rPr>
          <w:i/>
          <w:iCs/>
        </w:rPr>
        <w:t>), with Australian specific a</w:t>
      </w:r>
      <w:r w:rsidRPr="00C52E67">
        <w:rPr>
          <w:i/>
          <w:iCs/>
        </w:rPr>
        <w:t>nnex (version 0.1, dated March 2020), included with submission PM-2020-01313-1-4, and any subsequent revisions, as agreed with the TGA will be implemented in Australia.</w:t>
      </w:r>
    </w:p>
    <w:p w14:paraId="7607B277" w14:textId="77777777" w:rsidR="00DC7B5C" w:rsidRPr="00C52E67" w:rsidRDefault="00DC7B5C" w:rsidP="00DC7B5C">
      <w:r w:rsidRPr="00C52E67">
        <w:t>The following wording is recommended for the PSUR requirement:</w:t>
      </w:r>
    </w:p>
    <w:p w14:paraId="20566B34" w14:textId="77777777" w:rsidR="00DC7B5C" w:rsidRPr="00C52E67" w:rsidRDefault="00DC7B5C" w:rsidP="00DC7B5C">
      <w:pPr>
        <w:ind w:left="720"/>
        <w:rPr>
          <w:i/>
          <w:iCs/>
        </w:rPr>
      </w:pPr>
      <w:r w:rsidRPr="00C52E67">
        <w:rPr>
          <w:i/>
          <w:iCs/>
        </w:rPr>
        <w:t xml:space="preserve">An obligatory component of risk management plans is routine pharmacovigilance. Routine pharmacovigilance includes the submission of periodic safety update reports (PSURs). </w:t>
      </w:r>
    </w:p>
    <w:p w14:paraId="2E5B79FE" w14:textId="77777777" w:rsidR="00DC7B5C" w:rsidRPr="00C52E67" w:rsidRDefault="00DC7B5C" w:rsidP="00DC7B5C">
      <w:pPr>
        <w:ind w:left="720"/>
        <w:rPr>
          <w:i/>
          <w:iCs/>
        </w:rPr>
      </w:pPr>
      <w:r w:rsidRPr="00C52E67">
        <w:rPr>
          <w:i/>
          <w:iCs/>
        </w:rPr>
        <w:t xml:space="preserve">Reports are to be provided in line with the current published list of EU reference dates and frequency of submission of PSURs until the period covered by such reports is not less than three years from the date of this approval letter. </w:t>
      </w:r>
    </w:p>
    <w:p w14:paraId="0663BF6C" w14:textId="77777777" w:rsidR="00DC7B5C" w:rsidRPr="00DC7B5C" w:rsidRDefault="00DC7B5C" w:rsidP="00DC7B5C">
      <w:pPr>
        <w:rPr>
          <w:i/>
        </w:rPr>
      </w:pPr>
      <w:r w:rsidRPr="00DC7B5C">
        <w:rPr>
          <w:i/>
        </w:rPr>
        <w:t xml:space="preserve">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 Each report must have been prepared within ninety calendar days of the data lock point for that report. </w:t>
      </w:r>
    </w:p>
    <w:p w14:paraId="3BB343EA" w14:textId="77777777" w:rsidR="00DC7B5C" w:rsidRPr="00C52E67" w:rsidRDefault="00DC7B5C" w:rsidP="00DC7B5C">
      <w:r w:rsidRPr="00C52E67">
        <w:t xml:space="preserve">As </w:t>
      </w:r>
      <w:r>
        <w:t xml:space="preserve">Yondelis </w:t>
      </w:r>
      <w:r w:rsidRPr="00C52E67">
        <w:t xml:space="preserve">is a new chemical entity it should be included in the Black Triangle Scheme as a condition of registration. The following wording is recommended for the condition of registration: </w:t>
      </w:r>
    </w:p>
    <w:p w14:paraId="67412BE4" w14:textId="77777777" w:rsidR="00DC7B5C" w:rsidRPr="00DC7B5C" w:rsidRDefault="00DC7B5C" w:rsidP="00DC7B5C">
      <w:pPr>
        <w:ind w:left="720"/>
        <w:rPr>
          <w:i/>
        </w:rPr>
      </w:pPr>
      <w:r w:rsidRPr="00DC7B5C">
        <w:rPr>
          <w:i/>
        </w:rPr>
        <w:t>Y</w:t>
      </w:r>
      <w:r>
        <w:rPr>
          <w:i/>
        </w:rPr>
        <w:t>ondelis</w:t>
      </w:r>
      <w:r w:rsidRPr="00DC7B5C">
        <w:rPr>
          <w:i/>
        </w:rPr>
        <w:t xml:space="preserve"> (</w:t>
      </w:r>
      <w:proofErr w:type="spellStart"/>
      <w:r w:rsidRPr="00DC7B5C">
        <w:rPr>
          <w:i/>
        </w:rPr>
        <w:t>trabectedin</w:t>
      </w:r>
      <w:proofErr w:type="spellEnd"/>
      <w:r w:rsidRPr="00DC7B5C">
        <w:rPr>
          <w:i/>
        </w:rPr>
        <w:t xml:space="preserve">) is to be included in the Black Triangle Scheme. The PI and </w:t>
      </w:r>
      <w:r>
        <w:rPr>
          <w:i/>
        </w:rPr>
        <w:t>consumer medicine information (</w:t>
      </w:r>
      <w:r w:rsidRPr="00DC7B5C">
        <w:rPr>
          <w:i/>
        </w:rPr>
        <w:t>CMI</w:t>
      </w:r>
      <w:r>
        <w:rPr>
          <w:i/>
        </w:rPr>
        <w:t>)</w:t>
      </w:r>
      <w:r w:rsidRPr="00DC7B5C">
        <w:rPr>
          <w:i/>
        </w:rPr>
        <w:t xml:space="preserve"> for Y</w:t>
      </w:r>
      <w:r>
        <w:rPr>
          <w:i/>
        </w:rPr>
        <w:t>ondelis</w:t>
      </w:r>
      <w:r w:rsidRPr="00DC7B5C">
        <w:rPr>
          <w:i/>
        </w:rPr>
        <w:t xml:space="preserve"> must include the black triangle symbol and mandatory accompanying text for five years, which starts from the date that the sponsor notifies the TGA of supply of the product.</w:t>
      </w:r>
    </w:p>
    <w:p w14:paraId="4A3DB965" w14:textId="77777777" w:rsidR="008E7846" w:rsidRDefault="00AA0ED0" w:rsidP="008E7846">
      <w:pPr>
        <w:pStyle w:val="Heading3"/>
      </w:pPr>
      <w:bookmarkStart w:id="54" w:name="_Toc247691531"/>
      <w:bookmarkStart w:id="55" w:name="_Toc314842515"/>
      <w:bookmarkStart w:id="56" w:name="_Toc72489982"/>
      <w:bookmarkStart w:id="57" w:name="_Toc196046505"/>
      <w:bookmarkStart w:id="58" w:name="_Toc196046949"/>
      <w:r>
        <w:t>Risk-benefit a</w:t>
      </w:r>
      <w:r w:rsidR="008E7846">
        <w:t>nalysis</w:t>
      </w:r>
      <w:bookmarkEnd w:id="54"/>
      <w:bookmarkEnd w:id="55"/>
      <w:bookmarkEnd w:id="56"/>
    </w:p>
    <w:p w14:paraId="3CFE434A" w14:textId="77777777" w:rsidR="00D23139" w:rsidRDefault="007D53B6" w:rsidP="00D23139">
      <w:pPr>
        <w:pStyle w:val="Heading4"/>
      </w:pPr>
      <w:r>
        <w:t>Delegate’s considerations</w:t>
      </w:r>
    </w:p>
    <w:p w14:paraId="0168416F" w14:textId="69C8EBED" w:rsidR="008359B2" w:rsidRDefault="008359B2" w:rsidP="008359B2">
      <w:r>
        <w:t xml:space="preserve">The clinical data included in the submission demonstrates that </w:t>
      </w:r>
      <w:proofErr w:type="spellStart"/>
      <w:r>
        <w:t>trabectedin</w:t>
      </w:r>
      <w:proofErr w:type="spellEnd"/>
      <w:r>
        <w:t xml:space="preserve"> has efficacy in the treatment of </w:t>
      </w:r>
      <w:proofErr w:type="spellStart"/>
      <w:r w:rsidR="00F014C3">
        <w:t>leiomyosarcoma</w:t>
      </w:r>
      <w:proofErr w:type="spellEnd"/>
      <w:r w:rsidR="00F014C3">
        <w:t xml:space="preserve"> (</w:t>
      </w:r>
      <w:r>
        <w:t>LMS</w:t>
      </w:r>
      <w:r w:rsidR="00F014C3">
        <w:t>)</w:t>
      </w:r>
      <w:r>
        <w:t xml:space="preserve"> and </w:t>
      </w:r>
      <w:proofErr w:type="spellStart"/>
      <w:r w:rsidR="00F014C3">
        <w:t>liposarcoma</w:t>
      </w:r>
      <w:proofErr w:type="spellEnd"/>
      <w:r w:rsidR="00F014C3">
        <w:t xml:space="preserve"> (</w:t>
      </w:r>
      <w:r>
        <w:t>LPS</w:t>
      </w:r>
      <w:r w:rsidR="00F014C3">
        <w:t>)</w:t>
      </w:r>
      <w:r>
        <w:t xml:space="preserve">. The improvement in </w:t>
      </w:r>
      <w:r w:rsidR="00F014C3">
        <w:t>progression</w:t>
      </w:r>
      <w:r w:rsidR="00F014C3">
        <w:noBreakHyphen/>
        <w:t>free survival (</w:t>
      </w:r>
      <w:r>
        <w:t>PFS</w:t>
      </w:r>
      <w:r w:rsidR="00F014C3">
        <w:t>)</w:t>
      </w:r>
      <w:r>
        <w:t xml:space="preserve"> compared to </w:t>
      </w:r>
      <w:proofErr w:type="spellStart"/>
      <w:r>
        <w:t>dacarbazine</w:t>
      </w:r>
      <w:proofErr w:type="spellEnd"/>
      <w:r>
        <w:t xml:space="preserve"> was statistically and clinically significant.</w:t>
      </w:r>
    </w:p>
    <w:p w14:paraId="17A2E0BF" w14:textId="77777777" w:rsidR="008359B2" w:rsidRDefault="008359B2" w:rsidP="008359B2">
      <w:r>
        <w:t xml:space="preserve">The improved efficacy compared to </w:t>
      </w:r>
      <w:proofErr w:type="spellStart"/>
      <w:r>
        <w:t>dacarbazine</w:t>
      </w:r>
      <w:proofErr w:type="spellEnd"/>
      <w:r>
        <w:t xml:space="preserve"> comes at a cost of an increase in toxicity. However, this toxicity appears manageable in most patients.</w:t>
      </w:r>
    </w:p>
    <w:p w14:paraId="5E94B350" w14:textId="77777777" w:rsidR="008359B2" w:rsidRDefault="008359B2" w:rsidP="008359B2">
      <w:r>
        <w:t>Advanced/</w:t>
      </w:r>
      <w:r w:rsidR="00C17E76">
        <w:t xml:space="preserve">metastatic LMS and LPS are life </w:t>
      </w:r>
      <w:r>
        <w:t>threatening conditions, with median survival in the pivotal study being only 13 to 14 months.</w:t>
      </w:r>
    </w:p>
    <w:p w14:paraId="09AFE4B0" w14:textId="77777777" w:rsidR="00456765" w:rsidRPr="00456765" w:rsidRDefault="008359B2" w:rsidP="008359B2">
      <w:r>
        <w:t xml:space="preserve">There are currently limited treatment options for subjects in whom first-line chemotherapy has failed. In this context, it is considered that the overall benefit-risk balance of </w:t>
      </w:r>
      <w:proofErr w:type="spellStart"/>
      <w:r>
        <w:t>trabectedin</w:t>
      </w:r>
      <w:proofErr w:type="spellEnd"/>
      <w:r>
        <w:t xml:space="preserve"> is favourable.</w:t>
      </w:r>
    </w:p>
    <w:p w14:paraId="3BE4DCD9" w14:textId="77777777" w:rsidR="00D23139" w:rsidRDefault="00D23139" w:rsidP="00D23139">
      <w:pPr>
        <w:pStyle w:val="Heading4"/>
      </w:pPr>
      <w:r w:rsidRPr="00D23139">
        <w:t>Proposed action</w:t>
      </w:r>
    </w:p>
    <w:p w14:paraId="55F9516A" w14:textId="77777777" w:rsidR="00C273A8" w:rsidRDefault="00C273A8" w:rsidP="00C273A8">
      <w:pPr>
        <w:rPr>
          <w:b/>
          <w:bCs/>
        </w:rPr>
      </w:pPr>
      <w:r w:rsidRPr="00C273A8">
        <w:t xml:space="preserve">The Delegate proposes to approve </w:t>
      </w:r>
      <w:proofErr w:type="spellStart"/>
      <w:r w:rsidRPr="00C273A8">
        <w:t>trabectedin</w:t>
      </w:r>
      <w:proofErr w:type="spellEnd"/>
      <w:r w:rsidRPr="00C273A8">
        <w:t xml:space="preserve"> (Y</w:t>
      </w:r>
      <w:r>
        <w:t>ondelis</w:t>
      </w:r>
      <w:r w:rsidRPr="00C273A8">
        <w:t xml:space="preserve">) for the treatment of patients with unresectable or metastatic </w:t>
      </w:r>
      <w:proofErr w:type="spellStart"/>
      <w:r w:rsidRPr="00C273A8">
        <w:t>liposarcoma</w:t>
      </w:r>
      <w:proofErr w:type="spellEnd"/>
      <w:r w:rsidRPr="00C273A8">
        <w:t xml:space="preserve"> or </w:t>
      </w:r>
      <w:proofErr w:type="spellStart"/>
      <w:r w:rsidRPr="00C273A8">
        <w:t>leiomyosarcoma</w:t>
      </w:r>
      <w:proofErr w:type="spellEnd"/>
      <w:r w:rsidRPr="00C273A8">
        <w:t xml:space="preserve"> who have received a prior </w:t>
      </w:r>
      <w:proofErr w:type="spellStart"/>
      <w:r w:rsidRPr="00C273A8">
        <w:t>anthracycline</w:t>
      </w:r>
      <w:proofErr w:type="spellEnd"/>
      <w:r w:rsidRPr="00C273A8">
        <w:t>-containing regimen.</w:t>
      </w:r>
    </w:p>
    <w:p w14:paraId="58B52E84"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22"/>
      </w:r>
    </w:p>
    <w:p w14:paraId="39C66415" w14:textId="77777777" w:rsidR="00744121" w:rsidRPr="007D53B6" w:rsidRDefault="00744121" w:rsidP="00744121">
      <w:bookmarkStart w:id="59" w:name="_Toc247691532"/>
      <w:bookmarkStart w:id="60" w:name="_Toc314842516"/>
      <w:bookmarkEnd w:id="34"/>
      <w:bookmarkEnd w:id="57"/>
      <w:bookmarkEnd w:id="58"/>
      <w:r w:rsidRPr="007D53B6">
        <w:t>The Delegate did not refer this application to the Advisory Committee on Medicines (ACM) for advice.</w:t>
      </w:r>
    </w:p>
    <w:p w14:paraId="0AFA4336" w14:textId="77777777" w:rsidR="008E7846" w:rsidRPr="002E238E" w:rsidRDefault="008E7846" w:rsidP="008E7846">
      <w:pPr>
        <w:pStyle w:val="Heading3"/>
      </w:pPr>
      <w:bookmarkStart w:id="61" w:name="_Toc72489983"/>
      <w:r>
        <w:t>Outcome</w:t>
      </w:r>
      <w:bookmarkEnd w:id="59"/>
      <w:bookmarkEnd w:id="60"/>
      <w:bookmarkEnd w:id="61"/>
    </w:p>
    <w:p w14:paraId="3DF13054" w14:textId="77777777" w:rsidR="007D53B6" w:rsidRDefault="00744121" w:rsidP="00744121">
      <w:bookmarkStart w:id="62" w:name="_Toc247691533"/>
      <w:bookmarkStart w:id="63" w:name="_Toc314842517"/>
      <w:r>
        <w:t xml:space="preserve">Based on a review of quality, safety and efficacy, the TGA approved the registration of </w:t>
      </w:r>
      <w:r w:rsidR="002E036C">
        <w:t>Yondelis (</w:t>
      </w:r>
      <w:proofErr w:type="spellStart"/>
      <w:r w:rsidR="002E036C">
        <w:t>trabectedin</w:t>
      </w:r>
      <w:proofErr w:type="spellEnd"/>
      <w:r w:rsidR="002E036C">
        <w:t xml:space="preserve">) </w:t>
      </w:r>
      <w:r w:rsidR="00F14E7A">
        <w:t>0.25 mg and 1 </w:t>
      </w:r>
      <w:r w:rsidR="002E036C" w:rsidRPr="002E036C">
        <w:t>mg</w:t>
      </w:r>
      <w:r w:rsidRPr="00250271">
        <w:t xml:space="preserve">, </w:t>
      </w:r>
      <w:r w:rsidR="002E036C">
        <w:t>powder for solution for infusion, vial, indicated for:</w:t>
      </w:r>
    </w:p>
    <w:p w14:paraId="68D7EBD1" w14:textId="77777777" w:rsidR="00744121" w:rsidRDefault="002E036C" w:rsidP="002E036C">
      <w:pPr>
        <w:ind w:left="720"/>
      </w:pPr>
      <w:r w:rsidRPr="002E036C">
        <w:rPr>
          <w:i/>
        </w:rPr>
        <w:t xml:space="preserve">Yondelis is indicated for the treatment of patients with unresectable or metastatic </w:t>
      </w:r>
      <w:proofErr w:type="spellStart"/>
      <w:r w:rsidRPr="002E036C">
        <w:rPr>
          <w:i/>
        </w:rPr>
        <w:t>liposarcoma</w:t>
      </w:r>
      <w:proofErr w:type="spellEnd"/>
      <w:r w:rsidRPr="002E036C">
        <w:rPr>
          <w:i/>
        </w:rPr>
        <w:t xml:space="preserve"> or </w:t>
      </w:r>
      <w:proofErr w:type="spellStart"/>
      <w:r w:rsidRPr="002E036C">
        <w:rPr>
          <w:i/>
        </w:rPr>
        <w:t>leiomyosarcoma</w:t>
      </w:r>
      <w:proofErr w:type="spellEnd"/>
      <w:r w:rsidRPr="002E036C">
        <w:rPr>
          <w:i/>
        </w:rPr>
        <w:t xml:space="preserve"> who received a prior </w:t>
      </w:r>
      <w:proofErr w:type="spellStart"/>
      <w:r w:rsidRPr="002E036C">
        <w:rPr>
          <w:i/>
        </w:rPr>
        <w:t>anthracycline</w:t>
      </w:r>
      <w:proofErr w:type="spellEnd"/>
      <w:r w:rsidRPr="002E036C">
        <w:rPr>
          <w:i/>
        </w:rPr>
        <w:t>-containing regimen</w:t>
      </w:r>
      <w:r>
        <w:t>.</w:t>
      </w:r>
    </w:p>
    <w:p w14:paraId="3E7EA0F2" w14:textId="77777777" w:rsidR="00D23139" w:rsidRPr="00D23139" w:rsidRDefault="00D23139" w:rsidP="00D23139">
      <w:pPr>
        <w:pStyle w:val="Heading4"/>
      </w:pPr>
      <w:r w:rsidRPr="00D23139">
        <w:t>Specific conditions of registration applying to these goods</w:t>
      </w:r>
    </w:p>
    <w:p w14:paraId="1AF12C99" w14:textId="56B3F80F" w:rsidR="002E036C" w:rsidRDefault="002E036C" w:rsidP="002E036C">
      <w:pPr>
        <w:pStyle w:val="ListBullet"/>
      </w:pPr>
      <w:r>
        <w:t>Yondelis (</w:t>
      </w:r>
      <w:proofErr w:type="spellStart"/>
      <w:r>
        <w:t>trabectedin</w:t>
      </w:r>
      <w:proofErr w:type="spellEnd"/>
      <w:r>
        <w:t xml:space="preserve">) is to be included in </w:t>
      </w:r>
      <w:r w:rsidR="00C17E76">
        <w:t>the Black Triangle Scheme.</w:t>
      </w:r>
      <w:r w:rsidR="00F014C3" w:rsidRPr="0071409D">
        <w:rPr>
          <w:vertAlign w:val="superscript"/>
        </w:rPr>
        <w:fldChar w:fldCharType="begin"/>
      </w:r>
      <w:r w:rsidR="00F014C3" w:rsidRPr="0071409D">
        <w:rPr>
          <w:vertAlign w:val="superscript"/>
        </w:rPr>
        <w:instrText xml:space="preserve"> NOTEREF _Ref72479857 \h </w:instrText>
      </w:r>
      <w:r w:rsidR="00F014C3">
        <w:rPr>
          <w:vertAlign w:val="superscript"/>
        </w:rPr>
        <w:instrText xml:space="preserve"> \* MERGEFORMAT </w:instrText>
      </w:r>
      <w:r w:rsidR="00F014C3" w:rsidRPr="0071409D">
        <w:rPr>
          <w:vertAlign w:val="superscript"/>
        </w:rPr>
      </w:r>
      <w:r w:rsidR="00F014C3" w:rsidRPr="0071409D">
        <w:rPr>
          <w:vertAlign w:val="superscript"/>
        </w:rPr>
        <w:fldChar w:fldCharType="separate"/>
      </w:r>
      <w:r w:rsidR="0071409D">
        <w:rPr>
          <w:vertAlign w:val="superscript"/>
        </w:rPr>
        <w:t>1</w:t>
      </w:r>
      <w:r w:rsidR="00F014C3" w:rsidRPr="0071409D">
        <w:rPr>
          <w:vertAlign w:val="superscript"/>
        </w:rPr>
        <w:fldChar w:fldCharType="end"/>
      </w:r>
      <w:r w:rsidR="00C17E76">
        <w:t xml:space="preserve"> The Product </w:t>
      </w:r>
      <w:r>
        <w:t>I</w:t>
      </w:r>
      <w:r w:rsidR="00C17E76">
        <w:t>nformation</w:t>
      </w:r>
      <w:r>
        <w:t xml:space="preserve"> and </w:t>
      </w:r>
      <w:r w:rsidR="00C17E76">
        <w:t xml:space="preserve">Consumer Medicine Information </w:t>
      </w:r>
      <w:r>
        <w:t>for Yondelis must include the black triangle symbol and mandatory accompanying text for five years, which starts from the date that the sponsor notifies the TGA of supply of the product.</w:t>
      </w:r>
    </w:p>
    <w:p w14:paraId="3148A467" w14:textId="77777777" w:rsidR="002E036C" w:rsidRDefault="002E036C" w:rsidP="002E036C">
      <w:pPr>
        <w:pStyle w:val="ListBullet"/>
      </w:pPr>
      <w:r>
        <w:t>The Yondelis EU-RMP (version 8, dated 31 March 2017, DLP 17 September 2016), with ASA (version 0.1, dated March 2020), included with submission PM-2020-01313-1-4, and any subsequent revisions, as agreed with the TGA will be implemented in Australia.</w:t>
      </w:r>
    </w:p>
    <w:p w14:paraId="4AD7CD72" w14:textId="77777777" w:rsidR="002E036C" w:rsidRDefault="002E036C" w:rsidP="002E036C">
      <w:pPr>
        <w:pStyle w:val="ListBullet"/>
        <w:numPr>
          <w:ilvl w:val="0"/>
          <w:numId w:val="0"/>
        </w:numPr>
        <w:ind w:left="360"/>
      </w:pPr>
      <w:r>
        <w:t>An obligatory component of risk management plans is routine pharmacovigilance. Routine pharmacovigilance includes the submission of periodic safety update reports (PSURs).</w:t>
      </w:r>
    </w:p>
    <w:p w14:paraId="53F179EF" w14:textId="77777777" w:rsidR="002E036C" w:rsidRDefault="002E036C" w:rsidP="002E036C">
      <w:pPr>
        <w:pStyle w:val="ListBullet"/>
        <w:numPr>
          <w:ilvl w:val="0"/>
          <w:numId w:val="0"/>
        </w:numPr>
        <w:ind w:left="360"/>
      </w:pPr>
      <w:r>
        <w:t>Reports are to be provided in line with the current published list of EU reference dates and frequency of submission of PSURs until the period covered by such reports is not less than three years from the date of the approval letter.</w:t>
      </w:r>
    </w:p>
    <w:p w14:paraId="71DFB8C3" w14:textId="77777777" w:rsidR="002E036C" w:rsidRDefault="002E036C" w:rsidP="002E036C">
      <w:pPr>
        <w:pStyle w:val="ListBullet"/>
        <w:numPr>
          <w:ilvl w:val="0"/>
          <w:numId w:val="0"/>
        </w:numPr>
        <w:ind w:left="360"/>
      </w:pPr>
      <w: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2EC0031B" w14:textId="77777777" w:rsidR="00C17E76" w:rsidRDefault="00C17E76" w:rsidP="00C17E76">
      <w:pPr>
        <w:pStyle w:val="ListBullet"/>
      </w:pPr>
      <w:r w:rsidRPr="00C17E76">
        <w:t>For all injectable products the Product Information must be included with the product as a package insert</w:t>
      </w:r>
      <w:r>
        <w:t>.</w:t>
      </w:r>
    </w:p>
    <w:p w14:paraId="1743FCCD" w14:textId="77777777" w:rsidR="008E7846" w:rsidRDefault="00A80B5B" w:rsidP="00D23139">
      <w:pPr>
        <w:pStyle w:val="Heading2"/>
      </w:pPr>
      <w:bookmarkStart w:id="64" w:name="_Toc72489984"/>
      <w:r>
        <w:t xml:space="preserve">Attachment 1. </w:t>
      </w:r>
      <w:r w:rsidR="008E7846">
        <w:t xml:space="preserve">Product </w:t>
      </w:r>
      <w:r w:rsidR="00AA0ED0">
        <w:t>I</w:t>
      </w:r>
      <w:r w:rsidR="008E7846">
        <w:t>nformation</w:t>
      </w:r>
      <w:bookmarkEnd w:id="62"/>
      <w:bookmarkEnd w:id="63"/>
      <w:bookmarkEnd w:id="64"/>
    </w:p>
    <w:p w14:paraId="2645FDB8" w14:textId="0FA45664" w:rsidR="00C80137" w:rsidRDefault="006136D7" w:rsidP="00C80137">
      <w:pPr>
        <w:rPr>
          <w:color w:val="000000"/>
          <w:lang w:eastAsia="en-AU"/>
        </w:rPr>
      </w:pPr>
      <w:r w:rsidRPr="002B3624">
        <w:t xml:space="preserve">The </w:t>
      </w:r>
      <w:r>
        <w:t>PI</w:t>
      </w:r>
      <w:r w:rsidR="002E036C">
        <w:t xml:space="preserve"> for Yondelis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23" w:history="1">
        <w:r w:rsidR="007C6B9B" w:rsidRPr="007C6B9B">
          <w:rPr>
            <w:rStyle w:val="Hyperlink"/>
          </w:rPr>
          <w:t>https://www.tga.gov.au/product-information-pi</w:t>
        </w:r>
      </w:hyperlink>
      <w:r w:rsidR="002E036C">
        <w:t>&gt;.</w:t>
      </w:r>
    </w:p>
    <w:p w14:paraId="66234CFD" w14:textId="77777777" w:rsidR="00C80137" w:rsidRPr="001D043B" w:rsidRDefault="008E7846" w:rsidP="00C273A8">
      <w:pPr>
        <w:autoSpaceDE w:val="0"/>
        <w:autoSpaceDN w:val="0"/>
        <w:adjustRightInd w:val="0"/>
        <w:spacing w:after="0"/>
        <w:rPr>
          <w:lang w:eastAsia="ja-JP"/>
        </w:rPr>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r w:rsidRPr="00C80137">
        <w:rPr>
          <w:b/>
        </w:rP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E7E0AF5" w14:textId="77777777" w:rsidTr="00A05FA4">
        <w:trPr>
          <w:trHeight w:hRule="exact" w:val="704"/>
        </w:trPr>
        <w:tc>
          <w:tcPr>
            <w:tcW w:w="9175" w:type="dxa"/>
          </w:tcPr>
          <w:p w14:paraId="734D7B3F" w14:textId="77777777" w:rsidR="001C32CD" w:rsidRPr="00487162" w:rsidRDefault="001C32CD" w:rsidP="00A05FA4">
            <w:pPr>
              <w:pStyle w:val="TGASignoff"/>
            </w:pPr>
            <w:r w:rsidRPr="00487162">
              <w:t>Therapeutic Goods Administration</w:t>
            </w:r>
          </w:p>
        </w:tc>
      </w:tr>
      <w:tr w:rsidR="001C32CD" w:rsidRPr="004C239D" w14:paraId="7EFB3E82" w14:textId="77777777" w:rsidTr="00A05FA4">
        <w:trPr>
          <w:trHeight w:val="1221"/>
        </w:trPr>
        <w:tc>
          <w:tcPr>
            <w:tcW w:w="9175" w:type="dxa"/>
            <w:tcMar>
              <w:top w:w="28" w:type="dxa"/>
            </w:tcMar>
          </w:tcPr>
          <w:p w14:paraId="44774892" w14:textId="77777777" w:rsidR="001C32CD" w:rsidRPr="00487162" w:rsidRDefault="001C32CD" w:rsidP="00A05FA4">
            <w:pPr>
              <w:pStyle w:val="Address"/>
            </w:pPr>
            <w:r w:rsidRPr="00487162">
              <w:t>PO Box 100 Woden ACT 2606 Australia</w:t>
            </w:r>
          </w:p>
          <w:p w14:paraId="2F27F4B6" w14:textId="2E92F84C"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14:paraId="2AE3C4A2" w14:textId="574C3767" w:rsidR="001C32CD" w:rsidRPr="004C239D" w:rsidRDefault="00B6741D"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14:paraId="079A0242" w14:textId="77777777"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F27CD" w14:textId="77777777" w:rsidR="00B6741D" w:rsidRDefault="00B6741D" w:rsidP="00C40A36">
      <w:pPr>
        <w:spacing w:after="0"/>
      </w:pPr>
      <w:r>
        <w:separator/>
      </w:r>
    </w:p>
  </w:endnote>
  <w:endnote w:type="continuationSeparator" w:id="0">
    <w:p w14:paraId="194EBF6D" w14:textId="77777777" w:rsidR="00B6741D" w:rsidRDefault="00B6741D"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46A50" w14:textId="77777777" w:rsidR="00B6741D" w:rsidRDefault="00B67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B6741D" w:rsidRPr="00487162" w14:paraId="564CF7CC" w14:textId="77777777" w:rsidTr="00DB750B">
      <w:trPr>
        <w:trHeight w:val="269"/>
      </w:trPr>
      <w:tc>
        <w:tcPr>
          <w:tcW w:w="7371" w:type="dxa"/>
          <w:tcMar>
            <w:top w:w="142" w:type="dxa"/>
            <w:bottom w:w="0" w:type="dxa"/>
          </w:tcMar>
        </w:tcPr>
        <w:p w14:paraId="579DA284" w14:textId="4E1FBF84" w:rsidR="00B6741D" w:rsidRPr="00487162" w:rsidRDefault="00B6741D" w:rsidP="007D6252">
          <w:pPr>
            <w:pStyle w:val="Footer"/>
          </w:pPr>
          <w:r w:rsidRPr="00487162">
            <w:t>AusPA</w:t>
          </w:r>
          <w:r>
            <w:t xml:space="preserve">R – </w:t>
          </w:r>
          <w:r w:rsidRPr="00F423DB">
            <w:t>Y</w:t>
          </w:r>
          <w:r>
            <w:t>ondelis</w:t>
          </w:r>
          <w:r w:rsidRPr="00F423DB">
            <w:t xml:space="preserve"> - </w:t>
          </w:r>
          <w:proofErr w:type="spellStart"/>
          <w:r w:rsidRPr="00F423DB">
            <w:t>trabectedin</w:t>
          </w:r>
          <w:proofErr w:type="spellEnd"/>
          <w:r w:rsidRPr="00F423DB">
            <w:t xml:space="preserve"> - Specialised Therapeutics Pharma Pty Ltd - PM-2020-01313-1-4 </w:t>
          </w:r>
          <w:r>
            <w:br/>
            <w:t>FINAL</w:t>
          </w:r>
          <w:r w:rsidRPr="00487162">
            <w:t xml:space="preserve"> </w:t>
          </w:r>
          <w:r>
            <w:t>21 May 2021</w:t>
          </w:r>
        </w:p>
      </w:tc>
      <w:tc>
        <w:tcPr>
          <w:tcW w:w="1490" w:type="dxa"/>
          <w:tcMar>
            <w:top w:w="142" w:type="dxa"/>
            <w:bottom w:w="0" w:type="dxa"/>
          </w:tcMar>
        </w:tcPr>
        <w:p w14:paraId="55707533" w14:textId="158D3262" w:rsidR="00B6741D" w:rsidRPr="00487162" w:rsidRDefault="00B6741D" w:rsidP="00DB750B">
          <w:pPr>
            <w:pStyle w:val="Footer"/>
            <w:jc w:val="right"/>
          </w:pPr>
          <w:r w:rsidRPr="00487162">
            <w:t xml:space="preserve">Page </w:t>
          </w:r>
          <w:r>
            <w:fldChar w:fldCharType="begin"/>
          </w:r>
          <w:r>
            <w:instrText xml:space="preserve"> PAGE  \* Arabic </w:instrText>
          </w:r>
          <w:r>
            <w:fldChar w:fldCharType="separate"/>
          </w:r>
          <w:r w:rsidR="00FF1E0D">
            <w:rPr>
              <w:noProof/>
            </w:rPr>
            <w:t>24</w:t>
          </w:r>
          <w:r>
            <w:fldChar w:fldCharType="end"/>
          </w:r>
          <w:r w:rsidRPr="00487162">
            <w:t xml:space="preserve"> of </w:t>
          </w:r>
          <w:fldSimple w:instr=" NUMPAGES  \* Arabic ">
            <w:r w:rsidR="00FF1E0D">
              <w:rPr>
                <w:noProof/>
              </w:rPr>
              <w:t>25</w:t>
            </w:r>
          </w:fldSimple>
        </w:p>
      </w:tc>
    </w:tr>
  </w:tbl>
  <w:p w14:paraId="61CB37E1" w14:textId="77777777" w:rsidR="00B6741D" w:rsidRDefault="00B6741D"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A09B" w14:textId="77777777" w:rsidR="00B6741D" w:rsidRDefault="00B674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6741D" w:rsidRPr="00487162" w14:paraId="26B3CD06" w14:textId="77777777" w:rsidTr="00E45619">
      <w:trPr>
        <w:trHeight w:val="269"/>
      </w:trPr>
      <w:tc>
        <w:tcPr>
          <w:tcW w:w="4519" w:type="dxa"/>
          <w:tcBorders>
            <w:top w:val="single" w:sz="4" w:space="0" w:color="auto"/>
          </w:tcBorders>
          <w:tcMar>
            <w:top w:w="142" w:type="dxa"/>
            <w:bottom w:w="0" w:type="dxa"/>
          </w:tcMar>
        </w:tcPr>
        <w:p w14:paraId="65DC972C" w14:textId="77777777" w:rsidR="00B6741D" w:rsidRPr="00487162" w:rsidRDefault="00B6741D" w:rsidP="00FE1DEE">
          <w:pPr>
            <w:pStyle w:val="Footer"/>
          </w:pPr>
          <w:r w:rsidRPr="00487162">
            <w:t>Document title, Part #, Section # - Section title</w:t>
          </w:r>
        </w:p>
        <w:p w14:paraId="5AA065D9" w14:textId="77777777" w:rsidR="00B6741D" w:rsidRPr="00487162" w:rsidRDefault="00B6741D" w:rsidP="00FE1DEE">
          <w:pPr>
            <w:pStyle w:val="Footer"/>
          </w:pPr>
          <w:r w:rsidRPr="00487162">
            <w:t>V1.0 October 2010</w:t>
          </w:r>
        </w:p>
      </w:tc>
      <w:tc>
        <w:tcPr>
          <w:tcW w:w="4342" w:type="dxa"/>
          <w:tcBorders>
            <w:top w:val="single" w:sz="4" w:space="0" w:color="auto"/>
          </w:tcBorders>
          <w:tcMar>
            <w:top w:w="142" w:type="dxa"/>
            <w:bottom w:w="0" w:type="dxa"/>
          </w:tcMar>
        </w:tcPr>
        <w:p w14:paraId="56702121" w14:textId="77777777" w:rsidR="00B6741D" w:rsidRPr="00487162" w:rsidRDefault="00B6741D"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5ACD3772" w14:textId="77777777" w:rsidR="00B6741D" w:rsidRDefault="00B674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6E67D" w14:textId="77777777" w:rsidR="00B6741D" w:rsidRPr="001C32CD" w:rsidRDefault="00B6741D"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6741D" w14:paraId="6B4836A1" w14:textId="77777777" w:rsidTr="0010601F">
      <w:trPr>
        <w:trHeight w:val="108"/>
      </w:trPr>
      <w:tc>
        <w:tcPr>
          <w:tcW w:w="8875" w:type="dxa"/>
          <w:gridSpan w:val="2"/>
          <w:tcBorders>
            <w:bottom w:val="single" w:sz="4" w:space="0" w:color="auto"/>
          </w:tcBorders>
          <w:tcMar>
            <w:right w:w="284" w:type="dxa"/>
          </w:tcMar>
        </w:tcPr>
        <w:p w14:paraId="0C1C346A" w14:textId="77777777" w:rsidR="00B6741D" w:rsidRDefault="00B6741D" w:rsidP="006E08B3">
          <w:pPr>
            <w:pStyle w:val="Heading3"/>
          </w:pPr>
          <w:r>
            <w:t>Copyright</w:t>
          </w:r>
        </w:p>
        <w:p w14:paraId="31137F4E" w14:textId="77777777" w:rsidR="00B6741D" w:rsidRDefault="00B6741D" w:rsidP="006E08B3">
          <w:r>
            <w:rPr>
              <w:rFonts w:cs="Arial"/>
            </w:rPr>
            <w:t>©</w:t>
          </w:r>
          <w:r>
            <w:t xml:space="preserve"> Commonwealth of Australia [add year]</w:t>
          </w:r>
        </w:p>
        <w:p w14:paraId="5407A109" w14:textId="77777777" w:rsidR="00B6741D" w:rsidRDefault="00B6741D" w:rsidP="006E08B3"/>
        <w:p w14:paraId="43B9BDF8" w14:textId="77777777" w:rsidR="00B6741D" w:rsidRDefault="00B6741D"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47B9BBEB" w14:textId="77777777" w:rsidR="00B6741D" w:rsidRDefault="00B6741D" w:rsidP="006E08B3"/>
        <w:p w14:paraId="3B6B04A2" w14:textId="77777777" w:rsidR="00B6741D" w:rsidRDefault="00B6741D" w:rsidP="006E08B3">
          <w:pPr>
            <w:pStyle w:val="Heading3"/>
          </w:pPr>
          <w:r>
            <w:t>Confidentiality</w:t>
          </w:r>
        </w:p>
        <w:p w14:paraId="139D81A9" w14:textId="77777777" w:rsidR="00B6741D" w:rsidRDefault="00B6741D"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1C83FCD3" w14:textId="77777777" w:rsidR="00B6741D" w:rsidRDefault="00B6741D" w:rsidP="006E08B3"/>
        <w:p w14:paraId="0E86E89F" w14:textId="77777777" w:rsidR="00B6741D" w:rsidRDefault="00B6741D" w:rsidP="006E08B3">
          <w:r>
            <w:t>For submission made by individuals, all personal details, other than your name, will be removed from your submission before it is published on the TGA’s Internet site.</w:t>
          </w:r>
        </w:p>
        <w:p w14:paraId="6896D78D" w14:textId="77777777" w:rsidR="00B6741D" w:rsidRDefault="00B6741D" w:rsidP="006E08B3"/>
        <w:p w14:paraId="7DD83A79" w14:textId="77777777" w:rsidR="00B6741D" w:rsidRDefault="00B6741D"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6741D" w14:paraId="7DE5903C" w14:textId="77777777" w:rsidTr="0010601F">
      <w:trPr>
        <w:trHeight w:val="417"/>
      </w:trPr>
      <w:tc>
        <w:tcPr>
          <w:tcW w:w="4519" w:type="dxa"/>
          <w:tcBorders>
            <w:top w:val="single" w:sz="4" w:space="0" w:color="auto"/>
          </w:tcBorders>
          <w:tcMar>
            <w:top w:w="142" w:type="dxa"/>
            <w:bottom w:w="0" w:type="dxa"/>
          </w:tcMar>
        </w:tcPr>
        <w:p w14:paraId="4C64B64C" w14:textId="77777777" w:rsidR="00B6741D" w:rsidRDefault="00B6741D" w:rsidP="006E08B3">
          <w:r>
            <w:t>Document title, Part #, Section # - Section title</w:t>
          </w:r>
        </w:p>
        <w:p w14:paraId="4EB26C88" w14:textId="77777777" w:rsidR="00B6741D" w:rsidRDefault="00B6741D" w:rsidP="006E08B3">
          <w:r>
            <w:t>V1.0 October 2010</w:t>
          </w:r>
        </w:p>
      </w:tc>
      <w:tc>
        <w:tcPr>
          <w:tcW w:w="4356" w:type="dxa"/>
          <w:tcBorders>
            <w:top w:val="single" w:sz="4" w:space="0" w:color="auto"/>
          </w:tcBorders>
          <w:tcMar>
            <w:top w:w="142" w:type="dxa"/>
            <w:bottom w:w="0" w:type="dxa"/>
          </w:tcMar>
        </w:tcPr>
        <w:p w14:paraId="2DFA7EF7" w14:textId="77777777" w:rsidR="00B6741D" w:rsidRDefault="00B6741D"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6ADB4B13" w14:textId="77777777" w:rsidR="00B6741D" w:rsidRDefault="00B674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D4DF4" w14:textId="77777777" w:rsidR="00B6741D" w:rsidRDefault="00B6741D" w:rsidP="00C40A36">
      <w:pPr>
        <w:spacing w:after="0"/>
      </w:pPr>
      <w:r>
        <w:separator/>
      </w:r>
    </w:p>
  </w:footnote>
  <w:footnote w:type="continuationSeparator" w:id="0">
    <w:p w14:paraId="558B49FA" w14:textId="77777777" w:rsidR="00B6741D" w:rsidRDefault="00B6741D" w:rsidP="00C40A36">
      <w:pPr>
        <w:spacing w:after="0"/>
      </w:pPr>
      <w:r>
        <w:continuationSeparator/>
      </w:r>
    </w:p>
  </w:footnote>
  <w:footnote w:id="1">
    <w:p w14:paraId="45A9B3BF" w14:textId="77777777" w:rsidR="00B6741D" w:rsidRDefault="00B6741D">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1A6187CC" w14:textId="77777777" w:rsidR="00B6741D" w:rsidRDefault="00B6741D" w:rsidP="00AF37E0">
      <w:pPr>
        <w:pStyle w:val="FootnoteText"/>
      </w:pPr>
      <w:r>
        <w:rPr>
          <w:rStyle w:val="FootnoteReference"/>
        </w:rPr>
        <w:footnoteRef/>
      </w:r>
      <w:r>
        <w:t xml:space="preserve"> Clark MA, et al. Soft-tissue sarcomas in adults</w:t>
      </w:r>
      <w:r w:rsidRPr="00AF37E0">
        <w:rPr>
          <w:i/>
        </w:rPr>
        <w:t xml:space="preserve">. N </w:t>
      </w:r>
      <w:proofErr w:type="spellStart"/>
      <w:r w:rsidRPr="00AF37E0">
        <w:rPr>
          <w:i/>
        </w:rPr>
        <w:t>Engl</w:t>
      </w:r>
      <w:proofErr w:type="spellEnd"/>
      <w:r w:rsidRPr="00AF37E0">
        <w:rPr>
          <w:i/>
        </w:rPr>
        <w:t xml:space="preserve"> J Med</w:t>
      </w:r>
      <w:r>
        <w:t>. 2005; 353 (7): 701-11.</w:t>
      </w:r>
    </w:p>
  </w:footnote>
  <w:footnote w:id="3">
    <w:p w14:paraId="2AA355AF" w14:textId="77777777" w:rsidR="00B6741D" w:rsidRDefault="00B6741D">
      <w:pPr>
        <w:pStyle w:val="FootnoteText"/>
      </w:pPr>
      <w:r>
        <w:rPr>
          <w:rStyle w:val="FootnoteReference"/>
        </w:rPr>
        <w:footnoteRef/>
      </w:r>
      <w:r>
        <w:t xml:space="preserve"> </w:t>
      </w:r>
      <w:proofErr w:type="spellStart"/>
      <w:r>
        <w:t>Shiba</w:t>
      </w:r>
      <w:proofErr w:type="spellEnd"/>
      <w:r>
        <w:t xml:space="preserve"> S, et al. Diagnosis and management of soft tissue sarcoma </w:t>
      </w:r>
      <w:r w:rsidRPr="00AF37E0">
        <w:rPr>
          <w:i/>
        </w:rPr>
        <w:t>BMJ</w:t>
      </w:r>
      <w:r>
        <w:t xml:space="preserve"> 2010; 341: c7170.</w:t>
      </w:r>
    </w:p>
  </w:footnote>
  <w:footnote w:id="4">
    <w:p w14:paraId="571AD35E" w14:textId="77777777" w:rsidR="00B6741D" w:rsidRDefault="00B6741D" w:rsidP="00237024">
      <w:pPr>
        <w:pStyle w:val="FootnoteText"/>
      </w:pPr>
      <w:r>
        <w:rPr>
          <w:rStyle w:val="FootnoteReference"/>
        </w:rPr>
        <w:footnoteRef/>
      </w:r>
      <w:r>
        <w:t xml:space="preserve"> </w:t>
      </w:r>
      <w:r w:rsidRPr="00237024">
        <w:t>National Comprehensive Cancer Network (NCCN). NCCN Clinical Practice Guidelines in Oncology. Soft Tissue Sarcoma. Version 2.2020; 2020. Accessible via www.nccn.org.</w:t>
      </w:r>
    </w:p>
  </w:footnote>
  <w:footnote w:id="5">
    <w:p w14:paraId="3B2BB137" w14:textId="77777777" w:rsidR="00B6741D" w:rsidRDefault="00B6741D">
      <w:pPr>
        <w:pStyle w:val="FootnoteText"/>
      </w:pPr>
      <w:r>
        <w:rPr>
          <w:rStyle w:val="FootnoteReference"/>
        </w:rPr>
        <w:footnoteRef/>
      </w:r>
      <w:r>
        <w:t xml:space="preserve"> </w:t>
      </w:r>
      <w:r w:rsidRPr="00AF37E0">
        <w:t xml:space="preserve">Australian Institute of Health and Welfare (AIHW) Sarcoma statistics in Australia. </w:t>
      </w:r>
      <w:r>
        <w:t>Access via www.</w:t>
      </w:r>
      <w:r w:rsidRPr="00AF37E0">
        <w:t xml:space="preserve"> </w:t>
      </w:r>
      <w:r>
        <w:t>c</w:t>
      </w:r>
      <w:r w:rsidRPr="00AF37E0">
        <w:t>anceraustralia.gov.au</w:t>
      </w:r>
    </w:p>
  </w:footnote>
  <w:footnote w:id="6">
    <w:p w14:paraId="163A4C52" w14:textId="77777777" w:rsidR="00B6741D" w:rsidRDefault="00B6741D">
      <w:pPr>
        <w:pStyle w:val="FootnoteText"/>
      </w:pPr>
      <w:r>
        <w:rPr>
          <w:rStyle w:val="FootnoteReference"/>
        </w:rPr>
        <w:footnoteRef/>
      </w:r>
      <w:r>
        <w:t xml:space="preserve"> </w:t>
      </w:r>
      <w:r w:rsidRPr="00AF37E0">
        <w:t xml:space="preserve">American Cancer Society. Survival Rates for Soft Tissue Sarcoma (2020). </w:t>
      </w:r>
      <w:r>
        <w:t>Accessible via www.cancer.org.</w:t>
      </w:r>
    </w:p>
  </w:footnote>
  <w:footnote w:id="7">
    <w:p w14:paraId="558EA840" w14:textId="77777777" w:rsidR="00B6741D" w:rsidRDefault="00B6741D">
      <w:pPr>
        <w:pStyle w:val="FootnoteText"/>
      </w:pPr>
      <w:r>
        <w:rPr>
          <w:rStyle w:val="FootnoteReference"/>
        </w:rPr>
        <w:footnoteRef/>
      </w:r>
      <w:r>
        <w:t xml:space="preserve"> </w:t>
      </w:r>
      <w:proofErr w:type="spellStart"/>
      <w:r>
        <w:t>Frezza</w:t>
      </w:r>
      <w:proofErr w:type="spellEnd"/>
      <w:r>
        <w:t xml:space="preserve"> AM, et al. </w:t>
      </w:r>
      <w:r w:rsidRPr="00AF37E0">
        <w:t xml:space="preserve">Systemic treatment in advanced soft tissue sarcoma: what is standard, what is new. </w:t>
      </w:r>
      <w:r w:rsidRPr="00AF37E0">
        <w:rPr>
          <w:i/>
        </w:rPr>
        <w:t>BMC Med</w:t>
      </w:r>
      <w:r w:rsidRPr="00AF37E0">
        <w:t>. 2017; 15 (1): 109.</w:t>
      </w:r>
    </w:p>
  </w:footnote>
  <w:footnote w:id="8">
    <w:p w14:paraId="5CD97D82" w14:textId="77777777" w:rsidR="00B6741D" w:rsidRDefault="00B6741D">
      <w:pPr>
        <w:pStyle w:val="FootnoteText"/>
      </w:pPr>
      <w:r>
        <w:rPr>
          <w:rStyle w:val="FootnoteReference"/>
        </w:rPr>
        <w:footnoteRef/>
      </w:r>
      <w:r>
        <w:t xml:space="preserve"> </w:t>
      </w:r>
      <w:r w:rsidRPr="00AF37E0">
        <w:t xml:space="preserve">Van </w:t>
      </w:r>
      <w:proofErr w:type="spellStart"/>
      <w:r w:rsidRPr="00AF37E0">
        <w:t>Glabbeke</w:t>
      </w:r>
      <w:proofErr w:type="spellEnd"/>
      <w:r w:rsidRPr="00AF37E0">
        <w:t xml:space="preserve"> M</w:t>
      </w:r>
      <w:r>
        <w:t>,</w:t>
      </w:r>
      <w:r w:rsidRPr="00AF37E0">
        <w:t xml:space="preserve"> et al. Prognostic factors for the outcome of chemotherapy in advanced soft tissue sarcoma: an analysis of 2,185 patients treated with </w:t>
      </w:r>
      <w:proofErr w:type="spellStart"/>
      <w:r w:rsidRPr="00AF37E0">
        <w:t>anthracycline</w:t>
      </w:r>
      <w:proofErr w:type="spellEnd"/>
      <w:r w:rsidRPr="00AF37E0">
        <w:t xml:space="preserve">-containing first-line regimens--a European Organization for Research and Treatment of Cancer Soft Tissue and Bone Sarcoma Group Study. </w:t>
      </w:r>
      <w:r w:rsidRPr="00AF37E0">
        <w:rPr>
          <w:i/>
        </w:rPr>
        <w:t xml:space="preserve">J </w:t>
      </w:r>
      <w:proofErr w:type="spellStart"/>
      <w:r w:rsidRPr="00AF37E0">
        <w:rPr>
          <w:i/>
        </w:rPr>
        <w:t>Clin</w:t>
      </w:r>
      <w:proofErr w:type="spellEnd"/>
      <w:r w:rsidRPr="00AF37E0">
        <w:rPr>
          <w:i/>
        </w:rPr>
        <w:t xml:space="preserve"> Oncol</w:t>
      </w:r>
      <w:r w:rsidRPr="00AF37E0">
        <w:t>;17 (1): 150-7.</w:t>
      </w:r>
    </w:p>
  </w:footnote>
  <w:footnote w:id="9">
    <w:p w14:paraId="1EB0D166" w14:textId="77777777" w:rsidR="00B6741D" w:rsidRDefault="00B6741D">
      <w:pPr>
        <w:pStyle w:val="FootnoteText"/>
      </w:pPr>
      <w:r>
        <w:rPr>
          <w:rStyle w:val="FootnoteReference"/>
        </w:rPr>
        <w:footnoteRef/>
      </w:r>
      <w:r>
        <w:t xml:space="preserve"> </w:t>
      </w:r>
      <w:r w:rsidRPr="00AF37E0">
        <w:t>Toro JR</w:t>
      </w:r>
      <w:r>
        <w:t>.</w:t>
      </w:r>
      <w:r w:rsidRPr="00AF37E0">
        <w:t xml:space="preserve"> et al. Incidence patterns of soft tissue sarcomas, regardless of primary site, in the surveillance, epidemiology and end results program, 1978-2001: An analysis of 26,758 cases. </w:t>
      </w:r>
      <w:proofErr w:type="spellStart"/>
      <w:r w:rsidRPr="00AF37E0">
        <w:rPr>
          <w:i/>
        </w:rPr>
        <w:t>Int</w:t>
      </w:r>
      <w:proofErr w:type="spellEnd"/>
      <w:r w:rsidRPr="00AF37E0">
        <w:rPr>
          <w:i/>
        </w:rPr>
        <w:t xml:space="preserve"> J Cancer</w:t>
      </w:r>
      <w:r w:rsidRPr="00AF37E0">
        <w:t>. 2006; 119 (12): 2922-2930</w:t>
      </w:r>
    </w:p>
  </w:footnote>
  <w:footnote w:id="10">
    <w:p w14:paraId="005E027C" w14:textId="77777777" w:rsidR="00B6741D" w:rsidRDefault="00B6741D">
      <w:pPr>
        <w:pStyle w:val="FootnoteText"/>
      </w:pPr>
      <w:r>
        <w:rPr>
          <w:rStyle w:val="FootnoteReference"/>
        </w:rPr>
        <w:footnoteRef/>
      </w:r>
      <w:r>
        <w:t xml:space="preserve"> George S, </w:t>
      </w:r>
      <w:r w:rsidRPr="00AF37E0">
        <w:t xml:space="preserve">et al. Soft Tissue and Uterine </w:t>
      </w:r>
      <w:proofErr w:type="spellStart"/>
      <w:r w:rsidRPr="00AF37E0">
        <w:t>Leiomyosarcoma</w:t>
      </w:r>
      <w:proofErr w:type="spellEnd"/>
      <w:r w:rsidRPr="00AF37E0">
        <w:t xml:space="preserve">. </w:t>
      </w:r>
      <w:r w:rsidRPr="00AF37E0">
        <w:rPr>
          <w:i/>
        </w:rPr>
        <w:t xml:space="preserve">J </w:t>
      </w:r>
      <w:proofErr w:type="spellStart"/>
      <w:r w:rsidRPr="00AF37E0">
        <w:rPr>
          <w:i/>
        </w:rPr>
        <w:t>Clin</w:t>
      </w:r>
      <w:proofErr w:type="spellEnd"/>
      <w:r w:rsidRPr="00AF37E0">
        <w:rPr>
          <w:i/>
        </w:rPr>
        <w:t xml:space="preserve"> </w:t>
      </w:r>
      <w:proofErr w:type="spellStart"/>
      <w:r w:rsidRPr="00AF37E0">
        <w:rPr>
          <w:i/>
        </w:rPr>
        <w:t>Oncol</w:t>
      </w:r>
      <w:proofErr w:type="spellEnd"/>
      <w:r w:rsidRPr="00AF37E0">
        <w:t>. 2017; 36: 144-150</w:t>
      </w:r>
    </w:p>
  </w:footnote>
  <w:footnote w:id="11">
    <w:p w14:paraId="31920D04" w14:textId="77777777" w:rsidR="00B6741D" w:rsidRDefault="00B6741D">
      <w:pPr>
        <w:pStyle w:val="FootnoteText"/>
      </w:pPr>
      <w:r>
        <w:rPr>
          <w:rStyle w:val="FootnoteReference"/>
        </w:rPr>
        <w:footnoteRef/>
      </w:r>
      <w:r>
        <w:t xml:space="preserve"> Lee ATJ, et al</w:t>
      </w:r>
      <w:r w:rsidRPr="00AF37E0">
        <w:t xml:space="preserve">. Clinical and Molecular Spectrum of </w:t>
      </w:r>
      <w:proofErr w:type="spellStart"/>
      <w:r w:rsidRPr="00AF37E0">
        <w:t>Liposarcoma</w:t>
      </w:r>
      <w:proofErr w:type="spellEnd"/>
      <w:r w:rsidRPr="00AF37E0">
        <w:t xml:space="preserve">. </w:t>
      </w:r>
      <w:r w:rsidRPr="00AF37E0">
        <w:rPr>
          <w:i/>
        </w:rPr>
        <w:t xml:space="preserve">J </w:t>
      </w:r>
      <w:proofErr w:type="spellStart"/>
      <w:r w:rsidRPr="00AF37E0">
        <w:rPr>
          <w:i/>
        </w:rPr>
        <w:t>Clin</w:t>
      </w:r>
      <w:proofErr w:type="spellEnd"/>
      <w:r w:rsidRPr="00AF37E0">
        <w:rPr>
          <w:i/>
        </w:rPr>
        <w:t xml:space="preserve"> </w:t>
      </w:r>
      <w:proofErr w:type="spellStart"/>
      <w:r w:rsidRPr="00AF37E0">
        <w:rPr>
          <w:i/>
        </w:rPr>
        <w:t>Oncol</w:t>
      </w:r>
      <w:proofErr w:type="spellEnd"/>
      <w:r w:rsidRPr="00AF37E0">
        <w:t>. 2018; 36 (2): 151-159.</w:t>
      </w:r>
    </w:p>
  </w:footnote>
  <w:footnote w:id="12">
    <w:p w14:paraId="4B0A0E3F" w14:textId="77777777" w:rsidR="00B6741D" w:rsidRDefault="00B6741D">
      <w:pPr>
        <w:pStyle w:val="FootnoteText"/>
      </w:pPr>
      <w:r>
        <w:rPr>
          <w:rStyle w:val="FootnoteReference"/>
        </w:rPr>
        <w:footnoteRef/>
      </w:r>
      <w:r>
        <w:t xml:space="preserve"> </w:t>
      </w:r>
      <w:r w:rsidRPr="00542BF5">
        <w:t xml:space="preserve">Cancer Council Australia Sarcoma Guidelines Working Party. Clinical practice guidelines for the management of adult onset sarcoma. Sydney: Cancer Council Australia. 2014. </w:t>
      </w:r>
      <w:r>
        <w:t>Accessible via www.wiki.cancer.org.au</w:t>
      </w:r>
    </w:p>
  </w:footnote>
  <w:footnote w:id="13">
    <w:p w14:paraId="5BD16D2A" w14:textId="77777777" w:rsidR="00B6741D" w:rsidRDefault="00B6741D">
      <w:pPr>
        <w:pStyle w:val="FootnoteText"/>
      </w:pPr>
      <w:r>
        <w:rPr>
          <w:rStyle w:val="FootnoteReference"/>
        </w:rPr>
        <w:footnoteRef/>
      </w:r>
      <w:r>
        <w:t xml:space="preserve"> </w:t>
      </w:r>
      <w:r w:rsidRPr="00542BF5">
        <w:t xml:space="preserve">European Society for Medical Oncology and European Reference Network for rare adult solid cancers. Soft tissue and visceral sarcomas: ESMO–EURACAN Clinical Practice Guidelines for diagnosis, treatment and follow-up. </w:t>
      </w:r>
      <w:r w:rsidRPr="00542BF5">
        <w:rPr>
          <w:i/>
        </w:rPr>
        <w:t>Annals of Oncology</w:t>
      </w:r>
      <w:r w:rsidRPr="00542BF5">
        <w:t>. 2018; 29 (Supplement 4): iv51–iv67.</w:t>
      </w:r>
    </w:p>
  </w:footnote>
  <w:footnote w:id="14">
    <w:p w14:paraId="0C55BBC7" w14:textId="77777777" w:rsidR="00B6741D" w:rsidRDefault="00B6741D">
      <w:pPr>
        <w:pStyle w:val="FootnoteText"/>
      </w:pPr>
      <w:r>
        <w:rPr>
          <w:rStyle w:val="FootnoteReference"/>
        </w:rPr>
        <w:footnoteRef/>
      </w:r>
      <w:r>
        <w:t xml:space="preserve"> </w:t>
      </w:r>
      <w:proofErr w:type="spellStart"/>
      <w:r>
        <w:t>Pazopanib</w:t>
      </w:r>
      <w:proofErr w:type="spellEnd"/>
      <w:r>
        <w:t xml:space="preserve"> is registered on ARTG on the 30 June 2010, ARTG number: 161281, 161282.</w:t>
      </w:r>
    </w:p>
  </w:footnote>
  <w:footnote w:id="15">
    <w:p w14:paraId="50117AC3" w14:textId="77777777" w:rsidR="00B6741D" w:rsidRDefault="00B6741D">
      <w:pPr>
        <w:pStyle w:val="FootnoteText"/>
      </w:pPr>
      <w:r>
        <w:rPr>
          <w:rStyle w:val="FootnoteReference"/>
        </w:rPr>
        <w:footnoteRef/>
      </w:r>
      <w:r>
        <w:t xml:space="preserve"> </w:t>
      </w:r>
      <w:proofErr w:type="spellStart"/>
      <w:r>
        <w:t>Eribulin</w:t>
      </w:r>
      <w:proofErr w:type="spellEnd"/>
      <w:r>
        <w:t xml:space="preserve"> is registered on ARTG on the 4 September 2012, ARTG number: 187136.</w:t>
      </w:r>
    </w:p>
  </w:footnote>
  <w:footnote w:id="16">
    <w:p w14:paraId="499F70E4" w14:textId="77777777" w:rsidR="00B6741D" w:rsidRPr="0071409D" w:rsidRDefault="00B6741D">
      <w:pPr>
        <w:pStyle w:val="FootnoteText"/>
        <w:rPr>
          <w:lang w:val="en-US"/>
        </w:rPr>
      </w:pPr>
      <w:r>
        <w:rPr>
          <w:rStyle w:val="FootnoteReference"/>
        </w:rPr>
        <w:footnoteRef/>
      </w:r>
      <w:r>
        <w:t xml:space="preserve"> </w:t>
      </w:r>
      <w:r w:rsidRPr="0071409D">
        <w:rPr>
          <w:b/>
        </w:rPr>
        <w:t>Orphan</w:t>
      </w:r>
      <w:r>
        <w:t xml:space="preserve"> drugs</w:t>
      </w:r>
      <w:r w:rsidRPr="003D2ACE">
        <w:t xml:space="preserve"> are often developed to treat small and very specific patient populations who suffer from rare diseases and conditions. In order to facilitate orphan drug access to the Australian marketplace and help offset orphan drug development costs the TGA waives application and evaluation fees for prescription medicine registration applications if a related orphan designation is in force. A medicine may be eligible for orphan drug designation if all orphan criteria set by the TGA are met. The orphan designation application precedes the registration application and the designation is specific to the sponsor, orphan indication for which designation was granted and dosage form of the medicine.</w:t>
      </w:r>
    </w:p>
  </w:footnote>
  <w:footnote w:id="17">
    <w:p w14:paraId="04BAC3CE" w14:textId="77777777" w:rsidR="00B6741D" w:rsidRDefault="00B6741D" w:rsidP="00793F4E">
      <w:pPr>
        <w:pStyle w:val="FootnoteText"/>
      </w:pPr>
      <w:r>
        <w:rPr>
          <w:rStyle w:val="FootnoteReference"/>
        </w:rPr>
        <w:footnoteRef/>
      </w:r>
      <w:r>
        <w:t xml:space="preserve"> </w:t>
      </w:r>
      <w:r w:rsidRPr="00793F4E">
        <w:rPr>
          <w:b/>
        </w:rPr>
        <w:t>Cytochrome P450</w:t>
      </w:r>
      <w:r>
        <w:t xml:space="preserve"> (CYP) enzymes: CYPs are the major enzymes involved in drug metabolism, accounting for large part of the total metabolism. Most drugs undergo deactivation by CYPs, either directly or by facilitated excretion from the body. Also, many substances are </w:t>
      </w:r>
      <w:proofErr w:type="spellStart"/>
      <w:r>
        <w:t>bioactivated</w:t>
      </w:r>
      <w:proofErr w:type="spellEnd"/>
      <w:r>
        <w:t xml:space="preserve"> by CYPs to form their active compounds.</w:t>
      </w:r>
    </w:p>
    <w:p w14:paraId="0BF67BAC" w14:textId="77777777" w:rsidR="00B6741D" w:rsidRDefault="00B6741D" w:rsidP="00793F4E">
      <w:pPr>
        <w:pStyle w:val="FootnoteText"/>
      </w:pPr>
      <w: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8">
    <w:p w14:paraId="09F3340E" w14:textId="77777777" w:rsidR="00B6741D" w:rsidRDefault="00B6741D" w:rsidP="00CA40FF">
      <w:pPr>
        <w:pStyle w:val="FootnoteText"/>
      </w:pPr>
      <w:r>
        <w:rPr>
          <w:rStyle w:val="FootnoteReference"/>
        </w:rPr>
        <w:footnoteRef/>
      </w:r>
      <w:r>
        <w:t xml:space="preserve"> </w:t>
      </w:r>
      <w:r w:rsidRPr="00006F94">
        <w:rPr>
          <w:b/>
        </w:rPr>
        <w:t>ECOG Performance Status</w:t>
      </w:r>
      <w:r>
        <w:t xml:space="preserve">: The Eastern Cooperative Oncology Group (ECOG) has developed criteria used by doctors and researchers to assess how a patient's disease is progressing, assess how the disease affects the daily living abilities of the patient, and determine appropriate treatment and prognosis. The following are used: </w:t>
      </w:r>
    </w:p>
    <w:p w14:paraId="5220A3E6" w14:textId="77777777" w:rsidR="00B6741D" w:rsidRDefault="00B6741D" w:rsidP="00CA40FF">
      <w:pPr>
        <w:pStyle w:val="FootnoteText"/>
      </w:pPr>
      <w:r>
        <w:t>0 - Fully active, able to carry on all pre-disease performance without restriction</w:t>
      </w:r>
    </w:p>
    <w:p w14:paraId="493C8BD7" w14:textId="77777777" w:rsidR="00B6741D" w:rsidRDefault="00B6741D" w:rsidP="00CA40FF">
      <w:pPr>
        <w:pStyle w:val="FootnoteText"/>
      </w:pPr>
      <w:r>
        <w:t>1- Restricted in physically strenuous activity but ambulatory and able to carry out work of a light or sedentary nature, e.g., light house work, office work</w:t>
      </w:r>
    </w:p>
    <w:p w14:paraId="32CD966A" w14:textId="77777777" w:rsidR="00B6741D" w:rsidRDefault="00B6741D" w:rsidP="00CA40FF">
      <w:pPr>
        <w:pStyle w:val="FootnoteText"/>
      </w:pPr>
      <w:r>
        <w:t xml:space="preserve">2 - Ambulatory and capable of all </w:t>
      </w:r>
      <w:proofErr w:type="spellStart"/>
      <w:r>
        <w:t>selfcare</w:t>
      </w:r>
      <w:proofErr w:type="spellEnd"/>
      <w:r>
        <w:t xml:space="preserve"> but unable to carry out any work activities. Up and about more than 50% of waking hours</w:t>
      </w:r>
    </w:p>
    <w:p w14:paraId="14103C26" w14:textId="77777777" w:rsidR="00B6741D" w:rsidRDefault="00B6741D" w:rsidP="00CA40FF">
      <w:pPr>
        <w:pStyle w:val="FootnoteText"/>
      </w:pPr>
      <w:r>
        <w:t xml:space="preserve">3 - Capable of only limited </w:t>
      </w:r>
      <w:proofErr w:type="spellStart"/>
      <w:r>
        <w:t>selfcare</w:t>
      </w:r>
      <w:proofErr w:type="spellEnd"/>
      <w:r>
        <w:t>, confined to bed or chair more than 50% of waking hours</w:t>
      </w:r>
    </w:p>
    <w:p w14:paraId="4DE036E6" w14:textId="77777777" w:rsidR="00B6741D" w:rsidRDefault="00B6741D" w:rsidP="00CA40FF">
      <w:pPr>
        <w:pStyle w:val="FootnoteText"/>
      </w:pPr>
      <w:r>
        <w:t xml:space="preserve">4 - Completely disabled. Cannot carry on any </w:t>
      </w:r>
      <w:proofErr w:type="spellStart"/>
      <w:r>
        <w:t>selfcare</w:t>
      </w:r>
      <w:proofErr w:type="spellEnd"/>
      <w:r>
        <w:t>. Totally confined to bed or chair</w:t>
      </w:r>
    </w:p>
    <w:p w14:paraId="2DA6FF21" w14:textId="77777777" w:rsidR="00B6741D" w:rsidRDefault="00B6741D" w:rsidP="00CA40FF">
      <w:pPr>
        <w:pStyle w:val="FootnoteText"/>
      </w:pPr>
      <w:r>
        <w:t>5 – Dead</w:t>
      </w:r>
    </w:p>
  </w:footnote>
  <w:footnote w:id="19">
    <w:p w14:paraId="7A966C34" w14:textId="77777777" w:rsidR="00B6741D" w:rsidRDefault="00B6741D">
      <w:pPr>
        <w:pStyle w:val="FootnoteText"/>
      </w:pPr>
      <w:r>
        <w:rPr>
          <w:rStyle w:val="FootnoteReference"/>
        </w:rPr>
        <w:footnoteRef/>
      </w:r>
      <w:r>
        <w:t xml:space="preserve"> </w:t>
      </w:r>
      <w:r w:rsidRPr="00006F94">
        <w:rPr>
          <w:b/>
        </w:rPr>
        <w:t>The Response Evaluation Criteria In Solid Tumours (RECIST)</w:t>
      </w:r>
      <w:r w:rsidRPr="00006F94">
        <w:t xml:space="preserve">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20">
    <w:p w14:paraId="77C1F136" w14:textId="77777777" w:rsidR="00B6741D" w:rsidRDefault="00B6741D">
      <w:pPr>
        <w:pStyle w:val="FootnoteText"/>
      </w:pPr>
      <w:r>
        <w:rPr>
          <w:rStyle w:val="FootnoteReference"/>
        </w:rPr>
        <w:footnoteRef/>
      </w:r>
      <w:r>
        <w:t xml:space="preserve"> </w:t>
      </w:r>
      <w:proofErr w:type="spellStart"/>
      <w:r w:rsidRPr="00CA6FFE">
        <w:rPr>
          <w:b/>
        </w:rPr>
        <w:t>Hy’s</w:t>
      </w:r>
      <w:proofErr w:type="spellEnd"/>
      <w:r w:rsidRPr="00CA6FFE">
        <w:rPr>
          <w:b/>
        </w:rPr>
        <w:t xml:space="preserve"> Law</w:t>
      </w:r>
      <w:r w:rsidRPr="00CA6FFE">
        <w:t xml:space="preserve">: Evidence of hepatocellular injury with a rise in alanine aminotransferase (ALT) and/or aspartate aminotransferase (AST) &gt; 3 x the upper limit of normal (ULN) and total bilirubin &gt; 2 x ULN, and no other reason to explain rise in aminotransferases and total bilirubin. </w:t>
      </w:r>
      <w:proofErr w:type="spellStart"/>
      <w:r w:rsidRPr="00CA6FFE">
        <w:t>Hy's</w:t>
      </w:r>
      <w:proofErr w:type="spellEnd"/>
      <w:r w:rsidRPr="00CA6FFE">
        <w:t xml:space="preserve"> law is a rule of thumb that a patient is at high risk of a fatal drug-induced liver injury if given a medication that causes hepatocellular injury with jaundice.</w:t>
      </w:r>
    </w:p>
  </w:footnote>
  <w:footnote w:id="21">
    <w:p w14:paraId="664F9B3A" w14:textId="77777777" w:rsidR="00B6741D" w:rsidRDefault="00B6741D"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1702EE98" w14:textId="77777777" w:rsidR="00B6741D" w:rsidRDefault="00B6741D" w:rsidP="007D53B6">
      <w:pPr>
        <w:pStyle w:val="FootnoteText"/>
      </w:pPr>
      <w:r w:rsidRPr="007D53B6">
        <w:rPr>
          <w:i/>
        </w:rPr>
        <w:t>Routine pharmacovigilance</w:t>
      </w:r>
      <w:r>
        <w:t xml:space="preserve"> practices involve the following activities:</w:t>
      </w:r>
    </w:p>
    <w:p w14:paraId="6687ED9F" w14:textId="77777777" w:rsidR="00B6741D" w:rsidRDefault="00B6741D" w:rsidP="007D53B6">
      <w:pPr>
        <w:pStyle w:val="FootnoteText"/>
        <w:numPr>
          <w:ilvl w:val="0"/>
          <w:numId w:val="32"/>
        </w:numPr>
        <w:ind w:left="284" w:hanging="284"/>
      </w:pPr>
      <w:r>
        <w:t>All suspected adverse reactions that are reported to the personnel of the company are collected and collated in an accessible manner;</w:t>
      </w:r>
    </w:p>
    <w:p w14:paraId="07B3D3A4" w14:textId="77777777" w:rsidR="00B6741D" w:rsidRDefault="00B6741D" w:rsidP="007D53B6">
      <w:pPr>
        <w:pStyle w:val="FootnoteText"/>
        <w:numPr>
          <w:ilvl w:val="0"/>
          <w:numId w:val="32"/>
        </w:numPr>
        <w:ind w:left="284" w:hanging="284"/>
      </w:pPr>
      <w:r>
        <w:t>Reporting to regulatory authorities;</w:t>
      </w:r>
    </w:p>
    <w:p w14:paraId="18CAFD1E" w14:textId="77777777" w:rsidR="00B6741D" w:rsidRDefault="00B6741D" w:rsidP="007D53B6">
      <w:pPr>
        <w:pStyle w:val="FootnoteText"/>
        <w:numPr>
          <w:ilvl w:val="0"/>
          <w:numId w:val="32"/>
        </w:numPr>
        <w:ind w:left="284" w:hanging="284"/>
      </w:pPr>
      <w:r>
        <w:t>Continuous monitoring of the safety profiles of approved products including signal detection and updating of labelling;</w:t>
      </w:r>
    </w:p>
    <w:p w14:paraId="3E5D26C4" w14:textId="77777777" w:rsidR="00B6741D" w:rsidRDefault="00B6741D" w:rsidP="007D53B6">
      <w:pPr>
        <w:pStyle w:val="FootnoteText"/>
        <w:numPr>
          <w:ilvl w:val="0"/>
          <w:numId w:val="32"/>
        </w:numPr>
        <w:ind w:left="284" w:hanging="284"/>
      </w:pPr>
      <w:r>
        <w:t>Submission of PSURs;</w:t>
      </w:r>
    </w:p>
    <w:p w14:paraId="16A4EFE4" w14:textId="77777777" w:rsidR="00B6741D" w:rsidRDefault="00B6741D" w:rsidP="007D53B6">
      <w:pPr>
        <w:pStyle w:val="FootnoteText"/>
        <w:numPr>
          <w:ilvl w:val="0"/>
          <w:numId w:val="32"/>
        </w:numPr>
        <w:ind w:left="284" w:hanging="284"/>
      </w:pPr>
      <w:r>
        <w:t>Meeting other local regulatory agency requirements.</w:t>
      </w:r>
    </w:p>
  </w:footnote>
  <w:footnote w:id="22">
    <w:p w14:paraId="5093CAA1" w14:textId="77777777" w:rsidR="00B6741D" w:rsidRDefault="00B6741D"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50D1634C" w14:textId="77777777" w:rsidR="00B6741D" w:rsidRPr="00456765" w:rsidRDefault="00B6741D"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96778" w14:textId="77777777" w:rsidR="00B6741D" w:rsidRDefault="00B67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7076" w14:textId="77777777" w:rsidR="00B6741D" w:rsidRDefault="00B6741D"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E03F5" w14:textId="77777777" w:rsidR="00B6741D" w:rsidRDefault="00B6741D">
    <w:pPr>
      <w:rPr>
        <w:noProof/>
        <w:lang w:eastAsia="en-AU"/>
      </w:rPr>
    </w:pPr>
    <w:r w:rsidRPr="00347824">
      <w:rPr>
        <w:noProof/>
        <w:lang w:eastAsia="en-AU"/>
      </w:rPr>
      <w:drawing>
        <wp:anchor distT="0" distB="0" distL="114300" distR="114300" simplePos="0" relativeHeight="251659264" behindDoc="1" locked="0" layoutInCell="1" allowOverlap="1" wp14:anchorId="0AC869A4" wp14:editId="45897711">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D3AA42C" w14:textId="77777777" w:rsidR="00B6741D" w:rsidRDefault="00B6741D"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A88D4" w14:textId="77777777" w:rsidR="00B6741D" w:rsidRDefault="00B674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04F6" w14:textId="77777777" w:rsidR="00B6741D" w:rsidRDefault="00B6741D">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C24C6" w14:textId="77777777" w:rsidR="00B6741D" w:rsidRDefault="00B6741D">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35319" w14:textId="77777777" w:rsidR="00B6741D" w:rsidRDefault="00B674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F3407" w14:textId="77777777" w:rsidR="00B6741D" w:rsidRDefault="00B6741D"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5FED1" w14:textId="77777777" w:rsidR="00B6741D" w:rsidRDefault="00B6741D" w:rsidP="006E08B3">
    <w:r>
      <w:t>Therapeutic Goods Administration</w:t>
    </w:r>
  </w:p>
  <w:p w14:paraId="411D5E22" w14:textId="77777777" w:rsidR="00B6741D" w:rsidRDefault="00B6741D"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2E42187E"/>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9"/>
  </w:num>
  <w:num w:numId="28">
    <w:abstractNumId w:val="11"/>
  </w:num>
  <w:num w:numId="29">
    <w:abstractNumId w:val="6"/>
  </w:num>
  <w:num w:numId="30">
    <w:abstractNumId w:val="8"/>
  </w:num>
  <w:num w:numId="31">
    <w:abstractNumId w:val="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DB"/>
    <w:rsid w:val="00002031"/>
    <w:rsid w:val="00004734"/>
    <w:rsid w:val="00006B22"/>
    <w:rsid w:val="00006F94"/>
    <w:rsid w:val="00006FAB"/>
    <w:rsid w:val="0001276A"/>
    <w:rsid w:val="0001322F"/>
    <w:rsid w:val="000246AE"/>
    <w:rsid w:val="00025C67"/>
    <w:rsid w:val="00027DDE"/>
    <w:rsid w:val="00035A39"/>
    <w:rsid w:val="00044772"/>
    <w:rsid w:val="0004541C"/>
    <w:rsid w:val="0005559E"/>
    <w:rsid w:val="000604D6"/>
    <w:rsid w:val="000734D8"/>
    <w:rsid w:val="00077775"/>
    <w:rsid w:val="00090471"/>
    <w:rsid w:val="00096AA7"/>
    <w:rsid w:val="00097A63"/>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2C2E"/>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7693F"/>
    <w:rsid w:val="0018110E"/>
    <w:rsid w:val="00181684"/>
    <w:rsid w:val="001843C6"/>
    <w:rsid w:val="001850E0"/>
    <w:rsid w:val="00193572"/>
    <w:rsid w:val="001A03AF"/>
    <w:rsid w:val="001A2158"/>
    <w:rsid w:val="001A525F"/>
    <w:rsid w:val="001B09F9"/>
    <w:rsid w:val="001B5C90"/>
    <w:rsid w:val="001B6448"/>
    <w:rsid w:val="001C20F7"/>
    <w:rsid w:val="001C32CD"/>
    <w:rsid w:val="001D2984"/>
    <w:rsid w:val="001E07CF"/>
    <w:rsid w:val="001E59F1"/>
    <w:rsid w:val="001F2CEE"/>
    <w:rsid w:val="001F49EB"/>
    <w:rsid w:val="001F6CBA"/>
    <w:rsid w:val="00201D4E"/>
    <w:rsid w:val="002076C9"/>
    <w:rsid w:val="00220B8A"/>
    <w:rsid w:val="002257F3"/>
    <w:rsid w:val="00233456"/>
    <w:rsid w:val="002339A5"/>
    <w:rsid w:val="00234535"/>
    <w:rsid w:val="002351CE"/>
    <w:rsid w:val="00237024"/>
    <w:rsid w:val="00250271"/>
    <w:rsid w:val="00257848"/>
    <w:rsid w:val="002578E8"/>
    <w:rsid w:val="0027084A"/>
    <w:rsid w:val="00280265"/>
    <w:rsid w:val="00286434"/>
    <w:rsid w:val="00286C59"/>
    <w:rsid w:val="00291957"/>
    <w:rsid w:val="002942D1"/>
    <w:rsid w:val="0029501A"/>
    <w:rsid w:val="002A3721"/>
    <w:rsid w:val="002B1638"/>
    <w:rsid w:val="002B3624"/>
    <w:rsid w:val="002D0952"/>
    <w:rsid w:val="002E036C"/>
    <w:rsid w:val="002E0987"/>
    <w:rsid w:val="002E40B3"/>
    <w:rsid w:val="002E4C9A"/>
    <w:rsid w:val="002F11F8"/>
    <w:rsid w:val="002F3F56"/>
    <w:rsid w:val="002F44B5"/>
    <w:rsid w:val="002F5122"/>
    <w:rsid w:val="00311AC0"/>
    <w:rsid w:val="00316818"/>
    <w:rsid w:val="003176FC"/>
    <w:rsid w:val="003202A5"/>
    <w:rsid w:val="00324E45"/>
    <w:rsid w:val="0032583B"/>
    <w:rsid w:val="00327883"/>
    <w:rsid w:val="00335504"/>
    <w:rsid w:val="00340C18"/>
    <w:rsid w:val="003442FD"/>
    <w:rsid w:val="00347824"/>
    <w:rsid w:val="00350567"/>
    <w:rsid w:val="003521E8"/>
    <w:rsid w:val="00353080"/>
    <w:rsid w:val="00370CE3"/>
    <w:rsid w:val="003728F3"/>
    <w:rsid w:val="003735BC"/>
    <w:rsid w:val="0037496E"/>
    <w:rsid w:val="00383221"/>
    <w:rsid w:val="00386150"/>
    <w:rsid w:val="003874CE"/>
    <w:rsid w:val="00390900"/>
    <w:rsid w:val="00394D1E"/>
    <w:rsid w:val="003A7F6C"/>
    <w:rsid w:val="003B4D60"/>
    <w:rsid w:val="003B7E39"/>
    <w:rsid w:val="003C58DC"/>
    <w:rsid w:val="003D1E62"/>
    <w:rsid w:val="003D2ACE"/>
    <w:rsid w:val="003E0B99"/>
    <w:rsid w:val="003E2486"/>
    <w:rsid w:val="003E3208"/>
    <w:rsid w:val="003F0B04"/>
    <w:rsid w:val="003F5DB7"/>
    <w:rsid w:val="0040134E"/>
    <w:rsid w:val="004052C6"/>
    <w:rsid w:val="00416162"/>
    <w:rsid w:val="004334C7"/>
    <w:rsid w:val="004359D7"/>
    <w:rsid w:val="00440A2D"/>
    <w:rsid w:val="00441C3F"/>
    <w:rsid w:val="00444D1A"/>
    <w:rsid w:val="0045186A"/>
    <w:rsid w:val="004564A7"/>
    <w:rsid w:val="00456765"/>
    <w:rsid w:val="00460036"/>
    <w:rsid w:val="004617BF"/>
    <w:rsid w:val="00463658"/>
    <w:rsid w:val="004637A0"/>
    <w:rsid w:val="004722CC"/>
    <w:rsid w:val="00473747"/>
    <w:rsid w:val="00490483"/>
    <w:rsid w:val="004936E4"/>
    <w:rsid w:val="00494E60"/>
    <w:rsid w:val="00497487"/>
    <w:rsid w:val="004A2771"/>
    <w:rsid w:val="004A6189"/>
    <w:rsid w:val="004A7390"/>
    <w:rsid w:val="004B7B76"/>
    <w:rsid w:val="004C239D"/>
    <w:rsid w:val="004C2DCA"/>
    <w:rsid w:val="004C4FBE"/>
    <w:rsid w:val="004C61D2"/>
    <w:rsid w:val="004E2CF2"/>
    <w:rsid w:val="004F0C4A"/>
    <w:rsid w:val="004F0F38"/>
    <w:rsid w:val="004F47D6"/>
    <w:rsid w:val="00500337"/>
    <w:rsid w:val="00501921"/>
    <w:rsid w:val="0051409A"/>
    <w:rsid w:val="00524970"/>
    <w:rsid w:val="00530354"/>
    <w:rsid w:val="0053625B"/>
    <w:rsid w:val="00542BF5"/>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942EA"/>
    <w:rsid w:val="005A68B6"/>
    <w:rsid w:val="005C5570"/>
    <w:rsid w:val="005C5B66"/>
    <w:rsid w:val="005C79A4"/>
    <w:rsid w:val="005D4066"/>
    <w:rsid w:val="005D5442"/>
    <w:rsid w:val="005F03A3"/>
    <w:rsid w:val="00603F32"/>
    <w:rsid w:val="00605AD4"/>
    <w:rsid w:val="006136D7"/>
    <w:rsid w:val="00625A6E"/>
    <w:rsid w:val="00632398"/>
    <w:rsid w:val="0063293F"/>
    <w:rsid w:val="00640FC3"/>
    <w:rsid w:val="00642020"/>
    <w:rsid w:val="006430EE"/>
    <w:rsid w:val="0065337B"/>
    <w:rsid w:val="0065419D"/>
    <w:rsid w:val="006603BC"/>
    <w:rsid w:val="006604D8"/>
    <w:rsid w:val="00664A5B"/>
    <w:rsid w:val="0066735C"/>
    <w:rsid w:val="006763D2"/>
    <w:rsid w:val="00680C08"/>
    <w:rsid w:val="006916A0"/>
    <w:rsid w:val="006928C7"/>
    <w:rsid w:val="006931B1"/>
    <w:rsid w:val="006A15C0"/>
    <w:rsid w:val="006A2C16"/>
    <w:rsid w:val="006A58A8"/>
    <w:rsid w:val="006C3E2A"/>
    <w:rsid w:val="006C642F"/>
    <w:rsid w:val="006D03E5"/>
    <w:rsid w:val="006D5D3E"/>
    <w:rsid w:val="006E08B3"/>
    <w:rsid w:val="006E2542"/>
    <w:rsid w:val="006F17AC"/>
    <w:rsid w:val="006F25B8"/>
    <w:rsid w:val="006F572E"/>
    <w:rsid w:val="007046D6"/>
    <w:rsid w:val="00705DB0"/>
    <w:rsid w:val="0071409D"/>
    <w:rsid w:val="00722B57"/>
    <w:rsid w:val="00730F8A"/>
    <w:rsid w:val="00735A8C"/>
    <w:rsid w:val="0074253D"/>
    <w:rsid w:val="00742AD5"/>
    <w:rsid w:val="00744121"/>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93F4E"/>
    <w:rsid w:val="007A46F5"/>
    <w:rsid w:val="007A6505"/>
    <w:rsid w:val="007A74F7"/>
    <w:rsid w:val="007B6132"/>
    <w:rsid w:val="007B6E9F"/>
    <w:rsid w:val="007C1216"/>
    <w:rsid w:val="007C1AF7"/>
    <w:rsid w:val="007C6B9B"/>
    <w:rsid w:val="007D53B6"/>
    <w:rsid w:val="007D6252"/>
    <w:rsid w:val="00805D27"/>
    <w:rsid w:val="00806DCB"/>
    <w:rsid w:val="00821776"/>
    <w:rsid w:val="008321F5"/>
    <w:rsid w:val="00832369"/>
    <w:rsid w:val="00834660"/>
    <w:rsid w:val="008359B2"/>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2A21"/>
    <w:rsid w:val="0091061A"/>
    <w:rsid w:val="0091523F"/>
    <w:rsid w:val="00920330"/>
    <w:rsid w:val="009219D7"/>
    <w:rsid w:val="00922D53"/>
    <w:rsid w:val="00923B70"/>
    <w:rsid w:val="00924482"/>
    <w:rsid w:val="00930237"/>
    <w:rsid w:val="00933BF1"/>
    <w:rsid w:val="00937C17"/>
    <w:rsid w:val="00940A89"/>
    <w:rsid w:val="00941F77"/>
    <w:rsid w:val="00946EA5"/>
    <w:rsid w:val="00960520"/>
    <w:rsid w:val="00963C08"/>
    <w:rsid w:val="009752A5"/>
    <w:rsid w:val="0098585A"/>
    <w:rsid w:val="009A4CED"/>
    <w:rsid w:val="009A690D"/>
    <w:rsid w:val="009B1D12"/>
    <w:rsid w:val="009B416B"/>
    <w:rsid w:val="009C4BD5"/>
    <w:rsid w:val="009D3A23"/>
    <w:rsid w:val="009D7B77"/>
    <w:rsid w:val="009E0BB0"/>
    <w:rsid w:val="009E3FBB"/>
    <w:rsid w:val="009F7353"/>
    <w:rsid w:val="00A04F85"/>
    <w:rsid w:val="00A05FA4"/>
    <w:rsid w:val="00A102E4"/>
    <w:rsid w:val="00A1219C"/>
    <w:rsid w:val="00A12C42"/>
    <w:rsid w:val="00A14DF7"/>
    <w:rsid w:val="00A22D57"/>
    <w:rsid w:val="00A3246D"/>
    <w:rsid w:val="00A3301D"/>
    <w:rsid w:val="00A36FA7"/>
    <w:rsid w:val="00A44DDB"/>
    <w:rsid w:val="00A475B7"/>
    <w:rsid w:val="00A47AF7"/>
    <w:rsid w:val="00A47C3E"/>
    <w:rsid w:val="00A50226"/>
    <w:rsid w:val="00A60BAD"/>
    <w:rsid w:val="00A77F87"/>
    <w:rsid w:val="00A80B5B"/>
    <w:rsid w:val="00A81A87"/>
    <w:rsid w:val="00A84E36"/>
    <w:rsid w:val="00A90F50"/>
    <w:rsid w:val="00A964D1"/>
    <w:rsid w:val="00AA0ED0"/>
    <w:rsid w:val="00AA1F21"/>
    <w:rsid w:val="00AC2B40"/>
    <w:rsid w:val="00AC2BB2"/>
    <w:rsid w:val="00AC2C3C"/>
    <w:rsid w:val="00AC512D"/>
    <w:rsid w:val="00AD0083"/>
    <w:rsid w:val="00AD3935"/>
    <w:rsid w:val="00AE52D2"/>
    <w:rsid w:val="00AE65EB"/>
    <w:rsid w:val="00AE67A7"/>
    <w:rsid w:val="00AF1D94"/>
    <w:rsid w:val="00AF37E0"/>
    <w:rsid w:val="00AF60C5"/>
    <w:rsid w:val="00B009C6"/>
    <w:rsid w:val="00B01548"/>
    <w:rsid w:val="00B130C5"/>
    <w:rsid w:val="00B13EBD"/>
    <w:rsid w:val="00B13FC3"/>
    <w:rsid w:val="00B21D29"/>
    <w:rsid w:val="00B22FB4"/>
    <w:rsid w:val="00B25034"/>
    <w:rsid w:val="00B33588"/>
    <w:rsid w:val="00B33863"/>
    <w:rsid w:val="00B37D17"/>
    <w:rsid w:val="00B4175E"/>
    <w:rsid w:val="00B41C85"/>
    <w:rsid w:val="00B452CE"/>
    <w:rsid w:val="00B478CE"/>
    <w:rsid w:val="00B54C25"/>
    <w:rsid w:val="00B6741D"/>
    <w:rsid w:val="00B76B91"/>
    <w:rsid w:val="00B77EB1"/>
    <w:rsid w:val="00B811C6"/>
    <w:rsid w:val="00B855B0"/>
    <w:rsid w:val="00B92E08"/>
    <w:rsid w:val="00BC622A"/>
    <w:rsid w:val="00BE0A78"/>
    <w:rsid w:val="00BE79F0"/>
    <w:rsid w:val="00BF046D"/>
    <w:rsid w:val="00BF1190"/>
    <w:rsid w:val="00BF3774"/>
    <w:rsid w:val="00BF5D04"/>
    <w:rsid w:val="00BF731E"/>
    <w:rsid w:val="00C009AA"/>
    <w:rsid w:val="00C1164D"/>
    <w:rsid w:val="00C16861"/>
    <w:rsid w:val="00C17E76"/>
    <w:rsid w:val="00C273A8"/>
    <w:rsid w:val="00C346AB"/>
    <w:rsid w:val="00C404A6"/>
    <w:rsid w:val="00C40A36"/>
    <w:rsid w:val="00C44419"/>
    <w:rsid w:val="00C45E7B"/>
    <w:rsid w:val="00C471B1"/>
    <w:rsid w:val="00C525A2"/>
    <w:rsid w:val="00C52E24"/>
    <w:rsid w:val="00C6316B"/>
    <w:rsid w:val="00C634A9"/>
    <w:rsid w:val="00C64586"/>
    <w:rsid w:val="00C70A36"/>
    <w:rsid w:val="00C70D53"/>
    <w:rsid w:val="00C7357C"/>
    <w:rsid w:val="00C73BEB"/>
    <w:rsid w:val="00C73D0B"/>
    <w:rsid w:val="00C74F5C"/>
    <w:rsid w:val="00C772FF"/>
    <w:rsid w:val="00C80137"/>
    <w:rsid w:val="00C801AF"/>
    <w:rsid w:val="00C80256"/>
    <w:rsid w:val="00C86935"/>
    <w:rsid w:val="00C94CD4"/>
    <w:rsid w:val="00C9747E"/>
    <w:rsid w:val="00CA40FF"/>
    <w:rsid w:val="00CA6FFE"/>
    <w:rsid w:val="00CB6BC0"/>
    <w:rsid w:val="00CC1B7C"/>
    <w:rsid w:val="00CC2AE4"/>
    <w:rsid w:val="00CC727F"/>
    <w:rsid w:val="00CF15C3"/>
    <w:rsid w:val="00CF2B6F"/>
    <w:rsid w:val="00CF2F3E"/>
    <w:rsid w:val="00CF58B6"/>
    <w:rsid w:val="00CF5CBF"/>
    <w:rsid w:val="00CF5DAD"/>
    <w:rsid w:val="00D0062D"/>
    <w:rsid w:val="00D017ED"/>
    <w:rsid w:val="00D040D3"/>
    <w:rsid w:val="00D04C65"/>
    <w:rsid w:val="00D153D8"/>
    <w:rsid w:val="00D201D2"/>
    <w:rsid w:val="00D224FE"/>
    <w:rsid w:val="00D23139"/>
    <w:rsid w:val="00D36A4E"/>
    <w:rsid w:val="00D425BB"/>
    <w:rsid w:val="00D453FA"/>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948"/>
    <w:rsid w:val="00DC6E02"/>
    <w:rsid w:val="00DC7B5C"/>
    <w:rsid w:val="00DD28CD"/>
    <w:rsid w:val="00DE02AE"/>
    <w:rsid w:val="00DE39D1"/>
    <w:rsid w:val="00DF1D7F"/>
    <w:rsid w:val="00DF4BE4"/>
    <w:rsid w:val="00E02382"/>
    <w:rsid w:val="00E02FB4"/>
    <w:rsid w:val="00E13FC7"/>
    <w:rsid w:val="00E20571"/>
    <w:rsid w:val="00E235F7"/>
    <w:rsid w:val="00E23659"/>
    <w:rsid w:val="00E239D4"/>
    <w:rsid w:val="00E26130"/>
    <w:rsid w:val="00E33D42"/>
    <w:rsid w:val="00E40B22"/>
    <w:rsid w:val="00E44ED1"/>
    <w:rsid w:val="00E45619"/>
    <w:rsid w:val="00E4588F"/>
    <w:rsid w:val="00E46DA3"/>
    <w:rsid w:val="00E51BB1"/>
    <w:rsid w:val="00E55CB0"/>
    <w:rsid w:val="00E624A5"/>
    <w:rsid w:val="00E64BA4"/>
    <w:rsid w:val="00E7344E"/>
    <w:rsid w:val="00E82665"/>
    <w:rsid w:val="00E85F98"/>
    <w:rsid w:val="00E93A77"/>
    <w:rsid w:val="00EB0798"/>
    <w:rsid w:val="00EB40AD"/>
    <w:rsid w:val="00EB586E"/>
    <w:rsid w:val="00EB5FC8"/>
    <w:rsid w:val="00EC3076"/>
    <w:rsid w:val="00EC463D"/>
    <w:rsid w:val="00EC7A85"/>
    <w:rsid w:val="00ED2922"/>
    <w:rsid w:val="00ED3CAD"/>
    <w:rsid w:val="00ED5A41"/>
    <w:rsid w:val="00EE1DE8"/>
    <w:rsid w:val="00EE27C2"/>
    <w:rsid w:val="00EF4BAD"/>
    <w:rsid w:val="00EF59DC"/>
    <w:rsid w:val="00F014C3"/>
    <w:rsid w:val="00F033EC"/>
    <w:rsid w:val="00F04F68"/>
    <w:rsid w:val="00F12670"/>
    <w:rsid w:val="00F14B27"/>
    <w:rsid w:val="00F14E7A"/>
    <w:rsid w:val="00F206D5"/>
    <w:rsid w:val="00F3148D"/>
    <w:rsid w:val="00F325C5"/>
    <w:rsid w:val="00F32FE0"/>
    <w:rsid w:val="00F35298"/>
    <w:rsid w:val="00F423DB"/>
    <w:rsid w:val="00F47333"/>
    <w:rsid w:val="00F47E37"/>
    <w:rsid w:val="00F53C07"/>
    <w:rsid w:val="00F54B65"/>
    <w:rsid w:val="00F63A7D"/>
    <w:rsid w:val="00F63DBF"/>
    <w:rsid w:val="00F640B6"/>
    <w:rsid w:val="00F66DF2"/>
    <w:rsid w:val="00F7707A"/>
    <w:rsid w:val="00F80E40"/>
    <w:rsid w:val="00F848D9"/>
    <w:rsid w:val="00FA5069"/>
    <w:rsid w:val="00FA5B82"/>
    <w:rsid w:val="00FA639E"/>
    <w:rsid w:val="00FC1FCA"/>
    <w:rsid w:val="00FC25E4"/>
    <w:rsid w:val="00FC4EF7"/>
    <w:rsid w:val="00FD0824"/>
    <w:rsid w:val="00FD119B"/>
    <w:rsid w:val="00FD1EDC"/>
    <w:rsid w:val="00FE1DEE"/>
    <w:rsid w:val="00FF1E0D"/>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1C3DD15"/>
  <w15:docId w15:val="{BA3C2985-1F22-4F14-BAC4-9B684684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B6741D"/>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TabletextChar">
    <w:name w:val="Table text Char"/>
    <w:basedOn w:val="DefaultParagraphFont"/>
    <w:link w:val="Tabletext"/>
    <w:rsid w:val="00353080"/>
    <w:rPr>
      <w:rFonts w:ascii="Cambria" w:eastAsia="Cambria" w:hAnsi="Cambria" w:cs="Times New Roman"/>
      <w:sz w:val="19"/>
    </w:rPr>
  </w:style>
  <w:style w:type="paragraph" w:customStyle="1" w:styleId="Standard">
    <w:name w:val="Standard"/>
    <w:basedOn w:val="Normal"/>
    <w:link w:val="StandardChar"/>
    <w:qFormat/>
    <w:rsid w:val="00DC7B5C"/>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DC7B5C"/>
    <w:rPr>
      <w:rFonts w:ascii="Cambria" w:eastAsia="Times New Roman" w:hAnsi="Cambria" w:cs="Times New Roman"/>
      <w:snapToGrid w:val="0"/>
      <w:kern w:val="16"/>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image" Target="media/image5.png"/><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YIN\AppData\Local\Hewlett-Packard\HP%20TRIM\TEMP\HPTRIM.75380\D19-5975236%20%20AusPAR%20-%20template%20-%20streamlined.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5407-32B8-49AB-9B77-77B76CC1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D19-5975236  AusPAR - template - streamlined.DOTX</Template>
  <TotalTime>0</TotalTime>
  <Pages>25</Pages>
  <Words>6283</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Australian public assessment report for Trabectedin</vt:lpstr>
    </vt:vector>
  </TitlesOfParts>
  <Company>Department of Health Therapeutic Goods Administration</Company>
  <LinksUpToDate>false</LinksUpToDate>
  <CharactersWithSpaces>42013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Trabectedin</dc:title>
  <dc:subject>prescription medicines</dc:subject>
  <dc:creator>Therapeutic Goods Administration</dc:creator>
  <cp:keywords/>
  <cp:lastPrinted>2019-08-14T04:30:00Z</cp:lastPrinted>
  <dcterms:created xsi:type="dcterms:W3CDTF">2021-06-28T01:31:00Z</dcterms:created>
  <dcterms:modified xsi:type="dcterms:W3CDTF">2021-06-28T01:31:00Z</dcterms:modified>
  <cp:category/>
</cp:coreProperties>
</file>