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2DC59" w14:textId="77777777" w:rsidR="00375DF3" w:rsidRPr="00530AE7" w:rsidRDefault="00375DF3" w:rsidP="006018AE">
      <w:pPr>
        <w:tabs>
          <w:tab w:val="left" w:pos="284"/>
        </w:tabs>
        <w:spacing w:after="480" w:line="240" w:lineRule="auto"/>
        <w:rPr>
          <w:rFonts w:asciiTheme="majorHAnsi" w:hAnsiTheme="majorHAnsi"/>
        </w:rPr>
      </w:pPr>
      <w:r w:rsidRPr="00530AE7">
        <w:rPr>
          <w:noProof/>
          <w:lang w:eastAsia="en-AU"/>
        </w:rPr>
        <mc:AlternateContent>
          <mc:Choice Requires="wps">
            <w:drawing>
              <wp:inline distT="0" distB="0" distL="0" distR="0" wp14:anchorId="085D6736" wp14:editId="024D3BF1">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BBAE7" w14:textId="77777777" w:rsidR="00625B50" w:rsidRPr="00BE2A26" w:rsidRDefault="00625B50"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85D6736"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713BBAE7" w14:textId="77777777" w:rsidR="00625B50" w:rsidRPr="00BE2A26" w:rsidRDefault="00625B50"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530AE7">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7" w:history="1">
        <w:r w:rsidRPr="00530AE7">
          <w:rPr>
            <w:rStyle w:val="Hyperlink"/>
            <w:rFonts w:asciiTheme="majorHAnsi" w:hAnsiTheme="majorHAnsi"/>
          </w:rPr>
          <w:t>www.tga.gov.au/reporting-problems</w:t>
        </w:r>
      </w:hyperlink>
      <w:r w:rsidRPr="00530AE7">
        <w:rPr>
          <w:rFonts w:asciiTheme="majorHAnsi" w:hAnsiTheme="majorHAnsi"/>
        </w:rPr>
        <w:t>.</w:t>
      </w:r>
    </w:p>
    <w:p w14:paraId="130E194D" w14:textId="1EED584C" w:rsidR="009D2F7A" w:rsidRPr="00530AE7" w:rsidRDefault="006018AE" w:rsidP="00E7368C">
      <w:pPr>
        <w:pStyle w:val="Heading1"/>
        <w:numPr>
          <w:ilvl w:val="0"/>
          <w:numId w:val="0"/>
        </w:numPr>
        <w:jc w:val="center"/>
        <w:rPr>
          <w:rFonts w:eastAsia="SimSun"/>
        </w:rPr>
      </w:pPr>
      <w:r w:rsidRPr="00530AE7">
        <w:rPr>
          <w:rFonts w:eastAsia="SimSun"/>
        </w:rPr>
        <w:t>Australian P</w:t>
      </w:r>
      <w:r w:rsidR="0021200F" w:rsidRPr="00530AE7">
        <w:rPr>
          <w:rFonts w:eastAsia="SimSun"/>
        </w:rPr>
        <w:t xml:space="preserve">roduct </w:t>
      </w:r>
      <w:r w:rsidRPr="00530AE7">
        <w:rPr>
          <w:rFonts w:eastAsia="SimSun"/>
        </w:rPr>
        <w:t>I</w:t>
      </w:r>
      <w:r w:rsidR="0021200F" w:rsidRPr="00530AE7">
        <w:rPr>
          <w:rFonts w:eastAsia="SimSun"/>
        </w:rPr>
        <w:t>nformation</w:t>
      </w:r>
    </w:p>
    <w:p w14:paraId="541C1ABF" w14:textId="5171BA8A" w:rsidR="006018AE" w:rsidRPr="00530AE7" w:rsidRDefault="00DE0A49" w:rsidP="000F41BA">
      <w:pPr>
        <w:pStyle w:val="Heading1"/>
        <w:numPr>
          <w:ilvl w:val="0"/>
          <w:numId w:val="0"/>
        </w:numPr>
        <w:spacing w:before="0" w:after="240"/>
        <w:jc w:val="center"/>
        <w:rPr>
          <w:rFonts w:eastAsia="SimSun"/>
        </w:rPr>
      </w:pPr>
      <w:r w:rsidRPr="00530AE7">
        <w:rPr>
          <w:rFonts w:eastAsia="SimSun"/>
        </w:rPr>
        <w:t>YONDELIS</w:t>
      </w:r>
      <w:r w:rsidR="00AF238D" w:rsidRPr="00530AE7">
        <w:rPr>
          <w:rFonts w:eastAsia="SimSun"/>
        </w:rPr>
        <w:t xml:space="preserve"> </w:t>
      </w:r>
      <w:r w:rsidR="006018AE" w:rsidRPr="00530AE7">
        <w:rPr>
          <w:rFonts w:eastAsia="SimSun"/>
        </w:rPr>
        <w:t>(</w:t>
      </w:r>
      <w:r w:rsidRPr="00530AE7">
        <w:rPr>
          <w:rFonts w:eastAsia="SimSun"/>
        </w:rPr>
        <w:t>trabectedin</w:t>
      </w:r>
      <w:r w:rsidR="006018AE" w:rsidRPr="00530AE7">
        <w:rPr>
          <w:rFonts w:eastAsia="SimSun"/>
        </w:rPr>
        <w:t>)</w:t>
      </w:r>
      <w:r w:rsidR="00A64655" w:rsidRPr="00530AE7">
        <w:rPr>
          <w:rFonts w:eastAsia="SimSun"/>
        </w:rPr>
        <w:t xml:space="preserve"> </w:t>
      </w:r>
      <w:r w:rsidR="00E33CF8" w:rsidRPr="00530AE7">
        <w:rPr>
          <w:rFonts w:eastAsia="SimSun"/>
        </w:rPr>
        <w:t>POWDER</w:t>
      </w:r>
      <w:r w:rsidRPr="00530AE7">
        <w:rPr>
          <w:rFonts w:eastAsia="SimSun"/>
        </w:rPr>
        <w:t xml:space="preserve"> for solution for infusion</w:t>
      </w:r>
    </w:p>
    <w:p w14:paraId="553AF81D" w14:textId="45A2437E" w:rsidR="001A3992" w:rsidRPr="00530AE7" w:rsidRDefault="001A3992" w:rsidP="001A3992">
      <w:pPr>
        <w:pStyle w:val="Heading1"/>
        <w:spacing w:before="0" w:after="120"/>
      </w:pPr>
      <w:r w:rsidRPr="00530AE7">
        <w:t>Name of the medicine</w:t>
      </w:r>
    </w:p>
    <w:p w14:paraId="5AB96E71" w14:textId="2F4146D4" w:rsidR="00891AEB" w:rsidRPr="00530AE7" w:rsidRDefault="00925B2E" w:rsidP="00891AEB">
      <w:pPr>
        <w:widowControl w:val="0"/>
        <w:spacing w:line="240" w:lineRule="auto"/>
        <w:rPr>
          <w:noProof/>
        </w:rPr>
      </w:pPr>
      <w:r>
        <w:t>YONDELIS</w:t>
      </w:r>
      <w:r w:rsidR="00891AEB" w:rsidRPr="00530AE7">
        <w:t xml:space="preserve"> 0.25 mg powder for solution for infusion.</w:t>
      </w:r>
    </w:p>
    <w:p w14:paraId="7D041D66" w14:textId="7646F27A" w:rsidR="00DE0A49" w:rsidRPr="00530AE7" w:rsidRDefault="00925B2E" w:rsidP="00891AEB">
      <w:pPr>
        <w:widowControl w:val="0"/>
        <w:spacing w:line="240" w:lineRule="auto"/>
        <w:rPr>
          <w:noProof/>
        </w:rPr>
      </w:pPr>
      <w:r>
        <w:t>YONDELIS</w:t>
      </w:r>
      <w:r w:rsidR="00891AEB" w:rsidRPr="00530AE7">
        <w:t xml:space="preserve"> 1 mg powder for solution for infusion.</w:t>
      </w:r>
    </w:p>
    <w:p w14:paraId="524D4B7F" w14:textId="77777777" w:rsidR="001A3992" w:rsidRPr="00530AE7" w:rsidRDefault="001A3992" w:rsidP="001A3992">
      <w:pPr>
        <w:pStyle w:val="Heading1"/>
        <w:spacing w:before="0" w:after="120"/>
      </w:pPr>
      <w:r w:rsidRPr="00530AE7">
        <w:t>Qualitative and quantitative composition</w:t>
      </w:r>
    </w:p>
    <w:p w14:paraId="7A56349B" w14:textId="5FE6341B" w:rsidR="005B2812" w:rsidRPr="00530AE7" w:rsidRDefault="005B2812" w:rsidP="005B2812">
      <w:pPr>
        <w:rPr>
          <w:rFonts w:asciiTheme="majorHAnsi" w:hAnsiTheme="majorHAnsi" w:cstheme="minorHAnsi"/>
        </w:rPr>
      </w:pPr>
      <w:r w:rsidRPr="00530AE7">
        <w:rPr>
          <w:rFonts w:asciiTheme="majorHAnsi" w:hAnsiTheme="majorHAnsi" w:cstheme="minorHAnsi"/>
        </w:rPr>
        <w:t>For the full list of excipients, see Section 6.1 List of excipients.</w:t>
      </w:r>
    </w:p>
    <w:p w14:paraId="582D069C" w14:textId="60B46BD5" w:rsidR="001A3992" w:rsidRPr="00530AE7" w:rsidRDefault="001A3992" w:rsidP="001A3992">
      <w:pPr>
        <w:pStyle w:val="Heading1"/>
        <w:spacing w:before="0" w:after="120"/>
      </w:pPr>
      <w:r w:rsidRPr="00530AE7">
        <w:t>Pharmaceutical form</w:t>
      </w:r>
    </w:p>
    <w:p w14:paraId="34C6ADFA" w14:textId="77E25ACB" w:rsidR="00046A23" w:rsidRPr="00530AE7" w:rsidRDefault="00046A23" w:rsidP="00046A23">
      <w:pPr>
        <w:spacing w:line="240" w:lineRule="auto"/>
      </w:pPr>
      <w:r w:rsidRPr="00530AE7">
        <w:t>Powder for solution for infusion.</w:t>
      </w:r>
    </w:p>
    <w:p w14:paraId="0499C65A" w14:textId="13850305" w:rsidR="00046A23" w:rsidRPr="00530AE7" w:rsidRDefault="00046A23" w:rsidP="00046A23">
      <w:pPr>
        <w:spacing w:line="240" w:lineRule="auto"/>
      </w:pPr>
      <w:r w:rsidRPr="00530AE7">
        <w:t>White to off</w:t>
      </w:r>
      <w:r w:rsidRPr="00530AE7">
        <w:noBreakHyphen/>
        <w:t>white powder.</w:t>
      </w:r>
    </w:p>
    <w:p w14:paraId="52636284" w14:textId="77777777" w:rsidR="001A3992" w:rsidRPr="00530AE7" w:rsidRDefault="001A3992" w:rsidP="001A3992">
      <w:pPr>
        <w:pStyle w:val="Heading1"/>
        <w:spacing w:before="0" w:after="120"/>
      </w:pPr>
      <w:r w:rsidRPr="00530AE7">
        <w:t>Clinical particulars</w:t>
      </w:r>
    </w:p>
    <w:p w14:paraId="49C7459C" w14:textId="3E60880E" w:rsidR="001A3992" w:rsidRPr="00530AE7" w:rsidRDefault="001A3992" w:rsidP="001A3992">
      <w:pPr>
        <w:pStyle w:val="Heading2"/>
        <w:spacing w:before="0" w:after="120"/>
      </w:pPr>
      <w:r w:rsidRPr="00530AE7">
        <w:t xml:space="preserve">Therapeutic indications </w:t>
      </w:r>
    </w:p>
    <w:p w14:paraId="0100B3DB" w14:textId="1AD12CC1" w:rsidR="00081217" w:rsidRPr="00530AE7" w:rsidRDefault="00925B2E" w:rsidP="004C20B3">
      <w:pPr>
        <w:spacing w:line="240" w:lineRule="auto"/>
        <w:rPr>
          <w:rFonts w:cstheme="minorHAnsi"/>
          <w:highlight w:val="yellow"/>
        </w:rPr>
      </w:pPr>
      <w:r>
        <w:rPr>
          <w:rFonts w:cstheme="minorHAnsi"/>
        </w:rPr>
        <w:t>YONDELIS</w:t>
      </w:r>
      <w:r w:rsidR="00081217" w:rsidRPr="00530AE7">
        <w:rPr>
          <w:rFonts w:cstheme="minorHAnsi"/>
        </w:rPr>
        <w:t xml:space="preserve"> is indicated for the treatment of patients with unresectable or metastatic </w:t>
      </w:r>
      <w:proofErr w:type="spellStart"/>
      <w:r w:rsidR="00081217" w:rsidRPr="00530AE7">
        <w:rPr>
          <w:rFonts w:cstheme="minorHAnsi"/>
        </w:rPr>
        <w:t>liposarcoma</w:t>
      </w:r>
      <w:proofErr w:type="spellEnd"/>
      <w:r w:rsidR="00081217" w:rsidRPr="00530AE7">
        <w:rPr>
          <w:rFonts w:cstheme="minorHAnsi"/>
        </w:rPr>
        <w:t xml:space="preserve"> or </w:t>
      </w:r>
      <w:proofErr w:type="spellStart"/>
      <w:r w:rsidR="00081217" w:rsidRPr="00530AE7">
        <w:rPr>
          <w:rFonts w:cstheme="minorHAnsi"/>
        </w:rPr>
        <w:t>leiomyosarcoma</w:t>
      </w:r>
      <w:proofErr w:type="spellEnd"/>
      <w:r w:rsidR="00081217" w:rsidRPr="00530AE7">
        <w:rPr>
          <w:rFonts w:cstheme="minorHAnsi"/>
        </w:rPr>
        <w:t xml:space="preserve"> who received a prior </w:t>
      </w:r>
      <w:proofErr w:type="spellStart"/>
      <w:r w:rsidR="00081217" w:rsidRPr="00530AE7">
        <w:rPr>
          <w:rFonts w:cstheme="minorHAnsi"/>
        </w:rPr>
        <w:t>anthracycline</w:t>
      </w:r>
      <w:proofErr w:type="spellEnd"/>
      <w:r w:rsidR="00081217" w:rsidRPr="00530AE7">
        <w:rPr>
          <w:rFonts w:cstheme="minorHAnsi"/>
        </w:rPr>
        <w:t>-containing regimen.</w:t>
      </w:r>
    </w:p>
    <w:p w14:paraId="7CC63B79" w14:textId="3E07004F" w:rsidR="001A3992" w:rsidRPr="00530AE7" w:rsidRDefault="001A3992" w:rsidP="001A3992">
      <w:pPr>
        <w:pStyle w:val="Heading2"/>
        <w:spacing w:before="0" w:after="120"/>
      </w:pPr>
      <w:r w:rsidRPr="00530AE7">
        <w:t xml:space="preserve">Dose and method of administration </w:t>
      </w:r>
    </w:p>
    <w:p w14:paraId="55BB547F" w14:textId="30C83934" w:rsidR="006523FE" w:rsidRDefault="00925B2E" w:rsidP="006523FE">
      <w:pPr>
        <w:keepNext/>
        <w:spacing w:line="240" w:lineRule="auto"/>
      </w:pPr>
      <w:r>
        <w:t>YONDELIS</w:t>
      </w:r>
      <w:r w:rsidR="006523FE" w:rsidRPr="00530AE7">
        <w:t xml:space="preserve"> must be administered under the supervision of a physician experienced in the use of chemotherapy. Its use should be confined to qualified oncologists or other health professionals specialised in the administration of cytotoxic agents.</w:t>
      </w:r>
    </w:p>
    <w:p w14:paraId="2D5F176D" w14:textId="2C9B5E15" w:rsidR="002E4917" w:rsidRPr="00530AE7" w:rsidRDefault="002E4917" w:rsidP="002E4917">
      <w:pPr>
        <w:spacing w:line="240" w:lineRule="auto"/>
        <w:rPr>
          <w:b/>
          <w:i/>
          <w:iCs/>
          <w:u w:val="single"/>
        </w:rPr>
      </w:pPr>
      <w:r w:rsidRPr="00530AE7">
        <w:rPr>
          <w:iCs/>
          <w:u w:val="single"/>
        </w:rPr>
        <w:t>Instructions for handling</w:t>
      </w:r>
    </w:p>
    <w:p w14:paraId="34126AAB" w14:textId="77777777" w:rsidR="002E4917" w:rsidRPr="00530AE7" w:rsidRDefault="002E4917" w:rsidP="002E4917">
      <w:pPr>
        <w:spacing w:line="240" w:lineRule="auto"/>
      </w:pPr>
      <w:r>
        <w:t>YONDELIS</w:t>
      </w:r>
      <w:r w:rsidRPr="00530AE7">
        <w:t xml:space="preserve"> is a cytotoxic anticancer medicinal product and, as with other potentially toxic compounds, caution should be exercised during handling. Procedures for proper handling and disposal of cytotoxic medicinal products must be followed. Personnel should be trained in the correct techniques to reconstitute and dilute the medicinal product and should wear protective clothing including mask, goggles and gloves during the reconstitution and dilution. Pregnant staff must be excluded from working with this medicinal product.</w:t>
      </w:r>
    </w:p>
    <w:p w14:paraId="4192F332" w14:textId="77777777" w:rsidR="002E4917" w:rsidRPr="00530AE7" w:rsidRDefault="002E4917" w:rsidP="002E4917">
      <w:pPr>
        <w:spacing w:line="240" w:lineRule="auto"/>
      </w:pPr>
      <w:r w:rsidRPr="00530AE7">
        <w:t>Accidental contact with the skin, eyes or mucous membranes must be treated immediately with copious amounts of water.</w:t>
      </w:r>
    </w:p>
    <w:p w14:paraId="3D888D2C" w14:textId="77777777" w:rsidR="002E4917" w:rsidRPr="00530AE7" w:rsidRDefault="002E4917" w:rsidP="002E4917">
      <w:pPr>
        <w:spacing w:line="240" w:lineRule="auto"/>
      </w:pPr>
      <w:r w:rsidRPr="00530AE7">
        <w:t xml:space="preserve">No incompatibilities have been observed between </w:t>
      </w:r>
      <w:r>
        <w:t>YONDELIS</w:t>
      </w:r>
      <w:r w:rsidRPr="00530AE7">
        <w:t xml:space="preserve"> and type I glass bottles, polyvinylchloride (PVC) and polyethylene (PE) bags and tubing, polyisoprene reservoirs and titanium implantable vascular access systems.</w:t>
      </w:r>
    </w:p>
    <w:p w14:paraId="7B656C8E" w14:textId="2FFA705C" w:rsidR="006523FE" w:rsidRPr="00530AE7" w:rsidRDefault="00C04AC6" w:rsidP="006523FE">
      <w:pPr>
        <w:spacing w:line="240" w:lineRule="auto"/>
        <w:rPr>
          <w:u w:val="single"/>
        </w:rPr>
      </w:pPr>
      <w:r>
        <w:rPr>
          <w:u w:val="single"/>
        </w:rPr>
        <w:lastRenderedPageBreak/>
        <w:t>Dosage</w:t>
      </w:r>
    </w:p>
    <w:p w14:paraId="65F0DDD5" w14:textId="35B5573C" w:rsidR="006523FE" w:rsidRDefault="00613925" w:rsidP="006523FE">
      <w:pPr>
        <w:spacing w:line="240" w:lineRule="auto"/>
      </w:pPr>
      <w:r>
        <w:t>T</w:t>
      </w:r>
      <w:r w:rsidR="006523FE" w:rsidRPr="00530AE7">
        <w:t>he recommended dose is 1.5 mg/m</w:t>
      </w:r>
      <w:r w:rsidR="006523FE" w:rsidRPr="00530AE7">
        <w:rPr>
          <w:vertAlign w:val="superscript"/>
        </w:rPr>
        <w:t>2</w:t>
      </w:r>
      <w:r w:rsidR="006523FE" w:rsidRPr="00530AE7">
        <w:t xml:space="preserve"> body surface area, administered as an intravenous infusion over 24 hours with a three</w:t>
      </w:r>
      <w:r w:rsidR="006523FE" w:rsidRPr="00530AE7">
        <w:noBreakHyphen/>
        <w:t xml:space="preserve">week interval between cycles. </w:t>
      </w:r>
    </w:p>
    <w:p w14:paraId="6F0F5A69" w14:textId="79B57CD6" w:rsidR="00683BAD" w:rsidRPr="00530AE7" w:rsidRDefault="00683BAD" w:rsidP="006523FE">
      <w:pPr>
        <w:spacing w:line="240" w:lineRule="auto"/>
      </w:pPr>
      <w:r>
        <w:t>All patients must receive corticosteroids e.g. 20 mg of dexamethasone intravenously 30 minutes prior to Y</w:t>
      </w:r>
      <w:r w:rsidR="00A12C65">
        <w:t>ONDELIS</w:t>
      </w:r>
      <w:r w:rsidR="001A5233">
        <w:t>,</w:t>
      </w:r>
      <w:r>
        <w:t xml:space="preserve"> not only as anti-emetic prophylaxis, but also because it appears to provide </w:t>
      </w:r>
      <w:proofErr w:type="spellStart"/>
      <w:r>
        <w:t>hepatoprotective</w:t>
      </w:r>
      <w:proofErr w:type="spellEnd"/>
      <w:r>
        <w:t xml:space="preserve"> effects. Additional anti-emetics may be administered as needed.</w:t>
      </w:r>
    </w:p>
    <w:p w14:paraId="5602726C" w14:textId="7B340C3E" w:rsidR="006523FE" w:rsidRPr="00530AE7" w:rsidRDefault="006523FE" w:rsidP="006523FE">
      <w:pPr>
        <w:spacing w:line="240" w:lineRule="auto"/>
      </w:pPr>
      <w:r w:rsidRPr="00530AE7">
        <w:t xml:space="preserve">The following criteria are required to allow treatment with </w:t>
      </w:r>
      <w:r w:rsidR="00925B2E">
        <w:t>YONDELIS</w:t>
      </w:r>
      <w:r w:rsidRPr="00530AE7">
        <w:t>:</w:t>
      </w:r>
    </w:p>
    <w:p w14:paraId="36EC7DF0" w14:textId="66688ACB" w:rsidR="006523FE" w:rsidRPr="00530AE7" w:rsidRDefault="006523FE" w:rsidP="004C4C72">
      <w:pPr>
        <w:numPr>
          <w:ilvl w:val="0"/>
          <w:numId w:val="11"/>
        </w:numPr>
        <w:tabs>
          <w:tab w:val="clear" w:pos="567"/>
          <w:tab w:val="num" w:pos="284"/>
        </w:tabs>
        <w:spacing w:after="0" w:line="240" w:lineRule="auto"/>
        <w:ind w:left="284" w:hanging="284"/>
      </w:pPr>
      <w:r w:rsidRPr="00530AE7">
        <w:t>Absolute neutrophil count (ANC) </w:t>
      </w:r>
      <w:r w:rsidRPr="00530AE7">
        <w:sym w:font="Symbol" w:char="F0B3"/>
      </w:r>
      <w:r w:rsidRPr="00530AE7">
        <w:t> </w:t>
      </w:r>
      <w:r w:rsidR="00DE12A2">
        <w:t>1.5</w:t>
      </w:r>
      <w:r w:rsidR="00413B87">
        <w:t xml:space="preserve"> x 10</w:t>
      </w:r>
      <w:r w:rsidR="00413B87" w:rsidRPr="001B4BC9">
        <w:rPr>
          <w:vertAlign w:val="superscript"/>
        </w:rPr>
        <w:t>9</w:t>
      </w:r>
      <w:r w:rsidR="00413B87">
        <w:t>/L</w:t>
      </w:r>
    </w:p>
    <w:p w14:paraId="29A83ED3" w14:textId="3E66577E" w:rsidR="006523FE" w:rsidRPr="00530AE7" w:rsidRDefault="006523FE" w:rsidP="004C4C72">
      <w:pPr>
        <w:numPr>
          <w:ilvl w:val="0"/>
          <w:numId w:val="11"/>
        </w:numPr>
        <w:tabs>
          <w:tab w:val="clear" w:pos="567"/>
          <w:tab w:val="num" w:pos="284"/>
        </w:tabs>
        <w:spacing w:after="0" w:line="240" w:lineRule="auto"/>
        <w:ind w:left="284" w:hanging="284"/>
      </w:pPr>
      <w:r w:rsidRPr="00530AE7">
        <w:t>Platelet count </w:t>
      </w:r>
      <w:r w:rsidRPr="00530AE7">
        <w:sym w:font="Symbol" w:char="F0B3"/>
      </w:r>
      <w:r w:rsidRPr="00530AE7">
        <w:t> </w:t>
      </w:r>
      <w:r w:rsidR="00CB33AC">
        <w:t>100 x 10</w:t>
      </w:r>
      <w:r w:rsidR="00CB33AC" w:rsidRPr="001B4BC9">
        <w:rPr>
          <w:vertAlign w:val="superscript"/>
        </w:rPr>
        <w:t>9</w:t>
      </w:r>
      <w:r w:rsidR="00CB33AC">
        <w:t>/L</w:t>
      </w:r>
    </w:p>
    <w:p w14:paraId="367EE7F0" w14:textId="77777777" w:rsidR="006523FE" w:rsidRPr="00530AE7" w:rsidRDefault="006523FE" w:rsidP="004C4C72">
      <w:pPr>
        <w:numPr>
          <w:ilvl w:val="0"/>
          <w:numId w:val="11"/>
        </w:numPr>
        <w:tabs>
          <w:tab w:val="clear" w:pos="567"/>
          <w:tab w:val="num" w:pos="284"/>
        </w:tabs>
        <w:spacing w:after="0" w:line="240" w:lineRule="auto"/>
        <w:ind w:left="284" w:hanging="284"/>
      </w:pPr>
      <w:r w:rsidRPr="00530AE7">
        <w:t>Bilirubin </w:t>
      </w:r>
      <w:r w:rsidRPr="00530AE7">
        <w:sym w:font="Symbol" w:char="F0A3"/>
      </w:r>
      <w:r w:rsidRPr="00530AE7">
        <w:t> upper limit of normal (ULN)</w:t>
      </w:r>
    </w:p>
    <w:p w14:paraId="3D94C05F" w14:textId="77777777" w:rsidR="006523FE" w:rsidRPr="00530AE7" w:rsidRDefault="006523FE" w:rsidP="004C4C72">
      <w:pPr>
        <w:numPr>
          <w:ilvl w:val="0"/>
          <w:numId w:val="11"/>
        </w:numPr>
        <w:tabs>
          <w:tab w:val="clear" w:pos="567"/>
          <w:tab w:val="num" w:pos="284"/>
        </w:tabs>
        <w:spacing w:after="0" w:line="240" w:lineRule="auto"/>
        <w:ind w:left="284" w:hanging="284"/>
      </w:pPr>
      <w:r w:rsidRPr="00530AE7">
        <w:t>Alkaline phosphatase </w:t>
      </w:r>
      <w:r w:rsidRPr="00530AE7">
        <w:sym w:font="Symbol" w:char="00A3"/>
      </w:r>
      <w:r w:rsidRPr="00530AE7">
        <w:t xml:space="preserve"> 2.5 x ULN (consider hepatic </w:t>
      </w:r>
      <w:proofErr w:type="spellStart"/>
      <w:r w:rsidRPr="00530AE7">
        <w:t>isoenzymes</w:t>
      </w:r>
      <w:proofErr w:type="spellEnd"/>
      <w:r w:rsidRPr="00530AE7">
        <w:t xml:space="preserve"> 5</w:t>
      </w:r>
      <w:r w:rsidRPr="00530AE7">
        <w:noBreakHyphen/>
        <w:t xml:space="preserve">nucleotidase or gamma </w:t>
      </w:r>
      <w:proofErr w:type="spellStart"/>
      <w:r w:rsidRPr="00530AE7">
        <w:t>glutamyl</w:t>
      </w:r>
      <w:proofErr w:type="spellEnd"/>
      <w:r w:rsidRPr="00530AE7">
        <w:t xml:space="preserve"> </w:t>
      </w:r>
      <w:proofErr w:type="spellStart"/>
      <w:r w:rsidRPr="00530AE7">
        <w:t>transpeptidase</w:t>
      </w:r>
      <w:proofErr w:type="spellEnd"/>
      <w:r w:rsidRPr="00530AE7">
        <w:t xml:space="preserve"> (GGT), if the elevation could be osseous in origin).</w:t>
      </w:r>
    </w:p>
    <w:p w14:paraId="0EA4E2B8" w14:textId="26603C8E" w:rsidR="006523FE" w:rsidRPr="00530AE7" w:rsidRDefault="006523FE" w:rsidP="004C4C72">
      <w:pPr>
        <w:numPr>
          <w:ilvl w:val="0"/>
          <w:numId w:val="11"/>
        </w:numPr>
        <w:tabs>
          <w:tab w:val="clear" w:pos="567"/>
          <w:tab w:val="num" w:pos="284"/>
        </w:tabs>
        <w:spacing w:after="0" w:line="240" w:lineRule="auto"/>
        <w:ind w:left="284" w:hanging="284"/>
      </w:pPr>
      <w:r w:rsidRPr="00530AE7">
        <w:t>Albumin </w:t>
      </w:r>
      <w:r w:rsidRPr="00530AE7">
        <w:sym w:font="Symbol" w:char="00B3"/>
      </w:r>
      <w:r w:rsidRPr="00530AE7">
        <w:t> 25 g/</w:t>
      </w:r>
      <w:r w:rsidR="00260A09" w:rsidRPr="00530AE7">
        <w:t>L</w:t>
      </w:r>
    </w:p>
    <w:p w14:paraId="669A5707" w14:textId="77777777" w:rsidR="006523FE" w:rsidRPr="00530AE7" w:rsidRDefault="006523FE" w:rsidP="004C4C72">
      <w:pPr>
        <w:numPr>
          <w:ilvl w:val="0"/>
          <w:numId w:val="12"/>
        </w:numPr>
        <w:tabs>
          <w:tab w:val="clear" w:pos="567"/>
          <w:tab w:val="num" w:pos="284"/>
        </w:tabs>
        <w:spacing w:after="0" w:line="240" w:lineRule="auto"/>
        <w:ind w:left="284" w:hanging="284"/>
      </w:pPr>
      <w:r w:rsidRPr="00530AE7">
        <w:t>Alanine aminotransferase (ALT) and Aspartate aminotransferase (AST) </w:t>
      </w:r>
      <w:r w:rsidRPr="00530AE7">
        <w:sym w:font="Symbol" w:char="00A3"/>
      </w:r>
      <w:r w:rsidRPr="00530AE7">
        <w:t> 2.5 x ULN</w:t>
      </w:r>
    </w:p>
    <w:p w14:paraId="4A098B7F" w14:textId="03B4131B" w:rsidR="006523FE" w:rsidRPr="00530AE7" w:rsidRDefault="006523FE" w:rsidP="004C4C72">
      <w:pPr>
        <w:numPr>
          <w:ilvl w:val="0"/>
          <w:numId w:val="12"/>
        </w:numPr>
        <w:tabs>
          <w:tab w:val="clear" w:pos="567"/>
          <w:tab w:val="num" w:pos="284"/>
        </w:tabs>
        <w:spacing w:after="0" w:line="240" w:lineRule="auto"/>
        <w:ind w:left="284" w:hanging="284"/>
      </w:pPr>
      <w:r w:rsidRPr="00530AE7">
        <w:t>Creatinine clearance </w:t>
      </w:r>
      <w:r w:rsidRPr="00530AE7">
        <w:sym w:font="Symbol" w:char="00B3"/>
      </w:r>
      <w:r w:rsidRPr="00530AE7">
        <w:t> 30 </w:t>
      </w:r>
      <w:r w:rsidR="00930D2D" w:rsidRPr="00530AE7">
        <w:t>mL</w:t>
      </w:r>
      <w:r w:rsidRPr="00530AE7">
        <w:t>/min</w:t>
      </w:r>
    </w:p>
    <w:p w14:paraId="6B396CD0" w14:textId="77777777" w:rsidR="006523FE" w:rsidRPr="00530AE7" w:rsidRDefault="006523FE" w:rsidP="004C4C72">
      <w:pPr>
        <w:numPr>
          <w:ilvl w:val="0"/>
          <w:numId w:val="12"/>
        </w:numPr>
        <w:tabs>
          <w:tab w:val="clear" w:pos="567"/>
          <w:tab w:val="num" w:pos="284"/>
        </w:tabs>
        <w:spacing w:after="0" w:line="240" w:lineRule="auto"/>
        <w:ind w:left="284" w:hanging="284"/>
      </w:pPr>
      <w:proofErr w:type="spellStart"/>
      <w:r w:rsidRPr="00530AE7">
        <w:t>Creatine</w:t>
      </w:r>
      <w:proofErr w:type="spellEnd"/>
      <w:r w:rsidRPr="00530AE7">
        <w:t xml:space="preserve"> phosphokinase (CPK) </w:t>
      </w:r>
      <w:r w:rsidRPr="00530AE7">
        <w:sym w:font="Symbol" w:char="00A3"/>
      </w:r>
      <w:r w:rsidRPr="00530AE7">
        <w:t> 2.5 x ULN</w:t>
      </w:r>
    </w:p>
    <w:p w14:paraId="15105410" w14:textId="7EC9CEA7" w:rsidR="006523FE" w:rsidRPr="00530AE7" w:rsidRDefault="006523FE" w:rsidP="004C4C72">
      <w:pPr>
        <w:numPr>
          <w:ilvl w:val="0"/>
          <w:numId w:val="12"/>
        </w:numPr>
        <w:tabs>
          <w:tab w:val="clear" w:pos="567"/>
          <w:tab w:val="num" w:pos="284"/>
        </w:tabs>
        <w:spacing w:after="0" w:line="240" w:lineRule="auto"/>
        <w:ind w:left="284" w:hanging="284"/>
      </w:pPr>
      <w:r w:rsidRPr="00530AE7">
        <w:t>Haemoglobin </w:t>
      </w:r>
      <w:r w:rsidR="00CA5677" w:rsidRPr="008831F3">
        <w:rPr>
          <w:lang w:eastAsia="en-GB"/>
        </w:rPr>
        <w:t>≥</w:t>
      </w:r>
      <w:r w:rsidR="00CA5677" w:rsidRPr="00ED5398">
        <w:rPr>
          <w:lang w:val="en-GB" w:eastAsia="en-GB"/>
        </w:rPr>
        <w:t xml:space="preserve"> 90 g/L</w:t>
      </w:r>
    </w:p>
    <w:p w14:paraId="2E759DE4" w14:textId="77777777" w:rsidR="006523FE" w:rsidRPr="00530AE7" w:rsidRDefault="006523FE" w:rsidP="002E54A3">
      <w:pPr>
        <w:spacing w:after="0" w:line="240" w:lineRule="auto"/>
      </w:pPr>
    </w:p>
    <w:p w14:paraId="63B5FD19" w14:textId="79B6D020" w:rsidR="006523FE" w:rsidRPr="00530AE7" w:rsidRDefault="006523FE" w:rsidP="006523FE">
      <w:pPr>
        <w:spacing w:line="240" w:lineRule="auto"/>
      </w:pPr>
      <w:r w:rsidRPr="00530AE7">
        <w:t>The same criteria as above must be met prior to re</w:t>
      </w:r>
      <w:r w:rsidRPr="00530AE7">
        <w:noBreakHyphen/>
        <w:t>treatment. Otherwise treatment must be delayed for up to 3 weeks until the criteria are met.</w:t>
      </w:r>
    </w:p>
    <w:p w14:paraId="53EC18EF" w14:textId="0DDF79D8" w:rsidR="006523FE" w:rsidRPr="00530AE7" w:rsidRDefault="006523FE" w:rsidP="006523FE">
      <w:pPr>
        <w:spacing w:line="240" w:lineRule="auto"/>
      </w:pPr>
      <w:r w:rsidRPr="00530AE7">
        <w:t>Additional monitoring of haematological parameters bilirubin, alkaline phosphatase, aminotransferases and CPK</w:t>
      </w:r>
      <w:r w:rsidRPr="00530AE7">
        <w:rPr>
          <w:b/>
        </w:rPr>
        <w:t xml:space="preserve"> </w:t>
      </w:r>
      <w:r w:rsidRPr="00530AE7">
        <w:t>should occur weekly during the first two cycles of therapy, and at least once between treatments in subsequent cycles.</w:t>
      </w:r>
    </w:p>
    <w:p w14:paraId="507FD5E9" w14:textId="2D3D44E4" w:rsidR="006523FE" w:rsidRPr="00530AE7" w:rsidRDefault="006523FE" w:rsidP="006523FE">
      <w:pPr>
        <w:spacing w:line="240" w:lineRule="auto"/>
      </w:pPr>
      <w:r w:rsidRPr="00530AE7">
        <w:t>The same dose should be given for all cycles provided that no grade 3</w:t>
      </w:r>
      <w:r w:rsidRPr="00530AE7">
        <w:noBreakHyphen/>
        <w:t>4 toxicities are seen and that the patient fulfils the re</w:t>
      </w:r>
      <w:r w:rsidRPr="00530AE7">
        <w:noBreakHyphen/>
        <w:t>treatment criteria.</w:t>
      </w:r>
    </w:p>
    <w:p w14:paraId="12C09141" w14:textId="02C44C4E" w:rsidR="006523FE" w:rsidRPr="00530AE7" w:rsidRDefault="006523FE" w:rsidP="006523FE">
      <w:pPr>
        <w:rPr>
          <w:i/>
        </w:rPr>
      </w:pPr>
      <w:r w:rsidRPr="00530AE7">
        <w:rPr>
          <w:i/>
        </w:rPr>
        <w:t>Dose adjustments during treatment</w:t>
      </w:r>
    </w:p>
    <w:p w14:paraId="5DC88129" w14:textId="195C98EE" w:rsidR="006523FE" w:rsidRPr="00530AE7" w:rsidRDefault="006523FE" w:rsidP="006523FE">
      <w:pPr>
        <w:spacing w:line="240" w:lineRule="auto"/>
      </w:pPr>
      <w:r w:rsidRPr="00530AE7">
        <w:t>Prior to re</w:t>
      </w:r>
      <w:r w:rsidRPr="00530AE7">
        <w:noBreakHyphen/>
        <w:t xml:space="preserve">treatment, patients must fulfil the baseline criteria defined above. If any of the following events occur at any time between cycles, the dose must be reduced one level, according to </w:t>
      </w:r>
      <w:r w:rsidR="009A37B3">
        <w:rPr>
          <w:color w:val="0432FF"/>
        </w:rPr>
        <w:t>T</w:t>
      </w:r>
      <w:r w:rsidRPr="009A37B3">
        <w:rPr>
          <w:color w:val="0432FF"/>
        </w:rPr>
        <w:t>able 1</w:t>
      </w:r>
      <w:r w:rsidRPr="00530AE7">
        <w:t xml:space="preserve"> below, for subsequent cycles:</w:t>
      </w:r>
    </w:p>
    <w:p w14:paraId="700FDD61" w14:textId="19659ED3" w:rsidR="006523FE" w:rsidRPr="00530AE7" w:rsidRDefault="006523FE" w:rsidP="004C4C72">
      <w:pPr>
        <w:numPr>
          <w:ilvl w:val="0"/>
          <w:numId w:val="11"/>
        </w:numPr>
        <w:tabs>
          <w:tab w:val="clear" w:pos="567"/>
          <w:tab w:val="num" w:pos="284"/>
        </w:tabs>
        <w:spacing w:after="0" w:line="240" w:lineRule="auto"/>
        <w:ind w:left="284" w:hanging="284"/>
      </w:pPr>
      <w:proofErr w:type="spellStart"/>
      <w:r w:rsidRPr="00530AE7">
        <w:t>Neutrop</w:t>
      </w:r>
      <w:r w:rsidR="00860B7A">
        <w:t>a</w:t>
      </w:r>
      <w:r w:rsidRPr="00530AE7">
        <w:t>enia</w:t>
      </w:r>
      <w:proofErr w:type="spellEnd"/>
      <w:r w:rsidRPr="00530AE7">
        <w:t> &lt; </w:t>
      </w:r>
      <w:r w:rsidR="00045487">
        <w:t>0.5 x 10</w:t>
      </w:r>
      <w:r w:rsidR="00045487" w:rsidRPr="00045487">
        <w:rPr>
          <w:vertAlign w:val="superscript"/>
        </w:rPr>
        <w:t>9</w:t>
      </w:r>
      <w:r w:rsidR="00045487">
        <w:t>/L</w:t>
      </w:r>
      <w:r w:rsidRPr="00530AE7">
        <w:t> lasting for more than 5 days or associated with fever or infection</w:t>
      </w:r>
    </w:p>
    <w:p w14:paraId="2BACD597" w14:textId="478E7FBA" w:rsidR="006523FE" w:rsidRPr="00530AE7" w:rsidRDefault="006523FE" w:rsidP="004C4C72">
      <w:pPr>
        <w:numPr>
          <w:ilvl w:val="0"/>
          <w:numId w:val="11"/>
        </w:numPr>
        <w:tabs>
          <w:tab w:val="clear" w:pos="567"/>
          <w:tab w:val="num" w:pos="284"/>
        </w:tabs>
        <w:spacing w:after="0" w:line="240" w:lineRule="auto"/>
        <w:ind w:left="284" w:hanging="284"/>
      </w:pPr>
      <w:r w:rsidRPr="00530AE7">
        <w:t>Thrombocytop</w:t>
      </w:r>
      <w:r w:rsidR="00860B7A">
        <w:t>a</w:t>
      </w:r>
      <w:r w:rsidRPr="00530AE7">
        <w:t>enia &lt; </w:t>
      </w:r>
      <w:r w:rsidR="00045487">
        <w:t>25 x 10</w:t>
      </w:r>
      <w:r w:rsidR="00045487" w:rsidRPr="00045487">
        <w:rPr>
          <w:vertAlign w:val="superscript"/>
        </w:rPr>
        <w:t>9</w:t>
      </w:r>
      <w:r w:rsidR="00045487">
        <w:t>/L</w:t>
      </w:r>
    </w:p>
    <w:p w14:paraId="208AC55E" w14:textId="77777777" w:rsidR="006523FE" w:rsidRPr="00530AE7" w:rsidRDefault="006523FE" w:rsidP="004C4C72">
      <w:pPr>
        <w:numPr>
          <w:ilvl w:val="0"/>
          <w:numId w:val="11"/>
        </w:numPr>
        <w:tabs>
          <w:tab w:val="clear" w:pos="567"/>
          <w:tab w:val="num" w:pos="284"/>
        </w:tabs>
        <w:spacing w:after="0" w:line="240" w:lineRule="auto"/>
        <w:ind w:left="284" w:hanging="284"/>
      </w:pPr>
      <w:r w:rsidRPr="00530AE7">
        <w:t xml:space="preserve">Increase of bilirubin &gt; ULN and/or alkaline phosphatase &gt; 2.5 x ULN </w:t>
      </w:r>
    </w:p>
    <w:p w14:paraId="06C273E1" w14:textId="5F4961F9" w:rsidR="006523FE" w:rsidRPr="00530AE7" w:rsidRDefault="006523FE" w:rsidP="004C4C72">
      <w:pPr>
        <w:numPr>
          <w:ilvl w:val="0"/>
          <w:numId w:val="11"/>
        </w:numPr>
        <w:tabs>
          <w:tab w:val="clear" w:pos="567"/>
          <w:tab w:val="num" w:pos="284"/>
        </w:tabs>
        <w:spacing w:after="0" w:line="240" w:lineRule="auto"/>
        <w:ind w:left="284" w:hanging="284"/>
      </w:pPr>
      <w:r w:rsidRPr="00530AE7">
        <w:t>Increase of aminotransferases (AST or ALT) &gt;</w:t>
      </w:r>
      <w:bookmarkStart w:id="0" w:name="OLE_LINK9"/>
      <w:bookmarkStart w:id="1" w:name="OLE_LINK12"/>
      <w:r w:rsidRPr="00530AE7">
        <w:t> </w:t>
      </w:r>
      <w:bookmarkEnd w:id="0"/>
      <w:bookmarkEnd w:id="1"/>
      <w:r w:rsidRPr="00530AE7">
        <w:t>2.5 x ULN which has not recovered by day 21</w:t>
      </w:r>
    </w:p>
    <w:p w14:paraId="6CE43236" w14:textId="77777777" w:rsidR="006523FE" w:rsidRPr="00530AE7" w:rsidRDefault="006523FE" w:rsidP="004C4C72">
      <w:pPr>
        <w:numPr>
          <w:ilvl w:val="0"/>
          <w:numId w:val="11"/>
        </w:numPr>
        <w:tabs>
          <w:tab w:val="clear" w:pos="567"/>
          <w:tab w:val="num" w:pos="284"/>
        </w:tabs>
        <w:spacing w:after="0" w:line="240" w:lineRule="auto"/>
        <w:ind w:left="284" w:hanging="284"/>
      </w:pPr>
      <w:r w:rsidRPr="00530AE7">
        <w:t>Any other grade 3 or 4 adverse reactions (such as nausea, vomiting, fatigue)</w:t>
      </w:r>
    </w:p>
    <w:p w14:paraId="096739A8" w14:textId="77777777" w:rsidR="006523FE" w:rsidRPr="00530AE7" w:rsidRDefault="006523FE" w:rsidP="004C4C72">
      <w:pPr>
        <w:spacing w:after="0" w:line="240" w:lineRule="auto"/>
      </w:pPr>
    </w:p>
    <w:p w14:paraId="3537EE6B" w14:textId="71F8D05D" w:rsidR="006523FE" w:rsidRPr="00530AE7" w:rsidRDefault="006523FE" w:rsidP="006523FE">
      <w:pPr>
        <w:spacing w:line="240" w:lineRule="auto"/>
      </w:pPr>
      <w:r w:rsidRPr="00530AE7">
        <w:t xml:space="preserve">Once a dose has been reduced because of toxicity, dose escalation in the subsequent cycles is not recommended. If any of these toxicities reappear in subsequent cycles in a patient exhibiting clinical benefit, the dose may be further reduced (see below). Colony stimulating factors can be administered for </w:t>
      </w:r>
      <w:proofErr w:type="spellStart"/>
      <w:r w:rsidRPr="00530AE7">
        <w:t>haematologic</w:t>
      </w:r>
      <w:proofErr w:type="spellEnd"/>
      <w:r w:rsidRPr="00530AE7">
        <w:t xml:space="preserve"> toxicity according to local standard practice.</w:t>
      </w:r>
    </w:p>
    <w:p w14:paraId="302BE9BD" w14:textId="10053D83" w:rsidR="00197278" w:rsidRPr="00CB73B8" w:rsidRDefault="00172E25" w:rsidP="00625B50">
      <w:pPr>
        <w:pageBreakBefore/>
        <w:spacing w:line="240" w:lineRule="auto"/>
        <w:rPr>
          <w:rFonts w:cstheme="minorHAnsi"/>
        </w:rPr>
      </w:pPr>
      <w:r w:rsidRPr="00845A51">
        <w:rPr>
          <w:rFonts w:cstheme="minorHAnsi"/>
        </w:rPr>
        <w:t>Permanently discontinue YONDELIS for:</w:t>
      </w:r>
    </w:p>
    <w:p w14:paraId="3089ED29" w14:textId="48561293" w:rsidR="00845A51" w:rsidRPr="00CB73B8" w:rsidRDefault="00845A51" w:rsidP="00CB73B8">
      <w:pPr>
        <w:pStyle w:val="ListParagraph"/>
        <w:numPr>
          <w:ilvl w:val="0"/>
          <w:numId w:val="14"/>
        </w:numPr>
        <w:autoSpaceDE w:val="0"/>
        <w:autoSpaceDN w:val="0"/>
        <w:adjustRightInd w:val="0"/>
        <w:spacing w:after="0" w:line="240" w:lineRule="auto"/>
        <w:rPr>
          <w:rFonts w:cstheme="minorHAnsi"/>
          <w:color w:val="000000"/>
          <w:lang w:val="en-GB"/>
        </w:rPr>
      </w:pPr>
      <w:r w:rsidRPr="00CB73B8">
        <w:rPr>
          <w:rFonts w:cstheme="minorHAnsi"/>
          <w:color w:val="000000"/>
          <w:lang w:val="en-GB"/>
        </w:rPr>
        <w:t xml:space="preserve">Rhabdomyolysis </w:t>
      </w:r>
    </w:p>
    <w:p w14:paraId="16B8979B" w14:textId="56A3468A" w:rsidR="00845A51" w:rsidRPr="00CB73B8" w:rsidRDefault="00845A51" w:rsidP="00CB73B8">
      <w:pPr>
        <w:pStyle w:val="ListParagraph"/>
        <w:numPr>
          <w:ilvl w:val="0"/>
          <w:numId w:val="14"/>
        </w:numPr>
        <w:autoSpaceDE w:val="0"/>
        <w:autoSpaceDN w:val="0"/>
        <w:adjustRightInd w:val="0"/>
        <w:spacing w:after="0" w:line="240" w:lineRule="auto"/>
        <w:rPr>
          <w:rFonts w:cstheme="minorHAnsi"/>
          <w:color w:val="000000"/>
          <w:lang w:val="en-GB"/>
        </w:rPr>
      </w:pPr>
      <w:r w:rsidRPr="00CB73B8">
        <w:rPr>
          <w:rFonts w:cstheme="minorHAnsi"/>
          <w:color w:val="000000"/>
          <w:lang w:val="en-GB"/>
        </w:rPr>
        <w:t xml:space="preserve">Capillary leak syndrome </w:t>
      </w:r>
    </w:p>
    <w:p w14:paraId="429CE422" w14:textId="77777777" w:rsidR="00845A51" w:rsidRPr="00CB73B8" w:rsidRDefault="00845A51" w:rsidP="00CB73B8">
      <w:pPr>
        <w:pStyle w:val="ListParagraph"/>
        <w:numPr>
          <w:ilvl w:val="0"/>
          <w:numId w:val="14"/>
        </w:numPr>
        <w:autoSpaceDE w:val="0"/>
        <w:autoSpaceDN w:val="0"/>
        <w:adjustRightInd w:val="0"/>
        <w:spacing w:after="0" w:line="240" w:lineRule="auto"/>
        <w:rPr>
          <w:rFonts w:cs="Cambria"/>
          <w:color w:val="000000"/>
          <w:lang w:val="en-GB"/>
        </w:rPr>
      </w:pPr>
      <w:r w:rsidRPr="00CB73B8">
        <w:rPr>
          <w:rFonts w:cstheme="minorHAnsi"/>
          <w:color w:val="000000"/>
          <w:lang w:val="en-GB"/>
        </w:rPr>
        <w:t>Grade 3 or 4 cardiac adverse events (AEs) indicative of cardiomyopathy or for subjects with an LVEF that decreases below the lower limit of normal</w:t>
      </w:r>
      <w:r w:rsidRPr="00CB73B8">
        <w:rPr>
          <w:rFonts w:cs="Cambria"/>
          <w:color w:val="000000"/>
          <w:lang w:val="en-GB"/>
        </w:rPr>
        <w:t xml:space="preserve"> </w:t>
      </w:r>
    </w:p>
    <w:p w14:paraId="3415893B" w14:textId="77777777" w:rsidR="00845A51" w:rsidRDefault="00845A51" w:rsidP="00CB73B8">
      <w:pPr>
        <w:spacing w:line="240" w:lineRule="auto"/>
        <w:rPr>
          <w:b/>
        </w:rPr>
      </w:pPr>
    </w:p>
    <w:p w14:paraId="60797654" w14:textId="1FB2CBE2" w:rsidR="006523FE" w:rsidRPr="00530AE7" w:rsidRDefault="006523FE" w:rsidP="006523FE">
      <w:pPr>
        <w:spacing w:line="240" w:lineRule="auto"/>
        <w:jc w:val="center"/>
        <w:rPr>
          <w:b/>
        </w:rPr>
      </w:pPr>
      <w:r w:rsidRPr="00530AE7">
        <w:rPr>
          <w:b/>
        </w:rPr>
        <w:t>Table 1 Dose modification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5"/>
      </w:tblGrid>
      <w:tr w:rsidR="002F6BDB" w:rsidRPr="00530AE7" w14:paraId="416B8DC0" w14:textId="77777777" w:rsidTr="002F6BDB">
        <w:trPr>
          <w:jc w:val="center"/>
        </w:trPr>
        <w:tc>
          <w:tcPr>
            <w:tcW w:w="2268" w:type="dxa"/>
          </w:tcPr>
          <w:p w14:paraId="7447E3FD" w14:textId="77777777" w:rsidR="002F6BDB" w:rsidRPr="00530AE7" w:rsidRDefault="002F6BDB" w:rsidP="00AC5E8E">
            <w:pPr>
              <w:spacing w:after="0" w:line="240" w:lineRule="auto"/>
              <w:rPr>
                <w:b/>
                <w:bCs/>
              </w:rPr>
            </w:pPr>
          </w:p>
        </w:tc>
        <w:tc>
          <w:tcPr>
            <w:tcW w:w="2235" w:type="dxa"/>
          </w:tcPr>
          <w:p w14:paraId="05025354" w14:textId="34BB8D0B" w:rsidR="002F6BDB" w:rsidRPr="00530AE7" w:rsidRDefault="00925B2E" w:rsidP="00AC5E8E">
            <w:pPr>
              <w:spacing w:after="0" w:line="240" w:lineRule="auto"/>
              <w:jc w:val="center"/>
              <w:rPr>
                <w:b/>
                <w:bCs/>
              </w:rPr>
            </w:pPr>
            <w:r>
              <w:rPr>
                <w:b/>
                <w:bCs/>
              </w:rPr>
              <w:t>YONDELIS</w:t>
            </w:r>
          </w:p>
        </w:tc>
      </w:tr>
      <w:tr w:rsidR="002F6BDB" w:rsidRPr="00530AE7" w14:paraId="24D9D1DD" w14:textId="77777777" w:rsidTr="002F6BDB">
        <w:trPr>
          <w:jc w:val="center"/>
        </w:trPr>
        <w:tc>
          <w:tcPr>
            <w:tcW w:w="2268" w:type="dxa"/>
          </w:tcPr>
          <w:p w14:paraId="5629C6AE" w14:textId="77777777" w:rsidR="002F6BDB" w:rsidRPr="00530AE7" w:rsidRDefault="002F6BDB" w:rsidP="00AC5E8E">
            <w:pPr>
              <w:spacing w:after="0" w:line="240" w:lineRule="auto"/>
            </w:pPr>
            <w:r w:rsidRPr="00530AE7">
              <w:rPr>
                <w:lang w:eastAsia="es-ES"/>
              </w:rPr>
              <w:t>Starting dose</w:t>
            </w:r>
          </w:p>
        </w:tc>
        <w:tc>
          <w:tcPr>
            <w:tcW w:w="2235" w:type="dxa"/>
          </w:tcPr>
          <w:p w14:paraId="1BB7E970" w14:textId="77777777" w:rsidR="002F6BDB" w:rsidRPr="00530AE7" w:rsidRDefault="002F6BDB" w:rsidP="00AC5E8E">
            <w:pPr>
              <w:spacing w:after="0" w:line="240" w:lineRule="auto"/>
              <w:jc w:val="center"/>
            </w:pPr>
            <w:r w:rsidRPr="00530AE7">
              <w:t>1.5 mg/m</w:t>
            </w:r>
            <w:r w:rsidRPr="00530AE7">
              <w:rPr>
                <w:vertAlign w:val="superscript"/>
              </w:rPr>
              <w:t>2</w:t>
            </w:r>
          </w:p>
        </w:tc>
      </w:tr>
      <w:tr w:rsidR="002F6BDB" w:rsidRPr="00530AE7" w14:paraId="461BDB6E" w14:textId="77777777" w:rsidTr="002F6BDB">
        <w:trPr>
          <w:jc w:val="center"/>
        </w:trPr>
        <w:tc>
          <w:tcPr>
            <w:tcW w:w="2268" w:type="dxa"/>
          </w:tcPr>
          <w:p w14:paraId="5354C607" w14:textId="77777777" w:rsidR="002F6BDB" w:rsidRPr="00530AE7" w:rsidRDefault="002F6BDB" w:rsidP="00AC5E8E">
            <w:pPr>
              <w:spacing w:after="0" w:line="240" w:lineRule="auto"/>
            </w:pPr>
            <w:r w:rsidRPr="00530AE7">
              <w:t>First reduction</w:t>
            </w:r>
          </w:p>
        </w:tc>
        <w:tc>
          <w:tcPr>
            <w:tcW w:w="2235" w:type="dxa"/>
          </w:tcPr>
          <w:p w14:paraId="763DE3F7" w14:textId="77777777" w:rsidR="002F6BDB" w:rsidRPr="00530AE7" w:rsidRDefault="002F6BDB" w:rsidP="00AC5E8E">
            <w:pPr>
              <w:spacing w:after="0" w:line="240" w:lineRule="auto"/>
              <w:jc w:val="center"/>
            </w:pPr>
            <w:r w:rsidRPr="00530AE7">
              <w:t>1.2 mg/m</w:t>
            </w:r>
            <w:r w:rsidRPr="00530AE7">
              <w:rPr>
                <w:vertAlign w:val="superscript"/>
              </w:rPr>
              <w:t>2</w:t>
            </w:r>
          </w:p>
        </w:tc>
      </w:tr>
      <w:tr w:rsidR="002F6BDB" w:rsidRPr="00530AE7" w14:paraId="6BD63C76" w14:textId="77777777" w:rsidTr="002F6BDB">
        <w:trPr>
          <w:jc w:val="center"/>
        </w:trPr>
        <w:tc>
          <w:tcPr>
            <w:tcW w:w="2268" w:type="dxa"/>
          </w:tcPr>
          <w:p w14:paraId="35BDF13D" w14:textId="77777777" w:rsidR="002F6BDB" w:rsidRPr="00530AE7" w:rsidRDefault="002F6BDB" w:rsidP="00AC5E8E">
            <w:pPr>
              <w:spacing w:after="0" w:line="240" w:lineRule="auto"/>
            </w:pPr>
            <w:r w:rsidRPr="00530AE7">
              <w:t>Second reduction</w:t>
            </w:r>
          </w:p>
        </w:tc>
        <w:tc>
          <w:tcPr>
            <w:tcW w:w="2235" w:type="dxa"/>
          </w:tcPr>
          <w:p w14:paraId="52DC88AD" w14:textId="77777777" w:rsidR="002F6BDB" w:rsidRPr="00530AE7" w:rsidRDefault="002F6BDB" w:rsidP="00AC5E8E">
            <w:pPr>
              <w:spacing w:after="0" w:line="240" w:lineRule="auto"/>
              <w:jc w:val="center"/>
            </w:pPr>
            <w:r w:rsidRPr="00530AE7">
              <w:t>1 mg/m</w:t>
            </w:r>
            <w:r w:rsidRPr="00530AE7">
              <w:rPr>
                <w:vertAlign w:val="superscript"/>
              </w:rPr>
              <w:t>2</w:t>
            </w:r>
          </w:p>
        </w:tc>
      </w:tr>
    </w:tbl>
    <w:p w14:paraId="14DA7501" w14:textId="77777777" w:rsidR="006523FE" w:rsidRPr="00530AE7" w:rsidRDefault="006523FE" w:rsidP="00B7688C">
      <w:pPr>
        <w:spacing w:after="0" w:line="240" w:lineRule="auto"/>
        <w:ind w:left="357"/>
      </w:pPr>
    </w:p>
    <w:p w14:paraId="172B81EA" w14:textId="1E9D28B6" w:rsidR="006523FE" w:rsidRPr="00530AE7" w:rsidRDefault="006523FE" w:rsidP="006523FE">
      <w:pPr>
        <w:spacing w:line="240" w:lineRule="auto"/>
      </w:pPr>
      <w:r w:rsidRPr="00530AE7">
        <w:t xml:space="preserve">In the event that further dose reductions are necessary, treatment discontinuation should be considered. </w:t>
      </w:r>
    </w:p>
    <w:p w14:paraId="20BD664F" w14:textId="28F33A33" w:rsidR="006523FE" w:rsidRPr="00530AE7" w:rsidRDefault="006523FE" w:rsidP="006523FE">
      <w:pPr>
        <w:rPr>
          <w:b/>
          <w:i/>
        </w:rPr>
      </w:pPr>
      <w:r w:rsidRPr="00530AE7">
        <w:rPr>
          <w:i/>
        </w:rPr>
        <w:t>Duration of treatment</w:t>
      </w:r>
    </w:p>
    <w:p w14:paraId="3B4BBEB5" w14:textId="4DDB3CD8" w:rsidR="006523FE" w:rsidRPr="00530AE7" w:rsidRDefault="00A77A55" w:rsidP="006523FE">
      <w:pPr>
        <w:spacing w:line="240" w:lineRule="auto"/>
        <w:rPr>
          <w:bCs/>
        </w:rPr>
      </w:pPr>
      <w:r>
        <w:rPr>
          <w:bCs/>
        </w:rPr>
        <w:t>Treatment should be continued until the onset of progressive disease or unacceptable</w:t>
      </w:r>
      <w:r w:rsidR="00BC05DC">
        <w:rPr>
          <w:bCs/>
        </w:rPr>
        <w:t xml:space="preserve"> toxicity.  </w:t>
      </w:r>
      <w:r w:rsidR="00E72AA1">
        <w:rPr>
          <w:bCs/>
        </w:rPr>
        <w:t>In the ET743-SAR-3007 trial long term follow-up</w:t>
      </w:r>
      <w:r w:rsidR="005D3DE8">
        <w:rPr>
          <w:bCs/>
        </w:rPr>
        <w:t xml:space="preserve">, </w:t>
      </w:r>
      <w:r w:rsidR="00925B2E">
        <w:t>YONDELIS</w:t>
      </w:r>
      <w:r w:rsidR="006523FE" w:rsidRPr="00530AE7">
        <w:t xml:space="preserve"> has been administered for 6 or more cycles in </w:t>
      </w:r>
      <w:r w:rsidR="005D3DE8">
        <w:t>42</w:t>
      </w:r>
      <w:r w:rsidR="006523FE" w:rsidRPr="00530AE7">
        <w:t>% of patients. The monotherapy regimen</w:t>
      </w:r>
      <w:r w:rsidR="00BD276D" w:rsidRPr="00530AE7">
        <w:t xml:space="preserve"> </w:t>
      </w:r>
      <w:r w:rsidR="006523FE" w:rsidRPr="00530AE7">
        <w:t>ha</w:t>
      </w:r>
      <w:r w:rsidR="00867450" w:rsidRPr="00530AE7">
        <w:t>s</w:t>
      </w:r>
      <w:r w:rsidR="006523FE" w:rsidRPr="00530AE7">
        <w:rPr>
          <w:bCs/>
        </w:rPr>
        <w:t xml:space="preserve"> been used for</w:t>
      </w:r>
      <w:r w:rsidR="006523FE" w:rsidRPr="00530AE7">
        <w:t xml:space="preserve"> up to </w:t>
      </w:r>
      <w:r w:rsidR="005D3DE8">
        <w:t>44</w:t>
      </w:r>
      <w:r w:rsidR="006523FE" w:rsidRPr="00530AE7">
        <w:t>  cycles</w:t>
      </w:r>
      <w:r w:rsidR="005D3DE8">
        <w:t xml:space="preserve"> (</w:t>
      </w:r>
      <w:r w:rsidR="00BC05DC">
        <w:t xml:space="preserve">median 4.0, </w:t>
      </w:r>
      <w:r w:rsidR="005D3DE8">
        <w:t>range: 1-44)</w:t>
      </w:r>
      <w:r w:rsidR="006523FE" w:rsidRPr="00530AE7">
        <w:t xml:space="preserve">. </w:t>
      </w:r>
      <w:r w:rsidR="006523FE" w:rsidRPr="00530AE7">
        <w:rPr>
          <w:bCs/>
        </w:rPr>
        <w:t>No cumulative toxicities have been observed in patients treated with multiple cycles.</w:t>
      </w:r>
    </w:p>
    <w:p w14:paraId="0E5EF614" w14:textId="77777777" w:rsidR="00865D08" w:rsidRPr="00530AE7" w:rsidRDefault="00865D08" w:rsidP="00865D08">
      <w:pPr>
        <w:keepNext/>
        <w:spacing w:line="240" w:lineRule="auto"/>
        <w:rPr>
          <w:noProof/>
          <w:u w:val="single"/>
        </w:rPr>
      </w:pPr>
      <w:r w:rsidRPr="00530AE7">
        <w:rPr>
          <w:noProof/>
          <w:u w:val="single"/>
        </w:rPr>
        <w:t>Method of administration</w:t>
      </w:r>
    </w:p>
    <w:p w14:paraId="61497506" w14:textId="590E0CBA" w:rsidR="003362C7" w:rsidRPr="00530AE7" w:rsidRDefault="00865D08" w:rsidP="003362C7">
      <w:pPr>
        <w:spacing w:line="240" w:lineRule="auto"/>
      </w:pPr>
      <w:r w:rsidRPr="00530AE7">
        <w:t>Intravenous administration through a central venous line is strongly recommended</w:t>
      </w:r>
      <w:r w:rsidR="00E24A74">
        <w:t xml:space="preserve"> due to </w:t>
      </w:r>
      <w:r w:rsidR="0093795D">
        <w:t xml:space="preserve">development of </w:t>
      </w:r>
      <w:r w:rsidR="003362C7" w:rsidRPr="00530AE7">
        <w:t xml:space="preserve">a potentially severe injection site reaction when </w:t>
      </w:r>
      <w:r w:rsidR="00C74CBA">
        <w:t>YONDELIS</w:t>
      </w:r>
      <w:r w:rsidR="003362C7" w:rsidRPr="00530AE7">
        <w:t xml:space="preserve"> is administered through a peripheral venous line.</w:t>
      </w:r>
    </w:p>
    <w:p w14:paraId="2BF530E8" w14:textId="3F15D305" w:rsidR="003362C7" w:rsidRPr="00F233F9" w:rsidRDefault="00097332" w:rsidP="00865D08">
      <w:pPr>
        <w:spacing w:line="240" w:lineRule="auto"/>
        <w:rPr>
          <w:szCs w:val="24"/>
          <w:lang w:eastAsia="es-ES"/>
        </w:rPr>
      </w:pPr>
      <w:r>
        <w:rPr>
          <w:szCs w:val="24"/>
          <w:lang w:eastAsia="es-ES"/>
        </w:rPr>
        <w:t>E</w:t>
      </w:r>
      <w:r w:rsidR="003362C7" w:rsidRPr="00530AE7">
        <w:rPr>
          <w:szCs w:val="24"/>
          <w:lang w:eastAsia="es-ES"/>
        </w:rPr>
        <w:t>xtravasation may cause tissue necrosis requiring debridement.</w:t>
      </w:r>
      <w:r w:rsidR="003362C7" w:rsidRPr="00530AE7">
        <w:rPr>
          <w:szCs w:val="24"/>
        </w:rPr>
        <w:t xml:space="preserve"> There is no specific antidote for extravasation </w:t>
      </w:r>
      <w:r w:rsidR="001A00CE">
        <w:rPr>
          <w:szCs w:val="24"/>
        </w:rPr>
        <w:t>and this</w:t>
      </w:r>
      <w:r w:rsidR="003362C7" w:rsidRPr="00530AE7">
        <w:rPr>
          <w:szCs w:val="24"/>
          <w:lang w:eastAsia="es-ES"/>
        </w:rPr>
        <w:t xml:space="preserve"> should be managed by local standard practice.</w:t>
      </w:r>
    </w:p>
    <w:p w14:paraId="5BE6C0FE" w14:textId="77777777" w:rsidR="0022091A" w:rsidRPr="00530AE7" w:rsidRDefault="0022091A" w:rsidP="0022091A">
      <w:pPr>
        <w:keepNext/>
        <w:spacing w:line="240" w:lineRule="auto"/>
        <w:rPr>
          <w:b/>
          <w:bCs/>
          <w:i/>
          <w:iCs/>
        </w:rPr>
      </w:pPr>
      <w:r w:rsidRPr="00530AE7">
        <w:rPr>
          <w:b/>
          <w:bCs/>
          <w:iCs/>
        </w:rPr>
        <w:t>Preparation for intravenous infusion</w:t>
      </w:r>
    </w:p>
    <w:p w14:paraId="3E86BA86" w14:textId="151FC3A7" w:rsidR="0022091A" w:rsidRPr="00530AE7" w:rsidRDefault="00925B2E" w:rsidP="0022091A">
      <w:pPr>
        <w:spacing w:line="240" w:lineRule="auto"/>
        <w:rPr>
          <w:rFonts w:eastAsia="MS Mincho"/>
          <w:lang w:eastAsia="ja-JP"/>
        </w:rPr>
      </w:pPr>
      <w:r>
        <w:rPr>
          <w:rFonts w:eastAsia="MS Mincho"/>
          <w:lang w:eastAsia="ja-JP"/>
        </w:rPr>
        <w:t>YONDELIS</w:t>
      </w:r>
      <w:r w:rsidR="0022091A" w:rsidRPr="00530AE7">
        <w:rPr>
          <w:rFonts w:eastAsia="MS Mincho"/>
          <w:lang w:eastAsia="ja-JP"/>
        </w:rPr>
        <w:t xml:space="preserve"> must be reconstituted and further diluted prior to </w:t>
      </w:r>
      <w:r w:rsidR="0022091A" w:rsidRPr="00530AE7">
        <w:rPr>
          <w:rFonts w:eastAsia="MS Mincho"/>
          <w:bCs/>
          <w:lang w:eastAsia="ja-JP"/>
        </w:rPr>
        <w:t>intravenous</w:t>
      </w:r>
      <w:r w:rsidR="0022091A" w:rsidRPr="00530AE7">
        <w:rPr>
          <w:rFonts w:eastAsia="MS Mincho"/>
          <w:b/>
          <w:bCs/>
          <w:lang w:eastAsia="ja-JP"/>
        </w:rPr>
        <w:t xml:space="preserve"> </w:t>
      </w:r>
      <w:r w:rsidR="0022091A" w:rsidRPr="00530AE7">
        <w:rPr>
          <w:rFonts w:eastAsia="MS Mincho"/>
          <w:lang w:eastAsia="ja-JP"/>
        </w:rPr>
        <w:t>infusion</w:t>
      </w:r>
      <w:r w:rsidR="0022091A" w:rsidRPr="00530AE7">
        <w:t>. Appropriate aseptic techniques must be used</w:t>
      </w:r>
      <w:r w:rsidR="0022091A" w:rsidRPr="00530AE7">
        <w:rPr>
          <w:rFonts w:eastAsia="MS Mincho"/>
          <w:b/>
          <w:bCs/>
          <w:sz w:val="24"/>
          <w:szCs w:val="24"/>
          <w:lang w:eastAsia="ja-JP"/>
        </w:rPr>
        <w:t xml:space="preserve"> </w:t>
      </w:r>
      <w:r w:rsidR="0022091A" w:rsidRPr="00530AE7">
        <w:rPr>
          <w:rFonts w:eastAsia="MS Mincho"/>
          <w:bCs/>
          <w:lang w:eastAsia="ja-JP"/>
        </w:rPr>
        <w:t>to prepare the infusion solution (see Instructions for reconstitution and for dilution)</w:t>
      </w:r>
      <w:r w:rsidR="0022091A" w:rsidRPr="00530AE7">
        <w:rPr>
          <w:rFonts w:eastAsia="MS Mincho"/>
          <w:b/>
          <w:bCs/>
          <w:lang w:eastAsia="ja-JP"/>
        </w:rPr>
        <w:t>.</w:t>
      </w:r>
    </w:p>
    <w:p w14:paraId="2C071CB3" w14:textId="77777777" w:rsidR="0022091A" w:rsidRPr="00530AE7" w:rsidRDefault="0022091A" w:rsidP="0022091A">
      <w:pPr>
        <w:keepNext/>
        <w:spacing w:line="240" w:lineRule="auto"/>
        <w:rPr>
          <w:iCs/>
        </w:rPr>
      </w:pPr>
      <w:r w:rsidRPr="00530AE7">
        <w:rPr>
          <w:i/>
        </w:rPr>
        <w:t>Instructions for reconstitution</w:t>
      </w:r>
    </w:p>
    <w:p w14:paraId="27E4D293" w14:textId="7EA1938A" w:rsidR="0022091A" w:rsidRPr="00530AE7" w:rsidRDefault="00925B2E" w:rsidP="0022091A">
      <w:pPr>
        <w:spacing w:line="240" w:lineRule="auto"/>
        <w:rPr>
          <w:b/>
        </w:rPr>
      </w:pPr>
      <w:r>
        <w:rPr>
          <w:b/>
        </w:rPr>
        <w:t>YONDELIS</w:t>
      </w:r>
      <w:r w:rsidR="0022091A" w:rsidRPr="00530AE7">
        <w:rPr>
          <w:b/>
        </w:rPr>
        <w:t xml:space="preserve"> 0.25 mg</w:t>
      </w:r>
    </w:p>
    <w:p w14:paraId="106F1930" w14:textId="331EBB00" w:rsidR="0022091A" w:rsidRPr="00530AE7" w:rsidRDefault="0022091A" w:rsidP="0022091A">
      <w:pPr>
        <w:spacing w:line="240" w:lineRule="auto"/>
      </w:pPr>
      <w:r w:rsidRPr="00530AE7">
        <w:t xml:space="preserve">Each vial containing 0.25 mg of </w:t>
      </w:r>
      <w:proofErr w:type="spellStart"/>
      <w:r w:rsidRPr="00530AE7">
        <w:t>trabectedin</w:t>
      </w:r>
      <w:proofErr w:type="spellEnd"/>
      <w:r w:rsidRPr="00530AE7">
        <w:t xml:space="preserve"> is reconstituted with 5 </w:t>
      </w:r>
      <w:r w:rsidR="00930D2D" w:rsidRPr="00530AE7">
        <w:t>mL</w:t>
      </w:r>
      <w:r w:rsidRPr="00530AE7">
        <w:t xml:space="preserve"> of water for injections. </w:t>
      </w:r>
    </w:p>
    <w:p w14:paraId="1125FA5E" w14:textId="33E234EA" w:rsidR="0022091A" w:rsidRPr="00530AE7" w:rsidRDefault="0022091A" w:rsidP="0022091A">
      <w:pPr>
        <w:spacing w:line="240" w:lineRule="auto"/>
      </w:pPr>
      <w:r w:rsidRPr="00530AE7">
        <w:t xml:space="preserve">A syringe is used to inject </w:t>
      </w:r>
      <w:r w:rsidR="00126BAC">
        <w:t xml:space="preserve">the </w:t>
      </w:r>
      <w:r w:rsidRPr="00530AE7">
        <w:t>5 </w:t>
      </w:r>
      <w:r w:rsidR="00930D2D" w:rsidRPr="00530AE7">
        <w:t>mL</w:t>
      </w:r>
      <w:r w:rsidRPr="00530AE7">
        <w:t xml:space="preserve"> of sterile water for injections into the vial. The vial must be shaken until complete dissolution. The reconstituted solution results in a clear, colourless or slightly yellowish solution, essentially free of visible particles.</w:t>
      </w:r>
    </w:p>
    <w:p w14:paraId="790296E7" w14:textId="3A210A03" w:rsidR="0022091A" w:rsidRPr="00530AE7" w:rsidRDefault="0022091A" w:rsidP="0022091A">
      <w:pPr>
        <w:spacing w:line="240" w:lineRule="auto"/>
      </w:pPr>
      <w:r w:rsidRPr="00530AE7">
        <w:t>This reconstituted solution contains 0.05 mg/</w:t>
      </w:r>
      <w:r w:rsidR="00930D2D" w:rsidRPr="00530AE7">
        <w:t>mL</w:t>
      </w:r>
      <w:r w:rsidRPr="00530AE7">
        <w:t xml:space="preserve"> of </w:t>
      </w:r>
      <w:proofErr w:type="spellStart"/>
      <w:r w:rsidRPr="00530AE7">
        <w:t>trabectedin</w:t>
      </w:r>
      <w:proofErr w:type="spellEnd"/>
      <w:r w:rsidRPr="00530AE7">
        <w:t>. It requires further dilution and is for single</w:t>
      </w:r>
      <w:r w:rsidRPr="00530AE7">
        <w:noBreakHyphen/>
        <w:t>use only.</w:t>
      </w:r>
    </w:p>
    <w:p w14:paraId="736402F1" w14:textId="17A605FA" w:rsidR="0022091A" w:rsidRPr="00530AE7" w:rsidRDefault="00925B2E" w:rsidP="0022091A">
      <w:pPr>
        <w:keepNext/>
        <w:spacing w:line="240" w:lineRule="auto"/>
        <w:rPr>
          <w:b/>
        </w:rPr>
      </w:pPr>
      <w:r>
        <w:rPr>
          <w:b/>
        </w:rPr>
        <w:t>YONDELIS</w:t>
      </w:r>
      <w:r w:rsidR="0022091A" w:rsidRPr="00530AE7">
        <w:rPr>
          <w:b/>
        </w:rPr>
        <w:t xml:space="preserve"> 1 mg</w:t>
      </w:r>
    </w:p>
    <w:p w14:paraId="5ED1CE76" w14:textId="3DBF39DE" w:rsidR="0022091A" w:rsidRPr="00530AE7" w:rsidRDefault="0022091A" w:rsidP="0022091A">
      <w:pPr>
        <w:spacing w:line="240" w:lineRule="auto"/>
      </w:pPr>
      <w:r w:rsidRPr="00530AE7">
        <w:t xml:space="preserve">Each vial containing 1 mg of </w:t>
      </w:r>
      <w:proofErr w:type="spellStart"/>
      <w:r w:rsidRPr="00530AE7">
        <w:t>trabectedin</w:t>
      </w:r>
      <w:proofErr w:type="spellEnd"/>
      <w:r w:rsidRPr="00530AE7">
        <w:t xml:space="preserve"> is reconstituted with 20 </w:t>
      </w:r>
      <w:r w:rsidR="00930D2D" w:rsidRPr="00530AE7">
        <w:t>mL</w:t>
      </w:r>
      <w:r w:rsidRPr="00530AE7">
        <w:t xml:space="preserve"> of water for injections. </w:t>
      </w:r>
    </w:p>
    <w:p w14:paraId="31EA68E6" w14:textId="274B7695" w:rsidR="0022091A" w:rsidRPr="00530AE7" w:rsidRDefault="0022091A" w:rsidP="0022091A">
      <w:pPr>
        <w:spacing w:line="240" w:lineRule="auto"/>
      </w:pPr>
      <w:r w:rsidRPr="00530AE7">
        <w:t xml:space="preserve">A syringe is used to inject </w:t>
      </w:r>
      <w:r w:rsidR="00097A5F">
        <w:t xml:space="preserve">the </w:t>
      </w:r>
      <w:r w:rsidRPr="00530AE7">
        <w:t>20 </w:t>
      </w:r>
      <w:r w:rsidR="00930D2D" w:rsidRPr="00530AE7">
        <w:t>mL</w:t>
      </w:r>
      <w:r w:rsidRPr="00530AE7">
        <w:t xml:space="preserve"> of sterile water for injections into the vial. The vial must be shaken until complete dissolution. The reconstituted solution results in a clear, colourless or slightly yellowish solution, essentially free of visible particles.</w:t>
      </w:r>
    </w:p>
    <w:p w14:paraId="08C705D7" w14:textId="004AB2C8" w:rsidR="0022091A" w:rsidRPr="00530AE7" w:rsidRDefault="0022091A" w:rsidP="0022091A">
      <w:pPr>
        <w:spacing w:line="240" w:lineRule="auto"/>
      </w:pPr>
      <w:r w:rsidRPr="00530AE7">
        <w:t>This reconstituted solution contains 0.05 mg/</w:t>
      </w:r>
      <w:r w:rsidR="00930D2D" w:rsidRPr="00530AE7">
        <w:t>mL</w:t>
      </w:r>
      <w:r w:rsidRPr="00530AE7">
        <w:t xml:space="preserve"> of </w:t>
      </w:r>
      <w:proofErr w:type="spellStart"/>
      <w:r w:rsidRPr="00530AE7">
        <w:t>trabectedin</w:t>
      </w:r>
      <w:proofErr w:type="spellEnd"/>
      <w:r w:rsidRPr="00530AE7">
        <w:t>. It requires further dilution and is for single</w:t>
      </w:r>
      <w:r w:rsidRPr="00530AE7">
        <w:noBreakHyphen/>
        <w:t>use only</w:t>
      </w:r>
    </w:p>
    <w:p w14:paraId="5637CB1E" w14:textId="77777777" w:rsidR="0022091A" w:rsidRPr="00530AE7" w:rsidRDefault="0022091A" w:rsidP="0022091A">
      <w:pPr>
        <w:keepNext/>
        <w:spacing w:line="240" w:lineRule="auto"/>
        <w:rPr>
          <w:iCs/>
        </w:rPr>
      </w:pPr>
      <w:r w:rsidRPr="00530AE7">
        <w:rPr>
          <w:i/>
        </w:rPr>
        <w:t>Instructions for dilution</w:t>
      </w:r>
    </w:p>
    <w:p w14:paraId="357818B6" w14:textId="5F97B420" w:rsidR="0022091A" w:rsidRPr="00530AE7" w:rsidRDefault="0022091A" w:rsidP="0022091A">
      <w:pPr>
        <w:spacing w:line="240" w:lineRule="auto"/>
      </w:pPr>
      <w:r w:rsidRPr="00530AE7">
        <w:t>The reconstituted solution should be diluted with sodium chloride 9 mg/</w:t>
      </w:r>
      <w:r w:rsidR="00930D2D" w:rsidRPr="00530AE7">
        <w:t>mL</w:t>
      </w:r>
      <w:r w:rsidRPr="00530AE7">
        <w:t> (0.9%) solution for infusion or glucose 50 mg/</w:t>
      </w:r>
      <w:r w:rsidR="00930D2D" w:rsidRPr="00530AE7">
        <w:t>mL</w:t>
      </w:r>
      <w:r w:rsidRPr="00530AE7">
        <w:t> (5%) solution for infusion. The required volume should be calculated as follows:</w:t>
      </w:r>
    </w:p>
    <w:p w14:paraId="5B58DDA6" w14:textId="6A72FB7A" w:rsidR="0022091A" w:rsidRPr="00530AE7" w:rsidRDefault="0022091A" w:rsidP="000A0273">
      <w:pPr>
        <w:keepNext/>
        <w:spacing w:line="240" w:lineRule="auto"/>
        <w:ind w:left="720" w:firstLine="720"/>
      </w:pPr>
      <w:r w:rsidRPr="00530AE7">
        <w:t>Volume (</w:t>
      </w:r>
      <w:r w:rsidR="00930D2D" w:rsidRPr="00530AE7">
        <w:t>mL</w:t>
      </w:r>
      <w:r w:rsidRPr="00530AE7">
        <w:t>) = </w:t>
      </w:r>
      <w:r w:rsidRPr="00530AE7">
        <w:rPr>
          <w:u w:val="single"/>
        </w:rPr>
        <w:t>BSA</w:t>
      </w:r>
      <w:r w:rsidRPr="00530AE7">
        <w:t> </w:t>
      </w:r>
      <w:r w:rsidRPr="00530AE7">
        <w:rPr>
          <w:u w:val="single"/>
        </w:rPr>
        <w:t>(m</w:t>
      </w:r>
      <w:r w:rsidRPr="00530AE7">
        <w:rPr>
          <w:u w:val="single"/>
          <w:vertAlign w:val="superscript"/>
        </w:rPr>
        <w:t>2</w:t>
      </w:r>
      <w:r w:rsidRPr="00530AE7">
        <w:rPr>
          <w:u w:val="single"/>
        </w:rPr>
        <w:t>) x individual dose (mg/m</w:t>
      </w:r>
      <w:r w:rsidRPr="00530AE7">
        <w:rPr>
          <w:u w:val="single"/>
          <w:vertAlign w:val="superscript"/>
        </w:rPr>
        <w:t>2</w:t>
      </w:r>
      <w:r w:rsidRPr="00530AE7">
        <w:rPr>
          <w:u w:val="single"/>
        </w:rPr>
        <w:t>)</w:t>
      </w:r>
    </w:p>
    <w:p w14:paraId="7B3C19D8" w14:textId="06166064" w:rsidR="0022091A" w:rsidRPr="00530AE7" w:rsidRDefault="0022091A" w:rsidP="0022091A">
      <w:pPr>
        <w:keepNext/>
        <w:spacing w:line="240" w:lineRule="auto"/>
      </w:pPr>
      <w:r w:rsidRPr="00530AE7">
        <w:tab/>
      </w:r>
      <w:r w:rsidRPr="00530AE7">
        <w:tab/>
      </w:r>
      <w:r w:rsidRPr="00530AE7">
        <w:tab/>
      </w:r>
      <w:r w:rsidRPr="00530AE7">
        <w:tab/>
      </w:r>
      <w:r w:rsidR="00032F4E">
        <w:tab/>
      </w:r>
      <w:r w:rsidRPr="00530AE7">
        <w:t>0.05 mg/</w:t>
      </w:r>
      <w:r w:rsidR="00930D2D" w:rsidRPr="00530AE7">
        <w:t>mL</w:t>
      </w:r>
    </w:p>
    <w:p w14:paraId="4BB86CED" w14:textId="77777777" w:rsidR="0022091A" w:rsidRPr="00530AE7" w:rsidRDefault="0022091A" w:rsidP="0022091A">
      <w:pPr>
        <w:keepNext/>
        <w:spacing w:line="240" w:lineRule="auto"/>
      </w:pPr>
      <w:r w:rsidRPr="00530AE7">
        <w:t>BSA = Body Surface Area</w:t>
      </w:r>
    </w:p>
    <w:p w14:paraId="7D37AADE" w14:textId="08E5F0D4" w:rsidR="0022091A" w:rsidRPr="00530AE7" w:rsidRDefault="0022091A" w:rsidP="0022091A">
      <w:pPr>
        <w:spacing w:line="240" w:lineRule="auto"/>
      </w:pPr>
      <w:r w:rsidRPr="00530AE7">
        <w:t xml:space="preserve">If administration is to be made through a central venous line, the appropriate amount of reconstituted solution should be withdrawn from the vial and added to an infusion bag containing </w:t>
      </w:r>
      <w:r w:rsidRPr="00530AE7">
        <w:sym w:font="Symbol" w:char="00B3"/>
      </w:r>
      <w:r w:rsidRPr="00530AE7">
        <w:t> 50 </w:t>
      </w:r>
      <w:r w:rsidR="00930D2D" w:rsidRPr="00530AE7">
        <w:t>mL</w:t>
      </w:r>
      <w:r w:rsidRPr="00530AE7">
        <w:t xml:space="preserve"> of diluent (sodium chloride 9 mg/</w:t>
      </w:r>
      <w:r w:rsidR="00930D2D" w:rsidRPr="00530AE7">
        <w:t>mL</w:t>
      </w:r>
      <w:r w:rsidRPr="00530AE7">
        <w:t xml:space="preserve"> (0.9%) solution for infusion or glucose 50 mg/</w:t>
      </w:r>
      <w:r w:rsidR="00930D2D" w:rsidRPr="00530AE7">
        <w:t>mL</w:t>
      </w:r>
      <w:r w:rsidRPr="00530AE7">
        <w:t xml:space="preserve"> (5%) solution for infusion), the concentration of </w:t>
      </w:r>
      <w:proofErr w:type="spellStart"/>
      <w:r w:rsidRPr="00530AE7">
        <w:t>trabectedin</w:t>
      </w:r>
      <w:proofErr w:type="spellEnd"/>
      <w:r w:rsidRPr="00530AE7">
        <w:t xml:space="preserve"> in the infusion solution being ≤ 0.030 mg/</w:t>
      </w:r>
      <w:proofErr w:type="spellStart"/>
      <w:r w:rsidR="00930D2D" w:rsidRPr="00530AE7">
        <w:t>mL</w:t>
      </w:r>
      <w:r w:rsidRPr="00530AE7">
        <w:t>.</w:t>
      </w:r>
      <w:proofErr w:type="spellEnd"/>
    </w:p>
    <w:p w14:paraId="5BA300A1" w14:textId="45333B44" w:rsidR="0022091A" w:rsidRPr="00530AE7" w:rsidRDefault="0022091A" w:rsidP="0022091A">
      <w:pPr>
        <w:spacing w:line="240" w:lineRule="auto"/>
      </w:pPr>
      <w:r w:rsidRPr="00530AE7">
        <w:t xml:space="preserve">If central venous access is not feasible and a peripheral venous line has to be used, the reconstituted solution should be added to an infusion bag containing </w:t>
      </w:r>
      <w:r w:rsidRPr="00530AE7">
        <w:sym w:font="Symbol" w:char="00B3"/>
      </w:r>
      <w:r w:rsidRPr="00530AE7">
        <w:t> 1,000 </w:t>
      </w:r>
      <w:r w:rsidR="00930D2D" w:rsidRPr="00530AE7">
        <w:t>mL</w:t>
      </w:r>
      <w:r w:rsidRPr="00530AE7">
        <w:t xml:space="preserve"> of diluent (sodium chloride 9 mg/</w:t>
      </w:r>
      <w:r w:rsidR="00930D2D" w:rsidRPr="00530AE7">
        <w:t>mL</w:t>
      </w:r>
      <w:r w:rsidRPr="00530AE7">
        <w:t> (0.9%) solution for infusion or glucose 50 mg/</w:t>
      </w:r>
      <w:r w:rsidR="00930D2D" w:rsidRPr="00530AE7">
        <w:t>mL</w:t>
      </w:r>
      <w:r w:rsidRPr="00530AE7">
        <w:t xml:space="preserve"> (5%) solution for infusion). </w:t>
      </w:r>
    </w:p>
    <w:p w14:paraId="175C159B" w14:textId="4C77AAFC" w:rsidR="0022091A" w:rsidRPr="00530AE7" w:rsidRDefault="0022091A" w:rsidP="0022091A">
      <w:pPr>
        <w:spacing w:line="240" w:lineRule="auto"/>
      </w:pPr>
      <w:r w:rsidRPr="00530AE7">
        <w:t>Parenteral solutions should be inspected visually for particles prior to administration. Once the infusion is prepared, it should be administered immediately.</w:t>
      </w:r>
      <w:r w:rsidR="000D1F14">
        <w:t xml:space="preserve"> </w:t>
      </w:r>
      <w:r w:rsidR="000D1F14" w:rsidRPr="00805D8D">
        <w:t xml:space="preserve">For infusion times exceeding 4 hours, an infusion set with a 0.2 micron </w:t>
      </w:r>
      <w:proofErr w:type="spellStart"/>
      <w:r w:rsidR="000D1F14" w:rsidRPr="00805D8D">
        <w:t>polyethersulfone</w:t>
      </w:r>
      <w:proofErr w:type="spellEnd"/>
      <w:r w:rsidR="000D1F14" w:rsidRPr="00805D8D">
        <w:t xml:space="preserve"> (PES) in</w:t>
      </w:r>
      <w:r w:rsidR="000D1F14">
        <w:t>-</w:t>
      </w:r>
      <w:r w:rsidR="000D1F14" w:rsidRPr="00805D8D">
        <w:t>line filter can be used to further reduce the risk of exposure to adventitious pathogens that may be introduced during solution preparation.</w:t>
      </w:r>
    </w:p>
    <w:p w14:paraId="237BE70D" w14:textId="3E9A43C6" w:rsidR="00E27569" w:rsidRPr="00530AE7" w:rsidRDefault="00CC5C19" w:rsidP="006523FE">
      <w:pPr>
        <w:spacing w:line="240" w:lineRule="auto"/>
        <w:rPr>
          <w:rFonts w:asciiTheme="majorHAnsi" w:hAnsiTheme="majorHAnsi"/>
          <w:b/>
        </w:rPr>
      </w:pPr>
      <w:r w:rsidRPr="00530AE7">
        <w:rPr>
          <w:rFonts w:asciiTheme="majorHAnsi" w:hAnsiTheme="majorHAnsi"/>
          <w:b/>
        </w:rPr>
        <w:t xml:space="preserve">Special </w:t>
      </w:r>
      <w:r w:rsidR="00794FC1" w:rsidRPr="00530AE7">
        <w:rPr>
          <w:rFonts w:asciiTheme="majorHAnsi" w:hAnsiTheme="majorHAnsi"/>
          <w:b/>
        </w:rPr>
        <w:t>populations</w:t>
      </w:r>
    </w:p>
    <w:p w14:paraId="24D2EB15" w14:textId="7A54CADC" w:rsidR="006523FE" w:rsidRPr="00530AE7" w:rsidRDefault="006523FE" w:rsidP="006523FE">
      <w:pPr>
        <w:rPr>
          <w:iCs/>
        </w:rPr>
      </w:pPr>
      <w:r w:rsidRPr="00530AE7">
        <w:rPr>
          <w:i/>
          <w:iCs/>
        </w:rPr>
        <w:t>Paediatric population</w:t>
      </w:r>
    </w:p>
    <w:p w14:paraId="4044B3EE" w14:textId="57401093" w:rsidR="006523FE" w:rsidRPr="00530AE7" w:rsidRDefault="00925B2E" w:rsidP="006523FE">
      <w:r>
        <w:t>YONDELIS</w:t>
      </w:r>
      <w:r w:rsidR="006523FE" w:rsidRPr="00530AE7">
        <w:t xml:space="preserve"> should not be used in children below 18 years with paediatric sarcomas because of efficacy concerns (see 5.1 for results of paediatric sarcoma study).</w:t>
      </w:r>
    </w:p>
    <w:p w14:paraId="68AD2E8F" w14:textId="0DA26489" w:rsidR="006523FE" w:rsidRPr="00530AE7" w:rsidRDefault="006523FE" w:rsidP="006523FE">
      <w:pPr>
        <w:rPr>
          <w:i/>
        </w:rPr>
      </w:pPr>
      <w:r w:rsidRPr="00530AE7">
        <w:rPr>
          <w:i/>
        </w:rPr>
        <w:t>Elderly</w:t>
      </w:r>
    </w:p>
    <w:p w14:paraId="6D25DCE0" w14:textId="47F4C365" w:rsidR="006523FE" w:rsidRDefault="006523FE" w:rsidP="006523FE">
      <w:pPr>
        <w:spacing w:line="240" w:lineRule="auto"/>
      </w:pPr>
      <w:r w:rsidRPr="00530AE7">
        <w:t xml:space="preserve">No specific studies in older people have been performed. Overall 20% of the </w:t>
      </w:r>
      <w:r w:rsidR="00307C00">
        <w:t>1,681</w:t>
      </w:r>
      <w:r w:rsidRPr="00530AE7">
        <w:t xml:space="preserve"> patients in </w:t>
      </w:r>
      <w:r w:rsidR="00307C00">
        <w:t>an</w:t>
      </w:r>
      <w:r w:rsidRPr="00530AE7">
        <w:t xml:space="preserve"> integrated safety analysis of monotherapy clinical trials were </w:t>
      </w:r>
      <w:r w:rsidR="00345823">
        <w:t>aged</w:t>
      </w:r>
      <w:r w:rsidR="00345823" w:rsidRPr="00530AE7">
        <w:t xml:space="preserve"> </w:t>
      </w:r>
      <w:r w:rsidRPr="00530AE7">
        <w:t>65 years</w:t>
      </w:r>
      <w:r w:rsidR="0083301C">
        <w:t xml:space="preserve"> or over</w:t>
      </w:r>
      <w:r w:rsidRPr="00530AE7">
        <w:t xml:space="preserve">. </w:t>
      </w:r>
      <w:r w:rsidR="0083301C">
        <w:t>In a population pharmacokinetic</w:t>
      </w:r>
      <w:r w:rsidR="00445E0D">
        <w:t xml:space="preserve"> analysis </w:t>
      </w:r>
      <w:r w:rsidRPr="00530AE7">
        <w:t xml:space="preserve">plasma clearance and distribution volume of </w:t>
      </w:r>
      <w:proofErr w:type="spellStart"/>
      <w:r w:rsidRPr="00530AE7">
        <w:t>trabectedin</w:t>
      </w:r>
      <w:proofErr w:type="spellEnd"/>
      <w:r w:rsidRPr="00530AE7">
        <w:t xml:space="preserve"> </w:t>
      </w:r>
      <w:r w:rsidR="00D4605D">
        <w:t>were</w:t>
      </w:r>
      <w:r w:rsidR="00D4605D" w:rsidRPr="00530AE7">
        <w:t xml:space="preserve"> </w:t>
      </w:r>
      <w:r w:rsidRPr="00530AE7">
        <w:t>not influenced by age. Therefore, dose adjustments based uniquely on age criteria are not routinely recommended.</w:t>
      </w:r>
    </w:p>
    <w:p w14:paraId="336FD120" w14:textId="1CD6C383" w:rsidR="00852351" w:rsidRPr="00643717" w:rsidRDefault="004F21B6" w:rsidP="00625B50">
      <w:pPr>
        <w:pageBreakBefore/>
        <w:spacing w:line="240" w:lineRule="auto"/>
        <w:rPr>
          <w:i/>
          <w:iCs/>
        </w:rPr>
      </w:pPr>
      <w:r>
        <w:rPr>
          <w:i/>
          <w:iCs/>
        </w:rPr>
        <w:t>Japanese population</w:t>
      </w:r>
    </w:p>
    <w:p w14:paraId="6950CA26" w14:textId="5B67FB21" w:rsidR="007F602F" w:rsidRPr="00530AE7" w:rsidRDefault="007F602F" w:rsidP="006523FE">
      <w:pPr>
        <w:spacing w:line="240" w:lineRule="auto"/>
      </w:pPr>
      <w:r w:rsidRPr="00530AE7">
        <w:t xml:space="preserve">A population pharmacokinetic analysis showed that plasma </w:t>
      </w:r>
      <w:proofErr w:type="spellStart"/>
      <w:r w:rsidRPr="00530AE7">
        <w:t>trabectedin</w:t>
      </w:r>
      <w:proofErr w:type="spellEnd"/>
      <w:r w:rsidRPr="00530AE7">
        <w:t xml:space="preserve"> concentrations observed in Japanese </w:t>
      </w:r>
      <w:r>
        <w:t>subjects</w:t>
      </w:r>
      <w:r w:rsidRPr="00530AE7">
        <w:t xml:space="preserve"> at dose level 1.2 mg/m</w:t>
      </w:r>
      <w:r w:rsidRPr="00530AE7">
        <w:rPr>
          <w:vertAlign w:val="superscript"/>
        </w:rPr>
        <w:t>2</w:t>
      </w:r>
      <w:r w:rsidRPr="00530AE7">
        <w:t xml:space="preserve"> were equivalent to those obtained in the non-Japanese western population at 1.5 mg/m².</w:t>
      </w:r>
    </w:p>
    <w:p w14:paraId="2D6637C6" w14:textId="55B0AB87" w:rsidR="006523FE" w:rsidRPr="00530AE7" w:rsidRDefault="006523FE" w:rsidP="006523FE">
      <w:pPr>
        <w:rPr>
          <w:iCs/>
        </w:rPr>
      </w:pPr>
      <w:r w:rsidRPr="00530AE7">
        <w:rPr>
          <w:i/>
          <w:iCs/>
        </w:rPr>
        <w:t>Hepatic impairment</w:t>
      </w:r>
    </w:p>
    <w:p w14:paraId="6D53C174" w14:textId="6369707E" w:rsidR="006523FE" w:rsidRPr="00530AE7" w:rsidRDefault="006523FE" w:rsidP="006523FE">
      <w:pPr>
        <w:spacing w:line="240" w:lineRule="auto"/>
      </w:pPr>
      <w:r w:rsidRPr="00530AE7">
        <w:t xml:space="preserve">Special caution is advised and dose adjustments may be necessary in patients with hepatic impairment since systemic exposure to </w:t>
      </w:r>
      <w:proofErr w:type="spellStart"/>
      <w:r w:rsidRPr="00530AE7">
        <w:t>trabectedin</w:t>
      </w:r>
      <w:proofErr w:type="spellEnd"/>
      <w:r w:rsidRPr="00530AE7">
        <w:t xml:space="preserve"> is increased and the risk of hepatotoxicity might be increased. Patients with elevated serum bilirubin levels at baseline must not be treated with </w:t>
      </w:r>
      <w:r w:rsidR="00925B2E">
        <w:t>YONDELIS</w:t>
      </w:r>
      <w:r w:rsidRPr="00530AE7">
        <w:t xml:space="preserve">. Liver function tests should be monitored during treatment with </w:t>
      </w:r>
      <w:r w:rsidR="00925B2E">
        <w:t>YONDELIS</w:t>
      </w:r>
      <w:r w:rsidRPr="00530AE7">
        <w:t xml:space="preserve"> as dose adjustments may be indicated (see </w:t>
      </w:r>
      <w:r w:rsidRPr="00245A30">
        <w:rPr>
          <w:color w:val="0432FF"/>
        </w:rPr>
        <w:t>Table 1</w:t>
      </w:r>
      <w:r w:rsidRPr="00530AE7">
        <w:t xml:space="preserve"> and section 4.4).</w:t>
      </w:r>
    </w:p>
    <w:p w14:paraId="0F077158" w14:textId="77777777" w:rsidR="00D074BB" w:rsidRPr="00530AE7" w:rsidRDefault="00D074BB" w:rsidP="00D074BB">
      <w:pPr>
        <w:keepNext/>
        <w:rPr>
          <w:iCs/>
        </w:rPr>
      </w:pPr>
      <w:r w:rsidRPr="00530AE7">
        <w:rPr>
          <w:i/>
          <w:iCs/>
        </w:rPr>
        <w:t>Renal impairment</w:t>
      </w:r>
    </w:p>
    <w:p w14:paraId="385E3E64" w14:textId="4F951F4C" w:rsidR="00D074BB" w:rsidRPr="00530AE7" w:rsidRDefault="00D074BB" w:rsidP="00794FC1">
      <w:pPr>
        <w:keepNext/>
        <w:tabs>
          <w:tab w:val="left" w:pos="1770"/>
        </w:tabs>
        <w:spacing w:line="240" w:lineRule="auto"/>
      </w:pPr>
      <w:r w:rsidRPr="00530AE7">
        <w:t>Studies including patients with renal insufficiency (creatinine clearance &lt; 30 </w:t>
      </w:r>
      <w:r w:rsidR="00930D2D" w:rsidRPr="00530AE7">
        <w:t>mL</w:t>
      </w:r>
      <w:r w:rsidRPr="00530AE7">
        <w:t>/min</w:t>
      </w:r>
      <w:r w:rsidR="006574B9">
        <w:t xml:space="preserve">) </w:t>
      </w:r>
      <w:r w:rsidRPr="00530AE7">
        <w:t xml:space="preserve">have not been conducted and therefore </w:t>
      </w:r>
      <w:r w:rsidR="00925B2E">
        <w:t>YONDELIS</w:t>
      </w:r>
      <w:r w:rsidRPr="00530AE7">
        <w:t xml:space="preserve"> must not be used in this patient population (see section 4.4). Considering the pharmacokinetic characteristics of </w:t>
      </w:r>
      <w:proofErr w:type="spellStart"/>
      <w:r w:rsidRPr="00530AE7">
        <w:t>trabectedin</w:t>
      </w:r>
      <w:proofErr w:type="spellEnd"/>
      <w:r w:rsidRPr="00530AE7">
        <w:t xml:space="preserve"> (see section 5.2), no dose adjustments are warranted in patients with mild or moderate renal impairment.</w:t>
      </w:r>
    </w:p>
    <w:p w14:paraId="5BE48DF0" w14:textId="6AA7209E" w:rsidR="001A3992" w:rsidRPr="00530AE7" w:rsidRDefault="001A3992" w:rsidP="001A3992">
      <w:pPr>
        <w:pStyle w:val="Heading2"/>
        <w:spacing w:before="0" w:after="120"/>
      </w:pPr>
      <w:r w:rsidRPr="00530AE7">
        <w:t>Contraindications</w:t>
      </w:r>
    </w:p>
    <w:p w14:paraId="68F9FEBF" w14:textId="77777777" w:rsidR="002C1C6E" w:rsidRPr="00530AE7" w:rsidRDefault="002C1C6E" w:rsidP="002C1C6E">
      <w:pPr>
        <w:numPr>
          <w:ilvl w:val="0"/>
          <w:numId w:val="11"/>
        </w:numPr>
        <w:spacing w:after="0" w:line="240" w:lineRule="auto"/>
      </w:pPr>
      <w:r w:rsidRPr="00530AE7">
        <w:t xml:space="preserve">Hypersensitivity to </w:t>
      </w:r>
      <w:proofErr w:type="spellStart"/>
      <w:r w:rsidRPr="00530AE7">
        <w:t>trabectedin</w:t>
      </w:r>
      <w:proofErr w:type="spellEnd"/>
      <w:r w:rsidRPr="00530AE7">
        <w:t xml:space="preserve"> or to any of the excipients listed in section 6.1</w:t>
      </w:r>
    </w:p>
    <w:p w14:paraId="59AEC2E5" w14:textId="77777777" w:rsidR="002C1C6E" w:rsidRPr="00530AE7" w:rsidRDefault="002C1C6E" w:rsidP="002C1C6E">
      <w:pPr>
        <w:numPr>
          <w:ilvl w:val="0"/>
          <w:numId w:val="11"/>
        </w:numPr>
        <w:spacing w:after="0" w:line="240" w:lineRule="auto"/>
      </w:pPr>
      <w:r w:rsidRPr="00530AE7">
        <w:t>Concurrent serious or uncontrolled infection</w:t>
      </w:r>
    </w:p>
    <w:p w14:paraId="2077BF68" w14:textId="77777777" w:rsidR="002C1C6E" w:rsidRPr="00530AE7" w:rsidRDefault="002C1C6E" w:rsidP="002C1C6E">
      <w:pPr>
        <w:numPr>
          <w:ilvl w:val="0"/>
          <w:numId w:val="11"/>
        </w:numPr>
        <w:spacing w:after="0" w:line="240" w:lineRule="auto"/>
        <w:rPr>
          <w:i/>
        </w:rPr>
      </w:pPr>
      <w:r w:rsidRPr="00530AE7">
        <w:t>Breast</w:t>
      </w:r>
      <w:r w:rsidRPr="00530AE7">
        <w:noBreakHyphen/>
        <w:t>feeding (see section 4.6)</w:t>
      </w:r>
    </w:p>
    <w:p w14:paraId="2CF6C80F" w14:textId="77777777" w:rsidR="002C1C6E" w:rsidRPr="00530AE7" w:rsidRDefault="002C1C6E" w:rsidP="002C1C6E">
      <w:pPr>
        <w:numPr>
          <w:ilvl w:val="0"/>
          <w:numId w:val="11"/>
        </w:numPr>
        <w:spacing w:after="0" w:line="240" w:lineRule="auto"/>
        <w:rPr>
          <w:noProof/>
        </w:rPr>
      </w:pPr>
      <w:r w:rsidRPr="00530AE7">
        <w:rPr>
          <w:noProof/>
        </w:rPr>
        <w:t>Combination with yellow fever vaccine (see section 4.4)</w:t>
      </w:r>
    </w:p>
    <w:p w14:paraId="289B4D87" w14:textId="77777777" w:rsidR="002C1C6E" w:rsidRPr="00530AE7" w:rsidRDefault="002C1C6E" w:rsidP="00B7688C">
      <w:pPr>
        <w:spacing w:after="0"/>
      </w:pPr>
    </w:p>
    <w:p w14:paraId="6A260920" w14:textId="77777777" w:rsidR="001A3992" w:rsidRPr="00530AE7" w:rsidRDefault="00E74A56" w:rsidP="001A3992">
      <w:pPr>
        <w:pStyle w:val="Heading2"/>
        <w:spacing w:before="0" w:after="120"/>
      </w:pPr>
      <w:r w:rsidRPr="00530AE7">
        <w:t>Special warnings and p</w:t>
      </w:r>
      <w:r w:rsidR="001A3992" w:rsidRPr="00530AE7">
        <w:t xml:space="preserve">recautions </w:t>
      </w:r>
      <w:r w:rsidRPr="00530AE7">
        <w:t>for use</w:t>
      </w:r>
    </w:p>
    <w:p w14:paraId="3605A0AF" w14:textId="78E81A09" w:rsidR="001A3992" w:rsidRPr="00530AE7" w:rsidRDefault="001A3992" w:rsidP="00B07103">
      <w:pPr>
        <w:pStyle w:val="Heading3"/>
        <w:spacing w:before="0" w:after="120"/>
        <w:ind w:left="0"/>
        <w:rPr>
          <w:b w:val="0"/>
        </w:rPr>
      </w:pPr>
      <w:r w:rsidRPr="00530AE7">
        <w:t xml:space="preserve">Use in hepatic impairment </w:t>
      </w:r>
    </w:p>
    <w:p w14:paraId="7B3BCDDE" w14:textId="434D448D" w:rsidR="00925505" w:rsidRPr="00530AE7" w:rsidRDefault="00925505" w:rsidP="00B07103">
      <w:pPr>
        <w:keepNext/>
        <w:spacing w:line="240" w:lineRule="auto"/>
      </w:pPr>
      <w:r w:rsidRPr="00530AE7">
        <w:rPr>
          <w:iCs/>
        </w:rPr>
        <w:t xml:space="preserve">Patients must meet specific criteria on hepatic function parameters to start treatment with </w:t>
      </w:r>
      <w:r w:rsidR="00925B2E">
        <w:rPr>
          <w:iCs/>
        </w:rPr>
        <w:t>YONDELIS</w:t>
      </w:r>
      <w:r w:rsidRPr="00530AE7">
        <w:rPr>
          <w:iCs/>
        </w:rPr>
        <w:t>. Since</w:t>
      </w:r>
      <w:r w:rsidRPr="00530AE7">
        <w:t xml:space="preserve"> the systemic exposure to </w:t>
      </w:r>
      <w:proofErr w:type="spellStart"/>
      <w:r w:rsidRPr="00530AE7">
        <w:t>trabectedin</w:t>
      </w:r>
      <w:proofErr w:type="spellEnd"/>
      <w:r w:rsidRPr="00530AE7">
        <w:t xml:space="preserve"> is on average approximately doubled (see section 5.2) due to hepatic impairment and therefore the risk of toxicities might be increased, patients with clinically relevant liver diseases, such as active chronic hepatitis, must be closely monitored and the dose adjusted if needed. Patients with elevated serum bilirubin levels must not be treated with </w:t>
      </w:r>
      <w:r w:rsidR="004C69DA">
        <w:t>YONDELIS</w:t>
      </w:r>
      <w:r w:rsidR="004C69DA" w:rsidRPr="00530AE7">
        <w:t xml:space="preserve"> </w:t>
      </w:r>
      <w:r w:rsidRPr="00530AE7">
        <w:t>(see section 4.2).</w:t>
      </w:r>
    </w:p>
    <w:p w14:paraId="10F2234F" w14:textId="019E8A2E" w:rsidR="001A3992" w:rsidRPr="00530AE7" w:rsidRDefault="001A3992" w:rsidP="00B07103">
      <w:pPr>
        <w:pStyle w:val="Heading3"/>
        <w:spacing w:before="0" w:after="120"/>
        <w:ind w:left="0"/>
        <w:rPr>
          <w:b w:val="0"/>
        </w:rPr>
      </w:pPr>
      <w:r w:rsidRPr="00530AE7">
        <w:t xml:space="preserve">Use in renal impairment </w:t>
      </w:r>
    </w:p>
    <w:p w14:paraId="3A27BE3C" w14:textId="32FA24F6" w:rsidR="00EE5840" w:rsidRPr="00530AE7" w:rsidRDefault="00EE5840" w:rsidP="00B07103">
      <w:pPr>
        <w:spacing w:line="240" w:lineRule="auto"/>
      </w:pPr>
      <w:r w:rsidRPr="00530AE7">
        <w:t xml:space="preserve">Creatinine clearance must be monitored prior to and during treatment. </w:t>
      </w:r>
      <w:r w:rsidR="00925B2E">
        <w:t>YONDELIS</w:t>
      </w:r>
      <w:r w:rsidRPr="00530AE7">
        <w:t xml:space="preserve"> must not be used in patients with creatinine clearance &lt; 30 </w:t>
      </w:r>
      <w:r w:rsidR="00930D2D" w:rsidRPr="00530AE7">
        <w:t>mL</w:t>
      </w:r>
      <w:r w:rsidRPr="00530AE7">
        <w:t>/min (see section 4.2).</w:t>
      </w:r>
    </w:p>
    <w:p w14:paraId="60BCB555" w14:textId="7E8BB735" w:rsidR="00116C80" w:rsidRPr="00116C80" w:rsidRDefault="00B56696" w:rsidP="00116C80">
      <w:pPr>
        <w:spacing w:line="240" w:lineRule="auto"/>
        <w:rPr>
          <w:rFonts w:asciiTheme="majorHAnsi" w:hAnsiTheme="majorHAnsi"/>
        </w:rPr>
      </w:pPr>
      <w:proofErr w:type="spellStart"/>
      <w:r w:rsidRPr="00530AE7">
        <w:rPr>
          <w:rFonts w:asciiTheme="majorHAnsi" w:hAnsiTheme="majorHAnsi"/>
          <w:b/>
          <w:bCs/>
        </w:rPr>
        <w:t>Neutrop</w:t>
      </w:r>
      <w:r w:rsidR="00860B7A">
        <w:rPr>
          <w:rFonts w:asciiTheme="majorHAnsi" w:hAnsiTheme="majorHAnsi"/>
          <w:b/>
          <w:bCs/>
        </w:rPr>
        <w:t>a</w:t>
      </w:r>
      <w:r w:rsidRPr="00530AE7">
        <w:rPr>
          <w:rFonts w:asciiTheme="majorHAnsi" w:hAnsiTheme="majorHAnsi"/>
          <w:b/>
          <w:bCs/>
        </w:rPr>
        <w:t>enia</w:t>
      </w:r>
      <w:proofErr w:type="spellEnd"/>
      <w:r w:rsidRPr="00530AE7">
        <w:rPr>
          <w:rFonts w:asciiTheme="majorHAnsi" w:hAnsiTheme="majorHAnsi"/>
          <w:b/>
          <w:bCs/>
        </w:rPr>
        <w:t xml:space="preserve"> </w:t>
      </w:r>
      <w:r w:rsidR="00116C80">
        <w:rPr>
          <w:rFonts w:asciiTheme="majorHAnsi" w:hAnsiTheme="majorHAnsi"/>
          <w:b/>
          <w:bCs/>
        </w:rPr>
        <w:t>and sepsis</w:t>
      </w:r>
    </w:p>
    <w:p w14:paraId="30952610" w14:textId="77777777" w:rsidR="00A04B3D" w:rsidRPr="00A04B3D" w:rsidRDefault="00A04B3D" w:rsidP="00A04B3D">
      <w:pPr>
        <w:autoSpaceDE w:val="0"/>
        <w:autoSpaceDN w:val="0"/>
        <w:adjustRightInd w:val="0"/>
        <w:spacing w:after="0"/>
        <w:rPr>
          <w:lang w:val="en-GB" w:eastAsia="en-GB"/>
        </w:rPr>
      </w:pPr>
      <w:proofErr w:type="spellStart"/>
      <w:r w:rsidRPr="00A04B3D">
        <w:rPr>
          <w:lang w:val="en-GB" w:eastAsia="en-GB"/>
        </w:rPr>
        <w:t>Neutropaenia</w:t>
      </w:r>
      <w:proofErr w:type="spellEnd"/>
      <w:r w:rsidRPr="00A04B3D">
        <w:rPr>
          <w:lang w:val="en-GB" w:eastAsia="en-GB"/>
        </w:rPr>
        <w:t xml:space="preserve"> and </w:t>
      </w:r>
      <w:proofErr w:type="spellStart"/>
      <w:r w:rsidRPr="00A04B3D">
        <w:rPr>
          <w:lang w:val="en-GB" w:eastAsia="en-GB"/>
        </w:rPr>
        <w:t>neutropaenic</w:t>
      </w:r>
      <w:proofErr w:type="spellEnd"/>
      <w:r w:rsidRPr="00A04B3D">
        <w:rPr>
          <w:lang w:val="en-GB" w:eastAsia="en-GB"/>
        </w:rPr>
        <w:t xml:space="preserve"> sepsis, including fatal cases, can occur with YONDELIS. Grade 3 or 4 </w:t>
      </w:r>
      <w:proofErr w:type="spellStart"/>
      <w:r w:rsidRPr="00A04B3D">
        <w:rPr>
          <w:lang w:val="en-GB" w:eastAsia="en-GB"/>
        </w:rPr>
        <w:t>neutropaenia</w:t>
      </w:r>
      <w:proofErr w:type="spellEnd"/>
      <w:r w:rsidRPr="00A04B3D">
        <w:rPr>
          <w:lang w:val="en-GB" w:eastAsia="en-GB"/>
        </w:rPr>
        <w:t xml:space="preserve"> is very common.</w:t>
      </w:r>
    </w:p>
    <w:p w14:paraId="64E1EF61" w14:textId="77777777" w:rsidR="00A04B3D" w:rsidRPr="00A04B3D" w:rsidRDefault="00A04B3D" w:rsidP="00A04B3D">
      <w:pPr>
        <w:autoSpaceDE w:val="0"/>
        <w:autoSpaceDN w:val="0"/>
        <w:adjustRightInd w:val="0"/>
        <w:spacing w:after="0"/>
        <w:rPr>
          <w:lang w:val="en-GB" w:eastAsia="en-GB"/>
        </w:rPr>
      </w:pPr>
    </w:p>
    <w:p w14:paraId="4AA94596" w14:textId="77777777" w:rsidR="00A04B3D" w:rsidRPr="00A04B3D" w:rsidRDefault="00A04B3D" w:rsidP="00A04B3D">
      <w:pPr>
        <w:autoSpaceDE w:val="0"/>
        <w:autoSpaceDN w:val="0"/>
        <w:adjustRightInd w:val="0"/>
        <w:spacing w:after="0"/>
        <w:rPr>
          <w:lang w:val="en-GB" w:eastAsia="en-GB"/>
        </w:rPr>
      </w:pPr>
      <w:r w:rsidRPr="00A04B3D">
        <w:rPr>
          <w:lang w:val="en-GB" w:eastAsia="en-GB"/>
        </w:rPr>
        <w:t>A full blood cell count including differential must be performed at baseline, weekly for the first two cycles and then once between cycles (see section 4.2). Patients who develop fever should promptly seek medical attention. If this occurs, active supportive therapy should be started immediately.</w:t>
      </w:r>
    </w:p>
    <w:p w14:paraId="5ADF742A" w14:textId="77777777" w:rsidR="00A04B3D" w:rsidRPr="00A04B3D" w:rsidRDefault="00A04B3D" w:rsidP="00A04B3D">
      <w:pPr>
        <w:autoSpaceDE w:val="0"/>
        <w:autoSpaceDN w:val="0"/>
        <w:adjustRightInd w:val="0"/>
        <w:spacing w:after="0"/>
        <w:rPr>
          <w:lang w:val="en-GB" w:eastAsia="en-GB"/>
        </w:rPr>
      </w:pPr>
    </w:p>
    <w:p w14:paraId="1C47FDAA" w14:textId="7B5966C5" w:rsidR="00A04B3D" w:rsidRDefault="00A04B3D" w:rsidP="00A04B3D">
      <w:pPr>
        <w:spacing w:line="240" w:lineRule="auto"/>
        <w:rPr>
          <w:lang w:val="en-GB" w:eastAsia="en-GB"/>
        </w:rPr>
      </w:pPr>
      <w:r w:rsidRPr="00A04B3D">
        <w:rPr>
          <w:lang w:val="en-GB" w:eastAsia="en-GB"/>
        </w:rPr>
        <w:t>YONDELIS should not be administered to patients with baseline neutrophil counts of less than 1.5 x 10</w:t>
      </w:r>
      <w:r w:rsidRPr="008C03FF">
        <w:rPr>
          <w:vertAlign w:val="superscript"/>
          <w:lang w:val="en-GB" w:eastAsia="en-GB"/>
        </w:rPr>
        <w:t>9</w:t>
      </w:r>
      <w:r w:rsidRPr="00A04B3D">
        <w:rPr>
          <w:lang w:val="en-GB" w:eastAsia="en-GB"/>
        </w:rPr>
        <w:t>/L. If severe neutropenia (ANC &lt; 0.5 x 10</w:t>
      </w:r>
      <w:r w:rsidRPr="008C03FF">
        <w:rPr>
          <w:vertAlign w:val="superscript"/>
          <w:lang w:val="en-GB" w:eastAsia="en-GB"/>
        </w:rPr>
        <w:t>9</w:t>
      </w:r>
      <w:r w:rsidRPr="00A04B3D">
        <w:rPr>
          <w:lang w:val="en-GB" w:eastAsia="en-GB"/>
        </w:rPr>
        <w:t>/L) lasting more than 5 days or associated with fever or infection occurs, dose reduction is recommended (see section 4.2).</w:t>
      </w:r>
    </w:p>
    <w:p w14:paraId="4091C7E0" w14:textId="4CD5F3F6" w:rsidR="00A04B3D" w:rsidRPr="00116C80" w:rsidRDefault="00A04B3D" w:rsidP="00A04B3D">
      <w:pPr>
        <w:spacing w:line="240" w:lineRule="auto"/>
        <w:rPr>
          <w:rFonts w:asciiTheme="majorHAnsi" w:hAnsiTheme="majorHAnsi"/>
        </w:rPr>
      </w:pPr>
      <w:r>
        <w:rPr>
          <w:rFonts w:asciiTheme="majorHAnsi" w:hAnsiTheme="majorHAnsi"/>
          <w:b/>
          <w:bCs/>
        </w:rPr>
        <w:t>Thrombocyto</w:t>
      </w:r>
      <w:r w:rsidRPr="00530AE7">
        <w:rPr>
          <w:rFonts w:asciiTheme="majorHAnsi" w:hAnsiTheme="majorHAnsi"/>
          <w:b/>
          <w:bCs/>
        </w:rPr>
        <w:t>p</w:t>
      </w:r>
      <w:r>
        <w:rPr>
          <w:rFonts w:asciiTheme="majorHAnsi" w:hAnsiTheme="majorHAnsi"/>
          <w:b/>
          <w:bCs/>
        </w:rPr>
        <w:t>a</w:t>
      </w:r>
      <w:r w:rsidRPr="00530AE7">
        <w:rPr>
          <w:rFonts w:asciiTheme="majorHAnsi" w:hAnsiTheme="majorHAnsi"/>
          <w:b/>
          <w:bCs/>
        </w:rPr>
        <w:t>enia</w:t>
      </w:r>
    </w:p>
    <w:p w14:paraId="3DC0DC1B" w14:textId="4FCB25E2" w:rsidR="00A04B3D" w:rsidRPr="008C03FF" w:rsidRDefault="00EF7C3E" w:rsidP="008C03FF">
      <w:pPr>
        <w:autoSpaceDE w:val="0"/>
        <w:autoSpaceDN w:val="0"/>
        <w:adjustRightInd w:val="0"/>
        <w:spacing w:after="0"/>
        <w:rPr>
          <w:lang w:val="en-GB" w:eastAsia="en-GB"/>
        </w:rPr>
      </w:pPr>
      <w:r w:rsidRPr="008C03FF">
        <w:rPr>
          <w:lang w:val="en-GB" w:eastAsia="en-GB"/>
        </w:rPr>
        <w:t xml:space="preserve">Grade 3 or 4 thrombocytopaenia is also very common following </w:t>
      </w:r>
      <w:proofErr w:type="spellStart"/>
      <w:r w:rsidRPr="008C03FF">
        <w:rPr>
          <w:lang w:val="en-GB" w:eastAsia="en-GB"/>
        </w:rPr>
        <w:t>trabectedin</w:t>
      </w:r>
      <w:proofErr w:type="spellEnd"/>
      <w:r>
        <w:rPr>
          <w:lang w:val="en-GB" w:eastAsia="en-GB"/>
        </w:rPr>
        <w:t xml:space="preserve"> </w:t>
      </w:r>
      <w:r w:rsidRPr="008C03FF">
        <w:rPr>
          <w:lang w:val="en-GB" w:eastAsia="en-GB"/>
        </w:rPr>
        <w:t>administration. Platelet counts should be performed at baseline, weekly for the first two</w:t>
      </w:r>
      <w:r w:rsidRPr="008C03FF">
        <w:rPr>
          <w:lang w:val="en-GB"/>
        </w:rPr>
        <w:t xml:space="preserve"> </w:t>
      </w:r>
      <w:r w:rsidRPr="008C03FF">
        <w:rPr>
          <w:lang w:val="en-GB" w:eastAsia="en-GB"/>
        </w:rPr>
        <w:t>cycles and then once between</w:t>
      </w:r>
      <w:r>
        <w:rPr>
          <w:lang w:val="en-GB" w:eastAsia="en-GB"/>
        </w:rPr>
        <w:t xml:space="preserve"> </w:t>
      </w:r>
      <w:r w:rsidRPr="008C03FF">
        <w:rPr>
          <w:lang w:val="en-GB" w:eastAsia="en-GB"/>
        </w:rPr>
        <w:t>cycles (see section 4.2). YONDELIS should not be</w:t>
      </w:r>
      <w:r>
        <w:rPr>
          <w:lang w:val="en-GB" w:eastAsia="en-GB"/>
        </w:rPr>
        <w:t xml:space="preserve"> </w:t>
      </w:r>
      <w:r w:rsidRPr="008C03FF">
        <w:rPr>
          <w:lang w:val="en-GB" w:eastAsia="en-GB"/>
        </w:rPr>
        <w:t>administered to patients with baseline platelets count of less than 100 x 10</w:t>
      </w:r>
      <w:r w:rsidRPr="008C03FF">
        <w:rPr>
          <w:vertAlign w:val="superscript"/>
          <w:lang w:val="en-GB" w:eastAsia="en-GB"/>
        </w:rPr>
        <w:t>9</w:t>
      </w:r>
      <w:r w:rsidRPr="008C03FF">
        <w:rPr>
          <w:lang w:val="en-GB" w:eastAsia="en-GB"/>
        </w:rPr>
        <w:t>/L.</w:t>
      </w:r>
    </w:p>
    <w:p w14:paraId="3710A1B0" w14:textId="438D7D55" w:rsidR="00B56696" w:rsidRPr="00A04B3D" w:rsidRDefault="00B56696" w:rsidP="00A04B3D">
      <w:pPr>
        <w:spacing w:line="240" w:lineRule="auto"/>
      </w:pPr>
    </w:p>
    <w:p w14:paraId="14EA9F58" w14:textId="56002E32" w:rsidR="00B56696" w:rsidRPr="00530AE7" w:rsidRDefault="00B56696" w:rsidP="00B07103">
      <w:pPr>
        <w:keepNext/>
        <w:spacing w:line="240" w:lineRule="auto"/>
        <w:rPr>
          <w:rFonts w:asciiTheme="majorHAnsi" w:hAnsiTheme="majorHAnsi"/>
          <w:b/>
          <w:bCs/>
        </w:rPr>
      </w:pPr>
      <w:r w:rsidRPr="00530AE7">
        <w:rPr>
          <w:rFonts w:asciiTheme="majorHAnsi" w:hAnsiTheme="majorHAnsi"/>
          <w:b/>
          <w:bCs/>
        </w:rPr>
        <w:t>Nausea and vomiting</w:t>
      </w:r>
    </w:p>
    <w:p w14:paraId="1191A0EA" w14:textId="4BDA2B7F" w:rsidR="00B56696" w:rsidRPr="00530AE7" w:rsidRDefault="00B56696" w:rsidP="00B07103">
      <w:pPr>
        <w:keepNext/>
        <w:spacing w:line="240" w:lineRule="auto"/>
      </w:pPr>
      <w:r w:rsidRPr="00530AE7">
        <w:t>Anti</w:t>
      </w:r>
      <w:r w:rsidRPr="00530AE7">
        <w:noBreakHyphen/>
        <w:t>emetic prophylaxis with corticosteroids such as dexamethasone must be administered to all patients (see section 4.2).</w:t>
      </w:r>
    </w:p>
    <w:p w14:paraId="1AD6ED54" w14:textId="77777777" w:rsidR="00B56696" w:rsidRPr="00530AE7" w:rsidRDefault="00B56696" w:rsidP="00B07103">
      <w:pPr>
        <w:spacing w:line="240" w:lineRule="auto"/>
        <w:rPr>
          <w:rFonts w:asciiTheme="majorHAnsi" w:hAnsiTheme="majorHAnsi"/>
          <w:b/>
          <w:bCs/>
        </w:rPr>
      </w:pPr>
      <w:r w:rsidRPr="00530AE7">
        <w:rPr>
          <w:rFonts w:asciiTheme="majorHAnsi" w:hAnsiTheme="majorHAnsi"/>
          <w:b/>
          <w:bCs/>
        </w:rPr>
        <w:t>Rhabdomyolysis and severe CPK elevations (&gt; 5 x ULN)</w:t>
      </w:r>
    </w:p>
    <w:p w14:paraId="664189F2" w14:textId="064BB7FB" w:rsidR="00B56696" w:rsidRPr="00530AE7" w:rsidRDefault="004C282C" w:rsidP="00B07103">
      <w:pPr>
        <w:spacing w:line="240" w:lineRule="auto"/>
      </w:pPr>
      <w:r>
        <w:t>YONDELIS</w:t>
      </w:r>
      <w:r w:rsidRPr="00530AE7">
        <w:t xml:space="preserve"> </w:t>
      </w:r>
      <w:r w:rsidR="00B56696" w:rsidRPr="00530AE7">
        <w:t xml:space="preserve">must not be used in patients with CPK &gt; 2.5 x ULN (see section 4.2). Rhabdomyolysis has been uncommonly reported, usually in association with </w:t>
      </w:r>
      <w:proofErr w:type="spellStart"/>
      <w:r w:rsidR="00B56696" w:rsidRPr="00530AE7">
        <w:t>myelotoxicity</w:t>
      </w:r>
      <w:proofErr w:type="spellEnd"/>
      <w:r w:rsidR="00B56696" w:rsidRPr="00530AE7">
        <w:t xml:space="preserve">, severe liver function test abnormalities and/or renal or </w:t>
      </w:r>
      <w:proofErr w:type="spellStart"/>
      <w:r w:rsidR="00B56696" w:rsidRPr="00530AE7">
        <w:t>multiorgan</w:t>
      </w:r>
      <w:proofErr w:type="spellEnd"/>
      <w:r w:rsidR="00B56696" w:rsidRPr="00530AE7">
        <w:t xml:space="preserve"> failure. Therefore, CPK should be closely monitored whenever a patient may be experiencing any of these toxicities or muscle weakness or muscle pain. If rhabdomyolysis occurs, supportive measures such as parenteral hydration, urine alkalinisation and dialysis should be promptly established, as indicated. Treatment with </w:t>
      </w:r>
      <w:r w:rsidR="00925B2E">
        <w:t>YONDELIS</w:t>
      </w:r>
      <w:r w:rsidR="00B56696" w:rsidRPr="00530AE7">
        <w:t xml:space="preserve"> should be discontinued until the patient fully recovers. </w:t>
      </w:r>
    </w:p>
    <w:p w14:paraId="2D8362C3" w14:textId="21DDDB19" w:rsidR="00B56696" w:rsidRPr="00530AE7" w:rsidRDefault="00B56696" w:rsidP="00B07103">
      <w:pPr>
        <w:spacing w:line="240" w:lineRule="auto"/>
      </w:pPr>
      <w:r w:rsidRPr="00530AE7">
        <w:t xml:space="preserve">Caution should be taken if medicinal products associated with rhabdomyolysis (e.g. statins), are administered concomitantly with </w:t>
      </w:r>
      <w:r w:rsidR="00324DB1">
        <w:t>YONDELIS</w:t>
      </w:r>
      <w:r w:rsidRPr="00530AE7">
        <w:t>, since the risk of rhabdomyolysis may be increased</w:t>
      </w:r>
      <w:r w:rsidR="00606A79">
        <w:t>.</w:t>
      </w:r>
    </w:p>
    <w:p w14:paraId="114CE482" w14:textId="01014B11" w:rsidR="00B56696" w:rsidRPr="00530AE7" w:rsidRDefault="00CC6F3A" w:rsidP="00B07103">
      <w:pPr>
        <w:spacing w:line="240" w:lineRule="auto"/>
        <w:rPr>
          <w:rFonts w:asciiTheme="majorHAnsi" w:hAnsiTheme="majorHAnsi"/>
          <w:b/>
          <w:bCs/>
        </w:rPr>
      </w:pPr>
      <w:r>
        <w:rPr>
          <w:rFonts w:asciiTheme="majorHAnsi" w:hAnsiTheme="majorHAnsi"/>
          <w:b/>
          <w:bCs/>
        </w:rPr>
        <w:t>Hepatotoxicity</w:t>
      </w:r>
    </w:p>
    <w:p w14:paraId="7A872DFA" w14:textId="0AECAB0F" w:rsidR="00A12B82" w:rsidRPr="00617016" w:rsidRDefault="00A12B82" w:rsidP="00617016">
      <w:pPr>
        <w:autoSpaceDE w:val="0"/>
        <w:autoSpaceDN w:val="0"/>
        <w:adjustRightInd w:val="0"/>
        <w:spacing w:after="0"/>
        <w:rPr>
          <w:lang w:val="en-GB" w:eastAsia="en-GB"/>
        </w:rPr>
      </w:pPr>
      <w:r w:rsidRPr="00617016">
        <w:rPr>
          <w:lang w:val="en-GB" w:eastAsia="en-GB"/>
        </w:rPr>
        <w:t>Hepatotoxicity, including hepatic failure, can occur with YONDELIS. Reversible acute</w:t>
      </w:r>
      <w:r w:rsidR="00617016" w:rsidRPr="00617016">
        <w:rPr>
          <w:lang w:val="en-GB" w:eastAsia="en-GB"/>
        </w:rPr>
        <w:t xml:space="preserve"> </w:t>
      </w:r>
      <w:r w:rsidRPr="00617016">
        <w:rPr>
          <w:lang w:val="en-GB" w:eastAsia="en-GB"/>
        </w:rPr>
        <w:t>increases in aspartate aminotransferase (AST) and alanine aminotransferase (ALT) have been reported in most</w:t>
      </w:r>
      <w:r w:rsidR="00617016" w:rsidRPr="00617016">
        <w:rPr>
          <w:lang w:val="en-GB" w:eastAsia="en-GB"/>
        </w:rPr>
        <w:t xml:space="preserve"> </w:t>
      </w:r>
      <w:r w:rsidRPr="00617016">
        <w:rPr>
          <w:lang w:val="en-GB" w:eastAsia="en-GB"/>
        </w:rPr>
        <w:t>patients, and grade 3 or 4 abnormalities are common.</w:t>
      </w:r>
    </w:p>
    <w:p w14:paraId="2EFBB666" w14:textId="77777777" w:rsidR="00A12B82" w:rsidRPr="00617016" w:rsidRDefault="00A12B82" w:rsidP="00617016">
      <w:pPr>
        <w:autoSpaceDE w:val="0"/>
        <w:autoSpaceDN w:val="0"/>
        <w:adjustRightInd w:val="0"/>
        <w:spacing w:after="0"/>
        <w:rPr>
          <w:lang w:val="en-GB" w:eastAsia="en-GB"/>
        </w:rPr>
      </w:pPr>
    </w:p>
    <w:p w14:paraId="228AB8DA" w14:textId="02530CE4" w:rsidR="00A12B82" w:rsidRPr="00617016" w:rsidRDefault="00A12B82" w:rsidP="00617016">
      <w:pPr>
        <w:autoSpaceDE w:val="0"/>
        <w:autoSpaceDN w:val="0"/>
        <w:adjustRightInd w:val="0"/>
        <w:spacing w:after="0"/>
        <w:rPr>
          <w:lang w:val="en-GB" w:eastAsia="en-GB"/>
        </w:rPr>
      </w:pPr>
      <w:r w:rsidRPr="00617016">
        <w:rPr>
          <w:lang w:val="en-GB" w:eastAsia="en-GB"/>
        </w:rPr>
        <w:t>LFTs should be assessed prior to each administration of YONDELIS and as clinically</w:t>
      </w:r>
      <w:r w:rsidR="00617016" w:rsidRPr="00617016">
        <w:rPr>
          <w:lang w:val="en-GB" w:eastAsia="en-GB"/>
        </w:rPr>
        <w:t xml:space="preserve"> </w:t>
      </w:r>
      <w:r w:rsidRPr="00617016">
        <w:rPr>
          <w:lang w:val="en-GB" w:eastAsia="en-GB"/>
        </w:rPr>
        <w:t>indicated based on underlying severity of pre-existing hepatic impairment. Patients with increases in AST, ALT and</w:t>
      </w:r>
      <w:r w:rsidR="00617016" w:rsidRPr="00617016">
        <w:rPr>
          <w:lang w:val="en-GB" w:eastAsia="en-GB"/>
        </w:rPr>
        <w:t xml:space="preserve"> </w:t>
      </w:r>
      <w:r w:rsidRPr="00617016">
        <w:rPr>
          <w:lang w:val="en-GB" w:eastAsia="en-GB"/>
        </w:rPr>
        <w:t>alkaline phosphatase between cycles may necessitate dose adjustments (see section 4.2).</w:t>
      </w:r>
    </w:p>
    <w:p w14:paraId="3EE24043" w14:textId="77777777" w:rsidR="00A12B82" w:rsidRPr="00617016" w:rsidRDefault="00A12B82" w:rsidP="00617016">
      <w:pPr>
        <w:autoSpaceDE w:val="0"/>
        <w:autoSpaceDN w:val="0"/>
        <w:adjustRightInd w:val="0"/>
        <w:spacing w:after="0"/>
        <w:rPr>
          <w:lang w:val="en-GB" w:eastAsia="en-GB"/>
        </w:rPr>
      </w:pPr>
    </w:p>
    <w:p w14:paraId="08C8259B" w14:textId="77777777" w:rsidR="00A12B82" w:rsidRPr="00617016" w:rsidRDefault="00A12B82" w:rsidP="00617016">
      <w:pPr>
        <w:autoSpaceDE w:val="0"/>
        <w:autoSpaceDN w:val="0"/>
        <w:adjustRightInd w:val="0"/>
        <w:spacing w:after="0"/>
        <w:rPr>
          <w:lang w:val="en-GB" w:eastAsia="en-GB"/>
        </w:rPr>
      </w:pPr>
      <w:r w:rsidRPr="00617016">
        <w:rPr>
          <w:lang w:val="en-GB" w:eastAsia="en-GB"/>
        </w:rPr>
        <w:t>YONDELIS must not be used in patients with elevated bilirubin or those with AST, ALT or alkaline phosphatase &gt; 2.5x ULN.</w:t>
      </w:r>
    </w:p>
    <w:p w14:paraId="015767EE" w14:textId="77777777" w:rsidR="00A12B82" w:rsidRPr="00617016" w:rsidRDefault="00A12B82" w:rsidP="00617016">
      <w:pPr>
        <w:autoSpaceDE w:val="0"/>
        <w:autoSpaceDN w:val="0"/>
        <w:adjustRightInd w:val="0"/>
        <w:spacing w:after="0"/>
        <w:rPr>
          <w:lang w:val="en-GB" w:eastAsia="en-GB"/>
        </w:rPr>
      </w:pPr>
    </w:p>
    <w:p w14:paraId="3259C553" w14:textId="6D08FAE4" w:rsidR="00B56696" w:rsidRPr="00852CD8" w:rsidRDefault="00A12B82" w:rsidP="00617016">
      <w:pPr>
        <w:autoSpaceDE w:val="0"/>
        <w:autoSpaceDN w:val="0"/>
        <w:adjustRightInd w:val="0"/>
        <w:spacing w:after="0"/>
        <w:rPr>
          <w:lang w:val="en-GB" w:eastAsia="en-GB"/>
        </w:rPr>
      </w:pPr>
      <w:r w:rsidRPr="00617016">
        <w:rPr>
          <w:lang w:val="en-GB" w:eastAsia="en-GB"/>
        </w:rPr>
        <w:t>Caution should be taken if medicinal products associated with hepatotoxicity are</w:t>
      </w:r>
      <w:r w:rsidR="00617016" w:rsidRPr="00617016">
        <w:rPr>
          <w:lang w:val="en-GB" w:eastAsia="en-GB"/>
        </w:rPr>
        <w:t xml:space="preserve"> </w:t>
      </w:r>
      <w:r w:rsidRPr="00617016">
        <w:rPr>
          <w:lang w:val="en-GB" w:eastAsia="en-GB"/>
        </w:rPr>
        <w:t xml:space="preserve">administered concomitantly with </w:t>
      </w:r>
      <w:proofErr w:type="spellStart"/>
      <w:r w:rsidRPr="00617016">
        <w:rPr>
          <w:lang w:val="en-GB" w:eastAsia="en-GB"/>
        </w:rPr>
        <w:t>trabectedin</w:t>
      </w:r>
      <w:proofErr w:type="spellEnd"/>
      <w:r w:rsidRPr="00617016">
        <w:rPr>
          <w:lang w:val="en-GB" w:eastAsia="en-GB"/>
        </w:rPr>
        <w:t>, since the risk of hepatotoxicity may be</w:t>
      </w:r>
      <w:r w:rsidR="00617016" w:rsidRPr="00617016">
        <w:rPr>
          <w:lang w:val="en-GB" w:eastAsia="en-GB"/>
        </w:rPr>
        <w:t xml:space="preserve"> </w:t>
      </w:r>
      <w:r w:rsidRPr="00617016">
        <w:rPr>
          <w:lang w:val="en-GB" w:eastAsia="en-GB"/>
        </w:rPr>
        <w:t>increased</w:t>
      </w:r>
      <w:r w:rsidR="00617016" w:rsidRPr="00617016">
        <w:rPr>
          <w:lang w:val="en-GB" w:eastAsia="en-GB"/>
        </w:rPr>
        <w:t>.</w:t>
      </w:r>
    </w:p>
    <w:p w14:paraId="0122C550" w14:textId="77777777" w:rsidR="00617016" w:rsidRPr="00852CD8" w:rsidRDefault="00617016" w:rsidP="00852CD8">
      <w:pPr>
        <w:autoSpaceDE w:val="0"/>
        <w:autoSpaceDN w:val="0"/>
        <w:adjustRightInd w:val="0"/>
        <w:spacing w:after="0"/>
        <w:rPr>
          <w:i/>
          <w:iCs/>
          <w:lang w:val="en-GB" w:eastAsia="en-GB"/>
        </w:rPr>
      </w:pPr>
    </w:p>
    <w:p w14:paraId="26AE5515" w14:textId="77777777" w:rsidR="00625B50" w:rsidRDefault="00625B50" w:rsidP="00B07103">
      <w:pPr>
        <w:spacing w:line="240" w:lineRule="auto"/>
        <w:rPr>
          <w:rFonts w:asciiTheme="majorHAnsi" w:hAnsiTheme="majorHAnsi"/>
          <w:b/>
          <w:bCs/>
        </w:rPr>
      </w:pPr>
    </w:p>
    <w:p w14:paraId="799048B5" w14:textId="680BC5C0" w:rsidR="00B56696" w:rsidRPr="00530AE7" w:rsidRDefault="00B56696" w:rsidP="00B07103">
      <w:pPr>
        <w:spacing w:line="240" w:lineRule="auto"/>
        <w:rPr>
          <w:rFonts w:asciiTheme="majorHAnsi" w:hAnsiTheme="majorHAnsi"/>
          <w:b/>
          <w:bCs/>
          <w:i/>
          <w:iCs/>
        </w:rPr>
      </w:pPr>
      <w:r w:rsidRPr="00530AE7">
        <w:rPr>
          <w:rFonts w:asciiTheme="majorHAnsi" w:hAnsiTheme="majorHAnsi"/>
          <w:b/>
          <w:bCs/>
        </w:rPr>
        <w:t>Injection site reactions</w:t>
      </w:r>
    </w:p>
    <w:p w14:paraId="1BC11FE9" w14:textId="572B096D" w:rsidR="00B56696" w:rsidRPr="00530AE7" w:rsidRDefault="00B56696" w:rsidP="00B07103">
      <w:pPr>
        <w:spacing w:line="240" w:lineRule="auto"/>
      </w:pPr>
      <w:r w:rsidRPr="00530AE7">
        <w:t xml:space="preserve">The use of central venous access is strongly recommended (see section 4.2). Patients may develop a potentially severe injection site reaction when </w:t>
      </w:r>
      <w:r w:rsidR="00606A79">
        <w:t>YONDELIS</w:t>
      </w:r>
      <w:r w:rsidR="00606A79" w:rsidRPr="00530AE7">
        <w:t xml:space="preserve"> </w:t>
      </w:r>
      <w:r w:rsidRPr="00530AE7">
        <w:t>is administered through a peripheral venous line.</w:t>
      </w:r>
    </w:p>
    <w:p w14:paraId="0DE00238" w14:textId="3651C7AC" w:rsidR="00B56696" w:rsidRPr="00530AE7" w:rsidRDefault="00606A79" w:rsidP="00B07103">
      <w:pPr>
        <w:spacing w:line="240" w:lineRule="auto"/>
        <w:rPr>
          <w:szCs w:val="24"/>
          <w:lang w:eastAsia="es-ES"/>
        </w:rPr>
      </w:pPr>
      <w:r>
        <w:rPr>
          <w:szCs w:val="24"/>
          <w:lang w:eastAsia="es-ES"/>
        </w:rPr>
        <w:t>YONDELIS</w:t>
      </w:r>
      <w:r w:rsidRPr="00530AE7">
        <w:rPr>
          <w:szCs w:val="24"/>
          <w:lang w:eastAsia="es-ES"/>
        </w:rPr>
        <w:t xml:space="preserve"> </w:t>
      </w:r>
      <w:r w:rsidR="00B56696" w:rsidRPr="00530AE7">
        <w:rPr>
          <w:szCs w:val="24"/>
          <w:lang w:eastAsia="es-ES"/>
        </w:rPr>
        <w:t>extravasation may cause tissue necrosis requiring debridement.</w:t>
      </w:r>
      <w:r w:rsidR="00B56696" w:rsidRPr="00530AE7">
        <w:rPr>
          <w:szCs w:val="24"/>
        </w:rPr>
        <w:t xml:space="preserve"> There is no specific antidote for extravasation of </w:t>
      </w:r>
      <w:r>
        <w:rPr>
          <w:szCs w:val="24"/>
        </w:rPr>
        <w:t>YONDELIS</w:t>
      </w:r>
      <w:r w:rsidR="00B56696" w:rsidRPr="00530AE7">
        <w:rPr>
          <w:szCs w:val="24"/>
        </w:rPr>
        <w:t xml:space="preserve">. </w:t>
      </w:r>
      <w:r w:rsidR="00B56696" w:rsidRPr="00530AE7">
        <w:rPr>
          <w:szCs w:val="24"/>
          <w:lang w:eastAsia="es-ES"/>
        </w:rPr>
        <w:t>Extravasation should be managed by local standard practice.</w:t>
      </w:r>
    </w:p>
    <w:p w14:paraId="592AC4FC" w14:textId="08E45860" w:rsidR="00B56696" w:rsidRPr="00530AE7" w:rsidRDefault="00B56696" w:rsidP="00B07103">
      <w:pPr>
        <w:spacing w:line="240" w:lineRule="auto"/>
        <w:rPr>
          <w:rFonts w:asciiTheme="majorHAnsi" w:hAnsiTheme="majorHAnsi"/>
          <w:b/>
        </w:rPr>
      </w:pPr>
      <w:r w:rsidRPr="00530AE7">
        <w:rPr>
          <w:rFonts w:asciiTheme="majorHAnsi" w:hAnsiTheme="majorHAnsi"/>
          <w:b/>
        </w:rPr>
        <w:t xml:space="preserve">Allergic Reactions </w:t>
      </w:r>
    </w:p>
    <w:p w14:paraId="5167F0E3" w14:textId="7A65E0AE" w:rsidR="00B56696" w:rsidRPr="00530AE7" w:rsidRDefault="00B56696" w:rsidP="00B07103">
      <w:pPr>
        <w:spacing w:line="240" w:lineRule="auto"/>
      </w:pPr>
      <w:r w:rsidRPr="00530AE7">
        <w:rPr>
          <w:bCs/>
        </w:rPr>
        <w:t xml:space="preserve">During </w:t>
      </w:r>
      <w:r w:rsidR="00E665D1" w:rsidRPr="00530AE7">
        <w:rPr>
          <w:bCs/>
        </w:rPr>
        <w:t>post</w:t>
      </w:r>
      <w:r w:rsidR="00866570">
        <w:rPr>
          <w:bCs/>
        </w:rPr>
        <w:t>-</w:t>
      </w:r>
      <w:r w:rsidR="00E665D1" w:rsidRPr="00530AE7">
        <w:rPr>
          <w:bCs/>
        </w:rPr>
        <w:t>marketing</w:t>
      </w:r>
      <w:r w:rsidRPr="00530AE7">
        <w:rPr>
          <w:bCs/>
        </w:rPr>
        <w:t xml:space="preserve"> experience, hypersensitivity reactions with very rare occurrence of fatal outcome, have been reported in association with </w:t>
      </w:r>
      <w:r w:rsidR="00F10884">
        <w:rPr>
          <w:bCs/>
        </w:rPr>
        <w:t>YONDELIS</w:t>
      </w:r>
      <w:r w:rsidR="00F10884" w:rsidRPr="00530AE7">
        <w:rPr>
          <w:bCs/>
        </w:rPr>
        <w:t xml:space="preserve"> </w:t>
      </w:r>
      <w:r w:rsidRPr="00530AE7">
        <w:rPr>
          <w:bCs/>
        </w:rPr>
        <w:t>administration</w:t>
      </w:r>
      <w:r w:rsidR="003549F0" w:rsidRPr="00530AE7">
        <w:rPr>
          <w:bCs/>
        </w:rPr>
        <w:t xml:space="preserve"> </w:t>
      </w:r>
      <w:r w:rsidRPr="00530AE7">
        <w:rPr>
          <w:bCs/>
        </w:rPr>
        <w:t>(see sections 4.3 and 4.8).</w:t>
      </w:r>
    </w:p>
    <w:p w14:paraId="2623C06A" w14:textId="4CB05E67" w:rsidR="00B56696" w:rsidRPr="00530AE7" w:rsidRDefault="00B56696" w:rsidP="00B07103">
      <w:pPr>
        <w:spacing w:line="240" w:lineRule="auto"/>
        <w:rPr>
          <w:rFonts w:asciiTheme="majorHAnsi" w:hAnsiTheme="majorHAnsi"/>
          <w:b/>
          <w:bCs/>
          <w:iCs/>
        </w:rPr>
      </w:pPr>
      <w:r w:rsidRPr="00530AE7">
        <w:rPr>
          <w:rFonts w:asciiTheme="majorHAnsi" w:hAnsiTheme="majorHAnsi"/>
          <w:b/>
          <w:bCs/>
          <w:iCs/>
        </w:rPr>
        <w:t>Cardiac Dysfunction</w:t>
      </w:r>
    </w:p>
    <w:p w14:paraId="7F564755" w14:textId="77777777" w:rsidR="00A72ECD" w:rsidRPr="00A72ECD" w:rsidRDefault="00A72ECD" w:rsidP="00A72ECD">
      <w:pPr>
        <w:autoSpaceDE w:val="0"/>
        <w:autoSpaceDN w:val="0"/>
        <w:adjustRightInd w:val="0"/>
        <w:spacing w:after="0"/>
        <w:rPr>
          <w:lang w:val="en-GB" w:eastAsia="en-GB"/>
        </w:rPr>
      </w:pPr>
      <w:r w:rsidRPr="00A72ECD">
        <w:rPr>
          <w:lang w:val="en-GB" w:eastAsia="en-GB"/>
        </w:rPr>
        <w:t>Cardiac dysfunction including cardiac failure, congestive heart failure, decreased ejection fraction, diastolic dysfunction, or right ventricular dysfunction can occur with YONDELIS.</w:t>
      </w:r>
    </w:p>
    <w:p w14:paraId="1CB0A4A4" w14:textId="77777777" w:rsidR="00A72ECD" w:rsidRPr="00A72ECD" w:rsidRDefault="00A72ECD" w:rsidP="00A72ECD">
      <w:pPr>
        <w:autoSpaceDE w:val="0"/>
        <w:autoSpaceDN w:val="0"/>
        <w:adjustRightInd w:val="0"/>
        <w:spacing w:after="0" w:line="240" w:lineRule="auto"/>
        <w:rPr>
          <w:rFonts w:cstheme="minorHAnsi"/>
          <w:color w:val="000000"/>
          <w:lang w:val="en-GB"/>
        </w:rPr>
      </w:pPr>
    </w:p>
    <w:p w14:paraId="70FB60CC" w14:textId="6B32F367" w:rsidR="00A803D9" w:rsidRDefault="00A803D9" w:rsidP="00A803D9">
      <w:pPr>
        <w:autoSpaceDE w:val="0"/>
        <w:autoSpaceDN w:val="0"/>
        <w:adjustRightInd w:val="0"/>
        <w:spacing w:after="0" w:line="240" w:lineRule="auto"/>
        <w:rPr>
          <w:rFonts w:cstheme="minorHAnsi"/>
          <w:color w:val="000000"/>
          <w:lang w:val="en-GB"/>
        </w:rPr>
      </w:pPr>
      <w:r w:rsidRPr="00C1784C">
        <w:rPr>
          <w:rFonts w:cstheme="minorHAnsi"/>
          <w:color w:val="000000"/>
          <w:lang w:val="en-GB"/>
        </w:rPr>
        <w:t xml:space="preserve">Patients should be monitored for cardiac-related adverse events or myocardial dysfunction. </w:t>
      </w:r>
    </w:p>
    <w:p w14:paraId="51357108" w14:textId="77777777" w:rsidR="00C1784C" w:rsidRPr="00C1784C" w:rsidRDefault="00C1784C" w:rsidP="00A803D9">
      <w:pPr>
        <w:autoSpaceDE w:val="0"/>
        <w:autoSpaceDN w:val="0"/>
        <w:adjustRightInd w:val="0"/>
        <w:spacing w:after="0" w:line="240" w:lineRule="auto"/>
        <w:rPr>
          <w:rFonts w:cstheme="minorHAnsi"/>
          <w:color w:val="000000"/>
          <w:lang w:val="en-GB"/>
        </w:rPr>
      </w:pPr>
    </w:p>
    <w:p w14:paraId="76BD5D67" w14:textId="3574DB92" w:rsidR="00A803D9" w:rsidRDefault="00A803D9" w:rsidP="00A803D9">
      <w:pPr>
        <w:autoSpaceDE w:val="0"/>
        <w:autoSpaceDN w:val="0"/>
        <w:adjustRightInd w:val="0"/>
        <w:spacing w:after="0" w:line="240" w:lineRule="auto"/>
        <w:rPr>
          <w:rFonts w:cstheme="minorHAnsi"/>
          <w:color w:val="000000"/>
          <w:lang w:val="en-GB"/>
        </w:rPr>
      </w:pPr>
      <w:r w:rsidRPr="00C1784C">
        <w:rPr>
          <w:rFonts w:cstheme="minorHAnsi"/>
          <w:color w:val="000000"/>
          <w:lang w:val="en-GB"/>
        </w:rPr>
        <w:t xml:space="preserve">A thorough cardiac assessment including determination of left ventricular ejection fraction (LVEF) by echocardiogram or </w:t>
      </w:r>
      <w:proofErr w:type="spellStart"/>
      <w:r w:rsidRPr="00C1784C">
        <w:rPr>
          <w:rFonts w:cstheme="minorHAnsi"/>
          <w:color w:val="000000"/>
          <w:lang w:val="en-GB"/>
        </w:rPr>
        <w:t>multigated</w:t>
      </w:r>
      <w:proofErr w:type="spellEnd"/>
      <w:r w:rsidRPr="00C1784C">
        <w:rPr>
          <w:rFonts w:cstheme="minorHAnsi"/>
          <w:color w:val="000000"/>
          <w:lang w:val="en-GB"/>
        </w:rPr>
        <w:t xml:space="preserve"> acquisition scan (MUGA) should be conducted before initiation of </w:t>
      </w:r>
      <w:r w:rsidR="000B0D33">
        <w:rPr>
          <w:rFonts w:cstheme="minorHAnsi"/>
          <w:color w:val="000000"/>
          <w:lang w:val="en-GB"/>
        </w:rPr>
        <w:t>YONDELIS</w:t>
      </w:r>
      <w:r w:rsidR="000B0D33" w:rsidRPr="00C1784C">
        <w:rPr>
          <w:rFonts w:cstheme="minorHAnsi"/>
          <w:color w:val="000000"/>
          <w:lang w:val="en-GB"/>
        </w:rPr>
        <w:t xml:space="preserve"> </w:t>
      </w:r>
      <w:r w:rsidRPr="00C1784C">
        <w:rPr>
          <w:rFonts w:cstheme="minorHAnsi"/>
          <w:color w:val="000000"/>
          <w:lang w:val="en-GB"/>
        </w:rPr>
        <w:t xml:space="preserve">and at 2 to 3-month intervals thereafter until </w:t>
      </w:r>
      <w:r w:rsidR="000B0D33">
        <w:rPr>
          <w:rFonts w:cstheme="minorHAnsi"/>
          <w:color w:val="000000"/>
          <w:lang w:val="en-GB"/>
        </w:rPr>
        <w:t>YONDELIS</w:t>
      </w:r>
      <w:r w:rsidR="00731C85" w:rsidRPr="00C1784C">
        <w:rPr>
          <w:rFonts w:cstheme="minorHAnsi"/>
          <w:color w:val="000000"/>
          <w:lang w:val="en-GB"/>
        </w:rPr>
        <w:t xml:space="preserve"> </w:t>
      </w:r>
      <w:r w:rsidRPr="00C1784C">
        <w:rPr>
          <w:rFonts w:cstheme="minorHAnsi"/>
          <w:color w:val="000000"/>
          <w:lang w:val="en-GB"/>
        </w:rPr>
        <w:t xml:space="preserve">is discontinued. </w:t>
      </w:r>
    </w:p>
    <w:p w14:paraId="0CAD97B5" w14:textId="77777777" w:rsidR="00C1784C" w:rsidRPr="00C1784C" w:rsidRDefault="00C1784C" w:rsidP="00A803D9">
      <w:pPr>
        <w:autoSpaceDE w:val="0"/>
        <w:autoSpaceDN w:val="0"/>
        <w:adjustRightInd w:val="0"/>
        <w:spacing w:after="0" w:line="240" w:lineRule="auto"/>
        <w:rPr>
          <w:rFonts w:cstheme="minorHAnsi"/>
          <w:color w:val="000000"/>
          <w:lang w:val="en-GB"/>
        </w:rPr>
      </w:pPr>
    </w:p>
    <w:p w14:paraId="59B53CD1" w14:textId="0C8DDCAA" w:rsidR="00A803D9" w:rsidRDefault="00A803D9" w:rsidP="00A803D9">
      <w:pPr>
        <w:autoSpaceDE w:val="0"/>
        <w:autoSpaceDN w:val="0"/>
        <w:adjustRightInd w:val="0"/>
        <w:spacing w:after="0" w:line="240" w:lineRule="auto"/>
        <w:rPr>
          <w:rFonts w:cstheme="minorHAnsi"/>
          <w:color w:val="000000"/>
          <w:lang w:val="en-GB"/>
        </w:rPr>
      </w:pPr>
      <w:r w:rsidRPr="00C1784C">
        <w:rPr>
          <w:rFonts w:cstheme="minorHAnsi"/>
          <w:color w:val="000000"/>
          <w:lang w:val="en-GB"/>
        </w:rPr>
        <w:t xml:space="preserve">Patients with LVEF less than the lower limit of normal (LVEF &lt; LLN), </w:t>
      </w:r>
      <w:r w:rsidR="00D02629">
        <w:rPr>
          <w:rFonts w:cstheme="minorHAnsi"/>
          <w:color w:val="000000"/>
          <w:lang w:val="en-GB"/>
        </w:rPr>
        <w:t xml:space="preserve">a </w:t>
      </w:r>
      <w:r w:rsidRPr="00C1784C">
        <w:rPr>
          <w:rFonts w:cstheme="minorHAnsi"/>
          <w:color w:val="000000"/>
          <w:lang w:val="en-GB"/>
        </w:rPr>
        <w:t xml:space="preserve">prior cumulative </w:t>
      </w:r>
      <w:proofErr w:type="spellStart"/>
      <w:r w:rsidRPr="00C1784C">
        <w:rPr>
          <w:rFonts w:cstheme="minorHAnsi"/>
          <w:color w:val="000000"/>
          <w:lang w:val="en-GB"/>
        </w:rPr>
        <w:t>anthracycline</w:t>
      </w:r>
      <w:proofErr w:type="spellEnd"/>
      <w:r w:rsidRPr="00C1784C">
        <w:rPr>
          <w:rFonts w:cstheme="minorHAnsi"/>
          <w:color w:val="000000"/>
          <w:lang w:val="en-GB"/>
        </w:rPr>
        <w:t xml:space="preserve"> dose of &gt;300</w:t>
      </w:r>
      <w:r w:rsidR="009C3E65">
        <w:rPr>
          <w:rFonts w:cstheme="minorHAnsi"/>
          <w:color w:val="000000"/>
          <w:lang w:val="en-GB"/>
        </w:rPr>
        <w:t xml:space="preserve"> </w:t>
      </w:r>
      <w:r w:rsidRPr="00C1784C">
        <w:rPr>
          <w:rFonts w:cstheme="minorHAnsi"/>
          <w:color w:val="000000"/>
          <w:lang w:val="en-GB"/>
        </w:rPr>
        <w:t>mg/m</w:t>
      </w:r>
      <w:r w:rsidRPr="009C3E65">
        <w:rPr>
          <w:rFonts w:cstheme="minorHAnsi"/>
          <w:color w:val="000000"/>
          <w:vertAlign w:val="superscript"/>
          <w:lang w:val="en-GB"/>
        </w:rPr>
        <w:t>2</w:t>
      </w:r>
      <w:r w:rsidRPr="00C1784C">
        <w:rPr>
          <w:rFonts w:cstheme="minorHAnsi"/>
          <w:color w:val="000000"/>
          <w:lang w:val="en-GB"/>
        </w:rPr>
        <w:t xml:space="preserve">, aged &gt; 65 years, or a history of cardiovascular disease (especially in those </w:t>
      </w:r>
      <w:r w:rsidR="009275C7">
        <w:rPr>
          <w:rFonts w:cstheme="minorHAnsi"/>
          <w:color w:val="000000"/>
          <w:lang w:val="en-GB"/>
        </w:rPr>
        <w:t>receiving</w:t>
      </w:r>
      <w:r w:rsidR="009275C7" w:rsidRPr="00C1784C">
        <w:rPr>
          <w:rFonts w:cstheme="minorHAnsi"/>
          <w:color w:val="000000"/>
          <w:lang w:val="en-GB"/>
        </w:rPr>
        <w:t xml:space="preserve"> </w:t>
      </w:r>
      <w:r w:rsidRPr="00C1784C">
        <w:rPr>
          <w:rFonts w:cstheme="minorHAnsi"/>
          <w:color w:val="000000"/>
          <w:lang w:val="en-GB"/>
        </w:rPr>
        <w:t xml:space="preserve">cardiac medication) may be at increased risk of cardiac dysfunction at treatment with </w:t>
      </w:r>
      <w:r w:rsidR="000B0D33">
        <w:rPr>
          <w:rFonts w:cstheme="minorHAnsi"/>
          <w:color w:val="000000"/>
          <w:lang w:val="en-GB"/>
        </w:rPr>
        <w:t>YONDELIS</w:t>
      </w:r>
      <w:r w:rsidR="00A72189">
        <w:rPr>
          <w:rFonts w:cstheme="minorHAnsi"/>
          <w:color w:val="000000"/>
          <w:lang w:val="en-GB"/>
        </w:rPr>
        <w:t>.</w:t>
      </w:r>
    </w:p>
    <w:p w14:paraId="2804BAD7" w14:textId="77777777" w:rsidR="00C1784C" w:rsidRPr="00C1784C" w:rsidRDefault="00C1784C" w:rsidP="00A803D9">
      <w:pPr>
        <w:autoSpaceDE w:val="0"/>
        <w:autoSpaceDN w:val="0"/>
        <w:adjustRightInd w:val="0"/>
        <w:spacing w:after="0" w:line="240" w:lineRule="auto"/>
        <w:rPr>
          <w:rFonts w:cstheme="minorHAnsi"/>
          <w:color w:val="000000"/>
          <w:lang w:val="en-GB"/>
        </w:rPr>
      </w:pPr>
    </w:p>
    <w:p w14:paraId="37C79E56" w14:textId="39572586" w:rsidR="00A803D9" w:rsidRPr="00C1784C" w:rsidRDefault="00A803D9" w:rsidP="00A803D9">
      <w:pPr>
        <w:spacing w:line="240" w:lineRule="auto"/>
        <w:rPr>
          <w:rFonts w:cstheme="minorHAnsi"/>
          <w:iCs/>
        </w:rPr>
      </w:pPr>
      <w:r w:rsidRPr="00C1784C">
        <w:rPr>
          <w:rFonts w:cstheme="minorHAnsi"/>
          <w:color w:val="000000"/>
          <w:lang w:val="en-GB"/>
        </w:rPr>
        <w:t xml:space="preserve">For patients with Grade 3 or 4 cardiac adverse events indicative of </w:t>
      </w:r>
      <w:r w:rsidR="003A310D">
        <w:rPr>
          <w:rFonts w:cstheme="minorHAnsi"/>
          <w:color w:val="000000"/>
          <w:lang w:val="en-GB"/>
        </w:rPr>
        <w:t>cardiac dysfunction</w:t>
      </w:r>
      <w:r w:rsidR="003A310D" w:rsidRPr="00C1784C">
        <w:rPr>
          <w:rFonts w:cstheme="minorHAnsi"/>
          <w:color w:val="000000"/>
          <w:lang w:val="en-GB"/>
        </w:rPr>
        <w:t xml:space="preserve"> </w:t>
      </w:r>
      <w:r w:rsidRPr="00C1784C">
        <w:rPr>
          <w:rFonts w:cstheme="minorHAnsi"/>
          <w:color w:val="000000"/>
          <w:lang w:val="en-GB"/>
        </w:rPr>
        <w:t xml:space="preserve">or for patients with a LVEF that decreases below the LLN (assessed as either an absolute decrease of LVEF of ≥15% or &lt;LLN with an absolute decrease of ≥5%), </w:t>
      </w:r>
      <w:r w:rsidR="000B0D33">
        <w:rPr>
          <w:rFonts w:cstheme="minorHAnsi"/>
          <w:color w:val="000000"/>
          <w:lang w:val="en-GB"/>
        </w:rPr>
        <w:t>YONDELIS</w:t>
      </w:r>
      <w:r w:rsidR="00B91912" w:rsidRPr="00C1784C">
        <w:rPr>
          <w:rFonts w:cstheme="minorHAnsi"/>
          <w:color w:val="000000"/>
          <w:lang w:val="en-GB"/>
        </w:rPr>
        <w:t xml:space="preserve"> </w:t>
      </w:r>
      <w:r w:rsidRPr="00C1784C">
        <w:rPr>
          <w:rFonts w:cstheme="minorHAnsi"/>
          <w:color w:val="000000"/>
          <w:lang w:val="en-GB"/>
        </w:rPr>
        <w:t>should be discontinued.</w:t>
      </w:r>
    </w:p>
    <w:p w14:paraId="0E347E4D" w14:textId="1EC30717" w:rsidR="00B56696" w:rsidRPr="00530AE7" w:rsidRDefault="00B56696" w:rsidP="00B07103">
      <w:pPr>
        <w:spacing w:line="240" w:lineRule="auto"/>
        <w:rPr>
          <w:rFonts w:asciiTheme="majorHAnsi" w:hAnsiTheme="majorHAnsi"/>
          <w:b/>
          <w:bCs/>
          <w:iCs/>
        </w:rPr>
      </w:pPr>
      <w:r w:rsidRPr="00530AE7">
        <w:rPr>
          <w:rFonts w:asciiTheme="majorHAnsi" w:hAnsiTheme="majorHAnsi"/>
          <w:b/>
          <w:bCs/>
          <w:iCs/>
        </w:rPr>
        <w:t>Capillary Leak Syndrome (CLS)</w:t>
      </w:r>
    </w:p>
    <w:p w14:paraId="0EDE03D4" w14:textId="29B92D23" w:rsidR="00B56696" w:rsidRPr="00530AE7" w:rsidRDefault="00B56696" w:rsidP="00B07103">
      <w:pPr>
        <w:spacing w:line="240" w:lineRule="auto"/>
        <w:rPr>
          <w:iCs/>
        </w:rPr>
      </w:pPr>
      <w:r w:rsidRPr="00530AE7">
        <w:rPr>
          <w:iCs/>
        </w:rPr>
        <w:t xml:space="preserve">Cases of Capillary Leak Syndrome (CLS) have been reported with </w:t>
      </w:r>
      <w:r w:rsidR="00483FD7">
        <w:rPr>
          <w:iCs/>
        </w:rPr>
        <w:t>YONDELIS</w:t>
      </w:r>
      <w:r w:rsidR="00483FD7" w:rsidRPr="00530AE7">
        <w:rPr>
          <w:iCs/>
        </w:rPr>
        <w:t xml:space="preserve"> </w:t>
      </w:r>
      <w:r w:rsidRPr="00530AE7">
        <w:rPr>
          <w:iCs/>
        </w:rPr>
        <w:t>(</w:t>
      </w:r>
      <w:r w:rsidRPr="00530AE7">
        <w:t>including cases with fatal outcomes)</w:t>
      </w:r>
      <w:r w:rsidRPr="00530AE7">
        <w:rPr>
          <w:iCs/>
        </w:rPr>
        <w:t xml:space="preserve">. If symptoms of possible CLS develop, such as unexplained oedema with or without hypotension, the treating physician should reassess serum albumin level. A rapid decline in serum albumin level may be indicative of CLS. If a diagnosis of CLS is confirmed after exclusion of other causes, the treating physician should discontinue </w:t>
      </w:r>
      <w:r w:rsidR="00483FD7">
        <w:rPr>
          <w:iCs/>
        </w:rPr>
        <w:t>YONDELIS</w:t>
      </w:r>
      <w:r w:rsidR="00483FD7" w:rsidRPr="00530AE7">
        <w:rPr>
          <w:iCs/>
        </w:rPr>
        <w:t xml:space="preserve"> </w:t>
      </w:r>
      <w:r w:rsidRPr="00530AE7">
        <w:rPr>
          <w:iCs/>
        </w:rPr>
        <w:t>and initiate CLS treatment according to institutional guidelines (see sections 4.2 and 4.8).</w:t>
      </w:r>
    </w:p>
    <w:p w14:paraId="63DE3A9E" w14:textId="77777777" w:rsidR="00B56696" w:rsidRPr="00530AE7" w:rsidRDefault="00B56696" w:rsidP="00B07103">
      <w:pPr>
        <w:keepNext/>
        <w:spacing w:line="240" w:lineRule="auto"/>
        <w:rPr>
          <w:rFonts w:asciiTheme="majorHAnsi" w:hAnsiTheme="majorHAnsi"/>
          <w:b/>
          <w:bCs/>
          <w:iCs/>
        </w:rPr>
      </w:pPr>
      <w:r w:rsidRPr="00530AE7">
        <w:rPr>
          <w:rFonts w:asciiTheme="majorHAnsi" w:hAnsiTheme="majorHAnsi"/>
          <w:b/>
          <w:bCs/>
          <w:iCs/>
        </w:rPr>
        <w:t>Others</w:t>
      </w:r>
    </w:p>
    <w:p w14:paraId="7D23BCC8" w14:textId="40055455" w:rsidR="00B56696" w:rsidRPr="00530AE7" w:rsidRDefault="00B56696" w:rsidP="00B07103">
      <w:pPr>
        <w:keepNext/>
        <w:spacing w:line="240" w:lineRule="auto"/>
        <w:rPr>
          <w:rFonts w:eastAsia="MS Mincho"/>
          <w:lang w:eastAsia="ja-JP"/>
        </w:rPr>
      </w:pPr>
      <w:r w:rsidRPr="00530AE7">
        <w:rPr>
          <w:rFonts w:eastAsia="MS Mincho"/>
          <w:lang w:eastAsia="ja-JP"/>
        </w:rPr>
        <w:t>Co</w:t>
      </w:r>
      <w:r w:rsidRPr="00530AE7">
        <w:rPr>
          <w:rFonts w:eastAsia="MS Mincho"/>
          <w:lang w:eastAsia="ja-JP"/>
        </w:rPr>
        <w:noBreakHyphen/>
        <w:t xml:space="preserve">administration of </w:t>
      </w:r>
      <w:r w:rsidR="00925B2E">
        <w:rPr>
          <w:rFonts w:eastAsia="MS Mincho"/>
          <w:lang w:eastAsia="ja-JP"/>
        </w:rPr>
        <w:t>YONDELIS</w:t>
      </w:r>
      <w:r w:rsidRPr="00530AE7">
        <w:rPr>
          <w:rFonts w:eastAsia="MS Mincho"/>
          <w:lang w:eastAsia="ja-JP"/>
        </w:rPr>
        <w:t xml:space="preserve"> with potent inhibitors of the enzyme CYP3A4 should be avoided (see section 4.5). If this is not possible, close monitoring of toxicities are required and dose reductions of </w:t>
      </w:r>
      <w:r w:rsidR="000C725B">
        <w:rPr>
          <w:rFonts w:eastAsia="MS Mincho"/>
          <w:lang w:eastAsia="ja-JP"/>
        </w:rPr>
        <w:t>YONDELIS</w:t>
      </w:r>
      <w:r w:rsidR="000C725B" w:rsidRPr="00530AE7">
        <w:rPr>
          <w:rFonts w:eastAsia="MS Mincho"/>
          <w:lang w:eastAsia="ja-JP"/>
        </w:rPr>
        <w:t xml:space="preserve"> </w:t>
      </w:r>
      <w:r w:rsidRPr="00530AE7">
        <w:rPr>
          <w:rFonts w:eastAsia="MS Mincho"/>
          <w:lang w:eastAsia="ja-JP"/>
        </w:rPr>
        <w:t>should be considered.</w:t>
      </w:r>
    </w:p>
    <w:p w14:paraId="4337CA84" w14:textId="10C7344C" w:rsidR="00B56696" w:rsidRPr="00530AE7" w:rsidRDefault="00B56696" w:rsidP="00B07103">
      <w:pPr>
        <w:spacing w:line="240" w:lineRule="auto"/>
        <w:rPr>
          <w:noProof/>
        </w:rPr>
      </w:pPr>
      <w:r w:rsidRPr="00530AE7">
        <w:rPr>
          <w:noProof/>
        </w:rPr>
        <w:t xml:space="preserve">Concomitant use of </w:t>
      </w:r>
      <w:r w:rsidR="000C725B">
        <w:rPr>
          <w:noProof/>
        </w:rPr>
        <w:t>YONDELIS</w:t>
      </w:r>
      <w:r w:rsidR="000C725B" w:rsidRPr="00530AE7">
        <w:rPr>
          <w:noProof/>
        </w:rPr>
        <w:t xml:space="preserve"> </w:t>
      </w:r>
      <w:r w:rsidRPr="00530AE7">
        <w:rPr>
          <w:noProof/>
        </w:rPr>
        <w:t xml:space="preserve">with phenytoin may reduce phenytoin absorption leading to an exacerbation of convulsions. Combination of </w:t>
      </w:r>
      <w:r w:rsidR="00A118D0">
        <w:rPr>
          <w:noProof/>
        </w:rPr>
        <w:t>YONDELIS</w:t>
      </w:r>
      <w:r w:rsidRPr="00530AE7">
        <w:rPr>
          <w:noProof/>
        </w:rPr>
        <w:t xml:space="preserve"> with phenytoin or live attenuated vaccines is not recommended and with yellow fever vaccine is specifically contraindicated (see section 4.3).</w:t>
      </w:r>
    </w:p>
    <w:p w14:paraId="789F4E27" w14:textId="452E0BB8" w:rsidR="00B56696" w:rsidRPr="00530AE7" w:rsidRDefault="00B56696" w:rsidP="00B07103">
      <w:pPr>
        <w:spacing w:line="240" w:lineRule="auto"/>
        <w:rPr>
          <w:noProof/>
        </w:rPr>
      </w:pPr>
      <w:r w:rsidRPr="00530AE7">
        <w:rPr>
          <w:noProof/>
        </w:rPr>
        <w:t xml:space="preserve">The concomitant use of </w:t>
      </w:r>
      <w:r w:rsidR="00A118D0">
        <w:rPr>
          <w:noProof/>
        </w:rPr>
        <w:t>YONDELIS</w:t>
      </w:r>
      <w:r w:rsidR="00A118D0" w:rsidRPr="00530AE7">
        <w:rPr>
          <w:noProof/>
        </w:rPr>
        <w:t xml:space="preserve"> </w:t>
      </w:r>
      <w:r w:rsidRPr="00530AE7">
        <w:rPr>
          <w:noProof/>
        </w:rPr>
        <w:t>with alcohol must be avoided (see section 4.5).</w:t>
      </w:r>
    </w:p>
    <w:p w14:paraId="12861606" w14:textId="77777777" w:rsidR="00B56696" w:rsidRPr="00530AE7" w:rsidRDefault="00B56696" w:rsidP="00B07103">
      <w:pPr>
        <w:spacing w:line="240" w:lineRule="auto"/>
        <w:rPr>
          <w:noProof/>
        </w:rPr>
      </w:pPr>
      <w:r w:rsidRPr="00530AE7">
        <w:rPr>
          <w:noProof/>
        </w:rPr>
        <w:t xml:space="preserve">Women of childbearing potential must use effective contraception during treatment and 3 months thereafter, and immediately inform the treating physician if a pregnancy occurs </w:t>
      </w:r>
      <w:r w:rsidRPr="00530AE7">
        <w:rPr>
          <w:bCs/>
        </w:rPr>
        <w:t>(see section 5.3).</w:t>
      </w:r>
    </w:p>
    <w:p w14:paraId="65ED69BD" w14:textId="6D2E30C3" w:rsidR="00B56696" w:rsidRPr="00530AE7" w:rsidRDefault="00B56696" w:rsidP="00B07103">
      <w:pPr>
        <w:spacing w:line="240" w:lineRule="auto"/>
        <w:rPr>
          <w:noProof/>
        </w:rPr>
      </w:pPr>
      <w:r w:rsidRPr="00530AE7">
        <w:rPr>
          <w:noProof/>
        </w:rPr>
        <w:t>Men in fertile age must use effective contraception during treatment and 5 months after treatment (see section 4.6).</w:t>
      </w:r>
    </w:p>
    <w:p w14:paraId="3C4F98BD" w14:textId="4DFB0B11" w:rsidR="00B56696" w:rsidRPr="00530AE7" w:rsidRDefault="00B56696" w:rsidP="00B07103">
      <w:pPr>
        <w:spacing w:line="240" w:lineRule="auto"/>
      </w:pPr>
      <w:r w:rsidRPr="00530AE7">
        <w:t>This medicine contains potassium, less than 1 </w:t>
      </w:r>
      <w:proofErr w:type="spellStart"/>
      <w:r w:rsidRPr="00530AE7">
        <w:t>mmol</w:t>
      </w:r>
      <w:proofErr w:type="spellEnd"/>
      <w:r w:rsidRPr="00530AE7">
        <w:t xml:space="preserve"> (39 mg) per vial, i.e. essentially</w:t>
      </w:r>
      <w:r w:rsidR="00670C55" w:rsidRPr="00530AE7">
        <w:t xml:space="preserve"> </w:t>
      </w:r>
      <w:r w:rsidRPr="00530AE7">
        <w:t>“potassium</w:t>
      </w:r>
      <w:r w:rsidRPr="00530AE7">
        <w:noBreakHyphen/>
        <w:t xml:space="preserve">free”. </w:t>
      </w:r>
    </w:p>
    <w:p w14:paraId="344136FC" w14:textId="3FA2C5F0" w:rsidR="001A3992" w:rsidRPr="00530AE7" w:rsidRDefault="001A3992" w:rsidP="00B07103">
      <w:pPr>
        <w:pStyle w:val="Heading3"/>
        <w:spacing w:before="0" w:after="120"/>
        <w:ind w:left="0"/>
      </w:pPr>
      <w:r w:rsidRPr="00530AE7">
        <w:t>Use in the elderly</w:t>
      </w:r>
    </w:p>
    <w:p w14:paraId="6290501E" w14:textId="12846FF5" w:rsidR="000831F8" w:rsidRPr="00530AE7" w:rsidRDefault="000831F8" w:rsidP="00B07103">
      <w:r w:rsidRPr="00530AE7">
        <w:t xml:space="preserve">No age-related dose adjustment is required for </w:t>
      </w:r>
      <w:r w:rsidR="002409FC">
        <w:t>YONDELIS</w:t>
      </w:r>
      <w:r w:rsidR="00A92A08" w:rsidRPr="00530AE7">
        <w:t>.</w:t>
      </w:r>
    </w:p>
    <w:p w14:paraId="44E73E9C" w14:textId="53D40D6F" w:rsidR="001A3992" w:rsidRPr="00530AE7" w:rsidRDefault="001A3992" w:rsidP="00B07103">
      <w:pPr>
        <w:pStyle w:val="Heading3"/>
        <w:spacing w:before="0" w:after="120"/>
        <w:ind w:left="0"/>
      </w:pPr>
      <w:r w:rsidRPr="00530AE7">
        <w:t>Paediatric use</w:t>
      </w:r>
    </w:p>
    <w:p w14:paraId="1C4C91D9" w14:textId="4728CE9C" w:rsidR="00D164F7" w:rsidRPr="00530AE7" w:rsidRDefault="0076362E" w:rsidP="00133B6E">
      <w:r w:rsidRPr="00530AE7">
        <w:t xml:space="preserve">The safety and efficacy of </w:t>
      </w:r>
      <w:r w:rsidR="00925B2E">
        <w:t>YONDELIS</w:t>
      </w:r>
      <w:r w:rsidRPr="00530AE7">
        <w:t xml:space="preserve"> in the paediatric population </w:t>
      </w:r>
      <w:r w:rsidR="00133B6E" w:rsidRPr="00530AE7">
        <w:t xml:space="preserve">was studied in </w:t>
      </w:r>
      <w:r w:rsidR="00D164F7" w:rsidRPr="00530AE7">
        <w:t>SAR-2005 phase I-II study</w:t>
      </w:r>
      <w:r w:rsidR="00936931" w:rsidRPr="00530AE7">
        <w:t xml:space="preserve"> </w:t>
      </w:r>
      <w:r w:rsidR="00621656" w:rsidRPr="00530AE7">
        <w:t>(see section 5.1 Clinical Trials).</w:t>
      </w:r>
    </w:p>
    <w:p w14:paraId="407433F3" w14:textId="77777777" w:rsidR="00400009" w:rsidRPr="00530AE7" w:rsidRDefault="00400009" w:rsidP="00400009">
      <w:r w:rsidRPr="00530AE7">
        <w:t xml:space="preserve">Adverse reactions included reversible elevation of liver enzymes and haematological events; in addition, fever, infection, dehydration and thrombosis/embolism were also reported. </w:t>
      </w:r>
    </w:p>
    <w:p w14:paraId="7659B113" w14:textId="47AF9666" w:rsidR="001A3992" w:rsidRPr="00530AE7" w:rsidRDefault="001A3992" w:rsidP="00B07103">
      <w:pPr>
        <w:pStyle w:val="Heading3"/>
        <w:spacing w:before="0" w:after="120"/>
        <w:ind w:left="0"/>
      </w:pPr>
      <w:r w:rsidRPr="00530AE7">
        <w:t>Effects on laboratory tests</w:t>
      </w:r>
    </w:p>
    <w:p w14:paraId="3629A0E5" w14:textId="1B1AC0A0" w:rsidR="0031440F" w:rsidRPr="00530AE7" w:rsidRDefault="0031440F" w:rsidP="00B07103">
      <w:r w:rsidRPr="00530AE7">
        <w:t>No effects on laboratory tests have been observed.</w:t>
      </w:r>
    </w:p>
    <w:p w14:paraId="69EB0DE7" w14:textId="45D91BEE" w:rsidR="001A3992" w:rsidRPr="00530AE7" w:rsidRDefault="001A3992" w:rsidP="001A3992">
      <w:pPr>
        <w:pStyle w:val="Heading2"/>
        <w:keepNext/>
        <w:keepLines/>
        <w:spacing w:before="0" w:after="120"/>
      </w:pPr>
      <w:r w:rsidRPr="00530AE7">
        <w:t>Interactions with other medicines and other forms of interactions</w:t>
      </w:r>
    </w:p>
    <w:p w14:paraId="5500A4A0" w14:textId="33B57AB9" w:rsidR="004677F6" w:rsidRPr="00530AE7" w:rsidRDefault="004677F6" w:rsidP="004677F6">
      <w:pPr>
        <w:spacing w:line="240" w:lineRule="auto"/>
        <w:rPr>
          <w:rFonts w:asciiTheme="majorHAnsi" w:hAnsiTheme="majorHAnsi"/>
          <w:b/>
          <w:bCs/>
        </w:rPr>
      </w:pPr>
      <w:r w:rsidRPr="00530AE7">
        <w:rPr>
          <w:rFonts w:asciiTheme="majorHAnsi" w:hAnsiTheme="majorHAnsi"/>
          <w:b/>
          <w:bCs/>
        </w:rPr>
        <w:t xml:space="preserve">Effects of other substances on </w:t>
      </w:r>
      <w:proofErr w:type="spellStart"/>
      <w:r w:rsidRPr="00530AE7">
        <w:rPr>
          <w:rFonts w:asciiTheme="majorHAnsi" w:hAnsiTheme="majorHAnsi"/>
          <w:b/>
          <w:bCs/>
        </w:rPr>
        <w:t>trabectedin</w:t>
      </w:r>
      <w:proofErr w:type="spellEnd"/>
    </w:p>
    <w:p w14:paraId="00B5C933" w14:textId="4302EF88" w:rsidR="004677F6" w:rsidRPr="00530AE7" w:rsidRDefault="004677F6" w:rsidP="004677F6">
      <w:pPr>
        <w:spacing w:line="240" w:lineRule="auto"/>
      </w:pPr>
      <w:r w:rsidRPr="00530AE7">
        <w:t>Interaction studies have only been performed in adults.</w:t>
      </w:r>
    </w:p>
    <w:p w14:paraId="334FEDA3" w14:textId="404B073B" w:rsidR="004677F6" w:rsidRPr="00530AE7" w:rsidRDefault="004677F6" w:rsidP="004677F6">
      <w:pPr>
        <w:spacing w:line="240" w:lineRule="auto"/>
        <w:rPr>
          <w:lang w:eastAsia="es-ES"/>
        </w:rPr>
      </w:pPr>
      <w:r w:rsidRPr="00530AE7">
        <w:rPr>
          <w:lang w:eastAsia="es-ES"/>
        </w:rPr>
        <w:t xml:space="preserve">Since </w:t>
      </w:r>
      <w:proofErr w:type="spellStart"/>
      <w:r w:rsidRPr="00530AE7">
        <w:rPr>
          <w:lang w:eastAsia="es-ES"/>
        </w:rPr>
        <w:t>trabectedin</w:t>
      </w:r>
      <w:proofErr w:type="spellEnd"/>
      <w:r w:rsidRPr="00530AE7">
        <w:rPr>
          <w:lang w:eastAsia="es-ES"/>
        </w:rPr>
        <w:t xml:space="preserve"> is metabolised mainly by CYP3A4, the concentrations of </w:t>
      </w:r>
      <w:proofErr w:type="spellStart"/>
      <w:r w:rsidRPr="00530AE7">
        <w:rPr>
          <w:lang w:eastAsia="es-ES"/>
        </w:rPr>
        <w:t>trabectedin</w:t>
      </w:r>
      <w:proofErr w:type="spellEnd"/>
      <w:r w:rsidRPr="00530AE7">
        <w:rPr>
          <w:lang w:eastAsia="es-ES"/>
        </w:rPr>
        <w:t xml:space="preserve"> in plasma are likely to be increased in patients who are co-administered drugs that potently inhibit the activity of this </w:t>
      </w:r>
      <w:proofErr w:type="spellStart"/>
      <w:r w:rsidRPr="00530AE7">
        <w:rPr>
          <w:lang w:eastAsia="es-ES"/>
        </w:rPr>
        <w:t>isoenzyme</w:t>
      </w:r>
      <w:proofErr w:type="spellEnd"/>
      <w:r w:rsidRPr="00530AE7">
        <w:rPr>
          <w:lang w:eastAsia="es-ES"/>
        </w:rPr>
        <w:t xml:space="preserve">. Similarly, the co-administration of </w:t>
      </w:r>
      <w:proofErr w:type="spellStart"/>
      <w:r w:rsidRPr="00530AE7">
        <w:rPr>
          <w:lang w:eastAsia="es-ES"/>
        </w:rPr>
        <w:t>trabectedin</w:t>
      </w:r>
      <w:proofErr w:type="spellEnd"/>
      <w:r w:rsidRPr="00530AE7">
        <w:rPr>
          <w:lang w:eastAsia="es-ES"/>
        </w:rPr>
        <w:t xml:space="preserve"> with potent inducers of CPY3A4 may increase the metabolic clearance of </w:t>
      </w:r>
      <w:proofErr w:type="spellStart"/>
      <w:r w:rsidRPr="00530AE7">
        <w:rPr>
          <w:lang w:eastAsia="es-ES"/>
        </w:rPr>
        <w:t>trabectedin</w:t>
      </w:r>
      <w:proofErr w:type="spellEnd"/>
      <w:r w:rsidRPr="00530AE7">
        <w:rPr>
          <w:lang w:eastAsia="es-ES"/>
        </w:rPr>
        <w:t xml:space="preserve">. Two </w:t>
      </w:r>
      <w:r w:rsidRPr="00530AE7">
        <w:rPr>
          <w:i/>
          <w:iCs/>
          <w:lang w:eastAsia="es-ES"/>
        </w:rPr>
        <w:t>in vivo</w:t>
      </w:r>
      <w:r w:rsidRPr="00530AE7">
        <w:rPr>
          <w:lang w:eastAsia="es-ES"/>
        </w:rPr>
        <w:t xml:space="preserve"> drug-drug interaction phase 1 studies have confirmed trends toward increased and decreased </w:t>
      </w:r>
      <w:proofErr w:type="spellStart"/>
      <w:r w:rsidRPr="00530AE7">
        <w:rPr>
          <w:lang w:eastAsia="es-ES"/>
        </w:rPr>
        <w:t>trabectedin</w:t>
      </w:r>
      <w:proofErr w:type="spellEnd"/>
      <w:r w:rsidRPr="00530AE7">
        <w:rPr>
          <w:lang w:eastAsia="es-ES"/>
        </w:rPr>
        <w:t xml:space="preserve"> exposures when administered with ketoconazole and rifampicin, respectively.</w:t>
      </w:r>
    </w:p>
    <w:p w14:paraId="1FDD9F40" w14:textId="4F4C586F" w:rsidR="004677F6" w:rsidRPr="00530AE7" w:rsidRDefault="004677F6" w:rsidP="004677F6">
      <w:pPr>
        <w:spacing w:line="240" w:lineRule="auto"/>
      </w:pPr>
      <w:r w:rsidRPr="00530AE7">
        <w:t xml:space="preserve">When ketoconazole was co-administered with </w:t>
      </w:r>
      <w:proofErr w:type="spellStart"/>
      <w:r w:rsidRPr="00530AE7">
        <w:t>trabectedin</w:t>
      </w:r>
      <w:proofErr w:type="spellEnd"/>
      <w:r w:rsidRPr="00530AE7">
        <w:t xml:space="preserve">, the plasma exposure of </w:t>
      </w:r>
      <w:proofErr w:type="spellStart"/>
      <w:r w:rsidRPr="00530AE7">
        <w:t>trabectedin</w:t>
      </w:r>
      <w:proofErr w:type="spellEnd"/>
      <w:r w:rsidRPr="00530AE7">
        <w:t xml:space="preserve"> was increased by approximately 21% for </w:t>
      </w:r>
      <w:proofErr w:type="spellStart"/>
      <w:r w:rsidRPr="00530AE7">
        <w:t>C</w:t>
      </w:r>
      <w:r w:rsidRPr="00530AE7">
        <w:rPr>
          <w:vertAlign w:val="subscript"/>
        </w:rPr>
        <w:t>max</w:t>
      </w:r>
      <w:proofErr w:type="spellEnd"/>
      <w:r w:rsidRPr="00530AE7">
        <w:t xml:space="preserve"> and 66% for AUC. Close monitoring of toxicities is required in patients receiving </w:t>
      </w:r>
      <w:proofErr w:type="spellStart"/>
      <w:r w:rsidRPr="00530AE7">
        <w:t>trabectedin</w:t>
      </w:r>
      <w:proofErr w:type="spellEnd"/>
      <w:r w:rsidRPr="00530AE7">
        <w:t xml:space="preserve"> in combination with potent CYP3A4 inhibitors (e.g. oral ketoconazole, fluconazole, ritonavir, clarithromycin or </w:t>
      </w:r>
      <w:proofErr w:type="spellStart"/>
      <w:r w:rsidRPr="00530AE7">
        <w:t>aprepitant</w:t>
      </w:r>
      <w:proofErr w:type="spellEnd"/>
      <w:r w:rsidRPr="00530AE7">
        <w:t>) and such combinations should be avoided if possible. If such combinations are needed, appropriate dose adjustments should be applied in the event of toxicities (see sections 4.2 and 4.4).</w:t>
      </w:r>
    </w:p>
    <w:p w14:paraId="0817EDEC" w14:textId="37A6755E" w:rsidR="004677F6" w:rsidRPr="00530AE7" w:rsidRDefault="004677F6" w:rsidP="004677F6">
      <w:pPr>
        <w:spacing w:line="240" w:lineRule="auto"/>
      </w:pPr>
      <w:r w:rsidRPr="00530AE7">
        <w:rPr>
          <w:iCs/>
          <w:lang w:eastAsia="es-ES"/>
        </w:rPr>
        <w:t xml:space="preserve">When rifampicin was co-administered with </w:t>
      </w:r>
      <w:proofErr w:type="spellStart"/>
      <w:r w:rsidRPr="00530AE7">
        <w:rPr>
          <w:iCs/>
          <w:lang w:eastAsia="es-ES"/>
        </w:rPr>
        <w:t>trabectedin</w:t>
      </w:r>
      <w:proofErr w:type="spellEnd"/>
      <w:r w:rsidRPr="00530AE7">
        <w:rPr>
          <w:iCs/>
          <w:lang w:eastAsia="es-ES"/>
        </w:rPr>
        <w:t xml:space="preserve">, it resulted in reduced plasma exposure of </w:t>
      </w:r>
      <w:proofErr w:type="spellStart"/>
      <w:r w:rsidRPr="00530AE7">
        <w:rPr>
          <w:iCs/>
          <w:lang w:eastAsia="es-ES"/>
        </w:rPr>
        <w:t>trabectedin</w:t>
      </w:r>
      <w:proofErr w:type="spellEnd"/>
      <w:r w:rsidRPr="00530AE7">
        <w:rPr>
          <w:iCs/>
          <w:lang w:eastAsia="es-ES"/>
        </w:rPr>
        <w:t xml:space="preserve"> by approximately </w:t>
      </w:r>
      <w:r w:rsidRPr="00530AE7">
        <w:t xml:space="preserve">22% for </w:t>
      </w:r>
      <w:proofErr w:type="spellStart"/>
      <w:r w:rsidRPr="00530AE7">
        <w:t>C</w:t>
      </w:r>
      <w:r w:rsidRPr="00530AE7">
        <w:rPr>
          <w:vertAlign w:val="subscript"/>
        </w:rPr>
        <w:t>max</w:t>
      </w:r>
      <w:proofErr w:type="spellEnd"/>
      <w:r w:rsidRPr="00530AE7">
        <w:t xml:space="preserve"> and 31% for AUC.</w:t>
      </w:r>
      <w:r w:rsidRPr="00530AE7">
        <w:rPr>
          <w:iCs/>
          <w:lang w:eastAsia="es-ES"/>
        </w:rPr>
        <w:t xml:space="preserve"> Therefore, the concomitant use of </w:t>
      </w:r>
      <w:proofErr w:type="spellStart"/>
      <w:r w:rsidRPr="00530AE7">
        <w:rPr>
          <w:iCs/>
          <w:lang w:eastAsia="es-ES"/>
        </w:rPr>
        <w:t>trabectedin</w:t>
      </w:r>
      <w:proofErr w:type="spellEnd"/>
      <w:r w:rsidRPr="00530AE7">
        <w:rPr>
          <w:iCs/>
          <w:lang w:eastAsia="es-ES"/>
        </w:rPr>
        <w:t xml:space="preserve"> with strong CYP3A4 inducers (e.g., rifampicin, phenobarbital, Saint John’s </w:t>
      </w:r>
      <w:proofErr w:type="spellStart"/>
      <w:r w:rsidRPr="00530AE7">
        <w:rPr>
          <w:iCs/>
          <w:lang w:eastAsia="es-ES"/>
        </w:rPr>
        <w:t>Wort</w:t>
      </w:r>
      <w:proofErr w:type="spellEnd"/>
      <w:r w:rsidRPr="00530AE7">
        <w:rPr>
          <w:iCs/>
          <w:lang w:eastAsia="es-ES"/>
        </w:rPr>
        <w:t>) should be avoided if possible (see section 4.4).</w:t>
      </w:r>
      <w:r w:rsidRPr="00530AE7">
        <w:t xml:space="preserve"> </w:t>
      </w:r>
    </w:p>
    <w:p w14:paraId="787C6CA3" w14:textId="7DC7C2DF" w:rsidR="004677F6" w:rsidRPr="00530AE7" w:rsidRDefault="004677F6" w:rsidP="004677F6">
      <w:pPr>
        <w:spacing w:line="240" w:lineRule="auto"/>
      </w:pPr>
      <w:r w:rsidRPr="00530AE7">
        <w:t xml:space="preserve">Alcohol consumption must be avoided during treatment with </w:t>
      </w:r>
      <w:r w:rsidR="00D314D4">
        <w:t>YONDELIS</w:t>
      </w:r>
      <w:r w:rsidR="00D314D4" w:rsidRPr="00530AE7">
        <w:t xml:space="preserve"> </w:t>
      </w:r>
      <w:r w:rsidRPr="00530AE7">
        <w:t>due to the hepatotoxicity of the medicinal product (see section 4.4).</w:t>
      </w:r>
    </w:p>
    <w:p w14:paraId="35114CEF" w14:textId="3EE98AB8" w:rsidR="004677F6" w:rsidRPr="00530AE7" w:rsidRDefault="004C5F1B" w:rsidP="004677F6">
      <w:pPr>
        <w:rPr>
          <w:lang w:eastAsia="es-ES"/>
        </w:rPr>
      </w:pPr>
      <w:r>
        <w:rPr>
          <w:lang w:eastAsia="es-ES"/>
        </w:rPr>
        <w:t>Nonclinical</w:t>
      </w:r>
      <w:r w:rsidRPr="00530AE7">
        <w:rPr>
          <w:lang w:eastAsia="es-ES"/>
        </w:rPr>
        <w:t xml:space="preserve"> </w:t>
      </w:r>
      <w:r w:rsidR="004677F6" w:rsidRPr="00530AE7">
        <w:rPr>
          <w:lang w:eastAsia="es-ES"/>
        </w:rPr>
        <w:t xml:space="preserve">data have demonstrated that </w:t>
      </w:r>
      <w:proofErr w:type="spellStart"/>
      <w:r w:rsidR="004677F6" w:rsidRPr="00530AE7">
        <w:rPr>
          <w:lang w:eastAsia="es-ES"/>
        </w:rPr>
        <w:t>trabectedin</w:t>
      </w:r>
      <w:proofErr w:type="spellEnd"/>
      <w:r w:rsidR="004677F6" w:rsidRPr="00530AE7">
        <w:rPr>
          <w:lang w:eastAsia="es-ES"/>
        </w:rPr>
        <w:t xml:space="preserve"> is a substrate to P</w:t>
      </w:r>
      <w:r w:rsidR="004677F6" w:rsidRPr="00530AE7">
        <w:rPr>
          <w:lang w:eastAsia="es-ES"/>
        </w:rPr>
        <w:noBreakHyphen/>
      </w:r>
      <w:proofErr w:type="spellStart"/>
      <w:r w:rsidR="004677F6" w:rsidRPr="00530AE7">
        <w:rPr>
          <w:lang w:eastAsia="es-ES"/>
        </w:rPr>
        <w:t>gp</w:t>
      </w:r>
      <w:proofErr w:type="spellEnd"/>
      <w:r w:rsidR="004677F6" w:rsidRPr="00530AE7">
        <w:rPr>
          <w:lang w:eastAsia="es-ES"/>
        </w:rPr>
        <w:t>. Concomitant administration of inhibitors of P</w:t>
      </w:r>
      <w:r w:rsidR="004677F6" w:rsidRPr="00530AE7">
        <w:rPr>
          <w:lang w:eastAsia="es-ES"/>
        </w:rPr>
        <w:noBreakHyphen/>
      </w:r>
      <w:proofErr w:type="spellStart"/>
      <w:r w:rsidR="004677F6" w:rsidRPr="00530AE7">
        <w:rPr>
          <w:lang w:eastAsia="es-ES"/>
        </w:rPr>
        <w:t>gp</w:t>
      </w:r>
      <w:proofErr w:type="spellEnd"/>
      <w:r w:rsidR="004677F6" w:rsidRPr="00530AE7">
        <w:rPr>
          <w:lang w:eastAsia="es-ES"/>
        </w:rPr>
        <w:t xml:space="preserve">, e.g. cyclosporine and verapamil, may alter </w:t>
      </w:r>
      <w:proofErr w:type="spellStart"/>
      <w:r w:rsidR="004677F6" w:rsidRPr="00530AE7">
        <w:rPr>
          <w:lang w:eastAsia="es-ES"/>
        </w:rPr>
        <w:t>trabectedin</w:t>
      </w:r>
      <w:proofErr w:type="spellEnd"/>
      <w:r w:rsidR="004677F6" w:rsidRPr="00530AE7">
        <w:rPr>
          <w:lang w:eastAsia="es-ES"/>
        </w:rPr>
        <w:t xml:space="preserve"> distribution and/or elimination. The relevance of this interaction e.g. central nervous system (CNS) toxicity has not been established. Caution should be taken in such situations. </w:t>
      </w:r>
    </w:p>
    <w:p w14:paraId="79813540" w14:textId="77777777" w:rsidR="001A3992" w:rsidRPr="00530AE7" w:rsidRDefault="001A3992" w:rsidP="001A3992">
      <w:pPr>
        <w:pStyle w:val="Heading2"/>
        <w:spacing w:before="0" w:after="120"/>
      </w:pPr>
      <w:r w:rsidRPr="00530AE7">
        <w:t xml:space="preserve">Fertility, pregnancy and lactation </w:t>
      </w:r>
    </w:p>
    <w:p w14:paraId="6CE4CC63" w14:textId="0DEB813D" w:rsidR="001A3992" w:rsidRPr="00530AE7" w:rsidRDefault="001A3992" w:rsidP="00B07103">
      <w:pPr>
        <w:pStyle w:val="Heading3"/>
        <w:spacing w:before="0" w:after="120"/>
        <w:ind w:left="0"/>
      </w:pPr>
      <w:r w:rsidRPr="00530AE7">
        <w:t>Effects on fertility</w:t>
      </w:r>
    </w:p>
    <w:p w14:paraId="396F4F15" w14:textId="06DB7D54" w:rsidR="004A4FCE" w:rsidRPr="00530AE7" w:rsidRDefault="004A4FCE" w:rsidP="00B07103">
      <w:pPr>
        <w:spacing w:line="240" w:lineRule="auto"/>
        <w:rPr>
          <w:bCs/>
        </w:rPr>
      </w:pPr>
      <w:r w:rsidRPr="00530AE7">
        <w:rPr>
          <w:bCs/>
        </w:rPr>
        <w:t>Men in fertile age must use effective contraception during treatment and 5 months after treatment (see section 4.4).</w:t>
      </w:r>
    </w:p>
    <w:p w14:paraId="7E39A14E" w14:textId="038B0161" w:rsidR="004A4FCE" w:rsidRPr="00530AE7" w:rsidRDefault="004A4FCE" w:rsidP="00B07103">
      <w:pPr>
        <w:spacing w:line="240" w:lineRule="auto"/>
        <w:rPr>
          <w:lang w:eastAsia="es-ES"/>
        </w:rPr>
      </w:pPr>
      <w:proofErr w:type="spellStart"/>
      <w:r w:rsidRPr="00530AE7">
        <w:rPr>
          <w:lang w:eastAsia="es-ES"/>
        </w:rPr>
        <w:t>Trabectedin</w:t>
      </w:r>
      <w:proofErr w:type="spellEnd"/>
      <w:r w:rsidRPr="00530AE7">
        <w:rPr>
          <w:lang w:eastAsia="es-ES"/>
        </w:rPr>
        <w:t xml:space="preserve"> can have genotoxic effects. Advice on conservation of ovules or sperm should be sought prior to treatment because of the possibility of irreversible infertility due to therapy with </w:t>
      </w:r>
      <w:r w:rsidR="00925B2E">
        <w:rPr>
          <w:lang w:eastAsia="es-ES"/>
        </w:rPr>
        <w:t>YONDELIS</w:t>
      </w:r>
      <w:r w:rsidRPr="00530AE7">
        <w:rPr>
          <w:lang w:eastAsia="es-ES"/>
        </w:rPr>
        <w:t>.</w:t>
      </w:r>
    </w:p>
    <w:p w14:paraId="1EC9C2E0" w14:textId="1F1FB8D8" w:rsidR="004A4FCE" w:rsidRDefault="004A4FCE" w:rsidP="00B07103">
      <w:pPr>
        <w:spacing w:line="240" w:lineRule="auto"/>
        <w:rPr>
          <w:lang w:eastAsia="es-ES"/>
        </w:rPr>
      </w:pPr>
      <w:r w:rsidRPr="00530AE7">
        <w:rPr>
          <w:lang w:eastAsia="es-ES"/>
        </w:rPr>
        <w:t>Genetic counselling is also recommended for patients wishing to have children after therapy.</w:t>
      </w:r>
    </w:p>
    <w:p w14:paraId="1F02F57C" w14:textId="4219D864" w:rsidR="00F932EB" w:rsidRPr="005B45DD" w:rsidRDefault="00F932EB" w:rsidP="00B07103">
      <w:pPr>
        <w:spacing w:line="240" w:lineRule="auto"/>
        <w:rPr>
          <w:lang w:eastAsia="es-ES"/>
        </w:rPr>
      </w:pPr>
      <w:r w:rsidRPr="005B45DD">
        <w:rPr>
          <w:lang w:val="en-GB" w:eastAsia="en-GB"/>
        </w:rPr>
        <w:t xml:space="preserve">Fertility studies with </w:t>
      </w:r>
      <w:proofErr w:type="spellStart"/>
      <w:r w:rsidRPr="005B45DD">
        <w:rPr>
          <w:lang w:val="en-GB" w:eastAsia="en-GB"/>
        </w:rPr>
        <w:t>trabectedin</w:t>
      </w:r>
      <w:proofErr w:type="spellEnd"/>
      <w:r w:rsidRPr="005B45DD">
        <w:rPr>
          <w:lang w:val="en-GB" w:eastAsia="en-GB"/>
        </w:rPr>
        <w:t xml:space="preserve"> were not performed in nonclinical studies, but limited histopathological changes were observed in the gonads in the repeat dose toxicity studies. Considering the nature of the compound (cytotoxic and mutagenic), it is likely to affect the reproductive capacity.</w:t>
      </w:r>
    </w:p>
    <w:p w14:paraId="2081E0C9" w14:textId="207B7A01" w:rsidR="001A3992" w:rsidRPr="00530AE7" w:rsidRDefault="001A3992" w:rsidP="00B07103">
      <w:pPr>
        <w:pStyle w:val="Heading3"/>
        <w:spacing w:before="0" w:after="120"/>
        <w:ind w:left="0"/>
        <w:rPr>
          <w:rFonts w:cstheme="minorHAnsi"/>
        </w:rPr>
      </w:pPr>
      <w:r w:rsidRPr="00530AE7">
        <w:t xml:space="preserve">Use in pregnancy </w:t>
      </w:r>
      <w:r w:rsidR="00282914" w:rsidRPr="00530AE7">
        <w:rPr>
          <w:rFonts w:cstheme="minorHAnsi"/>
        </w:rPr>
        <w:t>-</w:t>
      </w:r>
      <w:r w:rsidR="005B2812" w:rsidRPr="00530AE7">
        <w:rPr>
          <w:rFonts w:cstheme="minorHAnsi"/>
        </w:rPr>
        <w:t xml:space="preserve"> Pregnancy Category </w:t>
      </w:r>
      <w:r w:rsidR="00B845AF">
        <w:rPr>
          <w:rFonts w:cstheme="minorHAnsi"/>
        </w:rPr>
        <w:t>D</w:t>
      </w:r>
    </w:p>
    <w:p w14:paraId="1A4872C8" w14:textId="581EE9B9" w:rsidR="004D51E9" w:rsidRPr="00530AE7" w:rsidRDefault="004D51E9" w:rsidP="00625B50">
      <w:pPr>
        <w:spacing w:line="240" w:lineRule="auto"/>
        <w:rPr>
          <w:bCs/>
          <w:iCs/>
        </w:rPr>
      </w:pPr>
      <w:r w:rsidRPr="00530AE7">
        <w:rPr>
          <w:bCs/>
          <w:iCs/>
        </w:rPr>
        <w:t xml:space="preserve">No sufficient clinical data on exposed pregnancies are available. However, based on its known mechanism of action, </w:t>
      </w:r>
      <w:proofErr w:type="spellStart"/>
      <w:r w:rsidRPr="00530AE7">
        <w:rPr>
          <w:bCs/>
          <w:iCs/>
        </w:rPr>
        <w:t>trabectedin</w:t>
      </w:r>
      <w:proofErr w:type="spellEnd"/>
      <w:r w:rsidRPr="00530AE7">
        <w:rPr>
          <w:bCs/>
          <w:iCs/>
        </w:rPr>
        <w:t xml:space="preserve"> may cause serious birth defects when administered during pregnancy. </w:t>
      </w:r>
      <w:proofErr w:type="spellStart"/>
      <w:r w:rsidRPr="00530AE7">
        <w:rPr>
          <w:bCs/>
          <w:iCs/>
        </w:rPr>
        <w:t>Trabectedin</w:t>
      </w:r>
      <w:proofErr w:type="spellEnd"/>
      <w:r w:rsidRPr="00530AE7">
        <w:rPr>
          <w:bCs/>
          <w:iCs/>
        </w:rPr>
        <w:t xml:space="preserve"> crossed the placenta when administered to pregnant rats. </w:t>
      </w:r>
      <w:r w:rsidR="002732FD">
        <w:rPr>
          <w:bCs/>
          <w:iCs/>
        </w:rPr>
        <w:t>YONDELIS</w:t>
      </w:r>
      <w:r w:rsidR="002732FD" w:rsidRPr="00530AE7">
        <w:rPr>
          <w:bCs/>
          <w:iCs/>
        </w:rPr>
        <w:t xml:space="preserve"> </w:t>
      </w:r>
      <w:r w:rsidRPr="00530AE7">
        <w:rPr>
          <w:bCs/>
          <w:iCs/>
        </w:rPr>
        <w:t xml:space="preserve">should not be used during pregnancy. If pregnancy occurs during treatment, the patient must be informed of the potential risk to the </w:t>
      </w:r>
      <w:r w:rsidR="001B695C" w:rsidRPr="00530AE7">
        <w:rPr>
          <w:bCs/>
          <w:iCs/>
        </w:rPr>
        <w:t>fetus</w:t>
      </w:r>
      <w:r w:rsidRPr="00530AE7">
        <w:rPr>
          <w:bCs/>
          <w:iCs/>
        </w:rPr>
        <w:t xml:space="preserve"> (see section 5.3) and be monitored carefully. If </w:t>
      </w:r>
      <w:r w:rsidR="002732FD">
        <w:rPr>
          <w:bCs/>
          <w:iCs/>
        </w:rPr>
        <w:t>YONDELIS</w:t>
      </w:r>
      <w:r w:rsidR="002732FD" w:rsidRPr="00530AE7">
        <w:rPr>
          <w:bCs/>
          <w:iCs/>
        </w:rPr>
        <w:t xml:space="preserve"> </w:t>
      </w:r>
      <w:r w:rsidRPr="00530AE7">
        <w:rPr>
          <w:bCs/>
          <w:iCs/>
        </w:rPr>
        <w:t>is used at the end of pregnancy, potential adverse reactions should be monitored carefully in the newborns.</w:t>
      </w:r>
    </w:p>
    <w:p w14:paraId="7B261388" w14:textId="149B707A" w:rsidR="004D51E9" w:rsidRPr="00530AE7" w:rsidRDefault="004D51E9" w:rsidP="00625B50">
      <w:pPr>
        <w:spacing w:line="240" w:lineRule="auto"/>
        <w:rPr>
          <w:bCs/>
          <w:i/>
        </w:rPr>
      </w:pPr>
      <w:r w:rsidRPr="00530AE7">
        <w:rPr>
          <w:bCs/>
          <w:i/>
        </w:rPr>
        <w:t>Women of childbearing potential</w:t>
      </w:r>
    </w:p>
    <w:p w14:paraId="61FE5837" w14:textId="18851FD3" w:rsidR="004D51E9" w:rsidRPr="00530AE7" w:rsidRDefault="004D51E9" w:rsidP="00625B50">
      <w:pPr>
        <w:spacing w:line="240" w:lineRule="auto"/>
        <w:rPr>
          <w:bCs/>
        </w:rPr>
      </w:pPr>
      <w:r w:rsidRPr="00530AE7">
        <w:rPr>
          <w:bCs/>
        </w:rPr>
        <w:t xml:space="preserve">Women of childbearing potential must use effective contraception during treatment and 3 months thereafter, and immediately inform the treating physician if a pregnancy occurs (see section 5.3). </w:t>
      </w:r>
    </w:p>
    <w:p w14:paraId="3B8D2814" w14:textId="1E91261C" w:rsidR="004D51E9" w:rsidRDefault="004D51E9" w:rsidP="00625B50">
      <w:pPr>
        <w:spacing w:line="240" w:lineRule="auto"/>
        <w:rPr>
          <w:bCs/>
        </w:rPr>
      </w:pPr>
      <w:r w:rsidRPr="00530AE7">
        <w:rPr>
          <w:bCs/>
        </w:rPr>
        <w:t>If pregnancy occurs during treatment the possibility of genetic counselling should be considered.</w:t>
      </w:r>
    </w:p>
    <w:p w14:paraId="416FC7A7" w14:textId="3BDB4696" w:rsidR="00DB2BB1" w:rsidRPr="003A1CBF" w:rsidRDefault="00DB2BB1" w:rsidP="00625B50">
      <w:pPr>
        <w:spacing w:line="240" w:lineRule="auto"/>
        <w:rPr>
          <w:bCs/>
        </w:rPr>
      </w:pPr>
      <w:proofErr w:type="spellStart"/>
      <w:r w:rsidRPr="003A1CBF">
        <w:rPr>
          <w:lang w:val="en-GB" w:eastAsia="en-GB"/>
        </w:rPr>
        <w:t>Trabectedin</w:t>
      </w:r>
      <w:proofErr w:type="spellEnd"/>
      <w:r w:rsidRPr="003A1CBF">
        <w:rPr>
          <w:lang w:val="en-GB" w:eastAsia="en-GB"/>
        </w:rPr>
        <w:t xml:space="preserve"> was not </w:t>
      </w:r>
      <w:proofErr w:type="spellStart"/>
      <w:r w:rsidRPr="003A1CBF">
        <w:rPr>
          <w:lang w:val="en-GB" w:eastAsia="en-GB"/>
        </w:rPr>
        <w:t>embryofetotoxic</w:t>
      </w:r>
      <w:proofErr w:type="spellEnd"/>
      <w:r w:rsidRPr="003A1CBF">
        <w:rPr>
          <w:lang w:val="en-GB" w:eastAsia="en-GB"/>
        </w:rPr>
        <w:t xml:space="preserve"> or teratogenic in rats or rabbits at the highest doses tested (15 μg/m</w:t>
      </w:r>
      <w:r w:rsidRPr="003A1CBF">
        <w:rPr>
          <w:vertAlign w:val="superscript"/>
          <w:lang w:val="en-GB" w:eastAsia="en-GB"/>
        </w:rPr>
        <w:t>2</w:t>
      </w:r>
      <w:r w:rsidRPr="003A1CBF">
        <w:rPr>
          <w:lang w:val="en-GB" w:eastAsia="en-GB"/>
        </w:rPr>
        <w:t>/day and 24 μg/m</w:t>
      </w:r>
      <w:r w:rsidRPr="003A1CBF">
        <w:rPr>
          <w:vertAlign w:val="superscript"/>
          <w:lang w:val="en-GB" w:eastAsia="en-GB"/>
        </w:rPr>
        <w:t>2</w:t>
      </w:r>
      <w:r w:rsidRPr="003A1CBF">
        <w:rPr>
          <w:lang w:val="en-GB" w:eastAsia="en-GB"/>
        </w:rPr>
        <w:t>/day IV, respectively). These doses were well below the human dose (on a mg/m</w:t>
      </w:r>
      <w:r w:rsidRPr="003A1CBF">
        <w:rPr>
          <w:vertAlign w:val="superscript"/>
          <w:lang w:val="en-GB" w:eastAsia="en-GB"/>
        </w:rPr>
        <w:t>2</w:t>
      </w:r>
      <w:r w:rsidRPr="003A1CBF">
        <w:rPr>
          <w:lang w:val="en-GB" w:eastAsia="en-GB"/>
        </w:rPr>
        <w:t xml:space="preserve"> basis), but could not be increased because of excessive maternal toxicity.</w:t>
      </w:r>
    </w:p>
    <w:p w14:paraId="31994B5F" w14:textId="56ACB1CD" w:rsidR="001A3992" w:rsidRPr="00530AE7" w:rsidRDefault="001A3992" w:rsidP="00B07103">
      <w:pPr>
        <w:pStyle w:val="Heading3"/>
        <w:spacing w:before="0" w:after="120"/>
        <w:ind w:left="0"/>
      </w:pPr>
      <w:r w:rsidRPr="00530AE7">
        <w:t>Use in lactation</w:t>
      </w:r>
    </w:p>
    <w:p w14:paraId="3A2DD7AB" w14:textId="5A0A474E" w:rsidR="00A162BC" w:rsidRPr="00530AE7" w:rsidRDefault="00A162BC" w:rsidP="00B07103">
      <w:pPr>
        <w:spacing w:line="240" w:lineRule="auto"/>
      </w:pPr>
      <w:r w:rsidRPr="00530AE7">
        <w:rPr>
          <w:bCs/>
        </w:rPr>
        <w:t xml:space="preserve">It is not known whether </w:t>
      </w:r>
      <w:proofErr w:type="spellStart"/>
      <w:r w:rsidRPr="00530AE7">
        <w:rPr>
          <w:bCs/>
        </w:rPr>
        <w:t>trabectedin</w:t>
      </w:r>
      <w:proofErr w:type="spellEnd"/>
      <w:r w:rsidRPr="00530AE7">
        <w:rPr>
          <w:bCs/>
        </w:rPr>
        <w:t xml:space="preserve"> is excreted in human milk. The excretion of </w:t>
      </w:r>
      <w:proofErr w:type="spellStart"/>
      <w:r w:rsidRPr="00530AE7">
        <w:rPr>
          <w:bCs/>
        </w:rPr>
        <w:t>trabectedin</w:t>
      </w:r>
      <w:proofErr w:type="spellEnd"/>
      <w:r w:rsidRPr="00530AE7">
        <w:rPr>
          <w:bCs/>
        </w:rPr>
        <w:t xml:space="preserve"> in milk has not been studied in animals. Breast</w:t>
      </w:r>
      <w:r w:rsidRPr="00530AE7">
        <w:rPr>
          <w:bCs/>
        </w:rPr>
        <w:noBreakHyphen/>
        <w:t>feeding is contraindicated</w:t>
      </w:r>
      <w:r w:rsidRPr="00530AE7">
        <w:t xml:space="preserve"> during treatment and 3 months thereafter</w:t>
      </w:r>
      <w:r w:rsidRPr="00530AE7">
        <w:rPr>
          <w:i/>
          <w:iCs/>
        </w:rPr>
        <w:t xml:space="preserve"> </w:t>
      </w:r>
      <w:r w:rsidRPr="00530AE7">
        <w:t>(see section 4.3).</w:t>
      </w:r>
    </w:p>
    <w:p w14:paraId="60ED58DF" w14:textId="77777777" w:rsidR="001A3992" w:rsidRPr="00530AE7" w:rsidRDefault="001A3992" w:rsidP="00B07103">
      <w:pPr>
        <w:pStyle w:val="Heading2"/>
        <w:spacing w:before="0" w:after="120"/>
        <w:ind w:left="0" w:firstLine="0"/>
      </w:pPr>
      <w:r w:rsidRPr="00530AE7">
        <w:t xml:space="preserve">Effects on ability to drive and use machines </w:t>
      </w:r>
    </w:p>
    <w:p w14:paraId="0C77494B" w14:textId="34F9556B" w:rsidR="005B2812" w:rsidRPr="00530AE7" w:rsidRDefault="00C836F1" w:rsidP="00B07103">
      <w:pPr>
        <w:spacing w:line="240" w:lineRule="auto"/>
        <w:rPr>
          <w:noProof/>
        </w:rPr>
      </w:pPr>
      <w:r w:rsidRPr="00530AE7">
        <w:t xml:space="preserve">No studies on the effects of the ability to drive and to use machines have been performed. However, fatigue and/or asthenia have been reported in patients receiving </w:t>
      </w:r>
      <w:r w:rsidR="00C86364">
        <w:t>YONDELIS</w:t>
      </w:r>
      <w:r w:rsidRPr="00530AE7">
        <w:t>. Patients who experience any of these adverse reactions during therapy must not drive or operate machines.</w:t>
      </w:r>
    </w:p>
    <w:p w14:paraId="57437366" w14:textId="77777777" w:rsidR="001A3992" w:rsidRPr="00530AE7" w:rsidRDefault="001A3992" w:rsidP="00B07103">
      <w:pPr>
        <w:pStyle w:val="Heading2"/>
        <w:keepNext/>
        <w:keepLines/>
        <w:spacing w:before="0" w:after="120"/>
        <w:ind w:left="0" w:firstLine="0"/>
      </w:pPr>
      <w:r w:rsidRPr="00530AE7">
        <w:t>Adverse effects (Undesirable effects)</w:t>
      </w:r>
    </w:p>
    <w:p w14:paraId="51AEEFE3" w14:textId="77777777" w:rsidR="0021200F" w:rsidRPr="00530AE7" w:rsidRDefault="0021200F" w:rsidP="00B07103">
      <w:pPr>
        <w:pStyle w:val="Heading3"/>
        <w:ind w:left="0"/>
        <w:rPr>
          <w:rFonts w:asciiTheme="minorHAnsi" w:hAnsiTheme="minorHAnsi" w:cstheme="minorHAnsi"/>
        </w:rPr>
      </w:pPr>
      <w:r w:rsidRPr="00530AE7">
        <w:rPr>
          <w:rFonts w:asciiTheme="minorHAnsi" w:hAnsiTheme="minorHAnsi" w:cstheme="minorHAnsi"/>
        </w:rPr>
        <w:t>Reporting suspected adverse effects</w:t>
      </w:r>
    </w:p>
    <w:p w14:paraId="3F35BD84" w14:textId="380B46E0" w:rsidR="005B2812" w:rsidRPr="00530AE7" w:rsidRDefault="005B2812" w:rsidP="00B07103">
      <w:pPr>
        <w:rPr>
          <w:rFonts w:cstheme="minorHAnsi"/>
        </w:rPr>
      </w:pPr>
      <w:r w:rsidRPr="00530AE7">
        <w:rPr>
          <w:rFonts w:cstheme="minorHAns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530AE7">
          <w:rPr>
            <w:rStyle w:val="Hyperlink"/>
            <w:rFonts w:cstheme="minorHAnsi"/>
          </w:rPr>
          <w:t>www.tga.gov.au/reporting-problems</w:t>
        </w:r>
      </w:hyperlink>
      <w:r w:rsidR="00CF5516">
        <w:rPr>
          <w:rFonts w:cstheme="minorHAnsi"/>
        </w:rPr>
        <w:t xml:space="preserve"> and </w:t>
      </w:r>
      <w:hyperlink r:id="rId9" w:history="1">
        <w:r w:rsidR="00CF5516" w:rsidRPr="009A7718">
          <w:rPr>
            <w:rStyle w:val="Hyperlink"/>
            <w:rFonts w:cstheme="minorHAnsi"/>
          </w:rPr>
          <w:t>drugsafety-STA@stbiopharma.com</w:t>
        </w:r>
      </w:hyperlink>
      <w:r w:rsidR="00CF5516">
        <w:rPr>
          <w:rFonts w:cstheme="minorHAnsi"/>
        </w:rPr>
        <w:t>.</w:t>
      </w:r>
    </w:p>
    <w:p w14:paraId="012D090F" w14:textId="5F2A1EBF" w:rsidR="0066779E" w:rsidRPr="00530AE7" w:rsidRDefault="0066779E" w:rsidP="00B07103">
      <w:pPr>
        <w:autoSpaceDE w:val="0"/>
        <w:autoSpaceDN w:val="0"/>
        <w:adjustRightInd w:val="0"/>
        <w:spacing w:line="240" w:lineRule="auto"/>
        <w:rPr>
          <w:iCs/>
          <w:u w:val="single"/>
          <w:lang w:eastAsia="es-ES"/>
        </w:rPr>
      </w:pPr>
      <w:r w:rsidRPr="00530AE7">
        <w:rPr>
          <w:iCs/>
          <w:u w:val="single"/>
          <w:lang w:eastAsia="es-ES"/>
        </w:rPr>
        <w:t>Summary of the safety profile</w:t>
      </w:r>
    </w:p>
    <w:p w14:paraId="091E4133" w14:textId="0AD59D75" w:rsidR="0066779E" w:rsidRPr="00530AE7" w:rsidRDefault="0066779E" w:rsidP="00B07103">
      <w:pPr>
        <w:spacing w:line="240" w:lineRule="auto"/>
        <w:rPr>
          <w:iCs/>
          <w:szCs w:val="24"/>
          <w:lang w:eastAsia="es-ES"/>
        </w:rPr>
      </w:pPr>
      <w:r w:rsidRPr="00521D8A">
        <w:t xml:space="preserve">Most patients treated with </w:t>
      </w:r>
      <w:r w:rsidR="00925B2E" w:rsidRPr="00521D8A">
        <w:t>YONDELIS</w:t>
      </w:r>
      <w:r w:rsidRPr="00521D8A">
        <w:t xml:space="preserve"> can be expected to have adverse reactions of any grade (</w:t>
      </w:r>
      <w:r w:rsidR="00155D3C" w:rsidRPr="00521D8A">
        <w:t>97.6</w:t>
      </w:r>
      <w:r w:rsidRPr="00521D8A">
        <w:t>%) and</w:t>
      </w:r>
      <w:r w:rsidR="002B022D" w:rsidRPr="00521D8A">
        <w:t xml:space="preserve"> </w:t>
      </w:r>
      <w:r w:rsidR="00284971" w:rsidRPr="00521D8A">
        <w:t xml:space="preserve">approximately </w:t>
      </w:r>
      <w:r w:rsidR="00521D8A" w:rsidRPr="00521D8A">
        <w:t>63.2</w:t>
      </w:r>
      <w:r w:rsidR="00284971" w:rsidRPr="00521D8A">
        <w:t xml:space="preserve">% </w:t>
      </w:r>
      <w:r w:rsidR="0032561B" w:rsidRPr="00521D8A">
        <w:t xml:space="preserve">of patients experience </w:t>
      </w:r>
      <w:r w:rsidRPr="00521D8A">
        <w:t>serious adverse reactions of grade 3 or 4 severity</w:t>
      </w:r>
      <w:r w:rsidR="00284971" w:rsidRPr="00521D8A">
        <w:t>.</w:t>
      </w:r>
      <w:r w:rsidRPr="00530AE7">
        <w:t xml:space="preserve"> The most common adverse reactions of any severity grade were </w:t>
      </w:r>
      <w:proofErr w:type="spellStart"/>
      <w:r w:rsidRPr="00530AE7">
        <w:t>neutrop</w:t>
      </w:r>
      <w:r w:rsidR="00495143">
        <w:t>a</w:t>
      </w:r>
      <w:r w:rsidRPr="00530AE7">
        <w:t>enia</w:t>
      </w:r>
      <w:proofErr w:type="spellEnd"/>
      <w:r w:rsidRPr="00530AE7">
        <w:t xml:space="preserve">, nausea, vomiting, increase in AST/ALT, </w:t>
      </w:r>
      <w:r w:rsidRPr="00530AE7">
        <w:rPr>
          <w:szCs w:val="24"/>
        </w:rPr>
        <w:t xml:space="preserve">anaemia, </w:t>
      </w:r>
      <w:r w:rsidRPr="00530AE7">
        <w:t xml:space="preserve">fatigue, </w:t>
      </w:r>
      <w:r w:rsidRPr="00530AE7">
        <w:rPr>
          <w:szCs w:val="24"/>
        </w:rPr>
        <w:t>thrombocytop</w:t>
      </w:r>
      <w:r w:rsidR="00495143">
        <w:rPr>
          <w:szCs w:val="24"/>
        </w:rPr>
        <w:t>a</w:t>
      </w:r>
      <w:r w:rsidRPr="00530AE7">
        <w:rPr>
          <w:szCs w:val="24"/>
        </w:rPr>
        <w:t>enia</w:t>
      </w:r>
      <w:r w:rsidRPr="00530AE7">
        <w:t>, anorexia and</w:t>
      </w:r>
      <w:r w:rsidRPr="00530AE7">
        <w:rPr>
          <w:szCs w:val="24"/>
        </w:rPr>
        <w:t xml:space="preserve"> diarrhoea.</w:t>
      </w:r>
    </w:p>
    <w:p w14:paraId="68830235" w14:textId="4006450E" w:rsidR="00E45F31" w:rsidRDefault="0066779E" w:rsidP="00B07103">
      <w:pPr>
        <w:spacing w:line="240" w:lineRule="auto"/>
        <w:rPr>
          <w:u w:val="single"/>
        </w:rPr>
      </w:pPr>
      <w:r w:rsidRPr="00520D01">
        <w:rPr>
          <w:iCs/>
          <w:szCs w:val="24"/>
          <w:lang w:eastAsia="es-ES"/>
        </w:rPr>
        <w:t xml:space="preserve">Fatal adverse reactions have occurred in </w:t>
      </w:r>
      <w:r w:rsidR="00520D01" w:rsidRPr="00520D01">
        <w:rPr>
          <w:iCs/>
          <w:szCs w:val="24"/>
          <w:lang w:eastAsia="es-ES"/>
        </w:rPr>
        <w:t>3.8</w:t>
      </w:r>
      <w:r w:rsidRPr="00520D01">
        <w:rPr>
          <w:iCs/>
          <w:szCs w:val="24"/>
          <w:lang w:eastAsia="es-ES"/>
        </w:rPr>
        <w:t xml:space="preserve">% of patients treated with </w:t>
      </w:r>
      <w:r w:rsidR="00925B2E" w:rsidRPr="00520D01">
        <w:rPr>
          <w:iCs/>
          <w:szCs w:val="24"/>
          <w:lang w:eastAsia="es-ES"/>
        </w:rPr>
        <w:t>YONDELIS</w:t>
      </w:r>
      <w:r w:rsidRPr="00520D01">
        <w:rPr>
          <w:iCs/>
          <w:szCs w:val="24"/>
          <w:lang w:eastAsia="es-ES"/>
        </w:rPr>
        <w:t xml:space="preserve">. </w:t>
      </w:r>
      <w:r w:rsidRPr="00520D01">
        <w:rPr>
          <w:szCs w:val="24"/>
        </w:rPr>
        <w:t xml:space="preserve">They were often the result of a combination of events including </w:t>
      </w:r>
      <w:proofErr w:type="spellStart"/>
      <w:r w:rsidRPr="00520D01">
        <w:rPr>
          <w:szCs w:val="24"/>
        </w:rPr>
        <w:t>pancytop</w:t>
      </w:r>
      <w:r w:rsidR="00495143" w:rsidRPr="00520D01">
        <w:rPr>
          <w:szCs w:val="24"/>
        </w:rPr>
        <w:t>a</w:t>
      </w:r>
      <w:r w:rsidRPr="00520D01">
        <w:rPr>
          <w:szCs w:val="24"/>
        </w:rPr>
        <w:t>enia</w:t>
      </w:r>
      <w:proofErr w:type="spellEnd"/>
      <w:r w:rsidRPr="00520D01">
        <w:rPr>
          <w:szCs w:val="24"/>
        </w:rPr>
        <w:t xml:space="preserve">, febrile </w:t>
      </w:r>
      <w:proofErr w:type="spellStart"/>
      <w:r w:rsidRPr="00520D01">
        <w:rPr>
          <w:szCs w:val="24"/>
        </w:rPr>
        <w:t>neutrop</w:t>
      </w:r>
      <w:r w:rsidR="00495143" w:rsidRPr="00520D01">
        <w:rPr>
          <w:szCs w:val="24"/>
        </w:rPr>
        <w:t>a</w:t>
      </w:r>
      <w:r w:rsidRPr="00520D01">
        <w:rPr>
          <w:szCs w:val="24"/>
        </w:rPr>
        <w:t>enia</w:t>
      </w:r>
      <w:proofErr w:type="spellEnd"/>
      <w:r w:rsidRPr="00520D01">
        <w:rPr>
          <w:szCs w:val="24"/>
        </w:rPr>
        <w:t xml:space="preserve">, some of them with sepsis, hepatic involvement, renal or </w:t>
      </w:r>
      <w:proofErr w:type="spellStart"/>
      <w:r w:rsidRPr="00520D01">
        <w:rPr>
          <w:szCs w:val="24"/>
        </w:rPr>
        <w:t>multiorgan</w:t>
      </w:r>
      <w:proofErr w:type="spellEnd"/>
      <w:r w:rsidRPr="00520D01">
        <w:rPr>
          <w:szCs w:val="24"/>
        </w:rPr>
        <w:t xml:space="preserve"> failure and rhabdomyolysis.</w:t>
      </w:r>
    </w:p>
    <w:p w14:paraId="1E458566" w14:textId="024D3F53" w:rsidR="0066779E" w:rsidRPr="00530AE7" w:rsidRDefault="0066779E" w:rsidP="00B07103">
      <w:pPr>
        <w:spacing w:line="240" w:lineRule="auto"/>
        <w:rPr>
          <w:u w:val="single"/>
        </w:rPr>
      </w:pPr>
      <w:r w:rsidRPr="00530AE7">
        <w:rPr>
          <w:u w:val="single"/>
        </w:rPr>
        <w:t>Tabulated summary of adverse reactions</w:t>
      </w:r>
    </w:p>
    <w:p w14:paraId="21909500" w14:textId="15E1F66D" w:rsidR="00E57205" w:rsidRDefault="0066779E" w:rsidP="00D26462">
      <w:pPr>
        <w:spacing w:line="240" w:lineRule="auto"/>
      </w:pPr>
      <w:r w:rsidRPr="00530AE7">
        <w:t xml:space="preserve">The following safety profile of </w:t>
      </w:r>
      <w:r w:rsidR="00925B2E">
        <w:t>YONDELIS</w:t>
      </w:r>
      <w:r w:rsidRPr="00530AE7">
        <w:t xml:space="preserve"> is based on adverse </w:t>
      </w:r>
      <w:r w:rsidR="00F46895">
        <w:t xml:space="preserve">events and </w:t>
      </w:r>
      <w:r w:rsidRPr="00530AE7">
        <w:t>reactions reported in clinical trials, post-authorisation safety studies and spontaneous reporting.</w:t>
      </w:r>
    </w:p>
    <w:p w14:paraId="5053060E" w14:textId="77777777" w:rsidR="00FF0108" w:rsidRPr="0032079D" w:rsidRDefault="00FF0108" w:rsidP="00FF0108">
      <w:pPr>
        <w:spacing w:line="240" w:lineRule="auto"/>
        <w:jc w:val="center"/>
      </w:pPr>
      <w:r w:rsidRPr="0032079D">
        <w:rPr>
          <w:rFonts w:eastAsia="Times New Roman"/>
          <w:b/>
        </w:rPr>
        <w:t xml:space="preserve">Table 2. </w:t>
      </w:r>
      <w:r>
        <w:rPr>
          <w:rFonts w:eastAsia="Times New Roman"/>
          <w:b/>
        </w:rPr>
        <w:t xml:space="preserve">Treatment-Emergent </w:t>
      </w:r>
      <w:r w:rsidRPr="0032079D">
        <w:rPr>
          <w:rFonts w:eastAsia="Times New Roman"/>
          <w:b/>
        </w:rPr>
        <w:t xml:space="preserve">Adverse </w:t>
      </w:r>
      <w:r>
        <w:rPr>
          <w:rFonts w:eastAsia="Times New Roman"/>
          <w:b/>
        </w:rPr>
        <w:t>E</w:t>
      </w:r>
      <w:r w:rsidRPr="0032079D">
        <w:rPr>
          <w:rFonts w:eastAsia="Times New Roman"/>
          <w:b/>
        </w:rPr>
        <w:t xml:space="preserve">vents regardless of relationship with the study treatment, worst grade per patient (frequency </w:t>
      </w:r>
      <w:r w:rsidRPr="0032079D">
        <w:rPr>
          <w:rFonts w:eastAsia="Times New Roman" w:cstheme="minorHAnsi"/>
          <w:b/>
        </w:rPr>
        <w:t>≥</w:t>
      </w:r>
      <w:r>
        <w:rPr>
          <w:rFonts w:eastAsia="Times New Roman" w:cstheme="minorHAnsi"/>
          <w:b/>
        </w:rPr>
        <w:t>10</w:t>
      </w:r>
      <w:r w:rsidRPr="0032079D">
        <w:rPr>
          <w:rFonts w:eastAsia="Times New Roman"/>
          <w:b/>
        </w:rPr>
        <w:t>%)</w:t>
      </w:r>
      <w:r>
        <w:rPr>
          <w:rFonts w:eastAsia="Times New Roman"/>
          <w:b/>
        </w:rPr>
        <w:t>; Study ET743-SAR-3007</w:t>
      </w:r>
      <w:r w:rsidRPr="00DC45B6">
        <w:rPr>
          <w:rFonts w:eastAsia="Times New Roman"/>
          <w:b/>
          <w:vertAlign w:val="superscript"/>
        </w:rPr>
        <w:t>*</w:t>
      </w:r>
    </w:p>
    <w:tbl>
      <w:tblPr>
        <w:tblW w:w="9214" w:type="dxa"/>
        <w:tblInd w:w="-10" w:type="dxa"/>
        <w:tblLook w:val="04A0" w:firstRow="1" w:lastRow="0" w:firstColumn="1" w:lastColumn="0" w:noHBand="0" w:noVBand="1"/>
      </w:tblPr>
      <w:tblGrid>
        <w:gridCol w:w="3261"/>
        <w:gridCol w:w="1488"/>
        <w:gridCol w:w="1488"/>
        <w:gridCol w:w="1488"/>
        <w:gridCol w:w="1489"/>
      </w:tblGrid>
      <w:tr w:rsidR="00FF0108" w:rsidRPr="00D263EE" w14:paraId="6F94E70F" w14:textId="77777777" w:rsidTr="00625B50">
        <w:trPr>
          <w:trHeight w:val="780"/>
          <w:tblHeader/>
        </w:trPr>
        <w:tc>
          <w:tcPr>
            <w:tcW w:w="326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C1C24AD"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System organ class</w:t>
            </w:r>
            <w:r w:rsidRPr="00D263EE">
              <w:rPr>
                <w:rFonts w:eastAsia="Times New Roman" w:cstheme="minorHAnsi"/>
                <w:b/>
                <w:bCs/>
                <w:color w:val="000000"/>
                <w:sz w:val="20"/>
                <w:szCs w:val="20"/>
              </w:rPr>
              <w:br/>
              <w:t>Preferred term</w:t>
            </w:r>
          </w:p>
        </w:tc>
        <w:tc>
          <w:tcPr>
            <w:tcW w:w="14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B7AF4D"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YONDELIS</w:t>
            </w:r>
          </w:p>
          <w:p w14:paraId="67CD0E7D"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 xml:space="preserve">q 3 </w:t>
            </w:r>
            <w:proofErr w:type="spellStart"/>
            <w:r w:rsidRPr="00D263EE">
              <w:rPr>
                <w:rFonts w:eastAsia="Times New Roman" w:cstheme="minorHAnsi"/>
                <w:b/>
                <w:bCs/>
                <w:color w:val="000000"/>
                <w:sz w:val="20"/>
                <w:szCs w:val="20"/>
              </w:rPr>
              <w:t>wk</w:t>
            </w:r>
            <w:proofErr w:type="spellEnd"/>
            <w:r w:rsidRPr="00D263EE">
              <w:rPr>
                <w:rFonts w:eastAsia="Times New Roman" w:cstheme="minorHAnsi"/>
                <w:b/>
                <w:bCs/>
                <w:color w:val="000000"/>
                <w:sz w:val="20"/>
                <w:szCs w:val="20"/>
              </w:rPr>
              <w:t xml:space="preserve"> 24-h</w:t>
            </w:r>
          </w:p>
          <w:p w14:paraId="40B1B271"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(1.5 mg/m</w:t>
            </w:r>
            <w:r w:rsidRPr="00D263EE">
              <w:rPr>
                <w:rFonts w:eastAsia="Times New Roman" w:cstheme="minorHAnsi"/>
                <w:b/>
                <w:bCs/>
                <w:color w:val="000000"/>
                <w:sz w:val="20"/>
                <w:szCs w:val="20"/>
                <w:vertAlign w:val="superscript"/>
              </w:rPr>
              <w:t>2</w:t>
            </w:r>
            <w:r w:rsidRPr="00D263EE">
              <w:rPr>
                <w:rFonts w:eastAsia="Times New Roman" w:cstheme="minorHAnsi"/>
                <w:b/>
                <w:bCs/>
                <w:color w:val="000000"/>
                <w:sz w:val="20"/>
                <w:szCs w:val="20"/>
              </w:rPr>
              <w:t>)</w:t>
            </w:r>
            <w:r w:rsidRPr="00D263EE">
              <w:rPr>
                <w:rFonts w:eastAsia="Times New Roman" w:cstheme="minorHAnsi"/>
                <w:b/>
                <w:bCs/>
                <w:color w:val="000000"/>
                <w:sz w:val="20"/>
                <w:szCs w:val="20"/>
              </w:rPr>
              <w:br/>
              <w:t>(N=378)</w:t>
            </w:r>
          </w:p>
          <w:p w14:paraId="7C177B81"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ALL GRADES</w:t>
            </w:r>
          </w:p>
        </w:tc>
        <w:tc>
          <w:tcPr>
            <w:tcW w:w="1488" w:type="dxa"/>
            <w:tcBorders>
              <w:top w:val="single" w:sz="8" w:space="0" w:color="auto"/>
              <w:left w:val="single" w:sz="8" w:space="0" w:color="auto"/>
              <w:bottom w:val="single" w:sz="8" w:space="0" w:color="auto"/>
              <w:right w:val="single" w:sz="8" w:space="0" w:color="auto"/>
            </w:tcBorders>
            <w:shd w:val="clear" w:color="000000" w:fill="F2F2F2"/>
            <w:vAlign w:val="center"/>
          </w:tcPr>
          <w:p w14:paraId="2BE9F7A1"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YONDELIS</w:t>
            </w:r>
          </w:p>
          <w:p w14:paraId="49CDA764"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 xml:space="preserve">q 3 </w:t>
            </w:r>
            <w:proofErr w:type="spellStart"/>
            <w:r w:rsidRPr="00D263EE">
              <w:rPr>
                <w:rFonts w:eastAsia="Times New Roman" w:cstheme="minorHAnsi"/>
                <w:b/>
                <w:bCs/>
                <w:color w:val="000000"/>
                <w:sz w:val="20"/>
                <w:szCs w:val="20"/>
              </w:rPr>
              <w:t>wk</w:t>
            </w:r>
            <w:proofErr w:type="spellEnd"/>
            <w:r w:rsidRPr="00D263EE">
              <w:rPr>
                <w:rFonts w:eastAsia="Times New Roman" w:cstheme="minorHAnsi"/>
                <w:b/>
                <w:bCs/>
                <w:color w:val="000000"/>
                <w:sz w:val="20"/>
                <w:szCs w:val="20"/>
              </w:rPr>
              <w:t xml:space="preserve"> 24-h</w:t>
            </w:r>
          </w:p>
          <w:p w14:paraId="719B813D"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(1.5 mg/m</w:t>
            </w:r>
            <w:r w:rsidRPr="00D263EE">
              <w:rPr>
                <w:rFonts w:eastAsia="Times New Roman" w:cstheme="minorHAnsi"/>
                <w:b/>
                <w:bCs/>
                <w:color w:val="000000"/>
                <w:sz w:val="20"/>
                <w:szCs w:val="20"/>
                <w:vertAlign w:val="superscript"/>
              </w:rPr>
              <w:t>2</w:t>
            </w:r>
            <w:r w:rsidRPr="00D263EE">
              <w:rPr>
                <w:rFonts w:eastAsia="Times New Roman" w:cstheme="minorHAnsi"/>
                <w:b/>
                <w:bCs/>
                <w:color w:val="000000"/>
                <w:sz w:val="20"/>
                <w:szCs w:val="20"/>
              </w:rPr>
              <w:t>)</w:t>
            </w:r>
            <w:r w:rsidRPr="00D263EE">
              <w:rPr>
                <w:rFonts w:eastAsia="Times New Roman" w:cstheme="minorHAnsi"/>
                <w:b/>
                <w:bCs/>
                <w:color w:val="000000"/>
                <w:sz w:val="20"/>
                <w:szCs w:val="20"/>
              </w:rPr>
              <w:br/>
              <w:t>(N=378)</w:t>
            </w:r>
          </w:p>
          <w:p w14:paraId="75BA0029" w14:textId="77777777" w:rsidR="00FF0108" w:rsidRPr="00D263EE" w:rsidRDefault="00FF0108" w:rsidP="00625B50">
            <w:pPr>
              <w:spacing w:after="0" w:line="240" w:lineRule="auto"/>
              <w:jc w:val="center"/>
              <w:rPr>
                <w:rFonts w:eastAsia="Times New Roman" w:cstheme="minorHAnsi"/>
                <w:b/>
                <w:bCs/>
                <w:color w:val="000000"/>
                <w:sz w:val="20"/>
                <w:szCs w:val="20"/>
                <w:lang w:val="es-ES"/>
              </w:rPr>
            </w:pPr>
            <w:r w:rsidRPr="00D263EE">
              <w:rPr>
                <w:rFonts w:eastAsia="Times New Roman" w:cstheme="minorHAnsi"/>
                <w:b/>
                <w:bCs/>
                <w:color w:val="000000"/>
                <w:sz w:val="20"/>
                <w:szCs w:val="20"/>
              </w:rPr>
              <w:t>GRADES 3-4</w:t>
            </w:r>
          </w:p>
        </w:tc>
        <w:tc>
          <w:tcPr>
            <w:tcW w:w="14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A52099" w14:textId="77777777" w:rsidR="00FF0108" w:rsidRPr="00D263EE" w:rsidRDefault="00FF0108" w:rsidP="00625B50">
            <w:pPr>
              <w:spacing w:after="0" w:line="240" w:lineRule="auto"/>
              <w:jc w:val="center"/>
              <w:rPr>
                <w:rFonts w:eastAsia="Times New Roman" w:cstheme="minorHAnsi"/>
                <w:b/>
                <w:bCs/>
                <w:color w:val="000000"/>
                <w:sz w:val="20"/>
                <w:szCs w:val="20"/>
              </w:rPr>
            </w:pPr>
            <w:proofErr w:type="spellStart"/>
            <w:r w:rsidRPr="00D263EE">
              <w:rPr>
                <w:rFonts w:eastAsia="Times New Roman" w:cstheme="minorHAnsi"/>
                <w:b/>
                <w:bCs/>
                <w:color w:val="000000"/>
                <w:sz w:val="20"/>
                <w:szCs w:val="20"/>
              </w:rPr>
              <w:t>Dacarbazine</w:t>
            </w:r>
            <w:proofErr w:type="spellEnd"/>
            <w:r w:rsidRPr="00D263EE">
              <w:rPr>
                <w:rFonts w:eastAsia="Times New Roman" w:cstheme="minorHAnsi"/>
                <w:b/>
                <w:bCs/>
                <w:color w:val="000000"/>
                <w:sz w:val="20"/>
                <w:szCs w:val="20"/>
              </w:rPr>
              <w:br/>
              <w:t>(N=172)</w:t>
            </w:r>
          </w:p>
          <w:p w14:paraId="08E08998"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ALL GRADES</w:t>
            </w:r>
          </w:p>
        </w:tc>
        <w:tc>
          <w:tcPr>
            <w:tcW w:w="1489" w:type="dxa"/>
            <w:tcBorders>
              <w:top w:val="single" w:sz="8" w:space="0" w:color="auto"/>
              <w:left w:val="single" w:sz="8" w:space="0" w:color="auto"/>
              <w:bottom w:val="single" w:sz="8" w:space="0" w:color="auto"/>
              <w:right w:val="single" w:sz="8" w:space="0" w:color="auto"/>
            </w:tcBorders>
            <w:shd w:val="clear" w:color="000000" w:fill="F2F2F2"/>
            <w:vAlign w:val="center"/>
          </w:tcPr>
          <w:p w14:paraId="290B3103" w14:textId="77777777" w:rsidR="00FF0108" w:rsidRPr="00D263EE" w:rsidRDefault="00FF0108" w:rsidP="00625B50">
            <w:pPr>
              <w:spacing w:after="0" w:line="240" w:lineRule="auto"/>
              <w:jc w:val="center"/>
              <w:rPr>
                <w:rFonts w:eastAsia="Times New Roman" w:cstheme="minorHAnsi"/>
                <w:b/>
                <w:bCs/>
                <w:color w:val="000000"/>
                <w:sz w:val="20"/>
                <w:szCs w:val="20"/>
              </w:rPr>
            </w:pPr>
            <w:proofErr w:type="spellStart"/>
            <w:r w:rsidRPr="00D263EE">
              <w:rPr>
                <w:rFonts w:eastAsia="Times New Roman" w:cstheme="minorHAnsi"/>
                <w:b/>
                <w:bCs/>
                <w:color w:val="000000"/>
                <w:sz w:val="20"/>
                <w:szCs w:val="20"/>
              </w:rPr>
              <w:t>Dacarbazine</w:t>
            </w:r>
            <w:proofErr w:type="spellEnd"/>
            <w:r w:rsidRPr="00D263EE">
              <w:rPr>
                <w:rFonts w:eastAsia="Times New Roman" w:cstheme="minorHAnsi"/>
                <w:b/>
                <w:bCs/>
                <w:color w:val="000000"/>
                <w:sz w:val="20"/>
                <w:szCs w:val="20"/>
              </w:rPr>
              <w:br/>
              <w:t>(N=172)</w:t>
            </w:r>
          </w:p>
          <w:p w14:paraId="2D63FAAF"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GRADES 3-4</w:t>
            </w:r>
          </w:p>
        </w:tc>
      </w:tr>
      <w:tr w:rsidR="00FF0108" w:rsidRPr="00D263EE" w14:paraId="479E12FF" w14:textId="77777777" w:rsidTr="00625B50">
        <w:trPr>
          <w:trHeight w:val="255"/>
        </w:trPr>
        <w:tc>
          <w:tcPr>
            <w:tcW w:w="3261" w:type="dxa"/>
            <w:tcBorders>
              <w:top w:val="single" w:sz="8" w:space="0" w:color="auto"/>
              <w:left w:val="single" w:sz="8" w:space="0" w:color="auto"/>
              <w:right w:val="single" w:sz="8" w:space="0" w:color="auto"/>
            </w:tcBorders>
            <w:shd w:val="clear" w:color="auto" w:fill="auto"/>
            <w:vAlign w:val="center"/>
            <w:hideMark/>
          </w:tcPr>
          <w:p w14:paraId="3E712256"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Gastrointestinal disorders</w:t>
            </w:r>
          </w:p>
        </w:tc>
        <w:tc>
          <w:tcPr>
            <w:tcW w:w="1488" w:type="dxa"/>
            <w:tcBorders>
              <w:top w:val="single" w:sz="8" w:space="0" w:color="auto"/>
              <w:left w:val="single" w:sz="8" w:space="0" w:color="auto"/>
              <w:right w:val="single" w:sz="8" w:space="0" w:color="auto"/>
            </w:tcBorders>
            <w:shd w:val="clear" w:color="auto" w:fill="auto"/>
            <w:vAlign w:val="center"/>
            <w:hideMark/>
          </w:tcPr>
          <w:p w14:paraId="153F08B3"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341 (90.2%)</w:t>
            </w:r>
          </w:p>
        </w:tc>
        <w:tc>
          <w:tcPr>
            <w:tcW w:w="1488" w:type="dxa"/>
            <w:tcBorders>
              <w:top w:val="single" w:sz="8" w:space="0" w:color="auto"/>
              <w:left w:val="single" w:sz="8" w:space="0" w:color="auto"/>
              <w:right w:val="single" w:sz="8" w:space="0" w:color="auto"/>
            </w:tcBorders>
            <w:vAlign w:val="center"/>
          </w:tcPr>
          <w:p w14:paraId="2E3D6B22"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68 (18.0%)</w:t>
            </w:r>
          </w:p>
        </w:tc>
        <w:tc>
          <w:tcPr>
            <w:tcW w:w="1488" w:type="dxa"/>
            <w:tcBorders>
              <w:top w:val="single" w:sz="8" w:space="0" w:color="auto"/>
              <w:left w:val="single" w:sz="8" w:space="0" w:color="auto"/>
              <w:right w:val="single" w:sz="8" w:space="0" w:color="auto"/>
            </w:tcBorders>
            <w:shd w:val="clear" w:color="auto" w:fill="auto"/>
            <w:vAlign w:val="center"/>
            <w:hideMark/>
          </w:tcPr>
          <w:p w14:paraId="0543C25C"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136 (79.1%)</w:t>
            </w:r>
          </w:p>
        </w:tc>
        <w:tc>
          <w:tcPr>
            <w:tcW w:w="1489" w:type="dxa"/>
            <w:tcBorders>
              <w:top w:val="single" w:sz="8" w:space="0" w:color="auto"/>
              <w:left w:val="single" w:sz="8" w:space="0" w:color="auto"/>
              <w:right w:val="single" w:sz="8" w:space="0" w:color="auto"/>
            </w:tcBorders>
            <w:vAlign w:val="center"/>
          </w:tcPr>
          <w:p w14:paraId="1383F015"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color w:val="000000"/>
                <w:sz w:val="20"/>
                <w:szCs w:val="20"/>
              </w:rPr>
              <w:t>23 (13.4%)</w:t>
            </w:r>
          </w:p>
        </w:tc>
      </w:tr>
      <w:tr w:rsidR="00FF0108" w:rsidRPr="00D263EE" w14:paraId="4761F045"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164B916A"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Nausea</w:t>
            </w:r>
          </w:p>
        </w:tc>
        <w:tc>
          <w:tcPr>
            <w:tcW w:w="1488" w:type="dxa"/>
            <w:tcBorders>
              <w:left w:val="single" w:sz="8" w:space="0" w:color="auto"/>
              <w:right w:val="single" w:sz="8" w:space="0" w:color="auto"/>
            </w:tcBorders>
            <w:shd w:val="clear" w:color="auto" w:fill="auto"/>
            <w:vAlign w:val="center"/>
            <w:hideMark/>
          </w:tcPr>
          <w:p w14:paraId="6C163BA3"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285 (75.4%)</w:t>
            </w:r>
          </w:p>
        </w:tc>
        <w:tc>
          <w:tcPr>
            <w:tcW w:w="1488" w:type="dxa"/>
            <w:tcBorders>
              <w:left w:val="single" w:sz="8" w:space="0" w:color="auto"/>
              <w:right w:val="single" w:sz="8" w:space="0" w:color="auto"/>
            </w:tcBorders>
            <w:vAlign w:val="center"/>
          </w:tcPr>
          <w:p w14:paraId="2BFADBE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26 (6.9%)</w:t>
            </w:r>
          </w:p>
        </w:tc>
        <w:tc>
          <w:tcPr>
            <w:tcW w:w="1488" w:type="dxa"/>
            <w:tcBorders>
              <w:left w:val="single" w:sz="8" w:space="0" w:color="auto"/>
              <w:right w:val="single" w:sz="8" w:space="0" w:color="auto"/>
            </w:tcBorders>
            <w:shd w:val="clear" w:color="auto" w:fill="auto"/>
            <w:vAlign w:val="center"/>
            <w:hideMark/>
          </w:tcPr>
          <w:p w14:paraId="51D2A773"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86 (50.0%)</w:t>
            </w:r>
          </w:p>
        </w:tc>
        <w:tc>
          <w:tcPr>
            <w:tcW w:w="1489" w:type="dxa"/>
            <w:tcBorders>
              <w:left w:val="single" w:sz="8" w:space="0" w:color="auto"/>
              <w:right w:val="single" w:sz="8" w:space="0" w:color="auto"/>
            </w:tcBorders>
            <w:vAlign w:val="center"/>
          </w:tcPr>
          <w:p w14:paraId="196EB6A7"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 (1.7%)</w:t>
            </w:r>
          </w:p>
        </w:tc>
      </w:tr>
      <w:tr w:rsidR="00FF0108" w:rsidRPr="00D263EE" w14:paraId="3B51E598"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134B6B79"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Abdominal pain</w:t>
            </w:r>
          </w:p>
        </w:tc>
        <w:tc>
          <w:tcPr>
            <w:tcW w:w="1488" w:type="dxa"/>
            <w:tcBorders>
              <w:left w:val="single" w:sz="8" w:space="0" w:color="auto"/>
              <w:right w:val="single" w:sz="8" w:space="0" w:color="auto"/>
            </w:tcBorders>
            <w:shd w:val="clear" w:color="auto" w:fill="auto"/>
            <w:vAlign w:val="center"/>
            <w:hideMark/>
          </w:tcPr>
          <w:p w14:paraId="4F66C3B8"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68 (18.0%)</w:t>
            </w:r>
          </w:p>
        </w:tc>
        <w:tc>
          <w:tcPr>
            <w:tcW w:w="1488" w:type="dxa"/>
            <w:tcBorders>
              <w:left w:val="single" w:sz="8" w:space="0" w:color="auto"/>
              <w:right w:val="single" w:sz="8" w:space="0" w:color="auto"/>
            </w:tcBorders>
            <w:shd w:val="clear" w:color="auto" w:fill="auto"/>
            <w:vAlign w:val="center"/>
          </w:tcPr>
          <w:p w14:paraId="346F3D9D"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16 (4.2%)</w:t>
            </w:r>
          </w:p>
        </w:tc>
        <w:tc>
          <w:tcPr>
            <w:tcW w:w="1488" w:type="dxa"/>
            <w:tcBorders>
              <w:left w:val="single" w:sz="8" w:space="0" w:color="auto"/>
              <w:right w:val="single" w:sz="8" w:space="0" w:color="auto"/>
            </w:tcBorders>
            <w:shd w:val="clear" w:color="auto" w:fill="auto"/>
            <w:vAlign w:val="center"/>
            <w:hideMark/>
          </w:tcPr>
          <w:p w14:paraId="2A9B8CB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36 (20.9%)</w:t>
            </w:r>
          </w:p>
        </w:tc>
        <w:tc>
          <w:tcPr>
            <w:tcW w:w="1489" w:type="dxa"/>
            <w:tcBorders>
              <w:left w:val="single" w:sz="8" w:space="0" w:color="auto"/>
              <w:right w:val="single" w:sz="8" w:space="0" w:color="auto"/>
            </w:tcBorders>
            <w:shd w:val="clear" w:color="auto" w:fill="auto"/>
            <w:vAlign w:val="center"/>
          </w:tcPr>
          <w:p w14:paraId="2C726322"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10 (5.8%)</w:t>
            </w:r>
          </w:p>
        </w:tc>
      </w:tr>
      <w:tr w:rsidR="00FF0108" w:rsidRPr="00D263EE" w14:paraId="22DB969E"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4FE1D4AE"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Vomiting</w:t>
            </w:r>
          </w:p>
        </w:tc>
        <w:tc>
          <w:tcPr>
            <w:tcW w:w="1488" w:type="dxa"/>
            <w:tcBorders>
              <w:left w:val="single" w:sz="8" w:space="0" w:color="auto"/>
              <w:right w:val="single" w:sz="8" w:space="0" w:color="auto"/>
            </w:tcBorders>
            <w:shd w:val="clear" w:color="auto" w:fill="auto"/>
            <w:vAlign w:val="center"/>
            <w:hideMark/>
          </w:tcPr>
          <w:p w14:paraId="25A8F69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173 (45.8%)</w:t>
            </w:r>
          </w:p>
        </w:tc>
        <w:tc>
          <w:tcPr>
            <w:tcW w:w="1488" w:type="dxa"/>
            <w:tcBorders>
              <w:left w:val="single" w:sz="8" w:space="0" w:color="auto"/>
              <w:right w:val="single" w:sz="8" w:space="0" w:color="auto"/>
            </w:tcBorders>
            <w:shd w:val="clear" w:color="auto" w:fill="auto"/>
            <w:vAlign w:val="center"/>
          </w:tcPr>
          <w:p w14:paraId="5E0907D3"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22 (5.8%)</w:t>
            </w:r>
          </w:p>
        </w:tc>
        <w:tc>
          <w:tcPr>
            <w:tcW w:w="1488" w:type="dxa"/>
            <w:tcBorders>
              <w:left w:val="single" w:sz="8" w:space="0" w:color="auto"/>
              <w:right w:val="single" w:sz="8" w:space="0" w:color="auto"/>
            </w:tcBorders>
            <w:shd w:val="clear" w:color="auto" w:fill="auto"/>
            <w:vAlign w:val="center"/>
            <w:hideMark/>
          </w:tcPr>
          <w:p w14:paraId="1B7E04FE"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37 (21.5%)</w:t>
            </w:r>
          </w:p>
        </w:tc>
        <w:tc>
          <w:tcPr>
            <w:tcW w:w="1489" w:type="dxa"/>
            <w:tcBorders>
              <w:left w:val="single" w:sz="8" w:space="0" w:color="auto"/>
              <w:right w:val="single" w:sz="8" w:space="0" w:color="auto"/>
            </w:tcBorders>
            <w:shd w:val="clear" w:color="auto" w:fill="auto"/>
            <w:vAlign w:val="center"/>
          </w:tcPr>
          <w:p w14:paraId="4C9247DC"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 (1.2%)</w:t>
            </w:r>
          </w:p>
        </w:tc>
      </w:tr>
      <w:tr w:rsidR="00FF0108" w:rsidRPr="00D263EE" w14:paraId="6B4D3A9F"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5D2E011D"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Constipation</w:t>
            </w:r>
          </w:p>
        </w:tc>
        <w:tc>
          <w:tcPr>
            <w:tcW w:w="1488" w:type="dxa"/>
            <w:tcBorders>
              <w:left w:val="single" w:sz="8" w:space="0" w:color="auto"/>
              <w:right w:val="single" w:sz="8" w:space="0" w:color="auto"/>
            </w:tcBorders>
            <w:shd w:val="clear" w:color="auto" w:fill="auto"/>
            <w:vAlign w:val="center"/>
            <w:hideMark/>
          </w:tcPr>
          <w:p w14:paraId="48EDADF2"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140 (37.0%)</w:t>
            </w:r>
          </w:p>
        </w:tc>
        <w:tc>
          <w:tcPr>
            <w:tcW w:w="1488" w:type="dxa"/>
            <w:tcBorders>
              <w:left w:val="single" w:sz="8" w:space="0" w:color="auto"/>
              <w:right w:val="single" w:sz="8" w:space="0" w:color="auto"/>
            </w:tcBorders>
            <w:shd w:val="clear" w:color="auto" w:fill="auto"/>
            <w:vAlign w:val="center"/>
          </w:tcPr>
          <w:p w14:paraId="6136F2C8"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 (0.8%)</w:t>
            </w:r>
          </w:p>
        </w:tc>
        <w:tc>
          <w:tcPr>
            <w:tcW w:w="1488" w:type="dxa"/>
            <w:tcBorders>
              <w:left w:val="single" w:sz="8" w:space="0" w:color="auto"/>
              <w:right w:val="single" w:sz="8" w:space="0" w:color="auto"/>
            </w:tcBorders>
            <w:shd w:val="clear" w:color="auto" w:fill="auto"/>
            <w:vAlign w:val="center"/>
            <w:hideMark/>
          </w:tcPr>
          <w:p w14:paraId="140CC2A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53 (30.8%)</w:t>
            </w:r>
          </w:p>
        </w:tc>
        <w:tc>
          <w:tcPr>
            <w:tcW w:w="1489" w:type="dxa"/>
            <w:tcBorders>
              <w:left w:val="single" w:sz="8" w:space="0" w:color="auto"/>
              <w:right w:val="single" w:sz="8" w:space="0" w:color="auto"/>
            </w:tcBorders>
            <w:shd w:val="clear" w:color="auto" w:fill="auto"/>
            <w:vAlign w:val="center"/>
          </w:tcPr>
          <w:p w14:paraId="4893DB3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(0.6%)</w:t>
            </w:r>
          </w:p>
        </w:tc>
      </w:tr>
      <w:tr w:rsidR="00FF0108" w:rsidRPr="00D263EE" w14:paraId="69CF963C"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0CCED2B6"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Diarrhoea</w:t>
            </w:r>
          </w:p>
        </w:tc>
        <w:tc>
          <w:tcPr>
            <w:tcW w:w="1488" w:type="dxa"/>
            <w:tcBorders>
              <w:left w:val="single" w:sz="8" w:space="0" w:color="auto"/>
              <w:right w:val="single" w:sz="8" w:space="0" w:color="auto"/>
            </w:tcBorders>
            <w:shd w:val="clear" w:color="auto" w:fill="auto"/>
            <w:vAlign w:val="center"/>
            <w:hideMark/>
          </w:tcPr>
          <w:p w14:paraId="757647C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132 (34.9%)</w:t>
            </w:r>
          </w:p>
        </w:tc>
        <w:tc>
          <w:tcPr>
            <w:tcW w:w="1488" w:type="dxa"/>
            <w:tcBorders>
              <w:left w:val="single" w:sz="8" w:space="0" w:color="auto"/>
              <w:right w:val="single" w:sz="8" w:space="0" w:color="auto"/>
            </w:tcBorders>
            <w:shd w:val="clear" w:color="auto" w:fill="auto"/>
            <w:vAlign w:val="center"/>
          </w:tcPr>
          <w:p w14:paraId="55ACE8A6"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6 (1.6%)</w:t>
            </w:r>
          </w:p>
        </w:tc>
        <w:tc>
          <w:tcPr>
            <w:tcW w:w="1488" w:type="dxa"/>
            <w:tcBorders>
              <w:left w:val="single" w:sz="8" w:space="0" w:color="auto"/>
              <w:right w:val="single" w:sz="8" w:space="0" w:color="auto"/>
            </w:tcBorders>
            <w:shd w:val="clear" w:color="auto" w:fill="auto"/>
            <w:vAlign w:val="center"/>
            <w:hideMark/>
          </w:tcPr>
          <w:p w14:paraId="6566013E"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40 (23.3%)</w:t>
            </w:r>
          </w:p>
        </w:tc>
        <w:tc>
          <w:tcPr>
            <w:tcW w:w="1489" w:type="dxa"/>
            <w:tcBorders>
              <w:left w:val="single" w:sz="8" w:space="0" w:color="auto"/>
              <w:right w:val="single" w:sz="8" w:space="0" w:color="auto"/>
            </w:tcBorders>
            <w:shd w:val="clear" w:color="auto" w:fill="auto"/>
            <w:vAlign w:val="center"/>
          </w:tcPr>
          <w:p w14:paraId="154A98A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371063E7"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5BC36BE3"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Skin and subcutaneous tissue disorders</w:t>
            </w:r>
          </w:p>
        </w:tc>
        <w:tc>
          <w:tcPr>
            <w:tcW w:w="1488" w:type="dxa"/>
            <w:tcBorders>
              <w:left w:val="single" w:sz="8" w:space="0" w:color="auto"/>
              <w:right w:val="single" w:sz="8" w:space="0" w:color="auto"/>
            </w:tcBorders>
            <w:shd w:val="clear" w:color="auto" w:fill="auto"/>
            <w:vAlign w:val="center"/>
            <w:hideMark/>
          </w:tcPr>
          <w:p w14:paraId="730ED979"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93 (24.6%)</w:t>
            </w:r>
          </w:p>
        </w:tc>
        <w:tc>
          <w:tcPr>
            <w:tcW w:w="1488" w:type="dxa"/>
            <w:tcBorders>
              <w:left w:val="single" w:sz="8" w:space="0" w:color="auto"/>
              <w:right w:val="single" w:sz="8" w:space="0" w:color="auto"/>
            </w:tcBorders>
            <w:shd w:val="clear" w:color="auto" w:fill="auto"/>
            <w:vAlign w:val="center"/>
          </w:tcPr>
          <w:p w14:paraId="1BB9FA62"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0</w:t>
            </w:r>
          </w:p>
        </w:tc>
        <w:tc>
          <w:tcPr>
            <w:tcW w:w="1488" w:type="dxa"/>
            <w:tcBorders>
              <w:left w:val="single" w:sz="8" w:space="0" w:color="auto"/>
              <w:right w:val="single" w:sz="8" w:space="0" w:color="auto"/>
            </w:tcBorders>
            <w:shd w:val="clear" w:color="auto" w:fill="auto"/>
            <w:vAlign w:val="center"/>
            <w:hideMark/>
          </w:tcPr>
          <w:p w14:paraId="48C74C28"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44 (25.6%)</w:t>
            </w:r>
          </w:p>
        </w:tc>
        <w:tc>
          <w:tcPr>
            <w:tcW w:w="1489" w:type="dxa"/>
            <w:tcBorders>
              <w:left w:val="single" w:sz="8" w:space="0" w:color="auto"/>
              <w:right w:val="single" w:sz="8" w:space="0" w:color="auto"/>
            </w:tcBorders>
            <w:shd w:val="clear" w:color="auto" w:fill="auto"/>
            <w:vAlign w:val="center"/>
          </w:tcPr>
          <w:p w14:paraId="20C16A1B"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0</w:t>
            </w:r>
          </w:p>
        </w:tc>
      </w:tr>
      <w:tr w:rsidR="00FF0108" w:rsidRPr="00D263EE" w14:paraId="77D47FBB"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0AD56372"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General disorders and administration site conditions</w:t>
            </w:r>
          </w:p>
        </w:tc>
        <w:tc>
          <w:tcPr>
            <w:tcW w:w="1488" w:type="dxa"/>
            <w:tcBorders>
              <w:left w:val="single" w:sz="8" w:space="0" w:color="auto"/>
              <w:right w:val="single" w:sz="8" w:space="0" w:color="auto"/>
            </w:tcBorders>
            <w:shd w:val="clear" w:color="auto" w:fill="auto"/>
            <w:vAlign w:val="center"/>
            <w:hideMark/>
          </w:tcPr>
          <w:p w14:paraId="3754CDAD"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324 (85.7%)</w:t>
            </w:r>
          </w:p>
        </w:tc>
        <w:tc>
          <w:tcPr>
            <w:tcW w:w="1488" w:type="dxa"/>
            <w:tcBorders>
              <w:left w:val="single" w:sz="8" w:space="0" w:color="auto"/>
              <w:right w:val="single" w:sz="8" w:space="0" w:color="auto"/>
            </w:tcBorders>
            <w:shd w:val="clear" w:color="auto" w:fill="auto"/>
            <w:vAlign w:val="center"/>
          </w:tcPr>
          <w:p w14:paraId="4B6347B4"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57 (15.1%)</w:t>
            </w:r>
          </w:p>
        </w:tc>
        <w:tc>
          <w:tcPr>
            <w:tcW w:w="1488" w:type="dxa"/>
            <w:tcBorders>
              <w:left w:val="single" w:sz="8" w:space="0" w:color="auto"/>
              <w:right w:val="single" w:sz="8" w:space="0" w:color="auto"/>
            </w:tcBorders>
            <w:shd w:val="clear" w:color="auto" w:fill="auto"/>
            <w:vAlign w:val="center"/>
            <w:hideMark/>
          </w:tcPr>
          <w:p w14:paraId="3AC2A6C6"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121 (70.3%)</w:t>
            </w:r>
          </w:p>
        </w:tc>
        <w:tc>
          <w:tcPr>
            <w:tcW w:w="1489" w:type="dxa"/>
            <w:tcBorders>
              <w:left w:val="single" w:sz="8" w:space="0" w:color="auto"/>
              <w:right w:val="single" w:sz="8" w:space="0" w:color="auto"/>
            </w:tcBorders>
            <w:shd w:val="clear" w:color="auto" w:fill="auto"/>
            <w:vAlign w:val="center"/>
          </w:tcPr>
          <w:p w14:paraId="5884C05C"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10 (5.8%)</w:t>
            </w:r>
          </w:p>
        </w:tc>
      </w:tr>
      <w:tr w:rsidR="00FF0108" w:rsidRPr="00D263EE" w14:paraId="2617F32B"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2E3521DF"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Fatigue</w:t>
            </w:r>
          </w:p>
        </w:tc>
        <w:tc>
          <w:tcPr>
            <w:tcW w:w="1488" w:type="dxa"/>
            <w:tcBorders>
              <w:left w:val="single" w:sz="8" w:space="0" w:color="auto"/>
              <w:right w:val="single" w:sz="8" w:space="0" w:color="auto"/>
            </w:tcBorders>
            <w:shd w:val="clear" w:color="auto" w:fill="auto"/>
            <w:vAlign w:val="center"/>
            <w:hideMark/>
          </w:tcPr>
          <w:p w14:paraId="4761221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261 (69.0%)</w:t>
            </w:r>
          </w:p>
        </w:tc>
        <w:tc>
          <w:tcPr>
            <w:tcW w:w="1488" w:type="dxa"/>
            <w:tcBorders>
              <w:left w:val="single" w:sz="8" w:space="0" w:color="auto"/>
              <w:right w:val="single" w:sz="8" w:space="0" w:color="auto"/>
            </w:tcBorders>
            <w:shd w:val="clear" w:color="auto" w:fill="auto"/>
            <w:vAlign w:val="center"/>
          </w:tcPr>
          <w:p w14:paraId="746550B3"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31 (8.2%)</w:t>
            </w:r>
          </w:p>
        </w:tc>
        <w:tc>
          <w:tcPr>
            <w:tcW w:w="1488" w:type="dxa"/>
            <w:tcBorders>
              <w:left w:val="single" w:sz="8" w:space="0" w:color="auto"/>
              <w:right w:val="single" w:sz="8" w:space="0" w:color="auto"/>
            </w:tcBorders>
            <w:shd w:val="clear" w:color="auto" w:fill="auto"/>
            <w:vAlign w:val="center"/>
            <w:hideMark/>
          </w:tcPr>
          <w:p w14:paraId="6DD5D16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89 (51.7%)</w:t>
            </w:r>
          </w:p>
        </w:tc>
        <w:tc>
          <w:tcPr>
            <w:tcW w:w="1489" w:type="dxa"/>
            <w:tcBorders>
              <w:left w:val="single" w:sz="8" w:space="0" w:color="auto"/>
              <w:right w:val="single" w:sz="8" w:space="0" w:color="auto"/>
            </w:tcBorders>
            <w:shd w:val="clear" w:color="auto" w:fill="auto"/>
            <w:vAlign w:val="center"/>
          </w:tcPr>
          <w:p w14:paraId="3ECEFEF6"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3 (1.7%)</w:t>
            </w:r>
          </w:p>
        </w:tc>
      </w:tr>
      <w:tr w:rsidR="00FF0108" w:rsidRPr="00D263EE" w14:paraId="40DE8DED"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7FD87D40"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Pyrexia</w:t>
            </w:r>
          </w:p>
        </w:tc>
        <w:tc>
          <w:tcPr>
            <w:tcW w:w="1488" w:type="dxa"/>
            <w:tcBorders>
              <w:left w:val="single" w:sz="8" w:space="0" w:color="auto"/>
              <w:right w:val="single" w:sz="8" w:space="0" w:color="auto"/>
            </w:tcBorders>
            <w:shd w:val="clear" w:color="auto" w:fill="auto"/>
            <w:vAlign w:val="center"/>
            <w:hideMark/>
          </w:tcPr>
          <w:p w14:paraId="2F4A0F2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71 (18.8%)</w:t>
            </w:r>
          </w:p>
        </w:tc>
        <w:tc>
          <w:tcPr>
            <w:tcW w:w="1488" w:type="dxa"/>
            <w:tcBorders>
              <w:left w:val="single" w:sz="8" w:space="0" w:color="auto"/>
              <w:right w:val="single" w:sz="8" w:space="0" w:color="auto"/>
            </w:tcBorders>
            <w:shd w:val="clear" w:color="auto" w:fill="auto"/>
            <w:vAlign w:val="center"/>
          </w:tcPr>
          <w:p w14:paraId="47339A8A"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 (0.8%)</w:t>
            </w:r>
          </w:p>
        </w:tc>
        <w:tc>
          <w:tcPr>
            <w:tcW w:w="1488" w:type="dxa"/>
            <w:tcBorders>
              <w:left w:val="single" w:sz="8" w:space="0" w:color="auto"/>
              <w:right w:val="single" w:sz="8" w:space="0" w:color="auto"/>
            </w:tcBorders>
            <w:shd w:val="clear" w:color="auto" w:fill="auto"/>
            <w:vAlign w:val="center"/>
            <w:hideMark/>
          </w:tcPr>
          <w:p w14:paraId="21BC7E6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28 (16.3%)</w:t>
            </w:r>
          </w:p>
        </w:tc>
        <w:tc>
          <w:tcPr>
            <w:tcW w:w="1489" w:type="dxa"/>
            <w:tcBorders>
              <w:left w:val="single" w:sz="8" w:space="0" w:color="auto"/>
              <w:right w:val="single" w:sz="8" w:space="0" w:color="auto"/>
            </w:tcBorders>
            <w:shd w:val="clear" w:color="auto" w:fill="auto"/>
            <w:vAlign w:val="center"/>
          </w:tcPr>
          <w:p w14:paraId="5749AF7F"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(0.6%)</w:t>
            </w:r>
          </w:p>
        </w:tc>
      </w:tr>
      <w:tr w:rsidR="00FF0108" w:rsidRPr="00D263EE" w14:paraId="58778818"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34F7A16D"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 xml:space="preserve">Oedema </w:t>
            </w:r>
            <w:r w:rsidRPr="00D263EE">
              <w:rPr>
                <w:rFonts w:eastAsia="TimesNewRoman" w:cstheme="minorHAnsi"/>
                <w:sz w:val="20"/>
                <w:szCs w:val="20"/>
              </w:rPr>
              <w:t>peripheral</w:t>
            </w:r>
          </w:p>
        </w:tc>
        <w:tc>
          <w:tcPr>
            <w:tcW w:w="1488" w:type="dxa"/>
            <w:tcBorders>
              <w:left w:val="single" w:sz="8" w:space="0" w:color="auto"/>
              <w:right w:val="single" w:sz="8" w:space="0" w:color="auto"/>
            </w:tcBorders>
            <w:shd w:val="clear" w:color="auto" w:fill="auto"/>
            <w:vAlign w:val="center"/>
            <w:hideMark/>
          </w:tcPr>
          <w:p w14:paraId="1AF8B4C2"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107 (28.3%)</w:t>
            </w:r>
          </w:p>
        </w:tc>
        <w:tc>
          <w:tcPr>
            <w:tcW w:w="1488" w:type="dxa"/>
            <w:tcBorders>
              <w:left w:val="single" w:sz="8" w:space="0" w:color="auto"/>
              <w:right w:val="single" w:sz="8" w:space="0" w:color="auto"/>
            </w:tcBorders>
            <w:shd w:val="clear" w:color="auto" w:fill="auto"/>
            <w:vAlign w:val="center"/>
          </w:tcPr>
          <w:p w14:paraId="523B2801"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 (0.8%)</w:t>
            </w:r>
          </w:p>
        </w:tc>
        <w:tc>
          <w:tcPr>
            <w:tcW w:w="1488" w:type="dxa"/>
            <w:tcBorders>
              <w:left w:val="single" w:sz="8" w:space="0" w:color="auto"/>
              <w:right w:val="single" w:sz="8" w:space="0" w:color="auto"/>
            </w:tcBorders>
            <w:shd w:val="clear" w:color="auto" w:fill="auto"/>
            <w:vAlign w:val="center"/>
            <w:hideMark/>
          </w:tcPr>
          <w:p w14:paraId="427A8AAD"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22 (12.8%)</w:t>
            </w:r>
          </w:p>
        </w:tc>
        <w:tc>
          <w:tcPr>
            <w:tcW w:w="1489" w:type="dxa"/>
            <w:tcBorders>
              <w:left w:val="single" w:sz="8" w:space="0" w:color="auto"/>
              <w:right w:val="single" w:sz="8" w:space="0" w:color="auto"/>
            </w:tcBorders>
            <w:shd w:val="clear" w:color="auto" w:fill="auto"/>
            <w:vAlign w:val="center"/>
          </w:tcPr>
          <w:p w14:paraId="7226E04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(0.6%)</w:t>
            </w:r>
          </w:p>
        </w:tc>
      </w:tr>
      <w:tr w:rsidR="00FF0108" w:rsidRPr="00D263EE" w14:paraId="017912AE"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7CACDB74"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Blood and lymphatic system disorders</w:t>
            </w:r>
          </w:p>
        </w:tc>
        <w:tc>
          <w:tcPr>
            <w:tcW w:w="1488" w:type="dxa"/>
            <w:tcBorders>
              <w:left w:val="single" w:sz="8" w:space="0" w:color="auto"/>
              <w:right w:val="single" w:sz="8" w:space="0" w:color="auto"/>
            </w:tcBorders>
            <w:shd w:val="clear" w:color="auto" w:fill="auto"/>
            <w:vAlign w:val="center"/>
            <w:hideMark/>
          </w:tcPr>
          <w:p w14:paraId="0E6BF013"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230 (60.8%)</w:t>
            </w:r>
          </w:p>
        </w:tc>
        <w:tc>
          <w:tcPr>
            <w:tcW w:w="1488" w:type="dxa"/>
            <w:tcBorders>
              <w:left w:val="single" w:sz="8" w:space="0" w:color="auto"/>
              <w:right w:val="single" w:sz="8" w:space="0" w:color="auto"/>
            </w:tcBorders>
            <w:shd w:val="clear" w:color="auto" w:fill="auto"/>
            <w:vAlign w:val="center"/>
          </w:tcPr>
          <w:p w14:paraId="5DE5B0FD"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140 (37.0%)</w:t>
            </w:r>
          </w:p>
        </w:tc>
        <w:tc>
          <w:tcPr>
            <w:tcW w:w="1488" w:type="dxa"/>
            <w:tcBorders>
              <w:left w:val="single" w:sz="8" w:space="0" w:color="auto"/>
              <w:right w:val="single" w:sz="8" w:space="0" w:color="auto"/>
            </w:tcBorders>
            <w:shd w:val="clear" w:color="auto" w:fill="auto"/>
            <w:vAlign w:val="center"/>
            <w:hideMark/>
          </w:tcPr>
          <w:p w14:paraId="4FC3BA91"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77 (44.8%)</w:t>
            </w:r>
          </w:p>
        </w:tc>
        <w:tc>
          <w:tcPr>
            <w:tcW w:w="1489" w:type="dxa"/>
            <w:tcBorders>
              <w:left w:val="single" w:sz="8" w:space="0" w:color="auto"/>
              <w:right w:val="single" w:sz="8" w:space="0" w:color="auto"/>
            </w:tcBorders>
            <w:shd w:val="clear" w:color="auto" w:fill="auto"/>
            <w:vAlign w:val="center"/>
          </w:tcPr>
          <w:p w14:paraId="22D932A8"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44 (25.6%)</w:t>
            </w:r>
          </w:p>
        </w:tc>
      </w:tr>
      <w:tr w:rsidR="00FF0108" w:rsidRPr="00D263EE" w14:paraId="58D096E6"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1CCE40CE"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proofErr w:type="spellStart"/>
            <w:r w:rsidRPr="00D263EE">
              <w:rPr>
                <w:rFonts w:eastAsia="Times New Roman" w:cstheme="minorHAnsi"/>
                <w:color w:val="000000"/>
                <w:sz w:val="20"/>
                <w:szCs w:val="20"/>
              </w:rPr>
              <w:t>Neutropaenia</w:t>
            </w:r>
            <w:proofErr w:type="spellEnd"/>
          </w:p>
        </w:tc>
        <w:tc>
          <w:tcPr>
            <w:tcW w:w="1488" w:type="dxa"/>
            <w:tcBorders>
              <w:left w:val="single" w:sz="8" w:space="0" w:color="auto"/>
              <w:right w:val="single" w:sz="8" w:space="0" w:color="auto"/>
            </w:tcBorders>
            <w:shd w:val="clear" w:color="auto" w:fill="auto"/>
            <w:vAlign w:val="center"/>
            <w:hideMark/>
          </w:tcPr>
          <w:p w14:paraId="2F98DD07"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119 (31.5%)</w:t>
            </w:r>
          </w:p>
        </w:tc>
        <w:tc>
          <w:tcPr>
            <w:tcW w:w="1488" w:type="dxa"/>
            <w:tcBorders>
              <w:left w:val="single" w:sz="8" w:space="0" w:color="auto"/>
              <w:right w:val="single" w:sz="8" w:space="0" w:color="auto"/>
            </w:tcBorders>
            <w:shd w:val="clear" w:color="auto" w:fill="auto"/>
            <w:vAlign w:val="center"/>
          </w:tcPr>
          <w:p w14:paraId="166431BF"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91 (24.1%)</w:t>
            </w:r>
          </w:p>
        </w:tc>
        <w:tc>
          <w:tcPr>
            <w:tcW w:w="1488" w:type="dxa"/>
            <w:tcBorders>
              <w:left w:val="single" w:sz="8" w:space="0" w:color="auto"/>
              <w:right w:val="single" w:sz="8" w:space="0" w:color="auto"/>
            </w:tcBorders>
            <w:shd w:val="clear" w:color="auto" w:fill="auto"/>
            <w:vAlign w:val="center"/>
            <w:hideMark/>
          </w:tcPr>
          <w:p w14:paraId="1CD5203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31 (18.0%)</w:t>
            </w:r>
          </w:p>
        </w:tc>
        <w:tc>
          <w:tcPr>
            <w:tcW w:w="1489" w:type="dxa"/>
            <w:tcBorders>
              <w:left w:val="single" w:sz="8" w:space="0" w:color="auto"/>
              <w:right w:val="single" w:sz="8" w:space="0" w:color="auto"/>
            </w:tcBorders>
            <w:shd w:val="clear" w:color="auto" w:fill="auto"/>
            <w:vAlign w:val="center"/>
          </w:tcPr>
          <w:p w14:paraId="37412260"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22 (12.8%)</w:t>
            </w:r>
          </w:p>
        </w:tc>
      </w:tr>
      <w:tr w:rsidR="00FF0108" w:rsidRPr="00D263EE" w14:paraId="033A2F0E"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5539EBCA"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proofErr w:type="spellStart"/>
            <w:r w:rsidRPr="00D263EE">
              <w:rPr>
                <w:rFonts w:eastAsia="Times New Roman" w:cstheme="minorHAnsi"/>
                <w:color w:val="000000"/>
                <w:sz w:val="20"/>
                <w:szCs w:val="20"/>
              </w:rPr>
              <w:t>Leukopaenia</w:t>
            </w:r>
            <w:proofErr w:type="spellEnd"/>
          </w:p>
        </w:tc>
        <w:tc>
          <w:tcPr>
            <w:tcW w:w="1488" w:type="dxa"/>
            <w:tcBorders>
              <w:left w:val="single" w:sz="8" w:space="0" w:color="auto"/>
              <w:right w:val="single" w:sz="8" w:space="0" w:color="auto"/>
            </w:tcBorders>
            <w:shd w:val="clear" w:color="auto" w:fill="auto"/>
            <w:vAlign w:val="center"/>
            <w:hideMark/>
          </w:tcPr>
          <w:p w14:paraId="2A17965A"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45 (11.9%)</w:t>
            </w:r>
          </w:p>
        </w:tc>
        <w:tc>
          <w:tcPr>
            <w:tcW w:w="1488" w:type="dxa"/>
            <w:tcBorders>
              <w:left w:val="single" w:sz="8" w:space="0" w:color="auto"/>
              <w:right w:val="single" w:sz="8" w:space="0" w:color="auto"/>
            </w:tcBorders>
            <w:shd w:val="clear" w:color="auto" w:fill="auto"/>
            <w:vAlign w:val="center"/>
          </w:tcPr>
          <w:p w14:paraId="65EFB8BC"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37 (9.8%)</w:t>
            </w:r>
          </w:p>
        </w:tc>
        <w:tc>
          <w:tcPr>
            <w:tcW w:w="1488" w:type="dxa"/>
            <w:tcBorders>
              <w:left w:val="single" w:sz="8" w:space="0" w:color="auto"/>
              <w:right w:val="single" w:sz="8" w:space="0" w:color="auto"/>
            </w:tcBorders>
            <w:shd w:val="clear" w:color="auto" w:fill="auto"/>
            <w:vAlign w:val="center"/>
            <w:hideMark/>
          </w:tcPr>
          <w:p w14:paraId="388EED6C"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13 (7.6%)</w:t>
            </w:r>
          </w:p>
        </w:tc>
        <w:tc>
          <w:tcPr>
            <w:tcW w:w="1489" w:type="dxa"/>
            <w:tcBorders>
              <w:left w:val="single" w:sz="8" w:space="0" w:color="auto"/>
              <w:right w:val="single" w:sz="8" w:space="0" w:color="auto"/>
            </w:tcBorders>
            <w:shd w:val="clear" w:color="auto" w:fill="auto"/>
            <w:vAlign w:val="center"/>
          </w:tcPr>
          <w:p w14:paraId="5E371C01"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10 (5.8%)</w:t>
            </w:r>
          </w:p>
        </w:tc>
      </w:tr>
      <w:tr w:rsidR="00FF0108" w:rsidRPr="00D263EE" w14:paraId="61084D71"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6A2BD3A5"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Anaemia</w:t>
            </w:r>
          </w:p>
        </w:tc>
        <w:tc>
          <w:tcPr>
            <w:tcW w:w="1488" w:type="dxa"/>
            <w:tcBorders>
              <w:left w:val="single" w:sz="8" w:space="0" w:color="auto"/>
              <w:right w:val="single" w:sz="8" w:space="0" w:color="auto"/>
            </w:tcBorders>
            <w:shd w:val="clear" w:color="auto" w:fill="auto"/>
            <w:vAlign w:val="center"/>
            <w:hideMark/>
          </w:tcPr>
          <w:p w14:paraId="2E635D8D"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157 (41.5%)</w:t>
            </w:r>
          </w:p>
        </w:tc>
        <w:tc>
          <w:tcPr>
            <w:tcW w:w="1488" w:type="dxa"/>
            <w:tcBorders>
              <w:left w:val="single" w:sz="8" w:space="0" w:color="auto"/>
              <w:right w:val="single" w:sz="8" w:space="0" w:color="auto"/>
            </w:tcBorders>
            <w:shd w:val="clear" w:color="auto" w:fill="auto"/>
            <w:vAlign w:val="center"/>
          </w:tcPr>
          <w:p w14:paraId="3508B753"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67 (17.7%)</w:t>
            </w:r>
          </w:p>
        </w:tc>
        <w:tc>
          <w:tcPr>
            <w:tcW w:w="1488" w:type="dxa"/>
            <w:tcBorders>
              <w:left w:val="single" w:sz="8" w:space="0" w:color="auto"/>
              <w:right w:val="single" w:sz="8" w:space="0" w:color="auto"/>
            </w:tcBorders>
            <w:shd w:val="clear" w:color="auto" w:fill="auto"/>
            <w:vAlign w:val="center"/>
            <w:hideMark/>
          </w:tcPr>
          <w:p w14:paraId="2A6DC17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48 (27.9%)</w:t>
            </w:r>
          </w:p>
        </w:tc>
        <w:tc>
          <w:tcPr>
            <w:tcW w:w="1489" w:type="dxa"/>
            <w:tcBorders>
              <w:left w:val="single" w:sz="8" w:space="0" w:color="auto"/>
              <w:right w:val="single" w:sz="8" w:space="0" w:color="auto"/>
            </w:tcBorders>
            <w:shd w:val="clear" w:color="auto" w:fill="auto"/>
            <w:vAlign w:val="center"/>
          </w:tcPr>
          <w:p w14:paraId="4FA3FC06"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20 (11.6%)</w:t>
            </w:r>
          </w:p>
        </w:tc>
      </w:tr>
      <w:tr w:rsidR="00FF0108" w:rsidRPr="00D263EE" w14:paraId="0089C7AC"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168FCB09"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Thrombocytopaenia</w:t>
            </w:r>
          </w:p>
        </w:tc>
        <w:tc>
          <w:tcPr>
            <w:tcW w:w="1488" w:type="dxa"/>
            <w:tcBorders>
              <w:left w:val="single" w:sz="8" w:space="0" w:color="auto"/>
              <w:right w:val="single" w:sz="8" w:space="0" w:color="auto"/>
            </w:tcBorders>
            <w:shd w:val="clear" w:color="auto" w:fill="auto"/>
            <w:vAlign w:val="center"/>
            <w:hideMark/>
          </w:tcPr>
          <w:p w14:paraId="256CC9B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74 (19.6%)</w:t>
            </w:r>
          </w:p>
        </w:tc>
        <w:tc>
          <w:tcPr>
            <w:tcW w:w="1488" w:type="dxa"/>
            <w:tcBorders>
              <w:left w:val="single" w:sz="8" w:space="0" w:color="auto"/>
              <w:right w:val="single" w:sz="8" w:space="0" w:color="auto"/>
            </w:tcBorders>
            <w:shd w:val="clear" w:color="auto" w:fill="auto"/>
            <w:vAlign w:val="center"/>
          </w:tcPr>
          <w:p w14:paraId="5983938D"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40 (10.6%)</w:t>
            </w:r>
          </w:p>
        </w:tc>
        <w:tc>
          <w:tcPr>
            <w:tcW w:w="1488" w:type="dxa"/>
            <w:tcBorders>
              <w:left w:val="single" w:sz="8" w:space="0" w:color="auto"/>
              <w:right w:val="single" w:sz="8" w:space="0" w:color="auto"/>
            </w:tcBorders>
            <w:shd w:val="clear" w:color="auto" w:fill="auto"/>
            <w:vAlign w:val="center"/>
            <w:hideMark/>
          </w:tcPr>
          <w:p w14:paraId="27C05DC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34 (19.8%)</w:t>
            </w:r>
          </w:p>
        </w:tc>
        <w:tc>
          <w:tcPr>
            <w:tcW w:w="1489" w:type="dxa"/>
            <w:tcBorders>
              <w:left w:val="single" w:sz="8" w:space="0" w:color="auto"/>
              <w:right w:val="single" w:sz="8" w:space="0" w:color="auto"/>
            </w:tcBorders>
            <w:shd w:val="clear" w:color="auto" w:fill="auto"/>
            <w:vAlign w:val="center"/>
          </w:tcPr>
          <w:p w14:paraId="19DAF8DC"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18 (10.5%)</w:t>
            </w:r>
          </w:p>
        </w:tc>
      </w:tr>
      <w:tr w:rsidR="00FF0108" w:rsidRPr="00D263EE" w14:paraId="5442B508"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40BDCA5B"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Metabolism and nutrition disorders</w:t>
            </w:r>
          </w:p>
        </w:tc>
        <w:tc>
          <w:tcPr>
            <w:tcW w:w="1488" w:type="dxa"/>
            <w:tcBorders>
              <w:left w:val="single" w:sz="8" w:space="0" w:color="auto"/>
              <w:right w:val="single" w:sz="8" w:space="0" w:color="auto"/>
            </w:tcBorders>
            <w:shd w:val="clear" w:color="auto" w:fill="auto"/>
            <w:vAlign w:val="center"/>
            <w:hideMark/>
          </w:tcPr>
          <w:p w14:paraId="4C08D9BA"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221 (58.5%)</w:t>
            </w:r>
          </w:p>
        </w:tc>
        <w:tc>
          <w:tcPr>
            <w:tcW w:w="1488" w:type="dxa"/>
            <w:tcBorders>
              <w:left w:val="single" w:sz="8" w:space="0" w:color="auto"/>
              <w:right w:val="single" w:sz="8" w:space="0" w:color="auto"/>
            </w:tcBorders>
            <w:vAlign w:val="center"/>
          </w:tcPr>
          <w:p w14:paraId="0A95A39E"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63 (16.7%)</w:t>
            </w:r>
          </w:p>
        </w:tc>
        <w:tc>
          <w:tcPr>
            <w:tcW w:w="1488" w:type="dxa"/>
            <w:tcBorders>
              <w:left w:val="single" w:sz="8" w:space="0" w:color="auto"/>
              <w:right w:val="single" w:sz="8" w:space="0" w:color="auto"/>
            </w:tcBorders>
            <w:shd w:val="clear" w:color="auto" w:fill="auto"/>
            <w:vAlign w:val="center"/>
            <w:hideMark/>
          </w:tcPr>
          <w:p w14:paraId="29B29F38"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78 (45.3%)</w:t>
            </w:r>
          </w:p>
        </w:tc>
        <w:tc>
          <w:tcPr>
            <w:tcW w:w="1489" w:type="dxa"/>
            <w:tcBorders>
              <w:left w:val="single" w:sz="8" w:space="0" w:color="auto"/>
              <w:right w:val="single" w:sz="8" w:space="0" w:color="auto"/>
            </w:tcBorders>
            <w:vAlign w:val="center"/>
          </w:tcPr>
          <w:p w14:paraId="4492F15F"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15 (8.7%)</w:t>
            </w:r>
          </w:p>
        </w:tc>
      </w:tr>
      <w:tr w:rsidR="00FF0108" w:rsidRPr="00D263EE" w14:paraId="17F4205C"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1E27E6D9"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Decreased appetite</w:t>
            </w:r>
          </w:p>
        </w:tc>
        <w:tc>
          <w:tcPr>
            <w:tcW w:w="1488" w:type="dxa"/>
            <w:tcBorders>
              <w:left w:val="single" w:sz="8" w:space="0" w:color="auto"/>
              <w:right w:val="single" w:sz="8" w:space="0" w:color="auto"/>
            </w:tcBorders>
            <w:shd w:val="clear" w:color="auto" w:fill="auto"/>
            <w:vAlign w:val="center"/>
            <w:hideMark/>
          </w:tcPr>
          <w:p w14:paraId="7BCFDEB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139 (36.8%)</w:t>
            </w:r>
          </w:p>
        </w:tc>
        <w:tc>
          <w:tcPr>
            <w:tcW w:w="1488" w:type="dxa"/>
            <w:tcBorders>
              <w:left w:val="single" w:sz="8" w:space="0" w:color="auto"/>
              <w:right w:val="single" w:sz="8" w:space="0" w:color="auto"/>
            </w:tcBorders>
            <w:vAlign w:val="center"/>
          </w:tcPr>
          <w:p w14:paraId="70A0AC3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7 (1.9%)</w:t>
            </w:r>
          </w:p>
        </w:tc>
        <w:tc>
          <w:tcPr>
            <w:tcW w:w="1488" w:type="dxa"/>
            <w:tcBorders>
              <w:left w:val="single" w:sz="8" w:space="0" w:color="auto"/>
              <w:right w:val="single" w:sz="8" w:space="0" w:color="auto"/>
            </w:tcBorders>
            <w:shd w:val="clear" w:color="auto" w:fill="auto"/>
            <w:vAlign w:val="center"/>
            <w:hideMark/>
          </w:tcPr>
          <w:p w14:paraId="5EFB6C41"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36 (20.9%)</w:t>
            </w:r>
          </w:p>
        </w:tc>
        <w:tc>
          <w:tcPr>
            <w:tcW w:w="1489" w:type="dxa"/>
            <w:tcBorders>
              <w:left w:val="single" w:sz="8" w:space="0" w:color="auto"/>
              <w:right w:val="single" w:sz="8" w:space="0" w:color="auto"/>
            </w:tcBorders>
            <w:vAlign w:val="center"/>
          </w:tcPr>
          <w:p w14:paraId="6E74F551"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(0.6%)</w:t>
            </w:r>
          </w:p>
        </w:tc>
      </w:tr>
      <w:tr w:rsidR="00FF0108" w:rsidRPr="00D263EE" w14:paraId="5D40290D"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0B8A2DAF"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Hypokalaemia</w:t>
            </w:r>
          </w:p>
        </w:tc>
        <w:tc>
          <w:tcPr>
            <w:tcW w:w="1488" w:type="dxa"/>
            <w:tcBorders>
              <w:left w:val="single" w:sz="8" w:space="0" w:color="auto"/>
              <w:right w:val="single" w:sz="8" w:space="0" w:color="auto"/>
            </w:tcBorders>
            <w:shd w:val="clear" w:color="auto" w:fill="auto"/>
            <w:vAlign w:val="center"/>
            <w:hideMark/>
          </w:tcPr>
          <w:p w14:paraId="4F075842"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53 (14.0%)</w:t>
            </w:r>
          </w:p>
        </w:tc>
        <w:tc>
          <w:tcPr>
            <w:tcW w:w="1488" w:type="dxa"/>
            <w:tcBorders>
              <w:left w:val="single" w:sz="8" w:space="0" w:color="auto"/>
              <w:right w:val="single" w:sz="8" w:space="0" w:color="auto"/>
            </w:tcBorders>
            <w:vAlign w:val="center"/>
          </w:tcPr>
          <w:p w14:paraId="67D1B2F7"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14 (3.7%)</w:t>
            </w:r>
          </w:p>
        </w:tc>
        <w:tc>
          <w:tcPr>
            <w:tcW w:w="1488" w:type="dxa"/>
            <w:tcBorders>
              <w:left w:val="single" w:sz="8" w:space="0" w:color="auto"/>
              <w:right w:val="single" w:sz="8" w:space="0" w:color="auto"/>
            </w:tcBorders>
            <w:shd w:val="clear" w:color="auto" w:fill="auto"/>
            <w:vAlign w:val="center"/>
            <w:hideMark/>
          </w:tcPr>
          <w:p w14:paraId="72CBA982"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21 (12.2%)</w:t>
            </w:r>
          </w:p>
        </w:tc>
        <w:tc>
          <w:tcPr>
            <w:tcW w:w="1489" w:type="dxa"/>
            <w:tcBorders>
              <w:left w:val="single" w:sz="8" w:space="0" w:color="auto"/>
              <w:right w:val="single" w:sz="8" w:space="0" w:color="auto"/>
            </w:tcBorders>
            <w:vAlign w:val="center"/>
          </w:tcPr>
          <w:p w14:paraId="0A32E321"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 (1.2%)</w:t>
            </w:r>
          </w:p>
        </w:tc>
      </w:tr>
      <w:tr w:rsidR="00FF0108" w:rsidRPr="00D263EE" w14:paraId="29BCE317"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0173BD2E"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Dehydration</w:t>
            </w:r>
          </w:p>
        </w:tc>
        <w:tc>
          <w:tcPr>
            <w:tcW w:w="1488" w:type="dxa"/>
            <w:tcBorders>
              <w:left w:val="single" w:sz="8" w:space="0" w:color="auto"/>
              <w:right w:val="single" w:sz="8" w:space="0" w:color="auto"/>
            </w:tcBorders>
            <w:shd w:val="clear" w:color="auto" w:fill="auto"/>
            <w:vAlign w:val="center"/>
            <w:hideMark/>
          </w:tcPr>
          <w:p w14:paraId="502D3EF0"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57 (15.1%)</w:t>
            </w:r>
          </w:p>
        </w:tc>
        <w:tc>
          <w:tcPr>
            <w:tcW w:w="1488" w:type="dxa"/>
            <w:tcBorders>
              <w:left w:val="single" w:sz="8" w:space="0" w:color="auto"/>
              <w:right w:val="single" w:sz="8" w:space="0" w:color="auto"/>
            </w:tcBorders>
            <w:vAlign w:val="center"/>
          </w:tcPr>
          <w:p w14:paraId="72D463FD"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18 (4.8%)</w:t>
            </w:r>
          </w:p>
        </w:tc>
        <w:tc>
          <w:tcPr>
            <w:tcW w:w="1488" w:type="dxa"/>
            <w:tcBorders>
              <w:left w:val="single" w:sz="8" w:space="0" w:color="auto"/>
              <w:right w:val="single" w:sz="8" w:space="0" w:color="auto"/>
            </w:tcBorders>
            <w:shd w:val="clear" w:color="auto" w:fill="auto"/>
            <w:vAlign w:val="center"/>
            <w:hideMark/>
          </w:tcPr>
          <w:p w14:paraId="590CCE4E"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20 (11.6%)</w:t>
            </w:r>
          </w:p>
        </w:tc>
        <w:tc>
          <w:tcPr>
            <w:tcW w:w="1489" w:type="dxa"/>
            <w:tcBorders>
              <w:left w:val="single" w:sz="8" w:space="0" w:color="auto"/>
              <w:right w:val="single" w:sz="8" w:space="0" w:color="auto"/>
            </w:tcBorders>
            <w:vAlign w:val="center"/>
          </w:tcPr>
          <w:p w14:paraId="5B5367A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5 (2.9%</w:t>
            </w:r>
          </w:p>
        </w:tc>
      </w:tr>
      <w:tr w:rsidR="00FF0108" w:rsidRPr="00D263EE" w14:paraId="1E5AEA4D"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4E60A646"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Infections and infestations</w:t>
            </w:r>
          </w:p>
        </w:tc>
        <w:tc>
          <w:tcPr>
            <w:tcW w:w="1488" w:type="dxa"/>
            <w:tcBorders>
              <w:left w:val="single" w:sz="8" w:space="0" w:color="auto"/>
              <w:right w:val="single" w:sz="8" w:space="0" w:color="auto"/>
            </w:tcBorders>
            <w:shd w:val="clear" w:color="auto" w:fill="auto"/>
            <w:vAlign w:val="center"/>
            <w:hideMark/>
          </w:tcPr>
          <w:p w14:paraId="6CD798C1"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157 (41.5%)</w:t>
            </w:r>
          </w:p>
        </w:tc>
        <w:tc>
          <w:tcPr>
            <w:tcW w:w="1488" w:type="dxa"/>
            <w:tcBorders>
              <w:left w:val="single" w:sz="8" w:space="0" w:color="auto"/>
              <w:right w:val="single" w:sz="8" w:space="0" w:color="auto"/>
            </w:tcBorders>
            <w:vAlign w:val="center"/>
          </w:tcPr>
          <w:p w14:paraId="260C0F56"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46 (12.2%)</w:t>
            </w:r>
          </w:p>
        </w:tc>
        <w:tc>
          <w:tcPr>
            <w:tcW w:w="1488" w:type="dxa"/>
            <w:tcBorders>
              <w:left w:val="single" w:sz="8" w:space="0" w:color="auto"/>
              <w:right w:val="single" w:sz="8" w:space="0" w:color="auto"/>
            </w:tcBorders>
            <w:shd w:val="clear" w:color="auto" w:fill="auto"/>
            <w:vAlign w:val="center"/>
            <w:hideMark/>
          </w:tcPr>
          <w:p w14:paraId="37B52D62"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50 (29.1%)</w:t>
            </w:r>
          </w:p>
        </w:tc>
        <w:tc>
          <w:tcPr>
            <w:tcW w:w="1489" w:type="dxa"/>
            <w:tcBorders>
              <w:left w:val="single" w:sz="8" w:space="0" w:color="auto"/>
              <w:right w:val="single" w:sz="8" w:space="0" w:color="auto"/>
            </w:tcBorders>
            <w:vAlign w:val="center"/>
          </w:tcPr>
          <w:p w14:paraId="3C9AEBF5"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6 (3.5%)</w:t>
            </w:r>
          </w:p>
        </w:tc>
      </w:tr>
      <w:tr w:rsidR="00FF0108" w:rsidRPr="00D263EE" w14:paraId="2CCC68E9"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20DB4CB7"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Respiratory, thoracic and mediastinal disorders</w:t>
            </w:r>
          </w:p>
        </w:tc>
        <w:tc>
          <w:tcPr>
            <w:tcW w:w="1488" w:type="dxa"/>
            <w:tcBorders>
              <w:left w:val="single" w:sz="8" w:space="0" w:color="auto"/>
              <w:right w:val="single" w:sz="8" w:space="0" w:color="auto"/>
            </w:tcBorders>
            <w:shd w:val="clear" w:color="auto" w:fill="auto"/>
            <w:vAlign w:val="center"/>
            <w:hideMark/>
          </w:tcPr>
          <w:p w14:paraId="181AB990"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201 (53.2%)</w:t>
            </w:r>
          </w:p>
        </w:tc>
        <w:tc>
          <w:tcPr>
            <w:tcW w:w="1488" w:type="dxa"/>
            <w:tcBorders>
              <w:left w:val="single" w:sz="8" w:space="0" w:color="auto"/>
              <w:right w:val="single" w:sz="8" w:space="0" w:color="auto"/>
            </w:tcBorders>
            <w:vAlign w:val="center"/>
          </w:tcPr>
          <w:p w14:paraId="544D7BD0"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37 (9.8%)</w:t>
            </w:r>
          </w:p>
        </w:tc>
        <w:tc>
          <w:tcPr>
            <w:tcW w:w="1488" w:type="dxa"/>
            <w:tcBorders>
              <w:left w:val="single" w:sz="8" w:space="0" w:color="auto"/>
              <w:right w:val="single" w:sz="8" w:space="0" w:color="auto"/>
            </w:tcBorders>
            <w:shd w:val="clear" w:color="auto" w:fill="auto"/>
            <w:vAlign w:val="center"/>
            <w:hideMark/>
          </w:tcPr>
          <w:p w14:paraId="3B93C4BD"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76 (44.2%)</w:t>
            </w:r>
          </w:p>
        </w:tc>
        <w:tc>
          <w:tcPr>
            <w:tcW w:w="1489" w:type="dxa"/>
            <w:tcBorders>
              <w:left w:val="single" w:sz="8" w:space="0" w:color="auto"/>
              <w:right w:val="single" w:sz="8" w:space="0" w:color="auto"/>
            </w:tcBorders>
            <w:vAlign w:val="center"/>
          </w:tcPr>
          <w:p w14:paraId="2EEF48E6"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8 (4.7%)</w:t>
            </w:r>
          </w:p>
        </w:tc>
      </w:tr>
      <w:tr w:rsidR="00FF0108" w:rsidRPr="00D263EE" w14:paraId="7610D120"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38E185D1"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Cough</w:t>
            </w:r>
          </w:p>
        </w:tc>
        <w:tc>
          <w:tcPr>
            <w:tcW w:w="1488" w:type="dxa"/>
            <w:tcBorders>
              <w:left w:val="single" w:sz="8" w:space="0" w:color="auto"/>
              <w:right w:val="single" w:sz="8" w:space="0" w:color="auto"/>
            </w:tcBorders>
            <w:shd w:val="clear" w:color="auto" w:fill="auto"/>
            <w:vAlign w:val="center"/>
            <w:hideMark/>
          </w:tcPr>
          <w:p w14:paraId="3ED76E3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85 (22.5%)</w:t>
            </w:r>
          </w:p>
        </w:tc>
        <w:tc>
          <w:tcPr>
            <w:tcW w:w="1488" w:type="dxa"/>
            <w:tcBorders>
              <w:left w:val="single" w:sz="8" w:space="0" w:color="auto"/>
              <w:right w:val="single" w:sz="8" w:space="0" w:color="auto"/>
            </w:tcBorders>
            <w:vAlign w:val="center"/>
          </w:tcPr>
          <w:p w14:paraId="69AC95F6"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(0.3%)</w:t>
            </w:r>
          </w:p>
        </w:tc>
        <w:tc>
          <w:tcPr>
            <w:tcW w:w="1488" w:type="dxa"/>
            <w:tcBorders>
              <w:left w:val="single" w:sz="8" w:space="0" w:color="auto"/>
              <w:right w:val="single" w:sz="8" w:space="0" w:color="auto"/>
            </w:tcBorders>
            <w:shd w:val="clear" w:color="auto" w:fill="auto"/>
            <w:vAlign w:val="center"/>
            <w:hideMark/>
          </w:tcPr>
          <w:p w14:paraId="1D01F7FA"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36 (20.9%)</w:t>
            </w:r>
          </w:p>
        </w:tc>
        <w:tc>
          <w:tcPr>
            <w:tcW w:w="1489" w:type="dxa"/>
            <w:tcBorders>
              <w:left w:val="single" w:sz="8" w:space="0" w:color="auto"/>
              <w:right w:val="single" w:sz="8" w:space="0" w:color="auto"/>
            </w:tcBorders>
            <w:vAlign w:val="center"/>
          </w:tcPr>
          <w:p w14:paraId="6F930417"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7C3D7A83"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7E33B2AE"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Dyspnoea</w:t>
            </w:r>
          </w:p>
        </w:tc>
        <w:tc>
          <w:tcPr>
            <w:tcW w:w="1488" w:type="dxa"/>
            <w:tcBorders>
              <w:left w:val="single" w:sz="8" w:space="0" w:color="auto"/>
              <w:right w:val="single" w:sz="8" w:space="0" w:color="auto"/>
            </w:tcBorders>
            <w:shd w:val="clear" w:color="auto" w:fill="auto"/>
            <w:vAlign w:val="center"/>
            <w:hideMark/>
          </w:tcPr>
          <w:p w14:paraId="205AB95F"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94 (24.9%)</w:t>
            </w:r>
          </w:p>
        </w:tc>
        <w:tc>
          <w:tcPr>
            <w:tcW w:w="1488" w:type="dxa"/>
            <w:tcBorders>
              <w:left w:val="single" w:sz="8" w:space="0" w:color="auto"/>
              <w:right w:val="single" w:sz="8" w:space="0" w:color="auto"/>
            </w:tcBorders>
            <w:vAlign w:val="center"/>
          </w:tcPr>
          <w:p w14:paraId="5386243D"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16 (4.2%)</w:t>
            </w:r>
          </w:p>
        </w:tc>
        <w:tc>
          <w:tcPr>
            <w:tcW w:w="1488" w:type="dxa"/>
            <w:tcBorders>
              <w:left w:val="single" w:sz="8" w:space="0" w:color="auto"/>
              <w:right w:val="single" w:sz="8" w:space="0" w:color="auto"/>
            </w:tcBorders>
            <w:shd w:val="clear" w:color="auto" w:fill="auto"/>
            <w:vAlign w:val="center"/>
            <w:hideMark/>
          </w:tcPr>
          <w:p w14:paraId="5C2910E0"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35 (20.3%)</w:t>
            </w:r>
          </w:p>
        </w:tc>
        <w:tc>
          <w:tcPr>
            <w:tcW w:w="1489" w:type="dxa"/>
            <w:tcBorders>
              <w:left w:val="single" w:sz="8" w:space="0" w:color="auto"/>
              <w:right w:val="single" w:sz="8" w:space="0" w:color="auto"/>
            </w:tcBorders>
            <w:vAlign w:val="center"/>
          </w:tcPr>
          <w:p w14:paraId="2E793D9D"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 (1.2%)</w:t>
            </w:r>
          </w:p>
        </w:tc>
      </w:tr>
      <w:tr w:rsidR="00FF0108" w:rsidRPr="00D263EE" w14:paraId="663E76D3"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5D91E28F"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Investigations</w:t>
            </w:r>
          </w:p>
        </w:tc>
        <w:tc>
          <w:tcPr>
            <w:tcW w:w="1488" w:type="dxa"/>
            <w:tcBorders>
              <w:left w:val="single" w:sz="8" w:space="0" w:color="auto"/>
              <w:right w:val="single" w:sz="8" w:space="0" w:color="auto"/>
            </w:tcBorders>
            <w:shd w:val="clear" w:color="auto" w:fill="auto"/>
            <w:vAlign w:val="center"/>
            <w:hideMark/>
          </w:tcPr>
          <w:p w14:paraId="40AD623D"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281 (74.3%)</w:t>
            </w:r>
          </w:p>
        </w:tc>
        <w:tc>
          <w:tcPr>
            <w:tcW w:w="1488" w:type="dxa"/>
            <w:tcBorders>
              <w:left w:val="single" w:sz="8" w:space="0" w:color="auto"/>
              <w:right w:val="single" w:sz="8" w:space="0" w:color="auto"/>
            </w:tcBorders>
            <w:vAlign w:val="center"/>
          </w:tcPr>
          <w:p w14:paraId="569E9347"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202 (53.4%)</w:t>
            </w:r>
          </w:p>
        </w:tc>
        <w:tc>
          <w:tcPr>
            <w:tcW w:w="1488" w:type="dxa"/>
            <w:tcBorders>
              <w:left w:val="single" w:sz="8" w:space="0" w:color="auto"/>
              <w:right w:val="single" w:sz="8" w:space="0" w:color="auto"/>
            </w:tcBorders>
            <w:shd w:val="clear" w:color="auto" w:fill="auto"/>
            <w:vAlign w:val="center"/>
            <w:hideMark/>
          </w:tcPr>
          <w:p w14:paraId="1C84F1D2"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80 (46.5%)</w:t>
            </w:r>
          </w:p>
        </w:tc>
        <w:tc>
          <w:tcPr>
            <w:tcW w:w="1489" w:type="dxa"/>
            <w:tcBorders>
              <w:left w:val="single" w:sz="8" w:space="0" w:color="auto"/>
              <w:right w:val="single" w:sz="8" w:space="0" w:color="auto"/>
            </w:tcBorders>
            <w:vAlign w:val="center"/>
          </w:tcPr>
          <w:p w14:paraId="333DD5C3"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38 (22.1%)</w:t>
            </w:r>
          </w:p>
        </w:tc>
      </w:tr>
      <w:tr w:rsidR="00FF0108" w:rsidRPr="00D263EE" w14:paraId="58B73AB9"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05616674" w14:textId="77777777" w:rsidR="00FF0108" w:rsidRPr="00D263EE" w:rsidRDefault="00FF0108" w:rsidP="00625B50">
            <w:pPr>
              <w:spacing w:after="0" w:line="240" w:lineRule="auto"/>
              <w:ind w:left="172" w:firstLineChars="14" w:firstLine="28"/>
              <w:rPr>
                <w:rFonts w:eastAsia="Times New Roman" w:cstheme="minorHAnsi"/>
                <w:color w:val="000000"/>
                <w:sz w:val="20"/>
                <w:szCs w:val="20"/>
              </w:rPr>
            </w:pPr>
            <w:r w:rsidRPr="00D263EE">
              <w:rPr>
                <w:rFonts w:eastAsia="Times New Roman" w:cstheme="minorHAnsi"/>
                <w:color w:val="000000"/>
                <w:sz w:val="20"/>
                <w:szCs w:val="20"/>
              </w:rPr>
              <w:t>Aspartate aminotransferase increased</w:t>
            </w:r>
          </w:p>
        </w:tc>
        <w:tc>
          <w:tcPr>
            <w:tcW w:w="1488" w:type="dxa"/>
            <w:tcBorders>
              <w:left w:val="single" w:sz="8" w:space="0" w:color="auto"/>
              <w:right w:val="single" w:sz="8" w:space="0" w:color="auto"/>
            </w:tcBorders>
            <w:shd w:val="clear" w:color="auto" w:fill="auto"/>
            <w:vAlign w:val="center"/>
            <w:hideMark/>
          </w:tcPr>
          <w:p w14:paraId="04A435E7"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142 (37.6%)</w:t>
            </w:r>
          </w:p>
        </w:tc>
        <w:tc>
          <w:tcPr>
            <w:tcW w:w="1488" w:type="dxa"/>
            <w:tcBorders>
              <w:left w:val="single" w:sz="8" w:space="0" w:color="auto"/>
              <w:right w:val="single" w:sz="8" w:space="0" w:color="auto"/>
            </w:tcBorders>
            <w:vAlign w:val="center"/>
          </w:tcPr>
          <w:p w14:paraId="2AB4968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57 (15.1%)</w:t>
            </w:r>
          </w:p>
        </w:tc>
        <w:tc>
          <w:tcPr>
            <w:tcW w:w="1488" w:type="dxa"/>
            <w:tcBorders>
              <w:left w:val="single" w:sz="8" w:space="0" w:color="auto"/>
              <w:right w:val="single" w:sz="8" w:space="0" w:color="auto"/>
            </w:tcBorders>
            <w:shd w:val="clear" w:color="auto" w:fill="auto"/>
            <w:vAlign w:val="center"/>
            <w:hideMark/>
          </w:tcPr>
          <w:p w14:paraId="6CFF173F"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10 (5.8%)</w:t>
            </w:r>
          </w:p>
        </w:tc>
        <w:tc>
          <w:tcPr>
            <w:tcW w:w="1489" w:type="dxa"/>
            <w:tcBorders>
              <w:left w:val="single" w:sz="8" w:space="0" w:color="auto"/>
              <w:right w:val="single" w:sz="8" w:space="0" w:color="auto"/>
            </w:tcBorders>
            <w:vAlign w:val="center"/>
          </w:tcPr>
          <w:p w14:paraId="112BCF2A"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0685B625"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0854BB74" w14:textId="77777777" w:rsidR="00FF0108" w:rsidRPr="00D263EE" w:rsidRDefault="00FF0108" w:rsidP="00625B50">
            <w:pPr>
              <w:spacing w:after="0" w:line="240" w:lineRule="auto"/>
              <w:ind w:left="172" w:firstLineChars="14" w:firstLine="28"/>
              <w:rPr>
                <w:rFonts w:eastAsia="Times New Roman" w:cstheme="minorHAnsi"/>
                <w:color w:val="000000"/>
                <w:sz w:val="20"/>
                <w:szCs w:val="20"/>
              </w:rPr>
            </w:pPr>
            <w:r w:rsidRPr="00D263EE">
              <w:rPr>
                <w:rFonts w:eastAsia="Times New Roman" w:cstheme="minorHAnsi"/>
                <w:color w:val="000000"/>
                <w:sz w:val="20"/>
                <w:szCs w:val="20"/>
              </w:rPr>
              <w:t>Alanine aminotransferase increased</w:t>
            </w:r>
          </w:p>
        </w:tc>
        <w:tc>
          <w:tcPr>
            <w:tcW w:w="1488" w:type="dxa"/>
            <w:tcBorders>
              <w:left w:val="single" w:sz="8" w:space="0" w:color="auto"/>
              <w:right w:val="single" w:sz="8" w:space="0" w:color="auto"/>
            </w:tcBorders>
            <w:shd w:val="clear" w:color="auto" w:fill="auto"/>
            <w:vAlign w:val="center"/>
            <w:hideMark/>
          </w:tcPr>
          <w:p w14:paraId="35A8085D"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186 (49.2%)</w:t>
            </w:r>
          </w:p>
        </w:tc>
        <w:tc>
          <w:tcPr>
            <w:tcW w:w="1488" w:type="dxa"/>
            <w:tcBorders>
              <w:left w:val="single" w:sz="8" w:space="0" w:color="auto"/>
              <w:right w:val="single" w:sz="8" w:space="0" w:color="auto"/>
            </w:tcBorders>
            <w:vAlign w:val="center"/>
          </w:tcPr>
          <w:p w14:paraId="0A55AC9C"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111 (29.4%)</w:t>
            </w:r>
          </w:p>
        </w:tc>
        <w:tc>
          <w:tcPr>
            <w:tcW w:w="1488" w:type="dxa"/>
            <w:tcBorders>
              <w:left w:val="single" w:sz="8" w:space="0" w:color="auto"/>
              <w:right w:val="single" w:sz="8" w:space="0" w:color="auto"/>
            </w:tcBorders>
            <w:shd w:val="clear" w:color="auto" w:fill="auto"/>
            <w:vAlign w:val="center"/>
            <w:hideMark/>
          </w:tcPr>
          <w:p w14:paraId="13CB8177"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12 (7.0%)</w:t>
            </w:r>
          </w:p>
        </w:tc>
        <w:tc>
          <w:tcPr>
            <w:tcW w:w="1489" w:type="dxa"/>
            <w:tcBorders>
              <w:left w:val="single" w:sz="8" w:space="0" w:color="auto"/>
              <w:right w:val="single" w:sz="8" w:space="0" w:color="auto"/>
            </w:tcBorders>
            <w:vAlign w:val="center"/>
          </w:tcPr>
          <w:p w14:paraId="01326CD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(0.6%)</w:t>
            </w:r>
          </w:p>
        </w:tc>
      </w:tr>
      <w:tr w:rsidR="00FF0108" w:rsidRPr="00D263EE" w14:paraId="04D57AB2"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52A9549A" w14:textId="77777777" w:rsidR="00FF0108" w:rsidRPr="00D263EE" w:rsidRDefault="00FF0108" w:rsidP="00625B50">
            <w:pPr>
              <w:spacing w:after="0" w:line="240" w:lineRule="auto"/>
              <w:ind w:left="172" w:firstLineChars="14" w:firstLine="28"/>
              <w:rPr>
                <w:rFonts w:eastAsia="Times New Roman" w:cstheme="minorHAnsi"/>
                <w:color w:val="000000"/>
                <w:sz w:val="20"/>
                <w:szCs w:val="20"/>
              </w:rPr>
            </w:pPr>
            <w:r w:rsidRPr="00D263EE">
              <w:rPr>
                <w:rFonts w:eastAsia="Times New Roman" w:cstheme="minorHAnsi"/>
                <w:color w:val="000000"/>
                <w:sz w:val="20"/>
                <w:szCs w:val="20"/>
              </w:rPr>
              <w:t>Blood alkaline phosphatase increased</w:t>
            </w:r>
          </w:p>
        </w:tc>
        <w:tc>
          <w:tcPr>
            <w:tcW w:w="1488" w:type="dxa"/>
            <w:tcBorders>
              <w:left w:val="single" w:sz="8" w:space="0" w:color="auto"/>
              <w:right w:val="single" w:sz="8" w:space="0" w:color="auto"/>
            </w:tcBorders>
            <w:shd w:val="clear" w:color="auto" w:fill="auto"/>
            <w:vAlign w:val="center"/>
            <w:hideMark/>
          </w:tcPr>
          <w:p w14:paraId="451F6EE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85 (22.5%)</w:t>
            </w:r>
          </w:p>
        </w:tc>
        <w:tc>
          <w:tcPr>
            <w:tcW w:w="1488" w:type="dxa"/>
            <w:tcBorders>
              <w:left w:val="single" w:sz="8" w:space="0" w:color="auto"/>
              <w:right w:val="single" w:sz="8" w:space="0" w:color="auto"/>
            </w:tcBorders>
            <w:vAlign w:val="center"/>
          </w:tcPr>
          <w:p w14:paraId="61EE24B3"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6 (1.6%)</w:t>
            </w:r>
          </w:p>
        </w:tc>
        <w:tc>
          <w:tcPr>
            <w:tcW w:w="1488" w:type="dxa"/>
            <w:tcBorders>
              <w:left w:val="single" w:sz="8" w:space="0" w:color="auto"/>
              <w:right w:val="single" w:sz="8" w:space="0" w:color="auto"/>
            </w:tcBorders>
            <w:shd w:val="clear" w:color="auto" w:fill="auto"/>
            <w:vAlign w:val="center"/>
            <w:hideMark/>
          </w:tcPr>
          <w:p w14:paraId="0802DB3F"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15 (8.7%)</w:t>
            </w:r>
          </w:p>
        </w:tc>
        <w:tc>
          <w:tcPr>
            <w:tcW w:w="1489" w:type="dxa"/>
            <w:tcBorders>
              <w:left w:val="single" w:sz="8" w:space="0" w:color="auto"/>
              <w:right w:val="single" w:sz="8" w:space="0" w:color="auto"/>
            </w:tcBorders>
            <w:vAlign w:val="center"/>
          </w:tcPr>
          <w:p w14:paraId="70A1A8CC"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(0.6%)</w:t>
            </w:r>
          </w:p>
        </w:tc>
      </w:tr>
      <w:tr w:rsidR="00FF0108" w:rsidRPr="00D263EE" w14:paraId="01D19BCA" w14:textId="77777777" w:rsidTr="00651DA4">
        <w:trPr>
          <w:trHeight w:val="255"/>
        </w:trPr>
        <w:tc>
          <w:tcPr>
            <w:tcW w:w="3261" w:type="dxa"/>
            <w:tcBorders>
              <w:left w:val="single" w:sz="8" w:space="0" w:color="auto"/>
              <w:right w:val="single" w:sz="8" w:space="0" w:color="auto"/>
            </w:tcBorders>
            <w:shd w:val="clear" w:color="auto" w:fill="auto"/>
            <w:vAlign w:val="center"/>
            <w:hideMark/>
          </w:tcPr>
          <w:p w14:paraId="0CD0B763"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Blood creatinine increased</w:t>
            </w:r>
          </w:p>
        </w:tc>
        <w:tc>
          <w:tcPr>
            <w:tcW w:w="1488" w:type="dxa"/>
            <w:tcBorders>
              <w:left w:val="single" w:sz="8" w:space="0" w:color="auto"/>
              <w:right w:val="single" w:sz="8" w:space="0" w:color="auto"/>
            </w:tcBorders>
            <w:shd w:val="clear" w:color="auto" w:fill="auto"/>
            <w:vAlign w:val="center"/>
            <w:hideMark/>
          </w:tcPr>
          <w:p w14:paraId="3E1817B3"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48 (12.7%)</w:t>
            </w:r>
          </w:p>
        </w:tc>
        <w:tc>
          <w:tcPr>
            <w:tcW w:w="1488" w:type="dxa"/>
            <w:tcBorders>
              <w:left w:val="single" w:sz="8" w:space="0" w:color="auto"/>
              <w:right w:val="single" w:sz="8" w:space="0" w:color="auto"/>
            </w:tcBorders>
            <w:vAlign w:val="center"/>
          </w:tcPr>
          <w:p w14:paraId="3D51F37D"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8 (2.1%)</w:t>
            </w:r>
          </w:p>
        </w:tc>
        <w:tc>
          <w:tcPr>
            <w:tcW w:w="1488" w:type="dxa"/>
            <w:tcBorders>
              <w:left w:val="single" w:sz="8" w:space="0" w:color="auto"/>
              <w:right w:val="single" w:sz="8" w:space="0" w:color="auto"/>
            </w:tcBorders>
            <w:shd w:val="clear" w:color="auto" w:fill="auto"/>
            <w:vAlign w:val="center"/>
            <w:hideMark/>
          </w:tcPr>
          <w:p w14:paraId="0BF6C480"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 (1.7%)</w:t>
            </w:r>
          </w:p>
        </w:tc>
        <w:tc>
          <w:tcPr>
            <w:tcW w:w="1489" w:type="dxa"/>
            <w:tcBorders>
              <w:left w:val="single" w:sz="8" w:space="0" w:color="auto"/>
              <w:right w:val="single" w:sz="8" w:space="0" w:color="auto"/>
            </w:tcBorders>
            <w:vAlign w:val="center"/>
          </w:tcPr>
          <w:p w14:paraId="14DD1DEC"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59DCE929" w14:textId="77777777" w:rsidTr="00651DA4">
        <w:trPr>
          <w:trHeight w:val="255"/>
        </w:trPr>
        <w:tc>
          <w:tcPr>
            <w:tcW w:w="3261" w:type="dxa"/>
            <w:tcBorders>
              <w:left w:val="single" w:sz="8" w:space="0" w:color="auto"/>
              <w:bottom w:val="single" w:sz="8" w:space="0" w:color="auto"/>
              <w:right w:val="single" w:sz="8" w:space="0" w:color="auto"/>
            </w:tcBorders>
            <w:shd w:val="clear" w:color="auto" w:fill="auto"/>
            <w:vAlign w:val="center"/>
            <w:hideMark/>
          </w:tcPr>
          <w:p w14:paraId="61523892" w14:textId="77777777" w:rsidR="00FF0108" w:rsidRPr="00D263EE" w:rsidRDefault="00FF0108" w:rsidP="00625B50">
            <w:pPr>
              <w:spacing w:after="0" w:line="240" w:lineRule="auto"/>
              <w:ind w:left="172" w:firstLineChars="14" w:firstLine="28"/>
              <w:rPr>
                <w:rFonts w:eastAsia="Times New Roman" w:cstheme="minorHAnsi"/>
                <w:color w:val="000000"/>
                <w:sz w:val="20"/>
                <w:szCs w:val="20"/>
              </w:rPr>
            </w:pPr>
            <w:r w:rsidRPr="00D263EE">
              <w:rPr>
                <w:rFonts w:eastAsia="Times New Roman" w:cstheme="minorHAnsi"/>
                <w:color w:val="000000"/>
                <w:sz w:val="20"/>
                <w:szCs w:val="20"/>
              </w:rPr>
              <w:t xml:space="preserve">Blood </w:t>
            </w:r>
            <w:proofErr w:type="spellStart"/>
            <w:r w:rsidRPr="00D263EE">
              <w:rPr>
                <w:rFonts w:eastAsia="Times New Roman" w:cstheme="minorHAnsi"/>
                <w:color w:val="000000"/>
                <w:sz w:val="20"/>
                <w:szCs w:val="20"/>
              </w:rPr>
              <w:t>creatine</w:t>
            </w:r>
            <w:proofErr w:type="spellEnd"/>
            <w:r w:rsidRPr="00D263EE">
              <w:rPr>
                <w:rFonts w:eastAsia="Times New Roman" w:cstheme="minorHAnsi"/>
                <w:color w:val="000000"/>
                <w:sz w:val="20"/>
                <w:szCs w:val="20"/>
              </w:rPr>
              <w:t xml:space="preserve"> phosphokinase increased</w:t>
            </w:r>
          </w:p>
        </w:tc>
        <w:tc>
          <w:tcPr>
            <w:tcW w:w="1488" w:type="dxa"/>
            <w:tcBorders>
              <w:left w:val="single" w:sz="8" w:space="0" w:color="auto"/>
              <w:bottom w:val="single" w:sz="8" w:space="0" w:color="auto"/>
              <w:right w:val="single" w:sz="8" w:space="0" w:color="auto"/>
            </w:tcBorders>
            <w:shd w:val="clear" w:color="auto" w:fill="auto"/>
            <w:vAlign w:val="center"/>
            <w:hideMark/>
          </w:tcPr>
          <w:p w14:paraId="2A512EF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56 (14.8%)</w:t>
            </w:r>
          </w:p>
        </w:tc>
        <w:tc>
          <w:tcPr>
            <w:tcW w:w="1488" w:type="dxa"/>
            <w:tcBorders>
              <w:left w:val="single" w:sz="8" w:space="0" w:color="auto"/>
              <w:bottom w:val="single" w:sz="8" w:space="0" w:color="auto"/>
              <w:right w:val="single" w:sz="8" w:space="0" w:color="auto"/>
            </w:tcBorders>
            <w:vAlign w:val="center"/>
          </w:tcPr>
          <w:p w14:paraId="078419E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22 (5.8%)</w:t>
            </w:r>
          </w:p>
        </w:tc>
        <w:tc>
          <w:tcPr>
            <w:tcW w:w="1488" w:type="dxa"/>
            <w:tcBorders>
              <w:left w:val="single" w:sz="8" w:space="0" w:color="auto"/>
              <w:bottom w:val="single" w:sz="8" w:space="0" w:color="auto"/>
              <w:right w:val="single" w:sz="8" w:space="0" w:color="auto"/>
            </w:tcBorders>
            <w:shd w:val="clear" w:color="auto" w:fill="auto"/>
            <w:vAlign w:val="center"/>
            <w:hideMark/>
          </w:tcPr>
          <w:p w14:paraId="71E311D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 (1.2%)</w:t>
            </w:r>
          </w:p>
        </w:tc>
        <w:tc>
          <w:tcPr>
            <w:tcW w:w="1489" w:type="dxa"/>
            <w:tcBorders>
              <w:left w:val="single" w:sz="8" w:space="0" w:color="auto"/>
              <w:bottom w:val="single" w:sz="8" w:space="0" w:color="auto"/>
              <w:right w:val="single" w:sz="8" w:space="0" w:color="auto"/>
            </w:tcBorders>
            <w:vAlign w:val="center"/>
          </w:tcPr>
          <w:p w14:paraId="2F2FDA78"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(0.6%)</w:t>
            </w:r>
          </w:p>
        </w:tc>
      </w:tr>
      <w:tr w:rsidR="00FF0108" w:rsidRPr="00D263EE" w14:paraId="1C5EB3B1" w14:textId="77777777" w:rsidTr="00651DA4">
        <w:trPr>
          <w:trHeight w:val="255"/>
        </w:trPr>
        <w:tc>
          <w:tcPr>
            <w:tcW w:w="3261" w:type="dxa"/>
            <w:tcBorders>
              <w:top w:val="single" w:sz="8" w:space="0" w:color="auto"/>
              <w:left w:val="single" w:sz="8" w:space="0" w:color="auto"/>
              <w:right w:val="single" w:sz="8" w:space="0" w:color="auto"/>
            </w:tcBorders>
            <w:shd w:val="clear" w:color="auto" w:fill="auto"/>
            <w:vAlign w:val="center"/>
          </w:tcPr>
          <w:p w14:paraId="0AE9B33F"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NewRoman" w:cstheme="minorHAnsi"/>
                <w:sz w:val="20"/>
                <w:szCs w:val="20"/>
              </w:rPr>
              <w:t>White blood cell count decreased</w:t>
            </w:r>
          </w:p>
        </w:tc>
        <w:tc>
          <w:tcPr>
            <w:tcW w:w="1488" w:type="dxa"/>
            <w:tcBorders>
              <w:top w:val="single" w:sz="8" w:space="0" w:color="auto"/>
              <w:left w:val="single" w:sz="8" w:space="0" w:color="auto"/>
              <w:right w:val="single" w:sz="8" w:space="0" w:color="auto"/>
            </w:tcBorders>
            <w:shd w:val="clear" w:color="auto" w:fill="auto"/>
            <w:vAlign w:val="center"/>
          </w:tcPr>
          <w:p w14:paraId="428E3A33"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97 (25.7%)</w:t>
            </w:r>
          </w:p>
        </w:tc>
        <w:tc>
          <w:tcPr>
            <w:tcW w:w="1488" w:type="dxa"/>
            <w:tcBorders>
              <w:top w:val="single" w:sz="8" w:space="0" w:color="auto"/>
              <w:left w:val="single" w:sz="8" w:space="0" w:color="auto"/>
              <w:right w:val="single" w:sz="8" w:space="0" w:color="auto"/>
            </w:tcBorders>
            <w:vAlign w:val="center"/>
          </w:tcPr>
          <w:p w14:paraId="655B86D9"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75 (19.8%)</w:t>
            </w:r>
          </w:p>
        </w:tc>
        <w:tc>
          <w:tcPr>
            <w:tcW w:w="1488" w:type="dxa"/>
            <w:tcBorders>
              <w:top w:val="single" w:sz="8" w:space="0" w:color="auto"/>
              <w:left w:val="single" w:sz="8" w:space="0" w:color="auto"/>
              <w:right w:val="single" w:sz="8" w:space="0" w:color="auto"/>
            </w:tcBorders>
            <w:shd w:val="clear" w:color="auto" w:fill="auto"/>
            <w:vAlign w:val="center"/>
          </w:tcPr>
          <w:p w14:paraId="03512840"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20 (11.6%)</w:t>
            </w:r>
          </w:p>
        </w:tc>
        <w:tc>
          <w:tcPr>
            <w:tcW w:w="1489" w:type="dxa"/>
            <w:tcBorders>
              <w:top w:val="single" w:sz="8" w:space="0" w:color="auto"/>
              <w:left w:val="single" w:sz="8" w:space="0" w:color="auto"/>
              <w:right w:val="single" w:sz="8" w:space="0" w:color="auto"/>
            </w:tcBorders>
            <w:vAlign w:val="center"/>
          </w:tcPr>
          <w:p w14:paraId="5B81C490"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 xml:space="preserve">15 </w:t>
            </w:r>
            <w:r>
              <w:rPr>
                <w:rFonts w:eastAsia="TimesNewRoman" w:cstheme="minorHAnsi"/>
                <w:sz w:val="20"/>
                <w:szCs w:val="20"/>
              </w:rPr>
              <w:t>(</w:t>
            </w:r>
            <w:r w:rsidRPr="00D263EE">
              <w:rPr>
                <w:rFonts w:eastAsia="TimesNewRoman" w:cstheme="minorHAnsi"/>
                <w:sz w:val="20"/>
                <w:szCs w:val="20"/>
              </w:rPr>
              <w:t>8.7%)</w:t>
            </w:r>
          </w:p>
        </w:tc>
      </w:tr>
      <w:tr w:rsidR="00FF0108" w:rsidRPr="00D263EE" w14:paraId="01460EE2" w14:textId="77777777" w:rsidTr="00625B50">
        <w:trPr>
          <w:trHeight w:val="255"/>
        </w:trPr>
        <w:tc>
          <w:tcPr>
            <w:tcW w:w="3261" w:type="dxa"/>
            <w:tcBorders>
              <w:left w:val="single" w:sz="8" w:space="0" w:color="auto"/>
              <w:right w:val="single" w:sz="8" w:space="0" w:color="auto"/>
            </w:tcBorders>
            <w:shd w:val="clear" w:color="auto" w:fill="auto"/>
            <w:vAlign w:val="center"/>
          </w:tcPr>
          <w:p w14:paraId="78203C94"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NewRoman" w:cstheme="minorHAnsi"/>
                <w:sz w:val="20"/>
                <w:szCs w:val="20"/>
              </w:rPr>
              <w:t>Neutrophil count decreased</w:t>
            </w:r>
          </w:p>
        </w:tc>
        <w:tc>
          <w:tcPr>
            <w:tcW w:w="1488" w:type="dxa"/>
            <w:tcBorders>
              <w:left w:val="single" w:sz="8" w:space="0" w:color="auto"/>
              <w:right w:val="single" w:sz="8" w:space="0" w:color="auto"/>
            </w:tcBorders>
            <w:shd w:val="clear" w:color="auto" w:fill="auto"/>
            <w:vAlign w:val="center"/>
          </w:tcPr>
          <w:p w14:paraId="07C0EB36"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96 (25.4%)</w:t>
            </w:r>
          </w:p>
        </w:tc>
        <w:tc>
          <w:tcPr>
            <w:tcW w:w="1488" w:type="dxa"/>
            <w:tcBorders>
              <w:left w:val="single" w:sz="8" w:space="0" w:color="auto"/>
              <w:right w:val="single" w:sz="8" w:space="0" w:color="auto"/>
            </w:tcBorders>
            <w:vAlign w:val="center"/>
          </w:tcPr>
          <w:p w14:paraId="0F0C2A65"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77 (20.4%)</w:t>
            </w:r>
          </w:p>
        </w:tc>
        <w:tc>
          <w:tcPr>
            <w:tcW w:w="1488" w:type="dxa"/>
            <w:tcBorders>
              <w:left w:val="single" w:sz="8" w:space="0" w:color="auto"/>
              <w:right w:val="single" w:sz="8" w:space="0" w:color="auto"/>
            </w:tcBorders>
            <w:shd w:val="clear" w:color="auto" w:fill="auto"/>
            <w:vAlign w:val="center"/>
          </w:tcPr>
          <w:p w14:paraId="60C32BDF"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25 (14.5%)</w:t>
            </w:r>
          </w:p>
        </w:tc>
        <w:tc>
          <w:tcPr>
            <w:tcW w:w="1489" w:type="dxa"/>
            <w:tcBorders>
              <w:left w:val="single" w:sz="8" w:space="0" w:color="auto"/>
              <w:right w:val="single" w:sz="8" w:space="0" w:color="auto"/>
            </w:tcBorders>
            <w:vAlign w:val="center"/>
          </w:tcPr>
          <w:p w14:paraId="3A76F948"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17 (9.9%)</w:t>
            </w:r>
          </w:p>
        </w:tc>
      </w:tr>
      <w:tr w:rsidR="00FF0108" w:rsidRPr="00D263EE" w14:paraId="04725344" w14:textId="77777777" w:rsidTr="00625B50">
        <w:trPr>
          <w:trHeight w:val="255"/>
        </w:trPr>
        <w:tc>
          <w:tcPr>
            <w:tcW w:w="3261" w:type="dxa"/>
            <w:tcBorders>
              <w:left w:val="single" w:sz="8" w:space="0" w:color="auto"/>
              <w:right w:val="single" w:sz="8" w:space="0" w:color="auto"/>
            </w:tcBorders>
            <w:shd w:val="clear" w:color="auto" w:fill="auto"/>
            <w:vAlign w:val="center"/>
          </w:tcPr>
          <w:p w14:paraId="77B5B1C4" w14:textId="77777777" w:rsidR="00FF0108" w:rsidRPr="00D263EE" w:rsidRDefault="00FF0108" w:rsidP="00625B50">
            <w:pPr>
              <w:spacing w:after="0" w:line="240" w:lineRule="auto"/>
              <w:ind w:firstLineChars="100" w:firstLine="200"/>
              <w:rPr>
                <w:rFonts w:eastAsia="TimesNewRoman" w:cstheme="minorHAnsi"/>
                <w:sz w:val="20"/>
                <w:szCs w:val="20"/>
              </w:rPr>
            </w:pPr>
            <w:r w:rsidRPr="00D263EE">
              <w:rPr>
                <w:rFonts w:eastAsia="TimesNewRoman" w:cstheme="minorHAnsi"/>
                <w:sz w:val="20"/>
                <w:szCs w:val="20"/>
              </w:rPr>
              <w:t>Platelet count decreased</w:t>
            </w:r>
          </w:p>
        </w:tc>
        <w:tc>
          <w:tcPr>
            <w:tcW w:w="1488" w:type="dxa"/>
            <w:tcBorders>
              <w:left w:val="single" w:sz="8" w:space="0" w:color="auto"/>
              <w:right w:val="single" w:sz="8" w:space="0" w:color="auto"/>
            </w:tcBorders>
            <w:shd w:val="clear" w:color="auto" w:fill="auto"/>
            <w:vAlign w:val="center"/>
          </w:tcPr>
          <w:p w14:paraId="107198DB" w14:textId="77777777" w:rsidR="00FF0108" w:rsidRPr="00D263EE" w:rsidRDefault="00FF0108" w:rsidP="00625B50">
            <w:pPr>
              <w:spacing w:after="0" w:line="240" w:lineRule="auto"/>
              <w:jc w:val="center"/>
              <w:rPr>
                <w:rFonts w:eastAsia="TimesNewRoman" w:cstheme="minorHAnsi"/>
                <w:sz w:val="20"/>
                <w:szCs w:val="20"/>
              </w:rPr>
            </w:pPr>
            <w:r w:rsidRPr="00D263EE">
              <w:rPr>
                <w:rFonts w:eastAsia="TimesNewRoman" w:cstheme="minorHAnsi"/>
                <w:sz w:val="20"/>
                <w:szCs w:val="20"/>
              </w:rPr>
              <w:t>62 (16.4%)</w:t>
            </w:r>
          </w:p>
        </w:tc>
        <w:tc>
          <w:tcPr>
            <w:tcW w:w="1488" w:type="dxa"/>
            <w:tcBorders>
              <w:left w:val="single" w:sz="8" w:space="0" w:color="auto"/>
              <w:right w:val="single" w:sz="8" w:space="0" w:color="auto"/>
            </w:tcBorders>
            <w:vAlign w:val="center"/>
          </w:tcPr>
          <w:p w14:paraId="7101B0BE"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38 (10.1%)</w:t>
            </w:r>
          </w:p>
        </w:tc>
        <w:tc>
          <w:tcPr>
            <w:tcW w:w="1488" w:type="dxa"/>
            <w:tcBorders>
              <w:left w:val="single" w:sz="8" w:space="0" w:color="auto"/>
              <w:right w:val="single" w:sz="8" w:space="0" w:color="auto"/>
            </w:tcBorders>
            <w:shd w:val="clear" w:color="auto" w:fill="auto"/>
            <w:vAlign w:val="center"/>
          </w:tcPr>
          <w:p w14:paraId="68E66926" w14:textId="77777777" w:rsidR="00FF0108" w:rsidRPr="00D263EE" w:rsidRDefault="00FF0108" w:rsidP="00625B50">
            <w:pPr>
              <w:spacing w:after="0" w:line="240" w:lineRule="auto"/>
              <w:jc w:val="center"/>
              <w:rPr>
                <w:rFonts w:eastAsia="TimesNewRoman" w:cstheme="minorHAnsi"/>
                <w:sz w:val="20"/>
                <w:szCs w:val="20"/>
              </w:rPr>
            </w:pPr>
            <w:r w:rsidRPr="00D263EE">
              <w:rPr>
                <w:rFonts w:eastAsia="TimesNewRoman" w:cstheme="minorHAnsi"/>
                <w:sz w:val="20"/>
                <w:szCs w:val="20"/>
              </w:rPr>
              <w:t>28 (16.3%)</w:t>
            </w:r>
          </w:p>
        </w:tc>
        <w:tc>
          <w:tcPr>
            <w:tcW w:w="1489" w:type="dxa"/>
            <w:tcBorders>
              <w:left w:val="single" w:sz="8" w:space="0" w:color="auto"/>
              <w:right w:val="single" w:sz="8" w:space="0" w:color="auto"/>
            </w:tcBorders>
            <w:vAlign w:val="center"/>
          </w:tcPr>
          <w:p w14:paraId="6A5CC805"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16(9.3%)</w:t>
            </w:r>
          </w:p>
        </w:tc>
      </w:tr>
      <w:tr w:rsidR="00FF0108" w:rsidRPr="00D263EE" w14:paraId="68A855F2"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30F11D50"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Nervous system disorders</w:t>
            </w:r>
          </w:p>
        </w:tc>
        <w:tc>
          <w:tcPr>
            <w:tcW w:w="1488" w:type="dxa"/>
            <w:tcBorders>
              <w:left w:val="single" w:sz="8" w:space="0" w:color="auto"/>
              <w:right w:val="single" w:sz="8" w:space="0" w:color="auto"/>
            </w:tcBorders>
            <w:shd w:val="clear" w:color="auto" w:fill="auto"/>
            <w:vAlign w:val="center"/>
            <w:hideMark/>
          </w:tcPr>
          <w:p w14:paraId="2CFE5616"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198 (52.4%)</w:t>
            </w:r>
          </w:p>
        </w:tc>
        <w:tc>
          <w:tcPr>
            <w:tcW w:w="1488" w:type="dxa"/>
            <w:tcBorders>
              <w:left w:val="single" w:sz="8" w:space="0" w:color="auto"/>
              <w:right w:val="single" w:sz="8" w:space="0" w:color="auto"/>
            </w:tcBorders>
            <w:vAlign w:val="center"/>
          </w:tcPr>
          <w:p w14:paraId="34396388"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10 (2.6%)</w:t>
            </w:r>
          </w:p>
        </w:tc>
        <w:tc>
          <w:tcPr>
            <w:tcW w:w="1488" w:type="dxa"/>
            <w:tcBorders>
              <w:left w:val="single" w:sz="8" w:space="0" w:color="auto"/>
              <w:right w:val="single" w:sz="8" w:space="0" w:color="auto"/>
            </w:tcBorders>
            <w:shd w:val="clear" w:color="auto" w:fill="auto"/>
            <w:vAlign w:val="center"/>
            <w:hideMark/>
          </w:tcPr>
          <w:p w14:paraId="18AC3492"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78 (45.3%)</w:t>
            </w:r>
          </w:p>
        </w:tc>
        <w:tc>
          <w:tcPr>
            <w:tcW w:w="1489" w:type="dxa"/>
            <w:tcBorders>
              <w:left w:val="single" w:sz="8" w:space="0" w:color="auto"/>
              <w:right w:val="single" w:sz="8" w:space="0" w:color="auto"/>
            </w:tcBorders>
            <w:vAlign w:val="center"/>
          </w:tcPr>
          <w:p w14:paraId="2169888D"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6 (3.5%)</w:t>
            </w:r>
          </w:p>
        </w:tc>
      </w:tr>
      <w:tr w:rsidR="00FF0108" w:rsidRPr="00D263EE" w14:paraId="48E259C7"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1CF6251E"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Headache</w:t>
            </w:r>
          </w:p>
        </w:tc>
        <w:tc>
          <w:tcPr>
            <w:tcW w:w="1488" w:type="dxa"/>
            <w:tcBorders>
              <w:left w:val="single" w:sz="8" w:space="0" w:color="auto"/>
              <w:right w:val="single" w:sz="8" w:space="0" w:color="auto"/>
            </w:tcBorders>
            <w:shd w:val="clear" w:color="auto" w:fill="auto"/>
            <w:vAlign w:val="center"/>
            <w:hideMark/>
          </w:tcPr>
          <w:p w14:paraId="29FAC192"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93 (24.6%)</w:t>
            </w:r>
          </w:p>
        </w:tc>
        <w:tc>
          <w:tcPr>
            <w:tcW w:w="1488" w:type="dxa"/>
            <w:tcBorders>
              <w:left w:val="single" w:sz="8" w:space="0" w:color="auto"/>
              <w:right w:val="single" w:sz="8" w:space="0" w:color="auto"/>
            </w:tcBorders>
            <w:vAlign w:val="center"/>
          </w:tcPr>
          <w:p w14:paraId="13E0D76E"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(0.3%)</w:t>
            </w:r>
          </w:p>
        </w:tc>
        <w:tc>
          <w:tcPr>
            <w:tcW w:w="1488" w:type="dxa"/>
            <w:tcBorders>
              <w:left w:val="single" w:sz="8" w:space="0" w:color="auto"/>
              <w:right w:val="single" w:sz="8" w:space="0" w:color="auto"/>
            </w:tcBorders>
            <w:shd w:val="clear" w:color="auto" w:fill="auto"/>
            <w:vAlign w:val="center"/>
            <w:hideMark/>
          </w:tcPr>
          <w:p w14:paraId="33B56530"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32 (18.6%)</w:t>
            </w:r>
          </w:p>
        </w:tc>
        <w:tc>
          <w:tcPr>
            <w:tcW w:w="1489" w:type="dxa"/>
            <w:tcBorders>
              <w:left w:val="single" w:sz="8" w:space="0" w:color="auto"/>
              <w:right w:val="single" w:sz="8" w:space="0" w:color="auto"/>
            </w:tcBorders>
            <w:vAlign w:val="center"/>
          </w:tcPr>
          <w:p w14:paraId="50F7AE30"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54598AB0"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2E9B082D"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Dizziness</w:t>
            </w:r>
          </w:p>
        </w:tc>
        <w:tc>
          <w:tcPr>
            <w:tcW w:w="1488" w:type="dxa"/>
            <w:tcBorders>
              <w:left w:val="single" w:sz="8" w:space="0" w:color="auto"/>
              <w:right w:val="single" w:sz="8" w:space="0" w:color="auto"/>
            </w:tcBorders>
            <w:shd w:val="clear" w:color="auto" w:fill="auto"/>
            <w:vAlign w:val="center"/>
            <w:hideMark/>
          </w:tcPr>
          <w:p w14:paraId="0C957ADF"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46 (12.2%)</w:t>
            </w:r>
          </w:p>
        </w:tc>
        <w:tc>
          <w:tcPr>
            <w:tcW w:w="1488" w:type="dxa"/>
            <w:tcBorders>
              <w:left w:val="single" w:sz="8" w:space="0" w:color="auto"/>
              <w:right w:val="single" w:sz="8" w:space="0" w:color="auto"/>
            </w:tcBorders>
            <w:vAlign w:val="center"/>
          </w:tcPr>
          <w:p w14:paraId="5D976C4A"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(0.3%)</w:t>
            </w:r>
          </w:p>
        </w:tc>
        <w:tc>
          <w:tcPr>
            <w:tcW w:w="1488" w:type="dxa"/>
            <w:tcBorders>
              <w:left w:val="single" w:sz="8" w:space="0" w:color="auto"/>
              <w:right w:val="single" w:sz="8" w:space="0" w:color="auto"/>
            </w:tcBorders>
            <w:shd w:val="clear" w:color="auto" w:fill="auto"/>
            <w:vAlign w:val="center"/>
            <w:hideMark/>
          </w:tcPr>
          <w:p w14:paraId="1522445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21 (12.2%)</w:t>
            </w:r>
          </w:p>
        </w:tc>
        <w:tc>
          <w:tcPr>
            <w:tcW w:w="1489" w:type="dxa"/>
            <w:tcBorders>
              <w:left w:val="single" w:sz="8" w:space="0" w:color="auto"/>
              <w:right w:val="single" w:sz="8" w:space="0" w:color="auto"/>
            </w:tcBorders>
            <w:vAlign w:val="center"/>
          </w:tcPr>
          <w:p w14:paraId="5EA3FE24"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7BE4BF16"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0A2A5317"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Musculoskeletal and connective tissue disorders</w:t>
            </w:r>
          </w:p>
        </w:tc>
        <w:tc>
          <w:tcPr>
            <w:tcW w:w="1488" w:type="dxa"/>
            <w:tcBorders>
              <w:left w:val="single" w:sz="8" w:space="0" w:color="auto"/>
              <w:right w:val="single" w:sz="8" w:space="0" w:color="auto"/>
            </w:tcBorders>
            <w:shd w:val="clear" w:color="auto" w:fill="auto"/>
            <w:vAlign w:val="center"/>
            <w:hideMark/>
          </w:tcPr>
          <w:p w14:paraId="14C241F8"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202 (53.4%)</w:t>
            </w:r>
          </w:p>
        </w:tc>
        <w:tc>
          <w:tcPr>
            <w:tcW w:w="1488" w:type="dxa"/>
            <w:tcBorders>
              <w:left w:val="single" w:sz="8" w:space="0" w:color="auto"/>
              <w:right w:val="single" w:sz="8" w:space="0" w:color="auto"/>
            </w:tcBorders>
            <w:vAlign w:val="center"/>
          </w:tcPr>
          <w:p w14:paraId="7B698BCD"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21 (5.6%)</w:t>
            </w:r>
          </w:p>
        </w:tc>
        <w:tc>
          <w:tcPr>
            <w:tcW w:w="1488" w:type="dxa"/>
            <w:tcBorders>
              <w:left w:val="single" w:sz="8" w:space="0" w:color="auto"/>
              <w:right w:val="single" w:sz="8" w:space="0" w:color="auto"/>
            </w:tcBorders>
            <w:shd w:val="clear" w:color="auto" w:fill="auto"/>
            <w:vAlign w:val="center"/>
            <w:hideMark/>
          </w:tcPr>
          <w:p w14:paraId="1B2526F8"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77 (44.8%)</w:t>
            </w:r>
          </w:p>
        </w:tc>
        <w:tc>
          <w:tcPr>
            <w:tcW w:w="1489" w:type="dxa"/>
            <w:tcBorders>
              <w:left w:val="single" w:sz="8" w:space="0" w:color="auto"/>
              <w:right w:val="single" w:sz="8" w:space="0" w:color="auto"/>
            </w:tcBorders>
            <w:vAlign w:val="center"/>
          </w:tcPr>
          <w:p w14:paraId="7B54B65B"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12 (7.0%)</w:t>
            </w:r>
          </w:p>
        </w:tc>
      </w:tr>
      <w:tr w:rsidR="00FF0108" w:rsidRPr="00D263EE" w14:paraId="15CABCB5"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11839CEA"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Back pain</w:t>
            </w:r>
          </w:p>
        </w:tc>
        <w:tc>
          <w:tcPr>
            <w:tcW w:w="1488" w:type="dxa"/>
            <w:tcBorders>
              <w:left w:val="single" w:sz="8" w:space="0" w:color="auto"/>
              <w:right w:val="single" w:sz="8" w:space="0" w:color="auto"/>
            </w:tcBorders>
            <w:shd w:val="clear" w:color="auto" w:fill="auto"/>
            <w:vAlign w:val="center"/>
            <w:hideMark/>
          </w:tcPr>
          <w:p w14:paraId="01278278"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65 (17.2%)</w:t>
            </w:r>
          </w:p>
        </w:tc>
        <w:tc>
          <w:tcPr>
            <w:tcW w:w="1488" w:type="dxa"/>
            <w:tcBorders>
              <w:left w:val="single" w:sz="8" w:space="0" w:color="auto"/>
              <w:right w:val="single" w:sz="8" w:space="0" w:color="auto"/>
            </w:tcBorders>
            <w:vAlign w:val="center"/>
          </w:tcPr>
          <w:p w14:paraId="63C4F7AE" w14:textId="77777777" w:rsidR="00FF0108" w:rsidRPr="00D263EE" w:rsidRDefault="00FF0108" w:rsidP="00625B50">
            <w:pPr>
              <w:autoSpaceDE w:val="0"/>
              <w:autoSpaceDN w:val="0"/>
              <w:adjustRightInd w:val="0"/>
              <w:spacing w:after="0" w:line="240" w:lineRule="auto"/>
              <w:jc w:val="center"/>
              <w:rPr>
                <w:rFonts w:eastAsia="Times New Roman" w:cstheme="minorHAnsi"/>
                <w:color w:val="000000"/>
                <w:sz w:val="20"/>
                <w:szCs w:val="20"/>
              </w:rPr>
            </w:pPr>
            <w:r w:rsidRPr="00D263EE">
              <w:rPr>
                <w:rFonts w:eastAsia="TimesNewRoman" w:cstheme="minorHAnsi"/>
                <w:sz w:val="20"/>
                <w:szCs w:val="20"/>
              </w:rPr>
              <w:t>4 (1.1%)</w:t>
            </w:r>
          </w:p>
        </w:tc>
        <w:tc>
          <w:tcPr>
            <w:tcW w:w="1488" w:type="dxa"/>
            <w:tcBorders>
              <w:left w:val="single" w:sz="8" w:space="0" w:color="auto"/>
              <w:right w:val="single" w:sz="8" w:space="0" w:color="auto"/>
            </w:tcBorders>
            <w:shd w:val="clear" w:color="auto" w:fill="auto"/>
            <w:vAlign w:val="center"/>
            <w:hideMark/>
          </w:tcPr>
          <w:p w14:paraId="165EAFFF"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30 (17.4%)</w:t>
            </w:r>
          </w:p>
        </w:tc>
        <w:tc>
          <w:tcPr>
            <w:tcW w:w="1489" w:type="dxa"/>
            <w:tcBorders>
              <w:left w:val="single" w:sz="8" w:space="0" w:color="auto"/>
              <w:right w:val="single" w:sz="8" w:space="0" w:color="auto"/>
            </w:tcBorders>
            <w:vAlign w:val="center"/>
          </w:tcPr>
          <w:p w14:paraId="49928A26"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4 (2.3%)</w:t>
            </w:r>
          </w:p>
        </w:tc>
      </w:tr>
      <w:tr w:rsidR="00FF0108" w:rsidRPr="00D263EE" w14:paraId="3DFE564C"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1DB62A9F"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Pain in extremity</w:t>
            </w:r>
          </w:p>
        </w:tc>
        <w:tc>
          <w:tcPr>
            <w:tcW w:w="1488" w:type="dxa"/>
            <w:tcBorders>
              <w:left w:val="single" w:sz="8" w:space="0" w:color="auto"/>
              <w:right w:val="single" w:sz="8" w:space="0" w:color="auto"/>
            </w:tcBorders>
            <w:shd w:val="clear" w:color="auto" w:fill="auto"/>
            <w:vAlign w:val="center"/>
            <w:hideMark/>
          </w:tcPr>
          <w:p w14:paraId="708DD872"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47 (12.4%)</w:t>
            </w:r>
          </w:p>
        </w:tc>
        <w:tc>
          <w:tcPr>
            <w:tcW w:w="1488" w:type="dxa"/>
            <w:tcBorders>
              <w:left w:val="single" w:sz="8" w:space="0" w:color="auto"/>
              <w:right w:val="single" w:sz="8" w:space="0" w:color="auto"/>
            </w:tcBorders>
            <w:vAlign w:val="center"/>
          </w:tcPr>
          <w:p w14:paraId="0CB5809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5 (1.3%)</w:t>
            </w:r>
          </w:p>
        </w:tc>
        <w:tc>
          <w:tcPr>
            <w:tcW w:w="1488" w:type="dxa"/>
            <w:tcBorders>
              <w:left w:val="single" w:sz="8" w:space="0" w:color="auto"/>
              <w:right w:val="single" w:sz="8" w:space="0" w:color="auto"/>
            </w:tcBorders>
            <w:shd w:val="clear" w:color="auto" w:fill="auto"/>
            <w:vAlign w:val="center"/>
            <w:hideMark/>
          </w:tcPr>
          <w:p w14:paraId="2A128EA6"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15 (8.7%)</w:t>
            </w:r>
          </w:p>
        </w:tc>
        <w:tc>
          <w:tcPr>
            <w:tcW w:w="1489" w:type="dxa"/>
            <w:tcBorders>
              <w:left w:val="single" w:sz="8" w:space="0" w:color="auto"/>
              <w:right w:val="single" w:sz="8" w:space="0" w:color="auto"/>
            </w:tcBorders>
            <w:vAlign w:val="center"/>
          </w:tcPr>
          <w:p w14:paraId="24F74AD3"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4 (2.3%)</w:t>
            </w:r>
          </w:p>
        </w:tc>
      </w:tr>
      <w:tr w:rsidR="00FF0108" w:rsidRPr="00D263EE" w14:paraId="621C360C"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61416CB0"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Arthralgia</w:t>
            </w:r>
          </w:p>
        </w:tc>
        <w:tc>
          <w:tcPr>
            <w:tcW w:w="1488" w:type="dxa"/>
            <w:tcBorders>
              <w:left w:val="single" w:sz="8" w:space="0" w:color="auto"/>
              <w:right w:val="single" w:sz="8" w:space="0" w:color="auto"/>
            </w:tcBorders>
            <w:shd w:val="clear" w:color="auto" w:fill="auto"/>
            <w:vAlign w:val="center"/>
            <w:hideMark/>
          </w:tcPr>
          <w:p w14:paraId="25F375EE"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56 (14.8%)</w:t>
            </w:r>
          </w:p>
        </w:tc>
        <w:tc>
          <w:tcPr>
            <w:tcW w:w="1488" w:type="dxa"/>
            <w:tcBorders>
              <w:left w:val="single" w:sz="8" w:space="0" w:color="auto"/>
              <w:right w:val="single" w:sz="8" w:space="0" w:color="auto"/>
            </w:tcBorders>
            <w:vAlign w:val="center"/>
          </w:tcPr>
          <w:p w14:paraId="07FFE4B6"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c>
          <w:tcPr>
            <w:tcW w:w="1488" w:type="dxa"/>
            <w:tcBorders>
              <w:left w:val="single" w:sz="8" w:space="0" w:color="auto"/>
              <w:right w:val="single" w:sz="8" w:space="0" w:color="auto"/>
            </w:tcBorders>
            <w:shd w:val="clear" w:color="auto" w:fill="auto"/>
            <w:vAlign w:val="center"/>
            <w:hideMark/>
          </w:tcPr>
          <w:p w14:paraId="7EF5C4E6"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NewRoman" w:cstheme="minorHAnsi"/>
                <w:sz w:val="20"/>
                <w:szCs w:val="20"/>
              </w:rPr>
              <w:t>14 (8.1%)</w:t>
            </w:r>
          </w:p>
        </w:tc>
        <w:tc>
          <w:tcPr>
            <w:tcW w:w="1489" w:type="dxa"/>
            <w:tcBorders>
              <w:left w:val="single" w:sz="8" w:space="0" w:color="auto"/>
              <w:right w:val="single" w:sz="8" w:space="0" w:color="auto"/>
            </w:tcBorders>
            <w:vAlign w:val="center"/>
          </w:tcPr>
          <w:p w14:paraId="358FA0E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2 (1.2%)</w:t>
            </w:r>
          </w:p>
        </w:tc>
      </w:tr>
      <w:tr w:rsidR="00FF0108" w:rsidRPr="00D263EE" w14:paraId="7D4F00FB"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6F5267C9"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Myalgia</w:t>
            </w:r>
          </w:p>
        </w:tc>
        <w:tc>
          <w:tcPr>
            <w:tcW w:w="1488" w:type="dxa"/>
            <w:tcBorders>
              <w:left w:val="single" w:sz="8" w:space="0" w:color="auto"/>
              <w:right w:val="single" w:sz="8" w:space="0" w:color="auto"/>
            </w:tcBorders>
            <w:shd w:val="clear" w:color="auto" w:fill="auto"/>
            <w:vAlign w:val="center"/>
            <w:hideMark/>
          </w:tcPr>
          <w:p w14:paraId="47648CC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47 (12.4%)</w:t>
            </w:r>
          </w:p>
        </w:tc>
        <w:tc>
          <w:tcPr>
            <w:tcW w:w="1488" w:type="dxa"/>
            <w:tcBorders>
              <w:left w:val="single" w:sz="8" w:space="0" w:color="auto"/>
              <w:right w:val="single" w:sz="8" w:space="0" w:color="auto"/>
            </w:tcBorders>
            <w:vAlign w:val="center"/>
          </w:tcPr>
          <w:p w14:paraId="77793A0E"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c>
          <w:tcPr>
            <w:tcW w:w="1488" w:type="dxa"/>
            <w:tcBorders>
              <w:left w:val="single" w:sz="8" w:space="0" w:color="auto"/>
              <w:right w:val="single" w:sz="8" w:space="0" w:color="auto"/>
            </w:tcBorders>
            <w:shd w:val="clear" w:color="auto" w:fill="auto"/>
            <w:vAlign w:val="center"/>
            <w:hideMark/>
          </w:tcPr>
          <w:p w14:paraId="00B518C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11 (6.4%)</w:t>
            </w:r>
          </w:p>
        </w:tc>
        <w:tc>
          <w:tcPr>
            <w:tcW w:w="1489" w:type="dxa"/>
            <w:tcBorders>
              <w:left w:val="single" w:sz="8" w:space="0" w:color="auto"/>
              <w:right w:val="single" w:sz="8" w:space="0" w:color="auto"/>
            </w:tcBorders>
            <w:vAlign w:val="center"/>
          </w:tcPr>
          <w:p w14:paraId="3E848780"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0FF96154"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5AE58D6D"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Psychiatric disorders</w:t>
            </w:r>
          </w:p>
        </w:tc>
        <w:tc>
          <w:tcPr>
            <w:tcW w:w="1488" w:type="dxa"/>
            <w:tcBorders>
              <w:left w:val="single" w:sz="8" w:space="0" w:color="auto"/>
              <w:right w:val="single" w:sz="8" w:space="0" w:color="auto"/>
            </w:tcBorders>
            <w:shd w:val="clear" w:color="auto" w:fill="auto"/>
            <w:vAlign w:val="center"/>
            <w:hideMark/>
          </w:tcPr>
          <w:p w14:paraId="336F6C56"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113 (29.9%)</w:t>
            </w:r>
          </w:p>
        </w:tc>
        <w:tc>
          <w:tcPr>
            <w:tcW w:w="1488" w:type="dxa"/>
            <w:tcBorders>
              <w:left w:val="single" w:sz="8" w:space="0" w:color="auto"/>
              <w:right w:val="single" w:sz="8" w:space="0" w:color="auto"/>
            </w:tcBorders>
            <w:vAlign w:val="center"/>
          </w:tcPr>
          <w:p w14:paraId="549BDBA2"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4 (1.1%)</w:t>
            </w:r>
          </w:p>
        </w:tc>
        <w:tc>
          <w:tcPr>
            <w:tcW w:w="1488" w:type="dxa"/>
            <w:tcBorders>
              <w:left w:val="single" w:sz="8" w:space="0" w:color="auto"/>
              <w:right w:val="single" w:sz="8" w:space="0" w:color="auto"/>
            </w:tcBorders>
            <w:shd w:val="clear" w:color="auto" w:fill="auto"/>
            <w:vAlign w:val="center"/>
            <w:hideMark/>
          </w:tcPr>
          <w:p w14:paraId="7A45BF1F"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37 (21.5%)</w:t>
            </w:r>
          </w:p>
        </w:tc>
        <w:tc>
          <w:tcPr>
            <w:tcW w:w="1489" w:type="dxa"/>
            <w:tcBorders>
              <w:left w:val="single" w:sz="8" w:space="0" w:color="auto"/>
              <w:right w:val="single" w:sz="8" w:space="0" w:color="auto"/>
            </w:tcBorders>
            <w:vAlign w:val="center"/>
          </w:tcPr>
          <w:p w14:paraId="60C21054"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0</w:t>
            </w:r>
          </w:p>
        </w:tc>
      </w:tr>
      <w:tr w:rsidR="00FF0108" w:rsidRPr="00D263EE" w14:paraId="41B1D54C"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6D177BD3"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Insomnia</w:t>
            </w:r>
          </w:p>
        </w:tc>
        <w:tc>
          <w:tcPr>
            <w:tcW w:w="1488" w:type="dxa"/>
            <w:tcBorders>
              <w:left w:val="single" w:sz="8" w:space="0" w:color="auto"/>
              <w:right w:val="single" w:sz="8" w:space="0" w:color="auto"/>
            </w:tcBorders>
            <w:shd w:val="clear" w:color="auto" w:fill="auto"/>
            <w:vAlign w:val="center"/>
            <w:hideMark/>
          </w:tcPr>
          <w:p w14:paraId="38F64337"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55 (14.6%)</w:t>
            </w:r>
          </w:p>
        </w:tc>
        <w:tc>
          <w:tcPr>
            <w:tcW w:w="1488" w:type="dxa"/>
            <w:tcBorders>
              <w:left w:val="single" w:sz="8" w:space="0" w:color="auto"/>
              <w:right w:val="single" w:sz="8" w:space="0" w:color="auto"/>
            </w:tcBorders>
            <w:vAlign w:val="center"/>
          </w:tcPr>
          <w:p w14:paraId="5A7D6EA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 (0.3%)</w:t>
            </w:r>
          </w:p>
        </w:tc>
        <w:tc>
          <w:tcPr>
            <w:tcW w:w="1488" w:type="dxa"/>
            <w:tcBorders>
              <w:left w:val="single" w:sz="8" w:space="0" w:color="auto"/>
              <w:right w:val="single" w:sz="8" w:space="0" w:color="auto"/>
            </w:tcBorders>
            <w:shd w:val="clear" w:color="auto" w:fill="auto"/>
            <w:vAlign w:val="center"/>
            <w:hideMark/>
          </w:tcPr>
          <w:p w14:paraId="190B803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16 (9.3%)</w:t>
            </w:r>
          </w:p>
        </w:tc>
        <w:tc>
          <w:tcPr>
            <w:tcW w:w="1489" w:type="dxa"/>
            <w:tcBorders>
              <w:left w:val="single" w:sz="8" w:space="0" w:color="auto"/>
              <w:right w:val="single" w:sz="8" w:space="0" w:color="auto"/>
            </w:tcBorders>
            <w:vAlign w:val="center"/>
          </w:tcPr>
          <w:p w14:paraId="6942C5F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31F88857"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5E509767" w14:textId="77777777" w:rsidR="00FF0108" w:rsidRPr="00D263EE" w:rsidRDefault="00FF0108" w:rsidP="00625B50">
            <w:pPr>
              <w:spacing w:after="0" w:line="240" w:lineRule="auto"/>
              <w:ind w:firstLineChars="100" w:firstLine="200"/>
              <w:rPr>
                <w:rFonts w:eastAsia="Times New Roman" w:cstheme="minorHAnsi"/>
                <w:color w:val="000000"/>
                <w:sz w:val="20"/>
                <w:szCs w:val="20"/>
              </w:rPr>
            </w:pPr>
            <w:r w:rsidRPr="00D263EE">
              <w:rPr>
                <w:rFonts w:eastAsia="Times New Roman" w:cstheme="minorHAnsi"/>
                <w:color w:val="000000"/>
                <w:sz w:val="20"/>
                <w:szCs w:val="20"/>
              </w:rPr>
              <w:t>Anxiety</w:t>
            </w:r>
          </w:p>
        </w:tc>
        <w:tc>
          <w:tcPr>
            <w:tcW w:w="1488" w:type="dxa"/>
            <w:tcBorders>
              <w:left w:val="single" w:sz="8" w:space="0" w:color="auto"/>
              <w:right w:val="single" w:sz="8" w:space="0" w:color="auto"/>
            </w:tcBorders>
            <w:shd w:val="clear" w:color="auto" w:fill="auto"/>
            <w:vAlign w:val="center"/>
            <w:hideMark/>
          </w:tcPr>
          <w:p w14:paraId="54CD3F9B"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40 (10.6%)</w:t>
            </w:r>
          </w:p>
        </w:tc>
        <w:tc>
          <w:tcPr>
            <w:tcW w:w="1488" w:type="dxa"/>
            <w:tcBorders>
              <w:left w:val="single" w:sz="8" w:space="0" w:color="auto"/>
              <w:right w:val="single" w:sz="8" w:space="0" w:color="auto"/>
            </w:tcBorders>
            <w:vAlign w:val="center"/>
          </w:tcPr>
          <w:p w14:paraId="610DFA71"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c>
          <w:tcPr>
            <w:tcW w:w="1488" w:type="dxa"/>
            <w:tcBorders>
              <w:left w:val="single" w:sz="8" w:space="0" w:color="auto"/>
              <w:right w:val="single" w:sz="8" w:space="0" w:color="auto"/>
            </w:tcBorders>
            <w:shd w:val="clear" w:color="auto" w:fill="auto"/>
            <w:vAlign w:val="center"/>
            <w:hideMark/>
          </w:tcPr>
          <w:p w14:paraId="704DB8C9"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13 (7.6%)</w:t>
            </w:r>
          </w:p>
        </w:tc>
        <w:tc>
          <w:tcPr>
            <w:tcW w:w="1489" w:type="dxa"/>
            <w:tcBorders>
              <w:left w:val="single" w:sz="8" w:space="0" w:color="auto"/>
              <w:right w:val="single" w:sz="8" w:space="0" w:color="auto"/>
            </w:tcBorders>
            <w:vAlign w:val="center"/>
          </w:tcPr>
          <w:p w14:paraId="70B6DAE5" w14:textId="77777777" w:rsidR="00FF0108" w:rsidRPr="00D263EE" w:rsidRDefault="00FF0108" w:rsidP="00625B50">
            <w:pPr>
              <w:spacing w:after="0" w:line="240" w:lineRule="auto"/>
              <w:jc w:val="center"/>
              <w:rPr>
                <w:rFonts w:eastAsia="Times New Roman" w:cstheme="minorHAnsi"/>
                <w:color w:val="000000"/>
                <w:sz w:val="20"/>
                <w:szCs w:val="20"/>
              </w:rPr>
            </w:pPr>
            <w:r w:rsidRPr="00D263EE">
              <w:rPr>
                <w:rFonts w:eastAsia="Times New Roman" w:cstheme="minorHAnsi"/>
                <w:color w:val="000000"/>
                <w:sz w:val="20"/>
                <w:szCs w:val="20"/>
              </w:rPr>
              <w:t>0</w:t>
            </w:r>
          </w:p>
        </w:tc>
      </w:tr>
      <w:tr w:rsidR="00FF0108" w:rsidRPr="00D263EE" w14:paraId="2959241A" w14:textId="77777777" w:rsidTr="00625B50">
        <w:trPr>
          <w:trHeight w:val="255"/>
        </w:trPr>
        <w:tc>
          <w:tcPr>
            <w:tcW w:w="3261" w:type="dxa"/>
            <w:tcBorders>
              <w:left w:val="single" w:sz="8" w:space="0" w:color="auto"/>
              <w:right w:val="single" w:sz="8" w:space="0" w:color="auto"/>
            </w:tcBorders>
            <w:shd w:val="clear" w:color="auto" w:fill="auto"/>
            <w:vAlign w:val="center"/>
            <w:hideMark/>
          </w:tcPr>
          <w:p w14:paraId="269342E8"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Vascular disorders</w:t>
            </w:r>
          </w:p>
        </w:tc>
        <w:tc>
          <w:tcPr>
            <w:tcW w:w="1488" w:type="dxa"/>
            <w:tcBorders>
              <w:left w:val="single" w:sz="8" w:space="0" w:color="auto"/>
              <w:right w:val="single" w:sz="8" w:space="0" w:color="auto"/>
            </w:tcBorders>
            <w:shd w:val="clear" w:color="auto" w:fill="auto"/>
            <w:vAlign w:val="center"/>
            <w:hideMark/>
          </w:tcPr>
          <w:p w14:paraId="7A7A74D3"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84 (22.2%)</w:t>
            </w:r>
          </w:p>
        </w:tc>
        <w:tc>
          <w:tcPr>
            <w:tcW w:w="1488" w:type="dxa"/>
            <w:tcBorders>
              <w:left w:val="single" w:sz="8" w:space="0" w:color="auto"/>
              <w:right w:val="single" w:sz="8" w:space="0" w:color="auto"/>
            </w:tcBorders>
            <w:vAlign w:val="center"/>
          </w:tcPr>
          <w:p w14:paraId="46E0CBD9"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23 (6.1%)</w:t>
            </w:r>
          </w:p>
        </w:tc>
        <w:tc>
          <w:tcPr>
            <w:tcW w:w="1488" w:type="dxa"/>
            <w:tcBorders>
              <w:left w:val="single" w:sz="8" w:space="0" w:color="auto"/>
              <w:right w:val="single" w:sz="8" w:space="0" w:color="auto"/>
            </w:tcBorders>
            <w:shd w:val="clear" w:color="auto" w:fill="auto"/>
            <w:vAlign w:val="center"/>
            <w:hideMark/>
          </w:tcPr>
          <w:p w14:paraId="38F90DC9"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33 (19.2%)</w:t>
            </w:r>
          </w:p>
        </w:tc>
        <w:tc>
          <w:tcPr>
            <w:tcW w:w="1489" w:type="dxa"/>
            <w:tcBorders>
              <w:left w:val="single" w:sz="8" w:space="0" w:color="auto"/>
              <w:right w:val="single" w:sz="8" w:space="0" w:color="auto"/>
            </w:tcBorders>
            <w:vAlign w:val="center"/>
          </w:tcPr>
          <w:p w14:paraId="4592BC93"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3 (1.7%)</w:t>
            </w:r>
          </w:p>
        </w:tc>
      </w:tr>
      <w:tr w:rsidR="00FF0108" w:rsidRPr="00D263EE" w14:paraId="6BA02053" w14:textId="77777777" w:rsidTr="00625B50">
        <w:trPr>
          <w:trHeight w:val="255"/>
        </w:trPr>
        <w:tc>
          <w:tcPr>
            <w:tcW w:w="3261" w:type="dxa"/>
            <w:tcBorders>
              <w:left w:val="single" w:sz="8" w:space="0" w:color="auto"/>
              <w:bottom w:val="single" w:sz="8" w:space="0" w:color="auto"/>
              <w:right w:val="single" w:sz="8" w:space="0" w:color="auto"/>
            </w:tcBorders>
            <w:shd w:val="clear" w:color="auto" w:fill="auto"/>
            <w:vAlign w:val="center"/>
            <w:hideMark/>
          </w:tcPr>
          <w:p w14:paraId="5BCAC4F9" w14:textId="77777777" w:rsidR="00FF0108" w:rsidRPr="00D263EE" w:rsidRDefault="00FF0108" w:rsidP="00625B50">
            <w:pPr>
              <w:spacing w:after="0" w:line="240" w:lineRule="auto"/>
              <w:rPr>
                <w:rFonts w:eastAsia="Times New Roman" w:cstheme="minorHAnsi"/>
                <w:b/>
                <w:bCs/>
                <w:color w:val="000000"/>
                <w:sz w:val="20"/>
                <w:szCs w:val="20"/>
              </w:rPr>
            </w:pPr>
            <w:r w:rsidRPr="00D263EE">
              <w:rPr>
                <w:rFonts w:eastAsia="Times New Roman" w:cstheme="minorHAnsi"/>
                <w:b/>
                <w:bCs/>
                <w:color w:val="000000"/>
                <w:sz w:val="20"/>
                <w:szCs w:val="20"/>
              </w:rPr>
              <w:t>Cardiac disorders</w:t>
            </w:r>
          </w:p>
        </w:tc>
        <w:tc>
          <w:tcPr>
            <w:tcW w:w="1488" w:type="dxa"/>
            <w:tcBorders>
              <w:left w:val="single" w:sz="8" w:space="0" w:color="auto"/>
              <w:bottom w:val="single" w:sz="8" w:space="0" w:color="auto"/>
              <w:right w:val="single" w:sz="8" w:space="0" w:color="auto"/>
            </w:tcBorders>
            <w:shd w:val="clear" w:color="auto" w:fill="auto"/>
            <w:vAlign w:val="center"/>
            <w:hideMark/>
          </w:tcPr>
          <w:p w14:paraId="0CF361E5"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51 (13.5%)</w:t>
            </w:r>
          </w:p>
        </w:tc>
        <w:tc>
          <w:tcPr>
            <w:tcW w:w="1488" w:type="dxa"/>
            <w:tcBorders>
              <w:left w:val="single" w:sz="8" w:space="0" w:color="auto"/>
              <w:bottom w:val="single" w:sz="8" w:space="0" w:color="auto"/>
              <w:right w:val="single" w:sz="8" w:space="0" w:color="auto"/>
            </w:tcBorders>
            <w:vAlign w:val="center"/>
          </w:tcPr>
          <w:p w14:paraId="6FFF5512" w14:textId="77777777" w:rsidR="00FF0108" w:rsidRPr="00D263EE" w:rsidRDefault="00FF0108" w:rsidP="00625B50">
            <w:pPr>
              <w:autoSpaceDE w:val="0"/>
              <w:autoSpaceDN w:val="0"/>
              <w:adjustRightInd w:val="0"/>
              <w:spacing w:after="0" w:line="240" w:lineRule="auto"/>
              <w:jc w:val="center"/>
              <w:rPr>
                <w:rFonts w:eastAsia="Times New Roman" w:cstheme="minorHAnsi"/>
                <w:b/>
                <w:bCs/>
                <w:color w:val="000000"/>
                <w:sz w:val="20"/>
                <w:szCs w:val="20"/>
              </w:rPr>
            </w:pPr>
            <w:r w:rsidRPr="00D263EE">
              <w:rPr>
                <w:rFonts w:eastAsia="TimesNewRoman" w:cstheme="minorHAnsi"/>
                <w:b/>
                <w:bCs/>
                <w:sz w:val="20"/>
                <w:szCs w:val="20"/>
              </w:rPr>
              <w:t>17 (4.5%)</w:t>
            </w:r>
          </w:p>
        </w:tc>
        <w:tc>
          <w:tcPr>
            <w:tcW w:w="1488" w:type="dxa"/>
            <w:tcBorders>
              <w:left w:val="single" w:sz="8" w:space="0" w:color="auto"/>
              <w:bottom w:val="single" w:sz="8" w:space="0" w:color="auto"/>
              <w:right w:val="single" w:sz="8" w:space="0" w:color="auto"/>
            </w:tcBorders>
            <w:shd w:val="clear" w:color="auto" w:fill="auto"/>
            <w:vAlign w:val="center"/>
            <w:hideMark/>
          </w:tcPr>
          <w:p w14:paraId="316F8D4C"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21 (12.2%)</w:t>
            </w:r>
          </w:p>
        </w:tc>
        <w:tc>
          <w:tcPr>
            <w:tcW w:w="1489" w:type="dxa"/>
            <w:tcBorders>
              <w:left w:val="single" w:sz="8" w:space="0" w:color="auto"/>
              <w:bottom w:val="single" w:sz="8" w:space="0" w:color="auto"/>
              <w:right w:val="single" w:sz="8" w:space="0" w:color="auto"/>
            </w:tcBorders>
            <w:vAlign w:val="center"/>
          </w:tcPr>
          <w:p w14:paraId="1F8C7CE5" w14:textId="77777777" w:rsidR="00FF0108" w:rsidRPr="00D263EE" w:rsidRDefault="00FF0108" w:rsidP="00625B50">
            <w:pPr>
              <w:spacing w:after="0" w:line="240" w:lineRule="auto"/>
              <w:jc w:val="center"/>
              <w:rPr>
                <w:rFonts w:eastAsia="Times New Roman" w:cstheme="minorHAnsi"/>
                <w:b/>
                <w:bCs/>
                <w:color w:val="000000"/>
                <w:sz w:val="20"/>
                <w:szCs w:val="20"/>
              </w:rPr>
            </w:pPr>
            <w:r w:rsidRPr="00D263EE">
              <w:rPr>
                <w:rFonts w:eastAsia="Times New Roman" w:cstheme="minorHAnsi"/>
                <w:b/>
                <w:bCs/>
                <w:color w:val="000000"/>
                <w:sz w:val="20"/>
                <w:szCs w:val="20"/>
              </w:rPr>
              <w:t>3 (1.7%)</w:t>
            </w:r>
          </w:p>
        </w:tc>
      </w:tr>
    </w:tbl>
    <w:p w14:paraId="18B77011" w14:textId="126FE3D1" w:rsidR="00FF0108" w:rsidRDefault="00FF0108" w:rsidP="00D26462">
      <w:pPr>
        <w:spacing w:line="240" w:lineRule="auto"/>
        <w:rPr>
          <w:rFonts w:eastAsia="Times New Roman"/>
          <w:b/>
        </w:rPr>
      </w:pPr>
      <w:r w:rsidRPr="000B79A9">
        <w:rPr>
          <w:sz w:val="16"/>
          <w:szCs w:val="16"/>
          <w:vertAlign w:val="superscript"/>
        </w:rPr>
        <w:t>*</w:t>
      </w:r>
      <w:r w:rsidRPr="000B79A9">
        <w:rPr>
          <w:sz w:val="16"/>
          <w:szCs w:val="16"/>
        </w:rPr>
        <w:t xml:space="preserve"> data from </w:t>
      </w:r>
      <w:r>
        <w:rPr>
          <w:sz w:val="16"/>
          <w:szCs w:val="16"/>
        </w:rPr>
        <w:t>Yondelis (</w:t>
      </w:r>
      <w:proofErr w:type="spellStart"/>
      <w:r>
        <w:rPr>
          <w:sz w:val="16"/>
          <w:szCs w:val="16"/>
        </w:rPr>
        <w:t>trabectedin</w:t>
      </w:r>
      <w:proofErr w:type="spellEnd"/>
      <w:r>
        <w:rPr>
          <w:sz w:val="16"/>
          <w:szCs w:val="16"/>
        </w:rPr>
        <w:t>) Clinical Study Report (</w:t>
      </w:r>
      <w:r w:rsidRPr="000B79A9">
        <w:rPr>
          <w:sz w:val="16"/>
          <w:szCs w:val="16"/>
        </w:rPr>
        <w:t>CSR</w:t>
      </w:r>
      <w:r>
        <w:rPr>
          <w:sz w:val="16"/>
          <w:szCs w:val="16"/>
        </w:rPr>
        <w:t>)</w:t>
      </w:r>
      <w:r w:rsidRPr="000B79A9">
        <w:rPr>
          <w:sz w:val="16"/>
          <w:szCs w:val="16"/>
        </w:rPr>
        <w:t xml:space="preserve"> v.16Mar2015</w:t>
      </w:r>
    </w:p>
    <w:p w14:paraId="5791FB92" w14:textId="18551DF5" w:rsidR="0066779E" w:rsidRPr="00530AE7" w:rsidRDefault="0066779E" w:rsidP="00B07103">
      <w:pPr>
        <w:spacing w:line="240" w:lineRule="auto"/>
        <w:rPr>
          <w:b/>
          <w:noProof/>
        </w:rPr>
      </w:pPr>
      <w:r w:rsidRPr="00D0723B">
        <w:rPr>
          <w:color w:val="0432FF"/>
        </w:rPr>
        <w:t xml:space="preserve">Table </w:t>
      </w:r>
      <w:r w:rsidR="00AF4C0D" w:rsidRPr="00D0723B">
        <w:rPr>
          <w:color w:val="0432FF"/>
        </w:rPr>
        <w:t>3</w:t>
      </w:r>
      <w:r w:rsidR="00F46895" w:rsidRPr="00D0723B">
        <w:rPr>
          <w:color w:val="0432FF"/>
        </w:rPr>
        <w:t xml:space="preserve"> </w:t>
      </w:r>
      <w:r w:rsidRPr="00530AE7">
        <w:t xml:space="preserve">below displays the adverse reactions reported in patients with soft tissue sarcoma that were treated with </w:t>
      </w:r>
      <w:r w:rsidR="00925B2E">
        <w:t>YONDELIS</w:t>
      </w:r>
      <w:r w:rsidRPr="00530AE7">
        <w:t xml:space="preserve">. Both adverse reactions and laboratory values have been used to provide frequencies. </w:t>
      </w:r>
    </w:p>
    <w:p w14:paraId="6BF3474B" w14:textId="7438A5F6" w:rsidR="0066779E" w:rsidRDefault="0066779E" w:rsidP="00B07103">
      <w:pPr>
        <w:spacing w:line="240" w:lineRule="auto"/>
        <w:jc w:val="both"/>
        <w:rPr>
          <w:szCs w:val="24"/>
        </w:rPr>
      </w:pPr>
      <w:r w:rsidRPr="00530AE7">
        <w:rPr>
          <w:szCs w:val="24"/>
        </w:rPr>
        <w:t xml:space="preserve">Adverse reactions are listed by System Organ Class and frequency. The frequencies are classified as very common (≥ 1/10), common (≥ 1/100 to &lt; 1/10), uncommon (≥ 1/1,000 to &lt; 1/100) and rare (≥ 1/10,000 to &lt; 1/1000). </w:t>
      </w:r>
    </w:p>
    <w:p w14:paraId="3C43BFCF" w14:textId="34D4B7AB" w:rsidR="00F46895" w:rsidRPr="00532EED" w:rsidRDefault="00F46895" w:rsidP="00D90B29">
      <w:pPr>
        <w:spacing w:line="240" w:lineRule="auto"/>
        <w:jc w:val="center"/>
        <w:rPr>
          <w:b/>
          <w:bCs/>
          <w:szCs w:val="24"/>
        </w:rPr>
      </w:pPr>
      <w:r w:rsidRPr="00532EED">
        <w:rPr>
          <w:b/>
          <w:bCs/>
          <w:szCs w:val="24"/>
        </w:rPr>
        <w:t xml:space="preserve">Table </w:t>
      </w:r>
      <w:r w:rsidR="00AF4C0D" w:rsidRPr="00532EED">
        <w:rPr>
          <w:b/>
          <w:bCs/>
          <w:szCs w:val="24"/>
        </w:rPr>
        <w:t>3</w:t>
      </w:r>
      <w:r w:rsidRPr="00532EED">
        <w:rPr>
          <w:b/>
          <w:bCs/>
          <w:szCs w:val="24"/>
        </w:rPr>
        <w:t>. Adverse reactions that fall below the cut-off by System Organ Classes (SOC) using CIOMS frequencies (uncommon, rare)</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9"/>
        <w:gridCol w:w="2334"/>
        <w:gridCol w:w="1843"/>
      </w:tblGrid>
      <w:tr w:rsidR="007D2E82" w:rsidRPr="00530AE7" w14:paraId="6A3C0293" w14:textId="77777777" w:rsidTr="00D90B29">
        <w:trPr>
          <w:cantSplit/>
          <w:tblHeader/>
          <w:jc w:val="center"/>
        </w:trPr>
        <w:tc>
          <w:tcPr>
            <w:tcW w:w="4759" w:type="dxa"/>
            <w:shd w:val="clear" w:color="auto" w:fill="auto"/>
          </w:tcPr>
          <w:p w14:paraId="6F030B85" w14:textId="77777777" w:rsidR="007D2E82" w:rsidRPr="00530AE7" w:rsidRDefault="007D2E82" w:rsidP="00F46895">
            <w:pPr>
              <w:spacing w:line="240" w:lineRule="auto"/>
              <w:jc w:val="center"/>
              <w:rPr>
                <w:b/>
                <w:bCs/>
              </w:rPr>
            </w:pPr>
            <w:r w:rsidRPr="00530AE7">
              <w:rPr>
                <w:b/>
                <w:bCs/>
              </w:rPr>
              <w:t>System Organ Class</w:t>
            </w:r>
          </w:p>
        </w:tc>
        <w:tc>
          <w:tcPr>
            <w:tcW w:w="2334" w:type="dxa"/>
          </w:tcPr>
          <w:p w14:paraId="41DAF608" w14:textId="77777777" w:rsidR="007D2E82" w:rsidRPr="00530AE7" w:rsidRDefault="007D2E82" w:rsidP="00F46895">
            <w:pPr>
              <w:spacing w:line="240" w:lineRule="auto"/>
              <w:jc w:val="center"/>
              <w:rPr>
                <w:b/>
                <w:bCs/>
              </w:rPr>
            </w:pPr>
            <w:r w:rsidRPr="00530AE7">
              <w:rPr>
                <w:b/>
                <w:bCs/>
              </w:rPr>
              <w:t>Uncommon</w:t>
            </w:r>
          </w:p>
        </w:tc>
        <w:tc>
          <w:tcPr>
            <w:tcW w:w="1843" w:type="dxa"/>
          </w:tcPr>
          <w:p w14:paraId="081D61C2" w14:textId="77777777" w:rsidR="007D2E82" w:rsidRPr="00530AE7" w:rsidRDefault="007D2E82" w:rsidP="00F46895">
            <w:pPr>
              <w:spacing w:line="240" w:lineRule="auto"/>
              <w:jc w:val="center"/>
              <w:rPr>
                <w:b/>
                <w:bCs/>
              </w:rPr>
            </w:pPr>
            <w:r w:rsidRPr="00530AE7">
              <w:rPr>
                <w:b/>
                <w:bCs/>
              </w:rPr>
              <w:t>Rare</w:t>
            </w:r>
          </w:p>
        </w:tc>
      </w:tr>
      <w:tr w:rsidR="007D2E82" w:rsidRPr="00530AE7" w14:paraId="5F71D14D" w14:textId="77777777" w:rsidTr="00D90B29">
        <w:trPr>
          <w:cantSplit/>
          <w:jc w:val="center"/>
        </w:trPr>
        <w:tc>
          <w:tcPr>
            <w:tcW w:w="4759" w:type="dxa"/>
          </w:tcPr>
          <w:p w14:paraId="1B3BBCF6" w14:textId="77777777" w:rsidR="007D2E82" w:rsidRPr="00530AE7" w:rsidRDefault="007D2E82" w:rsidP="00A4549B">
            <w:pPr>
              <w:spacing w:after="0" w:line="240" w:lineRule="auto"/>
              <w:rPr>
                <w:rFonts w:cstheme="minorHAnsi"/>
                <w:sz w:val="20"/>
                <w:szCs w:val="20"/>
              </w:rPr>
            </w:pPr>
            <w:r w:rsidRPr="00530AE7">
              <w:rPr>
                <w:rFonts w:cstheme="minorHAnsi"/>
                <w:sz w:val="20"/>
                <w:szCs w:val="20"/>
              </w:rPr>
              <w:t>Infections and Infestations</w:t>
            </w:r>
          </w:p>
        </w:tc>
        <w:tc>
          <w:tcPr>
            <w:tcW w:w="2334" w:type="dxa"/>
          </w:tcPr>
          <w:p w14:paraId="17DEAF0F" w14:textId="77777777" w:rsidR="007D2E82" w:rsidRPr="00530AE7" w:rsidRDefault="007D2E82" w:rsidP="00A4549B">
            <w:pPr>
              <w:spacing w:after="0" w:line="240" w:lineRule="auto"/>
              <w:rPr>
                <w:rFonts w:cstheme="minorHAnsi"/>
                <w:sz w:val="20"/>
                <w:szCs w:val="20"/>
              </w:rPr>
            </w:pPr>
            <w:r w:rsidRPr="00530AE7">
              <w:rPr>
                <w:rFonts w:cstheme="minorHAnsi"/>
                <w:sz w:val="20"/>
                <w:szCs w:val="20"/>
              </w:rPr>
              <w:t>Septic shock</w:t>
            </w:r>
          </w:p>
        </w:tc>
        <w:tc>
          <w:tcPr>
            <w:tcW w:w="1843" w:type="dxa"/>
          </w:tcPr>
          <w:p w14:paraId="54EE925D" w14:textId="77777777" w:rsidR="007D2E82" w:rsidRPr="00530AE7" w:rsidRDefault="007D2E82" w:rsidP="00A4549B">
            <w:pPr>
              <w:spacing w:after="0" w:line="240" w:lineRule="auto"/>
              <w:rPr>
                <w:rFonts w:cstheme="minorHAnsi"/>
                <w:sz w:val="20"/>
                <w:szCs w:val="20"/>
              </w:rPr>
            </w:pPr>
          </w:p>
        </w:tc>
      </w:tr>
      <w:tr w:rsidR="007D2E82" w:rsidRPr="00530AE7" w14:paraId="3D4EA361" w14:textId="77777777" w:rsidTr="00D90B29">
        <w:trPr>
          <w:cantSplit/>
          <w:jc w:val="center"/>
        </w:trPr>
        <w:tc>
          <w:tcPr>
            <w:tcW w:w="4759" w:type="dxa"/>
          </w:tcPr>
          <w:p w14:paraId="276068D5" w14:textId="77777777" w:rsidR="007D2E82" w:rsidRPr="00530AE7" w:rsidRDefault="007D2E82" w:rsidP="00A4549B">
            <w:pPr>
              <w:spacing w:after="0" w:line="240" w:lineRule="auto"/>
              <w:rPr>
                <w:rFonts w:cstheme="minorHAnsi"/>
                <w:sz w:val="20"/>
                <w:szCs w:val="20"/>
              </w:rPr>
            </w:pPr>
            <w:r w:rsidRPr="00530AE7">
              <w:rPr>
                <w:rFonts w:cstheme="minorHAnsi"/>
                <w:sz w:val="20"/>
                <w:szCs w:val="20"/>
              </w:rPr>
              <w:t>Vascular Disorders</w:t>
            </w:r>
          </w:p>
        </w:tc>
        <w:tc>
          <w:tcPr>
            <w:tcW w:w="2334" w:type="dxa"/>
          </w:tcPr>
          <w:p w14:paraId="55464425" w14:textId="77777777" w:rsidR="007D2E82" w:rsidRPr="00530AE7" w:rsidRDefault="007D2E82" w:rsidP="00A4549B">
            <w:pPr>
              <w:autoSpaceDE w:val="0"/>
              <w:autoSpaceDN w:val="0"/>
              <w:adjustRightInd w:val="0"/>
              <w:spacing w:after="0" w:line="240" w:lineRule="auto"/>
              <w:rPr>
                <w:rFonts w:cstheme="minorHAnsi"/>
                <w:bCs/>
                <w:sz w:val="20"/>
                <w:szCs w:val="20"/>
              </w:rPr>
            </w:pPr>
            <w:r w:rsidRPr="00530AE7">
              <w:rPr>
                <w:rFonts w:cstheme="minorHAnsi"/>
                <w:bCs/>
                <w:sz w:val="20"/>
                <w:szCs w:val="20"/>
              </w:rPr>
              <w:t>Capillary leak syndrome</w:t>
            </w:r>
          </w:p>
        </w:tc>
        <w:tc>
          <w:tcPr>
            <w:tcW w:w="1843" w:type="dxa"/>
          </w:tcPr>
          <w:p w14:paraId="03B12114" w14:textId="77777777" w:rsidR="007D2E82" w:rsidRPr="00530AE7" w:rsidRDefault="007D2E82" w:rsidP="00A4549B">
            <w:pPr>
              <w:autoSpaceDE w:val="0"/>
              <w:autoSpaceDN w:val="0"/>
              <w:adjustRightInd w:val="0"/>
              <w:spacing w:after="0" w:line="240" w:lineRule="auto"/>
              <w:rPr>
                <w:rFonts w:cstheme="minorHAnsi"/>
                <w:bCs/>
                <w:sz w:val="20"/>
                <w:szCs w:val="20"/>
              </w:rPr>
            </w:pPr>
          </w:p>
        </w:tc>
      </w:tr>
      <w:tr w:rsidR="007D2E82" w:rsidRPr="00530AE7" w14:paraId="1585C5AF" w14:textId="77777777" w:rsidTr="00D90B29">
        <w:trPr>
          <w:cantSplit/>
          <w:jc w:val="center"/>
        </w:trPr>
        <w:tc>
          <w:tcPr>
            <w:tcW w:w="4759" w:type="dxa"/>
          </w:tcPr>
          <w:p w14:paraId="0CDE930A" w14:textId="77777777" w:rsidR="007D2E82" w:rsidRPr="00530AE7" w:rsidRDefault="007D2E82" w:rsidP="00A4549B">
            <w:pPr>
              <w:spacing w:after="0" w:line="240" w:lineRule="auto"/>
              <w:rPr>
                <w:rFonts w:cstheme="minorHAnsi"/>
                <w:sz w:val="20"/>
                <w:szCs w:val="20"/>
              </w:rPr>
            </w:pPr>
            <w:r w:rsidRPr="00530AE7">
              <w:rPr>
                <w:rFonts w:cstheme="minorHAnsi"/>
                <w:sz w:val="20"/>
                <w:szCs w:val="20"/>
              </w:rPr>
              <w:t>Respiratory, Thoracic and Mediastinal Disorders</w:t>
            </w:r>
          </w:p>
        </w:tc>
        <w:tc>
          <w:tcPr>
            <w:tcW w:w="2334" w:type="dxa"/>
          </w:tcPr>
          <w:p w14:paraId="6F7F1056" w14:textId="77777777" w:rsidR="007D2E82" w:rsidRPr="00530AE7" w:rsidRDefault="007D2E82" w:rsidP="00A4549B">
            <w:pPr>
              <w:spacing w:after="0" w:line="240" w:lineRule="auto"/>
              <w:rPr>
                <w:rFonts w:cstheme="minorHAnsi"/>
                <w:bCs/>
                <w:sz w:val="20"/>
                <w:szCs w:val="20"/>
              </w:rPr>
            </w:pPr>
            <w:r w:rsidRPr="00530AE7">
              <w:rPr>
                <w:rFonts w:cstheme="minorHAnsi"/>
                <w:bCs/>
                <w:sz w:val="20"/>
                <w:szCs w:val="20"/>
              </w:rPr>
              <w:t>Pulmonary oedema</w:t>
            </w:r>
          </w:p>
        </w:tc>
        <w:tc>
          <w:tcPr>
            <w:tcW w:w="1843" w:type="dxa"/>
          </w:tcPr>
          <w:p w14:paraId="78A2B850" w14:textId="77777777" w:rsidR="007D2E82" w:rsidRPr="00530AE7" w:rsidRDefault="007D2E82" w:rsidP="00A4549B">
            <w:pPr>
              <w:spacing w:after="0" w:line="240" w:lineRule="auto"/>
              <w:rPr>
                <w:rFonts w:cstheme="minorHAnsi"/>
                <w:bCs/>
                <w:sz w:val="20"/>
                <w:szCs w:val="20"/>
              </w:rPr>
            </w:pPr>
          </w:p>
        </w:tc>
      </w:tr>
      <w:tr w:rsidR="007D2E82" w:rsidRPr="00530AE7" w14:paraId="75F7FB5E" w14:textId="77777777" w:rsidTr="00D90B29">
        <w:trPr>
          <w:cantSplit/>
          <w:trHeight w:val="287"/>
          <w:jc w:val="center"/>
        </w:trPr>
        <w:tc>
          <w:tcPr>
            <w:tcW w:w="4759" w:type="dxa"/>
          </w:tcPr>
          <w:p w14:paraId="43405369" w14:textId="77777777" w:rsidR="007D2E82" w:rsidRPr="00530AE7" w:rsidRDefault="007D2E82" w:rsidP="00A4549B">
            <w:pPr>
              <w:spacing w:after="0" w:line="240" w:lineRule="auto"/>
              <w:rPr>
                <w:rFonts w:cstheme="minorHAnsi"/>
                <w:sz w:val="20"/>
                <w:szCs w:val="20"/>
              </w:rPr>
            </w:pPr>
            <w:r w:rsidRPr="00530AE7">
              <w:rPr>
                <w:rFonts w:cstheme="minorHAnsi"/>
                <w:sz w:val="20"/>
                <w:szCs w:val="20"/>
              </w:rPr>
              <w:t>Hepatobiliary Disorders</w:t>
            </w:r>
          </w:p>
        </w:tc>
        <w:tc>
          <w:tcPr>
            <w:tcW w:w="2334" w:type="dxa"/>
          </w:tcPr>
          <w:p w14:paraId="75D85BC6" w14:textId="77777777" w:rsidR="007D2E82" w:rsidRPr="00530AE7" w:rsidRDefault="007D2E82" w:rsidP="00A4549B">
            <w:pPr>
              <w:spacing w:after="0" w:line="240" w:lineRule="auto"/>
              <w:rPr>
                <w:rFonts w:cstheme="minorHAnsi"/>
                <w:bCs/>
                <w:sz w:val="20"/>
                <w:szCs w:val="20"/>
              </w:rPr>
            </w:pPr>
          </w:p>
        </w:tc>
        <w:tc>
          <w:tcPr>
            <w:tcW w:w="1843" w:type="dxa"/>
          </w:tcPr>
          <w:p w14:paraId="0845B9DD" w14:textId="77777777" w:rsidR="007D2E82" w:rsidRPr="00530AE7" w:rsidRDefault="007D2E82" w:rsidP="00A4549B">
            <w:pPr>
              <w:spacing w:after="0" w:line="240" w:lineRule="auto"/>
              <w:rPr>
                <w:rFonts w:cstheme="minorHAnsi"/>
                <w:bCs/>
                <w:sz w:val="20"/>
                <w:szCs w:val="20"/>
              </w:rPr>
            </w:pPr>
            <w:r w:rsidRPr="00530AE7">
              <w:rPr>
                <w:rFonts w:cstheme="minorHAnsi"/>
                <w:bCs/>
                <w:sz w:val="20"/>
                <w:szCs w:val="20"/>
              </w:rPr>
              <w:t>Hepatic failure</w:t>
            </w:r>
          </w:p>
        </w:tc>
      </w:tr>
      <w:tr w:rsidR="007D2E82" w:rsidRPr="00530AE7" w14:paraId="4B253C1B" w14:textId="77777777" w:rsidTr="00D90B29">
        <w:trPr>
          <w:cantSplit/>
          <w:jc w:val="center"/>
        </w:trPr>
        <w:tc>
          <w:tcPr>
            <w:tcW w:w="4759" w:type="dxa"/>
          </w:tcPr>
          <w:p w14:paraId="3048E14A" w14:textId="77777777" w:rsidR="007D2E82" w:rsidRPr="00530AE7" w:rsidRDefault="007D2E82" w:rsidP="00A4549B">
            <w:pPr>
              <w:spacing w:after="0" w:line="240" w:lineRule="auto"/>
              <w:rPr>
                <w:rFonts w:cstheme="minorHAnsi"/>
                <w:sz w:val="20"/>
                <w:szCs w:val="20"/>
              </w:rPr>
            </w:pPr>
            <w:r w:rsidRPr="00530AE7">
              <w:rPr>
                <w:rFonts w:cstheme="minorHAnsi"/>
                <w:sz w:val="20"/>
                <w:szCs w:val="20"/>
              </w:rPr>
              <w:t>Musculoskeletal and Connective Tissue Disorders</w:t>
            </w:r>
          </w:p>
        </w:tc>
        <w:tc>
          <w:tcPr>
            <w:tcW w:w="2334" w:type="dxa"/>
          </w:tcPr>
          <w:p w14:paraId="06B8542A" w14:textId="77777777" w:rsidR="007D2E82" w:rsidRPr="00530AE7" w:rsidRDefault="007D2E82" w:rsidP="00A4549B">
            <w:pPr>
              <w:spacing w:after="0" w:line="240" w:lineRule="auto"/>
              <w:rPr>
                <w:rFonts w:cstheme="minorHAnsi"/>
                <w:bCs/>
                <w:sz w:val="20"/>
                <w:szCs w:val="20"/>
              </w:rPr>
            </w:pPr>
            <w:r w:rsidRPr="00530AE7">
              <w:rPr>
                <w:rFonts w:cstheme="minorHAnsi"/>
                <w:bCs/>
                <w:sz w:val="20"/>
                <w:szCs w:val="20"/>
              </w:rPr>
              <w:t>Rhabdomyolysis</w:t>
            </w:r>
          </w:p>
        </w:tc>
        <w:tc>
          <w:tcPr>
            <w:tcW w:w="1843" w:type="dxa"/>
          </w:tcPr>
          <w:p w14:paraId="68818055" w14:textId="77777777" w:rsidR="007D2E82" w:rsidRPr="00530AE7" w:rsidRDefault="007D2E82" w:rsidP="00A4549B">
            <w:pPr>
              <w:spacing w:after="0" w:line="240" w:lineRule="auto"/>
              <w:rPr>
                <w:rFonts w:cstheme="minorHAnsi"/>
                <w:bCs/>
                <w:sz w:val="20"/>
                <w:szCs w:val="20"/>
              </w:rPr>
            </w:pPr>
          </w:p>
        </w:tc>
      </w:tr>
      <w:tr w:rsidR="007D2E82" w:rsidRPr="00530AE7" w14:paraId="2AC460B4" w14:textId="77777777" w:rsidTr="00D90B29">
        <w:trPr>
          <w:cantSplit/>
          <w:jc w:val="center"/>
        </w:trPr>
        <w:tc>
          <w:tcPr>
            <w:tcW w:w="4759" w:type="dxa"/>
          </w:tcPr>
          <w:p w14:paraId="6E7FC1FB" w14:textId="77777777" w:rsidR="007D2E82" w:rsidRPr="00530AE7" w:rsidRDefault="007D2E82" w:rsidP="00A4549B">
            <w:pPr>
              <w:spacing w:after="0" w:line="240" w:lineRule="auto"/>
              <w:rPr>
                <w:rFonts w:cstheme="minorHAnsi"/>
                <w:sz w:val="20"/>
                <w:szCs w:val="20"/>
              </w:rPr>
            </w:pPr>
            <w:r w:rsidRPr="00530AE7">
              <w:rPr>
                <w:rFonts w:cstheme="minorHAnsi"/>
                <w:sz w:val="20"/>
                <w:szCs w:val="20"/>
              </w:rPr>
              <w:t>General Disorders and Administration Site Conditions</w:t>
            </w:r>
          </w:p>
        </w:tc>
        <w:tc>
          <w:tcPr>
            <w:tcW w:w="2334" w:type="dxa"/>
          </w:tcPr>
          <w:p w14:paraId="40072C43" w14:textId="77777777" w:rsidR="007D2E82" w:rsidRPr="00530AE7" w:rsidRDefault="007D2E82" w:rsidP="00A4549B">
            <w:pPr>
              <w:spacing w:after="0" w:line="240" w:lineRule="auto"/>
              <w:rPr>
                <w:rFonts w:cstheme="minorHAnsi"/>
                <w:bCs/>
                <w:sz w:val="20"/>
                <w:szCs w:val="20"/>
              </w:rPr>
            </w:pPr>
            <w:r w:rsidRPr="00530AE7">
              <w:rPr>
                <w:rFonts w:cstheme="minorHAnsi"/>
                <w:bCs/>
                <w:sz w:val="20"/>
                <w:szCs w:val="20"/>
              </w:rPr>
              <w:t>Extravasation</w:t>
            </w:r>
          </w:p>
          <w:p w14:paraId="6E39D576" w14:textId="77777777" w:rsidR="007D2E82" w:rsidRPr="00530AE7" w:rsidRDefault="007D2E82" w:rsidP="00A4549B">
            <w:pPr>
              <w:spacing w:after="0" w:line="240" w:lineRule="auto"/>
              <w:rPr>
                <w:rFonts w:cstheme="minorHAnsi"/>
                <w:bCs/>
                <w:sz w:val="20"/>
                <w:szCs w:val="20"/>
              </w:rPr>
            </w:pPr>
            <w:r w:rsidRPr="00530AE7">
              <w:rPr>
                <w:rFonts w:cstheme="minorHAnsi"/>
                <w:bCs/>
                <w:sz w:val="20"/>
                <w:szCs w:val="20"/>
              </w:rPr>
              <w:t>Soft tissue necrosis</w:t>
            </w:r>
          </w:p>
        </w:tc>
        <w:tc>
          <w:tcPr>
            <w:tcW w:w="1843" w:type="dxa"/>
          </w:tcPr>
          <w:p w14:paraId="3BBF08E1" w14:textId="77777777" w:rsidR="007D2E82" w:rsidRPr="00530AE7" w:rsidRDefault="007D2E82" w:rsidP="00A4549B">
            <w:pPr>
              <w:spacing w:after="0" w:line="240" w:lineRule="auto"/>
              <w:rPr>
                <w:rFonts w:cstheme="minorHAnsi"/>
                <w:bCs/>
                <w:sz w:val="20"/>
                <w:szCs w:val="20"/>
              </w:rPr>
            </w:pPr>
          </w:p>
        </w:tc>
      </w:tr>
    </w:tbl>
    <w:p w14:paraId="1D781B16" w14:textId="77777777" w:rsidR="00D90B29" w:rsidRDefault="00D90B29" w:rsidP="0066779E">
      <w:pPr>
        <w:autoSpaceDE w:val="0"/>
        <w:autoSpaceDN w:val="0"/>
        <w:adjustRightInd w:val="0"/>
        <w:spacing w:line="240" w:lineRule="auto"/>
        <w:rPr>
          <w:iCs/>
          <w:u w:val="single"/>
          <w:lang w:eastAsia="es-ES"/>
        </w:rPr>
      </w:pPr>
    </w:p>
    <w:p w14:paraId="314AD3BA" w14:textId="4E11D729" w:rsidR="0066779E" w:rsidRPr="00530AE7" w:rsidRDefault="0066779E" w:rsidP="0066779E">
      <w:pPr>
        <w:autoSpaceDE w:val="0"/>
        <w:autoSpaceDN w:val="0"/>
        <w:adjustRightInd w:val="0"/>
        <w:spacing w:line="240" w:lineRule="auto"/>
        <w:rPr>
          <w:iCs/>
          <w:u w:val="single"/>
          <w:lang w:eastAsia="es-ES"/>
        </w:rPr>
      </w:pPr>
      <w:r w:rsidRPr="00530AE7">
        <w:rPr>
          <w:iCs/>
          <w:u w:val="single"/>
          <w:lang w:eastAsia="es-ES"/>
        </w:rPr>
        <w:t>Description of selected adverse reactions</w:t>
      </w:r>
    </w:p>
    <w:p w14:paraId="5E4702F8" w14:textId="297CCA81" w:rsidR="0066779E" w:rsidRPr="00530AE7" w:rsidRDefault="0066779E" w:rsidP="0066779E">
      <w:pPr>
        <w:spacing w:line="240" w:lineRule="auto"/>
        <w:rPr>
          <w:i/>
        </w:rPr>
      </w:pPr>
      <w:r w:rsidRPr="00530AE7">
        <w:rPr>
          <w:i/>
        </w:rPr>
        <w:t>Most frequent adverse reactions</w:t>
      </w:r>
    </w:p>
    <w:p w14:paraId="59D46250" w14:textId="1938B3EB" w:rsidR="0066779E" w:rsidRPr="00530AE7" w:rsidRDefault="0066779E" w:rsidP="0066779E">
      <w:pPr>
        <w:rPr>
          <w:u w:val="single"/>
        </w:rPr>
      </w:pPr>
      <w:r w:rsidRPr="00530AE7">
        <w:rPr>
          <w:i/>
          <w:u w:val="single"/>
        </w:rPr>
        <w:t xml:space="preserve">Blood and </w:t>
      </w:r>
      <w:r w:rsidRPr="00530AE7">
        <w:rPr>
          <w:i/>
          <w:iCs/>
          <w:u w:val="single"/>
        </w:rPr>
        <w:t>lymphatic</w:t>
      </w:r>
      <w:r w:rsidRPr="00530AE7">
        <w:rPr>
          <w:i/>
          <w:u w:val="single"/>
        </w:rPr>
        <w:t xml:space="preserve"> system disorders</w:t>
      </w:r>
    </w:p>
    <w:p w14:paraId="43CC7EC3" w14:textId="0B2DE9D3" w:rsidR="0066779E" w:rsidRPr="00530AE7" w:rsidRDefault="0066779E" w:rsidP="0066779E">
      <w:pPr>
        <w:spacing w:line="240" w:lineRule="auto"/>
        <w:rPr>
          <w:bCs/>
        </w:rPr>
      </w:pPr>
      <w:proofErr w:type="spellStart"/>
      <w:r w:rsidRPr="00530AE7">
        <w:t>Neutrop</w:t>
      </w:r>
      <w:r w:rsidR="00495143">
        <w:t>a</w:t>
      </w:r>
      <w:r w:rsidRPr="00530AE7">
        <w:t>enia</w:t>
      </w:r>
      <w:proofErr w:type="spellEnd"/>
      <w:r w:rsidRPr="00530AE7">
        <w:t>:</w:t>
      </w:r>
      <w:r w:rsidRPr="00530AE7">
        <w:rPr>
          <w:bCs/>
        </w:rPr>
        <w:t xml:space="preserve"> </w:t>
      </w:r>
    </w:p>
    <w:p w14:paraId="70EF4304" w14:textId="3A544C4E" w:rsidR="0066779E" w:rsidRPr="00530AE7" w:rsidRDefault="0066779E" w:rsidP="0066779E">
      <w:pPr>
        <w:spacing w:line="240" w:lineRule="auto"/>
        <w:rPr>
          <w:bCs/>
        </w:rPr>
      </w:pPr>
      <w:proofErr w:type="spellStart"/>
      <w:r w:rsidRPr="00530AE7">
        <w:rPr>
          <w:bCs/>
          <w:iCs/>
        </w:rPr>
        <w:t>Neutrop</w:t>
      </w:r>
      <w:r w:rsidR="00495143">
        <w:rPr>
          <w:bCs/>
          <w:iCs/>
        </w:rPr>
        <w:t>a</w:t>
      </w:r>
      <w:r w:rsidRPr="00530AE7">
        <w:rPr>
          <w:bCs/>
          <w:iCs/>
        </w:rPr>
        <w:t>enia</w:t>
      </w:r>
      <w:proofErr w:type="spellEnd"/>
      <w:r w:rsidRPr="00530AE7">
        <w:rPr>
          <w:bCs/>
        </w:rPr>
        <w:t xml:space="preserve"> is the most common haematological toxicity. It followed a predictable pattern of rapid onset and reversibility, and was rarely associated with fever or infection. </w:t>
      </w:r>
      <w:r w:rsidRPr="00530AE7">
        <w:t xml:space="preserve">Neutrophil nadirs occurred at a median of 15 days and recovered within a week. </w:t>
      </w:r>
      <w:r w:rsidRPr="00530AE7">
        <w:rPr>
          <w:bCs/>
        </w:rPr>
        <w:t xml:space="preserve">The analysis per cycle performed in patients treated with </w:t>
      </w:r>
      <w:r w:rsidR="00925B2E">
        <w:rPr>
          <w:bCs/>
        </w:rPr>
        <w:t>YONDELIS</w:t>
      </w:r>
      <w:r w:rsidRPr="00530AE7">
        <w:rPr>
          <w:bCs/>
        </w:rPr>
        <w:t xml:space="preserve"> showed </w:t>
      </w:r>
      <w:proofErr w:type="spellStart"/>
      <w:r w:rsidRPr="00530AE7">
        <w:rPr>
          <w:bCs/>
        </w:rPr>
        <w:t>neutrop</w:t>
      </w:r>
      <w:r w:rsidR="00495143">
        <w:rPr>
          <w:bCs/>
        </w:rPr>
        <w:t>a</w:t>
      </w:r>
      <w:r w:rsidRPr="00530AE7">
        <w:rPr>
          <w:bCs/>
        </w:rPr>
        <w:t>enia</w:t>
      </w:r>
      <w:proofErr w:type="spellEnd"/>
      <w:r w:rsidRPr="00530AE7">
        <w:rPr>
          <w:bCs/>
        </w:rPr>
        <w:t xml:space="preserve"> of grade 3 and 4 in approximately 19% and 8% of cycles respectively.</w:t>
      </w:r>
      <w:r w:rsidRPr="00530AE7" w:rsidDel="008B721D">
        <w:rPr>
          <w:bCs/>
        </w:rPr>
        <w:t xml:space="preserve"> </w:t>
      </w:r>
      <w:r w:rsidRPr="00530AE7">
        <w:rPr>
          <w:bCs/>
        </w:rPr>
        <w:t xml:space="preserve">In this population febrile </w:t>
      </w:r>
      <w:proofErr w:type="spellStart"/>
      <w:r w:rsidRPr="00530AE7">
        <w:rPr>
          <w:bCs/>
        </w:rPr>
        <w:t>neutrop</w:t>
      </w:r>
      <w:r w:rsidR="00495143">
        <w:rPr>
          <w:bCs/>
        </w:rPr>
        <w:t>a</w:t>
      </w:r>
      <w:r w:rsidRPr="00530AE7">
        <w:rPr>
          <w:bCs/>
        </w:rPr>
        <w:t>enia</w:t>
      </w:r>
      <w:proofErr w:type="spellEnd"/>
      <w:r w:rsidRPr="00530AE7">
        <w:rPr>
          <w:bCs/>
        </w:rPr>
        <w:t xml:space="preserve"> occurred in 2% of patients and in &lt;</w:t>
      </w:r>
      <w:r w:rsidRPr="00530AE7">
        <w:t> </w:t>
      </w:r>
      <w:r w:rsidRPr="00530AE7">
        <w:rPr>
          <w:bCs/>
        </w:rPr>
        <w:t>1% of cycles.</w:t>
      </w:r>
    </w:p>
    <w:p w14:paraId="25EADDA0" w14:textId="09B29A5E" w:rsidR="0066779E" w:rsidRPr="00530AE7" w:rsidRDefault="0066779E" w:rsidP="0066779E">
      <w:pPr>
        <w:spacing w:line="240" w:lineRule="auto"/>
        <w:rPr>
          <w:bCs/>
        </w:rPr>
      </w:pPr>
      <w:r w:rsidRPr="00530AE7">
        <w:t>Thrombocytop</w:t>
      </w:r>
      <w:r w:rsidR="00495143">
        <w:t>a</w:t>
      </w:r>
      <w:r w:rsidRPr="00530AE7">
        <w:t>enia:</w:t>
      </w:r>
    </w:p>
    <w:p w14:paraId="7A75586B" w14:textId="51C67740" w:rsidR="0066779E" w:rsidRPr="00530AE7" w:rsidRDefault="0066779E" w:rsidP="0066779E">
      <w:pPr>
        <w:spacing w:line="240" w:lineRule="auto"/>
        <w:rPr>
          <w:bCs/>
          <w:highlight w:val="yellow"/>
        </w:rPr>
      </w:pPr>
      <w:r w:rsidRPr="00530AE7">
        <w:rPr>
          <w:bCs/>
        </w:rPr>
        <w:t>Bleeding events associated to thrombocytop</w:t>
      </w:r>
      <w:r w:rsidR="00495143">
        <w:rPr>
          <w:bCs/>
        </w:rPr>
        <w:t>a</w:t>
      </w:r>
      <w:r w:rsidRPr="00530AE7">
        <w:rPr>
          <w:bCs/>
        </w:rPr>
        <w:t>enia occurred in &lt;</w:t>
      </w:r>
      <w:r w:rsidRPr="00530AE7">
        <w:t> </w:t>
      </w:r>
      <w:r w:rsidRPr="00530AE7">
        <w:rPr>
          <w:bCs/>
        </w:rPr>
        <w:t xml:space="preserve">1% of patients treated with </w:t>
      </w:r>
      <w:r w:rsidR="00925B2E">
        <w:rPr>
          <w:bCs/>
        </w:rPr>
        <w:t>YONDELIS</w:t>
      </w:r>
      <w:r w:rsidRPr="00530AE7">
        <w:rPr>
          <w:bCs/>
        </w:rPr>
        <w:t>. The analysis per cycle performed in these patients showed thrombocytop</w:t>
      </w:r>
      <w:r w:rsidR="00495143">
        <w:rPr>
          <w:bCs/>
        </w:rPr>
        <w:t>a</w:t>
      </w:r>
      <w:r w:rsidRPr="00530AE7">
        <w:rPr>
          <w:bCs/>
        </w:rPr>
        <w:t>enia of grade 3 and 4 in approximately 3% and &lt;</w:t>
      </w:r>
      <w:r w:rsidRPr="00530AE7">
        <w:t> </w:t>
      </w:r>
      <w:r w:rsidRPr="00530AE7">
        <w:rPr>
          <w:bCs/>
        </w:rPr>
        <w:t xml:space="preserve">1% of cycles respectively. </w:t>
      </w:r>
    </w:p>
    <w:p w14:paraId="02CE0546" w14:textId="01792115" w:rsidR="0066779E" w:rsidRPr="00530AE7" w:rsidRDefault="0066779E" w:rsidP="0066779E">
      <w:pPr>
        <w:spacing w:line="240" w:lineRule="auto"/>
        <w:rPr>
          <w:bCs/>
          <w:i/>
          <w:iCs/>
        </w:rPr>
      </w:pPr>
      <w:r w:rsidRPr="00530AE7">
        <w:t>Anaemia:</w:t>
      </w:r>
      <w:r w:rsidRPr="00530AE7">
        <w:rPr>
          <w:bCs/>
          <w:i/>
          <w:iCs/>
        </w:rPr>
        <w:t xml:space="preserve"> </w:t>
      </w:r>
    </w:p>
    <w:p w14:paraId="6BF5758A" w14:textId="200B934E" w:rsidR="0066779E" w:rsidRPr="00530AE7" w:rsidRDefault="0066779E" w:rsidP="0066779E">
      <w:pPr>
        <w:spacing w:line="240" w:lineRule="auto"/>
        <w:rPr>
          <w:bCs/>
        </w:rPr>
      </w:pPr>
      <w:r w:rsidRPr="00530AE7">
        <w:rPr>
          <w:bCs/>
        </w:rPr>
        <w:t xml:space="preserve">Anaemia occurred in 93% of patients treated with </w:t>
      </w:r>
      <w:r w:rsidR="00925B2E">
        <w:rPr>
          <w:bCs/>
        </w:rPr>
        <w:t>YONDELIS</w:t>
      </w:r>
      <w:r w:rsidRPr="00530AE7">
        <w:rPr>
          <w:bCs/>
        </w:rPr>
        <w:t xml:space="preserve">. The percentages of patients anaemic at baseline were 46%. The analysis per cycle performed in patients showed anaemia of grade 3 and 4 in approximately 3% and 1% of cycles respectively. </w:t>
      </w:r>
    </w:p>
    <w:p w14:paraId="3ABFB960" w14:textId="66849FB3" w:rsidR="0066779E" w:rsidRPr="00530AE7" w:rsidRDefault="0066779E" w:rsidP="00625B50">
      <w:pPr>
        <w:pageBreakBefore/>
        <w:rPr>
          <w:u w:val="single"/>
        </w:rPr>
      </w:pPr>
      <w:r w:rsidRPr="00530AE7">
        <w:rPr>
          <w:i/>
          <w:u w:val="single"/>
        </w:rPr>
        <w:t>Hepatobiliary disorders</w:t>
      </w:r>
    </w:p>
    <w:p w14:paraId="41C69266" w14:textId="77777777" w:rsidR="001F6351" w:rsidRPr="001F6351" w:rsidRDefault="001F6351" w:rsidP="001F6351">
      <w:pPr>
        <w:spacing w:line="240" w:lineRule="auto"/>
        <w:rPr>
          <w:iCs/>
        </w:rPr>
      </w:pPr>
      <w:r w:rsidRPr="001F6351">
        <w:rPr>
          <w:iCs/>
        </w:rPr>
        <w:t xml:space="preserve">Hepatic failure: </w:t>
      </w:r>
    </w:p>
    <w:p w14:paraId="6FCFEDCD" w14:textId="75365E24" w:rsidR="001F6351" w:rsidRPr="00530AE7" w:rsidRDefault="001F6351" w:rsidP="001F6351">
      <w:pPr>
        <w:spacing w:line="240" w:lineRule="auto"/>
      </w:pPr>
      <w:r w:rsidRPr="00530AE7">
        <w:t xml:space="preserve">Rare cases of hepatic failure (including cases with fatal outcomes) have been reported in patients with serious underlying medical conditions treated with </w:t>
      </w:r>
      <w:proofErr w:type="spellStart"/>
      <w:r w:rsidRPr="00530AE7">
        <w:t>trabectedin</w:t>
      </w:r>
      <w:proofErr w:type="spellEnd"/>
      <w:r w:rsidRPr="00530AE7">
        <w:t>, both in clinical trials and in post</w:t>
      </w:r>
      <w:r>
        <w:t>-</w:t>
      </w:r>
      <w:r w:rsidRPr="00530AE7">
        <w:t xml:space="preserve">marketing setting. Some potential risk factors that may have contributed to increased </w:t>
      </w:r>
      <w:proofErr w:type="spellStart"/>
      <w:r w:rsidRPr="00530AE7">
        <w:t>trabectedin</w:t>
      </w:r>
      <w:proofErr w:type="spellEnd"/>
      <w:r w:rsidRPr="00530AE7">
        <w:t xml:space="preserve"> toxicity observed in these cases were dose management inconsistent with recommended guidelines, potential CYP3A4 interaction due to multiple competing CYP3A4 substrates or CYP3A4 inhibitors, or lack of dexamethasone prophylaxis.</w:t>
      </w:r>
    </w:p>
    <w:p w14:paraId="68375E28" w14:textId="77777777" w:rsidR="0066779E" w:rsidRPr="00530AE7" w:rsidRDefault="0066779E" w:rsidP="0066779E">
      <w:pPr>
        <w:jc w:val="both"/>
        <w:rPr>
          <w:bCs/>
        </w:rPr>
      </w:pPr>
      <w:r w:rsidRPr="00530AE7">
        <w:t>AST/ALT increases:</w:t>
      </w:r>
      <w:r w:rsidRPr="00530AE7">
        <w:rPr>
          <w:bCs/>
          <w:i/>
          <w:iCs/>
        </w:rPr>
        <w:t xml:space="preserve"> </w:t>
      </w:r>
    </w:p>
    <w:p w14:paraId="150FFB19" w14:textId="7FB38283" w:rsidR="0066779E" w:rsidRPr="00530AE7" w:rsidRDefault="0066779E" w:rsidP="00163CB3">
      <w:pPr>
        <w:rPr>
          <w:bCs/>
          <w:highlight w:val="yellow"/>
        </w:rPr>
      </w:pPr>
      <w:r w:rsidRPr="00530AE7">
        <w:rPr>
          <w:bCs/>
        </w:rPr>
        <w:t>The median time to reach the peak values was 5 days for both AST and ALT. Most of the values had decreased to grade 1 or resolved by day 14</w:t>
      </w:r>
      <w:r w:rsidRPr="00530AE7">
        <w:rPr>
          <w:bCs/>
        </w:rPr>
        <w:noBreakHyphen/>
        <w:t>15 (see section 4.4). The analysis per cycle performed in patients showed grade 3 elevations of AST and ALT in 12% and 20% of cycles respectively. Grade 4 elevations of AST and ALT occurred in 1% and 2% of cycles respectively. Most transaminase elevations improved to grade 1 or to pre</w:t>
      </w:r>
      <w:r w:rsidRPr="00530AE7">
        <w:rPr>
          <w:bCs/>
        </w:rPr>
        <w:noBreakHyphen/>
        <w:t xml:space="preserve">retreatment levels within 15 days, and less than 2% of cycles had recovering times longer than 25 days. ALT and AST increases did not follow a cumulative pattern but showed a tendency towards less severe elevations over time. </w:t>
      </w:r>
    </w:p>
    <w:p w14:paraId="2120A741" w14:textId="77777777" w:rsidR="0066779E" w:rsidRPr="00530AE7" w:rsidRDefault="0066779E" w:rsidP="0066779E">
      <w:pPr>
        <w:spacing w:line="240" w:lineRule="auto"/>
        <w:rPr>
          <w:bCs/>
        </w:rPr>
      </w:pPr>
      <w:r w:rsidRPr="00530AE7">
        <w:t>Hyperbilirubinemia:</w:t>
      </w:r>
      <w:r w:rsidRPr="00530AE7">
        <w:rPr>
          <w:bCs/>
        </w:rPr>
        <w:t xml:space="preserve"> </w:t>
      </w:r>
    </w:p>
    <w:p w14:paraId="015268D9" w14:textId="0D54AA29" w:rsidR="0066779E" w:rsidRPr="00530AE7" w:rsidRDefault="0066779E" w:rsidP="0066779E">
      <w:pPr>
        <w:spacing w:line="240" w:lineRule="auto"/>
        <w:rPr>
          <w:bCs/>
        </w:rPr>
      </w:pPr>
      <w:r w:rsidRPr="00530AE7">
        <w:rPr>
          <w:bCs/>
        </w:rPr>
        <w:t>Bilirubin peaks approximately a week after onset and resolves approximately two weeks after onset.</w:t>
      </w:r>
    </w:p>
    <w:p w14:paraId="261B8D5D" w14:textId="43E3D9EF" w:rsidR="0066779E" w:rsidRPr="00530AE7" w:rsidRDefault="0066779E" w:rsidP="0066779E">
      <w:pPr>
        <w:spacing w:line="240" w:lineRule="auto"/>
        <w:rPr>
          <w:bCs/>
        </w:rPr>
      </w:pPr>
      <w:r w:rsidRPr="00530AE7">
        <w:rPr>
          <w:bCs/>
        </w:rPr>
        <w:t xml:space="preserve">Liver function tests predicting severe toxicity (meeting </w:t>
      </w:r>
      <w:proofErr w:type="spellStart"/>
      <w:r w:rsidRPr="00530AE7">
        <w:rPr>
          <w:bCs/>
        </w:rPr>
        <w:t>Hy´s</w:t>
      </w:r>
      <w:proofErr w:type="spellEnd"/>
      <w:r w:rsidRPr="00530AE7">
        <w:rPr>
          <w:bCs/>
        </w:rPr>
        <w:t xml:space="preserve"> law) and clinical manifestations of severe hepatic injury were uncommon with a lower than 1% incidence of individual signs and symptoms including jaundice, hepatomegaly or liver pain.</w:t>
      </w:r>
      <w:r w:rsidRPr="00530AE7">
        <w:rPr>
          <w:lang w:eastAsia="de-DE"/>
        </w:rPr>
        <w:t xml:space="preserve"> Mortality in the presence of hepatic injury occurred in less than 1% of patients.</w:t>
      </w:r>
    </w:p>
    <w:p w14:paraId="5DBF275D" w14:textId="2220814D" w:rsidR="0066779E" w:rsidRPr="00530AE7" w:rsidRDefault="0066779E" w:rsidP="0066779E">
      <w:pPr>
        <w:spacing w:line="240" w:lineRule="auto"/>
        <w:rPr>
          <w:bCs/>
        </w:rPr>
      </w:pPr>
      <w:r w:rsidRPr="00530AE7">
        <w:rPr>
          <w:i/>
        </w:rPr>
        <w:t>Other adverse reactions</w:t>
      </w:r>
    </w:p>
    <w:p w14:paraId="75B2A1BD" w14:textId="4DBE28E2" w:rsidR="0066779E" w:rsidRPr="00530AE7" w:rsidRDefault="0066779E" w:rsidP="0066779E">
      <w:pPr>
        <w:autoSpaceDE w:val="0"/>
        <w:autoSpaceDN w:val="0"/>
        <w:adjustRightInd w:val="0"/>
        <w:spacing w:line="240" w:lineRule="auto"/>
        <w:rPr>
          <w:noProof/>
        </w:rPr>
      </w:pPr>
      <w:r w:rsidRPr="00530AE7">
        <w:rPr>
          <w:i/>
          <w:noProof/>
          <w:u w:val="single"/>
        </w:rPr>
        <w:t>Capillary Leak Syndrome (CLS):</w:t>
      </w:r>
      <w:r w:rsidRPr="00530AE7">
        <w:rPr>
          <w:noProof/>
        </w:rPr>
        <w:t xml:space="preserve"> Cases of Capillary Leak Syndrome (CLS) have been reported with trabectedin (including cases with fatal outcomes) (see section 4.4).</w:t>
      </w:r>
    </w:p>
    <w:p w14:paraId="133338E6" w14:textId="00EC3E2F" w:rsidR="00282E0C" w:rsidRDefault="00282E0C" w:rsidP="0066779E">
      <w:pPr>
        <w:autoSpaceDE w:val="0"/>
        <w:autoSpaceDN w:val="0"/>
        <w:adjustRightInd w:val="0"/>
        <w:spacing w:line="240" w:lineRule="auto"/>
        <w:rPr>
          <w:b/>
          <w:noProof/>
        </w:rPr>
      </w:pPr>
      <w:r w:rsidRPr="00530AE7">
        <w:rPr>
          <w:b/>
          <w:noProof/>
        </w:rPr>
        <w:t>Post-marketing adverse effects</w:t>
      </w:r>
    </w:p>
    <w:p w14:paraId="0AB91778" w14:textId="5F96E094" w:rsidR="00337C64" w:rsidRDefault="00CF6E0F" w:rsidP="0066779E">
      <w:pPr>
        <w:autoSpaceDE w:val="0"/>
        <w:autoSpaceDN w:val="0"/>
        <w:adjustRightInd w:val="0"/>
        <w:spacing w:line="240" w:lineRule="auto"/>
      </w:pPr>
      <w:r>
        <w:t xml:space="preserve">The following adverse reactions have been identified during post-approval use of YONDELIS. Because these reactions are reported voluntarily from a population of uncertain size, it is not always possible to reliably estimate their frequency or establish a causal relationship to drug exposure. </w:t>
      </w:r>
    </w:p>
    <w:p w14:paraId="3A327637" w14:textId="7EE816D3" w:rsidR="00AF4C0D" w:rsidRPr="0032079D" w:rsidRDefault="00AF4C0D" w:rsidP="0066779E">
      <w:pPr>
        <w:autoSpaceDE w:val="0"/>
        <w:autoSpaceDN w:val="0"/>
        <w:adjustRightInd w:val="0"/>
        <w:spacing w:line="240" w:lineRule="auto"/>
        <w:rPr>
          <w:b/>
          <w:bCs/>
        </w:rPr>
      </w:pPr>
      <w:r w:rsidRPr="0032079D">
        <w:rPr>
          <w:b/>
          <w:bCs/>
        </w:rPr>
        <w:t xml:space="preserve">Table 4.  Post-marketing adverse reactions by system organ class using CIOMS frequencies </w:t>
      </w: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004"/>
        <w:gridCol w:w="3006"/>
        <w:gridCol w:w="3006"/>
      </w:tblGrid>
      <w:tr w:rsidR="00F46895" w:rsidRPr="00296AE6" w14:paraId="5ED1591B" w14:textId="77777777" w:rsidTr="00F46895">
        <w:trPr>
          <w:cantSplit/>
        </w:trPr>
        <w:tc>
          <w:tcPr>
            <w:tcW w:w="9110" w:type="dxa"/>
            <w:gridSpan w:val="3"/>
            <w:shd w:val="clear" w:color="auto" w:fill="auto"/>
          </w:tcPr>
          <w:p w14:paraId="526A9B36" w14:textId="759A377F" w:rsidR="00F46895" w:rsidRPr="00F160FD" w:rsidRDefault="00F46895" w:rsidP="00F46895">
            <w:pPr>
              <w:pStyle w:val="Caption"/>
              <w:rPr>
                <w:rFonts w:asciiTheme="minorHAnsi" w:hAnsiTheme="minorHAnsi" w:cstheme="minorHAnsi"/>
              </w:rPr>
            </w:pPr>
            <w:r w:rsidRPr="00F160FD">
              <w:rPr>
                <w:rFonts w:asciiTheme="minorHAnsi" w:hAnsiTheme="minorHAnsi" w:cstheme="minorHAnsi"/>
              </w:rPr>
              <w:tab/>
              <w:t xml:space="preserve">Adverse reactions identified during </w:t>
            </w:r>
            <w:r w:rsidR="00F160FD" w:rsidRPr="00F160FD">
              <w:rPr>
                <w:rFonts w:asciiTheme="minorHAnsi" w:hAnsiTheme="minorHAnsi" w:cstheme="minorHAnsi"/>
              </w:rPr>
              <w:t>post-marketing</w:t>
            </w:r>
            <w:r w:rsidRPr="00F160FD">
              <w:rPr>
                <w:rFonts w:asciiTheme="minorHAnsi" w:hAnsiTheme="minorHAnsi" w:cstheme="minorHAnsi"/>
              </w:rPr>
              <w:t xml:space="preserve"> experience with </w:t>
            </w:r>
            <w:r w:rsidR="00925B2E" w:rsidRPr="00F160FD">
              <w:rPr>
                <w:rFonts w:asciiTheme="minorHAnsi" w:hAnsiTheme="minorHAnsi" w:cstheme="minorHAnsi"/>
              </w:rPr>
              <w:t>YONDELIS</w:t>
            </w:r>
          </w:p>
        </w:tc>
      </w:tr>
      <w:tr w:rsidR="00F46895" w:rsidRPr="00296AE6" w14:paraId="605C898A" w14:textId="77777777" w:rsidTr="00F46895">
        <w:trPr>
          <w:cantSplit/>
        </w:trPr>
        <w:tc>
          <w:tcPr>
            <w:tcW w:w="3036" w:type="dxa"/>
            <w:shd w:val="clear" w:color="auto" w:fill="auto"/>
            <w:vAlign w:val="bottom"/>
          </w:tcPr>
          <w:p w14:paraId="20544FA1" w14:textId="77777777" w:rsidR="00F46895" w:rsidRPr="00F160FD" w:rsidRDefault="00F46895" w:rsidP="00F46895">
            <w:pPr>
              <w:keepNext/>
              <w:tabs>
                <w:tab w:val="left" w:pos="288"/>
                <w:tab w:val="left" w:pos="576"/>
                <w:tab w:val="left" w:pos="864"/>
              </w:tabs>
              <w:rPr>
                <w:rFonts w:eastAsia="Times New Roman" w:cstheme="minorHAnsi"/>
                <w:b/>
                <w:sz w:val="20"/>
                <w:lang w:eastAsia="ja-JP"/>
              </w:rPr>
            </w:pPr>
            <w:r w:rsidRPr="00F160FD">
              <w:rPr>
                <w:rFonts w:eastAsia="Times New Roman" w:cstheme="minorHAnsi"/>
                <w:b/>
                <w:sz w:val="20"/>
                <w:lang w:eastAsia="ja-JP"/>
              </w:rPr>
              <w:t>System Organ Class</w:t>
            </w:r>
          </w:p>
          <w:p w14:paraId="5D7F9FC4" w14:textId="77777777" w:rsidR="00F46895" w:rsidRPr="00F160FD" w:rsidRDefault="00F46895" w:rsidP="00F46895">
            <w:pPr>
              <w:pStyle w:val="TableText"/>
              <w:rPr>
                <w:rFonts w:asciiTheme="minorHAnsi" w:hAnsiTheme="minorHAnsi" w:cstheme="minorHAnsi"/>
              </w:rPr>
            </w:pPr>
            <w:r w:rsidRPr="00F160FD">
              <w:rPr>
                <w:rFonts w:asciiTheme="minorHAnsi" w:eastAsia="Times New Roman" w:hAnsiTheme="minorHAnsi" w:cstheme="minorHAnsi"/>
                <w:b/>
                <w:lang w:eastAsia="ja-JP"/>
              </w:rPr>
              <w:t>Adverse Reaction</w:t>
            </w:r>
          </w:p>
        </w:tc>
        <w:tc>
          <w:tcPr>
            <w:tcW w:w="3037" w:type="dxa"/>
            <w:shd w:val="clear" w:color="auto" w:fill="auto"/>
            <w:vAlign w:val="bottom"/>
          </w:tcPr>
          <w:p w14:paraId="0420F899" w14:textId="77777777" w:rsidR="00F46895" w:rsidRPr="00F160FD" w:rsidRDefault="00F46895" w:rsidP="00F46895">
            <w:pPr>
              <w:pStyle w:val="TableText"/>
              <w:jc w:val="center"/>
              <w:rPr>
                <w:rFonts w:asciiTheme="minorHAnsi" w:hAnsiTheme="minorHAnsi" w:cstheme="minorHAnsi"/>
              </w:rPr>
            </w:pPr>
            <w:r w:rsidRPr="00F160FD">
              <w:rPr>
                <w:rFonts w:asciiTheme="minorHAnsi" w:hAnsiTheme="minorHAnsi" w:cstheme="minorHAnsi"/>
                <w:b/>
                <w:lang w:eastAsia="ja-JP"/>
              </w:rPr>
              <w:t>Frequency Category Estimated from Spontaneous Reporting Rates</w:t>
            </w:r>
          </w:p>
        </w:tc>
        <w:tc>
          <w:tcPr>
            <w:tcW w:w="3037" w:type="dxa"/>
            <w:shd w:val="clear" w:color="auto" w:fill="auto"/>
            <w:vAlign w:val="bottom"/>
          </w:tcPr>
          <w:p w14:paraId="7FEDC99D" w14:textId="770BF48E" w:rsidR="00F46895" w:rsidRPr="00F160FD" w:rsidRDefault="00F46895" w:rsidP="00F46895">
            <w:pPr>
              <w:pStyle w:val="TableText"/>
              <w:jc w:val="center"/>
              <w:rPr>
                <w:rFonts w:asciiTheme="minorHAnsi" w:hAnsiTheme="minorHAnsi" w:cstheme="minorHAnsi"/>
              </w:rPr>
            </w:pPr>
            <w:r w:rsidRPr="00F160FD">
              <w:rPr>
                <w:rFonts w:asciiTheme="minorHAnsi" w:hAnsiTheme="minorHAnsi" w:cstheme="minorHAnsi"/>
                <w:b/>
                <w:lang w:eastAsia="ja-JP"/>
              </w:rPr>
              <w:t xml:space="preserve">Frequency Category Estimated from Clinical Trials with </w:t>
            </w:r>
            <w:r w:rsidR="00925B2E" w:rsidRPr="00F160FD">
              <w:rPr>
                <w:rFonts w:asciiTheme="minorHAnsi" w:hAnsiTheme="minorHAnsi" w:cstheme="minorHAnsi"/>
                <w:b/>
                <w:lang w:eastAsia="ja-JP"/>
              </w:rPr>
              <w:t>YONDELIS</w:t>
            </w:r>
          </w:p>
        </w:tc>
      </w:tr>
      <w:tr w:rsidR="00F46895" w:rsidRPr="00296AE6" w14:paraId="22A6AD94" w14:textId="77777777" w:rsidTr="00F46895">
        <w:trPr>
          <w:cantSplit/>
        </w:trPr>
        <w:tc>
          <w:tcPr>
            <w:tcW w:w="9110" w:type="dxa"/>
            <w:gridSpan w:val="3"/>
            <w:shd w:val="clear" w:color="auto" w:fill="auto"/>
          </w:tcPr>
          <w:p w14:paraId="59155690" w14:textId="77777777" w:rsidR="00F46895" w:rsidRPr="00F160FD" w:rsidRDefault="00F46895" w:rsidP="00F46895">
            <w:pPr>
              <w:pStyle w:val="TableText"/>
              <w:keepNext/>
              <w:rPr>
                <w:rFonts w:asciiTheme="minorHAnsi" w:hAnsiTheme="minorHAnsi" w:cstheme="minorHAnsi"/>
              </w:rPr>
            </w:pPr>
            <w:r w:rsidRPr="00F160FD">
              <w:rPr>
                <w:rFonts w:asciiTheme="minorHAnsi" w:hAnsiTheme="minorHAnsi" w:cstheme="minorHAnsi"/>
              </w:rPr>
              <w:t>Vascular disorders</w:t>
            </w:r>
          </w:p>
        </w:tc>
      </w:tr>
      <w:tr w:rsidR="00F46895" w:rsidRPr="00296AE6" w14:paraId="37FA87A0" w14:textId="77777777" w:rsidTr="000B5EAB">
        <w:trPr>
          <w:cantSplit/>
        </w:trPr>
        <w:tc>
          <w:tcPr>
            <w:tcW w:w="3036" w:type="dxa"/>
            <w:shd w:val="clear" w:color="auto" w:fill="auto"/>
          </w:tcPr>
          <w:p w14:paraId="6F5DC361" w14:textId="77777777" w:rsidR="00F46895" w:rsidRPr="00F160FD" w:rsidRDefault="00F46895" w:rsidP="00F46895">
            <w:pPr>
              <w:pStyle w:val="TableText"/>
              <w:rPr>
                <w:rFonts w:asciiTheme="minorHAnsi" w:hAnsiTheme="minorHAnsi" w:cstheme="minorHAnsi"/>
              </w:rPr>
            </w:pPr>
            <w:r w:rsidRPr="00F160FD">
              <w:rPr>
                <w:rFonts w:asciiTheme="minorHAnsi" w:hAnsiTheme="minorHAnsi" w:cstheme="minorHAnsi"/>
              </w:rPr>
              <w:t>Capillary leak syndrome</w:t>
            </w:r>
          </w:p>
        </w:tc>
        <w:tc>
          <w:tcPr>
            <w:tcW w:w="3037" w:type="dxa"/>
            <w:shd w:val="clear" w:color="auto" w:fill="auto"/>
          </w:tcPr>
          <w:p w14:paraId="7B1D5E6A" w14:textId="77777777" w:rsidR="00F46895" w:rsidRPr="00F160FD" w:rsidRDefault="00F46895" w:rsidP="00F46895">
            <w:pPr>
              <w:pStyle w:val="TableText"/>
              <w:rPr>
                <w:rFonts w:asciiTheme="minorHAnsi" w:hAnsiTheme="minorHAnsi" w:cstheme="minorHAnsi"/>
              </w:rPr>
            </w:pPr>
            <w:r w:rsidRPr="00F160FD">
              <w:rPr>
                <w:rFonts w:asciiTheme="minorHAnsi" w:hAnsiTheme="minorHAnsi" w:cstheme="minorHAnsi"/>
              </w:rPr>
              <w:t>Not known</w:t>
            </w:r>
          </w:p>
        </w:tc>
        <w:tc>
          <w:tcPr>
            <w:tcW w:w="3037" w:type="dxa"/>
            <w:shd w:val="clear" w:color="auto" w:fill="auto"/>
          </w:tcPr>
          <w:p w14:paraId="30BC0437" w14:textId="77777777" w:rsidR="00F46895" w:rsidRPr="00F160FD" w:rsidRDefault="00F46895" w:rsidP="00F46895">
            <w:pPr>
              <w:pStyle w:val="TableText"/>
              <w:rPr>
                <w:rFonts w:asciiTheme="minorHAnsi" w:hAnsiTheme="minorHAnsi" w:cstheme="minorHAnsi"/>
              </w:rPr>
            </w:pPr>
            <w:r w:rsidRPr="00F160FD">
              <w:rPr>
                <w:rFonts w:asciiTheme="minorHAnsi" w:hAnsiTheme="minorHAnsi" w:cstheme="minorHAnsi"/>
              </w:rPr>
              <w:t>Uncommon</w:t>
            </w:r>
          </w:p>
        </w:tc>
      </w:tr>
    </w:tbl>
    <w:p w14:paraId="2AE6A1B8" w14:textId="77777777" w:rsidR="00CF6E0F" w:rsidRPr="00530AE7" w:rsidRDefault="00CF6E0F" w:rsidP="0066779E">
      <w:pPr>
        <w:autoSpaceDE w:val="0"/>
        <w:autoSpaceDN w:val="0"/>
        <w:adjustRightInd w:val="0"/>
        <w:spacing w:line="240" w:lineRule="auto"/>
        <w:rPr>
          <w:b/>
          <w:noProof/>
        </w:rPr>
      </w:pPr>
    </w:p>
    <w:p w14:paraId="0BB459EE" w14:textId="77777777" w:rsidR="001A3992" w:rsidRPr="00530AE7" w:rsidRDefault="001A3992" w:rsidP="001A3992">
      <w:pPr>
        <w:pStyle w:val="Heading2"/>
        <w:keepNext/>
        <w:keepLines/>
        <w:spacing w:before="0" w:after="120"/>
      </w:pPr>
      <w:r w:rsidRPr="00530AE7">
        <w:t>Overdose</w:t>
      </w:r>
    </w:p>
    <w:p w14:paraId="303078A3" w14:textId="77777777" w:rsidR="00F510A6" w:rsidRPr="00530AE7" w:rsidRDefault="00F510A6" w:rsidP="00F510A6">
      <w:pPr>
        <w:spacing w:line="240" w:lineRule="auto"/>
      </w:pPr>
      <w:r w:rsidRPr="00530AE7">
        <w:t xml:space="preserve">There is limited data on the effects of </w:t>
      </w:r>
      <w:proofErr w:type="spellStart"/>
      <w:r w:rsidRPr="00530AE7">
        <w:t>trabectedin</w:t>
      </w:r>
      <w:proofErr w:type="spellEnd"/>
      <w:r w:rsidRPr="00530AE7">
        <w:t xml:space="preserve"> overdose. The major anticipated toxicities are gastrointestinal, bone marrow suppression and hepatic toxicity. There is no specific antidote for </w:t>
      </w:r>
      <w:proofErr w:type="spellStart"/>
      <w:r w:rsidRPr="00530AE7">
        <w:t>trabectedin</w:t>
      </w:r>
      <w:proofErr w:type="spellEnd"/>
      <w:r w:rsidRPr="00530AE7">
        <w:t xml:space="preserve"> currently available. In the event of an overdose, patients should be closely monitored and symptomatic supportive care measures instituted as required. </w:t>
      </w:r>
    </w:p>
    <w:p w14:paraId="20EAC54C" w14:textId="77777777" w:rsidR="005B2812" w:rsidRPr="00530AE7" w:rsidRDefault="005B2812" w:rsidP="005B2812">
      <w:pPr>
        <w:rPr>
          <w:rFonts w:cstheme="minorHAnsi"/>
        </w:rPr>
      </w:pPr>
      <w:r w:rsidRPr="00530AE7">
        <w:rPr>
          <w:rFonts w:cstheme="minorHAnsi"/>
        </w:rPr>
        <w:t>For information on the management of overdose, contact the Poisons Information Centre on 13 11 26 (Australia).</w:t>
      </w:r>
    </w:p>
    <w:p w14:paraId="699FB32C" w14:textId="77777777" w:rsidR="001A3992" w:rsidRPr="00530AE7" w:rsidRDefault="001A3992" w:rsidP="001A3992">
      <w:pPr>
        <w:pStyle w:val="Heading1"/>
        <w:spacing w:before="0" w:after="120"/>
      </w:pPr>
      <w:r w:rsidRPr="00530AE7">
        <w:t>Pharmacological properties</w:t>
      </w:r>
    </w:p>
    <w:p w14:paraId="2EA99286" w14:textId="5B346945" w:rsidR="001A3992" w:rsidRPr="00530AE7" w:rsidRDefault="001A3992" w:rsidP="001A3992">
      <w:pPr>
        <w:pStyle w:val="Heading2"/>
        <w:spacing w:before="0" w:after="120"/>
      </w:pPr>
      <w:r w:rsidRPr="00530AE7">
        <w:t xml:space="preserve">Pharmacodynamic properties </w:t>
      </w:r>
    </w:p>
    <w:p w14:paraId="04B75935" w14:textId="409FF2B3" w:rsidR="00EE4420" w:rsidRPr="00530AE7" w:rsidRDefault="00EE4420" w:rsidP="00140758">
      <w:pPr>
        <w:spacing w:line="240" w:lineRule="auto"/>
        <w:outlineLvl w:val="0"/>
        <w:rPr>
          <w:noProof/>
        </w:rPr>
      </w:pPr>
      <w:proofErr w:type="spellStart"/>
      <w:r w:rsidRPr="00530AE7">
        <w:t>Pharmacotherapeutic</w:t>
      </w:r>
      <w:proofErr w:type="spellEnd"/>
      <w:r w:rsidRPr="00530AE7">
        <w:t xml:space="preserve"> group: Antineoplastic agent, ATC code: L01CX01.</w:t>
      </w:r>
    </w:p>
    <w:p w14:paraId="3A66FBF7" w14:textId="0145D95C" w:rsidR="001A3992" w:rsidRPr="00530AE7" w:rsidRDefault="001A3992" w:rsidP="00140758">
      <w:pPr>
        <w:pStyle w:val="Heading3"/>
        <w:spacing w:before="0" w:after="120"/>
        <w:ind w:left="0"/>
      </w:pPr>
      <w:r w:rsidRPr="00530AE7">
        <w:t>Mechanism of action</w:t>
      </w:r>
    </w:p>
    <w:p w14:paraId="61DD124F" w14:textId="33A67D2E" w:rsidR="00975541" w:rsidRPr="00530AE7" w:rsidRDefault="00975541" w:rsidP="00140758">
      <w:pPr>
        <w:spacing w:line="240" w:lineRule="auto"/>
      </w:pPr>
      <w:proofErr w:type="spellStart"/>
      <w:r w:rsidRPr="00530AE7">
        <w:t>Trabectedin</w:t>
      </w:r>
      <w:proofErr w:type="spellEnd"/>
      <w:r w:rsidRPr="00530AE7">
        <w:t xml:space="preserve"> binds to the minor groove of deoxyribonucleic acid (DNA), bending the helix to the major groove. This binding to DNA triggers a cascade of events affecting several transcription factors, DNA binding proteins, and DNA repair pathways, resulting in perturbation of the cell cycle. </w:t>
      </w:r>
    </w:p>
    <w:p w14:paraId="1B388DBA" w14:textId="5878C3DD" w:rsidR="00975541" w:rsidRPr="00530AE7" w:rsidRDefault="00975541" w:rsidP="00140758">
      <w:pPr>
        <w:keepNext/>
        <w:spacing w:line="240" w:lineRule="auto"/>
        <w:rPr>
          <w:rFonts w:asciiTheme="majorHAnsi" w:hAnsiTheme="majorHAnsi"/>
          <w:b/>
          <w:bCs/>
        </w:rPr>
      </w:pPr>
      <w:r w:rsidRPr="00530AE7">
        <w:rPr>
          <w:rFonts w:asciiTheme="majorHAnsi" w:hAnsiTheme="majorHAnsi"/>
          <w:b/>
          <w:bCs/>
        </w:rPr>
        <w:t>Pharmacodynamic effects</w:t>
      </w:r>
    </w:p>
    <w:p w14:paraId="513A78BD" w14:textId="23D26849" w:rsidR="00975541" w:rsidRPr="000D1457" w:rsidRDefault="00975541" w:rsidP="00140758">
      <w:pPr>
        <w:keepNext/>
        <w:spacing w:line="240" w:lineRule="auto"/>
      </w:pPr>
      <w:proofErr w:type="spellStart"/>
      <w:r w:rsidRPr="00530AE7">
        <w:t>Trabectedin</w:t>
      </w:r>
      <w:proofErr w:type="spellEnd"/>
      <w:r w:rsidRPr="00530AE7">
        <w:t xml:space="preserve"> has been shown to exert </w:t>
      </w:r>
      <w:proofErr w:type="spellStart"/>
      <w:r w:rsidRPr="00530AE7">
        <w:t>antiproliferative</w:t>
      </w:r>
      <w:proofErr w:type="spellEnd"/>
      <w:r w:rsidRPr="00530AE7">
        <w:t xml:space="preserve"> </w:t>
      </w:r>
      <w:r w:rsidRPr="00530AE7">
        <w:rPr>
          <w:i/>
          <w:iCs/>
        </w:rPr>
        <w:t>in vitro</w:t>
      </w:r>
      <w:r w:rsidRPr="00530AE7">
        <w:t xml:space="preserve"> activity against a range of human tumour cell lines and experimental tumours, including malignancies such as sarcoma, breast, non</w:t>
      </w:r>
      <w:r w:rsidRPr="00530AE7">
        <w:noBreakHyphen/>
        <w:t>small cell lung, ovarian and melanoma.</w:t>
      </w:r>
      <w:r w:rsidR="000D1457">
        <w:t xml:space="preserve">  </w:t>
      </w:r>
      <w:r w:rsidR="000D1457">
        <w:rPr>
          <w:i/>
          <w:iCs/>
        </w:rPr>
        <w:t>In vivo</w:t>
      </w:r>
      <w:r w:rsidR="000D1457">
        <w:t xml:space="preserve"> activity against tumour xenografts in nude mice has been observed for some tumour types, including some soft tissue sarcomas.</w:t>
      </w:r>
    </w:p>
    <w:p w14:paraId="0E9EB9DE" w14:textId="5E1B213A" w:rsidR="00975541" w:rsidRPr="00530AE7" w:rsidRDefault="00975541" w:rsidP="00140758">
      <w:pPr>
        <w:spacing w:line="240" w:lineRule="auto"/>
        <w:rPr>
          <w:rFonts w:asciiTheme="majorHAnsi" w:hAnsiTheme="majorHAnsi"/>
          <w:b/>
          <w:bCs/>
        </w:rPr>
      </w:pPr>
      <w:r w:rsidRPr="00530AE7">
        <w:rPr>
          <w:rFonts w:asciiTheme="majorHAnsi" w:hAnsiTheme="majorHAnsi"/>
          <w:b/>
          <w:bCs/>
        </w:rPr>
        <w:t>Electrocardiogram (ECG) investigations</w:t>
      </w:r>
    </w:p>
    <w:p w14:paraId="6FB05737" w14:textId="679F7E84" w:rsidR="00975541" w:rsidRPr="00530AE7" w:rsidRDefault="00975541" w:rsidP="00140758">
      <w:pPr>
        <w:spacing w:line="240" w:lineRule="auto"/>
      </w:pPr>
      <w:r w:rsidRPr="00530AE7">
        <w:t>In a placebo</w:t>
      </w:r>
      <w:r w:rsidRPr="00530AE7">
        <w:noBreakHyphen/>
        <w:t>controlled QT/</w:t>
      </w:r>
      <w:proofErr w:type="spellStart"/>
      <w:r w:rsidRPr="00530AE7">
        <w:t>QTc</w:t>
      </w:r>
      <w:proofErr w:type="spellEnd"/>
      <w:r w:rsidRPr="00530AE7">
        <w:t xml:space="preserve"> study, </w:t>
      </w:r>
      <w:proofErr w:type="spellStart"/>
      <w:r w:rsidRPr="00530AE7">
        <w:t>trabectedin</w:t>
      </w:r>
      <w:proofErr w:type="spellEnd"/>
      <w:r w:rsidRPr="00530AE7">
        <w:t xml:space="preserve"> did not prolong the </w:t>
      </w:r>
      <w:proofErr w:type="spellStart"/>
      <w:r w:rsidRPr="00530AE7">
        <w:t>QTc</w:t>
      </w:r>
      <w:proofErr w:type="spellEnd"/>
      <w:r w:rsidRPr="00530AE7">
        <w:t xml:space="preserve"> interval in patients with advanced solid malignancies.</w:t>
      </w:r>
    </w:p>
    <w:p w14:paraId="1BDD120B" w14:textId="53ACD537" w:rsidR="001A3992" w:rsidRPr="00530AE7" w:rsidRDefault="001A3992" w:rsidP="00140758">
      <w:pPr>
        <w:pStyle w:val="Heading3"/>
        <w:spacing w:before="0" w:after="120"/>
        <w:ind w:left="0"/>
      </w:pPr>
      <w:r w:rsidRPr="00530AE7">
        <w:t>Clinical trials</w:t>
      </w:r>
    </w:p>
    <w:p w14:paraId="4627470F"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The clinical efficacy and safety of YONDELIS in patients with metastatic or recurrent</w:t>
      </w:r>
    </w:p>
    <w:p w14:paraId="112D0F96" w14:textId="40B410BC" w:rsidR="008F2F78" w:rsidRPr="00AF3744" w:rsidRDefault="008F2F78" w:rsidP="008F2F78">
      <w:pPr>
        <w:autoSpaceDE w:val="0"/>
        <w:autoSpaceDN w:val="0"/>
        <w:adjustRightInd w:val="0"/>
        <w:spacing w:after="0" w:line="240" w:lineRule="auto"/>
        <w:rPr>
          <w:rFonts w:cstheme="minorHAnsi"/>
          <w:lang w:val="en-GB"/>
        </w:rPr>
      </w:pPr>
      <w:proofErr w:type="spellStart"/>
      <w:r w:rsidRPr="00AF3744">
        <w:rPr>
          <w:rFonts w:cstheme="minorHAnsi"/>
          <w:lang w:val="en-GB"/>
        </w:rPr>
        <w:t>leiomyosarcoma</w:t>
      </w:r>
      <w:proofErr w:type="spellEnd"/>
      <w:r w:rsidRPr="00AF3744">
        <w:rPr>
          <w:rFonts w:cstheme="minorHAnsi"/>
          <w:lang w:val="en-GB"/>
        </w:rPr>
        <w:t xml:space="preserve"> or </w:t>
      </w:r>
      <w:proofErr w:type="spellStart"/>
      <w:r w:rsidRPr="00AF3744">
        <w:rPr>
          <w:rFonts w:cstheme="minorHAnsi"/>
          <w:lang w:val="en-GB"/>
        </w:rPr>
        <w:t>liposarcoma</w:t>
      </w:r>
      <w:proofErr w:type="spellEnd"/>
      <w:r w:rsidRPr="00AF3744">
        <w:rPr>
          <w:rFonts w:cstheme="minorHAnsi"/>
          <w:lang w:val="en-GB"/>
        </w:rPr>
        <w:t xml:space="preserve"> were demonstrated in </w:t>
      </w:r>
      <w:r w:rsidR="007E5043">
        <w:rPr>
          <w:rFonts w:cstheme="minorHAnsi"/>
          <w:lang w:val="en-GB"/>
        </w:rPr>
        <w:t>the</w:t>
      </w:r>
      <w:r w:rsidR="00C843C6">
        <w:rPr>
          <w:rFonts w:cstheme="minorHAnsi"/>
          <w:lang w:val="en-GB"/>
        </w:rPr>
        <w:t xml:space="preserve"> pivotal t</w:t>
      </w:r>
      <w:r w:rsidRPr="00AF3744">
        <w:rPr>
          <w:rFonts w:cstheme="minorHAnsi"/>
          <w:lang w:val="en-GB"/>
        </w:rPr>
        <w:t>rial ET743-SAR-3007 (NCT01343277),</w:t>
      </w:r>
      <w:r w:rsidR="00640280">
        <w:rPr>
          <w:rFonts w:cstheme="minorHAnsi"/>
          <w:lang w:val="en-GB"/>
        </w:rPr>
        <w:t xml:space="preserve"> </w:t>
      </w:r>
      <w:r w:rsidRPr="00AF3744">
        <w:rPr>
          <w:rFonts w:cstheme="minorHAnsi"/>
          <w:lang w:val="en-GB"/>
        </w:rPr>
        <w:t>a randomi</w:t>
      </w:r>
      <w:r w:rsidR="000B6465">
        <w:rPr>
          <w:rFonts w:cstheme="minorHAnsi"/>
          <w:lang w:val="en-GB"/>
        </w:rPr>
        <w:t>s</w:t>
      </w:r>
      <w:r w:rsidRPr="00AF3744">
        <w:rPr>
          <w:rFonts w:cstheme="minorHAnsi"/>
          <w:lang w:val="en-GB"/>
        </w:rPr>
        <w:t>ed (2:1), open-label, active-controlled trial comparing treatment with YONDELIS</w:t>
      </w:r>
      <w:r w:rsidR="00640280">
        <w:rPr>
          <w:rFonts w:cstheme="minorHAnsi"/>
          <w:lang w:val="en-GB"/>
        </w:rPr>
        <w:t xml:space="preserve"> </w:t>
      </w:r>
      <w:r w:rsidRPr="00AF3744">
        <w:rPr>
          <w:rFonts w:cstheme="minorHAnsi"/>
          <w:lang w:val="en-GB"/>
        </w:rPr>
        <w:t>1.5 mg/m</w:t>
      </w:r>
      <w:r w:rsidRPr="00AF3744">
        <w:rPr>
          <w:rFonts w:cstheme="minorHAnsi"/>
          <w:vertAlign w:val="superscript"/>
          <w:lang w:val="en-GB"/>
        </w:rPr>
        <w:t>2</w:t>
      </w:r>
      <w:r w:rsidRPr="00AF3744">
        <w:rPr>
          <w:rFonts w:cstheme="minorHAnsi"/>
          <w:lang w:val="en-GB"/>
        </w:rPr>
        <w:t xml:space="preserve"> as a 24-hour continuous intravenous infusion once every 3 weeks to </w:t>
      </w:r>
      <w:proofErr w:type="spellStart"/>
      <w:r w:rsidRPr="00AF3744">
        <w:rPr>
          <w:rFonts w:cstheme="minorHAnsi"/>
          <w:lang w:val="en-GB"/>
        </w:rPr>
        <w:t>dacarbazine</w:t>
      </w:r>
      <w:proofErr w:type="spellEnd"/>
      <w:r w:rsidR="00640280">
        <w:rPr>
          <w:rFonts w:cstheme="minorHAnsi"/>
          <w:lang w:val="en-GB"/>
        </w:rPr>
        <w:t xml:space="preserve"> </w:t>
      </w:r>
      <w:r w:rsidRPr="00AF3744">
        <w:rPr>
          <w:rFonts w:cstheme="minorHAnsi"/>
          <w:lang w:val="en-GB"/>
        </w:rPr>
        <w:t>1000 mg/m</w:t>
      </w:r>
      <w:r w:rsidRPr="00AF3744">
        <w:rPr>
          <w:rFonts w:cstheme="minorHAnsi"/>
          <w:vertAlign w:val="superscript"/>
          <w:lang w:val="en-GB"/>
        </w:rPr>
        <w:t>2</w:t>
      </w:r>
      <w:r w:rsidRPr="00AF3744">
        <w:rPr>
          <w:rFonts w:cstheme="minorHAnsi"/>
          <w:lang w:val="en-GB"/>
        </w:rPr>
        <w:t xml:space="preserve"> intravenous infusion (20 to 120 minutes) once every 3 weeks. Treatment continued</w:t>
      </w:r>
      <w:r w:rsidR="00640280">
        <w:rPr>
          <w:rFonts w:cstheme="minorHAnsi"/>
          <w:lang w:val="en-GB"/>
        </w:rPr>
        <w:t xml:space="preserve"> </w:t>
      </w:r>
      <w:r w:rsidRPr="00AF3744">
        <w:rPr>
          <w:rFonts w:cstheme="minorHAnsi"/>
          <w:lang w:val="en-GB"/>
        </w:rPr>
        <w:t>in both arms until disease progression or unacceptable toxicity; all patients in the YONDELIS</w:t>
      </w:r>
      <w:r w:rsidR="00640280">
        <w:rPr>
          <w:rFonts w:cstheme="minorHAnsi"/>
          <w:lang w:val="en-GB"/>
        </w:rPr>
        <w:t xml:space="preserve"> </w:t>
      </w:r>
      <w:r w:rsidRPr="00AF3744">
        <w:rPr>
          <w:rFonts w:cstheme="minorHAnsi"/>
          <w:lang w:val="en-GB"/>
        </w:rPr>
        <w:t>arm were required to receive dexamethasone 20 mg intravenous injection prior to each</w:t>
      </w:r>
      <w:r w:rsidR="00640280">
        <w:rPr>
          <w:rFonts w:cstheme="minorHAnsi"/>
          <w:lang w:val="en-GB"/>
        </w:rPr>
        <w:t xml:space="preserve"> </w:t>
      </w:r>
      <w:r w:rsidRPr="00AF3744">
        <w:rPr>
          <w:rFonts w:cstheme="minorHAnsi"/>
          <w:lang w:val="en-GB"/>
        </w:rPr>
        <w:t>YONDELIS infusion. Patients were required to have unresectable, locally advanced or</w:t>
      </w:r>
    </w:p>
    <w:p w14:paraId="08BBAD7C"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 xml:space="preserve">metastatic </w:t>
      </w:r>
      <w:proofErr w:type="spellStart"/>
      <w:r w:rsidRPr="00AF3744">
        <w:rPr>
          <w:rFonts w:cstheme="minorHAnsi"/>
          <w:lang w:val="en-GB"/>
        </w:rPr>
        <w:t>leiomyosarcoma</w:t>
      </w:r>
      <w:proofErr w:type="spellEnd"/>
      <w:r w:rsidRPr="00AF3744">
        <w:rPr>
          <w:rFonts w:cstheme="minorHAnsi"/>
          <w:lang w:val="en-GB"/>
        </w:rPr>
        <w:t xml:space="preserve"> or </w:t>
      </w:r>
      <w:proofErr w:type="spellStart"/>
      <w:r w:rsidRPr="00AF3744">
        <w:rPr>
          <w:rFonts w:cstheme="minorHAnsi"/>
          <w:lang w:val="en-GB"/>
        </w:rPr>
        <w:t>liposarcoma</w:t>
      </w:r>
      <w:proofErr w:type="spellEnd"/>
      <w:r w:rsidRPr="00AF3744">
        <w:rPr>
          <w:rFonts w:cstheme="minorHAnsi"/>
          <w:lang w:val="en-GB"/>
        </w:rPr>
        <w:t xml:space="preserve"> (dedifferentiated, </w:t>
      </w:r>
      <w:proofErr w:type="spellStart"/>
      <w:r w:rsidRPr="00AF3744">
        <w:rPr>
          <w:rFonts w:cstheme="minorHAnsi"/>
          <w:lang w:val="en-GB"/>
        </w:rPr>
        <w:t>myxoid</w:t>
      </w:r>
      <w:proofErr w:type="spellEnd"/>
      <w:r w:rsidRPr="00AF3744">
        <w:rPr>
          <w:rFonts w:cstheme="minorHAnsi"/>
          <w:lang w:val="en-GB"/>
        </w:rPr>
        <w:t xml:space="preserve"> round cell, or pleomorphic)</w:t>
      </w:r>
    </w:p>
    <w:p w14:paraId="22FB262C"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 xml:space="preserve">and previous treatment with an </w:t>
      </w:r>
      <w:proofErr w:type="spellStart"/>
      <w:r w:rsidRPr="00AF3744">
        <w:rPr>
          <w:rFonts w:cstheme="minorHAnsi"/>
          <w:lang w:val="en-GB"/>
        </w:rPr>
        <w:t>anthracycline</w:t>
      </w:r>
      <w:proofErr w:type="spellEnd"/>
      <w:r w:rsidRPr="00AF3744">
        <w:rPr>
          <w:rFonts w:cstheme="minorHAnsi"/>
          <w:lang w:val="en-GB"/>
        </w:rPr>
        <w:t xml:space="preserve">- and </w:t>
      </w:r>
      <w:proofErr w:type="spellStart"/>
      <w:r w:rsidRPr="00AF3744">
        <w:rPr>
          <w:rFonts w:cstheme="minorHAnsi"/>
          <w:lang w:val="en-GB"/>
        </w:rPr>
        <w:t>ifosfamide</w:t>
      </w:r>
      <w:proofErr w:type="spellEnd"/>
      <w:r w:rsidRPr="00AF3744">
        <w:rPr>
          <w:rFonts w:cstheme="minorHAnsi"/>
          <w:lang w:val="en-GB"/>
        </w:rPr>
        <w:t>-containing regimen or an</w:t>
      </w:r>
    </w:p>
    <w:p w14:paraId="17F41B56" w14:textId="77777777" w:rsidR="008F2F78" w:rsidRPr="00AF3744" w:rsidRDefault="008F2F78" w:rsidP="008F2F78">
      <w:pPr>
        <w:autoSpaceDE w:val="0"/>
        <w:autoSpaceDN w:val="0"/>
        <w:adjustRightInd w:val="0"/>
        <w:spacing w:after="0" w:line="240" w:lineRule="auto"/>
        <w:rPr>
          <w:rFonts w:cstheme="minorHAnsi"/>
          <w:lang w:val="en-GB"/>
        </w:rPr>
      </w:pPr>
      <w:proofErr w:type="spellStart"/>
      <w:r w:rsidRPr="00AF3744">
        <w:rPr>
          <w:rFonts w:cstheme="minorHAnsi"/>
          <w:lang w:val="en-GB"/>
        </w:rPr>
        <w:t>anthracycline</w:t>
      </w:r>
      <w:proofErr w:type="spellEnd"/>
      <w:r w:rsidRPr="00AF3744">
        <w:rPr>
          <w:rFonts w:cstheme="minorHAnsi"/>
          <w:lang w:val="en-GB"/>
        </w:rPr>
        <w:t>-containing regimen and one additional cytotoxic chemotherapy regimen.</w:t>
      </w:r>
    </w:p>
    <w:p w14:paraId="0AC9724F" w14:textId="57F6EB4B"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Randomi</w:t>
      </w:r>
      <w:r w:rsidR="000B6465">
        <w:rPr>
          <w:rFonts w:cstheme="minorHAnsi"/>
          <w:lang w:val="en-GB"/>
        </w:rPr>
        <w:t>s</w:t>
      </w:r>
      <w:r w:rsidRPr="00AF3744">
        <w:rPr>
          <w:rFonts w:cstheme="minorHAnsi"/>
          <w:lang w:val="en-GB"/>
        </w:rPr>
        <w:t>ation was stratified by subtype of soft tissue sarcoma (</w:t>
      </w:r>
      <w:proofErr w:type="spellStart"/>
      <w:r w:rsidRPr="00AF3744">
        <w:rPr>
          <w:rFonts w:cstheme="minorHAnsi"/>
          <w:lang w:val="en-GB"/>
        </w:rPr>
        <w:t>leiomyosarcoma</w:t>
      </w:r>
      <w:proofErr w:type="spellEnd"/>
      <w:r w:rsidRPr="00AF3744">
        <w:rPr>
          <w:rFonts w:cstheme="minorHAnsi"/>
          <w:lang w:val="en-GB"/>
        </w:rPr>
        <w:t xml:space="preserve"> vs.</w:t>
      </w:r>
    </w:p>
    <w:p w14:paraId="04509A56" w14:textId="471363CA" w:rsidR="008F2F78" w:rsidRPr="000C06B0" w:rsidRDefault="008F2F78" w:rsidP="000C06B0">
      <w:pPr>
        <w:rPr>
          <w:rFonts w:ascii="Times New Roman" w:eastAsia="Times New Roman" w:hAnsi="Times New Roman" w:cs="Times New Roman"/>
          <w:sz w:val="24"/>
          <w:szCs w:val="24"/>
          <w:lang w:eastAsia="en-GB"/>
        </w:rPr>
      </w:pPr>
      <w:proofErr w:type="spellStart"/>
      <w:r w:rsidRPr="00AF3744">
        <w:rPr>
          <w:rFonts w:cstheme="minorHAnsi"/>
          <w:lang w:val="en-GB"/>
        </w:rPr>
        <w:t>liposarcoma</w:t>
      </w:r>
      <w:proofErr w:type="spellEnd"/>
      <w:r w:rsidRPr="00AF3744">
        <w:rPr>
          <w:rFonts w:cstheme="minorHAnsi"/>
          <w:lang w:val="en-GB"/>
        </w:rPr>
        <w:t>), ECOG performance status (0 vs. 1), and number of prior chemotherapy regimens</w:t>
      </w:r>
      <w:r w:rsidR="00947077">
        <w:rPr>
          <w:rFonts w:cstheme="minorHAnsi"/>
          <w:lang w:val="en-GB"/>
        </w:rPr>
        <w:t xml:space="preserve"> </w:t>
      </w:r>
      <w:r w:rsidRPr="00AF3744">
        <w:rPr>
          <w:rFonts w:cstheme="minorHAnsi"/>
          <w:lang w:val="en-GB"/>
        </w:rPr>
        <w:t xml:space="preserve">(1 vs. </w:t>
      </w:r>
      <w:r w:rsidR="000C06B0" w:rsidRPr="000C06B0">
        <w:rPr>
          <w:rFonts w:eastAsia="Times New Roman" w:cstheme="minorHAnsi"/>
          <w:lang w:eastAsia="en-GB"/>
        </w:rPr>
        <w:t>≥</w:t>
      </w:r>
      <w:r w:rsidRPr="00AF3744">
        <w:rPr>
          <w:rFonts w:cstheme="minorHAnsi"/>
          <w:lang w:val="en-GB"/>
        </w:rPr>
        <w:t>2). The efficacy outcome measures were investigator-assessed progression-free survival</w:t>
      </w:r>
    </w:p>
    <w:p w14:paraId="233D97C8" w14:textId="6FA2662A"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(PFS) according to the Response Evaluation Criteria in Solid Tumo</w:t>
      </w:r>
      <w:r w:rsidR="00010CD5">
        <w:rPr>
          <w:rFonts w:cstheme="minorHAnsi"/>
          <w:lang w:val="en-GB"/>
        </w:rPr>
        <w:t>u</w:t>
      </w:r>
      <w:r w:rsidRPr="00AF3744">
        <w:rPr>
          <w:rFonts w:cstheme="minorHAnsi"/>
          <w:lang w:val="en-GB"/>
        </w:rPr>
        <w:t>rs (RECIST v1.1), overall</w:t>
      </w:r>
    </w:p>
    <w:p w14:paraId="0CF49286"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survival (OS), objective response rate (ORR), and duration of response (DOR). Patients in the</w:t>
      </w:r>
    </w:p>
    <w:p w14:paraId="1DA5E15E" w14:textId="77777777" w:rsidR="008F2F78" w:rsidRPr="00AF3744" w:rsidRDefault="008F2F78" w:rsidP="008F2F78">
      <w:pPr>
        <w:autoSpaceDE w:val="0"/>
        <w:autoSpaceDN w:val="0"/>
        <w:adjustRightInd w:val="0"/>
        <w:spacing w:after="0" w:line="240" w:lineRule="auto"/>
        <w:rPr>
          <w:rFonts w:cstheme="minorHAnsi"/>
          <w:lang w:val="en-GB"/>
        </w:rPr>
      </w:pPr>
      <w:proofErr w:type="spellStart"/>
      <w:r w:rsidRPr="00AF3744">
        <w:rPr>
          <w:rFonts w:cstheme="minorHAnsi"/>
          <w:lang w:val="en-GB"/>
        </w:rPr>
        <w:t>dacarbazine</w:t>
      </w:r>
      <w:proofErr w:type="spellEnd"/>
      <w:r w:rsidRPr="00AF3744">
        <w:rPr>
          <w:rFonts w:cstheme="minorHAnsi"/>
          <w:lang w:val="en-GB"/>
        </w:rPr>
        <w:t xml:space="preserve"> arm were not offered YONDELIS at the time of disease progression.</w:t>
      </w:r>
    </w:p>
    <w:p w14:paraId="7FC39FF2" w14:textId="2D8D38DF"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A total of 518 patients were randomi</w:t>
      </w:r>
      <w:r w:rsidR="00C32805">
        <w:rPr>
          <w:rFonts w:cstheme="minorHAnsi"/>
          <w:lang w:val="en-GB"/>
        </w:rPr>
        <w:t>s</w:t>
      </w:r>
      <w:r w:rsidRPr="00AF3744">
        <w:rPr>
          <w:rFonts w:cstheme="minorHAnsi"/>
          <w:lang w:val="en-GB"/>
        </w:rPr>
        <w:t>ed, 345 to the YONDELIS arm and 173 patients to the</w:t>
      </w:r>
    </w:p>
    <w:p w14:paraId="0EDC0E17" w14:textId="77777777" w:rsidR="008F2F78" w:rsidRPr="00AF3744" w:rsidRDefault="008F2F78" w:rsidP="008F2F78">
      <w:pPr>
        <w:autoSpaceDE w:val="0"/>
        <w:autoSpaceDN w:val="0"/>
        <w:adjustRightInd w:val="0"/>
        <w:spacing w:after="0" w:line="240" w:lineRule="auto"/>
        <w:rPr>
          <w:rFonts w:cstheme="minorHAnsi"/>
          <w:lang w:val="en-GB"/>
        </w:rPr>
      </w:pPr>
      <w:proofErr w:type="spellStart"/>
      <w:r w:rsidRPr="00AF3744">
        <w:rPr>
          <w:rFonts w:cstheme="minorHAnsi"/>
          <w:lang w:val="en-GB"/>
        </w:rPr>
        <w:t>dacarbazine</w:t>
      </w:r>
      <w:proofErr w:type="spellEnd"/>
      <w:r w:rsidRPr="00AF3744">
        <w:rPr>
          <w:rFonts w:cstheme="minorHAnsi"/>
          <w:lang w:val="en-GB"/>
        </w:rPr>
        <w:t xml:space="preserve"> arm. The median patient age was 56 years (range: 17 to 81); 30% were male; 76%</w:t>
      </w:r>
    </w:p>
    <w:p w14:paraId="2B152F8B"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 xml:space="preserve">White, 12% Black, and 4% Asian; 73% had </w:t>
      </w:r>
      <w:proofErr w:type="spellStart"/>
      <w:r w:rsidRPr="00AF3744">
        <w:rPr>
          <w:rFonts w:cstheme="minorHAnsi"/>
          <w:lang w:val="en-GB"/>
        </w:rPr>
        <w:t>leiomyosarcomas</w:t>
      </w:r>
      <w:proofErr w:type="spellEnd"/>
      <w:r w:rsidRPr="00AF3744">
        <w:rPr>
          <w:rFonts w:cstheme="minorHAnsi"/>
          <w:lang w:val="en-GB"/>
        </w:rPr>
        <w:t xml:space="preserve"> and 27% </w:t>
      </w:r>
      <w:proofErr w:type="spellStart"/>
      <w:r w:rsidRPr="00AF3744">
        <w:rPr>
          <w:rFonts w:cstheme="minorHAnsi"/>
          <w:lang w:val="en-GB"/>
        </w:rPr>
        <w:t>liposarcomas</w:t>
      </w:r>
      <w:proofErr w:type="spellEnd"/>
      <w:r w:rsidRPr="00AF3744">
        <w:rPr>
          <w:rFonts w:cstheme="minorHAnsi"/>
          <w:lang w:val="en-GB"/>
        </w:rPr>
        <w:t>; 49% had</w:t>
      </w:r>
    </w:p>
    <w:p w14:paraId="66CDC142" w14:textId="57954E0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 xml:space="preserve">an ECOG PS of 0; and 89% received </w:t>
      </w:r>
      <w:r w:rsidR="00CB2549">
        <w:rPr>
          <w:rFonts w:cstheme="minorHAnsi"/>
          <w:lang w:val="en-GB"/>
        </w:rPr>
        <w:sym w:font="Symbol" w:char="F0B3"/>
      </w:r>
      <w:r w:rsidRPr="00AF3744">
        <w:rPr>
          <w:rFonts w:cstheme="minorHAnsi"/>
          <w:lang w:val="en-GB"/>
        </w:rPr>
        <w:t>2 prior chemotherapy regimens. The most common</w:t>
      </w:r>
    </w:p>
    <w:p w14:paraId="7E7BF20A" w14:textId="15DF4800"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w:t>
      </w:r>
      <w:r w:rsidR="00CB2549">
        <w:rPr>
          <w:rFonts w:cstheme="minorHAnsi"/>
          <w:lang w:val="en-GB"/>
        </w:rPr>
        <w:sym w:font="Symbol" w:char="F0B3"/>
      </w:r>
      <w:r w:rsidRPr="00AF3744">
        <w:rPr>
          <w:rFonts w:cstheme="minorHAnsi"/>
          <w:lang w:val="en-GB"/>
        </w:rPr>
        <w:t>20%) pre-study chemotherapeutic agents administered were doxorubicin (90%), gemcitabine</w:t>
      </w:r>
    </w:p>
    <w:p w14:paraId="74016D81"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 xml:space="preserve">(81%), docetaxel (74%), and </w:t>
      </w:r>
      <w:proofErr w:type="spellStart"/>
      <w:r w:rsidRPr="00AF3744">
        <w:rPr>
          <w:rFonts w:cstheme="minorHAnsi"/>
          <w:lang w:val="en-GB"/>
        </w:rPr>
        <w:t>ifosfamide</w:t>
      </w:r>
      <w:proofErr w:type="spellEnd"/>
      <w:r w:rsidRPr="00AF3744">
        <w:rPr>
          <w:rFonts w:cstheme="minorHAnsi"/>
          <w:lang w:val="en-GB"/>
        </w:rPr>
        <w:t xml:space="preserve"> (59%). Approximately 10% of patients had received</w:t>
      </w:r>
    </w:p>
    <w:p w14:paraId="75D2E213" w14:textId="77777777" w:rsidR="008F2F78" w:rsidRPr="00AF3744" w:rsidRDefault="008F2F78" w:rsidP="008F2F78">
      <w:pPr>
        <w:autoSpaceDE w:val="0"/>
        <w:autoSpaceDN w:val="0"/>
        <w:adjustRightInd w:val="0"/>
        <w:spacing w:after="0" w:line="240" w:lineRule="auto"/>
        <w:rPr>
          <w:rFonts w:cstheme="minorHAnsi"/>
          <w:lang w:val="en-GB"/>
        </w:rPr>
      </w:pPr>
      <w:proofErr w:type="spellStart"/>
      <w:r w:rsidRPr="00AF3744">
        <w:rPr>
          <w:rFonts w:cstheme="minorHAnsi"/>
          <w:lang w:val="en-GB"/>
        </w:rPr>
        <w:t>pazopanib</w:t>
      </w:r>
      <w:proofErr w:type="spellEnd"/>
      <w:r w:rsidRPr="00AF3744">
        <w:rPr>
          <w:rFonts w:cstheme="minorHAnsi"/>
          <w:lang w:val="en-GB"/>
        </w:rPr>
        <w:t>.</w:t>
      </w:r>
    </w:p>
    <w:p w14:paraId="17C5D465" w14:textId="77777777" w:rsidR="00947077" w:rsidRDefault="00947077" w:rsidP="008F2F78">
      <w:pPr>
        <w:autoSpaceDE w:val="0"/>
        <w:autoSpaceDN w:val="0"/>
        <w:adjustRightInd w:val="0"/>
        <w:spacing w:after="0" w:line="240" w:lineRule="auto"/>
        <w:rPr>
          <w:rFonts w:cstheme="minorHAnsi"/>
          <w:lang w:val="en-GB"/>
        </w:rPr>
      </w:pPr>
    </w:p>
    <w:p w14:paraId="3637E89E" w14:textId="3673E931"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Trial ET743-SAR-3007 demonstrated a statistically significant improvement in PFS. An</w:t>
      </w:r>
    </w:p>
    <w:p w14:paraId="19E3B6AA"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exploratory analysis of independent radiology committee-determined PFS, in a subgroup</w:t>
      </w:r>
    </w:p>
    <w:p w14:paraId="4FE35340"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consisting of approximately 60% of the total population, provided similar results to the</w:t>
      </w:r>
    </w:p>
    <w:p w14:paraId="5EFDA0A1" w14:textId="77777777" w:rsidR="008F2F78" w:rsidRPr="00AF3744" w:rsidRDefault="008F2F78" w:rsidP="008F2F78">
      <w:pPr>
        <w:autoSpaceDE w:val="0"/>
        <w:autoSpaceDN w:val="0"/>
        <w:adjustRightInd w:val="0"/>
        <w:spacing w:after="0" w:line="240" w:lineRule="auto"/>
        <w:rPr>
          <w:rFonts w:cstheme="minorHAnsi"/>
          <w:lang w:val="en-GB"/>
        </w:rPr>
      </w:pPr>
      <w:r w:rsidRPr="00AF3744">
        <w:rPr>
          <w:rFonts w:cstheme="minorHAnsi"/>
          <w:lang w:val="en-GB"/>
        </w:rPr>
        <w:t>investigator-determined PFS. Efficacy results from Trial ET743-SAR-3007 are presented in the</w:t>
      </w:r>
    </w:p>
    <w:p w14:paraId="7DFE71A1" w14:textId="5184C57C" w:rsidR="008F2F78" w:rsidRPr="00B52BDB" w:rsidRDefault="008F2F78" w:rsidP="008F2F78">
      <w:pPr>
        <w:spacing w:line="240" w:lineRule="auto"/>
        <w:rPr>
          <w:rFonts w:cstheme="minorHAnsi"/>
          <w:lang w:val="en-GB"/>
        </w:rPr>
      </w:pPr>
      <w:r w:rsidRPr="00AF3744">
        <w:rPr>
          <w:rFonts w:cstheme="minorHAnsi"/>
          <w:color w:val="0432FF"/>
          <w:lang w:val="en-GB"/>
        </w:rPr>
        <w:t xml:space="preserve">table </w:t>
      </w:r>
      <w:r w:rsidR="00431246" w:rsidRPr="00B52BDB">
        <w:rPr>
          <w:rFonts w:cstheme="minorHAnsi"/>
          <w:color w:val="0432FF"/>
          <w:lang w:val="en-GB"/>
        </w:rPr>
        <w:t>5</w:t>
      </w:r>
      <w:r w:rsidR="00431246">
        <w:rPr>
          <w:rFonts w:cstheme="minorHAnsi"/>
          <w:lang w:val="en-GB"/>
        </w:rPr>
        <w:t xml:space="preserve"> </w:t>
      </w:r>
      <w:r w:rsidRPr="00B52BDB">
        <w:rPr>
          <w:rFonts w:cstheme="minorHAnsi"/>
          <w:lang w:val="en-GB"/>
        </w:rPr>
        <w:t>below.</w:t>
      </w:r>
    </w:p>
    <w:p w14:paraId="6D30A647" w14:textId="0CC6D5D1" w:rsidR="00840372" w:rsidRPr="00044227" w:rsidRDefault="00840372" w:rsidP="00840372">
      <w:pPr>
        <w:kinsoku w:val="0"/>
        <w:overflowPunct w:val="0"/>
        <w:autoSpaceDE w:val="0"/>
        <w:autoSpaceDN w:val="0"/>
        <w:adjustRightInd w:val="0"/>
        <w:spacing w:after="60" w:line="221" w:lineRule="exact"/>
        <w:ind w:left="228"/>
        <w:rPr>
          <w:rFonts w:ascii="Times New Roman" w:hAnsi="Times New Roman" w:cs="Times New Roman"/>
          <w:b/>
          <w:bCs/>
          <w:lang w:val="en-GB"/>
        </w:rPr>
      </w:pPr>
      <w:bookmarkStart w:id="2" w:name="Table†5:_Efficacy_Results_for_Trial_ET74"/>
      <w:bookmarkStart w:id="3" w:name="Efficacy_Endpoint"/>
      <w:bookmarkEnd w:id="2"/>
      <w:bookmarkEnd w:id="3"/>
      <w:r w:rsidRPr="00044227">
        <w:rPr>
          <w:rFonts w:ascii="Times New Roman" w:hAnsi="Times New Roman" w:cs="Times New Roman"/>
          <w:b/>
          <w:bCs/>
          <w:lang w:val="en-GB"/>
        </w:rPr>
        <w:t>Table 5: Efficacy Results for Trial ET743-SAR-3007</w:t>
      </w:r>
    </w:p>
    <w:tbl>
      <w:tblPr>
        <w:tblW w:w="0" w:type="auto"/>
        <w:tblInd w:w="115" w:type="dxa"/>
        <w:tblLayout w:type="fixed"/>
        <w:tblCellMar>
          <w:left w:w="0" w:type="dxa"/>
          <w:right w:w="0" w:type="dxa"/>
        </w:tblCellMar>
        <w:tblLook w:val="0000" w:firstRow="0" w:lastRow="0" w:firstColumn="0" w:lastColumn="0" w:noHBand="0" w:noVBand="0"/>
      </w:tblPr>
      <w:tblGrid>
        <w:gridCol w:w="3262"/>
        <w:gridCol w:w="2552"/>
        <w:gridCol w:w="142"/>
        <w:gridCol w:w="2866"/>
      </w:tblGrid>
      <w:tr w:rsidR="00840372" w:rsidRPr="005964A7" w14:paraId="352D4F9B" w14:textId="77777777">
        <w:trPr>
          <w:trHeight w:val="460"/>
        </w:trPr>
        <w:tc>
          <w:tcPr>
            <w:tcW w:w="3262" w:type="dxa"/>
            <w:tcBorders>
              <w:top w:val="single" w:sz="4" w:space="0" w:color="000000"/>
              <w:left w:val="single" w:sz="4" w:space="0" w:color="000000"/>
              <w:bottom w:val="single" w:sz="4" w:space="0" w:color="000000"/>
              <w:right w:val="single" w:sz="4" w:space="0" w:color="000000"/>
            </w:tcBorders>
          </w:tcPr>
          <w:p w14:paraId="7E67D999" w14:textId="77777777" w:rsidR="00840372" w:rsidRPr="005964A7" w:rsidRDefault="00840372" w:rsidP="00840372">
            <w:pPr>
              <w:kinsoku w:val="0"/>
              <w:overflowPunct w:val="0"/>
              <w:autoSpaceDE w:val="0"/>
              <w:autoSpaceDN w:val="0"/>
              <w:adjustRightInd w:val="0"/>
              <w:spacing w:before="60" w:after="0" w:line="240" w:lineRule="auto"/>
              <w:ind w:left="107"/>
              <w:rPr>
                <w:rFonts w:cstheme="minorHAnsi"/>
                <w:b/>
                <w:bCs/>
                <w:sz w:val="20"/>
                <w:szCs w:val="20"/>
                <w:lang w:val="en-GB"/>
              </w:rPr>
            </w:pPr>
            <w:r w:rsidRPr="005964A7">
              <w:rPr>
                <w:rFonts w:cstheme="minorHAnsi"/>
                <w:b/>
                <w:bCs/>
                <w:sz w:val="20"/>
                <w:szCs w:val="20"/>
                <w:lang w:val="en-GB"/>
              </w:rPr>
              <w:t>Efficacy Endpoint</w:t>
            </w:r>
          </w:p>
        </w:tc>
        <w:tc>
          <w:tcPr>
            <w:tcW w:w="2552" w:type="dxa"/>
            <w:tcBorders>
              <w:top w:val="single" w:sz="4" w:space="0" w:color="000000"/>
              <w:left w:val="single" w:sz="4" w:space="0" w:color="000000"/>
              <w:bottom w:val="single" w:sz="4" w:space="0" w:color="000000"/>
              <w:right w:val="single" w:sz="4" w:space="0" w:color="000000"/>
            </w:tcBorders>
          </w:tcPr>
          <w:p w14:paraId="7113C16F" w14:textId="77777777" w:rsidR="00840372" w:rsidRPr="005964A7" w:rsidRDefault="00840372" w:rsidP="00840372">
            <w:pPr>
              <w:kinsoku w:val="0"/>
              <w:overflowPunct w:val="0"/>
              <w:autoSpaceDE w:val="0"/>
              <w:autoSpaceDN w:val="0"/>
              <w:adjustRightInd w:val="0"/>
              <w:spacing w:before="4" w:after="0" w:line="228" w:lineRule="exact"/>
              <w:ind w:left="995" w:right="259" w:hanging="243"/>
              <w:rPr>
                <w:rFonts w:cstheme="minorHAnsi"/>
                <w:b/>
                <w:bCs/>
                <w:sz w:val="20"/>
                <w:szCs w:val="20"/>
                <w:lang w:val="en-GB"/>
              </w:rPr>
            </w:pPr>
            <w:r w:rsidRPr="005964A7">
              <w:rPr>
                <w:rFonts w:cstheme="minorHAnsi"/>
                <w:b/>
                <w:bCs/>
                <w:w w:val="95"/>
                <w:sz w:val="20"/>
                <w:szCs w:val="20"/>
                <w:lang w:val="en-GB"/>
              </w:rPr>
              <w:t xml:space="preserve">YONDELIS </w:t>
            </w:r>
            <w:r w:rsidRPr="005964A7">
              <w:rPr>
                <w:rFonts w:cstheme="minorHAnsi"/>
                <w:b/>
                <w:bCs/>
                <w:sz w:val="20"/>
                <w:szCs w:val="20"/>
                <w:lang w:val="en-GB"/>
              </w:rPr>
              <w:t>N=345</w:t>
            </w:r>
          </w:p>
        </w:tc>
        <w:tc>
          <w:tcPr>
            <w:tcW w:w="3008" w:type="dxa"/>
            <w:gridSpan w:val="2"/>
            <w:tcBorders>
              <w:top w:val="single" w:sz="4" w:space="0" w:color="000000"/>
              <w:left w:val="single" w:sz="4" w:space="0" w:color="000000"/>
              <w:bottom w:val="single" w:sz="4" w:space="0" w:color="000000"/>
              <w:right w:val="single" w:sz="4" w:space="0" w:color="000000"/>
            </w:tcBorders>
          </w:tcPr>
          <w:p w14:paraId="1DF0AD19" w14:textId="77777777" w:rsidR="00840372" w:rsidRPr="005964A7" w:rsidRDefault="00840372" w:rsidP="00840372">
            <w:pPr>
              <w:kinsoku w:val="0"/>
              <w:overflowPunct w:val="0"/>
              <w:autoSpaceDE w:val="0"/>
              <w:autoSpaceDN w:val="0"/>
              <w:adjustRightInd w:val="0"/>
              <w:spacing w:before="4" w:after="0" w:line="228" w:lineRule="exact"/>
              <w:ind w:left="1222" w:right="938" w:hanging="260"/>
              <w:rPr>
                <w:rFonts w:cstheme="minorHAnsi"/>
                <w:b/>
                <w:bCs/>
                <w:sz w:val="20"/>
                <w:szCs w:val="20"/>
                <w:lang w:val="en-GB"/>
              </w:rPr>
            </w:pPr>
            <w:proofErr w:type="spellStart"/>
            <w:r w:rsidRPr="005964A7">
              <w:rPr>
                <w:rFonts w:cstheme="minorHAnsi"/>
                <w:b/>
                <w:bCs/>
                <w:sz w:val="20"/>
                <w:szCs w:val="20"/>
                <w:lang w:val="en-GB"/>
              </w:rPr>
              <w:t>Dacarbazine</w:t>
            </w:r>
            <w:proofErr w:type="spellEnd"/>
            <w:r w:rsidRPr="005964A7">
              <w:rPr>
                <w:rFonts w:cstheme="minorHAnsi"/>
                <w:b/>
                <w:bCs/>
                <w:sz w:val="20"/>
                <w:szCs w:val="20"/>
                <w:lang w:val="en-GB"/>
              </w:rPr>
              <w:t xml:space="preserve"> N=173</w:t>
            </w:r>
          </w:p>
        </w:tc>
      </w:tr>
      <w:tr w:rsidR="00840372" w:rsidRPr="005964A7" w14:paraId="74B8C93E" w14:textId="77777777">
        <w:trPr>
          <w:trHeight w:val="230"/>
        </w:trPr>
        <w:tc>
          <w:tcPr>
            <w:tcW w:w="8822" w:type="dxa"/>
            <w:gridSpan w:val="4"/>
            <w:tcBorders>
              <w:top w:val="single" w:sz="4" w:space="0" w:color="000000"/>
              <w:left w:val="single" w:sz="4" w:space="0" w:color="000000"/>
              <w:bottom w:val="single" w:sz="4" w:space="0" w:color="000000"/>
              <w:right w:val="single" w:sz="4" w:space="0" w:color="000000"/>
            </w:tcBorders>
          </w:tcPr>
          <w:p w14:paraId="2653B7A4" w14:textId="77777777" w:rsidR="00840372" w:rsidRPr="005964A7" w:rsidRDefault="00840372" w:rsidP="00840372">
            <w:pPr>
              <w:kinsoku w:val="0"/>
              <w:overflowPunct w:val="0"/>
              <w:autoSpaceDE w:val="0"/>
              <w:autoSpaceDN w:val="0"/>
              <w:adjustRightInd w:val="0"/>
              <w:spacing w:after="0" w:line="210" w:lineRule="exact"/>
              <w:ind w:left="107"/>
              <w:rPr>
                <w:rFonts w:cstheme="minorHAnsi"/>
                <w:b/>
                <w:bCs/>
                <w:sz w:val="20"/>
                <w:szCs w:val="20"/>
                <w:lang w:val="en-GB"/>
              </w:rPr>
            </w:pPr>
            <w:r w:rsidRPr="005964A7">
              <w:rPr>
                <w:rFonts w:cstheme="minorHAnsi"/>
                <w:b/>
                <w:bCs/>
                <w:sz w:val="20"/>
                <w:szCs w:val="20"/>
                <w:lang w:val="en-GB"/>
              </w:rPr>
              <w:t>Progression-free survival</w:t>
            </w:r>
          </w:p>
        </w:tc>
      </w:tr>
      <w:tr w:rsidR="00840372" w:rsidRPr="005964A7" w14:paraId="32DED534"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700D5857" w14:textId="77777777" w:rsidR="00840372" w:rsidRPr="005964A7" w:rsidRDefault="00840372" w:rsidP="00840372">
            <w:pPr>
              <w:kinsoku w:val="0"/>
              <w:overflowPunct w:val="0"/>
              <w:autoSpaceDE w:val="0"/>
              <w:autoSpaceDN w:val="0"/>
              <w:adjustRightInd w:val="0"/>
              <w:spacing w:after="0" w:line="210" w:lineRule="exact"/>
              <w:ind w:left="158"/>
              <w:rPr>
                <w:rFonts w:cstheme="minorHAnsi"/>
                <w:sz w:val="20"/>
                <w:szCs w:val="20"/>
                <w:lang w:val="en-GB"/>
              </w:rPr>
            </w:pPr>
            <w:r w:rsidRPr="005964A7">
              <w:rPr>
                <w:rFonts w:cstheme="minorHAnsi"/>
                <w:sz w:val="20"/>
                <w:szCs w:val="20"/>
                <w:lang w:val="en-GB"/>
              </w:rPr>
              <w:t>PFS Events, n (%)</w:t>
            </w:r>
          </w:p>
        </w:tc>
        <w:tc>
          <w:tcPr>
            <w:tcW w:w="2552" w:type="dxa"/>
            <w:tcBorders>
              <w:top w:val="single" w:sz="4" w:space="0" w:color="000000"/>
              <w:left w:val="single" w:sz="4" w:space="0" w:color="000000"/>
              <w:bottom w:val="single" w:sz="4" w:space="0" w:color="000000"/>
              <w:right w:val="single" w:sz="4" w:space="0" w:color="000000"/>
            </w:tcBorders>
          </w:tcPr>
          <w:p w14:paraId="4B02F585" w14:textId="77777777" w:rsidR="00840372" w:rsidRPr="005964A7" w:rsidRDefault="00840372" w:rsidP="00840372">
            <w:pPr>
              <w:kinsoku w:val="0"/>
              <w:overflowPunct w:val="0"/>
              <w:autoSpaceDE w:val="0"/>
              <w:autoSpaceDN w:val="0"/>
              <w:adjustRightInd w:val="0"/>
              <w:spacing w:after="0" w:line="210" w:lineRule="exact"/>
              <w:ind w:left="736" w:right="729"/>
              <w:jc w:val="center"/>
              <w:rPr>
                <w:rFonts w:cstheme="minorHAnsi"/>
                <w:sz w:val="20"/>
                <w:szCs w:val="20"/>
                <w:lang w:val="en-GB"/>
              </w:rPr>
            </w:pPr>
            <w:r w:rsidRPr="005964A7">
              <w:rPr>
                <w:rFonts w:cstheme="minorHAnsi"/>
                <w:sz w:val="20"/>
                <w:szCs w:val="20"/>
                <w:lang w:val="en-GB"/>
              </w:rPr>
              <w:t>217 (63%)</w:t>
            </w:r>
          </w:p>
        </w:tc>
        <w:tc>
          <w:tcPr>
            <w:tcW w:w="3008" w:type="dxa"/>
            <w:gridSpan w:val="2"/>
            <w:tcBorders>
              <w:top w:val="single" w:sz="4" w:space="0" w:color="000000"/>
              <w:left w:val="single" w:sz="4" w:space="0" w:color="000000"/>
              <w:bottom w:val="single" w:sz="4" w:space="0" w:color="000000"/>
              <w:right w:val="single" w:sz="4" w:space="0" w:color="000000"/>
            </w:tcBorders>
          </w:tcPr>
          <w:p w14:paraId="4B91C928" w14:textId="77777777" w:rsidR="00840372" w:rsidRPr="005964A7" w:rsidRDefault="00840372" w:rsidP="00840372">
            <w:pPr>
              <w:kinsoku w:val="0"/>
              <w:overflowPunct w:val="0"/>
              <w:autoSpaceDE w:val="0"/>
              <w:autoSpaceDN w:val="0"/>
              <w:adjustRightInd w:val="0"/>
              <w:spacing w:after="0" w:line="210" w:lineRule="exact"/>
              <w:ind w:left="1057" w:right="1051"/>
              <w:jc w:val="center"/>
              <w:rPr>
                <w:rFonts w:cstheme="minorHAnsi"/>
                <w:sz w:val="20"/>
                <w:szCs w:val="20"/>
                <w:lang w:val="en-GB"/>
              </w:rPr>
            </w:pPr>
            <w:r w:rsidRPr="005964A7">
              <w:rPr>
                <w:rFonts w:cstheme="minorHAnsi"/>
                <w:sz w:val="20"/>
                <w:szCs w:val="20"/>
                <w:lang w:val="en-GB"/>
              </w:rPr>
              <w:t>112 (65%)</w:t>
            </w:r>
          </w:p>
        </w:tc>
      </w:tr>
      <w:tr w:rsidR="00840372" w:rsidRPr="005964A7" w14:paraId="443C8F09"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29A60548" w14:textId="77777777" w:rsidR="00840372" w:rsidRPr="005964A7" w:rsidRDefault="00840372" w:rsidP="00840372">
            <w:pPr>
              <w:kinsoku w:val="0"/>
              <w:overflowPunct w:val="0"/>
              <w:autoSpaceDE w:val="0"/>
              <w:autoSpaceDN w:val="0"/>
              <w:adjustRightInd w:val="0"/>
              <w:spacing w:after="0" w:line="210" w:lineRule="exact"/>
              <w:ind w:left="395"/>
              <w:rPr>
                <w:rFonts w:cstheme="minorHAnsi"/>
                <w:sz w:val="20"/>
                <w:szCs w:val="20"/>
                <w:lang w:val="en-GB"/>
              </w:rPr>
            </w:pPr>
            <w:r w:rsidRPr="005964A7">
              <w:rPr>
                <w:rFonts w:cstheme="minorHAnsi"/>
                <w:sz w:val="20"/>
                <w:szCs w:val="20"/>
                <w:lang w:val="en-GB"/>
              </w:rPr>
              <w:t>Disease progression</w:t>
            </w:r>
          </w:p>
        </w:tc>
        <w:tc>
          <w:tcPr>
            <w:tcW w:w="2552" w:type="dxa"/>
            <w:tcBorders>
              <w:top w:val="single" w:sz="4" w:space="0" w:color="000000"/>
              <w:left w:val="single" w:sz="4" w:space="0" w:color="000000"/>
              <w:bottom w:val="single" w:sz="4" w:space="0" w:color="000000"/>
              <w:right w:val="single" w:sz="4" w:space="0" w:color="000000"/>
            </w:tcBorders>
          </w:tcPr>
          <w:p w14:paraId="61256961" w14:textId="77777777" w:rsidR="00840372" w:rsidRPr="005964A7" w:rsidRDefault="00840372" w:rsidP="00840372">
            <w:pPr>
              <w:kinsoku w:val="0"/>
              <w:overflowPunct w:val="0"/>
              <w:autoSpaceDE w:val="0"/>
              <w:autoSpaceDN w:val="0"/>
              <w:adjustRightInd w:val="0"/>
              <w:spacing w:after="0" w:line="210" w:lineRule="exact"/>
              <w:ind w:left="738" w:right="728"/>
              <w:jc w:val="center"/>
              <w:rPr>
                <w:rFonts w:cstheme="minorHAnsi"/>
                <w:sz w:val="20"/>
                <w:szCs w:val="20"/>
                <w:lang w:val="en-GB"/>
              </w:rPr>
            </w:pPr>
            <w:r w:rsidRPr="005964A7">
              <w:rPr>
                <w:rFonts w:cstheme="minorHAnsi"/>
                <w:sz w:val="20"/>
                <w:szCs w:val="20"/>
                <w:lang w:val="en-GB"/>
              </w:rPr>
              <w:t>204</w:t>
            </w:r>
          </w:p>
        </w:tc>
        <w:tc>
          <w:tcPr>
            <w:tcW w:w="3008" w:type="dxa"/>
            <w:gridSpan w:val="2"/>
            <w:tcBorders>
              <w:top w:val="single" w:sz="4" w:space="0" w:color="000000"/>
              <w:left w:val="single" w:sz="4" w:space="0" w:color="000000"/>
              <w:bottom w:val="single" w:sz="4" w:space="0" w:color="000000"/>
              <w:right w:val="single" w:sz="4" w:space="0" w:color="000000"/>
            </w:tcBorders>
          </w:tcPr>
          <w:p w14:paraId="7348A05A" w14:textId="77777777" w:rsidR="00840372" w:rsidRPr="005964A7" w:rsidRDefault="00840372" w:rsidP="00840372">
            <w:pPr>
              <w:kinsoku w:val="0"/>
              <w:overflowPunct w:val="0"/>
              <w:autoSpaceDE w:val="0"/>
              <w:autoSpaceDN w:val="0"/>
              <w:adjustRightInd w:val="0"/>
              <w:spacing w:after="0" w:line="210" w:lineRule="exact"/>
              <w:ind w:left="1057" w:right="1049"/>
              <w:jc w:val="center"/>
              <w:rPr>
                <w:rFonts w:cstheme="minorHAnsi"/>
                <w:sz w:val="20"/>
                <w:szCs w:val="20"/>
                <w:lang w:val="en-GB"/>
              </w:rPr>
            </w:pPr>
            <w:r w:rsidRPr="005964A7">
              <w:rPr>
                <w:rFonts w:cstheme="minorHAnsi"/>
                <w:sz w:val="20"/>
                <w:szCs w:val="20"/>
                <w:lang w:val="en-GB"/>
              </w:rPr>
              <w:t>109</w:t>
            </w:r>
          </w:p>
        </w:tc>
      </w:tr>
      <w:tr w:rsidR="00840372" w:rsidRPr="005964A7" w14:paraId="150DED9E"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62482D4D" w14:textId="77777777" w:rsidR="00840372" w:rsidRPr="005964A7" w:rsidRDefault="00840372" w:rsidP="00840372">
            <w:pPr>
              <w:kinsoku w:val="0"/>
              <w:overflowPunct w:val="0"/>
              <w:autoSpaceDE w:val="0"/>
              <w:autoSpaceDN w:val="0"/>
              <w:adjustRightInd w:val="0"/>
              <w:spacing w:after="0" w:line="210" w:lineRule="exact"/>
              <w:ind w:left="395"/>
              <w:rPr>
                <w:rFonts w:cstheme="minorHAnsi"/>
                <w:sz w:val="20"/>
                <w:szCs w:val="20"/>
                <w:lang w:val="en-GB"/>
              </w:rPr>
            </w:pPr>
            <w:r w:rsidRPr="005964A7">
              <w:rPr>
                <w:rFonts w:cstheme="minorHAnsi"/>
                <w:sz w:val="20"/>
                <w:szCs w:val="20"/>
                <w:lang w:val="en-GB"/>
              </w:rPr>
              <w:t>Death</w:t>
            </w:r>
          </w:p>
        </w:tc>
        <w:tc>
          <w:tcPr>
            <w:tcW w:w="2552" w:type="dxa"/>
            <w:tcBorders>
              <w:top w:val="single" w:sz="4" w:space="0" w:color="000000"/>
              <w:left w:val="single" w:sz="4" w:space="0" w:color="000000"/>
              <w:bottom w:val="single" w:sz="4" w:space="0" w:color="000000"/>
              <w:right w:val="single" w:sz="4" w:space="0" w:color="000000"/>
            </w:tcBorders>
          </w:tcPr>
          <w:p w14:paraId="05FEC56F" w14:textId="77777777" w:rsidR="00840372" w:rsidRPr="005964A7" w:rsidRDefault="00840372" w:rsidP="00840372">
            <w:pPr>
              <w:kinsoku w:val="0"/>
              <w:overflowPunct w:val="0"/>
              <w:autoSpaceDE w:val="0"/>
              <w:autoSpaceDN w:val="0"/>
              <w:adjustRightInd w:val="0"/>
              <w:spacing w:after="0" w:line="210" w:lineRule="exact"/>
              <w:ind w:left="738" w:right="728"/>
              <w:jc w:val="center"/>
              <w:rPr>
                <w:rFonts w:cstheme="minorHAnsi"/>
                <w:sz w:val="20"/>
                <w:szCs w:val="20"/>
                <w:lang w:val="en-GB"/>
              </w:rPr>
            </w:pPr>
            <w:r w:rsidRPr="005964A7">
              <w:rPr>
                <w:rFonts w:cstheme="minorHAnsi"/>
                <w:sz w:val="20"/>
                <w:szCs w:val="20"/>
                <w:lang w:val="en-GB"/>
              </w:rPr>
              <w:t>13</w:t>
            </w:r>
          </w:p>
        </w:tc>
        <w:tc>
          <w:tcPr>
            <w:tcW w:w="3008" w:type="dxa"/>
            <w:gridSpan w:val="2"/>
            <w:tcBorders>
              <w:top w:val="single" w:sz="4" w:space="0" w:color="000000"/>
              <w:left w:val="single" w:sz="4" w:space="0" w:color="000000"/>
              <w:bottom w:val="single" w:sz="4" w:space="0" w:color="000000"/>
              <w:right w:val="single" w:sz="4" w:space="0" w:color="000000"/>
            </w:tcBorders>
          </w:tcPr>
          <w:p w14:paraId="19E8DA5D" w14:textId="77777777" w:rsidR="00840372" w:rsidRPr="005964A7" w:rsidRDefault="00840372" w:rsidP="00840372">
            <w:pPr>
              <w:kinsoku w:val="0"/>
              <w:overflowPunct w:val="0"/>
              <w:autoSpaceDE w:val="0"/>
              <w:autoSpaceDN w:val="0"/>
              <w:adjustRightInd w:val="0"/>
              <w:spacing w:after="0" w:line="210" w:lineRule="exact"/>
              <w:ind w:left="2"/>
              <w:jc w:val="center"/>
              <w:rPr>
                <w:rFonts w:cstheme="minorHAnsi"/>
                <w:w w:val="99"/>
                <w:sz w:val="20"/>
                <w:szCs w:val="20"/>
                <w:lang w:val="en-GB"/>
              </w:rPr>
            </w:pPr>
            <w:r w:rsidRPr="005964A7">
              <w:rPr>
                <w:rFonts w:cstheme="minorHAnsi"/>
                <w:w w:val="99"/>
                <w:sz w:val="20"/>
                <w:szCs w:val="20"/>
                <w:lang w:val="en-GB"/>
              </w:rPr>
              <w:t>3</w:t>
            </w:r>
          </w:p>
        </w:tc>
      </w:tr>
      <w:tr w:rsidR="00840372" w:rsidRPr="005964A7" w14:paraId="5D7ECA65"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526172FB" w14:textId="77777777" w:rsidR="00840372" w:rsidRPr="005964A7" w:rsidRDefault="00840372" w:rsidP="00840372">
            <w:pPr>
              <w:kinsoku w:val="0"/>
              <w:overflowPunct w:val="0"/>
              <w:autoSpaceDE w:val="0"/>
              <w:autoSpaceDN w:val="0"/>
              <w:adjustRightInd w:val="0"/>
              <w:spacing w:after="0" w:line="210" w:lineRule="exact"/>
              <w:ind w:left="158"/>
              <w:rPr>
                <w:rFonts w:cstheme="minorHAnsi"/>
                <w:sz w:val="20"/>
                <w:szCs w:val="20"/>
                <w:lang w:val="en-GB"/>
              </w:rPr>
            </w:pPr>
            <w:r w:rsidRPr="005964A7">
              <w:rPr>
                <w:rFonts w:cstheme="minorHAnsi"/>
                <w:sz w:val="20"/>
                <w:szCs w:val="20"/>
                <w:lang w:val="en-GB"/>
              </w:rPr>
              <w:t>Median (95% CI) (months)</w:t>
            </w:r>
          </w:p>
        </w:tc>
        <w:tc>
          <w:tcPr>
            <w:tcW w:w="2552" w:type="dxa"/>
            <w:tcBorders>
              <w:top w:val="single" w:sz="4" w:space="0" w:color="000000"/>
              <w:left w:val="single" w:sz="4" w:space="0" w:color="000000"/>
              <w:bottom w:val="single" w:sz="4" w:space="0" w:color="000000"/>
              <w:right w:val="single" w:sz="4" w:space="0" w:color="000000"/>
            </w:tcBorders>
          </w:tcPr>
          <w:p w14:paraId="7F84E3F1" w14:textId="77777777" w:rsidR="00840372" w:rsidRPr="005964A7" w:rsidRDefault="00840372" w:rsidP="00840372">
            <w:pPr>
              <w:kinsoku w:val="0"/>
              <w:overflowPunct w:val="0"/>
              <w:autoSpaceDE w:val="0"/>
              <w:autoSpaceDN w:val="0"/>
              <w:adjustRightInd w:val="0"/>
              <w:spacing w:after="0" w:line="210" w:lineRule="exact"/>
              <w:ind w:left="738" w:right="729"/>
              <w:jc w:val="center"/>
              <w:rPr>
                <w:rFonts w:cstheme="minorHAnsi"/>
                <w:sz w:val="20"/>
                <w:szCs w:val="20"/>
                <w:lang w:val="en-GB"/>
              </w:rPr>
            </w:pPr>
            <w:r w:rsidRPr="005964A7">
              <w:rPr>
                <w:rFonts w:cstheme="minorHAnsi"/>
                <w:sz w:val="20"/>
                <w:szCs w:val="20"/>
                <w:lang w:val="en-GB"/>
              </w:rPr>
              <w:t>4.2 (3.0, 4.8)</w:t>
            </w:r>
          </w:p>
        </w:tc>
        <w:tc>
          <w:tcPr>
            <w:tcW w:w="3008" w:type="dxa"/>
            <w:gridSpan w:val="2"/>
            <w:tcBorders>
              <w:top w:val="single" w:sz="4" w:space="0" w:color="000000"/>
              <w:left w:val="single" w:sz="4" w:space="0" w:color="000000"/>
              <w:bottom w:val="single" w:sz="4" w:space="0" w:color="000000"/>
              <w:right w:val="single" w:sz="4" w:space="0" w:color="000000"/>
            </w:tcBorders>
          </w:tcPr>
          <w:p w14:paraId="28298FCF" w14:textId="77777777" w:rsidR="00840372" w:rsidRPr="005964A7" w:rsidRDefault="00840372" w:rsidP="00840372">
            <w:pPr>
              <w:kinsoku w:val="0"/>
              <w:overflowPunct w:val="0"/>
              <w:autoSpaceDE w:val="0"/>
              <w:autoSpaceDN w:val="0"/>
              <w:adjustRightInd w:val="0"/>
              <w:spacing w:after="0" w:line="210" w:lineRule="exact"/>
              <w:ind w:left="985"/>
              <w:rPr>
                <w:rFonts w:cstheme="minorHAnsi"/>
                <w:sz w:val="20"/>
                <w:szCs w:val="20"/>
                <w:lang w:val="en-GB"/>
              </w:rPr>
            </w:pPr>
            <w:r w:rsidRPr="005964A7">
              <w:rPr>
                <w:rFonts w:cstheme="minorHAnsi"/>
                <w:sz w:val="20"/>
                <w:szCs w:val="20"/>
                <w:lang w:val="en-GB"/>
              </w:rPr>
              <w:t>1.5 (1.5, 2.6)</w:t>
            </w:r>
          </w:p>
        </w:tc>
      </w:tr>
      <w:tr w:rsidR="00840372" w:rsidRPr="005964A7" w14:paraId="0395311E"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6427687E" w14:textId="77777777" w:rsidR="00840372" w:rsidRPr="005964A7" w:rsidRDefault="00840372" w:rsidP="00840372">
            <w:pPr>
              <w:kinsoku w:val="0"/>
              <w:overflowPunct w:val="0"/>
              <w:autoSpaceDE w:val="0"/>
              <w:autoSpaceDN w:val="0"/>
              <w:adjustRightInd w:val="0"/>
              <w:spacing w:after="0" w:line="210" w:lineRule="exact"/>
              <w:ind w:left="158"/>
              <w:rPr>
                <w:rFonts w:cstheme="minorHAnsi"/>
                <w:sz w:val="20"/>
                <w:szCs w:val="20"/>
                <w:vertAlign w:val="superscript"/>
                <w:lang w:val="en-GB"/>
              </w:rPr>
            </w:pPr>
            <w:r w:rsidRPr="005964A7">
              <w:rPr>
                <w:rFonts w:cstheme="minorHAnsi"/>
                <w:sz w:val="20"/>
                <w:szCs w:val="20"/>
                <w:lang w:val="en-GB"/>
              </w:rPr>
              <w:t>HR (95% CI)</w:t>
            </w:r>
            <w:r w:rsidRPr="005964A7">
              <w:rPr>
                <w:rFonts w:cstheme="minorHAnsi"/>
                <w:sz w:val="20"/>
                <w:szCs w:val="20"/>
                <w:vertAlign w:val="superscript"/>
                <w:lang w:val="en-GB"/>
              </w:rPr>
              <w:t>a</w:t>
            </w:r>
          </w:p>
        </w:tc>
        <w:tc>
          <w:tcPr>
            <w:tcW w:w="5560" w:type="dxa"/>
            <w:gridSpan w:val="3"/>
            <w:tcBorders>
              <w:top w:val="single" w:sz="4" w:space="0" w:color="000000"/>
              <w:left w:val="single" w:sz="4" w:space="0" w:color="000000"/>
              <w:bottom w:val="single" w:sz="4" w:space="0" w:color="000000"/>
              <w:right w:val="single" w:sz="4" w:space="0" w:color="000000"/>
            </w:tcBorders>
          </w:tcPr>
          <w:p w14:paraId="56E0A7E0" w14:textId="77777777" w:rsidR="00840372" w:rsidRPr="005964A7" w:rsidRDefault="00840372" w:rsidP="00840372">
            <w:pPr>
              <w:kinsoku w:val="0"/>
              <w:overflowPunct w:val="0"/>
              <w:autoSpaceDE w:val="0"/>
              <w:autoSpaceDN w:val="0"/>
              <w:adjustRightInd w:val="0"/>
              <w:spacing w:after="0" w:line="210" w:lineRule="exact"/>
              <w:ind w:left="2091" w:right="2083"/>
              <w:jc w:val="center"/>
              <w:rPr>
                <w:rFonts w:cstheme="minorHAnsi"/>
                <w:sz w:val="20"/>
                <w:szCs w:val="20"/>
                <w:lang w:val="en-GB"/>
              </w:rPr>
            </w:pPr>
            <w:r w:rsidRPr="005964A7">
              <w:rPr>
                <w:rFonts w:cstheme="minorHAnsi"/>
                <w:sz w:val="20"/>
                <w:szCs w:val="20"/>
                <w:lang w:val="en-GB"/>
              </w:rPr>
              <w:t>0.55 (0.44, 0.70)</w:t>
            </w:r>
          </w:p>
        </w:tc>
      </w:tr>
      <w:tr w:rsidR="00840372" w:rsidRPr="005964A7" w14:paraId="64CB1B77"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0D89FF3A" w14:textId="77777777" w:rsidR="00840372" w:rsidRPr="005964A7" w:rsidRDefault="00840372" w:rsidP="00840372">
            <w:pPr>
              <w:kinsoku w:val="0"/>
              <w:overflowPunct w:val="0"/>
              <w:autoSpaceDE w:val="0"/>
              <w:autoSpaceDN w:val="0"/>
              <w:adjustRightInd w:val="0"/>
              <w:spacing w:after="0" w:line="210" w:lineRule="exact"/>
              <w:ind w:left="107"/>
              <w:rPr>
                <w:rFonts w:cstheme="minorHAnsi"/>
                <w:sz w:val="20"/>
                <w:szCs w:val="20"/>
                <w:vertAlign w:val="superscript"/>
                <w:lang w:val="en-GB"/>
              </w:rPr>
            </w:pPr>
            <w:r w:rsidRPr="005964A7">
              <w:rPr>
                <w:rFonts w:cstheme="minorHAnsi"/>
                <w:sz w:val="20"/>
                <w:szCs w:val="20"/>
                <w:lang w:val="en-GB"/>
              </w:rPr>
              <w:t>p-</w:t>
            </w:r>
            <w:proofErr w:type="spellStart"/>
            <w:r w:rsidRPr="005964A7">
              <w:rPr>
                <w:rFonts w:cstheme="minorHAnsi"/>
                <w:sz w:val="20"/>
                <w:szCs w:val="20"/>
                <w:lang w:val="en-GB"/>
              </w:rPr>
              <w:t>value</w:t>
            </w:r>
            <w:r w:rsidRPr="005964A7">
              <w:rPr>
                <w:rFonts w:cstheme="minorHAnsi"/>
                <w:sz w:val="20"/>
                <w:szCs w:val="20"/>
                <w:vertAlign w:val="superscript"/>
                <w:lang w:val="en-GB"/>
              </w:rPr>
              <w:t>b</w:t>
            </w:r>
            <w:proofErr w:type="spellEnd"/>
          </w:p>
        </w:tc>
        <w:tc>
          <w:tcPr>
            <w:tcW w:w="5560" w:type="dxa"/>
            <w:gridSpan w:val="3"/>
            <w:tcBorders>
              <w:top w:val="single" w:sz="4" w:space="0" w:color="000000"/>
              <w:left w:val="single" w:sz="4" w:space="0" w:color="000000"/>
              <w:bottom w:val="single" w:sz="4" w:space="0" w:color="000000"/>
              <w:right w:val="single" w:sz="4" w:space="0" w:color="000000"/>
            </w:tcBorders>
          </w:tcPr>
          <w:p w14:paraId="021117CF" w14:textId="77777777" w:rsidR="00840372" w:rsidRPr="005964A7" w:rsidRDefault="00840372" w:rsidP="00840372">
            <w:pPr>
              <w:kinsoku w:val="0"/>
              <w:overflowPunct w:val="0"/>
              <w:autoSpaceDE w:val="0"/>
              <w:autoSpaceDN w:val="0"/>
              <w:adjustRightInd w:val="0"/>
              <w:spacing w:after="0" w:line="210" w:lineRule="exact"/>
              <w:ind w:left="2089" w:right="2083"/>
              <w:jc w:val="center"/>
              <w:rPr>
                <w:rFonts w:cstheme="minorHAnsi"/>
                <w:sz w:val="20"/>
                <w:szCs w:val="20"/>
                <w:lang w:val="en-GB"/>
              </w:rPr>
            </w:pPr>
            <w:r w:rsidRPr="005964A7">
              <w:rPr>
                <w:rFonts w:cstheme="minorHAnsi"/>
                <w:sz w:val="20"/>
                <w:szCs w:val="20"/>
                <w:lang w:val="en-GB"/>
              </w:rPr>
              <w:t>&lt;0.001</w:t>
            </w:r>
          </w:p>
        </w:tc>
      </w:tr>
      <w:tr w:rsidR="00840372" w:rsidRPr="005964A7" w14:paraId="238DD35E"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5EE99812" w14:textId="77777777" w:rsidR="00840372" w:rsidRPr="005964A7" w:rsidRDefault="00840372" w:rsidP="00840372">
            <w:pPr>
              <w:kinsoku w:val="0"/>
              <w:overflowPunct w:val="0"/>
              <w:autoSpaceDE w:val="0"/>
              <w:autoSpaceDN w:val="0"/>
              <w:adjustRightInd w:val="0"/>
              <w:spacing w:after="0" w:line="210" w:lineRule="exact"/>
              <w:ind w:left="107"/>
              <w:rPr>
                <w:rFonts w:cstheme="minorHAnsi"/>
                <w:b/>
                <w:bCs/>
                <w:sz w:val="20"/>
                <w:szCs w:val="20"/>
                <w:vertAlign w:val="superscript"/>
                <w:lang w:val="en-GB"/>
              </w:rPr>
            </w:pPr>
            <w:r w:rsidRPr="005964A7">
              <w:rPr>
                <w:rFonts w:cstheme="minorHAnsi"/>
                <w:b/>
                <w:bCs/>
                <w:sz w:val="20"/>
                <w:szCs w:val="20"/>
                <w:lang w:val="en-GB"/>
              </w:rPr>
              <w:t xml:space="preserve">Overall </w:t>
            </w:r>
            <w:proofErr w:type="spellStart"/>
            <w:r w:rsidRPr="005964A7">
              <w:rPr>
                <w:rFonts w:cstheme="minorHAnsi"/>
                <w:b/>
                <w:bCs/>
                <w:sz w:val="20"/>
                <w:szCs w:val="20"/>
                <w:lang w:val="en-GB"/>
              </w:rPr>
              <w:t>survival</w:t>
            </w:r>
            <w:r w:rsidRPr="005964A7">
              <w:rPr>
                <w:rFonts w:cstheme="minorHAnsi"/>
                <w:b/>
                <w:bCs/>
                <w:sz w:val="20"/>
                <w:szCs w:val="20"/>
                <w:vertAlign w:val="superscript"/>
                <w:lang w:val="en-GB"/>
              </w:rPr>
              <w:t>c</w:t>
            </w:r>
            <w:proofErr w:type="spellEnd"/>
          </w:p>
        </w:tc>
        <w:tc>
          <w:tcPr>
            <w:tcW w:w="5560" w:type="dxa"/>
            <w:gridSpan w:val="3"/>
            <w:tcBorders>
              <w:top w:val="single" w:sz="4" w:space="0" w:color="000000"/>
              <w:left w:val="single" w:sz="4" w:space="0" w:color="000000"/>
              <w:bottom w:val="single" w:sz="4" w:space="0" w:color="000000"/>
              <w:right w:val="single" w:sz="4" w:space="0" w:color="000000"/>
            </w:tcBorders>
          </w:tcPr>
          <w:p w14:paraId="427BD457" w14:textId="77777777" w:rsidR="00840372" w:rsidRPr="005964A7" w:rsidRDefault="00840372" w:rsidP="00840372">
            <w:pPr>
              <w:kinsoku w:val="0"/>
              <w:overflowPunct w:val="0"/>
              <w:autoSpaceDE w:val="0"/>
              <w:autoSpaceDN w:val="0"/>
              <w:adjustRightInd w:val="0"/>
              <w:spacing w:after="0" w:line="240" w:lineRule="auto"/>
              <w:rPr>
                <w:rFonts w:cstheme="minorHAnsi"/>
                <w:sz w:val="16"/>
                <w:szCs w:val="16"/>
                <w:lang w:val="en-GB"/>
              </w:rPr>
            </w:pPr>
          </w:p>
        </w:tc>
      </w:tr>
      <w:tr w:rsidR="00840372" w:rsidRPr="005964A7" w14:paraId="262BA9E1"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12F274C0" w14:textId="77777777" w:rsidR="00840372" w:rsidRPr="005964A7" w:rsidRDefault="00840372" w:rsidP="00840372">
            <w:pPr>
              <w:kinsoku w:val="0"/>
              <w:overflowPunct w:val="0"/>
              <w:autoSpaceDE w:val="0"/>
              <w:autoSpaceDN w:val="0"/>
              <w:adjustRightInd w:val="0"/>
              <w:spacing w:after="0" w:line="210" w:lineRule="exact"/>
              <w:ind w:left="158"/>
              <w:rPr>
                <w:rFonts w:cstheme="minorHAnsi"/>
                <w:sz w:val="20"/>
                <w:szCs w:val="20"/>
                <w:lang w:val="en-GB"/>
              </w:rPr>
            </w:pPr>
            <w:r w:rsidRPr="005964A7">
              <w:rPr>
                <w:rFonts w:cstheme="minorHAnsi"/>
                <w:sz w:val="20"/>
                <w:szCs w:val="20"/>
                <w:lang w:val="en-GB"/>
              </w:rPr>
              <w:t>Events, n (%)</w:t>
            </w:r>
          </w:p>
        </w:tc>
        <w:tc>
          <w:tcPr>
            <w:tcW w:w="2694" w:type="dxa"/>
            <w:gridSpan w:val="2"/>
            <w:tcBorders>
              <w:top w:val="single" w:sz="4" w:space="0" w:color="000000"/>
              <w:left w:val="single" w:sz="4" w:space="0" w:color="000000"/>
              <w:bottom w:val="single" w:sz="4" w:space="0" w:color="000000"/>
              <w:right w:val="single" w:sz="4" w:space="0" w:color="000000"/>
            </w:tcBorders>
          </w:tcPr>
          <w:p w14:paraId="7A7594AE" w14:textId="77777777" w:rsidR="00840372" w:rsidRPr="005964A7" w:rsidRDefault="00840372" w:rsidP="00840372">
            <w:pPr>
              <w:kinsoku w:val="0"/>
              <w:overflowPunct w:val="0"/>
              <w:autoSpaceDE w:val="0"/>
              <w:autoSpaceDN w:val="0"/>
              <w:adjustRightInd w:val="0"/>
              <w:spacing w:after="0" w:line="210" w:lineRule="exact"/>
              <w:ind w:left="901" w:right="893"/>
              <w:jc w:val="center"/>
              <w:rPr>
                <w:rFonts w:cstheme="minorHAnsi"/>
                <w:sz w:val="20"/>
                <w:szCs w:val="20"/>
                <w:lang w:val="en-GB"/>
              </w:rPr>
            </w:pPr>
            <w:r w:rsidRPr="005964A7">
              <w:rPr>
                <w:rFonts w:cstheme="minorHAnsi"/>
                <w:sz w:val="20"/>
                <w:szCs w:val="20"/>
                <w:lang w:val="en-GB"/>
              </w:rPr>
              <w:t>258 (67%)</w:t>
            </w:r>
          </w:p>
        </w:tc>
        <w:tc>
          <w:tcPr>
            <w:tcW w:w="2866" w:type="dxa"/>
            <w:tcBorders>
              <w:top w:val="single" w:sz="4" w:space="0" w:color="000000"/>
              <w:left w:val="single" w:sz="4" w:space="0" w:color="000000"/>
              <w:bottom w:val="single" w:sz="4" w:space="0" w:color="000000"/>
              <w:right w:val="single" w:sz="4" w:space="0" w:color="000000"/>
            </w:tcBorders>
          </w:tcPr>
          <w:p w14:paraId="0BD5DA7D" w14:textId="77777777" w:rsidR="00840372" w:rsidRPr="005964A7" w:rsidRDefault="00840372" w:rsidP="00840372">
            <w:pPr>
              <w:kinsoku w:val="0"/>
              <w:overflowPunct w:val="0"/>
              <w:autoSpaceDE w:val="0"/>
              <w:autoSpaceDN w:val="0"/>
              <w:adjustRightInd w:val="0"/>
              <w:spacing w:after="0" w:line="210" w:lineRule="exact"/>
              <w:ind w:left="794" w:right="787"/>
              <w:jc w:val="center"/>
              <w:rPr>
                <w:rFonts w:cstheme="minorHAnsi"/>
                <w:sz w:val="20"/>
                <w:szCs w:val="20"/>
                <w:lang w:val="en-GB"/>
              </w:rPr>
            </w:pPr>
            <w:r w:rsidRPr="005964A7">
              <w:rPr>
                <w:rFonts w:cstheme="minorHAnsi"/>
                <w:sz w:val="20"/>
                <w:szCs w:val="20"/>
                <w:lang w:val="en-GB"/>
              </w:rPr>
              <w:t>123 (64%)</w:t>
            </w:r>
          </w:p>
        </w:tc>
      </w:tr>
      <w:tr w:rsidR="00840372" w:rsidRPr="005964A7" w14:paraId="48F5D12C"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7420E69D" w14:textId="77777777" w:rsidR="00840372" w:rsidRPr="005964A7" w:rsidRDefault="00840372" w:rsidP="00840372">
            <w:pPr>
              <w:kinsoku w:val="0"/>
              <w:overflowPunct w:val="0"/>
              <w:autoSpaceDE w:val="0"/>
              <w:autoSpaceDN w:val="0"/>
              <w:adjustRightInd w:val="0"/>
              <w:spacing w:after="0" w:line="210" w:lineRule="exact"/>
              <w:ind w:left="158"/>
              <w:rPr>
                <w:rFonts w:cstheme="minorHAnsi"/>
                <w:sz w:val="20"/>
                <w:szCs w:val="20"/>
                <w:lang w:val="en-GB"/>
              </w:rPr>
            </w:pPr>
            <w:r w:rsidRPr="005964A7">
              <w:rPr>
                <w:rFonts w:cstheme="minorHAnsi"/>
                <w:sz w:val="20"/>
                <w:szCs w:val="20"/>
                <w:lang w:val="en-GB"/>
              </w:rPr>
              <w:t>Median (95% CI) (months)</w:t>
            </w:r>
          </w:p>
        </w:tc>
        <w:tc>
          <w:tcPr>
            <w:tcW w:w="2694" w:type="dxa"/>
            <w:gridSpan w:val="2"/>
            <w:tcBorders>
              <w:top w:val="single" w:sz="4" w:space="0" w:color="000000"/>
              <w:left w:val="single" w:sz="4" w:space="0" w:color="000000"/>
              <w:bottom w:val="single" w:sz="4" w:space="0" w:color="000000"/>
              <w:right w:val="single" w:sz="4" w:space="0" w:color="000000"/>
            </w:tcBorders>
          </w:tcPr>
          <w:p w14:paraId="2D3C18FC" w14:textId="77777777" w:rsidR="00840372" w:rsidRPr="005964A7" w:rsidRDefault="00840372" w:rsidP="00840372">
            <w:pPr>
              <w:kinsoku w:val="0"/>
              <w:overflowPunct w:val="0"/>
              <w:autoSpaceDE w:val="0"/>
              <w:autoSpaceDN w:val="0"/>
              <w:adjustRightInd w:val="0"/>
              <w:spacing w:after="0" w:line="210" w:lineRule="exact"/>
              <w:ind w:left="678"/>
              <w:rPr>
                <w:rFonts w:cstheme="minorHAnsi"/>
                <w:sz w:val="20"/>
                <w:szCs w:val="20"/>
                <w:lang w:val="en-GB"/>
              </w:rPr>
            </w:pPr>
            <w:r w:rsidRPr="005964A7">
              <w:rPr>
                <w:rFonts w:cstheme="minorHAnsi"/>
                <w:sz w:val="20"/>
                <w:szCs w:val="20"/>
                <w:lang w:val="en-GB"/>
              </w:rPr>
              <w:t>13.7 (12.2, 16.0)</w:t>
            </w:r>
          </w:p>
        </w:tc>
        <w:tc>
          <w:tcPr>
            <w:tcW w:w="2866" w:type="dxa"/>
            <w:tcBorders>
              <w:top w:val="single" w:sz="4" w:space="0" w:color="000000"/>
              <w:left w:val="single" w:sz="4" w:space="0" w:color="000000"/>
              <w:bottom w:val="single" w:sz="4" w:space="0" w:color="000000"/>
              <w:right w:val="single" w:sz="4" w:space="0" w:color="000000"/>
            </w:tcBorders>
          </w:tcPr>
          <w:p w14:paraId="75975070" w14:textId="77777777" w:rsidR="00840372" w:rsidRPr="005964A7" w:rsidRDefault="00840372" w:rsidP="00840372">
            <w:pPr>
              <w:kinsoku w:val="0"/>
              <w:overflowPunct w:val="0"/>
              <w:autoSpaceDE w:val="0"/>
              <w:autoSpaceDN w:val="0"/>
              <w:adjustRightInd w:val="0"/>
              <w:spacing w:after="0" w:line="210" w:lineRule="exact"/>
              <w:ind w:left="794" w:right="787"/>
              <w:jc w:val="center"/>
              <w:rPr>
                <w:rFonts w:cstheme="minorHAnsi"/>
                <w:sz w:val="20"/>
                <w:szCs w:val="20"/>
                <w:lang w:val="en-GB"/>
              </w:rPr>
            </w:pPr>
            <w:r w:rsidRPr="005964A7">
              <w:rPr>
                <w:rFonts w:cstheme="minorHAnsi"/>
                <w:sz w:val="20"/>
                <w:szCs w:val="20"/>
                <w:lang w:val="en-GB"/>
              </w:rPr>
              <w:t>13.1 (9.1, 16.2)</w:t>
            </w:r>
          </w:p>
        </w:tc>
      </w:tr>
      <w:tr w:rsidR="00840372" w:rsidRPr="005964A7" w14:paraId="74A4532A"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196661D3" w14:textId="77777777" w:rsidR="00840372" w:rsidRPr="005964A7" w:rsidRDefault="00840372" w:rsidP="00840372">
            <w:pPr>
              <w:kinsoku w:val="0"/>
              <w:overflowPunct w:val="0"/>
              <w:autoSpaceDE w:val="0"/>
              <w:autoSpaceDN w:val="0"/>
              <w:adjustRightInd w:val="0"/>
              <w:spacing w:after="0" w:line="210" w:lineRule="exact"/>
              <w:ind w:left="158"/>
              <w:rPr>
                <w:rFonts w:cstheme="minorHAnsi"/>
                <w:sz w:val="20"/>
                <w:szCs w:val="20"/>
                <w:vertAlign w:val="superscript"/>
                <w:lang w:val="en-GB"/>
              </w:rPr>
            </w:pPr>
            <w:r w:rsidRPr="005964A7">
              <w:rPr>
                <w:rFonts w:cstheme="minorHAnsi"/>
                <w:sz w:val="20"/>
                <w:szCs w:val="20"/>
                <w:lang w:val="en-GB"/>
              </w:rPr>
              <w:t>HR (95% CI)</w:t>
            </w:r>
            <w:r w:rsidRPr="005964A7">
              <w:rPr>
                <w:rFonts w:cstheme="minorHAnsi"/>
                <w:sz w:val="20"/>
                <w:szCs w:val="20"/>
                <w:vertAlign w:val="superscript"/>
                <w:lang w:val="en-GB"/>
              </w:rPr>
              <w:t>a</w:t>
            </w:r>
          </w:p>
        </w:tc>
        <w:tc>
          <w:tcPr>
            <w:tcW w:w="5560" w:type="dxa"/>
            <w:gridSpan w:val="3"/>
            <w:tcBorders>
              <w:top w:val="single" w:sz="4" w:space="0" w:color="000000"/>
              <w:left w:val="single" w:sz="4" w:space="0" w:color="000000"/>
              <w:bottom w:val="single" w:sz="4" w:space="0" w:color="000000"/>
              <w:right w:val="single" w:sz="4" w:space="0" w:color="000000"/>
            </w:tcBorders>
          </w:tcPr>
          <w:p w14:paraId="07C39128" w14:textId="77777777" w:rsidR="00840372" w:rsidRPr="005964A7" w:rsidRDefault="00840372" w:rsidP="00840372">
            <w:pPr>
              <w:kinsoku w:val="0"/>
              <w:overflowPunct w:val="0"/>
              <w:autoSpaceDE w:val="0"/>
              <w:autoSpaceDN w:val="0"/>
              <w:adjustRightInd w:val="0"/>
              <w:spacing w:after="0" w:line="210" w:lineRule="exact"/>
              <w:ind w:left="2092" w:right="2083"/>
              <w:jc w:val="center"/>
              <w:rPr>
                <w:rFonts w:cstheme="minorHAnsi"/>
                <w:sz w:val="20"/>
                <w:szCs w:val="20"/>
                <w:lang w:val="en-GB"/>
              </w:rPr>
            </w:pPr>
            <w:r w:rsidRPr="005964A7">
              <w:rPr>
                <w:rFonts w:cstheme="minorHAnsi"/>
                <w:sz w:val="20"/>
                <w:szCs w:val="20"/>
                <w:lang w:val="en-GB"/>
              </w:rPr>
              <w:t>0.93 (0.75, 1.15)</w:t>
            </w:r>
          </w:p>
        </w:tc>
      </w:tr>
      <w:tr w:rsidR="00840372" w:rsidRPr="005964A7" w14:paraId="6529269A"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5F1775D5" w14:textId="77777777" w:rsidR="00840372" w:rsidRPr="005964A7" w:rsidRDefault="00840372" w:rsidP="00840372">
            <w:pPr>
              <w:kinsoku w:val="0"/>
              <w:overflowPunct w:val="0"/>
              <w:autoSpaceDE w:val="0"/>
              <w:autoSpaceDN w:val="0"/>
              <w:adjustRightInd w:val="0"/>
              <w:spacing w:after="0" w:line="210" w:lineRule="exact"/>
              <w:ind w:left="158"/>
              <w:rPr>
                <w:rFonts w:cstheme="minorHAnsi"/>
                <w:sz w:val="20"/>
                <w:szCs w:val="20"/>
                <w:vertAlign w:val="superscript"/>
                <w:lang w:val="en-GB"/>
              </w:rPr>
            </w:pPr>
            <w:r w:rsidRPr="005964A7">
              <w:rPr>
                <w:rFonts w:cstheme="minorHAnsi"/>
                <w:sz w:val="20"/>
                <w:szCs w:val="20"/>
                <w:lang w:val="en-GB"/>
              </w:rPr>
              <w:t>p-</w:t>
            </w:r>
            <w:proofErr w:type="spellStart"/>
            <w:r w:rsidRPr="005964A7">
              <w:rPr>
                <w:rFonts w:cstheme="minorHAnsi"/>
                <w:sz w:val="20"/>
                <w:szCs w:val="20"/>
                <w:lang w:val="en-GB"/>
              </w:rPr>
              <w:t>value</w:t>
            </w:r>
            <w:r w:rsidRPr="005964A7">
              <w:rPr>
                <w:rFonts w:cstheme="minorHAnsi"/>
                <w:sz w:val="20"/>
                <w:szCs w:val="20"/>
                <w:vertAlign w:val="superscript"/>
                <w:lang w:val="en-GB"/>
              </w:rPr>
              <w:t>b</w:t>
            </w:r>
            <w:proofErr w:type="spellEnd"/>
          </w:p>
        </w:tc>
        <w:tc>
          <w:tcPr>
            <w:tcW w:w="5560" w:type="dxa"/>
            <w:gridSpan w:val="3"/>
            <w:tcBorders>
              <w:top w:val="single" w:sz="4" w:space="0" w:color="000000"/>
              <w:left w:val="single" w:sz="4" w:space="0" w:color="000000"/>
              <w:bottom w:val="single" w:sz="4" w:space="0" w:color="000000"/>
              <w:right w:val="single" w:sz="4" w:space="0" w:color="000000"/>
            </w:tcBorders>
          </w:tcPr>
          <w:p w14:paraId="221044B9" w14:textId="77777777" w:rsidR="00840372" w:rsidRPr="005964A7" w:rsidRDefault="00840372" w:rsidP="00840372">
            <w:pPr>
              <w:kinsoku w:val="0"/>
              <w:overflowPunct w:val="0"/>
              <w:autoSpaceDE w:val="0"/>
              <w:autoSpaceDN w:val="0"/>
              <w:adjustRightInd w:val="0"/>
              <w:spacing w:after="0" w:line="210" w:lineRule="exact"/>
              <w:ind w:left="2092" w:right="2083"/>
              <w:jc w:val="center"/>
              <w:rPr>
                <w:rFonts w:cstheme="minorHAnsi"/>
                <w:sz w:val="20"/>
                <w:szCs w:val="20"/>
                <w:lang w:val="en-GB"/>
              </w:rPr>
            </w:pPr>
            <w:r w:rsidRPr="005964A7">
              <w:rPr>
                <w:rFonts w:cstheme="minorHAnsi"/>
                <w:sz w:val="20"/>
                <w:szCs w:val="20"/>
                <w:lang w:val="en-GB"/>
              </w:rPr>
              <w:t>0.49</w:t>
            </w:r>
          </w:p>
        </w:tc>
      </w:tr>
      <w:tr w:rsidR="00840372" w:rsidRPr="005964A7" w14:paraId="758C16A3" w14:textId="77777777">
        <w:trPr>
          <w:trHeight w:val="230"/>
        </w:trPr>
        <w:tc>
          <w:tcPr>
            <w:tcW w:w="8822" w:type="dxa"/>
            <w:gridSpan w:val="4"/>
            <w:tcBorders>
              <w:top w:val="single" w:sz="4" w:space="0" w:color="000000"/>
              <w:left w:val="single" w:sz="4" w:space="0" w:color="000000"/>
              <w:bottom w:val="single" w:sz="4" w:space="0" w:color="000000"/>
              <w:right w:val="single" w:sz="4" w:space="0" w:color="000000"/>
            </w:tcBorders>
          </w:tcPr>
          <w:p w14:paraId="76BAC107" w14:textId="77777777" w:rsidR="00840372" w:rsidRPr="007278F1" w:rsidRDefault="00840372" w:rsidP="00840372">
            <w:pPr>
              <w:kinsoku w:val="0"/>
              <w:overflowPunct w:val="0"/>
              <w:autoSpaceDE w:val="0"/>
              <w:autoSpaceDN w:val="0"/>
              <w:adjustRightInd w:val="0"/>
              <w:spacing w:after="0" w:line="210" w:lineRule="exact"/>
              <w:ind w:left="107"/>
              <w:rPr>
                <w:rFonts w:cstheme="minorHAnsi"/>
                <w:b/>
                <w:bCs/>
                <w:sz w:val="20"/>
                <w:szCs w:val="20"/>
                <w:lang w:val="en-GB"/>
              </w:rPr>
            </w:pPr>
            <w:r w:rsidRPr="007278F1">
              <w:rPr>
                <w:rFonts w:cstheme="minorHAnsi"/>
                <w:b/>
                <w:bCs/>
                <w:sz w:val="20"/>
                <w:szCs w:val="20"/>
                <w:lang w:val="en-GB"/>
              </w:rPr>
              <w:t>Objective Response Rate (ORR: CR+PR)</w:t>
            </w:r>
          </w:p>
        </w:tc>
      </w:tr>
      <w:tr w:rsidR="00840372" w:rsidRPr="005964A7" w14:paraId="4FFE1F6D"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1A4D570A" w14:textId="77777777" w:rsidR="00840372" w:rsidRPr="007278F1" w:rsidRDefault="00840372" w:rsidP="00840372">
            <w:pPr>
              <w:kinsoku w:val="0"/>
              <w:overflowPunct w:val="0"/>
              <w:autoSpaceDE w:val="0"/>
              <w:autoSpaceDN w:val="0"/>
              <w:adjustRightInd w:val="0"/>
              <w:spacing w:after="0" w:line="210" w:lineRule="exact"/>
              <w:ind w:left="158"/>
              <w:rPr>
                <w:rFonts w:cstheme="minorHAnsi"/>
                <w:sz w:val="20"/>
                <w:szCs w:val="20"/>
                <w:lang w:val="en-GB"/>
              </w:rPr>
            </w:pPr>
            <w:r w:rsidRPr="007278F1">
              <w:rPr>
                <w:rFonts w:cstheme="minorHAnsi"/>
                <w:sz w:val="20"/>
                <w:szCs w:val="20"/>
                <w:lang w:val="en-GB"/>
              </w:rPr>
              <w:t>Number of patients (%)</w:t>
            </w:r>
          </w:p>
        </w:tc>
        <w:tc>
          <w:tcPr>
            <w:tcW w:w="2552" w:type="dxa"/>
            <w:tcBorders>
              <w:top w:val="single" w:sz="4" w:space="0" w:color="000000"/>
              <w:left w:val="single" w:sz="4" w:space="0" w:color="000000"/>
              <w:bottom w:val="single" w:sz="4" w:space="0" w:color="000000"/>
              <w:right w:val="single" w:sz="4" w:space="0" w:color="000000"/>
            </w:tcBorders>
          </w:tcPr>
          <w:p w14:paraId="2410DCCC" w14:textId="054CF7EC" w:rsidR="00840372" w:rsidRPr="007278F1" w:rsidRDefault="00EA619C" w:rsidP="00840372">
            <w:pPr>
              <w:kinsoku w:val="0"/>
              <w:overflowPunct w:val="0"/>
              <w:autoSpaceDE w:val="0"/>
              <w:autoSpaceDN w:val="0"/>
              <w:adjustRightInd w:val="0"/>
              <w:spacing w:after="0" w:line="210" w:lineRule="exact"/>
              <w:ind w:left="738" w:right="729"/>
              <w:jc w:val="center"/>
              <w:rPr>
                <w:rFonts w:cstheme="minorHAnsi"/>
                <w:sz w:val="20"/>
                <w:szCs w:val="20"/>
                <w:lang w:val="en-GB"/>
              </w:rPr>
            </w:pPr>
            <w:r w:rsidRPr="007278F1">
              <w:rPr>
                <w:rFonts w:cstheme="minorHAnsi"/>
                <w:sz w:val="20"/>
                <w:szCs w:val="20"/>
                <w:lang w:val="en-GB"/>
              </w:rPr>
              <w:t xml:space="preserve">34 </w:t>
            </w:r>
            <w:r w:rsidR="00840372" w:rsidRPr="007278F1">
              <w:rPr>
                <w:rFonts w:cstheme="minorHAnsi"/>
                <w:sz w:val="20"/>
                <w:szCs w:val="20"/>
                <w:lang w:val="en-GB"/>
              </w:rPr>
              <w:t>(</w:t>
            </w:r>
            <w:r w:rsidRPr="007278F1">
              <w:rPr>
                <w:rFonts w:cstheme="minorHAnsi"/>
                <w:sz w:val="20"/>
                <w:szCs w:val="20"/>
                <w:lang w:val="en-GB"/>
              </w:rPr>
              <w:t>9.9</w:t>
            </w:r>
            <w:r w:rsidR="00840372" w:rsidRPr="007278F1">
              <w:rPr>
                <w:rFonts w:cstheme="minorHAnsi"/>
                <w:sz w:val="20"/>
                <w:szCs w:val="20"/>
                <w:lang w:val="en-GB"/>
              </w:rPr>
              <w:t>%)</w:t>
            </w:r>
          </w:p>
        </w:tc>
        <w:tc>
          <w:tcPr>
            <w:tcW w:w="3008" w:type="dxa"/>
            <w:gridSpan w:val="2"/>
            <w:tcBorders>
              <w:top w:val="single" w:sz="4" w:space="0" w:color="000000"/>
              <w:left w:val="single" w:sz="4" w:space="0" w:color="000000"/>
              <w:bottom w:val="single" w:sz="4" w:space="0" w:color="000000"/>
              <w:right w:val="single" w:sz="4" w:space="0" w:color="000000"/>
            </w:tcBorders>
          </w:tcPr>
          <w:p w14:paraId="35F3407F" w14:textId="6407D7B5" w:rsidR="00840372" w:rsidRPr="007278F1" w:rsidRDefault="00EA619C" w:rsidP="00840372">
            <w:pPr>
              <w:kinsoku w:val="0"/>
              <w:overflowPunct w:val="0"/>
              <w:autoSpaceDE w:val="0"/>
              <w:autoSpaceDN w:val="0"/>
              <w:adjustRightInd w:val="0"/>
              <w:spacing w:after="0" w:line="210" w:lineRule="exact"/>
              <w:ind w:left="1057" w:right="1050"/>
              <w:jc w:val="center"/>
              <w:rPr>
                <w:rFonts w:cstheme="minorHAnsi"/>
                <w:sz w:val="20"/>
                <w:szCs w:val="20"/>
                <w:lang w:val="en-GB"/>
              </w:rPr>
            </w:pPr>
            <w:r w:rsidRPr="007278F1">
              <w:rPr>
                <w:rFonts w:cstheme="minorHAnsi"/>
                <w:sz w:val="20"/>
                <w:szCs w:val="20"/>
                <w:lang w:val="en-GB"/>
              </w:rPr>
              <w:t xml:space="preserve">12 </w:t>
            </w:r>
            <w:r w:rsidR="00840372" w:rsidRPr="007278F1">
              <w:rPr>
                <w:rFonts w:cstheme="minorHAnsi"/>
                <w:sz w:val="20"/>
                <w:szCs w:val="20"/>
                <w:lang w:val="en-GB"/>
              </w:rPr>
              <w:t>(</w:t>
            </w:r>
            <w:r w:rsidRPr="007278F1">
              <w:rPr>
                <w:rFonts w:cstheme="minorHAnsi"/>
                <w:sz w:val="20"/>
                <w:szCs w:val="20"/>
                <w:lang w:val="en-GB"/>
              </w:rPr>
              <w:t>6.9</w:t>
            </w:r>
            <w:r w:rsidR="00840372" w:rsidRPr="007278F1">
              <w:rPr>
                <w:rFonts w:cstheme="minorHAnsi"/>
                <w:sz w:val="20"/>
                <w:szCs w:val="20"/>
                <w:lang w:val="en-GB"/>
              </w:rPr>
              <w:t>%)</w:t>
            </w:r>
          </w:p>
        </w:tc>
      </w:tr>
      <w:tr w:rsidR="00840372" w:rsidRPr="005964A7" w14:paraId="795D0740"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630889E3" w14:textId="77777777" w:rsidR="00840372" w:rsidRPr="007278F1" w:rsidRDefault="00840372" w:rsidP="00840372">
            <w:pPr>
              <w:kinsoku w:val="0"/>
              <w:overflowPunct w:val="0"/>
              <w:autoSpaceDE w:val="0"/>
              <w:autoSpaceDN w:val="0"/>
              <w:adjustRightInd w:val="0"/>
              <w:spacing w:after="0" w:line="210" w:lineRule="exact"/>
              <w:ind w:left="158"/>
              <w:rPr>
                <w:rFonts w:cstheme="minorHAnsi"/>
                <w:sz w:val="20"/>
                <w:szCs w:val="20"/>
                <w:vertAlign w:val="superscript"/>
                <w:lang w:val="en-GB"/>
              </w:rPr>
            </w:pPr>
            <w:r w:rsidRPr="007278F1">
              <w:rPr>
                <w:rFonts w:cstheme="minorHAnsi"/>
                <w:sz w:val="20"/>
                <w:szCs w:val="20"/>
                <w:lang w:val="en-GB"/>
              </w:rPr>
              <w:t xml:space="preserve">95% </w:t>
            </w:r>
            <w:proofErr w:type="spellStart"/>
            <w:r w:rsidRPr="007278F1">
              <w:rPr>
                <w:rFonts w:cstheme="minorHAnsi"/>
                <w:sz w:val="20"/>
                <w:szCs w:val="20"/>
                <w:lang w:val="en-GB"/>
              </w:rPr>
              <w:t>CI</w:t>
            </w:r>
            <w:r w:rsidRPr="007278F1">
              <w:rPr>
                <w:rFonts w:cstheme="minorHAnsi"/>
                <w:sz w:val="20"/>
                <w:szCs w:val="20"/>
                <w:vertAlign w:val="superscript"/>
                <w:lang w:val="en-GB"/>
              </w:rPr>
              <w:t>d</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99EBBE1" w14:textId="1BEB2FDF" w:rsidR="00840372" w:rsidRPr="007278F1" w:rsidRDefault="00840372" w:rsidP="00840372">
            <w:pPr>
              <w:kinsoku w:val="0"/>
              <w:overflowPunct w:val="0"/>
              <w:autoSpaceDE w:val="0"/>
              <w:autoSpaceDN w:val="0"/>
              <w:adjustRightInd w:val="0"/>
              <w:spacing w:after="0" w:line="210" w:lineRule="exact"/>
              <w:ind w:left="736" w:right="729"/>
              <w:jc w:val="center"/>
              <w:rPr>
                <w:rFonts w:cstheme="minorHAnsi"/>
                <w:sz w:val="20"/>
                <w:szCs w:val="20"/>
                <w:lang w:val="en-GB"/>
              </w:rPr>
            </w:pPr>
            <w:r w:rsidRPr="007278F1">
              <w:rPr>
                <w:rFonts w:cstheme="minorHAnsi"/>
                <w:sz w:val="20"/>
                <w:szCs w:val="20"/>
                <w:lang w:val="en-GB"/>
              </w:rPr>
              <w:t>(</w:t>
            </w:r>
            <w:r w:rsidR="000A48F5" w:rsidRPr="007278F1">
              <w:rPr>
                <w:rFonts w:cstheme="minorHAnsi"/>
                <w:sz w:val="20"/>
                <w:szCs w:val="20"/>
                <w:lang w:val="en-GB"/>
              </w:rPr>
              <w:t>6.9</w:t>
            </w:r>
            <w:r w:rsidR="00A41894" w:rsidRPr="007278F1">
              <w:rPr>
                <w:rFonts w:cstheme="minorHAnsi"/>
                <w:sz w:val="20"/>
                <w:szCs w:val="20"/>
                <w:lang w:val="en-GB"/>
              </w:rPr>
              <w:t>,</w:t>
            </w:r>
            <w:r w:rsidR="000A48F5" w:rsidRPr="007278F1">
              <w:rPr>
                <w:rFonts w:cstheme="minorHAnsi"/>
                <w:sz w:val="20"/>
                <w:szCs w:val="20"/>
                <w:lang w:val="en-GB"/>
              </w:rPr>
              <w:t xml:space="preserve"> 13.5</w:t>
            </w:r>
            <w:r w:rsidRPr="007278F1">
              <w:rPr>
                <w:rFonts w:cstheme="minorHAnsi"/>
                <w:sz w:val="20"/>
                <w:szCs w:val="20"/>
                <w:lang w:val="en-GB"/>
              </w:rPr>
              <w:t>)</w:t>
            </w:r>
          </w:p>
        </w:tc>
        <w:tc>
          <w:tcPr>
            <w:tcW w:w="3008" w:type="dxa"/>
            <w:gridSpan w:val="2"/>
            <w:tcBorders>
              <w:top w:val="single" w:sz="4" w:space="0" w:color="000000"/>
              <w:left w:val="single" w:sz="4" w:space="0" w:color="000000"/>
              <w:bottom w:val="single" w:sz="4" w:space="0" w:color="000000"/>
              <w:right w:val="single" w:sz="4" w:space="0" w:color="000000"/>
            </w:tcBorders>
          </w:tcPr>
          <w:p w14:paraId="399A8E97" w14:textId="28982DD1" w:rsidR="00840372" w:rsidRPr="007278F1" w:rsidRDefault="00840372" w:rsidP="00840372">
            <w:pPr>
              <w:kinsoku w:val="0"/>
              <w:overflowPunct w:val="0"/>
              <w:autoSpaceDE w:val="0"/>
              <w:autoSpaceDN w:val="0"/>
              <w:adjustRightInd w:val="0"/>
              <w:spacing w:after="0" w:line="210" w:lineRule="exact"/>
              <w:ind w:left="1057" w:right="1050"/>
              <w:jc w:val="center"/>
              <w:rPr>
                <w:rFonts w:cstheme="minorHAnsi"/>
                <w:sz w:val="20"/>
                <w:szCs w:val="20"/>
                <w:lang w:val="en-GB"/>
              </w:rPr>
            </w:pPr>
            <w:r w:rsidRPr="007278F1">
              <w:rPr>
                <w:rFonts w:cstheme="minorHAnsi"/>
                <w:sz w:val="20"/>
                <w:szCs w:val="20"/>
                <w:lang w:val="en-GB"/>
              </w:rPr>
              <w:t>(</w:t>
            </w:r>
            <w:r w:rsidR="000A48F5" w:rsidRPr="007278F1">
              <w:rPr>
                <w:rFonts w:cstheme="minorHAnsi"/>
                <w:sz w:val="20"/>
                <w:szCs w:val="20"/>
                <w:lang w:val="en-GB"/>
              </w:rPr>
              <w:t>3.6</w:t>
            </w:r>
            <w:r w:rsidR="00A41894" w:rsidRPr="007278F1">
              <w:rPr>
                <w:rFonts w:cstheme="minorHAnsi"/>
                <w:sz w:val="20"/>
                <w:szCs w:val="20"/>
                <w:lang w:val="en-GB"/>
              </w:rPr>
              <w:t>,</w:t>
            </w:r>
            <w:r w:rsidR="000A48F5" w:rsidRPr="007278F1">
              <w:rPr>
                <w:rFonts w:cstheme="minorHAnsi"/>
                <w:sz w:val="20"/>
                <w:szCs w:val="20"/>
                <w:lang w:val="en-GB"/>
              </w:rPr>
              <w:t xml:space="preserve"> 11.8</w:t>
            </w:r>
            <w:r w:rsidRPr="007278F1">
              <w:rPr>
                <w:rFonts w:cstheme="minorHAnsi"/>
                <w:sz w:val="20"/>
                <w:szCs w:val="20"/>
                <w:lang w:val="en-GB"/>
              </w:rPr>
              <w:t>)</w:t>
            </w:r>
          </w:p>
        </w:tc>
      </w:tr>
      <w:tr w:rsidR="00840372" w:rsidRPr="005964A7" w14:paraId="7D5FF468" w14:textId="77777777">
        <w:trPr>
          <w:trHeight w:val="230"/>
        </w:trPr>
        <w:tc>
          <w:tcPr>
            <w:tcW w:w="8822" w:type="dxa"/>
            <w:gridSpan w:val="4"/>
            <w:tcBorders>
              <w:top w:val="single" w:sz="4" w:space="0" w:color="000000"/>
              <w:left w:val="single" w:sz="4" w:space="0" w:color="000000"/>
              <w:bottom w:val="single" w:sz="4" w:space="0" w:color="000000"/>
              <w:right w:val="single" w:sz="4" w:space="0" w:color="000000"/>
            </w:tcBorders>
          </w:tcPr>
          <w:p w14:paraId="00EC1EA3" w14:textId="77777777" w:rsidR="00840372" w:rsidRPr="007278F1" w:rsidRDefault="00840372" w:rsidP="00840372">
            <w:pPr>
              <w:kinsoku w:val="0"/>
              <w:overflowPunct w:val="0"/>
              <w:autoSpaceDE w:val="0"/>
              <w:autoSpaceDN w:val="0"/>
              <w:adjustRightInd w:val="0"/>
              <w:spacing w:after="0" w:line="210" w:lineRule="exact"/>
              <w:ind w:left="107"/>
              <w:rPr>
                <w:rFonts w:cstheme="minorHAnsi"/>
                <w:b/>
                <w:bCs/>
                <w:sz w:val="20"/>
                <w:szCs w:val="20"/>
                <w:lang w:val="en-GB"/>
              </w:rPr>
            </w:pPr>
            <w:r w:rsidRPr="007278F1">
              <w:rPr>
                <w:rFonts w:cstheme="minorHAnsi"/>
                <w:b/>
                <w:bCs/>
                <w:sz w:val="20"/>
                <w:szCs w:val="20"/>
                <w:lang w:val="en-GB"/>
              </w:rPr>
              <w:t>Duration of Response (CR+ PR)</w:t>
            </w:r>
          </w:p>
        </w:tc>
      </w:tr>
      <w:tr w:rsidR="00840372" w:rsidRPr="005964A7" w14:paraId="6A196954" w14:textId="77777777">
        <w:trPr>
          <w:trHeight w:val="230"/>
        </w:trPr>
        <w:tc>
          <w:tcPr>
            <w:tcW w:w="3262" w:type="dxa"/>
            <w:tcBorders>
              <w:top w:val="single" w:sz="4" w:space="0" w:color="000000"/>
              <w:left w:val="single" w:sz="4" w:space="0" w:color="000000"/>
              <w:bottom w:val="single" w:sz="4" w:space="0" w:color="000000"/>
              <w:right w:val="single" w:sz="4" w:space="0" w:color="000000"/>
            </w:tcBorders>
          </w:tcPr>
          <w:p w14:paraId="65302587" w14:textId="77777777" w:rsidR="00840372" w:rsidRPr="007278F1" w:rsidRDefault="00840372" w:rsidP="00840372">
            <w:pPr>
              <w:kinsoku w:val="0"/>
              <w:overflowPunct w:val="0"/>
              <w:autoSpaceDE w:val="0"/>
              <w:autoSpaceDN w:val="0"/>
              <w:adjustRightInd w:val="0"/>
              <w:spacing w:after="0" w:line="210" w:lineRule="exact"/>
              <w:ind w:left="158"/>
              <w:rPr>
                <w:rFonts w:cstheme="minorHAnsi"/>
                <w:sz w:val="20"/>
                <w:szCs w:val="20"/>
                <w:lang w:val="en-GB"/>
              </w:rPr>
            </w:pPr>
            <w:r w:rsidRPr="007278F1">
              <w:rPr>
                <w:rFonts w:cstheme="minorHAnsi"/>
                <w:sz w:val="20"/>
                <w:szCs w:val="20"/>
                <w:lang w:val="en-GB"/>
              </w:rPr>
              <w:t>Median (95% CI) (months)</w:t>
            </w:r>
          </w:p>
        </w:tc>
        <w:tc>
          <w:tcPr>
            <w:tcW w:w="2552" w:type="dxa"/>
            <w:tcBorders>
              <w:top w:val="single" w:sz="4" w:space="0" w:color="000000"/>
              <w:left w:val="single" w:sz="4" w:space="0" w:color="000000"/>
              <w:bottom w:val="single" w:sz="4" w:space="0" w:color="000000"/>
              <w:right w:val="single" w:sz="4" w:space="0" w:color="000000"/>
            </w:tcBorders>
          </w:tcPr>
          <w:p w14:paraId="031C9911" w14:textId="53A56C60" w:rsidR="00840372" w:rsidRPr="007278F1" w:rsidRDefault="00B138AA" w:rsidP="007278F1">
            <w:pPr>
              <w:kinsoku w:val="0"/>
              <w:overflowPunct w:val="0"/>
              <w:autoSpaceDE w:val="0"/>
              <w:autoSpaceDN w:val="0"/>
              <w:adjustRightInd w:val="0"/>
              <w:spacing w:after="0" w:line="210" w:lineRule="exact"/>
              <w:ind w:left="738" w:right="404"/>
              <w:jc w:val="center"/>
              <w:rPr>
                <w:rFonts w:cstheme="minorHAnsi"/>
                <w:sz w:val="20"/>
                <w:szCs w:val="20"/>
                <w:lang w:val="en-GB"/>
              </w:rPr>
            </w:pPr>
            <w:r w:rsidRPr="007278F1">
              <w:rPr>
                <w:rFonts w:cstheme="minorHAnsi"/>
                <w:sz w:val="20"/>
                <w:szCs w:val="20"/>
                <w:lang w:val="en-GB"/>
              </w:rPr>
              <w:t>6.47</w:t>
            </w:r>
            <w:r w:rsidR="00840372" w:rsidRPr="007278F1">
              <w:rPr>
                <w:rFonts w:cstheme="minorHAnsi"/>
                <w:sz w:val="20"/>
                <w:szCs w:val="20"/>
                <w:lang w:val="en-GB"/>
              </w:rPr>
              <w:t xml:space="preserve"> (</w:t>
            </w:r>
            <w:r w:rsidR="00A41894" w:rsidRPr="007278F1">
              <w:rPr>
                <w:rFonts w:cstheme="minorHAnsi"/>
                <w:sz w:val="20"/>
                <w:szCs w:val="20"/>
                <w:lang w:val="en-GB"/>
              </w:rPr>
              <w:t>3.58, 7.62</w:t>
            </w:r>
            <w:r w:rsidR="00840372" w:rsidRPr="007278F1">
              <w:rPr>
                <w:rFonts w:cstheme="minorHAnsi"/>
                <w:sz w:val="20"/>
                <w:szCs w:val="20"/>
                <w:lang w:val="en-GB"/>
              </w:rPr>
              <w:t>)</w:t>
            </w:r>
          </w:p>
        </w:tc>
        <w:tc>
          <w:tcPr>
            <w:tcW w:w="3008" w:type="dxa"/>
            <w:gridSpan w:val="2"/>
            <w:tcBorders>
              <w:top w:val="single" w:sz="4" w:space="0" w:color="000000"/>
              <w:left w:val="single" w:sz="4" w:space="0" w:color="000000"/>
              <w:bottom w:val="single" w:sz="4" w:space="0" w:color="000000"/>
              <w:right w:val="single" w:sz="4" w:space="0" w:color="000000"/>
            </w:tcBorders>
          </w:tcPr>
          <w:p w14:paraId="7B28DFAA" w14:textId="3AFCC350" w:rsidR="00840372" w:rsidRPr="007278F1" w:rsidRDefault="0059128F" w:rsidP="00840372">
            <w:pPr>
              <w:kinsoku w:val="0"/>
              <w:overflowPunct w:val="0"/>
              <w:autoSpaceDE w:val="0"/>
              <w:autoSpaceDN w:val="0"/>
              <w:adjustRightInd w:val="0"/>
              <w:spacing w:after="0" w:line="210" w:lineRule="exact"/>
              <w:ind w:left="977"/>
              <w:rPr>
                <w:rFonts w:cstheme="minorHAnsi"/>
                <w:sz w:val="20"/>
                <w:szCs w:val="20"/>
                <w:lang w:val="en-GB"/>
              </w:rPr>
            </w:pPr>
            <w:r w:rsidRPr="007278F1">
              <w:rPr>
                <w:rFonts w:cstheme="minorHAnsi"/>
                <w:sz w:val="20"/>
                <w:szCs w:val="20"/>
                <w:lang w:val="en-GB"/>
              </w:rPr>
              <w:t>4.17</w:t>
            </w:r>
            <w:r w:rsidR="00840372" w:rsidRPr="007278F1">
              <w:rPr>
                <w:rFonts w:cstheme="minorHAnsi"/>
                <w:sz w:val="20"/>
                <w:szCs w:val="20"/>
                <w:lang w:val="en-GB"/>
              </w:rPr>
              <w:t xml:space="preserve"> (</w:t>
            </w:r>
            <w:r w:rsidR="00191D39" w:rsidRPr="007278F1">
              <w:rPr>
                <w:rFonts w:cstheme="minorHAnsi"/>
                <w:sz w:val="20"/>
                <w:szCs w:val="20"/>
                <w:lang w:val="en-GB"/>
              </w:rPr>
              <w:t>2.14</w:t>
            </w:r>
            <w:r w:rsidR="00A41894" w:rsidRPr="007278F1">
              <w:rPr>
                <w:rFonts w:cstheme="minorHAnsi"/>
                <w:sz w:val="20"/>
                <w:szCs w:val="20"/>
                <w:lang w:val="en-GB"/>
              </w:rPr>
              <w:t>,</w:t>
            </w:r>
            <w:r w:rsidR="00840372" w:rsidRPr="007278F1">
              <w:rPr>
                <w:rFonts w:cstheme="minorHAnsi"/>
                <w:sz w:val="20"/>
                <w:szCs w:val="20"/>
                <w:lang w:val="en-GB"/>
              </w:rPr>
              <w:t xml:space="preserve"> NE)</w:t>
            </w:r>
          </w:p>
        </w:tc>
      </w:tr>
    </w:tbl>
    <w:p w14:paraId="6BEAB3EC" w14:textId="6EB28714" w:rsidR="00840372" w:rsidRPr="005964A7" w:rsidRDefault="00840372" w:rsidP="005964A7">
      <w:pPr>
        <w:tabs>
          <w:tab w:val="left" w:pos="567"/>
        </w:tabs>
        <w:kinsoku w:val="0"/>
        <w:overflowPunct w:val="0"/>
        <w:autoSpaceDE w:val="0"/>
        <w:autoSpaceDN w:val="0"/>
        <w:adjustRightInd w:val="0"/>
        <w:spacing w:after="0" w:line="206" w:lineRule="exact"/>
        <w:ind w:left="567" w:hanging="339"/>
        <w:rPr>
          <w:rFonts w:cstheme="minorHAnsi"/>
          <w:sz w:val="16"/>
          <w:szCs w:val="16"/>
          <w:lang w:val="en-GB"/>
        </w:rPr>
      </w:pPr>
      <w:r w:rsidRPr="005964A7">
        <w:rPr>
          <w:rFonts w:cstheme="minorHAnsi"/>
          <w:position w:val="9"/>
          <w:sz w:val="13"/>
          <w:szCs w:val="13"/>
          <w:lang w:val="en-GB"/>
        </w:rPr>
        <w:t xml:space="preserve">a </w:t>
      </w:r>
      <w:r w:rsidR="0001385F" w:rsidRPr="005964A7">
        <w:rPr>
          <w:rFonts w:cstheme="minorHAnsi"/>
          <w:position w:val="9"/>
          <w:sz w:val="13"/>
          <w:szCs w:val="13"/>
          <w:lang w:val="en-GB"/>
        </w:rPr>
        <w:t xml:space="preserve">      </w:t>
      </w:r>
      <w:r w:rsidRPr="005964A7">
        <w:rPr>
          <w:rFonts w:cstheme="minorHAnsi"/>
          <w:sz w:val="16"/>
          <w:szCs w:val="16"/>
          <w:lang w:val="en-GB"/>
        </w:rPr>
        <w:t>Cox proportional hazards model with treatment group as the only covariate.</w:t>
      </w:r>
    </w:p>
    <w:p w14:paraId="260560F8" w14:textId="77777777" w:rsidR="00840372" w:rsidRPr="005964A7" w:rsidRDefault="00840372" w:rsidP="005964A7">
      <w:pPr>
        <w:numPr>
          <w:ilvl w:val="0"/>
          <w:numId w:val="13"/>
        </w:numPr>
        <w:tabs>
          <w:tab w:val="left" w:pos="512"/>
        </w:tabs>
        <w:kinsoku w:val="0"/>
        <w:overflowPunct w:val="0"/>
        <w:autoSpaceDE w:val="0"/>
        <w:autoSpaceDN w:val="0"/>
        <w:adjustRightInd w:val="0"/>
        <w:spacing w:after="0" w:line="230" w:lineRule="exact"/>
        <w:ind w:left="567" w:hanging="339"/>
        <w:rPr>
          <w:rFonts w:cstheme="minorHAnsi"/>
          <w:sz w:val="16"/>
          <w:szCs w:val="16"/>
          <w:lang w:val="en-GB"/>
        </w:rPr>
      </w:pPr>
      <w:proofErr w:type="spellStart"/>
      <w:r w:rsidRPr="005964A7">
        <w:rPr>
          <w:rFonts w:cstheme="minorHAnsi"/>
          <w:sz w:val="16"/>
          <w:szCs w:val="16"/>
          <w:lang w:val="en-GB"/>
        </w:rPr>
        <w:t>Unstratified</w:t>
      </w:r>
      <w:proofErr w:type="spellEnd"/>
      <w:r w:rsidRPr="005964A7">
        <w:rPr>
          <w:rFonts w:cstheme="minorHAnsi"/>
          <w:sz w:val="16"/>
          <w:szCs w:val="16"/>
          <w:lang w:val="en-GB"/>
        </w:rPr>
        <w:t xml:space="preserve"> log rank</w:t>
      </w:r>
      <w:r w:rsidRPr="005964A7">
        <w:rPr>
          <w:rFonts w:cstheme="minorHAnsi"/>
          <w:spacing w:val="-3"/>
          <w:sz w:val="16"/>
          <w:szCs w:val="16"/>
          <w:lang w:val="en-GB"/>
        </w:rPr>
        <w:t xml:space="preserve"> </w:t>
      </w:r>
      <w:r w:rsidRPr="005964A7">
        <w:rPr>
          <w:rFonts w:cstheme="minorHAnsi"/>
          <w:sz w:val="16"/>
          <w:szCs w:val="16"/>
          <w:lang w:val="en-GB"/>
        </w:rPr>
        <w:t>test.</w:t>
      </w:r>
    </w:p>
    <w:p w14:paraId="3765C3DD" w14:textId="77777777" w:rsidR="00840372" w:rsidRPr="005964A7" w:rsidRDefault="00840372" w:rsidP="005964A7">
      <w:pPr>
        <w:numPr>
          <w:ilvl w:val="0"/>
          <w:numId w:val="13"/>
        </w:numPr>
        <w:tabs>
          <w:tab w:val="left" w:pos="512"/>
        </w:tabs>
        <w:kinsoku w:val="0"/>
        <w:overflowPunct w:val="0"/>
        <w:autoSpaceDE w:val="0"/>
        <w:autoSpaceDN w:val="0"/>
        <w:adjustRightInd w:val="0"/>
        <w:spacing w:after="0" w:line="230" w:lineRule="exact"/>
        <w:ind w:left="567" w:hanging="339"/>
        <w:rPr>
          <w:rFonts w:cstheme="minorHAnsi"/>
          <w:sz w:val="16"/>
          <w:szCs w:val="16"/>
          <w:lang w:val="en-GB"/>
        </w:rPr>
      </w:pPr>
      <w:r w:rsidRPr="005964A7">
        <w:rPr>
          <w:rFonts w:cstheme="minorHAnsi"/>
          <w:sz w:val="16"/>
          <w:szCs w:val="16"/>
          <w:lang w:val="en-GB"/>
        </w:rPr>
        <w:t>Based on 384 patients randomized to YONDELIS arm and 193 patients randomized to</w:t>
      </w:r>
      <w:r w:rsidRPr="005964A7">
        <w:rPr>
          <w:rFonts w:cstheme="minorHAnsi"/>
          <w:spacing w:val="-16"/>
          <w:sz w:val="16"/>
          <w:szCs w:val="16"/>
          <w:lang w:val="en-GB"/>
        </w:rPr>
        <w:t xml:space="preserve"> </w:t>
      </w:r>
      <w:proofErr w:type="spellStart"/>
      <w:r w:rsidRPr="005964A7">
        <w:rPr>
          <w:rFonts w:cstheme="minorHAnsi"/>
          <w:sz w:val="16"/>
          <w:szCs w:val="16"/>
          <w:lang w:val="en-GB"/>
        </w:rPr>
        <w:t>dacarbazine</w:t>
      </w:r>
      <w:proofErr w:type="spellEnd"/>
      <w:r w:rsidRPr="005964A7">
        <w:rPr>
          <w:rFonts w:cstheme="minorHAnsi"/>
          <w:sz w:val="16"/>
          <w:szCs w:val="16"/>
          <w:lang w:val="en-GB"/>
        </w:rPr>
        <w:t>.</w:t>
      </w:r>
    </w:p>
    <w:p w14:paraId="5617D0D9" w14:textId="77777777" w:rsidR="00840372" w:rsidRPr="005964A7" w:rsidRDefault="00840372" w:rsidP="005964A7">
      <w:pPr>
        <w:numPr>
          <w:ilvl w:val="0"/>
          <w:numId w:val="13"/>
        </w:numPr>
        <w:tabs>
          <w:tab w:val="left" w:pos="512"/>
        </w:tabs>
        <w:kinsoku w:val="0"/>
        <w:overflowPunct w:val="0"/>
        <w:autoSpaceDE w:val="0"/>
        <w:autoSpaceDN w:val="0"/>
        <w:adjustRightInd w:val="0"/>
        <w:spacing w:after="0" w:line="238" w:lineRule="exact"/>
        <w:ind w:left="567" w:hanging="339"/>
        <w:rPr>
          <w:rFonts w:cstheme="minorHAnsi"/>
          <w:spacing w:val="-3"/>
          <w:sz w:val="16"/>
          <w:szCs w:val="16"/>
          <w:lang w:val="en-GB"/>
        </w:rPr>
      </w:pPr>
      <w:r w:rsidRPr="005964A7">
        <w:rPr>
          <w:rFonts w:cstheme="minorHAnsi"/>
          <w:sz w:val="16"/>
          <w:szCs w:val="16"/>
          <w:lang w:val="en-GB"/>
        </w:rPr>
        <w:t xml:space="preserve">Fisher′s exact </w:t>
      </w:r>
      <w:r w:rsidRPr="005964A7">
        <w:rPr>
          <w:rFonts w:cstheme="minorHAnsi"/>
          <w:spacing w:val="-3"/>
          <w:sz w:val="16"/>
          <w:szCs w:val="16"/>
          <w:lang w:val="en-GB"/>
        </w:rPr>
        <w:t>CI.</w:t>
      </w:r>
    </w:p>
    <w:p w14:paraId="6AB3ED52" w14:textId="347BA97E" w:rsidR="00840372" w:rsidRPr="004D1B32" w:rsidRDefault="00840372" w:rsidP="00840372">
      <w:pPr>
        <w:kinsoku w:val="0"/>
        <w:overflowPunct w:val="0"/>
        <w:autoSpaceDE w:val="0"/>
        <w:autoSpaceDN w:val="0"/>
        <w:adjustRightInd w:val="0"/>
        <w:spacing w:before="10" w:after="0" w:line="240" w:lineRule="auto"/>
        <w:ind w:left="228"/>
        <w:rPr>
          <w:rFonts w:cstheme="minorHAnsi"/>
          <w:sz w:val="16"/>
          <w:szCs w:val="16"/>
          <w:lang w:val="en-GB"/>
        </w:rPr>
      </w:pPr>
      <w:r w:rsidRPr="005964A7">
        <w:rPr>
          <w:rFonts w:cstheme="minorHAnsi"/>
          <w:sz w:val="16"/>
          <w:szCs w:val="16"/>
          <w:lang w:val="en-GB"/>
        </w:rPr>
        <w:t>CR</w:t>
      </w:r>
      <w:r w:rsidR="007B3616">
        <w:rPr>
          <w:rFonts w:cstheme="minorHAnsi"/>
          <w:sz w:val="16"/>
          <w:szCs w:val="16"/>
          <w:lang w:val="en-GB"/>
        </w:rPr>
        <w:t xml:space="preserve"> </w:t>
      </w:r>
      <w:r w:rsidRPr="005964A7">
        <w:rPr>
          <w:rFonts w:cstheme="minorHAnsi"/>
          <w:sz w:val="16"/>
          <w:szCs w:val="16"/>
          <w:lang w:val="en-GB"/>
        </w:rPr>
        <w:t>=</w:t>
      </w:r>
      <w:r w:rsidR="007B3616">
        <w:rPr>
          <w:rFonts w:cstheme="minorHAnsi"/>
          <w:sz w:val="16"/>
          <w:szCs w:val="16"/>
          <w:lang w:val="en-GB"/>
        </w:rPr>
        <w:t xml:space="preserve"> </w:t>
      </w:r>
      <w:r w:rsidRPr="005964A7">
        <w:rPr>
          <w:rFonts w:cstheme="minorHAnsi"/>
          <w:sz w:val="16"/>
          <w:szCs w:val="16"/>
          <w:lang w:val="en-GB"/>
        </w:rPr>
        <w:t>Complete Response; PR</w:t>
      </w:r>
      <w:r w:rsidR="007B3616">
        <w:rPr>
          <w:rFonts w:cstheme="minorHAnsi"/>
          <w:sz w:val="16"/>
          <w:szCs w:val="16"/>
          <w:lang w:val="en-GB"/>
        </w:rPr>
        <w:t xml:space="preserve"> </w:t>
      </w:r>
      <w:r w:rsidRPr="005964A7">
        <w:rPr>
          <w:rFonts w:cstheme="minorHAnsi"/>
          <w:sz w:val="16"/>
          <w:szCs w:val="16"/>
          <w:lang w:val="en-GB"/>
        </w:rPr>
        <w:t>=</w:t>
      </w:r>
      <w:r w:rsidR="007B3616">
        <w:rPr>
          <w:rFonts w:cstheme="minorHAnsi"/>
          <w:sz w:val="16"/>
          <w:szCs w:val="16"/>
          <w:lang w:val="en-GB"/>
        </w:rPr>
        <w:t xml:space="preserve"> </w:t>
      </w:r>
      <w:r w:rsidRPr="004D1B32">
        <w:rPr>
          <w:rFonts w:cstheme="minorHAnsi"/>
          <w:sz w:val="16"/>
          <w:szCs w:val="16"/>
          <w:lang w:val="en-GB"/>
        </w:rPr>
        <w:t>Partial Response; CI</w:t>
      </w:r>
      <w:r w:rsidR="007B3616">
        <w:rPr>
          <w:rFonts w:cstheme="minorHAnsi"/>
          <w:sz w:val="16"/>
          <w:szCs w:val="16"/>
          <w:lang w:val="en-GB"/>
        </w:rPr>
        <w:t xml:space="preserve"> </w:t>
      </w:r>
      <w:r w:rsidRPr="004D1B32">
        <w:rPr>
          <w:rFonts w:cstheme="minorHAnsi"/>
          <w:sz w:val="16"/>
          <w:szCs w:val="16"/>
          <w:lang w:val="en-GB"/>
        </w:rPr>
        <w:t>=</w:t>
      </w:r>
      <w:r w:rsidR="007B3616">
        <w:rPr>
          <w:rFonts w:cstheme="minorHAnsi"/>
          <w:sz w:val="16"/>
          <w:szCs w:val="16"/>
          <w:lang w:val="en-GB"/>
        </w:rPr>
        <w:t xml:space="preserve"> </w:t>
      </w:r>
      <w:r w:rsidRPr="004D1B32">
        <w:rPr>
          <w:rFonts w:cstheme="minorHAnsi"/>
          <w:sz w:val="16"/>
          <w:szCs w:val="16"/>
          <w:lang w:val="en-GB"/>
        </w:rPr>
        <w:t>Confidence Interval, HR</w:t>
      </w:r>
      <w:r w:rsidR="007B3616">
        <w:rPr>
          <w:rFonts w:cstheme="minorHAnsi"/>
          <w:sz w:val="16"/>
          <w:szCs w:val="16"/>
          <w:lang w:val="en-GB"/>
        </w:rPr>
        <w:t xml:space="preserve"> </w:t>
      </w:r>
      <w:r w:rsidRPr="004D1B32">
        <w:rPr>
          <w:rFonts w:cstheme="minorHAnsi"/>
          <w:sz w:val="16"/>
          <w:szCs w:val="16"/>
          <w:lang w:val="en-GB"/>
        </w:rPr>
        <w:t>=</w:t>
      </w:r>
      <w:r w:rsidR="007B3616">
        <w:rPr>
          <w:rFonts w:cstheme="minorHAnsi"/>
          <w:sz w:val="16"/>
          <w:szCs w:val="16"/>
          <w:lang w:val="en-GB"/>
        </w:rPr>
        <w:t xml:space="preserve"> </w:t>
      </w:r>
      <w:r w:rsidRPr="004D1B32">
        <w:rPr>
          <w:rFonts w:cstheme="minorHAnsi"/>
          <w:sz w:val="16"/>
          <w:szCs w:val="16"/>
          <w:lang w:val="en-GB"/>
        </w:rPr>
        <w:t>hazard ratio, NE</w:t>
      </w:r>
      <w:r w:rsidR="007B3616">
        <w:rPr>
          <w:rFonts w:cstheme="minorHAnsi"/>
          <w:sz w:val="16"/>
          <w:szCs w:val="16"/>
          <w:lang w:val="en-GB"/>
        </w:rPr>
        <w:t xml:space="preserve"> </w:t>
      </w:r>
      <w:r w:rsidRPr="004D1B32">
        <w:rPr>
          <w:rFonts w:cstheme="minorHAnsi"/>
          <w:sz w:val="16"/>
          <w:szCs w:val="16"/>
          <w:lang w:val="en-GB"/>
        </w:rPr>
        <w:t>=</w:t>
      </w:r>
      <w:r w:rsidR="007B3616">
        <w:rPr>
          <w:rFonts w:cstheme="minorHAnsi"/>
          <w:sz w:val="16"/>
          <w:szCs w:val="16"/>
          <w:lang w:val="en-GB"/>
        </w:rPr>
        <w:t xml:space="preserve"> </w:t>
      </w:r>
      <w:r w:rsidRPr="004D1B32">
        <w:rPr>
          <w:rFonts w:cstheme="minorHAnsi"/>
          <w:sz w:val="16"/>
          <w:szCs w:val="16"/>
          <w:lang w:val="en-GB"/>
        </w:rPr>
        <w:t>not estimable.</w:t>
      </w:r>
    </w:p>
    <w:p w14:paraId="77D7F94C" w14:textId="3D88C308" w:rsidR="00177CB6" w:rsidRDefault="00177CB6" w:rsidP="00625B50">
      <w:pPr>
        <w:pStyle w:val="BodyText"/>
        <w:pageBreakBefore/>
        <w:tabs>
          <w:tab w:val="left" w:pos="1251"/>
        </w:tabs>
        <w:spacing w:before="66"/>
        <w:ind w:left="97" w:hanging="284"/>
        <w:rPr>
          <w:rFonts w:asciiTheme="minorHAnsi" w:hAnsiTheme="minorHAnsi" w:cstheme="minorHAnsi"/>
          <w:b/>
          <w:bCs/>
          <w:sz w:val="22"/>
          <w:szCs w:val="22"/>
        </w:rPr>
      </w:pPr>
      <w:bookmarkStart w:id="4" w:name="_bookmark2"/>
      <w:bookmarkStart w:id="5" w:name="_bookmark1"/>
      <w:bookmarkStart w:id="6" w:name="_bookmark0"/>
      <w:bookmarkStart w:id="7" w:name="Figure_1:_Kaplan-Meier_Curves_of_Progres"/>
      <w:bookmarkStart w:id="8" w:name="15_REFERENCES"/>
      <w:bookmarkStart w:id="9" w:name="16_HOW_SUPPLIED/STORAGE_AND_HANDLING"/>
      <w:bookmarkStart w:id="10" w:name="Storage_and_Handling"/>
      <w:bookmarkStart w:id="11" w:name="17_PATIENT_COUNSELING_INFORMATION"/>
      <w:bookmarkEnd w:id="4"/>
      <w:bookmarkEnd w:id="5"/>
      <w:bookmarkEnd w:id="6"/>
      <w:bookmarkEnd w:id="7"/>
      <w:bookmarkEnd w:id="8"/>
      <w:bookmarkEnd w:id="9"/>
      <w:bookmarkEnd w:id="10"/>
      <w:bookmarkEnd w:id="11"/>
      <w:r w:rsidRPr="004D1B32">
        <w:rPr>
          <w:rFonts w:asciiTheme="minorHAnsi" w:hAnsiTheme="minorHAnsi" w:cstheme="minorHAnsi"/>
          <w:b/>
          <w:bCs/>
          <w:sz w:val="22"/>
          <w:szCs w:val="22"/>
        </w:rPr>
        <w:t>Figure</w:t>
      </w:r>
      <w:r w:rsidRPr="004D1B32">
        <w:rPr>
          <w:rFonts w:asciiTheme="minorHAnsi" w:hAnsiTheme="minorHAnsi" w:cstheme="minorHAnsi"/>
          <w:b/>
          <w:bCs/>
          <w:spacing w:val="-1"/>
          <w:sz w:val="22"/>
          <w:szCs w:val="22"/>
        </w:rPr>
        <w:t xml:space="preserve"> </w:t>
      </w:r>
      <w:r w:rsidRPr="004D1B32">
        <w:rPr>
          <w:rFonts w:asciiTheme="minorHAnsi" w:hAnsiTheme="minorHAnsi" w:cstheme="minorHAnsi"/>
          <w:b/>
          <w:bCs/>
          <w:sz w:val="22"/>
          <w:szCs w:val="22"/>
        </w:rPr>
        <w:t>1:</w:t>
      </w:r>
      <w:r w:rsidRPr="004D1B32">
        <w:rPr>
          <w:rFonts w:asciiTheme="minorHAnsi" w:hAnsiTheme="minorHAnsi" w:cstheme="minorHAnsi"/>
          <w:b/>
          <w:bCs/>
          <w:sz w:val="22"/>
          <w:szCs w:val="22"/>
        </w:rPr>
        <w:tab/>
        <w:t>Kaplan-Meier Curves of Progression-Free Survival in Trial</w:t>
      </w:r>
      <w:r w:rsidRPr="004D1B32">
        <w:rPr>
          <w:rFonts w:asciiTheme="minorHAnsi" w:hAnsiTheme="minorHAnsi" w:cstheme="minorHAnsi"/>
          <w:b/>
          <w:bCs/>
          <w:spacing w:val="-5"/>
          <w:sz w:val="22"/>
          <w:szCs w:val="22"/>
        </w:rPr>
        <w:t xml:space="preserve"> </w:t>
      </w:r>
      <w:r w:rsidRPr="004D1B32">
        <w:rPr>
          <w:rFonts w:asciiTheme="minorHAnsi" w:hAnsiTheme="minorHAnsi" w:cstheme="minorHAnsi"/>
          <w:b/>
          <w:bCs/>
          <w:sz w:val="22"/>
          <w:szCs w:val="22"/>
        </w:rPr>
        <w:t>ET743-SAR-3007</w:t>
      </w:r>
    </w:p>
    <w:p w14:paraId="42AEDA14" w14:textId="77777777" w:rsidR="00625B50" w:rsidRPr="004D1B32" w:rsidRDefault="00625B50" w:rsidP="00625B50">
      <w:pPr>
        <w:pStyle w:val="BodyText"/>
        <w:tabs>
          <w:tab w:val="left" w:pos="1251"/>
        </w:tabs>
        <w:spacing w:before="66"/>
        <w:ind w:left="97" w:hanging="284"/>
        <w:rPr>
          <w:rFonts w:asciiTheme="minorHAnsi" w:hAnsiTheme="minorHAnsi" w:cstheme="minorHAnsi"/>
          <w:b/>
          <w:bCs/>
          <w:sz w:val="22"/>
          <w:szCs w:val="22"/>
        </w:rPr>
      </w:pPr>
    </w:p>
    <w:p w14:paraId="69917D1B" w14:textId="5E5C2FC1" w:rsidR="005F0900" w:rsidRPr="00625B50" w:rsidRDefault="00625B50" w:rsidP="00625B50">
      <w:r>
        <w:rPr>
          <w:noProof/>
          <w:lang w:eastAsia="en-AU"/>
        </w:rPr>
        <w:drawing>
          <wp:inline distT="0" distB="0" distL="0" distR="0" wp14:anchorId="11A0E625" wp14:editId="2DA5E58A">
            <wp:extent cx="4608830" cy="3048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8830" cy="3048000"/>
                    </a:xfrm>
                    <a:prstGeom prst="rect">
                      <a:avLst/>
                    </a:prstGeom>
                    <a:noFill/>
                  </pic:spPr>
                </pic:pic>
              </a:graphicData>
            </a:graphic>
          </wp:inline>
        </w:drawing>
      </w:r>
    </w:p>
    <w:p w14:paraId="5B750F30" w14:textId="0BAC3C49" w:rsidR="00894D5D" w:rsidRPr="00530AE7" w:rsidRDefault="00894D5D" w:rsidP="00140758">
      <w:pPr>
        <w:keepNext/>
        <w:numPr>
          <w:ilvl w:val="12"/>
          <w:numId w:val="0"/>
        </w:numPr>
        <w:rPr>
          <w:i/>
        </w:rPr>
      </w:pPr>
      <w:r w:rsidRPr="00530AE7">
        <w:rPr>
          <w:i/>
        </w:rPr>
        <w:t>Paediatric population</w:t>
      </w:r>
    </w:p>
    <w:p w14:paraId="287C8A34" w14:textId="69F3036C" w:rsidR="00894D5D" w:rsidRPr="004132AF" w:rsidRDefault="004132AF" w:rsidP="004132AF">
      <w:proofErr w:type="spellStart"/>
      <w:r w:rsidRPr="004132AF">
        <w:rPr>
          <w:lang w:val="en-GB" w:eastAsia="en-GB"/>
        </w:rPr>
        <w:t>Trabectedin</w:t>
      </w:r>
      <w:proofErr w:type="spellEnd"/>
      <w:r w:rsidRPr="004132AF">
        <w:rPr>
          <w:lang w:val="en-GB" w:eastAsia="en-GB"/>
        </w:rPr>
        <w:t xml:space="preserve"> has not been studied in paediatric subjects with </w:t>
      </w:r>
      <w:proofErr w:type="spellStart"/>
      <w:r w:rsidRPr="004132AF">
        <w:rPr>
          <w:lang w:val="en-GB" w:eastAsia="en-GB"/>
        </w:rPr>
        <w:t>leiomyosarcoma</w:t>
      </w:r>
      <w:proofErr w:type="spellEnd"/>
      <w:r w:rsidRPr="004132AF">
        <w:rPr>
          <w:lang w:val="en-GB" w:eastAsia="en-GB"/>
        </w:rPr>
        <w:t xml:space="preserve"> of</w:t>
      </w:r>
      <w:r>
        <w:rPr>
          <w:lang w:val="en-GB" w:eastAsia="en-GB"/>
        </w:rPr>
        <w:t xml:space="preserve"> </w:t>
      </w:r>
      <w:proofErr w:type="spellStart"/>
      <w:r w:rsidRPr="004132AF">
        <w:rPr>
          <w:lang w:val="en-GB" w:eastAsia="en-GB"/>
        </w:rPr>
        <w:t>liposarcoma</w:t>
      </w:r>
      <w:proofErr w:type="spellEnd"/>
      <w:r w:rsidRPr="004132AF">
        <w:rPr>
          <w:lang w:val="en-GB" w:eastAsia="en-GB"/>
        </w:rPr>
        <w:t>. In a phase I-II study (SAR-2005) in 50 paediatric patients with</w:t>
      </w:r>
      <w:r>
        <w:rPr>
          <w:lang w:val="en-GB" w:eastAsia="en-GB"/>
        </w:rPr>
        <w:t xml:space="preserve"> </w:t>
      </w:r>
      <w:r w:rsidRPr="004132AF">
        <w:rPr>
          <w:lang w:val="en-GB" w:eastAsia="en-GB"/>
        </w:rPr>
        <w:t>rhabdomyosarcoma, Ewing sarcoma or non-rhabdomyosarcoma soft tissue sarcoma, the objective response rate was 2.5% (95%CI: 0.1%-13.2%)</w:t>
      </w:r>
      <w:r w:rsidR="009F079C">
        <w:t>.</w:t>
      </w:r>
    </w:p>
    <w:p w14:paraId="0B09E546" w14:textId="77777777" w:rsidR="001A3992" w:rsidRPr="00530AE7" w:rsidRDefault="001A3992" w:rsidP="001A3992">
      <w:pPr>
        <w:pStyle w:val="Heading2"/>
        <w:keepNext/>
        <w:spacing w:before="0" w:after="120"/>
      </w:pPr>
      <w:r w:rsidRPr="00530AE7">
        <w:t xml:space="preserve">Pharmacokinetic properties </w:t>
      </w:r>
    </w:p>
    <w:p w14:paraId="38696941" w14:textId="170CDB58" w:rsidR="0021200F" w:rsidRPr="00530AE7" w:rsidRDefault="0021200F" w:rsidP="00CB1B27">
      <w:pPr>
        <w:pStyle w:val="Heading3"/>
        <w:spacing w:before="0" w:after="120"/>
        <w:ind w:left="0"/>
        <w:rPr>
          <w:rFonts w:cstheme="minorHAnsi"/>
          <w:b w:val="0"/>
        </w:rPr>
      </w:pPr>
      <w:r w:rsidRPr="00530AE7">
        <w:rPr>
          <w:rFonts w:cstheme="minorHAnsi"/>
        </w:rPr>
        <w:t xml:space="preserve">Distribution </w:t>
      </w:r>
    </w:p>
    <w:p w14:paraId="17ACE182" w14:textId="155649D5" w:rsidR="00361173" w:rsidRPr="00530AE7" w:rsidRDefault="00361173" w:rsidP="00CB1B27">
      <w:pPr>
        <w:keepNext/>
        <w:spacing w:line="240" w:lineRule="auto"/>
        <w:outlineLvl w:val="0"/>
      </w:pPr>
      <w:r w:rsidRPr="00530AE7">
        <w:t>Systemic exposure after intravenous administration as a constant rate infusion is dose proportional at doses up to and including 1.8 mg/m</w:t>
      </w:r>
      <w:r w:rsidRPr="00530AE7">
        <w:rPr>
          <w:vertAlign w:val="superscript"/>
        </w:rPr>
        <w:t>2</w:t>
      </w:r>
      <w:r w:rsidRPr="00530AE7">
        <w:t xml:space="preserve">. </w:t>
      </w:r>
      <w:proofErr w:type="spellStart"/>
      <w:r w:rsidRPr="00530AE7">
        <w:t>Trabectedin</w:t>
      </w:r>
      <w:proofErr w:type="spellEnd"/>
      <w:r w:rsidRPr="00530AE7">
        <w:t xml:space="preserve"> pharmacokinetic profile is consistent with a multiple</w:t>
      </w:r>
      <w:r w:rsidRPr="00530AE7">
        <w:noBreakHyphen/>
        <w:t>compartment disposition model.</w:t>
      </w:r>
    </w:p>
    <w:p w14:paraId="6347730B" w14:textId="01131C82" w:rsidR="00361173" w:rsidRPr="00530AE7" w:rsidRDefault="00361173" w:rsidP="00CB1B27">
      <w:pPr>
        <w:spacing w:line="240" w:lineRule="auto"/>
        <w:outlineLvl w:val="0"/>
      </w:pPr>
      <w:r w:rsidRPr="00530AE7">
        <w:t xml:space="preserve">Following intravenous administration, </w:t>
      </w:r>
      <w:proofErr w:type="spellStart"/>
      <w:r w:rsidRPr="00530AE7">
        <w:t>trabectedin</w:t>
      </w:r>
      <w:proofErr w:type="spellEnd"/>
      <w:r w:rsidRPr="00530AE7">
        <w:t xml:space="preserve"> demonstrates a high apparent volume of distribution, consistent with extensive tissue and plasma protein binding (94 to 98% of </w:t>
      </w:r>
      <w:proofErr w:type="spellStart"/>
      <w:r w:rsidRPr="00530AE7">
        <w:t>trabectedin</w:t>
      </w:r>
      <w:proofErr w:type="spellEnd"/>
      <w:r w:rsidRPr="00530AE7">
        <w:t xml:space="preserve"> in plasma is protein bound). The distribution volume at steady state of </w:t>
      </w:r>
      <w:proofErr w:type="spellStart"/>
      <w:r w:rsidRPr="00530AE7">
        <w:t>trabectedin</w:t>
      </w:r>
      <w:proofErr w:type="spellEnd"/>
      <w:r w:rsidRPr="00530AE7">
        <w:t xml:space="preserve"> in human subjects exceeds 5,000 l.</w:t>
      </w:r>
    </w:p>
    <w:p w14:paraId="3EF7B9D5" w14:textId="765D6A80" w:rsidR="0021200F" w:rsidRPr="00530AE7" w:rsidRDefault="0021200F" w:rsidP="00CB1B27">
      <w:pPr>
        <w:pStyle w:val="Heading3"/>
        <w:spacing w:before="0" w:after="120"/>
        <w:ind w:left="0"/>
        <w:rPr>
          <w:rFonts w:cstheme="minorHAnsi"/>
          <w:b w:val="0"/>
        </w:rPr>
      </w:pPr>
      <w:r w:rsidRPr="00530AE7">
        <w:rPr>
          <w:rFonts w:cstheme="minorHAnsi"/>
        </w:rPr>
        <w:t xml:space="preserve">Metabolism </w:t>
      </w:r>
    </w:p>
    <w:p w14:paraId="78CBB844" w14:textId="2AD72312" w:rsidR="008440F8" w:rsidRPr="00530AE7" w:rsidRDefault="008440F8" w:rsidP="00CB1B27">
      <w:pPr>
        <w:spacing w:line="240" w:lineRule="auto"/>
      </w:pPr>
      <w:r w:rsidRPr="00530AE7">
        <w:t xml:space="preserve">Cytochrome P450 3A4 is the major cytochrome P450 isozyme responsible for the oxidative metabolism of </w:t>
      </w:r>
      <w:proofErr w:type="spellStart"/>
      <w:r w:rsidRPr="00530AE7">
        <w:t>trabectedin</w:t>
      </w:r>
      <w:proofErr w:type="spellEnd"/>
      <w:r w:rsidR="004A2209">
        <w:t xml:space="preserve"> </w:t>
      </w:r>
      <w:r w:rsidR="004A2209">
        <w:rPr>
          <w:i/>
          <w:iCs/>
        </w:rPr>
        <w:t>in vitro</w:t>
      </w:r>
      <w:r w:rsidRPr="00530AE7">
        <w:t xml:space="preserve"> at clinically relevant concentrations. Other P450 enzymes may contribute to metabolism. </w:t>
      </w:r>
      <w:proofErr w:type="spellStart"/>
      <w:r w:rsidRPr="00530AE7">
        <w:t>Trabectedin</w:t>
      </w:r>
      <w:proofErr w:type="spellEnd"/>
      <w:r w:rsidRPr="00530AE7">
        <w:t xml:space="preserve"> </w:t>
      </w:r>
      <w:r w:rsidR="00893D30">
        <w:t xml:space="preserve">at clinically relevant concentrations did </w:t>
      </w:r>
      <w:r w:rsidRPr="00530AE7">
        <w:t>not induce or inhibit major cytochrome P450 enzymes</w:t>
      </w:r>
      <w:r w:rsidR="00893D30">
        <w:t xml:space="preserve"> </w:t>
      </w:r>
      <w:r w:rsidR="00893D30">
        <w:rPr>
          <w:i/>
          <w:iCs/>
        </w:rPr>
        <w:t>in vitro</w:t>
      </w:r>
      <w:r w:rsidRPr="00530AE7">
        <w:t>.</w:t>
      </w:r>
    </w:p>
    <w:p w14:paraId="40A0E457" w14:textId="691D7E83" w:rsidR="0021200F" w:rsidRPr="00530AE7" w:rsidRDefault="0021200F" w:rsidP="00CB1B27">
      <w:pPr>
        <w:pStyle w:val="Heading3"/>
        <w:spacing w:before="0" w:after="120"/>
        <w:ind w:left="0"/>
        <w:rPr>
          <w:rFonts w:cstheme="minorHAnsi"/>
          <w:b w:val="0"/>
        </w:rPr>
      </w:pPr>
      <w:r w:rsidRPr="00530AE7">
        <w:rPr>
          <w:rFonts w:cstheme="minorHAnsi"/>
        </w:rPr>
        <w:t xml:space="preserve">Excretion </w:t>
      </w:r>
    </w:p>
    <w:p w14:paraId="16C2CE62" w14:textId="7EB420C9" w:rsidR="002E0332" w:rsidRPr="00530AE7" w:rsidRDefault="002E0332" w:rsidP="002E0332">
      <w:pPr>
        <w:spacing w:line="240" w:lineRule="auto"/>
      </w:pPr>
      <w:r w:rsidRPr="00530AE7">
        <w:t xml:space="preserve">Renal elimination of unchanged </w:t>
      </w:r>
      <w:proofErr w:type="spellStart"/>
      <w:r w:rsidRPr="00530AE7">
        <w:t>trabectedin</w:t>
      </w:r>
      <w:proofErr w:type="spellEnd"/>
      <w:r w:rsidRPr="00530AE7">
        <w:t xml:space="preserve"> in humans is low (less than 1%). The terminal half</w:t>
      </w:r>
      <w:r w:rsidRPr="00530AE7">
        <w:noBreakHyphen/>
        <w:t>life is long (population value of the terminal elimination phase: 180</w:t>
      </w:r>
      <w:r w:rsidRPr="00530AE7">
        <w:noBreakHyphen/>
        <w:t xml:space="preserve">hr). After a dose of radiolabelled </w:t>
      </w:r>
      <w:proofErr w:type="spellStart"/>
      <w:r w:rsidRPr="00530AE7">
        <w:t>trabectedin</w:t>
      </w:r>
      <w:proofErr w:type="spellEnd"/>
      <w:r w:rsidRPr="00530AE7">
        <w:t xml:space="preserve"> administered to cancer patients, faecal mean (SD) recovery of total radioactivity is 58% (17%), and urinary mean (SD) recovery is 5.8% (1.73%). Based on the population estimate for plasma clearance of </w:t>
      </w:r>
      <w:proofErr w:type="spellStart"/>
      <w:r w:rsidRPr="00530AE7">
        <w:t>trabectedin</w:t>
      </w:r>
      <w:proofErr w:type="spellEnd"/>
      <w:r w:rsidRPr="00530AE7">
        <w:t xml:space="preserve"> (30.9 </w:t>
      </w:r>
      <w:r w:rsidR="00FB4EC0" w:rsidRPr="00530AE7">
        <w:t>L</w:t>
      </w:r>
      <w:r w:rsidRPr="00530AE7">
        <w:t xml:space="preserve">/h) and blood/plasma ratio (0.89), the clearance of </w:t>
      </w:r>
      <w:proofErr w:type="spellStart"/>
      <w:r w:rsidRPr="00530AE7">
        <w:t>trabectedin</w:t>
      </w:r>
      <w:proofErr w:type="spellEnd"/>
      <w:r w:rsidRPr="00530AE7">
        <w:t xml:space="preserve"> in whole blood is approximately 35 </w:t>
      </w:r>
      <w:r w:rsidR="00FB4EC0" w:rsidRPr="00530AE7">
        <w:t>L</w:t>
      </w:r>
      <w:r w:rsidRPr="00530AE7">
        <w:t>/h. This value is approximately one</w:t>
      </w:r>
      <w:r w:rsidRPr="00530AE7">
        <w:noBreakHyphen/>
        <w:t xml:space="preserve">half the rate of human hepatic blood flow. Thus the </w:t>
      </w:r>
      <w:proofErr w:type="spellStart"/>
      <w:r w:rsidRPr="00530AE7">
        <w:t>trabectedin</w:t>
      </w:r>
      <w:proofErr w:type="spellEnd"/>
      <w:r w:rsidRPr="00530AE7">
        <w:t xml:space="preserve"> extraction ratio can be considered moderate. The inter</w:t>
      </w:r>
      <w:r w:rsidRPr="00530AE7">
        <w:noBreakHyphen/>
        <w:t xml:space="preserve">patient variability of the population estimate for plasma clearance of </w:t>
      </w:r>
      <w:proofErr w:type="spellStart"/>
      <w:r w:rsidRPr="00530AE7">
        <w:t>trabectedin</w:t>
      </w:r>
      <w:proofErr w:type="spellEnd"/>
      <w:r w:rsidRPr="00530AE7">
        <w:t xml:space="preserve"> was 49% and intra</w:t>
      </w:r>
      <w:r w:rsidRPr="00530AE7">
        <w:noBreakHyphen/>
        <w:t>patient variability was 28%.</w:t>
      </w:r>
    </w:p>
    <w:p w14:paraId="0E4FDA69" w14:textId="1285A93D" w:rsidR="005F5DD6" w:rsidRPr="00530AE7" w:rsidRDefault="005F5DD6" w:rsidP="005F5DD6">
      <w:pPr>
        <w:keepNext/>
        <w:spacing w:line="240" w:lineRule="auto"/>
        <w:rPr>
          <w:rFonts w:asciiTheme="majorHAnsi" w:hAnsiTheme="majorHAnsi"/>
          <w:b/>
          <w:bCs/>
          <w:iCs/>
        </w:rPr>
      </w:pPr>
      <w:r w:rsidRPr="00530AE7">
        <w:rPr>
          <w:rFonts w:asciiTheme="majorHAnsi" w:hAnsiTheme="majorHAnsi"/>
          <w:b/>
          <w:bCs/>
          <w:iCs/>
        </w:rPr>
        <w:t>Special populations</w:t>
      </w:r>
    </w:p>
    <w:p w14:paraId="5606724F" w14:textId="1A694567" w:rsidR="002F54B1" w:rsidRDefault="005F5DD6" w:rsidP="005F5DD6">
      <w:pPr>
        <w:spacing w:line="240" w:lineRule="auto"/>
        <w:rPr>
          <w:iCs/>
        </w:rPr>
      </w:pPr>
      <w:r w:rsidRPr="00530AE7">
        <w:rPr>
          <w:iCs/>
        </w:rPr>
        <w:t xml:space="preserve">A </w:t>
      </w:r>
      <w:r w:rsidR="003918B6">
        <w:rPr>
          <w:iCs/>
        </w:rPr>
        <w:t>phase 1 study showed</w:t>
      </w:r>
      <w:r w:rsidRPr="00530AE7">
        <w:rPr>
          <w:iCs/>
        </w:rPr>
        <w:t xml:space="preserve"> that the plasma clearance of </w:t>
      </w:r>
      <w:proofErr w:type="spellStart"/>
      <w:r w:rsidRPr="00530AE7">
        <w:rPr>
          <w:iCs/>
        </w:rPr>
        <w:t>trabectedin</w:t>
      </w:r>
      <w:proofErr w:type="spellEnd"/>
      <w:r w:rsidRPr="00530AE7">
        <w:rPr>
          <w:iCs/>
        </w:rPr>
        <w:t xml:space="preserve"> is not influenced by age (range 19</w:t>
      </w:r>
      <w:r w:rsidRPr="00530AE7">
        <w:rPr>
          <w:iCs/>
        </w:rPr>
        <w:noBreakHyphen/>
        <w:t xml:space="preserve">83 years), gender, </w:t>
      </w:r>
      <w:r w:rsidRPr="00530AE7">
        <w:t>total body weight (range: 36 to 148 kg) or body surface area (range: 0.9 to 2.8 m</w:t>
      </w:r>
      <w:r w:rsidRPr="00530AE7">
        <w:rPr>
          <w:vertAlign w:val="superscript"/>
        </w:rPr>
        <w:t>2</w:t>
      </w:r>
      <w:r w:rsidRPr="00530AE7">
        <w:t>)</w:t>
      </w:r>
      <w:r w:rsidRPr="00530AE7">
        <w:rPr>
          <w:iCs/>
        </w:rPr>
        <w:t>.</w:t>
      </w:r>
    </w:p>
    <w:p w14:paraId="0191B9B7" w14:textId="06E3A2DD" w:rsidR="005F5DD6" w:rsidRPr="00530AE7" w:rsidRDefault="002F54B1" w:rsidP="005F5DD6">
      <w:pPr>
        <w:spacing w:line="240" w:lineRule="auto"/>
      </w:pPr>
      <w:r>
        <w:rPr>
          <w:iCs/>
        </w:rPr>
        <w:t xml:space="preserve">For information regarding the Japanese population refer to Section </w:t>
      </w:r>
      <w:r w:rsidR="008B6394">
        <w:rPr>
          <w:iCs/>
        </w:rPr>
        <w:t>4.2 Dose and Method of Administration, Special Populations.</w:t>
      </w:r>
      <w:r w:rsidR="005F5DD6" w:rsidRPr="00530AE7">
        <w:rPr>
          <w:iCs/>
        </w:rPr>
        <w:t xml:space="preserve"> </w:t>
      </w:r>
    </w:p>
    <w:p w14:paraId="473B3735" w14:textId="3C5FA34E" w:rsidR="005F5DD6" w:rsidRPr="00530AE7" w:rsidRDefault="005F5DD6" w:rsidP="005F5DD6">
      <w:pPr>
        <w:keepNext/>
        <w:spacing w:line="240" w:lineRule="auto"/>
        <w:rPr>
          <w:i/>
        </w:rPr>
      </w:pPr>
      <w:r w:rsidRPr="00530AE7">
        <w:rPr>
          <w:i/>
        </w:rPr>
        <w:t>Renal impairment</w:t>
      </w:r>
    </w:p>
    <w:p w14:paraId="38771A42" w14:textId="2FE950C0" w:rsidR="005F5DD6" w:rsidRPr="00530AE7" w:rsidRDefault="005F5DD6" w:rsidP="005F5DD6">
      <w:pPr>
        <w:keepNext/>
        <w:spacing w:line="240" w:lineRule="auto"/>
        <w:rPr>
          <w:iCs/>
        </w:rPr>
      </w:pPr>
      <w:r w:rsidRPr="00530AE7">
        <w:rPr>
          <w:iCs/>
        </w:rPr>
        <w:t xml:space="preserve">There is no relevant influence of renal function measured by creatinine clearance on </w:t>
      </w:r>
      <w:proofErr w:type="spellStart"/>
      <w:r w:rsidRPr="00530AE7">
        <w:rPr>
          <w:iCs/>
        </w:rPr>
        <w:t>trabectedin</w:t>
      </w:r>
      <w:proofErr w:type="spellEnd"/>
      <w:r w:rsidRPr="00530AE7">
        <w:rPr>
          <w:iCs/>
        </w:rPr>
        <w:t xml:space="preserve"> pharmacokinetics within the range of values (</w:t>
      </w:r>
      <w:r w:rsidRPr="00530AE7">
        <w:t>≥</w:t>
      </w:r>
      <w:r w:rsidRPr="00530AE7">
        <w:rPr>
          <w:iCs/>
        </w:rPr>
        <w:t> 30.3</w:t>
      </w:r>
      <w:r w:rsidRPr="00530AE7">
        <w:t> </w:t>
      </w:r>
      <w:r w:rsidR="00930D2D" w:rsidRPr="00530AE7">
        <w:rPr>
          <w:iCs/>
        </w:rPr>
        <w:t>mL</w:t>
      </w:r>
      <w:r w:rsidRPr="00530AE7">
        <w:rPr>
          <w:iCs/>
        </w:rPr>
        <w:t>/min) present in the patients included in the clinical studies. No data are available in patients with a creatinine clearance of less than 30.3</w:t>
      </w:r>
      <w:r w:rsidRPr="00530AE7">
        <w:t> </w:t>
      </w:r>
      <w:r w:rsidR="00930D2D" w:rsidRPr="00530AE7">
        <w:rPr>
          <w:iCs/>
        </w:rPr>
        <w:t>mL</w:t>
      </w:r>
      <w:r w:rsidRPr="00530AE7">
        <w:rPr>
          <w:iCs/>
        </w:rPr>
        <w:t xml:space="preserve">/min. The low recovery (&lt; 9% in all studied patients) of total radioactivity in the urine after a single dose of </w:t>
      </w:r>
      <w:r w:rsidRPr="00530AE7">
        <w:rPr>
          <w:iCs/>
          <w:vertAlign w:val="superscript"/>
        </w:rPr>
        <w:t>14</w:t>
      </w:r>
      <w:r w:rsidRPr="00530AE7">
        <w:rPr>
          <w:iCs/>
        </w:rPr>
        <w:t>C</w:t>
      </w:r>
      <w:r w:rsidRPr="00530AE7">
        <w:rPr>
          <w:iCs/>
        </w:rPr>
        <w:noBreakHyphen/>
        <w:t xml:space="preserve">labelled </w:t>
      </w:r>
      <w:proofErr w:type="spellStart"/>
      <w:r w:rsidRPr="00530AE7">
        <w:rPr>
          <w:iCs/>
        </w:rPr>
        <w:t>trabectedin</w:t>
      </w:r>
      <w:proofErr w:type="spellEnd"/>
      <w:r w:rsidRPr="00530AE7">
        <w:rPr>
          <w:iCs/>
        </w:rPr>
        <w:t xml:space="preserve"> indicates that renal impairment has little influence on the elimination of </w:t>
      </w:r>
      <w:proofErr w:type="spellStart"/>
      <w:r w:rsidRPr="00530AE7">
        <w:rPr>
          <w:iCs/>
        </w:rPr>
        <w:t>trabectedin</w:t>
      </w:r>
      <w:proofErr w:type="spellEnd"/>
      <w:r w:rsidRPr="00530AE7">
        <w:rPr>
          <w:iCs/>
        </w:rPr>
        <w:t xml:space="preserve"> or its metabolites.</w:t>
      </w:r>
    </w:p>
    <w:p w14:paraId="7BF5D94F" w14:textId="1C2BD4CD" w:rsidR="005F5DD6" w:rsidRPr="00530AE7" w:rsidRDefault="005F5DD6" w:rsidP="005F5DD6">
      <w:pPr>
        <w:keepNext/>
        <w:spacing w:line="240" w:lineRule="auto"/>
        <w:rPr>
          <w:iCs/>
        </w:rPr>
      </w:pPr>
      <w:r w:rsidRPr="00530AE7">
        <w:rPr>
          <w:i/>
        </w:rPr>
        <w:t>Hepatic impairment</w:t>
      </w:r>
    </w:p>
    <w:p w14:paraId="13D834BD" w14:textId="7751F6EC" w:rsidR="005F5DD6" w:rsidRPr="00530AE7" w:rsidRDefault="005F5DD6" w:rsidP="005F5DD6">
      <w:pPr>
        <w:keepNext/>
        <w:spacing w:line="240" w:lineRule="auto"/>
        <w:rPr>
          <w:iCs/>
        </w:rPr>
      </w:pPr>
      <w:r w:rsidRPr="00530AE7">
        <w:t xml:space="preserve">The effect of hepatic impairment on the pharmacokinetics of </w:t>
      </w:r>
      <w:proofErr w:type="spellStart"/>
      <w:r w:rsidRPr="00530AE7">
        <w:t>trabectedin</w:t>
      </w:r>
      <w:proofErr w:type="spellEnd"/>
      <w:r w:rsidRPr="00530AE7">
        <w:t xml:space="preserve"> was assessed in 15 cancer patients at doses ranging from 0.58 to 1.3 mg/m</w:t>
      </w:r>
      <w:r w:rsidRPr="00530AE7">
        <w:rPr>
          <w:vertAlign w:val="superscript"/>
        </w:rPr>
        <w:t>2</w:t>
      </w:r>
      <w:r w:rsidRPr="00530AE7">
        <w:t xml:space="preserve"> administered as 3-hour infusion. The geometric mean dose normali</w:t>
      </w:r>
      <w:r w:rsidR="00E30DEB" w:rsidRPr="00530AE7">
        <w:t>s</w:t>
      </w:r>
      <w:r w:rsidRPr="00530AE7">
        <w:t xml:space="preserve">ed </w:t>
      </w:r>
      <w:proofErr w:type="spellStart"/>
      <w:r w:rsidRPr="00530AE7">
        <w:t>trabectedin</w:t>
      </w:r>
      <w:proofErr w:type="spellEnd"/>
      <w:r w:rsidRPr="00530AE7">
        <w:t xml:space="preserve"> exposure (AUC) increased by 97% (90% CI: 20%, 222%) in 6 patients with moderate hepatic impairment (increased serum bilirubin levels from 1.5 to 3 x ULN and increase of aminotransferases (AST or ALT) &lt; 8 x ULN) following administration of a single </w:t>
      </w:r>
      <w:proofErr w:type="spellStart"/>
      <w:r w:rsidRPr="00530AE7">
        <w:t>trabectedin</w:t>
      </w:r>
      <w:proofErr w:type="spellEnd"/>
      <w:r w:rsidRPr="00530AE7">
        <w:t xml:space="preserve"> dose of 0.58 mg/m</w:t>
      </w:r>
      <w:r w:rsidRPr="00530AE7">
        <w:rPr>
          <w:vertAlign w:val="superscript"/>
        </w:rPr>
        <w:t>2</w:t>
      </w:r>
      <w:r w:rsidRPr="00530AE7">
        <w:t xml:space="preserve"> (n=3) or 0.9 mg/m</w:t>
      </w:r>
      <w:r w:rsidRPr="00530AE7">
        <w:rPr>
          <w:vertAlign w:val="superscript"/>
        </w:rPr>
        <w:t>2</w:t>
      </w:r>
      <w:r w:rsidRPr="00530AE7">
        <w:t xml:space="preserve"> (n=3) compared to 9 patients with normal liver function following administration of a single </w:t>
      </w:r>
      <w:proofErr w:type="spellStart"/>
      <w:r w:rsidRPr="00530AE7">
        <w:t>trabectedin</w:t>
      </w:r>
      <w:proofErr w:type="spellEnd"/>
      <w:r w:rsidRPr="00530AE7">
        <w:t xml:space="preserve"> dose of 1.3 mg/m</w:t>
      </w:r>
      <w:r w:rsidRPr="00530AE7">
        <w:rPr>
          <w:vertAlign w:val="superscript"/>
        </w:rPr>
        <w:t>2</w:t>
      </w:r>
      <w:r w:rsidRPr="00530AE7">
        <w:t xml:space="preserve"> (see sections 4.2 and 4.4).</w:t>
      </w:r>
    </w:p>
    <w:p w14:paraId="7764ADC7" w14:textId="77777777" w:rsidR="001A3992" w:rsidRPr="00530AE7" w:rsidRDefault="001A3992" w:rsidP="001A3992">
      <w:pPr>
        <w:pStyle w:val="Heading2"/>
        <w:spacing w:before="0" w:after="120"/>
      </w:pPr>
      <w:r w:rsidRPr="00530AE7">
        <w:t>Preclinical safety data</w:t>
      </w:r>
    </w:p>
    <w:p w14:paraId="6C6B92C4" w14:textId="081B7E19" w:rsidR="001A3992" w:rsidRPr="00530AE7" w:rsidRDefault="001A3992" w:rsidP="00246FB9">
      <w:pPr>
        <w:pStyle w:val="Heading3"/>
        <w:spacing w:before="0" w:after="120"/>
        <w:ind w:left="0"/>
      </w:pPr>
      <w:r w:rsidRPr="00530AE7">
        <w:t>Genotoxicity</w:t>
      </w:r>
    </w:p>
    <w:p w14:paraId="6B681051" w14:textId="65EBB413" w:rsidR="00BA54AD" w:rsidRPr="00530AE7" w:rsidRDefault="00BA54AD" w:rsidP="00246FB9">
      <w:pPr>
        <w:spacing w:line="240" w:lineRule="auto"/>
      </w:pPr>
      <w:proofErr w:type="spellStart"/>
      <w:r w:rsidRPr="00530AE7">
        <w:t>Trabectedin</w:t>
      </w:r>
      <w:proofErr w:type="spellEnd"/>
      <w:r w:rsidRPr="00530AE7">
        <w:t xml:space="preserve"> </w:t>
      </w:r>
      <w:r w:rsidR="00AA6240">
        <w:t>was</w:t>
      </w:r>
      <w:r w:rsidRPr="00530AE7">
        <w:t xml:space="preserve"> genotoxic </w:t>
      </w:r>
      <w:r w:rsidR="00AA6240">
        <w:t xml:space="preserve">in </w:t>
      </w:r>
      <w:r w:rsidRPr="00530AE7">
        <w:t xml:space="preserve">both </w:t>
      </w:r>
      <w:r w:rsidRPr="00530AE7">
        <w:rPr>
          <w:i/>
          <w:iCs/>
        </w:rPr>
        <w:t>in vitro</w:t>
      </w:r>
      <w:r w:rsidR="006516F9">
        <w:t>, Ames test and lymphoma assays</w:t>
      </w:r>
      <w:r w:rsidRPr="00530AE7">
        <w:t xml:space="preserve"> and </w:t>
      </w:r>
      <w:r w:rsidRPr="00530AE7">
        <w:rPr>
          <w:i/>
          <w:iCs/>
        </w:rPr>
        <w:t>in vivo</w:t>
      </w:r>
      <w:r w:rsidR="006516F9">
        <w:t xml:space="preserve"> mouse micronucleus test</w:t>
      </w:r>
      <w:r w:rsidRPr="00530AE7">
        <w:t xml:space="preserve">. </w:t>
      </w:r>
    </w:p>
    <w:p w14:paraId="75EA638F" w14:textId="7DA3AEC7" w:rsidR="001A3992" w:rsidRPr="00530AE7" w:rsidRDefault="001A3992" w:rsidP="00246FB9">
      <w:pPr>
        <w:pStyle w:val="Heading3"/>
        <w:spacing w:before="0" w:after="120"/>
        <w:ind w:left="0"/>
      </w:pPr>
      <w:r w:rsidRPr="00530AE7">
        <w:t>Carcinogenicity</w:t>
      </w:r>
    </w:p>
    <w:p w14:paraId="0B7511F1" w14:textId="0F21A815" w:rsidR="008513F7" w:rsidRPr="00530AE7" w:rsidRDefault="008513F7" w:rsidP="008513F7">
      <w:pPr>
        <w:spacing w:line="240" w:lineRule="auto"/>
      </w:pPr>
      <w:r w:rsidRPr="00530AE7">
        <w:t>Long</w:t>
      </w:r>
      <w:r w:rsidRPr="00530AE7">
        <w:noBreakHyphen/>
        <w:t>term carcinogenicity studies have not been performed.</w:t>
      </w:r>
    </w:p>
    <w:p w14:paraId="4FA10A3B" w14:textId="77777777" w:rsidR="00507F9E" w:rsidRDefault="00507F9E">
      <w:pPr>
        <w:rPr>
          <w:rFonts w:asciiTheme="majorHAnsi" w:eastAsiaTheme="majorEastAsia" w:hAnsiTheme="majorHAnsi" w:cstheme="majorBidi"/>
          <w:b/>
          <w:bCs/>
          <w:caps/>
          <w:sz w:val="28"/>
          <w:szCs w:val="28"/>
        </w:rPr>
      </w:pPr>
      <w:r>
        <w:br w:type="page"/>
      </w:r>
    </w:p>
    <w:p w14:paraId="3BFA569E" w14:textId="20DCBF3B" w:rsidR="001A3992" w:rsidRPr="00530AE7" w:rsidRDefault="001A3992" w:rsidP="001A3992">
      <w:pPr>
        <w:pStyle w:val="Heading1"/>
        <w:spacing w:before="0" w:after="120"/>
      </w:pPr>
      <w:r w:rsidRPr="00530AE7">
        <w:t>Pharmaceutical particulars</w:t>
      </w:r>
    </w:p>
    <w:p w14:paraId="73DB6493" w14:textId="38FE2193" w:rsidR="005B2812" w:rsidRPr="00530AE7" w:rsidRDefault="005B2812" w:rsidP="005B2812">
      <w:pPr>
        <w:pStyle w:val="Heading2"/>
        <w:spacing w:before="0" w:after="120"/>
        <w:rPr>
          <w:rFonts w:cstheme="minorHAnsi"/>
        </w:rPr>
      </w:pPr>
      <w:r w:rsidRPr="00530AE7">
        <w:rPr>
          <w:rFonts w:cstheme="minorHAnsi"/>
        </w:rPr>
        <w:t xml:space="preserve">List of excipients </w:t>
      </w:r>
    </w:p>
    <w:p w14:paraId="77D50BDD" w14:textId="516E987C" w:rsidR="00CE4C5C" w:rsidRDefault="00CE4C5C" w:rsidP="00625B50">
      <w:pPr>
        <w:spacing w:after="120" w:line="240" w:lineRule="auto"/>
      </w:pPr>
      <w:r w:rsidRPr="00530AE7">
        <w:t>Sucrose</w:t>
      </w:r>
    </w:p>
    <w:p w14:paraId="1ADCA04B" w14:textId="6AD2AFE8" w:rsidR="003E64BA" w:rsidRDefault="003E64BA" w:rsidP="00625B50">
      <w:pPr>
        <w:spacing w:after="120" w:line="240" w:lineRule="auto"/>
      </w:pPr>
      <w:r w:rsidRPr="003E64BA">
        <w:t>monobasic potassium phosphate</w:t>
      </w:r>
    </w:p>
    <w:p w14:paraId="2FB350E5" w14:textId="2AE97B6B" w:rsidR="00D34802" w:rsidRDefault="00D34802" w:rsidP="00625B50">
      <w:pPr>
        <w:spacing w:after="120" w:line="240" w:lineRule="auto"/>
      </w:pPr>
      <w:r>
        <w:t>phosphoric acid</w:t>
      </w:r>
    </w:p>
    <w:p w14:paraId="5A308113" w14:textId="56C3D2FA" w:rsidR="00D34802" w:rsidRPr="00530AE7" w:rsidRDefault="00D34802" w:rsidP="00625B50">
      <w:pPr>
        <w:spacing w:after="120" w:line="240" w:lineRule="auto"/>
      </w:pPr>
      <w:r>
        <w:t>potassium hydroxide</w:t>
      </w:r>
    </w:p>
    <w:p w14:paraId="42AE4FEA" w14:textId="77777777" w:rsidR="005B2812" w:rsidRPr="00530AE7" w:rsidRDefault="005B2812" w:rsidP="005B2812">
      <w:pPr>
        <w:pStyle w:val="Heading2"/>
        <w:keepNext/>
        <w:keepLines/>
        <w:spacing w:before="0" w:after="120"/>
        <w:rPr>
          <w:rFonts w:cstheme="minorHAnsi"/>
        </w:rPr>
      </w:pPr>
      <w:r w:rsidRPr="00530AE7">
        <w:rPr>
          <w:rFonts w:cstheme="minorHAnsi"/>
        </w:rPr>
        <w:t xml:space="preserve">Incompatibilities </w:t>
      </w:r>
    </w:p>
    <w:p w14:paraId="343CAF3B" w14:textId="18704025" w:rsidR="005B2812" w:rsidRPr="00530AE7" w:rsidRDefault="00925B2E" w:rsidP="005B2812">
      <w:pPr>
        <w:rPr>
          <w:rFonts w:asciiTheme="majorHAnsi" w:hAnsiTheme="majorHAnsi" w:cstheme="minorHAnsi"/>
        </w:rPr>
      </w:pPr>
      <w:r>
        <w:t>YONDELIS</w:t>
      </w:r>
      <w:r w:rsidR="00355C5E" w:rsidRPr="00530AE7">
        <w:t xml:space="preserve"> must not be mixed or diluted with other medicinal products except those mentioned in section </w:t>
      </w:r>
      <w:r w:rsidR="005D3838">
        <w:t>4.2</w:t>
      </w:r>
      <w:r w:rsidR="00355C5E" w:rsidRPr="00530AE7">
        <w:t>.</w:t>
      </w:r>
    </w:p>
    <w:p w14:paraId="171B4181" w14:textId="77777777" w:rsidR="005B2812" w:rsidRPr="00530AE7" w:rsidRDefault="005B2812" w:rsidP="005B2812">
      <w:pPr>
        <w:pStyle w:val="Heading2"/>
        <w:spacing w:before="0" w:after="120"/>
        <w:rPr>
          <w:rFonts w:cstheme="minorHAnsi"/>
        </w:rPr>
      </w:pPr>
      <w:r w:rsidRPr="00530AE7">
        <w:rPr>
          <w:rFonts w:cstheme="minorHAnsi"/>
        </w:rPr>
        <w:t xml:space="preserve">Shelf life </w:t>
      </w:r>
    </w:p>
    <w:p w14:paraId="51AE9CE5" w14:textId="4B64D91B" w:rsidR="002543B6" w:rsidRPr="00530AE7" w:rsidRDefault="002543B6" w:rsidP="002543B6">
      <w:pPr>
        <w:spacing w:line="240" w:lineRule="auto"/>
        <w:rPr>
          <w:bCs/>
        </w:rPr>
      </w:pPr>
      <w:r w:rsidRPr="00530AE7">
        <w:rPr>
          <w:u w:val="single"/>
        </w:rPr>
        <w:t>Unopened vials</w:t>
      </w:r>
      <w:r w:rsidRPr="00530AE7">
        <w:rPr>
          <w:bCs/>
        </w:rPr>
        <w:t xml:space="preserve"> </w:t>
      </w:r>
    </w:p>
    <w:p w14:paraId="6C249093" w14:textId="3BBF9CA6" w:rsidR="002543B6" w:rsidRPr="00530AE7" w:rsidRDefault="002543B6" w:rsidP="002543B6">
      <w:pPr>
        <w:spacing w:line="240" w:lineRule="auto"/>
        <w:rPr>
          <w:bCs/>
        </w:rPr>
      </w:pPr>
      <w:r w:rsidRPr="00530AE7">
        <w:rPr>
          <w:bCs/>
        </w:rPr>
        <w:t>60 months.</w:t>
      </w:r>
    </w:p>
    <w:p w14:paraId="7E350659" w14:textId="09C609FD" w:rsidR="002543B6" w:rsidRPr="00530AE7" w:rsidRDefault="002543B6" w:rsidP="002543B6">
      <w:pPr>
        <w:spacing w:line="240" w:lineRule="auto"/>
        <w:rPr>
          <w:u w:val="single"/>
        </w:rPr>
      </w:pPr>
      <w:r w:rsidRPr="00530AE7">
        <w:rPr>
          <w:u w:val="single"/>
        </w:rPr>
        <w:t>After reconstitution</w:t>
      </w:r>
    </w:p>
    <w:p w14:paraId="147AA274" w14:textId="5D698F7A" w:rsidR="002543B6" w:rsidRPr="00530AE7" w:rsidRDefault="002543B6" w:rsidP="00625B50">
      <w:pPr>
        <w:spacing w:after="120" w:line="240" w:lineRule="auto"/>
      </w:pPr>
      <w:r w:rsidRPr="00530AE7">
        <w:t>Chemical and physical stability has been demonstrated for 30 hours up to 25</w:t>
      </w:r>
      <w:r w:rsidR="00163CB3" w:rsidRPr="00530AE7">
        <w:rPr>
          <w:rFonts w:ascii="Calibri" w:hAnsi="Calibri" w:cs="Calibri"/>
        </w:rPr>
        <w:t>°</w:t>
      </w:r>
      <w:r w:rsidRPr="00530AE7">
        <w:t xml:space="preserve">C. </w:t>
      </w:r>
    </w:p>
    <w:p w14:paraId="67417B82" w14:textId="6D883700" w:rsidR="002543B6" w:rsidRPr="003143BC" w:rsidRDefault="002543B6" w:rsidP="00625B50">
      <w:pPr>
        <w:spacing w:before="120" w:after="120" w:line="240" w:lineRule="auto"/>
      </w:pPr>
      <w:r w:rsidRPr="00530AE7">
        <w:t xml:space="preserve">From a microbiological point of view, the reconstituted solution should be diluted and used immediately. If not diluted and used immediately, </w:t>
      </w:r>
      <w:r w:rsidR="00DC5281">
        <w:t>do not store for</w:t>
      </w:r>
      <w:r w:rsidRPr="00530AE7">
        <w:t xml:space="preserve"> longer than 24 hours at 2</w:t>
      </w:r>
      <w:r w:rsidR="00494F4E" w:rsidRPr="00530AE7">
        <w:rPr>
          <w:rFonts w:ascii="Calibri" w:hAnsi="Calibri" w:cs="Calibri"/>
        </w:rPr>
        <w:t>°</w:t>
      </w:r>
      <w:r w:rsidRPr="00530AE7">
        <w:t>C to 8</w:t>
      </w:r>
      <w:r w:rsidR="00494F4E" w:rsidRPr="00530AE7">
        <w:rPr>
          <w:rFonts w:ascii="Calibri" w:hAnsi="Calibri" w:cs="Calibri"/>
        </w:rPr>
        <w:t>°</w:t>
      </w:r>
      <w:r w:rsidRPr="00530AE7">
        <w:t>C</w:t>
      </w:r>
      <w:r w:rsidR="000D38E7" w:rsidRPr="00027AA0">
        <w:rPr>
          <w:rFonts w:cstheme="minorHAnsi"/>
        </w:rPr>
        <w:t>.</w:t>
      </w:r>
      <w:r w:rsidR="000D2EAD" w:rsidRPr="00027AA0">
        <w:rPr>
          <w:rFonts w:cstheme="minorHAnsi"/>
        </w:rPr>
        <w:t xml:space="preserve">  For use in one patient on one occasion only. Discard any residue</w:t>
      </w:r>
      <w:r w:rsidR="003143BC" w:rsidRPr="00557649">
        <w:rPr>
          <w:rFonts w:cstheme="minorHAnsi"/>
        </w:rPr>
        <w:t>.</w:t>
      </w:r>
    </w:p>
    <w:p w14:paraId="766A7AE2" w14:textId="45B78860" w:rsidR="002543B6" w:rsidRPr="00530AE7" w:rsidRDefault="002543B6" w:rsidP="002543B6">
      <w:pPr>
        <w:spacing w:line="240" w:lineRule="auto"/>
        <w:rPr>
          <w:u w:val="single"/>
        </w:rPr>
      </w:pPr>
      <w:r w:rsidRPr="00530AE7">
        <w:rPr>
          <w:u w:val="single"/>
        </w:rPr>
        <w:t>After dilution</w:t>
      </w:r>
    </w:p>
    <w:p w14:paraId="65BAEE86" w14:textId="2B791355" w:rsidR="002543B6" w:rsidRPr="00530AE7" w:rsidRDefault="002543B6" w:rsidP="002543B6">
      <w:pPr>
        <w:rPr>
          <w:rFonts w:asciiTheme="majorHAnsi" w:hAnsiTheme="majorHAnsi" w:cstheme="minorHAnsi"/>
        </w:rPr>
      </w:pPr>
      <w:r w:rsidRPr="00530AE7">
        <w:t>Chemical and physical stability has been demonstrated for 30 hours up to 25</w:t>
      </w:r>
      <w:r w:rsidR="00494F4E" w:rsidRPr="00530AE7">
        <w:rPr>
          <w:rFonts w:ascii="Calibri" w:hAnsi="Calibri" w:cs="Calibri"/>
        </w:rPr>
        <w:t>°</w:t>
      </w:r>
      <w:r w:rsidRPr="00530AE7">
        <w:t>C</w:t>
      </w:r>
      <w:r w:rsidR="00DF2A1C">
        <w:t>.</w:t>
      </w:r>
    </w:p>
    <w:p w14:paraId="79B187E1" w14:textId="782F381F" w:rsidR="005B2812" w:rsidRPr="00530AE7" w:rsidRDefault="005B2812" w:rsidP="005B2812">
      <w:pPr>
        <w:pStyle w:val="Heading2"/>
        <w:keepNext/>
        <w:keepLines/>
        <w:spacing w:before="0" w:after="120"/>
        <w:rPr>
          <w:rFonts w:cstheme="minorHAnsi"/>
        </w:rPr>
      </w:pPr>
      <w:r w:rsidRPr="00530AE7">
        <w:rPr>
          <w:rFonts w:cstheme="minorHAnsi"/>
        </w:rPr>
        <w:t xml:space="preserve">Special precautions for storage </w:t>
      </w:r>
    </w:p>
    <w:p w14:paraId="7ABD62FE" w14:textId="16D5641A" w:rsidR="00A3280C" w:rsidRPr="00530AE7" w:rsidRDefault="00A3280C" w:rsidP="00A3280C">
      <w:pPr>
        <w:spacing w:line="240" w:lineRule="auto"/>
      </w:pPr>
      <w:r w:rsidRPr="00530AE7">
        <w:t>Store in a refrigerator (2</w:t>
      </w:r>
      <w:r w:rsidR="00494F4E" w:rsidRPr="00530AE7">
        <w:rPr>
          <w:rFonts w:ascii="Calibri" w:hAnsi="Calibri" w:cs="Calibri"/>
        </w:rPr>
        <w:t>°</w:t>
      </w:r>
      <w:r w:rsidRPr="00530AE7">
        <w:t>C </w:t>
      </w:r>
      <w:r w:rsidRPr="00530AE7">
        <w:noBreakHyphen/>
        <w:t> 8</w:t>
      </w:r>
      <w:r w:rsidR="00494F4E" w:rsidRPr="00530AE7">
        <w:rPr>
          <w:rFonts w:ascii="Calibri" w:hAnsi="Calibri" w:cs="Calibri"/>
        </w:rPr>
        <w:t>°</w:t>
      </w:r>
      <w:r w:rsidRPr="00530AE7">
        <w:t>C).</w:t>
      </w:r>
      <w:r w:rsidR="006A3AAC">
        <w:t xml:space="preserve">  Refrigerate</w:t>
      </w:r>
      <w:r w:rsidR="00DA3531">
        <w:t>.  Do not freeze.</w:t>
      </w:r>
    </w:p>
    <w:p w14:paraId="4688F569" w14:textId="4E8BAE12" w:rsidR="00A3280C" w:rsidRPr="00530AE7" w:rsidRDefault="00A3280C" w:rsidP="00A3280C">
      <w:r w:rsidRPr="00530AE7">
        <w:t>For storage conditions after reconstitution and dilution of the medicinal product, see section 6.3.</w:t>
      </w:r>
    </w:p>
    <w:p w14:paraId="2AB6A977" w14:textId="76AEDB07" w:rsidR="005B2812" w:rsidRPr="00530AE7" w:rsidRDefault="005B2812" w:rsidP="005B2812">
      <w:pPr>
        <w:pStyle w:val="Heading2"/>
        <w:spacing w:before="0" w:after="120"/>
        <w:rPr>
          <w:rFonts w:cstheme="minorHAnsi"/>
        </w:rPr>
      </w:pPr>
      <w:r w:rsidRPr="00530AE7">
        <w:rPr>
          <w:rFonts w:cstheme="minorHAnsi"/>
        </w:rPr>
        <w:t xml:space="preserve">Nature and contents of container </w:t>
      </w:r>
    </w:p>
    <w:p w14:paraId="49D6E99C" w14:textId="6DF85A3A" w:rsidR="00FB14D5" w:rsidRPr="00530AE7" w:rsidRDefault="00925B2E" w:rsidP="00FB14D5">
      <w:pPr>
        <w:keepNext/>
        <w:spacing w:line="240" w:lineRule="auto"/>
        <w:rPr>
          <w:b/>
        </w:rPr>
      </w:pPr>
      <w:r>
        <w:rPr>
          <w:b/>
        </w:rPr>
        <w:t>YONDELIS</w:t>
      </w:r>
      <w:r w:rsidR="00FB14D5" w:rsidRPr="00530AE7">
        <w:rPr>
          <w:b/>
        </w:rPr>
        <w:t xml:space="preserve"> 0.25 mg</w:t>
      </w:r>
    </w:p>
    <w:p w14:paraId="552B594B" w14:textId="3F59AE70" w:rsidR="00FB14D5" w:rsidRPr="00530AE7" w:rsidRDefault="00FB14D5" w:rsidP="00FB14D5">
      <w:pPr>
        <w:spacing w:line="240" w:lineRule="auto"/>
      </w:pPr>
      <w:r w:rsidRPr="00530AE7">
        <w:t>Type I colourless glass vial with a butyl rubber stopper covered with an aluminium flip</w:t>
      </w:r>
      <w:r w:rsidRPr="00530AE7">
        <w:noBreakHyphen/>
        <w:t xml:space="preserve">off seal containing 0.25 mg of </w:t>
      </w:r>
      <w:proofErr w:type="spellStart"/>
      <w:r w:rsidRPr="00530AE7">
        <w:t>trabectedin</w:t>
      </w:r>
      <w:proofErr w:type="spellEnd"/>
      <w:r w:rsidRPr="00530AE7">
        <w:t>.</w:t>
      </w:r>
    </w:p>
    <w:p w14:paraId="4C8B1E94" w14:textId="1ED8D96D" w:rsidR="00FB14D5" w:rsidRPr="00530AE7" w:rsidRDefault="00FB14D5" w:rsidP="00FB14D5">
      <w:pPr>
        <w:spacing w:line="240" w:lineRule="auto"/>
      </w:pPr>
      <w:r w:rsidRPr="00530AE7">
        <w:t>Each carton contains one vial.</w:t>
      </w:r>
    </w:p>
    <w:p w14:paraId="5AAFA053" w14:textId="6BAA5B4A" w:rsidR="00FB14D5" w:rsidRPr="00530AE7" w:rsidRDefault="00925B2E" w:rsidP="00FB14D5">
      <w:pPr>
        <w:keepNext/>
        <w:spacing w:line="240" w:lineRule="auto"/>
        <w:rPr>
          <w:b/>
        </w:rPr>
      </w:pPr>
      <w:r>
        <w:rPr>
          <w:b/>
        </w:rPr>
        <w:t>YONDELIS</w:t>
      </w:r>
      <w:r w:rsidR="00FB14D5" w:rsidRPr="00530AE7">
        <w:rPr>
          <w:b/>
        </w:rPr>
        <w:t xml:space="preserve"> 1 mg</w:t>
      </w:r>
    </w:p>
    <w:p w14:paraId="71EF3EED" w14:textId="4EA51413" w:rsidR="00FB14D5" w:rsidRPr="00530AE7" w:rsidRDefault="00FB14D5" w:rsidP="00FB14D5">
      <w:pPr>
        <w:keepNext/>
        <w:spacing w:line="240" w:lineRule="auto"/>
      </w:pPr>
      <w:r w:rsidRPr="00530AE7">
        <w:t>Type I colourless glass vial with a butyl rubber stopper covered with an aluminium flip</w:t>
      </w:r>
      <w:r w:rsidRPr="00530AE7">
        <w:noBreakHyphen/>
        <w:t xml:space="preserve">off seal containing 1mg of </w:t>
      </w:r>
      <w:proofErr w:type="spellStart"/>
      <w:r w:rsidRPr="00530AE7">
        <w:t>trabectedin</w:t>
      </w:r>
      <w:proofErr w:type="spellEnd"/>
      <w:r w:rsidRPr="00530AE7">
        <w:t>.</w:t>
      </w:r>
    </w:p>
    <w:p w14:paraId="7127AA36" w14:textId="7FA4CEF8" w:rsidR="00601AC2" w:rsidRDefault="00FB14D5" w:rsidP="00FB14D5">
      <w:pPr>
        <w:keepNext/>
        <w:spacing w:line="240" w:lineRule="auto"/>
      </w:pPr>
      <w:r w:rsidRPr="00530AE7">
        <w:t>Each carton contains one vial.</w:t>
      </w:r>
    </w:p>
    <w:p w14:paraId="70A50B62" w14:textId="77777777" w:rsidR="00601AC2" w:rsidRDefault="00601AC2">
      <w:r>
        <w:br w:type="page"/>
      </w:r>
    </w:p>
    <w:p w14:paraId="3C901545" w14:textId="77777777" w:rsidR="005B2812" w:rsidRPr="00530AE7" w:rsidRDefault="005B2812" w:rsidP="005B2812">
      <w:pPr>
        <w:pStyle w:val="Heading2"/>
        <w:spacing w:before="0" w:after="120"/>
        <w:rPr>
          <w:rFonts w:cstheme="minorHAnsi"/>
        </w:rPr>
      </w:pPr>
      <w:r w:rsidRPr="00530AE7">
        <w:rPr>
          <w:rFonts w:cstheme="minorHAnsi"/>
        </w:rPr>
        <w:t xml:space="preserve">Special precautions for disposal </w:t>
      </w:r>
    </w:p>
    <w:p w14:paraId="799A3741" w14:textId="768E1270" w:rsidR="005B2812" w:rsidRDefault="0021200F" w:rsidP="0021200F">
      <w:pPr>
        <w:rPr>
          <w:rFonts w:cstheme="minorHAnsi"/>
        </w:rPr>
      </w:pPr>
      <w:r w:rsidRPr="00530AE7">
        <w:rPr>
          <w:rFonts w:cstheme="minorHAnsi"/>
        </w:rPr>
        <w:t>In Australia, any unused medicine or waste material should be disposed of in accordance with local requirements</w:t>
      </w:r>
      <w:r w:rsidR="000106CC">
        <w:rPr>
          <w:rFonts w:cstheme="minorHAnsi"/>
        </w:rPr>
        <w:t xml:space="preserve"> for cytotoxic medicinal products</w:t>
      </w:r>
      <w:r w:rsidRPr="00530AE7">
        <w:rPr>
          <w:rFonts w:cstheme="minorHAnsi"/>
        </w:rPr>
        <w:t xml:space="preserve">. </w:t>
      </w:r>
    </w:p>
    <w:p w14:paraId="43664E52" w14:textId="216B54EF" w:rsidR="00585B5A" w:rsidRPr="00530AE7" w:rsidRDefault="00585B5A" w:rsidP="0021200F">
      <w:pPr>
        <w:rPr>
          <w:rFonts w:cstheme="minorHAnsi"/>
        </w:rPr>
      </w:pPr>
      <w:r>
        <w:rPr>
          <w:rFonts w:cstheme="minorHAnsi"/>
        </w:rPr>
        <w:t>Refer to Section 4.2 for Instructions for handling YONDELIS.</w:t>
      </w:r>
    </w:p>
    <w:p w14:paraId="2C46B346" w14:textId="77777777" w:rsidR="001A3992" w:rsidRPr="00530AE7" w:rsidRDefault="001A3992" w:rsidP="001A3992">
      <w:pPr>
        <w:pStyle w:val="Heading2"/>
        <w:spacing w:before="0" w:after="120"/>
      </w:pPr>
      <w:r w:rsidRPr="00530AE7">
        <w:t>Physicochemical properties</w:t>
      </w:r>
    </w:p>
    <w:p w14:paraId="2F58453E" w14:textId="38D331FE" w:rsidR="001A3992" w:rsidRPr="00530AE7" w:rsidRDefault="001A3992" w:rsidP="00DF35F1">
      <w:pPr>
        <w:pStyle w:val="Heading3"/>
        <w:spacing w:before="0" w:after="120"/>
        <w:ind w:left="0"/>
      </w:pPr>
      <w:r w:rsidRPr="00530AE7">
        <w:t>Chemical structure</w:t>
      </w:r>
    </w:p>
    <w:p w14:paraId="0D776B5A" w14:textId="24C65E30" w:rsidR="0080311A" w:rsidRPr="00530AE7" w:rsidRDefault="0080311A" w:rsidP="00A11D49">
      <w:pPr>
        <w:rPr>
          <w:rFonts w:cstheme="minorHAnsi"/>
        </w:rPr>
      </w:pPr>
      <w:r w:rsidRPr="00530AE7">
        <w:rPr>
          <w:rFonts w:cstheme="minorHAnsi"/>
        </w:rPr>
        <w:t>(1'</w:t>
      </w:r>
      <w:r w:rsidRPr="00530AE7">
        <w:rPr>
          <w:rFonts w:cstheme="minorHAnsi"/>
          <w:i/>
          <w:iCs/>
        </w:rPr>
        <w:t>R</w:t>
      </w:r>
      <w:r w:rsidRPr="00530AE7">
        <w:rPr>
          <w:rFonts w:cstheme="minorHAnsi"/>
        </w:rPr>
        <w:t>,6</w:t>
      </w:r>
      <w:r w:rsidRPr="00530AE7">
        <w:rPr>
          <w:rFonts w:cstheme="minorHAnsi"/>
          <w:i/>
          <w:iCs/>
        </w:rPr>
        <w:t>R</w:t>
      </w:r>
      <w:r w:rsidRPr="00530AE7">
        <w:rPr>
          <w:rFonts w:cstheme="minorHAnsi"/>
        </w:rPr>
        <w:t>,6a</w:t>
      </w:r>
      <w:r w:rsidRPr="00530AE7">
        <w:rPr>
          <w:rFonts w:cstheme="minorHAnsi"/>
          <w:i/>
          <w:iCs/>
        </w:rPr>
        <w:t>R</w:t>
      </w:r>
      <w:r w:rsidRPr="00530AE7">
        <w:rPr>
          <w:rFonts w:cstheme="minorHAnsi"/>
        </w:rPr>
        <w:t>,7</w:t>
      </w:r>
      <w:r w:rsidRPr="00530AE7">
        <w:rPr>
          <w:rFonts w:cstheme="minorHAnsi"/>
          <w:i/>
          <w:iCs/>
        </w:rPr>
        <w:t>R</w:t>
      </w:r>
      <w:r w:rsidRPr="00530AE7">
        <w:rPr>
          <w:rFonts w:cstheme="minorHAnsi"/>
        </w:rPr>
        <w:t>,13</w:t>
      </w:r>
      <w:r w:rsidRPr="00530AE7">
        <w:rPr>
          <w:rFonts w:cstheme="minorHAnsi"/>
          <w:i/>
          <w:iCs/>
        </w:rPr>
        <w:t>S</w:t>
      </w:r>
      <w:r w:rsidRPr="00530AE7">
        <w:rPr>
          <w:rFonts w:cstheme="minorHAnsi"/>
        </w:rPr>
        <w:t>,14</w:t>
      </w:r>
      <w:r w:rsidRPr="00530AE7">
        <w:rPr>
          <w:rFonts w:cstheme="minorHAnsi"/>
          <w:i/>
          <w:iCs/>
        </w:rPr>
        <w:t>S</w:t>
      </w:r>
      <w:r w:rsidRPr="00530AE7">
        <w:rPr>
          <w:rFonts w:cstheme="minorHAnsi"/>
        </w:rPr>
        <w:t>,16</w:t>
      </w:r>
      <w:r w:rsidRPr="00530AE7">
        <w:rPr>
          <w:rFonts w:cstheme="minorHAnsi"/>
          <w:i/>
          <w:iCs/>
        </w:rPr>
        <w:t>R</w:t>
      </w:r>
      <w:r w:rsidRPr="00530AE7">
        <w:rPr>
          <w:rFonts w:cstheme="minorHAnsi"/>
        </w:rPr>
        <w:t>)-5-(acetyloxy)-3',4',6,6a,7,13,14,16-octahydro-6',8,14-trihydroxy-7',9-dimethoxy-4,10,23-trimethyl-spiro[6,16-(epithiopropanoxymethano)-7,13-imino-12</w:t>
      </w:r>
      <w:r w:rsidRPr="00530AE7">
        <w:rPr>
          <w:rFonts w:cstheme="minorHAnsi"/>
          <w:i/>
          <w:iCs/>
        </w:rPr>
        <w:t>H</w:t>
      </w:r>
      <w:r w:rsidRPr="00530AE7">
        <w:rPr>
          <w:rFonts w:cstheme="minorHAnsi"/>
        </w:rPr>
        <w:t>-1,3-dioxolo[7,8]isoquino[3,2-</w:t>
      </w:r>
      <w:r w:rsidRPr="00530AE7">
        <w:rPr>
          <w:rFonts w:cstheme="minorHAnsi"/>
          <w:i/>
          <w:iCs/>
        </w:rPr>
        <w:t>b</w:t>
      </w:r>
      <w:r w:rsidRPr="00530AE7">
        <w:rPr>
          <w:rFonts w:cstheme="minorHAnsi"/>
        </w:rPr>
        <w:t>][3]benzazocine-20,1'(2'</w:t>
      </w:r>
      <w:r w:rsidRPr="00530AE7">
        <w:rPr>
          <w:rFonts w:cstheme="minorHAnsi"/>
          <w:i/>
          <w:iCs/>
        </w:rPr>
        <w:t>H</w:t>
      </w:r>
      <w:r w:rsidRPr="00530AE7">
        <w:rPr>
          <w:rFonts w:cstheme="minorHAnsi"/>
        </w:rPr>
        <w:t>)-isoquinolin]-19-one</w:t>
      </w:r>
    </w:p>
    <w:p w14:paraId="395E0B6D" w14:textId="3090AF66" w:rsidR="0080311A" w:rsidRPr="00530AE7" w:rsidRDefault="008574BD" w:rsidP="0080311A">
      <w:pPr>
        <w:pStyle w:val="PIEXPLAIN"/>
        <w:keepLines/>
        <w:shd w:val="clear" w:color="auto" w:fill="FFFFFF"/>
        <w:rPr>
          <w:rFonts w:asciiTheme="minorHAnsi" w:hAnsiTheme="minorHAnsi" w:cstheme="minorHAnsi"/>
        </w:rPr>
      </w:pPr>
      <w:r w:rsidRPr="00530AE7">
        <w:rPr>
          <w:rFonts w:asciiTheme="minorHAnsi" w:hAnsiTheme="minorHAnsi" w:cstheme="minorHAnsi"/>
          <w:szCs w:val="22"/>
        </w:rPr>
        <w:t xml:space="preserve">Molecular Formula:  </w:t>
      </w:r>
      <w:r w:rsidR="0080311A" w:rsidRPr="00530AE7">
        <w:rPr>
          <w:rFonts w:asciiTheme="minorHAnsi" w:hAnsiTheme="minorHAnsi" w:cstheme="minorHAnsi"/>
          <w:szCs w:val="22"/>
        </w:rPr>
        <w:t>C</w:t>
      </w:r>
      <w:r w:rsidR="0080311A" w:rsidRPr="00530AE7">
        <w:rPr>
          <w:rFonts w:asciiTheme="minorHAnsi" w:hAnsiTheme="minorHAnsi" w:cstheme="minorHAnsi"/>
          <w:szCs w:val="22"/>
          <w:vertAlign w:val="subscript"/>
        </w:rPr>
        <w:t>39</w:t>
      </w:r>
      <w:r w:rsidR="0080311A" w:rsidRPr="00530AE7">
        <w:rPr>
          <w:rFonts w:asciiTheme="minorHAnsi" w:hAnsiTheme="minorHAnsi" w:cstheme="minorHAnsi"/>
          <w:szCs w:val="22"/>
        </w:rPr>
        <w:t>H</w:t>
      </w:r>
      <w:r w:rsidR="0080311A" w:rsidRPr="00530AE7">
        <w:rPr>
          <w:rFonts w:asciiTheme="minorHAnsi" w:hAnsiTheme="minorHAnsi" w:cstheme="minorHAnsi"/>
          <w:szCs w:val="22"/>
          <w:vertAlign w:val="subscript"/>
        </w:rPr>
        <w:t>43</w:t>
      </w:r>
      <w:r w:rsidR="0080311A" w:rsidRPr="00530AE7">
        <w:rPr>
          <w:rFonts w:asciiTheme="minorHAnsi" w:hAnsiTheme="minorHAnsi" w:cstheme="minorHAnsi"/>
          <w:szCs w:val="22"/>
        </w:rPr>
        <w:t>N</w:t>
      </w:r>
      <w:r w:rsidR="0080311A" w:rsidRPr="00530AE7">
        <w:rPr>
          <w:rFonts w:asciiTheme="minorHAnsi" w:hAnsiTheme="minorHAnsi" w:cstheme="minorHAnsi"/>
          <w:szCs w:val="22"/>
          <w:vertAlign w:val="subscript"/>
        </w:rPr>
        <w:t>3</w:t>
      </w:r>
      <w:r w:rsidR="0080311A" w:rsidRPr="00530AE7">
        <w:rPr>
          <w:rFonts w:asciiTheme="minorHAnsi" w:hAnsiTheme="minorHAnsi" w:cstheme="minorHAnsi"/>
          <w:szCs w:val="22"/>
        </w:rPr>
        <w:t>O</w:t>
      </w:r>
      <w:r w:rsidR="0080311A" w:rsidRPr="00530AE7">
        <w:rPr>
          <w:rFonts w:asciiTheme="minorHAnsi" w:hAnsiTheme="minorHAnsi" w:cstheme="minorHAnsi"/>
          <w:szCs w:val="22"/>
          <w:vertAlign w:val="subscript"/>
        </w:rPr>
        <w:t>11</w:t>
      </w:r>
      <w:r w:rsidR="0080311A" w:rsidRPr="00530AE7">
        <w:rPr>
          <w:rFonts w:asciiTheme="minorHAnsi" w:hAnsiTheme="minorHAnsi" w:cstheme="minorHAnsi"/>
          <w:szCs w:val="22"/>
        </w:rPr>
        <w:t>S</w:t>
      </w:r>
    </w:p>
    <w:p w14:paraId="67E9231F" w14:textId="1FB17118" w:rsidR="0080311A" w:rsidRDefault="008574BD" w:rsidP="0080311A">
      <w:pPr>
        <w:pStyle w:val="PIEXPLAIN"/>
        <w:keepLines/>
        <w:shd w:val="clear" w:color="auto" w:fill="FFFFFF"/>
        <w:rPr>
          <w:rFonts w:asciiTheme="minorHAnsi" w:hAnsiTheme="minorHAnsi" w:cstheme="minorHAnsi"/>
        </w:rPr>
      </w:pPr>
      <w:r w:rsidRPr="00530AE7">
        <w:rPr>
          <w:rFonts w:asciiTheme="minorHAnsi" w:hAnsiTheme="minorHAnsi" w:cstheme="minorHAnsi"/>
        </w:rPr>
        <w:t xml:space="preserve">Molecular Weight:  </w:t>
      </w:r>
      <w:r w:rsidR="0080311A" w:rsidRPr="00530AE7">
        <w:rPr>
          <w:rFonts w:asciiTheme="minorHAnsi" w:hAnsiTheme="minorHAnsi" w:cstheme="minorHAnsi"/>
        </w:rPr>
        <w:t>MW: 761.84</w:t>
      </w:r>
    </w:p>
    <w:p w14:paraId="4678D337" w14:textId="13EB71B3" w:rsidR="00492465" w:rsidRPr="00530AE7" w:rsidRDefault="00715CEE" w:rsidP="0080311A">
      <w:pPr>
        <w:pStyle w:val="PIEXPLAIN"/>
        <w:keepLines/>
        <w:shd w:val="clear" w:color="auto" w:fill="FFFFFF"/>
        <w:rPr>
          <w:rFonts w:asciiTheme="minorHAnsi" w:hAnsiTheme="minorHAnsi" w:cstheme="minorHAnsi"/>
        </w:rPr>
      </w:pPr>
      <w:r>
        <w:rPr>
          <w:rFonts w:asciiTheme="minorHAnsi" w:hAnsiTheme="minorHAnsi" w:cstheme="minorHAnsi"/>
        </w:rPr>
        <w:t>Chemical structure:</w:t>
      </w:r>
    </w:p>
    <w:p w14:paraId="1931B8B0" w14:textId="77777777" w:rsidR="0080311A" w:rsidRPr="00530AE7" w:rsidRDefault="0080311A" w:rsidP="0080311A"/>
    <w:bookmarkStart w:id="12" w:name="_GoBack"/>
    <w:p w14:paraId="5E82A2F0" w14:textId="241E82B0" w:rsidR="000465D6" w:rsidRPr="00530AE7" w:rsidRDefault="00683268" w:rsidP="000465D6">
      <w:pPr>
        <w:jc w:val="center"/>
      </w:pPr>
      <w:r w:rsidRPr="00530AE7">
        <w:rPr>
          <w:noProof/>
        </w:rPr>
        <w:object w:dxaOrig="4743" w:dyaOrig="3720" w14:anchorId="03E10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0.45pt;height:210.35pt;mso-width-percent:0;mso-height-percent:0;mso-width-percent:0;mso-height-percent:0" o:ole="" o:allowoverlap="f">
            <v:imagedata r:id="rId11" o:title=""/>
          </v:shape>
          <o:OLEObject Type="Embed" ProgID="ChemDraw.Document.6.0" ShapeID="_x0000_i1025" DrawAspect="Content" ObjectID="_1686386936" r:id="rId12"/>
        </w:object>
      </w:r>
      <w:bookmarkEnd w:id="12"/>
    </w:p>
    <w:p w14:paraId="686539EE" w14:textId="12A761B7" w:rsidR="001A3992" w:rsidRPr="00530AE7" w:rsidRDefault="001A3992" w:rsidP="00DF35F1">
      <w:pPr>
        <w:pStyle w:val="Heading3"/>
        <w:spacing w:before="0" w:after="120"/>
        <w:ind w:left="0"/>
      </w:pPr>
      <w:r w:rsidRPr="00530AE7">
        <w:t>CAS number</w:t>
      </w:r>
    </w:p>
    <w:p w14:paraId="3A5C6041" w14:textId="04E56EFD" w:rsidR="0028050A" w:rsidRPr="00530AE7" w:rsidRDefault="0028050A" w:rsidP="00DF35F1">
      <w:r w:rsidRPr="00530AE7">
        <w:t>114899-77-3</w:t>
      </w:r>
    </w:p>
    <w:p w14:paraId="0E6C5A92" w14:textId="28C73C62" w:rsidR="001A3992" w:rsidRPr="00530AE7" w:rsidRDefault="001A3992" w:rsidP="001A3992">
      <w:pPr>
        <w:pStyle w:val="Heading1"/>
        <w:spacing w:before="0" w:after="120"/>
      </w:pPr>
      <w:r w:rsidRPr="00530AE7">
        <w:t>Medicine schedule (Poisons Standard)</w:t>
      </w:r>
    </w:p>
    <w:p w14:paraId="7E644B2C" w14:textId="27AF2399" w:rsidR="00B45F06" w:rsidRPr="00530AE7" w:rsidRDefault="00B45F06" w:rsidP="00B45F06">
      <w:r w:rsidRPr="00530AE7">
        <w:t>PRESCRIPTION ONLY MEDICINE</w:t>
      </w:r>
      <w:r w:rsidR="00245358" w:rsidRPr="00530AE7">
        <w:t xml:space="preserve"> (S4)</w:t>
      </w:r>
    </w:p>
    <w:p w14:paraId="6DDB5739" w14:textId="04F5737C" w:rsidR="00285173" w:rsidRPr="00530AE7" w:rsidRDefault="001A3992" w:rsidP="00285173">
      <w:pPr>
        <w:pStyle w:val="Heading1"/>
        <w:spacing w:before="0" w:after="120"/>
      </w:pPr>
      <w:r w:rsidRPr="00530AE7">
        <w:t>Sponsor</w:t>
      </w:r>
      <w:r w:rsidR="00285173" w:rsidRPr="00530AE7">
        <w:t xml:space="preserve"> </w:t>
      </w:r>
    </w:p>
    <w:p w14:paraId="15B66830" w14:textId="77777777" w:rsidR="00245358" w:rsidRPr="00530AE7" w:rsidRDefault="00245358" w:rsidP="00245358">
      <w:pPr>
        <w:autoSpaceDE w:val="0"/>
        <w:autoSpaceDN w:val="0"/>
        <w:adjustRightInd w:val="0"/>
        <w:spacing w:after="0" w:line="240" w:lineRule="auto"/>
        <w:rPr>
          <w:rFonts w:cstheme="minorHAnsi"/>
        </w:rPr>
      </w:pPr>
      <w:r w:rsidRPr="00530AE7">
        <w:rPr>
          <w:rFonts w:cstheme="minorHAnsi"/>
        </w:rPr>
        <w:t>Specialised Therapeutics Pharma Pty Ltd</w:t>
      </w:r>
    </w:p>
    <w:p w14:paraId="11C7AD4B" w14:textId="60B0D1FF" w:rsidR="00245358" w:rsidRPr="00530AE7" w:rsidRDefault="00245358" w:rsidP="00245358">
      <w:pPr>
        <w:autoSpaceDE w:val="0"/>
        <w:autoSpaceDN w:val="0"/>
        <w:adjustRightInd w:val="0"/>
        <w:spacing w:after="0" w:line="240" w:lineRule="auto"/>
        <w:rPr>
          <w:rFonts w:cstheme="minorHAnsi"/>
        </w:rPr>
      </w:pPr>
      <w:r w:rsidRPr="00530AE7">
        <w:rPr>
          <w:rFonts w:cstheme="minorHAnsi"/>
        </w:rPr>
        <w:t>Level 2, 17 Cotham Road, Kew, Victoria 3101</w:t>
      </w:r>
    </w:p>
    <w:p w14:paraId="7A7512AD" w14:textId="77777777" w:rsidR="00245358" w:rsidRPr="00530AE7" w:rsidRDefault="00245358" w:rsidP="00245358">
      <w:pPr>
        <w:autoSpaceDE w:val="0"/>
        <w:autoSpaceDN w:val="0"/>
        <w:adjustRightInd w:val="0"/>
        <w:spacing w:after="0" w:line="240" w:lineRule="auto"/>
        <w:rPr>
          <w:rFonts w:cstheme="minorHAnsi"/>
        </w:rPr>
      </w:pPr>
    </w:p>
    <w:p w14:paraId="344FBE09" w14:textId="77777777" w:rsidR="00245358" w:rsidRPr="00530AE7" w:rsidRDefault="00245358" w:rsidP="00245358">
      <w:pPr>
        <w:autoSpaceDE w:val="0"/>
        <w:autoSpaceDN w:val="0"/>
        <w:adjustRightInd w:val="0"/>
        <w:spacing w:after="0" w:line="240" w:lineRule="auto"/>
        <w:rPr>
          <w:rFonts w:cstheme="minorHAnsi"/>
        </w:rPr>
      </w:pPr>
      <w:proofErr w:type="spellStart"/>
      <w:r w:rsidRPr="00530AE7">
        <w:rPr>
          <w:rFonts w:cstheme="minorHAnsi"/>
        </w:rPr>
        <w:t>Ph</w:t>
      </w:r>
      <w:proofErr w:type="spellEnd"/>
      <w:r w:rsidRPr="00530AE7">
        <w:rPr>
          <w:rFonts w:cstheme="minorHAnsi"/>
        </w:rPr>
        <w:t>: 1300 798 820</w:t>
      </w:r>
    </w:p>
    <w:p w14:paraId="723A240D" w14:textId="77777777" w:rsidR="00245358" w:rsidRPr="00530AE7" w:rsidRDefault="00245358" w:rsidP="00245358">
      <w:pPr>
        <w:autoSpaceDE w:val="0"/>
        <w:autoSpaceDN w:val="0"/>
        <w:adjustRightInd w:val="0"/>
        <w:spacing w:after="0" w:line="240" w:lineRule="auto"/>
        <w:rPr>
          <w:rFonts w:cstheme="minorHAnsi"/>
        </w:rPr>
      </w:pPr>
      <w:r w:rsidRPr="00530AE7">
        <w:rPr>
          <w:rFonts w:cstheme="minorHAnsi"/>
        </w:rPr>
        <w:t>Fax: 1800 798 829</w:t>
      </w:r>
    </w:p>
    <w:p w14:paraId="575C19C9" w14:textId="3B85FD2F" w:rsidR="00245358" w:rsidRPr="00530AE7" w:rsidRDefault="00245358" w:rsidP="00245358">
      <w:pPr>
        <w:rPr>
          <w:rFonts w:cstheme="minorHAnsi"/>
        </w:rPr>
      </w:pPr>
      <w:r w:rsidRPr="00530AE7">
        <w:rPr>
          <w:rFonts w:cstheme="minorHAnsi"/>
        </w:rPr>
        <w:t>www.stbiopharma.com</w:t>
      </w:r>
    </w:p>
    <w:p w14:paraId="12AE0ACA" w14:textId="481135C3" w:rsidR="00285173" w:rsidRPr="00530AE7" w:rsidRDefault="00285173" w:rsidP="00285173">
      <w:pPr>
        <w:pStyle w:val="Heading1"/>
        <w:spacing w:before="0" w:after="120"/>
      </w:pPr>
      <w:r w:rsidRPr="00530AE7">
        <w:t xml:space="preserve">Date of first approval  </w:t>
      </w:r>
    </w:p>
    <w:p w14:paraId="5748436B" w14:textId="15E80E39" w:rsidR="00245358" w:rsidRPr="00530AE7" w:rsidRDefault="00686EF5" w:rsidP="00245358">
      <w:r>
        <w:t>21 April 2021</w:t>
      </w:r>
    </w:p>
    <w:p w14:paraId="39E09C35" w14:textId="0A4F47F3" w:rsidR="00285173" w:rsidRPr="00530AE7" w:rsidRDefault="00285173" w:rsidP="00285173">
      <w:pPr>
        <w:pStyle w:val="Heading1"/>
        <w:spacing w:before="0" w:after="120"/>
      </w:pPr>
      <w:r w:rsidRPr="00530AE7">
        <w:t xml:space="preserve">Date of revision </w:t>
      </w:r>
    </w:p>
    <w:p w14:paraId="1E87F438" w14:textId="3E46A7BF" w:rsidR="00245358" w:rsidRPr="00530AE7" w:rsidRDefault="005D4612" w:rsidP="00245358">
      <w:r>
        <w:t>N/A</w:t>
      </w:r>
    </w:p>
    <w:p w14:paraId="78D57943" w14:textId="77777777" w:rsidR="00285173" w:rsidRPr="00530AE7" w:rsidRDefault="00285173" w:rsidP="00285173">
      <w:pPr>
        <w:pStyle w:val="Heading2"/>
        <w:numPr>
          <w:ilvl w:val="0"/>
          <w:numId w:val="0"/>
        </w:numPr>
        <w:spacing w:before="0" w:after="120"/>
      </w:pPr>
      <w:r w:rsidRPr="00530AE7">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rsidRPr="00530AE7" w14:paraId="1FD344D2" w14:textId="77777777" w:rsidTr="00CE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309A01A4" w14:textId="77777777" w:rsidR="00285173" w:rsidRPr="00530AE7" w:rsidRDefault="00285173" w:rsidP="00F46895">
            <w:pPr>
              <w:rPr>
                <w:sz w:val="20"/>
              </w:rPr>
            </w:pPr>
            <w:r w:rsidRPr="00530AE7">
              <w:rPr>
                <w:sz w:val="20"/>
              </w:rPr>
              <w:t>Section Changed</w:t>
            </w:r>
          </w:p>
        </w:tc>
        <w:tc>
          <w:tcPr>
            <w:tcW w:w="7635" w:type="dxa"/>
            <w:shd w:val="clear" w:color="auto" w:fill="F2F2F2" w:themeFill="background1" w:themeFillShade="F2"/>
            <w:vAlign w:val="center"/>
          </w:tcPr>
          <w:p w14:paraId="1F3DC5A0" w14:textId="77777777" w:rsidR="00285173" w:rsidRPr="00530AE7" w:rsidRDefault="00285173" w:rsidP="00F46895">
            <w:pPr>
              <w:cnfStyle w:val="100000000000" w:firstRow="1" w:lastRow="0" w:firstColumn="0" w:lastColumn="0" w:oddVBand="0" w:evenVBand="0" w:oddHBand="0" w:evenHBand="0" w:firstRowFirstColumn="0" w:firstRowLastColumn="0" w:lastRowFirstColumn="0" w:lastRowLastColumn="0"/>
              <w:rPr>
                <w:sz w:val="20"/>
              </w:rPr>
            </w:pPr>
            <w:r w:rsidRPr="00530AE7">
              <w:rPr>
                <w:sz w:val="20"/>
              </w:rPr>
              <w:t>Summary of new information</w:t>
            </w:r>
          </w:p>
        </w:tc>
      </w:tr>
      <w:tr w:rsidR="00285173" w:rsidRPr="00530AE7" w14:paraId="60E1C570" w14:textId="77777777" w:rsidTr="00CE54EB">
        <w:tc>
          <w:tcPr>
            <w:cnfStyle w:val="001000000000" w:firstRow="0" w:lastRow="0" w:firstColumn="1" w:lastColumn="0" w:oddVBand="0" w:evenVBand="0" w:oddHBand="0" w:evenHBand="0" w:firstRowFirstColumn="0" w:firstRowLastColumn="0" w:lastRowFirstColumn="0" w:lastRowLastColumn="0"/>
            <w:tcW w:w="1371" w:type="dxa"/>
            <w:vAlign w:val="center"/>
          </w:tcPr>
          <w:p w14:paraId="070400E3" w14:textId="77777777" w:rsidR="00285173" w:rsidRPr="00530AE7" w:rsidRDefault="00285173" w:rsidP="00F46895"/>
        </w:tc>
        <w:tc>
          <w:tcPr>
            <w:tcW w:w="7635" w:type="dxa"/>
            <w:vAlign w:val="center"/>
          </w:tcPr>
          <w:p w14:paraId="3FA2BAB7" w14:textId="77777777" w:rsidR="00285173" w:rsidRPr="00530AE7" w:rsidRDefault="00285173" w:rsidP="00F46895">
            <w:pPr>
              <w:cnfStyle w:val="000000000000" w:firstRow="0" w:lastRow="0" w:firstColumn="0" w:lastColumn="0" w:oddVBand="0" w:evenVBand="0" w:oddHBand="0" w:evenHBand="0" w:firstRowFirstColumn="0" w:firstRowLastColumn="0" w:lastRowFirstColumn="0" w:lastRowLastColumn="0"/>
            </w:pPr>
          </w:p>
        </w:tc>
      </w:tr>
      <w:tr w:rsidR="00285173" w:rsidRPr="00530AE7" w14:paraId="100D921C" w14:textId="77777777" w:rsidTr="00CE54EB">
        <w:tc>
          <w:tcPr>
            <w:cnfStyle w:val="001000000000" w:firstRow="0" w:lastRow="0" w:firstColumn="1" w:lastColumn="0" w:oddVBand="0" w:evenVBand="0" w:oddHBand="0" w:evenHBand="0" w:firstRowFirstColumn="0" w:firstRowLastColumn="0" w:lastRowFirstColumn="0" w:lastRowLastColumn="0"/>
            <w:tcW w:w="1371" w:type="dxa"/>
            <w:vAlign w:val="center"/>
          </w:tcPr>
          <w:p w14:paraId="5060340D" w14:textId="77777777" w:rsidR="00285173" w:rsidRPr="00530AE7" w:rsidRDefault="00285173" w:rsidP="00F46895"/>
        </w:tc>
        <w:tc>
          <w:tcPr>
            <w:tcW w:w="7635" w:type="dxa"/>
            <w:vAlign w:val="center"/>
          </w:tcPr>
          <w:p w14:paraId="15B9B2D0" w14:textId="77777777" w:rsidR="00285173" w:rsidRPr="00530AE7" w:rsidRDefault="00285173" w:rsidP="00F46895">
            <w:pPr>
              <w:cnfStyle w:val="000000000000" w:firstRow="0" w:lastRow="0" w:firstColumn="0" w:lastColumn="0" w:oddVBand="0" w:evenVBand="0" w:oddHBand="0" w:evenHBand="0" w:firstRowFirstColumn="0" w:firstRowLastColumn="0" w:lastRowFirstColumn="0" w:lastRowLastColumn="0"/>
            </w:pPr>
          </w:p>
        </w:tc>
      </w:tr>
    </w:tbl>
    <w:p w14:paraId="6E387E97" w14:textId="77777777" w:rsidR="00960CD5" w:rsidRPr="00530AE7" w:rsidRDefault="00960CD5" w:rsidP="00285173">
      <w:pPr>
        <w:pStyle w:val="Heading1"/>
        <w:numPr>
          <w:ilvl w:val="0"/>
          <w:numId w:val="0"/>
        </w:numPr>
        <w:spacing w:before="0" w:after="120"/>
      </w:pPr>
    </w:p>
    <w:sectPr w:rsidR="00960CD5" w:rsidRPr="00530AE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434AD" w14:textId="77777777" w:rsidR="00625B50" w:rsidRDefault="00625B50" w:rsidP="001A3992">
      <w:pPr>
        <w:spacing w:after="0" w:line="240" w:lineRule="auto"/>
      </w:pPr>
      <w:r>
        <w:separator/>
      </w:r>
    </w:p>
  </w:endnote>
  <w:endnote w:type="continuationSeparator" w:id="0">
    <w:p w14:paraId="693D1DF8" w14:textId="77777777" w:rsidR="00625B50" w:rsidRDefault="00625B50" w:rsidP="001A3992">
      <w:pPr>
        <w:spacing w:after="0" w:line="240" w:lineRule="auto"/>
      </w:pPr>
      <w:r>
        <w:continuationSeparator/>
      </w:r>
    </w:p>
  </w:endnote>
  <w:endnote w:type="continuationNotice" w:id="1">
    <w:p w14:paraId="4F8AEC72" w14:textId="77777777" w:rsidR="00625B50" w:rsidRDefault="00625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42C43" w14:textId="77777777" w:rsidR="00625B50" w:rsidRDefault="0062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93163430"/>
      <w:docPartObj>
        <w:docPartGallery w:val="Page Numbers (Bottom of Page)"/>
        <w:docPartUnique/>
      </w:docPartObj>
    </w:sdtPr>
    <w:sdtEndPr>
      <w:rPr>
        <w:noProof/>
      </w:rPr>
    </w:sdtEndPr>
    <w:sdtContent>
      <w:p w14:paraId="69D2BAE5" w14:textId="47D680B5" w:rsidR="00625B50" w:rsidRPr="003C2F3A" w:rsidRDefault="00625B50" w:rsidP="00865691">
        <w:pPr>
          <w:pStyle w:val="Footer"/>
          <w:rPr>
            <w:sz w:val="20"/>
            <w:szCs w:val="20"/>
          </w:rPr>
        </w:pPr>
        <w:r>
          <w:rPr>
            <w:sz w:val="20"/>
            <w:szCs w:val="20"/>
          </w:rPr>
          <w:t>20210421</w:t>
        </w:r>
        <w:r w:rsidRPr="003C2F3A">
          <w:rPr>
            <w:sz w:val="20"/>
            <w:szCs w:val="20"/>
          </w:rPr>
          <w:t>_YON_AU_PI_Cat 1_NCE_</w:t>
        </w:r>
        <w:r>
          <w:rPr>
            <w:sz w:val="20"/>
            <w:szCs w:val="20"/>
          </w:rPr>
          <w:t>approved</w:t>
        </w:r>
        <w:r w:rsidRPr="003C2F3A">
          <w:rPr>
            <w:sz w:val="20"/>
            <w:szCs w:val="20"/>
          </w:rPr>
          <w:tab/>
        </w:r>
        <w:r w:rsidRPr="003C2F3A">
          <w:rPr>
            <w:sz w:val="20"/>
            <w:szCs w:val="20"/>
          </w:rPr>
          <w:tab/>
        </w:r>
        <w:r w:rsidRPr="00643717">
          <w:rPr>
            <w:sz w:val="20"/>
            <w:szCs w:val="20"/>
          </w:rPr>
          <w:fldChar w:fldCharType="begin"/>
        </w:r>
        <w:r w:rsidRPr="00643717">
          <w:rPr>
            <w:sz w:val="20"/>
            <w:szCs w:val="20"/>
          </w:rPr>
          <w:instrText xml:space="preserve"> PAGE   \* MERGEFORMAT </w:instrText>
        </w:r>
        <w:r w:rsidRPr="00643717">
          <w:rPr>
            <w:sz w:val="20"/>
            <w:szCs w:val="20"/>
          </w:rPr>
          <w:fldChar w:fldCharType="separate"/>
        </w:r>
        <w:r w:rsidR="003A1AEE">
          <w:rPr>
            <w:noProof/>
            <w:sz w:val="20"/>
            <w:szCs w:val="20"/>
          </w:rPr>
          <w:t>20</w:t>
        </w:r>
        <w:r w:rsidRPr="0064371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3F8B" w14:textId="77777777" w:rsidR="00625B50" w:rsidRDefault="0062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F2AC3" w14:textId="77777777" w:rsidR="00625B50" w:rsidRDefault="00625B50" w:rsidP="001A3992">
      <w:pPr>
        <w:spacing w:after="0" w:line="240" w:lineRule="auto"/>
      </w:pPr>
      <w:r>
        <w:separator/>
      </w:r>
    </w:p>
  </w:footnote>
  <w:footnote w:type="continuationSeparator" w:id="0">
    <w:p w14:paraId="70CDA712" w14:textId="77777777" w:rsidR="00625B50" w:rsidRDefault="00625B50" w:rsidP="001A3992">
      <w:pPr>
        <w:spacing w:after="0" w:line="240" w:lineRule="auto"/>
      </w:pPr>
      <w:r>
        <w:continuationSeparator/>
      </w:r>
    </w:p>
  </w:footnote>
  <w:footnote w:type="continuationNotice" w:id="1">
    <w:p w14:paraId="401535EA" w14:textId="77777777" w:rsidR="00625B50" w:rsidRDefault="00625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1192" w14:textId="77777777" w:rsidR="00625B50" w:rsidRDefault="0062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625B50" w:rsidRPr="000B2145" w14:paraId="24268705" w14:textId="77777777" w:rsidTr="00625B50">
      <w:trPr>
        <w:trHeight w:val="1012"/>
      </w:trPr>
      <w:tc>
        <w:tcPr>
          <w:tcW w:w="8897" w:type="dxa"/>
          <w:shd w:val="clear" w:color="auto" w:fill="E4F2E0"/>
        </w:tcPr>
        <w:p w14:paraId="7CB418C0" w14:textId="77777777" w:rsidR="00625B50" w:rsidRPr="000B2145" w:rsidRDefault="00625B50" w:rsidP="00625B50">
          <w:pPr>
            <w:pStyle w:val="Footer"/>
            <w:rPr>
              <w:b/>
              <w:sz w:val="18"/>
              <w:szCs w:val="18"/>
            </w:rPr>
          </w:pPr>
          <w:r w:rsidRPr="00EA0C3C">
            <w:rPr>
              <w:b/>
              <w:sz w:val="18"/>
              <w:szCs w:val="18"/>
            </w:rPr>
            <w:t>Attachment 1:</w:t>
          </w:r>
          <w:r w:rsidRPr="004138A5">
            <w:rPr>
              <w:b/>
            </w:rPr>
            <w:t xml:space="preserve"> AusPAR – Yondelis - </w:t>
          </w:r>
          <w:proofErr w:type="spellStart"/>
          <w:r w:rsidRPr="004138A5">
            <w:rPr>
              <w:b/>
            </w:rPr>
            <w:t>trabectedin</w:t>
          </w:r>
          <w:proofErr w:type="spellEnd"/>
          <w:r w:rsidRPr="004138A5">
            <w:rPr>
              <w:b/>
            </w:rPr>
            <w:t xml:space="preserve"> - Specialised Therapeutics Pharma Pty Ltd - PM-2020-01313-1-4 FINAL 21 May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7EE7A870" w14:textId="77777777" w:rsidR="00625B50" w:rsidRDefault="00625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3472" w14:textId="77777777" w:rsidR="00625B50" w:rsidRDefault="0062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lowerLetter"/>
      <w:lvlText w:val="%1"/>
      <w:lvlJc w:val="left"/>
      <w:pPr>
        <w:ind w:left="511" w:hanging="284"/>
      </w:pPr>
      <w:rPr>
        <w:rFonts w:ascii="Times New Roman" w:hAnsi="Times New Roman" w:cs="Times New Roman"/>
        <w:b w:val="0"/>
        <w:bCs w:val="0"/>
        <w:w w:val="99"/>
        <w:position w:val="9"/>
        <w:sz w:val="13"/>
        <w:szCs w:val="13"/>
      </w:rPr>
    </w:lvl>
    <w:lvl w:ilvl="1">
      <w:numFmt w:val="bullet"/>
      <w:lvlText w:val="ï"/>
      <w:lvlJc w:val="left"/>
      <w:pPr>
        <w:ind w:left="1388" w:hanging="284"/>
      </w:pPr>
    </w:lvl>
    <w:lvl w:ilvl="2">
      <w:numFmt w:val="bullet"/>
      <w:lvlText w:val="ï"/>
      <w:lvlJc w:val="left"/>
      <w:pPr>
        <w:ind w:left="2256" w:hanging="284"/>
      </w:pPr>
    </w:lvl>
    <w:lvl w:ilvl="3">
      <w:numFmt w:val="bullet"/>
      <w:lvlText w:val="ï"/>
      <w:lvlJc w:val="left"/>
      <w:pPr>
        <w:ind w:left="3124" w:hanging="284"/>
      </w:pPr>
    </w:lvl>
    <w:lvl w:ilvl="4">
      <w:numFmt w:val="bullet"/>
      <w:lvlText w:val="ï"/>
      <w:lvlJc w:val="left"/>
      <w:pPr>
        <w:ind w:left="3992" w:hanging="284"/>
      </w:pPr>
    </w:lvl>
    <w:lvl w:ilvl="5">
      <w:numFmt w:val="bullet"/>
      <w:lvlText w:val="ï"/>
      <w:lvlJc w:val="left"/>
      <w:pPr>
        <w:ind w:left="4860" w:hanging="284"/>
      </w:pPr>
    </w:lvl>
    <w:lvl w:ilvl="6">
      <w:numFmt w:val="bullet"/>
      <w:lvlText w:val="ï"/>
      <w:lvlJc w:val="left"/>
      <w:pPr>
        <w:ind w:left="5728" w:hanging="284"/>
      </w:pPr>
    </w:lvl>
    <w:lvl w:ilvl="7">
      <w:numFmt w:val="bullet"/>
      <w:lvlText w:val="ï"/>
      <w:lvlJc w:val="left"/>
      <w:pPr>
        <w:ind w:left="6596" w:hanging="284"/>
      </w:pPr>
    </w:lvl>
    <w:lvl w:ilvl="8">
      <w:numFmt w:val="bullet"/>
      <w:lvlText w:val="ï"/>
      <w:lvlJc w:val="left"/>
      <w:pPr>
        <w:ind w:left="7464" w:hanging="284"/>
      </w:p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D53CA2"/>
    <w:multiLevelType w:val="hybridMultilevel"/>
    <w:tmpl w:val="AE66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95237"/>
    <w:multiLevelType w:val="hybridMultilevel"/>
    <w:tmpl w:val="90A6C100"/>
    <w:lvl w:ilvl="0" w:tplc="08F01CA8">
      <w:start w:val="1"/>
      <w:numFmt w:val="bullet"/>
      <w:lvlText w:val="-"/>
      <w:lvlJc w:val="left"/>
      <w:pPr>
        <w:tabs>
          <w:tab w:val="num" w:pos="567"/>
        </w:tabs>
        <w:ind w:left="567" w:hanging="56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574B4D"/>
    <w:multiLevelType w:val="hybridMultilevel"/>
    <w:tmpl w:val="90A6C100"/>
    <w:lvl w:ilvl="0" w:tplc="9D50818A">
      <w:start w:val="1"/>
      <w:numFmt w:val="bullet"/>
      <w:lvlText w:val="-"/>
      <w:lvlJc w:val="left"/>
      <w:pPr>
        <w:tabs>
          <w:tab w:val="num" w:pos="567"/>
        </w:tabs>
        <w:ind w:left="567" w:hanging="56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6"/>
  </w:num>
  <w:num w:numId="5">
    <w:abstractNumId w:val="13"/>
  </w:num>
  <w:num w:numId="6">
    <w:abstractNumId w:val="10"/>
  </w:num>
  <w:num w:numId="7">
    <w:abstractNumId w:val="8"/>
  </w:num>
  <w:num w:numId="8">
    <w:abstractNumId w:val="11"/>
  </w:num>
  <w:num w:numId="9">
    <w:abstractNumId w:val="3"/>
  </w:num>
  <w:num w:numId="10">
    <w:abstractNumId w:val="7"/>
  </w:num>
  <w:num w:numId="11">
    <w:abstractNumId w:val="12"/>
  </w:num>
  <w:num w:numId="12">
    <w:abstractNumId w:val="5"/>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3C"/>
    <w:rsid w:val="00006D18"/>
    <w:rsid w:val="000101A4"/>
    <w:rsid w:val="000106CC"/>
    <w:rsid w:val="00010CD5"/>
    <w:rsid w:val="0001218C"/>
    <w:rsid w:val="0001385F"/>
    <w:rsid w:val="00027AA0"/>
    <w:rsid w:val="00032F4E"/>
    <w:rsid w:val="00037032"/>
    <w:rsid w:val="00041BB0"/>
    <w:rsid w:val="00042107"/>
    <w:rsid w:val="00042302"/>
    <w:rsid w:val="00044227"/>
    <w:rsid w:val="00045487"/>
    <w:rsid w:val="000465D6"/>
    <w:rsid w:val="00046A23"/>
    <w:rsid w:val="00046C30"/>
    <w:rsid w:val="00054B31"/>
    <w:rsid w:val="00056514"/>
    <w:rsid w:val="00063926"/>
    <w:rsid w:val="000701E3"/>
    <w:rsid w:val="000735A1"/>
    <w:rsid w:val="00081217"/>
    <w:rsid w:val="00082D93"/>
    <w:rsid w:val="000831F8"/>
    <w:rsid w:val="00086949"/>
    <w:rsid w:val="0009488C"/>
    <w:rsid w:val="000951C0"/>
    <w:rsid w:val="00097332"/>
    <w:rsid w:val="00097A5F"/>
    <w:rsid w:val="000A0273"/>
    <w:rsid w:val="000A148D"/>
    <w:rsid w:val="000A48F5"/>
    <w:rsid w:val="000B0D33"/>
    <w:rsid w:val="000B2E50"/>
    <w:rsid w:val="000B56F7"/>
    <w:rsid w:val="000B5EAB"/>
    <w:rsid w:val="000B6465"/>
    <w:rsid w:val="000B7295"/>
    <w:rsid w:val="000C06B0"/>
    <w:rsid w:val="000C725B"/>
    <w:rsid w:val="000D1457"/>
    <w:rsid w:val="000D1F14"/>
    <w:rsid w:val="000D2EAD"/>
    <w:rsid w:val="000D38E7"/>
    <w:rsid w:val="000E3F4C"/>
    <w:rsid w:val="000F2734"/>
    <w:rsid w:val="000F2F01"/>
    <w:rsid w:val="000F41BA"/>
    <w:rsid w:val="000F4AAA"/>
    <w:rsid w:val="000F682B"/>
    <w:rsid w:val="00116A77"/>
    <w:rsid w:val="00116C80"/>
    <w:rsid w:val="001206C3"/>
    <w:rsid w:val="00122CD4"/>
    <w:rsid w:val="00123C29"/>
    <w:rsid w:val="0012467C"/>
    <w:rsid w:val="00126BAC"/>
    <w:rsid w:val="00131BE0"/>
    <w:rsid w:val="00133B6E"/>
    <w:rsid w:val="00135BBE"/>
    <w:rsid w:val="00140758"/>
    <w:rsid w:val="00141ADA"/>
    <w:rsid w:val="00151F55"/>
    <w:rsid w:val="00155D3C"/>
    <w:rsid w:val="00163CB3"/>
    <w:rsid w:val="00166B46"/>
    <w:rsid w:val="00172E25"/>
    <w:rsid w:val="00172E90"/>
    <w:rsid w:val="001731FE"/>
    <w:rsid w:val="00174224"/>
    <w:rsid w:val="00174610"/>
    <w:rsid w:val="00177CB6"/>
    <w:rsid w:val="00182A11"/>
    <w:rsid w:val="00190BCF"/>
    <w:rsid w:val="00191D39"/>
    <w:rsid w:val="001952F3"/>
    <w:rsid w:val="00197278"/>
    <w:rsid w:val="001A00CE"/>
    <w:rsid w:val="001A2A8C"/>
    <w:rsid w:val="001A3365"/>
    <w:rsid w:val="001A3992"/>
    <w:rsid w:val="001A5233"/>
    <w:rsid w:val="001B1F8C"/>
    <w:rsid w:val="001B4A7A"/>
    <w:rsid w:val="001B4BC9"/>
    <w:rsid w:val="001B55CA"/>
    <w:rsid w:val="001B5817"/>
    <w:rsid w:val="001B695C"/>
    <w:rsid w:val="001C0935"/>
    <w:rsid w:val="001C0E3B"/>
    <w:rsid w:val="001C6B00"/>
    <w:rsid w:val="001D13D6"/>
    <w:rsid w:val="001D22EB"/>
    <w:rsid w:val="001D5C4C"/>
    <w:rsid w:val="001E32AD"/>
    <w:rsid w:val="001F6351"/>
    <w:rsid w:val="001F65C1"/>
    <w:rsid w:val="00205528"/>
    <w:rsid w:val="00207A9C"/>
    <w:rsid w:val="0021200F"/>
    <w:rsid w:val="00217548"/>
    <w:rsid w:val="0022086E"/>
    <w:rsid w:val="0022091A"/>
    <w:rsid w:val="00220ADF"/>
    <w:rsid w:val="00221742"/>
    <w:rsid w:val="00224A33"/>
    <w:rsid w:val="0023140D"/>
    <w:rsid w:val="0024032D"/>
    <w:rsid w:val="002409FC"/>
    <w:rsid w:val="00243361"/>
    <w:rsid w:val="002443D5"/>
    <w:rsid w:val="00245358"/>
    <w:rsid w:val="00245A30"/>
    <w:rsid w:val="00246FB9"/>
    <w:rsid w:val="0025124F"/>
    <w:rsid w:val="00251E33"/>
    <w:rsid w:val="00253E0B"/>
    <w:rsid w:val="002543B6"/>
    <w:rsid w:val="002559E0"/>
    <w:rsid w:val="00260A09"/>
    <w:rsid w:val="00261CCE"/>
    <w:rsid w:val="002639EC"/>
    <w:rsid w:val="00265CBD"/>
    <w:rsid w:val="00265E1F"/>
    <w:rsid w:val="00272036"/>
    <w:rsid w:val="002732FD"/>
    <w:rsid w:val="002734BB"/>
    <w:rsid w:val="0028050A"/>
    <w:rsid w:val="00282914"/>
    <w:rsid w:val="00282E0C"/>
    <w:rsid w:val="002840BE"/>
    <w:rsid w:val="00284492"/>
    <w:rsid w:val="00284971"/>
    <w:rsid w:val="00285173"/>
    <w:rsid w:val="0028609A"/>
    <w:rsid w:val="00286322"/>
    <w:rsid w:val="0029449A"/>
    <w:rsid w:val="00296852"/>
    <w:rsid w:val="002A200B"/>
    <w:rsid w:val="002A21C5"/>
    <w:rsid w:val="002A4FAF"/>
    <w:rsid w:val="002B022D"/>
    <w:rsid w:val="002C1C6E"/>
    <w:rsid w:val="002C2034"/>
    <w:rsid w:val="002C4627"/>
    <w:rsid w:val="002C7DE0"/>
    <w:rsid w:val="002D32A9"/>
    <w:rsid w:val="002E0332"/>
    <w:rsid w:val="002E277D"/>
    <w:rsid w:val="002E4917"/>
    <w:rsid w:val="002E54A3"/>
    <w:rsid w:val="002F54B1"/>
    <w:rsid w:val="002F6BDB"/>
    <w:rsid w:val="00307C00"/>
    <w:rsid w:val="00310888"/>
    <w:rsid w:val="003143BC"/>
    <w:rsid w:val="0031440F"/>
    <w:rsid w:val="003160B9"/>
    <w:rsid w:val="0032079D"/>
    <w:rsid w:val="0032271D"/>
    <w:rsid w:val="00324DB1"/>
    <w:rsid w:val="0032561B"/>
    <w:rsid w:val="00330D1B"/>
    <w:rsid w:val="003362C7"/>
    <w:rsid w:val="00337C64"/>
    <w:rsid w:val="0034068D"/>
    <w:rsid w:val="00341D2E"/>
    <w:rsid w:val="00343298"/>
    <w:rsid w:val="00343AD1"/>
    <w:rsid w:val="00345823"/>
    <w:rsid w:val="0034685C"/>
    <w:rsid w:val="00350393"/>
    <w:rsid w:val="003549F0"/>
    <w:rsid w:val="00355C5E"/>
    <w:rsid w:val="00361173"/>
    <w:rsid w:val="003676B4"/>
    <w:rsid w:val="00375DF3"/>
    <w:rsid w:val="00376E4B"/>
    <w:rsid w:val="00377C3C"/>
    <w:rsid w:val="003918B6"/>
    <w:rsid w:val="00392392"/>
    <w:rsid w:val="00395E56"/>
    <w:rsid w:val="003A1AEE"/>
    <w:rsid w:val="003A1CBF"/>
    <w:rsid w:val="003A310D"/>
    <w:rsid w:val="003A4741"/>
    <w:rsid w:val="003A673B"/>
    <w:rsid w:val="003B03BC"/>
    <w:rsid w:val="003B247A"/>
    <w:rsid w:val="003B4D07"/>
    <w:rsid w:val="003B71B3"/>
    <w:rsid w:val="003B755A"/>
    <w:rsid w:val="003C2F3A"/>
    <w:rsid w:val="003C5552"/>
    <w:rsid w:val="003E36A3"/>
    <w:rsid w:val="003E64BA"/>
    <w:rsid w:val="003F0A76"/>
    <w:rsid w:val="003F1E3D"/>
    <w:rsid w:val="003F56B5"/>
    <w:rsid w:val="00400009"/>
    <w:rsid w:val="0040340F"/>
    <w:rsid w:val="004132AF"/>
    <w:rsid w:val="00413B87"/>
    <w:rsid w:val="0042364D"/>
    <w:rsid w:val="00431246"/>
    <w:rsid w:val="00431ACD"/>
    <w:rsid w:val="0044425F"/>
    <w:rsid w:val="00445E0D"/>
    <w:rsid w:val="00454DFE"/>
    <w:rsid w:val="004645F3"/>
    <w:rsid w:val="004677F6"/>
    <w:rsid w:val="004701E7"/>
    <w:rsid w:val="00483FD7"/>
    <w:rsid w:val="00487F16"/>
    <w:rsid w:val="00492465"/>
    <w:rsid w:val="004939F3"/>
    <w:rsid w:val="004945B5"/>
    <w:rsid w:val="00494D63"/>
    <w:rsid w:val="00494F4E"/>
    <w:rsid w:val="00495143"/>
    <w:rsid w:val="00496AEF"/>
    <w:rsid w:val="004A2209"/>
    <w:rsid w:val="004A4FCE"/>
    <w:rsid w:val="004B2218"/>
    <w:rsid w:val="004B6B19"/>
    <w:rsid w:val="004B6BB6"/>
    <w:rsid w:val="004C1747"/>
    <w:rsid w:val="004C20B3"/>
    <w:rsid w:val="004C282C"/>
    <w:rsid w:val="004C4C72"/>
    <w:rsid w:val="004C5F1B"/>
    <w:rsid w:val="004C6960"/>
    <w:rsid w:val="004C69DA"/>
    <w:rsid w:val="004D1B32"/>
    <w:rsid w:val="004D51E9"/>
    <w:rsid w:val="004D74F4"/>
    <w:rsid w:val="004E7211"/>
    <w:rsid w:val="004E7F49"/>
    <w:rsid w:val="004F06EE"/>
    <w:rsid w:val="004F21B6"/>
    <w:rsid w:val="004F39F1"/>
    <w:rsid w:val="00507F9E"/>
    <w:rsid w:val="005103C6"/>
    <w:rsid w:val="00516685"/>
    <w:rsid w:val="00520D01"/>
    <w:rsid w:val="00521D8A"/>
    <w:rsid w:val="005234F5"/>
    <w:rsid w:val="00530AE7"/>
    <w:rsid w:val="00532734"/>
    <w:rsid w:val="00532EED"/>
    <w:rsid w:val="00535834"/>
    <w:rsid w:val="0054063F"/>
    <w:rsid w:val="00547F4E"/>
    <w:rsid w:val="00551B4E"/>
    <w:rsid w:val="00556EDD"/>
    <w:rsid w:val="00557649"/>
    <w:rsid w:val="0057159A"/>
    <w:rsid w:val="00575304"/>
    <w:rsid w:val="00583723"/>
    <w:rsid w:val="00585B5A"/>
    <w:rsid w:val="00590F8D"/>
    <w:rsid w:val="0059128F"/>
    <w:rsid w:val="0059373D"/>
    <w:rsid w:val="00594282"/>
    <w:rsid w:val="00595EF3"/>
    <w:rsid w:val="005964A7"/>
    <w:rsid w:val="005A074F"/>
    <w:rsid w:val="005A1222"/>
    <w:rsid w:val="005A2906"/>
    <w:rsid w:val="005B2812"/>
    <w:rsid w:val="005B2E67"/>
    <w:rsid w:val="005B45DD"/>
    <w:rsid w:val="005B7713"/>
    <w:rsid w:val="005C0741"/>
    <w:rsid w:val="005C100A"/>
    <w:rsid w:val="005C63A9"/>
    <w:rsid w:val="005D3838"/>
    <w:rsid w:val="005D3DE8"/>
    <w:rsid w:val="005D420E"/>
    <w:rsid w:val="005D4612"/>
    <w:rsid w:val="005D4CC7"/>
    <w:rsid w:val="005E1EBF"/>
    <w:rsid w:val="005E77B0"/>
    <w:rsid w:val="005F065E"/>
    <w:rsid w:val="005F0900"/>
    <w:rsid w:val="005F41B0"/>
    <w:rsid w:val="005F5163"/>
    <w:rsid w:val="005F5DD6"/>
    <w:rsid w:val="006018AE"/>
    <w:rsid w:val="00601AC2"/>
    <w:rsid w:val="00606A79"/>
    <w:rsid w:val="0061197E"/>
    <w:rsid w:val="00613925"/>
    <w:rsid w:val="00615609"/>
    <w:rsid w:val="00617016"/>
    <w:rsid w:val="00617957"/>
    <w:rsid w:val="00621656"/>
    <w:rsid w:val="00625B50"/>
    <w:rsid w:val="00635EE0"/>
    <w:rsid w:val="00640280"/>
    <w:rsid w:val="00643717"/>
    <w:rsid w:val="0064762F"/>
    <w:rsid w:val="006516F9"/>
    <w:rsid w:val="006517CD"/>
    <w:rsid w:val="00651DA4"/>
    <w:rsid w:val="006523FE"/>
    <w:rsid w:val="0065286E"/>
    <w:rsid w:val="006574B9"/>
    <w:rsid w:val="00665B6A"/>
    <w:rsid w:val="0066779E"/>
    <w:rsid w:val="00670C55"/>
    <w:rsid w:val="00671439"/>
    <w:rsid w:val="00680CFA"/>
    <w:rsid w:val="00683268"/>
    <w:rsid w:val="00683BAD"/>
    <w:rsid w:val="00684093"/>
    <w:rsid w:val="00684862"/>
    <w:rsid w:val="00686DDA"/>
    <w:rsid w:val="00686EF5"/>
    <w:rsid w:val="006911FF"/>
    <w:rsid w:val="0069141C"/>
    <w:rsid w:val="00691F2D"/>
    <w:rsid w:val="00697EE4"/>
    <w:rsid w:val="006A3AAC"/>
    <w:rsid w:val="006A4936"/>
    <w:rsid w:val="006B072A"/>
    <w:rsid w:val="006B2989"/>
    <w:rsid w:val="006B3943"/>
    <w:rsid w:val="006D15DE"/>
    <w:rsid w:val="006E21DC"/>
    <w:rsid w:val="006E4796"/>
    <w:rsid w:val="006E4FA0"/>
    <w:rsid w:val="006F4C99"/>
    <w:rsid w:val="006F61A7"/>
    <w:rsid w:val="00701251"/>
    <w:rsid w:val="00707C2A"/>
    <w:rsid w:val="00715CEE"/>
    <w:rsid w:val="00724B9D"/>
    <w:rsid w:val="007278F1"/>
    <w:rsid w:val="00731C85"/>
    <w:rsid w:val="00734027"/>
    <w:rsid w:val="00737922"/>
    <w:rsid w:val="00750952"/>
    <w:rsid w:val="00752AB5"/>
    <w:rsid w:val="0076362E"/>
    <w:rsid w:val="00767134"/>
    <w:rsid w:val="007762C2"/>
    <w:rsid w:val="00787405"/>
    <w:rsid w:val="00787CDC"/>
    <w:rsid w:val="00794FC1"/>
    <w:rsid w:val="007A03A0"/>
    <w:rsid w:val="007A78C5"/>
    <w:rsid w:val="007B14ED"/>
    <w:rsid w:val="007B3616"/>
    <w:rsid w:val="007B37FA"/>
    <w:rsid w:val="007B7ECF"/>
    <w:rsid w:val="007C66C8"/>
    <w:rsid w:val="007D1885"/>
    <w:rsid w:val="007D2E82"/>
    <w:rsid w:val="007D7E9D"/>
    <w:rsid w:val="007E1894"/>
    <w:rsid w:val="007E5043"/>
    <w:rsid w:val="007E6771"/>
    <w:rsid w:val="007F0EDD"/>
    <w:rsid w:val="007F602F"/>
    <w:rsid w:val="00801640"/>
    <w:rsid w:val="0080311A"/>
    <w:rsid w:val="008043F1"/>
    <w:rsid w:val="008114C2"/>
    <w:rsid w:val="0081322C"/>
    <w:rsid w:val="00817192"/>
    <w:rsid w:val="00822D43"/>
    <w:rsid w:val="0083301C"/>
    <w:rsid w:val="00840372"/>
    <w:rsid w:val="008440F8"/>
    <w:rsid w:val="00845A51"/>
    <w:rsid w:val="0084606F"/>
    <w:rsid w:val="008513F7"/>
    <w:rsid w:val="00852351"/>
    <w:rsid w:val="00852CD8"/>
    <w:rsid w:val="00853095"/>
    <w:rsid w:val="00856171"/>
    <w:rsid w:val="008574BD"/>
    <w:rsid w:val="00860B7A"/>
    <w:rsid w:val="00861DA1"/>
    <w:rsid w:val="008632D6"/>
    <w:rsid w:val="00865691"/>
    <w:rsid w:val="00865D08"/>
    <w:rsid w:val="00866570"/>
    <w:rsid w:val="00867450"/>
    <w:rsid w:val="00891AEB"/>
    <w:rsid w:val="00891B05"/>
    <w:rsid w:val="00893D30"/>
    <w:rsid w:val="00894D5D"/>
    <w:rsid w:val="008A77FC"/>
    <w:rsid w:val="008B4491"/>
    <w:rsid w:val="008B6394"/>
    <w:rsid w:val="008C03FF"/>
    <w:rsid w:val="008C1400"/>
    <w:rsid w:val="008C52BD"/>
    <w:rsid w:val="008C5D1B"/>
    <w:rsid w:val="008D12DF"/>
    <w:rsid w:val="008D44D6"/>
    <w:rsid w:val="008D63F2"/>
    <w:rsid w:val="008E130F"/>
    <w:rsid w:val="008F2F78"/>
    <w:rsid w:val="008F3345"/>
    <w:rsid w:val="00905FE6"/>
    <w:rsid w:val="00906652"/>
    <w:rsid w:val="00925505"/>
    <w:rsid w:val="00925ADC"/>
    <w:rsid w:val="00925B2E"/>
    <w:rsid w:val="009275C7"/>
    <w:rsid w:val="00927C82"/>
    <w:rsid w:val="00930D2D"/>
    <w:rsid w:val="00934D95"/>
    <w:rsid w:val="009351EB"/>
    <w:rsid w:val="00936931"/>
    <w:rsid w:val="0093795D"/>
    <w:rsid w:val="00947077"/>
    <w:rsid w:val="00960CD5"/>
    <w:rsid w:val="00971923"/>
    <w:rsid w:val="00973D2D"/>
    <w:rsid w:val="00975292"/>
    <w:rsid w:val="00975541"/>
    <w:rsid w:val="009917E1"/>
    <w:rsid w:val="00993934"/>
    <w:rsid w:val="00994DC9"/>
    <w:rsid w:val="009A1C2D"/>
    <w:rsid w:val="009A33BA"/>
    <w:rsid w:val="009A37B3"/>
    <w:rsid w:val="009A51C3"/>
    <w:rsid w:val="009A5418"/>
    <w:rsid w:val="009B35E2"/>
    <w:rsid w:val="009C08C9"/>
    <w:rsid w:val="009C3E65"/>
    <w:rsid w:val="009D2F7A"/>
    <w:rsid w:val="009E2364"/>
    <w:rsid w:val="009F079C"/>
    <w:rsid w:val="00A04B3D"/>
    <w:rsid w:val="00A076CC"/>
    <w:rsid w:val="00A07B8D"/>
    <w:rsid w:val="00A118D0"/>
    <w:rsid w:val="00A11D49"/>
    <w:rsid w:val="00A12B82"/>
    <w:rsid w:val="00A12C65"/>
    <w:rsid w:val="00A14332"/>
    <w:rsid w:val="00A162BC"/>
    <w:rsid w:val="00A24AF3"/>
    <w:rsid w:val="00A30D7E"/>
    <w:rsid w:val="00A3280C"/>
    <w:rsid w:val="00A3636D"/>
    <w:rsid w:val="00A40F24"/>
    <w:rsid w:val="00A4140A"/>
    <w:rsid w:val="00A41894"/>
    <w:rsid w:val="00A4210B"/>
    <w:rsid w:val="00A4549B"/>
    <w:rsid w:val="00A47E03"/>
    <w:rsid w:val="00A50A5D"/>
    <w:rsid w:val="00A52876"/>
    <w:rsid w:val="00A53998"/>
    <w:rsid w:val="00A55167"/>
    <w:rsid w:val="00A57A68"/>
    <w:rsid w:val="00A64655"/>
    <w:rsid w:val="00A67511"/>
    <w:rsid w:val="00A707C5"/>
    <w:rsid w:val="00A72189"/>
    <w:rsid w:val="00A72ECD"/>
    <w:rsid w:val="00A77A55"/>
    <w:rsid w:val="00A803D9"/>
    <w:rsid w:val="00A814CC"/>
    <w:rsid w:val="00A8294B"/>
    <w:rsid w:val="00A84209"/>
    <w:rsid w:val="00A853F4"/>
    <w:rsid w:val="00A902CD"/>
    <w:rsid w:val="00A92A08"/>
    <w:rsid w:val="00AA6240"/>
    <w:rsid w:val="00AB1D74"/>
    <w:rsid w:val="00AC145B"/>
    <w:rsid w:val="00AC5E8E"/>
    <w:rsid w:val="00AD200F"/>
    <w:rsid w:val="00AD221F"/>
    <w:rsid w:val="00AD2C54"/>
    <w:rsid w:val="00AD2F72"/>
    <w:rsid w:val="00AD59D7"/>
    <w:rsid w:val="00AE2B00"/>
    <w:rsid w:val="00AE2B3C"/>
    <w:rsid w:val="00AE5F9D"/>
    <w:rsid w:val="00AF238D"/>
    <w:rsid w:val="00AF3744"/>
    <w:rsid w:val="00AF380D"/>
    <w:rsid w:val="00AF4C0D"/>
    <w:rsid w:val="00B07103"/>
    <w:rsid w:val="00B10130"/>
    <w:rsid w:val="00B138AA"/>
    <w:rsid w:val="00B1489E"/>
    <w:rsid w:val="00B15732"/>
    <w:rsid w:val="00B3083A"/>
    <w:rsid w:val="00B30FE0"/>
    <w:rsid w:val="00B44E5B"/>
    <w:rsid w:val="00B45F06"/>
    <w:rsid w:val="00B461DE"/>
    <w:rsid w:val="00B50C35"/>
    <w:rsid w:val="00B52BDB"/>
    <w:rsid w:val="00B56696"/>
    <w:rsid w:val="00B61E16"/>
    <w:rsid w:val="00B675BC"/>
    <w:rsid w:val="00B677DE"/>
    <w:rsid w:val="00B75899"/>
    <w:rsid w:val="00B7673C"/>
    <w:rsid w:val="00B7688C"/>
    <w:rsid w:val="00B818A0"/>
    <w:rsid w:val="00B845AF"/>
    <w:rsid w:val="00B91912"/>
    <w:rsid w:val="00B96D43"/>
    <w:rsid w:val="00BA026B"/>
    <w:rsid w:val="00BA1AC6"/>
    <w:rsid w:val="00BA54AD"/>
    <w:rsid w:val="00BB27FC"/>
    <w:rsid w:val="00BC05DC"/>
    <w:rsid w:val="00BC67FD"/>
    <w:rsid w:val="00BD023C"/>
    <w:rsid w:val="00BD175E"/>
    <w:rsid w:val="00BD276D"/>
    <w:rsid w:val="00BD5129"/>
    <w:rsid w:val="00BD77D5"/>
    <w:rsid w:val="00BE2982"/>
    <w:rsid w:val="00BE2A26"/>
    <w:rsid w:val="00BE3E37"/>
    <w:rsid w:val="00BE60C6"/>
    <w:rsid w:val="00BF6270"/>
    <w:rsid w:val="00C04AC6"/>
    <w:rsid w:val="00C058C3"/>
    <w:rsid w:val="00C065E7"/>
    <w:rsid w:val="00C15833"/>
    <w:rsid w:val="00C1784C"/>
    <w:rsid w:val="00C207FD"/>
    <w:rsid w:val="00C24DCE"/>
    <w:rsid w:val="00C32805"/>
    <w:rsid w:val="00C33263"/>
    <w:rsid w:val="00C41270"/>
    <w:rsid w:val="00C42303"/>
    <w:rsid w:val="00C4707F"/>
    <w:rsid w:val="00C53077"/>
    <w:rsid w:val="00C5393B"/>
    <w:rsid w:val="00C5522A"/>
    <w:rsid w:val="00C6096A"/>
    <w:rsid w:val="00C625BA"/>
    <w:rsid w:val="00C74CBA"/>
    <w:rsid w:val="00C752B8"/>
    <w:rsid w:val="00C75822"/>
    <w:rsid w:val="00C836F1"/>
    <w:rsid w:val="00C84394"/>
    <w:rsid w:val="00C843C6"/>
    <w:rsid w:val="00C86364"/>
    <w:rsid w:val="00C9514D"/>
    <w:rsid w:val="00C96208"/>
    <w:rsid w:val="00C96323"/>
    <w:rsid w:val="00C96A77"/>
    <w:rsid w:val="00C97689"/>
    <w:rsid w:val="00C978FC"/>
    <w:rsid w:val="00CA3491"/>
    <w:rsid w:val="00CA566B"/>
    <w:rsid w:val="00CA5677"/>
    <w:rsid w:val="00CA7D77"/>
    <w:rsid w:val="00CB051B"/>
    <w:rsid w:val="00CB1B27"/>
    <w:rsid w:val="00CB2549"/>
    <w:rsid w:val="00CB33AC"/>
    <w:rsid w:val="00CB43B0"/>
    <w:rsid w:val="00CB73B8"/>
    <w:rsid w:val="00CC5C19"/>
    <w:rsid w:val="00CC6F3A"/>
    <w:rsid w:val="00CE03F9"/>
    <w:rsid w:val="00CE4C5C"/>
    <w:rsid w:val="00CE54EB"/>
    <w:rsid w:val="00CE65E6"/>
    <w:rsid w:val="00CF2CB1"/>
    <w:rsid w:val="00CF5516"/>
    <w:rsid w:val="00CF5654"/>
    <w:rsid w:val="00CF6E0F"/>
    <w:rsid w:val="00D02629"/>
    <w:rsid w:val="00D0723B"/>
    <w:rsid w:val="00D074BB"/>
    <w:rsid w:val="00D11DED"/>
    <w:rsid w:val="00D164C2"/>
    <w:rsid w:val="00D164F7"/>
    <w:rsid w:val="00D222E3"/>
    <w:rsid w:val="00D26462"/>
    <w:rsid w:val="00D314D4"/>
    <w:rsid w:val="00D338D0"/>
    <w:rsid w:val="00D34802"/>
    <w:rsid w:val="00D357C9"/>
    <w:rsid w:val="00D365A4"/>
    <w:rsid w:val="00D420A4"/>
    <w:rsid w:val="00D4605D"/>
    <w:rsid w:val="00D474F2"/>
    <w:rsid w:val="00D51B36"/>
    <w:rsid w:val="00D51B48"/>
    <w:rsid w:val="00D51EA0"/>
    <w:rsid w:val="00D537E0"/>
    <w:rsid w:val="00D54BD2"/>
    <w:rsid w:val="00D61E2C"/>
    <w:rsid w:val="00D64A7C"/>
    <w:rsid w:val="00D66401"/>
    <w:rsid w:val="00D73866"/>
    <w:rsid w:val="00D90B29"/>
    <w:rsid w:val="00D92333"/>
    <w:rsid w:val="00DA02CE"/>
    <w:rsid w:val="00DA103D"/>
    <w:rsid w:val="00DA3531"/>
    <w:rsid w:val="00DB2BB1"/>
    <w:rsid w:val="00DC271F"/>
    <w:rsid w:val="00DC5281"/>
    <w:rsid w:val="00DC598A"/>
    <w:rsid w:val="00DE0A49"/>
    <w:rsid w:val="00DE12A2"/>
    <w:rsid w:val="00DF26B1"/>
    <w:rsid w:val="00DF2A1C"/>
    <w:rsid w:val="00DF35F1"/>
    <w:rsid w:val="00E00450"/>
    <w:rsid w:val="00E03B53"/>
    <w:rsid w:val="00E06C06"/>
    <w:rsid w:val="00E2497B"/>
    <w:rsid w:val="00E24A74"/>
    <w:rsid w:val="00E27569"/>
    <w:rsid w:val="00E30B47"/>
    <w:rsid w:val="00E30DEB"/>
    <w:rsid w:val="00E33CF8"/>
    <w:rsid w:val="00E34214"/>
    <w:rsid w:val="00E3478F"/>
    <w:rsid w:val="00E400F5"/>
    <w:rsid w:val="00E42CC2"/>
    <w:rsid w:val="00E43CF0"/>
    <w:rsid w:val="00E45F31"/>
    <w:rsid w:val="00E46513"/>
    <w:rsid w:val="00E5510D"/>
    <w:rsid w:val="00E57205"/>
    <w:rsid w:val="00E62B0E"/>
    <w:rsid w:val="00E665D1"/>
    <w:rsid w:val="00E703A3"/>
    <w:rsid w:val="00E72AA1"/>
    <w:rsid w:val="00E7368C"/>
    <w:rsid w:val="00E74A56"/>
    <w:rsid w:val="00E777CD"/>
    <w:rsid w:val="00E77D6D"/>
    <w:rsid w:val="00E801E6"/>
    <w:rsid w:val="00E832A1"/>
    <w:rsid w:val="00E95059"/>
    <w:rsid w:val="00EA619C"/>
    <w:rsid w:val="00EC0931"/>
    <w:rsid w:val="00EC4A25"/>
    <w:rsid w:val="00EC502F"/>
    <w:rsid w:val="00EC5D07"/>
    <w:rsid w:val="00EC5E58"/>
    <w:rsid w:val="00EE0E56"/>
    <w:rsid w:val="00EE4420"/>
    <w:rsid w:val="00EE506A"/>
    <w:rsid w:val="00EE5840"/>
    <w:rsid w:val="00EF30B7"/>
    <w:rsid w:val="00EF7C3E"/>
    <w:rsid w:val="00F020F4"/>
    <w:rsid w:val="00F10884"/>
    <w:rsid w:val="00F12AD3"/>
    <w:rsid w:val="00F1415B"/>
    <w:rsid w:val="00F15F34"/>
    <w:rsid w:val="00F160FD"/>
    <w:rsid w:val="00F221CE"/>
    <w:rsid w:val="00F22688"/>
    <w:rsid w:val="00F233F9"/>
    <w:rsid w:val="00F35F2A"/>
    <w:rsid w:val="00F46895"/>
    <w:rsid w:val="00F510A6"/>
    <w:rsid w:val="00F568E3"/>
    <w:rsid w:val="00F56DED"/>
    <w:rsid w:val="00F703EA"/>
    <w:rsid w:val="00F72004"/>
    <w:rsid w:val="00F7211B"/>
    <w:rsid w:val="00F90F13"/>
    <w:rsid w:val="00F932EB"/>
    <w:rsid w:val="00FA437D"/>
    <w:rsid w:val="00FB14D5"/>
    <w:rsid w:val="00FB4EC0"/>
    <w:rsid w:val="00FB5A38"/>
    <w:rsid w:val="00FB64EC"/>
    <w:rsid w:val="00FC2848"/>
    <w:rsid w:val="00FC45A0"/>
    <w:rsid w:val="00FD7604"/>
    <w:rsid w:val="00FE0552"/>
    <w:rsid w:val="00FE29F2"/>
    <w:rsid w:val="00FE6CB9"/>
    <w:rsid w:val="00FF0108"/>
    <w:rsid w:val="00FF02BF"/>
    <w:rsid w:val="00FF3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B2BF89"/>
  <w15:docId w15:val="{6F921641-A6B8-E94D-94B9-42EDBF1C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Default">
    <w:name w:val="Default"/>
    <w:rsid w:val="0066779E"/>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Caption">
    <w:name w:val="caption"/>
    <w:next w:val="Normal"/>
    <w:uiPriority w:val="99"/>
    <w:qFormat/>
    <w:rsid w:val="00894D5D"/>
    <w:pPr>
      <w:keepNext/>
      <w:spacing w:before="240" w:after="120" w:line="240" w:lineRule="auto"/>
      <w:jc w:val="center"/>
    </w:pPr>
    <w:rPr>
      <w:rFonts w:ascii="Arial" w:eastAsia="Times New Roman" w:hAnsi="Arial" w:cs="Times New Roman"/>
      <w:b/>
      <w:bCs/>
      <w:sz w:val="20"/>
      <w:szCs w:val="20"/>
      <w:lang w:val="en-US"/>
    </w:rPr>
  </w:style>
  <w:style w:type="paragraph" w:customStyle="1" w:styleId="PIEXPLAIN">
    <w:name w:val="PI EXPLAIN"/>
    <w:basedOn w:val="Normal"/>
    <w:rsid w:val="0080311A"/>
    <w:pPr>
      <w:tabs>
        <w:tab w:val="left" w:pos="-720"/>
      </w:tabs>
      <w:suppressAutoHyphens/>
      <w:spacing w:before="20" w:after="80" w:line="240" w:lineRule="auto"/>
    </w:pPr>
    <w:rPr>
      <w:rFonts w:ascii="Arial" w:eastAsia="Times New Roman" w:hAnsi="Arial" w:cs="Times New Roman"/>
      <w:spacing w:val="-2"/>
      <w:szCs w:val="20"/>
    </w:rPr>
  </w:style>
  <w:style w:type="paragraph" w:styleId="CommentSubject">
    <w:name w:val="annotation subject"/>
    <w:basedOn w:val="CommentText"/>
    <w:next w:val="CommentText"/>
    <w:link w:val="CommentSubjectChar"/>
    <w:uiPriority w:val="99"/>
    <w:semiHidden/>
    <w:unhideWhenUsed/>
    <w:rsid w:val="00925ADC"/>
    <w:rPr>
      <w:rFonts w:asciiTheme="minorHAnsi" w:hAnsiTheme="minorHAnsi"/>
      <w:b/>
      <w:bCs/>
    </w:rPr>
  </w:style>
  <w:style w:type="character" w:customStyle="1" w:styleId="CommentSubjectChar">
    <w:name w:val="Comment Subject Char"/>
    <w:basedOn w:val="CommentTextChar"/>
    <w:link w:val="CommentSubject"/>
    <w:uiPriority w:val="99"/>
    <w:semiHidden/>
    <w:rsid w:val="00925ADC"/>
    <w:rPr>
      <w:rFonts w:ascii="Cambria" w:hAnsi="Cambria"/>
      <w:b/>
      <w:bCs/>
      <w:sz w:val="20"/>
      <w:szCs w:val="20"/>
    </w:rPr>
  </w:style>
  <w:style w:type="paragraph" w:styleId="NormalWeb">
    <w:name w:val="Normal (Web)"/>
    <w:basedOn w:val="Normal"/>
    <w:uiPriority w:val="99"/>
    <w:semiHidden/>
    <w:unhideWhenUsed/>
    <w:rsid w:val="00925A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Text">
    <w:name w:val="Table Text"/>
    <w:qFormat/>
    <w:rsid w:val="00CF6E0F"/>
    <w:pPr>
      <w:tabs>
        <w:tab w:val="left" w:pos="288"/>
        <w:tab w:val="left" w:pos="576"/>
        <w:tab w:val="left" w:pos="864"/>
      </w:tabs>
      <w:spacing w:after="0" w:line="240" w:lineRule="auto"/>
    </w:pPr>
    <w:rPr>
      <w:rFonts w:ascii="Times New Roman" w:eastAsia="MS Mincho" w:hAnsi="Times New Roman" w:cs="Times New Roman"/>
      <w:sz w:val="20"/>
      <w:szCs w:val="20"/>
      <w:lang w:val="en-US"/>
    </w:rPr>
  </w:style>
  <w:style w:type="paragraph" w:styleId="Header">
    <w:name w:val="header"/>
    <w:basedOn w:val="Normal"/>
    <w:link w:val="HeaderChar"/>
    <w:uiPriority w:val="99"/>
    <w:unhideWhenUsed/>
    <w:rsid w:val="0086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691"/>
  </w:style>
  <w:style w:type="character" w:customStyle="1" w:styleId="UnresolvedMention">
    <w:name w:val="Unresolved Mention"/>
    <w:basedOn w:val="DefaultParagraphFont"/>
    <w:uiPriority w:val="99"/>
    <w:semiHidden/>
    <w:unhideWhenUsed/>
    <w:rsid w:val="00CF5516"/>
    <w:rPr>
      <w:color w:val="605E5C"/>
      <w:shd w:val="clear" w:color="auto" w:fill="E1DFDD"/>
    </w:rPr>
  </w:style>
  <w:style w:type="paragraph" w:styleId="BodyText">
    <w:name w:val="Body Text"/>
    <w:basedOn w:val="Normal"/>
    <w:link w:val="BodyTextChar"/>
    <w:uiPriority w:val="1"/>
    <w:qFormat/>
    <w:rsid w:val="00840372"/>
    <w:pPr>
      <w:autoSpaceDE w:val="0"/>
      <w:autoSpaceDN w:val="0"/>
      <w:adjustRightInd w:val="0"/>
      <w:spacing w:after="0" w:line="230" w:lineRule="exact"/>
      <w:ind w:left="511" w:hanging="285"/>
    </w:pPr>
    <w:rPr>
      <w:rFonts w:ascii="Times New Roman" w:hAnsi="Times New Roman" w:cs="Times New Roman"/>
      <w:sz w:val="16"/>
      <w:szCs w:val="16"/>
      <w:lang w:val="en-GB"/>
    </w:rPr>
  </w:style>
  <w:style w:type="character" w:customStyle="1" w:styleId="BodyTextChar">
    <w:name w:val="Body Text Char"/>
    <w:basedOn w:val="DefaultParagraphFont"/>
    <w:link w:val="BodyText"/>
    <w:uiPriority w:val="1"/>
    <w:rsid w:val="00840372"/>
    <w:rPr>
      <w:rFonts w:ascii="Times New Roman" w:hAnsi="Times New Roman" w:cs="Times New Roman"/>
      <w:sz w:val="16"/>
      <w:szCs w:val="16"/>
      <w:lang w:val="en-GB"/>
    </w:rPr>
  </w:style>
  <w:style w:type="paragraph" w:customStyle="1" w:styleId="TableParagraph">
    <w:name w:val="Table Paragraph"/>
    <w:basedOn w:val="Normal"/>
    <w:uiPriority w:val="1"/>
    <w:qFormat/>
    <w:rsid w:val="00840372"/>
    <w:pPr>
      <w:autoSpaceDE w:val="0"/>
      <w:autoSpaceDN w:val="0"/>
      <w:adjustRightInd w:val="0"/>
      <w:spacing w:after="0" w:line="210" w:lineRule="exact"/>
      <w:ind w:left="158"/>
    </w:pPr>
    <w:rPr>
      <w:rFonts w:ascii="Times New Roman" w:hAnsi="Times New Roman" w:cs="Times New Roman"/>
      <w:sz w:val="24"/>
      <w:szCs w:val="24"/>
      <w:lang w:val="en-GB"/>
    </w:rPr>
  </w:style>
  <w:style w:type="paragraph" w:styleId="Revision">
    <w:name w:val="Revision"/>
    <w:hidden/>
    <w:uiPriority w:val="99"/>
    <w:semiHidden/>
    <w:rsid w:val="00AF3744"/>
    <w:pPr>
      <w:spacing w:after="0" w:line="240" w:lineRule="auto"/>
    </w:pPr>
  </w:style>
  <w:style w:type="character" w:customStyle="1" w:styleId="e24kjd">
    <w:name w:val="e24kjd"/>
    <w:basedOn w:val="DefaultParagraphFont"/>
    <w:rsid w:val="000C06B0"/>
  </w:style>
  <w:style w:type="paragraph" w:customStyle="1" w:styleId="Heading2NoNumb">
    <w:name w:val="Heading 2NoNumb"/>
    <w:basedOn w:val="Heading2"/>
    <w:next w:val="Normal"/>
    <w:rsid w:val="003F0A76"/>
    <w:pPr>
      <w:keepNext/>
      <w:numPr>
        <w:ilvl w:val="0"/>
        <w:numId w:val="0"/>
      </w:numPr>
      <w:tabs>
        <w:tab w:val="left" w:pos="504"/>
      </w:tabs>
      <w:spacing w:after="120" w:line="240" w:lineRule="auto"/>
    </w:pPr>
    <w:rPr>
      <w:rFonts w:ascii="Times New Roman" w:eastAsia="Times New Roman" w:hAnsi="Times New Roman" w:cs="Times New Roman"/>
      <w:bCs/>
      <w:iCs/>
      <w:smallCaps w:val="0"/>
      <w:szCs w:val="28"/>
      <w:lang w:val="en-US"/>
    </w:rPr>
  </w:style>
  <w:style w:type="character" w:customStyle="1" w:styleId="apple-converted-space">
    <w:name w:val="apple-converted-space"/>
    <w:basedOn w:val="DefaultParagraphFont"/>
    <w:rsid w:val="00DA02CE"/>
  </w:style>
  <w:style w:type="table" w:styleId="TableGrid">
    <w:name w:val="Table Grid"/>
    <w:basedOn w:val="TableNormal"/>
    <w:uiPriority w:val="59"/>
    <w:rsid w:val="00625B50"/>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434717">
      <w:bodyDiv w:val="1"/>
      <w:marLeft w:val="0"/>
      <w:marRight w:val="0"/>
      <w:marTop w:val="0"/>
      <w:marBottom w:val="0"/>
      <w:divBdr>
        <w:top w:val="none" w:sz="0" w:space="0" w:color="auto"/>
        <w:left w:val="none" w:sz="0" w:space="0" w:color="auto"/>
        <w:bottom w:val="none" w:sz="0" w:space="0" w:color="auto"/>
        <w:right w:val="none" w:sz="0" w:space="0" w:color="auto"/>
      </w:divBdr>
    </w:div>
    <w:div w:id="107613014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85">
          <w:marLeft w:val="0"/>
          <w:marRight w:val="0"/>
          <w:marTop w:val="0"/>
          <w:marBottom w:val="0"/>
          <w:divBdr>
            <w:top w:val="none" w:sz="0" w:space="0" w:color="auto"/>
            <w:left w:val="none" w:sz="0" w:space="0" w:color="auto"/>
            <w:bottom w:val="none" w:sz="0" w:space="0" w:color="auto"/>
            <w:right w:val="none" w:sz="0" w:space="0" w:color="auto"/>
          </w:divBdr>
        </w:div>
        <w:div w:id="1141579703">
          <w:marLeft w:val="0"/>
          <w:marRight w:val="0"/>
          <w:marTop w:val="0"/>
          <w:marBottom w:val="0"/>
          <w:divBdr>
            <w:top w:val="none" w:sz="0" w:space="0" w:color="auto"/>
            <w:left w:val="none" w:sz="0" w:space="0" w:color="auto"/>
            <w:bottom w:val="none" w:sz="0" w:space="0" w:color="auto"/>
            <w:right w:val="none" w:sz="0" w:space="0" w:color="auto"/>
          </w:divBdr>
        </w:div>
      </w:divsChild>
    </w:div>
    <w:div w:id="1674258301">
      <w:bodyDiv w:val="1"/>
      <w:marLeft w:val="0"/>
      <w:marRight w:val="0"/>
      <w:marTop w:val="0"/>
      <w:marBottom w:val="0"/>
      <w:divBdr>
        <w:top w:val="none" w:sz="0" w:space="0" w:color="auto"/>
        <w:left w:val="none" w:sz="0" w:space="0" w:color="auto"/>
        <w:bottom w:val="none" w:sz="0" w:space="0" w:color="auto"/>
        <w:right w:val="none" w:sz="0" w:space="0" w:color="auto"/>
      </w:divBdr>
    </w:div>
    <w:div w:id="1742366937">
      <w:bodyDiv w:val="1"/>
      <w:marLeft w:val="0"/>
      <w:marRight w:val="0"/>
      <w:marTop w:val="0"/>
      <w:marBottom w:val="0"/>
      <w:divBdr>
        <w:top w:val="none" w:sz="0" w:space="0" w:color="auto"/>
        <w:left w:val="none" w:sz="0" w:space="0" w:color="auto"/>
        <w:bottom w:val="none" w:sz="0" w:space="0" w:color="auto"/>
        <w:right w:val="none" w:sz="0" w:space="0" w:color="auto"/>
      </w:divBdr>
      <w:divsChild>
        <w:div w:id="1056661607">
          <w:marLeft w:val="0"/>
          <w:marRight w:val="0"/>
          <w:marTop w:val="0"/>
          <w:marBottom w:val="0"/>
          <w:divBdr>
            <w:top w:val="none" w:sz="0" w:space="0" w:color="auto"/>
            <w:left w:val="none" w:sz="0" w:space="0" w:color="auto"/>
            <w:bottom w:val="none" w:sz="0" w:space="0" w:color="auto"/>
            <w:right w:val="none" w:sz="0" w:space="0" w:color="auto"/>
          </w:divBdr>
        </w:div>
      </w:divsChild>
    </w:div>
    <w:div w:id="18983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rugsafety-STA@stbiopharma.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inishalee\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pi-template-new-format-with-black-triangle.dotx</Template>
  <TotalTime>9</TotalTime>
  <Pages>20</Pages>
  <Words>6413</Words>
  <Characters>36881</Characters>
  <Application>Microsoft Office Word</Application>
  <DocSecurity>0</DocSecurity>
  <Lines>1024</Lines>
  <Paragraphs>569</Paragraphs>
  <ScaleCrop>false</ScaleCrop>
  <HeadingPairs>
    <vt:vector size="2" baseType="variant">
      <vt:variant>
        <vt:lpstr>Title</vt:lpstr>
      </vt:variant>
      <vt:variant>
        <vt:i4>1</vt:i4>
      </vt:variant>
    </vt:vector>
  </HeadingPairs>
  <TitlesOfParts>
    <vt:vector size="1" baseType="lpstr">
      <vt:lpstr>Attachment 1: Product Information for Trabectedin</vt:lpstr>
    </vt:vector>
  </TitlesOfParts>
  <Company>Specialised Therapeutics Pharma Pty Ltd</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Trabectedin</dc:title>
  <dc:subject>prescription medicines</dc:subject>
  <dc:creator>Specialised Therapeutics Pharma Pty Ltd</dc:creator>
  <cp:lastPrinted>2021-04-07T02:53:00Z</cp:lastPrinted>
  <dcterms:created xsi:type="dcterms:W3CDTF">2021-06-28T01:52:00Z</dcterms:created>
  <dcterms:modified xsi:type="dcterms:W3CDTF">2021-06-28T02:02:00Z</dcterms:modified>
</cp:coreProperties>
</file>