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D87DA4" w14:textId="77777777" w:rsidTr="00BF1190">
        <w:trPr>
          <w:trHeight w:val="1863"/>
        </w:trPr>
        <w:tc>
          <w:tcPr>
            <w:tcW w:w="3652" w:type="dxa"/>
            <w:tcBorders>
              <w:top w:val="nil"/>
              <w:left w:val="nil"/>
              <w:bottom w:val="nil"/>
              <w:right w:val="nil"/>
            </w:tcBorders>
          </w:tcPr>
          <w:p w14:paraId="4A32544A" w14:textId="77777777" w:rsidR="008E7846" w:rsidRPr="00096AA7" w:rsidRDefault="003532E9" w:rsidP="00096AA7">
            <w:pPr>
              <w:rPr>
                <w:rFonts w:ascii="Arial" w:hAnsi="Arial" w:cs="Arial"/>
                <w:b/>
                <w:color w:val="002C47"/>
                <w:sz w:val="36"/>
                <w:szCs w:val="36"/>
              </w:rPr>
            </w:pPr>
            <w:r>
              <w:rPr>
                <w:rFonts w:ascii="Arial" w:hAnsi="Arial" w:cs="Arial"/>
                <w:b/>
                <w:color w:val="002C47"/>
                <w:sz w:val="36"/>
                <w:szCs w:val="36"/>
              </w:rPr>
              <w:t>December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2B7001E" w14:textId="77777777" w:rsidTr="0032583B">
        <w:trPr>
          <w:trHeight w:val="868"/>
        </w:trPr>
        <w:tc>
          <w:tcPr>
            <w:tcW w:w="9079" w:type="dxa"/>
          </w:tcPr>
          <w:p w14:paraId="1758BF7E" w14:textId="77777777" w:rsidR="0032583B" w:rsidRPr="00A964D1" w:rsidRDefault="0032583B" w:rsidP="003532E9">
            <w:pPr>
              <w:pStyle w:val="Title"/>
              <w:rPr>
                <w:color w:val="FFFFFF" w:themeColor="background1"/>
              </w:rPr>
            </w:pPr>
            <w:r w:rsidRPr="00A964D1">
              <w:rPr>
                <w:color w:val="FFFFFF" w:themeColor="background1"/>
              </w:rPr>
              <w:t>Australia</w:t>
            </w:r>
            <w:r w:rsidR="003532E9">
              <w:rPr>
                <w:color w:val="FFFFFF" w:themeColor="background1"/>
              </w:rPr>
              <w:t xml:space="preserve">n Public Assessment Report for </w:t>
            </w:r>
            <w:proofErr w:type="spellStart"/>
            <w:r w:rsidR="003532E9">
              <w:rPr>
                <w:color w:val="FFFFFF" w:themeColor="background1"/>
              </w:rPr>
              <w:t>T</w:t>
            </w:r>
            <w:r w:rsidR="003532E9" w:rsidRPr="003532E9">
              <w:rPr>
                <w:color w:val="FFFFFF" w:themeColor="background1"/>
              </w:rPr>
              <w:t>ozi</w:t>
            </w:r>
            <w:r w:rsidR="003532E9">
              <w:rPr>
                <w:color w:val="FFFFFF" w:themeColor="background1"/>
              </w:rPr>
              <w:t>nameran</w:t>
            </w:r>
            <w:proofErr w:type="spellEnd"/>
            <w:r w:rsidR="003532E9">
              <w:rPr>
                <w:color w:val="FFFFFF" w:themeColor="background1"/>
              </w:rPr>
              <w:t xml:space="preserve"> (mRNA Covid</w:t>
            </w:r>
            <w:r w:rsidR="003532E9">
              <w:rPr>
                <w:color w:val="FFFFFF" w:themeColor="background1"/>
              </w:rPr>
              <w:noBreakHyphen/>
              <w:t>19 vaccine)</w:t>
            </w:r>
          </w:p>
        </w:tc>
      </w:tr>
      <w:tr w:rsidR="0032583B" w:rsidRPr="00B64760" w14:paraId="7F6625A4" w14:textId="77777777" w:rsidTr="0032583B">
        <w:tc>
          <w:tcPr>
            <w:tcW w:w="9079" w:type="dxa"/>
          </w:tcPr>
          <w:p w14:paraId="018C5359" w14:textId="77777777" w:rsidR="0032583B" w:rsidRPr="008E7846" w:rsidRDefault="003532E9"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Comirnaty</w:t>
            </w:r>
            <w:proofErr w:type="spellEnd"/>
          </w:p>
        </w:tc>
      </w:tr>
      <w:tr w:rsidR="0032583B" w:rsidRPr="00B64760" w14:paraId="158F1C4F" w14:textId="77777777" w:rsidTr="0032583B">
        <w:trPr>
          <w:trHeight w:val="486"/>
        </w:trPr>
        <w:tc>
          <w:tcPr>
            <w:tcW w:w="9079" w:type="dxa"/>
          </w:tcPr>
          <w:p w14:paraId="0CBEFA25" w14:textId="77777777" w:rsidR="0032583B" w:rsidRPr="008E7846" w:rsidRDefault="003532E9" w:rsidP="0032583B">
            <w:pPr>
              <w:pStyle w:val="Subtitle"/>
              <w:rPr>
                <w:color w:val="FFFFFF" w:themeColor="background1"/>
              </w:rPr>
            </w:pPr>
            <w:r>
              <w:rPr>
                <w:color w:val="FFFFFF" w:themeColor="background1"/>
              </w:rPr>
              <w:t>Sponsor: Pfizer Australia Pty Ltd</w:t>
            </w:r>
          </w:p>
        </w:tc>
      </w:tr>
    </w:tbl>
    <w:p w14:paraId="2E3DC563" w14:textId="77777777" w:rsidR="008E7846" w:rsidRPr="0085156D" w:rsidRDefault="008E7846" w:rsidP="0085156D">
      <w:r w:rsidRPr="0085156D">
        <w:br w:type="page"/>
      </w:r>
    </w:p>
    <w:p w14:paraId="12CA33C5" w14:textId="77777777" w:rsidR="008E7846" w:rsidRPr="001F6CBA" w:rsidRDefault="008E7846" w:rsidP="008E7846">
      <w:pPr>
        <w:pStyle w:val="NonTOCHeading2"/>
      </w:pPr>
      <w:r w:rsidRPr="001F6CBA">
        <w:lastRenderedPageBreak/>
        <w:t>About the Therapeutic Goods Administration (TGA)</w:t>
      </w:r>
    </w:p>
    <w:p w14:paraId="7230C702" w14:textId="77777777" w:rsidR="008E7846" w:rsidRDefault="008E7846" w:rsidP="0063574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44F8BA4" w14:textId="77777777" w:rsidR="008E7846" w:rsidRDefault="00C80137" w:rsidP="0063574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AACEC6C" w14:textId="77777777" w:rsidR="008E7846" w:rsidRDefault="008E7846" w:rsidP="0063574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6F6968B" w14:textId="77777777" w:rsidR="008E7846" w:rsidRDefault="008E7846" w:rsidP="0063574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CFA2BE2" w14:textId="77777777" w:rsidR="00441C3F" w:rsidRDefault="008E7846" w:rsidP="00635748">
      <w:pPr>
        <w:pStyle w:val="ListBullet"/>
        <w:numPr>
          <w:ilvl w:val="0"/>
          <w:numId w:val="1"/>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047271B2" w14:textId="77777777" w:rsidR="008E7846" w:rsidRDefault="008E7846" w:rsidP="00875A6B">
      <w:pPr>
        <w:pStyle w:val="NonTOCHeading2"/>
      </w:pPr>
      <w:r>
        <w:t xml:space="preserve">About </w:t>
      </w:r>
      <w:proofErr w:type="spellStart"/>
      <w:r>
        <w:t>AusPARs</w:t>
      </w:r>
      <w:proofErr w:type="spellEnd"/>
    </w:p>
    <w:p w14:paraId="35805F0E" w14:textId="77777777" w:rsidR="008E7846" w:rsidRDefault="008E7846" w:rsidP="00635748">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8CB6811" w14:textId="77777777" w:rsidR="008E7846" w:rsidRDefault="008E7846" w:rsidP="00635748">
      <w:pPr>
        <w:pStyle w:val="ListBullet"/>
        <w:numPr>
          <w:ilvl w:val="0"/>
          <w:numId w:val="1"/>
        </w:numPr>
        <w:ind w:left="357" w:hanging="357"/>
      </w:pPr>
      <w:proofErr w:type="spellStart"/>
      <w:r>
        <w:t>AusPARs</w:t>
      </w:r>
      <w:proofErr w:type="spellEnd"/>
      <w:r>
        <w:t xml:space="preserve"> are prepared and published by the TGA.</w:t>
      </w:r>
    </w:p>
    <w:p w14:paraId="4E640EB2" w14:textId="77777777" w:rsidR="008E7846" w:rsidRDefault="008E7846" w:rsidP="00635748">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6F94972E" w14:textId="77777777" w:rsidR="008E7846" w:rsidRDefault="008E7846" w:rsidP="00635748">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3278BBB8" w14:textId="77777777" w:rsidR="00B452CE" w:rsidRDefault="008E7846" w:rsidP="00635748">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CC64CFF" w14:textId="77777777" w:rsidR="00924482" w:rsidRPr="00DF1D7F" w:rsidRDefault="00924482" w:rsidP="00F54B65">
      <w:pPr>
        <w:pStyle w:val="LegalSubheading"/>
        <w:spacing w:before="3120"/>
      </w:pPr>
      <w:r w:rsidRPr="00DF1D7F">
        <w:t>Copyright</w:t>
      </w:r>
    </w:p>
    <w:p w14:paraId="3E84B398" w14:textId="7777777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03EAA9B6"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color w:val="2B579A"/>
          <w:sz w:val="22"/>
          <w:shd w:val="clear" w:color="auto" w:fill="E6E6E6"/>
        </w:rPr>
        <w:id w:val="5618007"/>
        <w:docPartObj>
          <w:docPartGallery w:val="Table of Contents"/>
          <w:docPartUnique/>
        </w:docPartObj>
      </w:sdtPr>
      <w:sdtEndPr>
        <w:rPr>
          <w:b/>
          <w:bCs w:val="0"/>
          <w:sz w:val="25"/>
        </w:rPr>
      </w:sdtEndPr>
      <w:sdtContent>
        <w:p w14:paraId="5C7D5646" w14:textId="77777777" w:rsidR="0089635C" w:rsidRPr="0089635C" w:rsidRDefault="0089635C" w:rsidP="0010788A">
          <w:pPr>
            <w:pStyle w:val="Contents"/>
          </w:pPr>
          <w:r w:rsidRPr="0010788A">
            <w:t>Contents</w:t>
          </w:r>
        </w:p>
        <w:p w14:paraId="12886B60" w14:textId="3F92A935" w:rsidR="002F03CB" w:rsidRDefault="00C525A2">
          <w:pPr>
            <w:pStyle w:val="TOC1"/>
            <w:rPr>
              <w:rFonts w:asciiTheme="minorHAnsi" w:eastAsiaTheme="minorEastAsia" w:hAnsiTheme="minorHAnsi" w:cstheme="minorBidi"/>
              <w:b w:val="0"/>
              <w:noProof/>
              <w:sz w:val="22"/>
              <w:lang w:eastAsia="en-AU"/>
            </w:rPr>
          </w:pPr>
          <w:r>
            <w:rPr>
              <w:color w:val="2B579A"/>
              <w:shd w:val="clear" w:color="auto" w:fill="E6E6E6"/>
            </w:rPr>
            <w:fldChar w:fldCharType="begin"/>
          </w:r>
          <w:r>
            <w:instrText xml:space="preserve"> TOC \h \z \t "Heading 2,1,Heading 3,2" </w:instrText>
          </w:r>
          <w:r>
            <w:rPr>
              <w:color w:val="2B579A"/>
              <w:shd w:val="clear" w:color="auto" w:fill="E6E6E6"/>
            </w:rPr>
            <w:fldChar w:fldCharType="separate"/>
          </w:r>
          <w:hyperlink w:anchor="_Toc90280425" w:history="1">
            <w:r w:rsidR="002F03CB" w:rsidRPr="008743C2">
              <w:rPr>
                <w:rStyle w:val="Hyperlink"/>
                <w:noProof/>
              </w:rPr>
              <w:t>List of abbreviations</w:t>
            </w:r>
            <w:r w:rsidR="002F03CB">
              <w:rPr>
                <w:noProof/>
                <w:webHidden/>
              </w:rPr>
              <w:tab/>
            </w:r>
            <w:r w:rsidR="002F03CB">
              <w:rPr>
                <w:noProof/>
                <w:webHidden/>
              </w:rPr>
              <w:fldChar w:fldCharType="begin"/>
            </w:r>
            <w:r w:rsidR="002F03CB">
              <w:rPr>
                <w:noProof/>
                <w:webHidden/>
              </w:rPr>
              <w:instrText xml:space="preserve"> PAGEREF _Toc90280425 \h </w:instrText>
            </w:r>
            <w:r w:rsidR="002F03CB">
              <w:rPr>
                <w:noProof/>
                <w:webHidden/>
              </w:rPr>
            </w:r>
            <w:r w:rsidR="002F03CB">
              <w:rPr>
                <w:noProof/>
                <w:webHidden/>
              </w:rPr>
              <w:fldChar w:fldCharType="separate"/>
            </w:r>
            <w:r w:rsidR="002F03CB">
              <w:rPr>
                <w:noProof/>
                <w:webHidden/>
              </w:rPr>
              <w:t>4</w:t>
            </w:r>
            <w:r w:rsidR="002F03CB">
              <w:rPr>
                <w:noProof/>
                <w:webHidden/>
              </w:rPr>
              <w:fldChar w:fldCharType="end"/>
            </w:r>
          </w:hyperlink>
        </w:p>
        <w:p w14:paraId="168C07A3" w14:textId="43CB8C73" w:rsidR="002F03CB" w:rsidRDefault="002F03CB">
          <w:pPr>
            <w:pStyle w:val="TOC1"/>
            <w:rPr>
              <w:rFonts w:asciiTheme="minorHAnsi" w:eastAsiaTheme="minorEastAsia" w:hAnsiTheme="minorHAnsi" w:cstheme="minorBidi"/>
              <w:b w:val="0"/>
              <w:noProof/>
              <w:sz w:val="22"/>
              <w:lang w:eastAsia="en-AU"/>
            </w:rPr>
          </w:pPr>
          <w:hyperlink w:anchor="_Toc90280426" w:history="1">
            <w:r w:rsidRPr="008743C2">
              <w:rPr>
                <w:rStyle w:val="Hyperlink"/>
                <w:noProof/>
              </w:rPr>
              <w:t>I. Introduction to product submission</w:t>
            </w:r>
            <w:r>
              <w:rPr>
                <w:noProof/>
                <w:webHidden/>
              </w:rPr>
              <w:tab/>
            </w:r>
            <w:r>
              <w:rPr>
                <w:noProof/>
                <w:webHidden/>
              </w:rPr>
              <w:fldChar w:fldCharType="begin"/>
            </w:r>
            <w:r>
              <w:rPr>
                <w:noProof/>
                <w:webHidden/>
              </w:rPr>
              <w:instrText xml:space="preserve"> PAGEREF _Toc90280426 \h </w:instrText>
            </w:r>
            <w:r>
              <w:rPr>
                <w:noProof/>
                <w:webHidden/>
              </w:rPr>
            </w:r>
            <w:r>
              <w:rPr>
                <w:noProof/>
                <w:webHidden/>
              </w:rPr>
              <w:fldChar w:fldCharType="separate"/>
            </w:r>
            <w:r>
              <w:rPr>
                <w:noProof/>
                <w:webHidden/>
              </w:rPr>
              <w:t>6</w:t>
            </w:r>
            <w:r>
              <w:rPr>
                <w:noProof/>
                <w:webHidden/>
              </w:rPr>
              <w:fldChar w:fldCharType="end"/>
            </w:r>
          </w:hyperlink>
        </w:p>
        <w:p w14:paraId="150DC6D1" w14:textId="657C6ADB" w:rsidR="002F03CB" w:rsidRDefault="002F03CB">
          <w:pPr>
            <w:pStyle w:val="TOC2"/>
            <w:rPr>
              <w:rFonts w:asciiTheme="minorHAnsi" w:eastAsiaTheme="minorEastAsia" w:hAnsiTheme="minorHAnsi" w:cstheme="minorBidi"/>
              <w:b w:val="0"/>
              <w:noProof/>
              <w:sz w:val="22"/>
              <w:lang w:eastAsia="en-AU"/>
            </w:rPr>
          </w:pPr>
          <w:hyperlink w:anchor="_Toc90280427" w:history="1">
            <w:r w:rsidRPr="008743C2">
              <w:rPr>
                <w:rStyle w:val="Hyperlink"/>
                <w:noProof/>
                <w:lang w:eastAsia="en-AU"/>
              </w:rPr>
              <w:t>Submission details</w:t>
            </w:r>
            <w:r>
              <w:rPr>
                <w:noProof/>
                <w:webHidden/>
              </w:rPr>
              <w:tab/>
            </w:r>
            <w:r>
              <w:rPr>
                <w:noProof/>
                <w:webHidden/>
              </w:rPr>
              <w:fldChar w:fldCharType="begin"/>
            </w:r>
            <w:r>
              <w:rPr>
                <w:noProof/>
                <w:webHidden/>
              </w:rPr>
              <w:instrText xml:space="preserve"> PAGEREF _Toc90280427 \h </w:instrText>
            </w:r>
            <w:r>
              <w:rPr>
                <w:noProof/>
                <w:webHidden/>
              </w:rPr>
            </w:r>
            <w:r>
              <w:rPr>
                <w:noProof/>
                <w:webHidden/>
              </w:rPr>
              <w:fldChar w:fldCharType="separate"/>
            </w:r>
            <w:r>
              <w:rPr>
                <w:noProof/>
                <w:webHidden/>
              </w:rPr>
              <w:t>6</w:t>
            </w:r>
            <w:r>
              <w:rPr>
                <w:noProof/>
                <w:webHidden/>
              </w:rPr>
              <w:fldChar w:fldCharType="end"/>
            </w:r>
          </w:hyperlink>
        </w:p>
        <w:p w14:paraId="4C910828" w14:textId="607820A0" w:rsidR="002F03CB" w:rsidRDefault="002F03CB">
          <w:pPr>
            <w:pStyle w:val="TOC2"/>
            <w:rPr>
              <w:rFonts w:asciiTheme="minorHAnsi" w:eastAsiaTheme="minorEastAsia" w:hAnsiTheme="minorHAnsi" w:cstheme="minorBidi"/>
              <w:b w:val="0"/>
              <w:noProof/>
              <w:sz w:val="22"/>
              <w:lang w:eastAsia="en-AU"/>
            </w:rPr>
          </w:pPr>
          <w:hyperlink w:anchor="_Toc90280428" w:history="1">
            <w:r w:rsidRPr="008743C2">
              <w:rPr>
                <w:rStyle w:val="Hyperlink"/>
                <w:noProof/>
              </w:rPr>
              <w:t>Product background</w:t>
            </w:r>
            <w:r>
              <w:rPr>
                <w:noProof/>
                <w:webHidden/>
              </w:rPr>
              <w:tab/>
            </w:r>
            <w:r>
              <w:rPr>
                <w:noProof/>
                <w:webHidden/>
              </w:rPr>
              <w:fldChar w:fldCharType="begin"/>
            </w:r>
            <w:r>
              <w:rPr>
                <w:noProof/>
                <w:webHidden/>
              </w:rPr>
              <w:instrText xml:space="preserve"> PAGEREF _Toc90280428 \h </w:instrText>
            </w:r>
            <w:r>
              <w:rPr>
                <w:noProof/>
                <w:webHidden/>
              </w:rPr>
            </w:r>
            <w:r>
              <w:rPr>
                <w:noProof/>
                <w:webHidden/>
              </w:rPr>
              <w:fldChar w:fldCharType="separate"/>
            </w:r>
            <w:r>
              <w:rPr>
                <w:noProof/>
                <w:webHidden/>
              </w:rPr>
              <w:t>9</w:t>
            </w:r>
            <w:r>
              <w:rPr>
                <w:noProof/>
                <w:webHidden/>
              </w:rPr>
              <w:fldChar w:fldCharType="end"/>
            </w:r>
          </w:hyperlink>
        </w:p>
        <w:p w14:paraId="72F2C444" w14:textId="1AD45E48" w:rsidR="002F03CB" w:rsidRDefault="002F03CB">
          <w:pPr>
            <w:pStyle w:val="TOC2"/>
            <w:rPr>
              <w:rFonts w:asciiTheme="minorHAnsi" w:eastAsiaTheme="minorEastAsia" w:hAnsiTheme="minorHAnsi" w:cstheme="minorBidi"/>
              <w:b w:val="0"/>
              <w:noProof/>
              <w:sz w:val="22"/>
              <w:lang w:eastAsia="en-AU"/>
            </w:rPr>
          </w:pPr>
          <w:hyperlink w:anchor="_Toc90280429" w:history="1">
            <w:r w:rsidRPr="008743C2">
              <w:rPr>
                <w:rStyle w:val="Hyperlink"/>
                <w:noProof/>
              </w:rPr>
              <w:t>Regulatory status</w:t>
            </w:r>
            <w:r>
              <w:rPr>
                <w:noProof/>
                <w:webHidden/>
              </w:rPr>
              <w:tab/>
            </w:r>
            <w:r>
              <w:rPr>
                <w:noProof/>
                <w:webHidden/>
              </w:rPr>
              <w:fldChar w:fldCharType="begin"/>
            </w:r>
            <w:r>
              <w:rPr>
                <w:noProof/>
                <w:webHidden/>
              </w:rPr>
              <w:instrText xml:space="preserve"> PAGEREF _Toc90280429 \h </w:instrText>
            </w:r>
            <w:r>
              <w:rPr>
                <w:noProof/>
                <w:webHidden/>
              </w:rPr>
            </w:r>
            <w:r>
              <w:rPr>
                <w:noProof/>
                <w:webHidden/>
              </w:rPr>
              <w:fldChar w:fldCharType="separate"/>
            </w:r>
            <w:r>
              <w:rPr>
                <w:noProof/>
                <w:webHidden/>
              </w:rPr>
              <w:t>14</w:t>
            </w:r>
            <w:r>
              <w:rPr>
                <w:noProof/>
                <w:webHidden/>
              </w:rPr>
              <w:fldChar w:fldCharType="end"/>
            </w:r>
          </w:hyperlink>
        </w:p>
        <w:p w14:paraId="66604775" w14:textId="22938A1C" w:rsidR="002F03CB" w:rsidRDefault="002F03CB">
          <w:pPr>
            <w:pStyle w:val="TOC2"/>
            <w:rPr>
              <w:rFonts w:asciiTheme="minorHAnsi" w:eastAsiaTheme="minorEastAsia" w:hAnsiTheme="minorHAnsi" w:cstheme="minorBidi"/>
              <w:b w:val="0"/>
              <w:noProof/>
              <w:sz w:val="22"/>
              <w:lang w:eastAsia="en-AU"/>
            </w:rPr>
          </w:pPr>
          <w:hyperlink w:anchor="_Toc90280430" w:history="1">
            <w:r w:rsidRPr="008743C2">
              <w:rPr>
                <w:rStyle w:val="Hyperlink"/>
                <w:noProof/>
              </w:rPr>
              <w:t>Product Information</w:t>
            </w:r>
            <w:r>
              <w:rPr>
                <w:noProof/>
                <w:webHidden/>
              </w:rPr>
              <w:tab/>
            </w:r>
            <w:r>
              <w:rPr>
                <w:noProof/>
                <w:webHidden/>
              </w:rPr>
              <w:fldChar w:fldCharType="begin"/>
            </w:r>
            <w:r>
              <w:rPr>
                <w:noProof/>
                <w:webHidden/>
              </w:rPr>
              <w:instrText xml:space="preserve"> PAGEREF _Toc90280430 \h </w:instrText>
            </w:r>
            <w:r>
              <w:rPr>
                <w:noProof/>
                <w:webHidden/>
              </w:rPr>
            </w:r>
            <w:r>
              <w:rPr>
                <w:noProof/>
                <w:webHidden/>
              </w:rPr>
              <w:fldChar w:fldCharType="separate"/>
            </w:r>
            <w:r>
              <w:rPr>
                <w:noProof/>
                <w:webHidden/>
              </w:rPr>
              <w:t>15</w:t>
            </w:r>
            <w:r>
              <w:rPr>
                <w:noProof/>
                <w:webHidden/>
              </w:rPr>
              <w:fldChar w:fldCharType="end"/>
            </w:r>
          </w:hyperlink>
        </w:p>
        <w:p w14:paraId="16A23CEE" w14:textId="111212F2" w:rsidR="002F03CB" w:rsidRDefault="002F03CB">
          <w:pPr>
            <w:pStyle w:val="TOC1"/>
            <w:rPr>
              <w:rFonts w:asciiTheme="minorHAnsi" w:eastAsiaTheme="minorEastAsia" w:hAnsiTheme="minorHAnsi" w:cstheme="minorBidi"/>
              <w:b w:val="0"/>
              <w:noProof/>
              <w:sz w:val="22"/>
              <w:lang w:eastAsia="en-AU"/>
            </w:rPr>
          </w:pPr>
          <w:hyperlink w:anchor="_Toc90280431" w:history="1">
            <w:r w:rsidRPr="008743C2">
              <w:rPr>
                <w:rStyle w:val="Hyperlink"/>
                <w:noProof/>
              </w:rPr>
              <w:t>II. Registration timeline</w:t>
            </w:r>
            <w:r>
              <w:rPr>
                <w:noProof/>
                <w:webHidden/>
              </w:rPr>
              <w:tab/>
            </w:r>
            <w:r>
              <w:rPr>
                <w:noProof/>
                <w:webHidden/>
              </w:rPr>
              <w:fldChar w:fldCharType="begin"/>
            </w:r>
            <w:r>
              <w:rPr>
                <w:noProof/>
                <w:webHidden/>
              </w:rPr>
              <w:instrText xml:space="preserve"> PAGEREF _Toc90280431 \h </w:instrText>
            </w:r>
            <w:r>
              <w:rPr>
                <w:noProof/>
                <w:webHidden/>
              </w:rPr>
            </w:r>
            <w:r>
              <w:rPr>
                <w:noProof/>
                <w:webHidden/>
              </w:rPr>
              <w:fldChar w:fldCharType="separate"/>
            </w:r>
            <w:r>
              <w:rPr>
                <w:noProof/>
                <w:webHidden/>
              </w:rPr>
              <w:t>15</w:t>
            </w:r>
            <w:r>
              <w:rPr>
                <w:noProof/>
                <w:webHidden/>
              </w:rPr>
              <w:fldChar w:fldCharType="end"/>
            </w:r>
          </w:hyperlink>
        </w:p>
        <w:p w14:paraId="69083FBD" w14:textId="213B57E2" w:rsidR="002F03CB" w:rsidRDefault="002F03CB">
          <w:pPr>
            <w:pStyle w:val="TOC1"/>
            <w:rPr>
              <w:rFonts w:asciiTheme="minorHAnsi" w:eastAsiaTheme="minorEastAsia" w:hAnsiTheme="minorHAnsi" w:cstheme="minorBidi"/>
              <w:b w:val="0"/>
              <w:noProof/>
              <w:sz w:val="22"/>
              <w:lang w:eastAsia="en-AU"/>
            </w:rPr>
          </w:pPr>
          <w:hyperlink w:anchor="_Toc90280432" w:history="1">
            <w:r w:rsidRPr="008743C2">
              <w:rPr>
                <w:rStyle w:val="Hyperlink"/>
                <w:noProof/>
              </w:rPr>
              <w:t>III. Submission overview and risk/benefit assessment</w:t>
            </w:r>
            <w:r>
              <w:rPr>
                <w:noProof/>
                <w:webHidden/>
              </w:rPr>
              <w:tab/>
            </w:r>
            <w:r>
              <w:rPr>
                <w:noProof/>
                <w:webHidden/>
              </w:rPr>
              <w:fldChar w:fldCharType="begin"/>
            </w:r>
            <w:r>
              <w:rPr>
                <w:noProof/>
                <w:webHidden/>
              </w:rPr>
              <w:instrText xml:space="preserve"> PAGEREF _Toc90280432 \h </w:instrText>
            </w:r>
            <w:r>
              <w:rPr>
                <w:noProof/>
                <w:webHidden/>
              </w:rPr>
            </w:r>
            <w:r>
              <w:rPr>
                <w:noProof/>
                <w:webHidden/>
              </w:rPr>
              <w:fldChar w:fldCharType="separate"/>
            </w:r>
            <w:r>
              <w:rPr>
                <w:noProof/>
                <w:webHidden/>
              </w:rPr>
              <w:t>16</w:t>
            </w:r>
            <w:r>
              <w:rPr>
                <w:noProof/>
                <w:webHidden/>
              </w:rPr>
              <w:fldChar w:fldCharType="end"/>
            </w:r>
          </w:hyperlink>
        </w:p>
        <w:p w14:paraId="7C822839" w14:textId="6B040BEA" w:rsidR="002F03CB" w:rsidRDefault="002F03CB">
          <w:pPr>
            <w:pStyle w:val="TOC2"/>
            <w:rPr>
              <w:rFonts w:asciiTheme="minorHAnsi" w:eastAsiaTheme="minorEastAsia" w:hAnsiTheme="minorHAnsi" w:cstheme="minorBidi"/>
              <w:b w:val="0"/>
              <w:noProof/>
              <w:sz w:val="22"/>
              <w:lang w:eastAsia="en-AU"/>
            </w:rPr>
          </w:pPr>
          <w:hyperlink w:anchor="_Toc90280433" w:history="1">
            <w:r w:rsidRPr="008743C2">
              <w:rPr>
                <w:rStyle w:val="Hyperlink"/>
                <w:noProof/>
              </w:rPr>
              <w:t>Quality</w:t>
            </w:r>
            <w:r>
              <w:rPr>
                <w:noProof/>
                <w:webHidden/>
              </w:rPr>
              <w:tab/>
            </w:r>
            <w:r>
              <w:rPr>
                <w:noProof/>
                <w:webHidden/>
              </w:rPr>
              <w:fldChar w:fldCharType="begin"/>
            </w:r>
            <w:r>
              <w:rPr>
                <w:noProof/>
                <w:webHidden/>
              </w:rPr>
              <w:instrText xml:space="preserve"> PAGEREF _Toc90280433 \h </w:instrText>
            </w:r>
            <w:r>
              <w:rPr>
                <w:noProof/>
                <w:webHidden/>
              </w:rPr>
            </w:r>
            <w:r>
              <w:rPr>
                <w:noProof/>
                <w:webHidden/>
              </w:rPr>
              <w:fldChar w:fldCharType="separate"/>
            </w:r>
            <w:r>
              <w:rPr>
                <w:noProof/>
                <w:webHidden/>
              </w:rPr>
              <w:t>16</w:t>
            </w:r>
            <w:r>
              <w:rPr>
                <w:noProof/>
                <w:webHidden/>
              </w:rPr>
              <w:fldChar w:fldCharType="end"/>
            </w:r>
          </w:hyperlink>
        </w:p>
        <w:p w14:paraId="284E087F" w14:textId="07BC9453" w:rsidR="002F03CB" w:rsidRDefault="002F03CB">
          <w:pPr>
            <w:pStyle w:val="TOC2"/>
            <w:rPr>
              <w:rFonts w:asciiTheme="minorHAnsi" w:eastAsiaTheme="minorEastAsia" w:hAnsiTheme="minorHAnsi" w:cstheme="minorBidi"/>
              <w:b w:val="0"/>
              <w:noProof/>
              <w:sz w:val="22"/>
              <w:lang w:eastAsia="en-AU"/>
            </w:rPr>
          </w:pPr>
          <w:hyperlink w:anchor="_Toc90280434" w:history="1">
            <w:r w:rsidRPr="008743C2">
              <w:rPr>
                <w:rStyle w:val="Hyperlink"/>
                <w:noProof/>
              </w:rPr>
              <w:t>Nonclinical</w:t>
            </w:r>
            <w:r>
              <w:rPr>
                <w:noProof/>
                <w:webHidden/>
              </w:rPr>
              <w:tab/>
            </w:r>
            <w:r>
              <w:rPr>
                <w:noProof/>
                <w:webHidden/>
              </w:rPr>
              <w:fldChar w:fldCharType="begin"/>
            </w:r>
            <w:r>
              <w:rPr>
                <w:noProof/>
                <w:webHidden/>
              </w:rPr>
              <w:instrText xml:space="preserve"> PAGEREF _Toc90280434 \h </w:instrText>
            </w:r>
            <w:r>
              <w:rPr>
                <w:noProof/>
                <w:webHidden/>
              </w:rPr>
            </w:r>
            <w:r>
              <w:rPr>
                <w:noProof/>
                <w:webHidden/>
              </w:rPr>
              <w:fldChar w:fldCharType="separate"/>
            </w:r>
            <w:r>
              <w:rPr>
                <w:noProof/>
                <w:webHidden/>
              </w:rPr>
              <w:t>17</w:t>
            </w:r>
            <w:r>
              <w:rPr>
                <w:noProof/>
                <w:webHidden/>
              </w:rPr>
              <w:fldChar w:fldCharType="end"/>
            </w:r>
          </w:hyperlink>
        </w:p>
        <w:p w14:paraId="54A8B84B" w14:textId="605F786F" w:rsidR="002F03CB" w:rsidRDefault="002F03CB">
          <w:pPr>
            <w:pStyle w:val="TOC2"/>
            <w:rPr>
              <w:rFonts w:asciiTheme="minorHAnsi" w:eastAsiaTheme="minorEastAsia" w:hAnsiTheme="minorHAnsi" w:cstheme="minorBidi"/>
              <w:b w:val="0"/>
              <w:noProof/>
              <w:sz w:val="22"/>
              <w:lang w:eastAsia="en-AU"/>
            </w:rPr>
          </w:pPr>
          <w:hyperlink w:anchor="_Toc90280435" w:history="1">
            <w:r w:rsidRPr="008743C2">
              <w:rPr>
                <w:rStyle w:val="Hyperlink"/>
                <w:noProof/>
              </w:rPr>
              <w:t>Clinical</w:t>
            </w:r>
            <w:r>
              <w:rPr>
                <w:noProof/>
                <w:webHidden/>
              </w:rPr>
              <w:tab/>
            </w:r>
            <w:r>
              <w:rPr>
                <w:noProof/>
                <w:webHidden/>
              </w:rPr>
              <w:fldChar w:fldCharType="begin"/>
            </w:r>
            <w:r>
              <w:rPr>
                <w:noProof/>
                <w:webHidden/>
              </w:rPr>
              <w:instrText xml:space="preserve"> PAGEREF _Toc90280435 \h </w:instrText>
            </w:r>
            <w:r>
              <w:rPr>
                <w:noProof/>
                <w:webHidden/>
              </w:rPr>
            </w:r>
            <w:r>
              <w:rPr>
                <w:noProof/>
                <w:webHidden/>
              </w:rPr>
              <w:fldChar w:fldCharType="separate"/>
            </w:r>
            <w:r>
              <w:rPr>
                <w:noProof/>
                <w:webHidden/>
              </w:rPr>
              <w:t>17</w:t>
            </w:r>
            <w:r>
              <w:rPr>
                <w:noProof/>
                <w:webHidden/>
              </w:rPr>
              <w:fldChar w:fldCharType="end"/>
            </w:r>
          </w:hyperlink>
        </w:p>
        <w:p w14:paraId="67B2EC03" w14:textId="3B977F9A" w:rsidR="002F03CB" w:rsidRDefault="002F03CB">
          <w:pPr>
            <w:pStyle w:val="TOC2"/>
            <w:rPr>
              <w:rFonts w:asciiTheme="minorHAnsi" w:eastAsiaTheme="minorEastAsia" w:hAnsiTheme="minorHAnsi" w:cstheme="minorBidi"/>
              <w:b w:val="0"/>
              <w:noProof/>
              <w:sz w:val="22"/>
              <w:lang w:eastAsia="en-AU"/>
            </w:rPr>
          </w:pPr>
          <w:hyperlink w:anchor="_Toc90280436" w:history="1">
            <w:r w:rsidRPr="008743C2">
              <w:rPr>
                <w:rStyle w:val="Hyperlink"/>
                <w:noProof/>
                <w:lang w:eastAsia="en-AU"/>
              </w:rPr>
              <w:t>Risk management plan</w:t>
            </w:r>
            <w:r>
              <w:rPr>
                <w:noProof/>
                <w:webHidden/>
              </w:rPr>
              <w:tab/>
            </w:r>
            <w:r>
              <w:rPr>
                <w:noProof/>
                <w:webHidden/>
              </w:rPr>
              <w:fldChar w:fldCharType="begin"/>
            </w:r>
            <w:r>
              <w:rPr>
                <w:noProof/>
                <w:webHidden/>
              </w:rPr>
              <w:instrText xml:space="preserve"> PAGEREF _Toc90280436 \h </w:instrText>
            </w:r>
            <w:r>
              <w:rPr>
                <w:noProof/>
                <w:webHidden/>
              </w:rPr>
            </w:r>
            <w:r>
              <w:rPr>
                <w:noProof/>
                <w:webHidden/>
              </w:rPr>
              <w:fldChar w:fldCharType="separate"/>
            </w:r>
            <w:r>
              <w:rPr>
                <w:noProof/>
                <w:webHidden/>
              </w:rPr>
              <w:t>57</w:t>
            </w:r>
            <w:r>
              <w:rPr>
                <w:noProof/>
                <w:webHidden/>
              </w:rPr>
              <w:fldChar w:fldCharType="end"/>
            </w:r>
          </w:hyperlink>
        </w:p>
        <w:p w14:paraId="561515F7" w14:textId="0F3BB073" w:rsidR="002F03CB" w:rsidRDefault="002F03CB">
          <w:pPr>
            <w:pStyle w:val="TOC2"/>
            <w:rPr>
              <w:rFonts w:asciiTheme="minorHAnsi" w:eastAsiaTheme="minorEastAsia" w:hAnsiTheme="minorHAnsi" w:cstheme="minorBidi"/>
              <w:b w:val="0"/>
              <w:noProof/>
              <w:sz w:val="22"/>
              <w:lang w:eastAsia="en-AU"/>
            </w:rPr>
          </w:pPr>
          <w:hyperlink w:anchor="_Toc90280437" w:history="1">
            <w:r w:rsidRPr="008743C2">
              <w:rPr>
                <w:rStyle w:val="Hyperlink"/>
                <w:noProof/>
              </w:rPr>
              <w:t>Risk-benefit analysis</w:t>
            </w:r>
            <w:r>
              <w:rPr>
                <w:noProof/>
                <w:webHidden/>
              </w:rPr>
              <w:tab/>
            </w:r>
            <w:r>
              <w:rPr>
                <w:noProof/>
                <w:webHidden/>
              </w:rPr>
              <w:fldChar w:fldCharType="begin"/>
            </w:r>
            <w:r>
              <w:rPr>
                <w:noProof/>
                <w:webHidden/>
              </w:rPr>
              <w:instrText xml:space="preserve"> PAGEREF _Toc90280437 \h </w:instrText>
            </w:r>
            <w:r>
              <w:rPr>
                <w:noProof/>
                <w:webHidden/>
              </w:rPr>
            </w:r>
            <w:r>
              <w:rPr>
                <w:noProof/>
                <w:webHidden/>
              </w:rPr>
              <w:fldChar w:fldCharType="separate"/>
            </w:r>
            <w:r>
              <w:rPr>
                <w:noProof/>
                <w:webHidden/>
              </w:rPr>
              <w:t>59</w:t>
            </w:r>
            <w:r>
              <w:rPr>
                <w:noProof/>
                <w:webHidden/>
              </w:rPr>
              <w:fldChar w:fldCharType="end"/>
            </w:r>
          </w:hyperlink>
        </w:p>
        <w:p w14:paraId="01F88DA2" w14:textId="25687967" w:rsidR="002F03CB" w:rsidRDefault="002F03CB">
          <w:pPr>
            <w:pStyle w:val="TOC2"/>
            <w:rPr>
              <w:rFonts w:asciiTheme="minorHAnsi" w:eastAsiaTheme="minorEastAsia" w:hAnsiTheme="minorHAnsi" w:cstheme="minorBidi"/>
              <w:b w:val="0"/>
              <w:noProof/>
              <w:sz w:val="22"/>
              <w:lang w:eastAsia="en-AU"/>
            </w:rPr>
          </w:pPr>
          <w:hyperlink w:anchor="_Toc90280438" w:history="1">
            <w:r w:rsidRPr="008743C2">
              <w:rPr>
                <w:rStyle w:val="Hyperlink"/>
                <w:noProof/>
              </w:rPr>
              <w:t>Outcome</w:t>
            </w:r>
            <w:r>
              <w:rPr>
                <w:noProof/>
                <w:webHidden/>
              </w:rPr>
              <w:tab/>
            </w:r>
            <w:r>
              <w:rPr>
                <w:noProof/>
                <w:webHidden/>
              </w:rPr>
              <w:fldChar w:fldCharType="begin"/>
            </w:r>
            <w:r>
              <w:rPr>
                <w:noProof/>
                <w:webHidden/>
              </w:rPr>
              <w:instrText xml:space="preserve"> PAGEREF _Toc90280438 \h </w:instrText>
            </w:r>
            <w:r>
              <w:rPr>
                <w:noProof/>
                <w:webHidden/>
              </w:rPr>
            </w:r>
            <w:r>
              <w:rPr>
                <w:noProof/>
                <w:webHidden/>
              </w:rPr>
              <w:fldChar w:fldCharType="separate"/>
            </w:r>
            <w:r>
              <w:rPr>
                <w:noProof/>
                <w:webHidden/>
              </w:rPr>
              <w:t>68</w:t>
            </w:r>
            <w:r>
              <w:rPr>
                <w:noProof/>
                <w:webHidden/>
              </w:rPr>
              <w:fldChar w:fldCharType="end"/>
            </w:r>
          </w:hyperlink>
        </w:p>
        <w:p w14:paraId="375E3EB8" w14:textId="4B177A41" w:rsidR="002F03CB" w:rsidRDefault="002F03CB">
          <w:pPr>
            <w:pStyle w:val="TOC1"/>
            <w:rPr>
              <w:rFonts w:asciiTheme="minorHAnsi" w:eastAsiaTheme="minorEastAsia" w:hAnsiTheme="minorHAnsi" w:cstheme="minorBidi"/>
              <w:b w:val="0"/>
              <w:noProof/>
              <w:sz w:val="22"/>
              <w:lang w:eastAsia="en-AU"/>
            </w:rPr>
          </w:pPr>
          <w:hyperlink w:anchor="_Toc90280439" w:history="1">
            <w:r w:rsidRPr="008743C2">
              <w:rPr>
                <w:rStyle w:val="Hyperlink"/>
                <w:noProof/>
              </w:rPr>
              <w:t>Attachment 1. Product Information</w:t>
            </w:r>
            <w:r>
              <w:rPr>
                <w:noProof/>
                <w:webHidden/>
              </w:rPr>
              <w:tab/>
            </w:r>
            <w:r>
              <w:rPr>
                <w:noProof/>
                <w:webHidden/>
              </w:rPr>
              <w:fldChar w:fldCharType="begin"/>
            </w:r>
            <w:r>
              <w:rPr>
                <w:noProof/>
                <w:webHidden/>
              </w:rPr>
              <w:instrText xml:space="preserve"> PAGEREF _Toc90280439 \h </w:instrText>
            </w:r>
            <w:r>
              <w:rPr>
                <w:noProof/>
                <w:webHidden/>
              </w:rPr>
            </w:r>
            <w:r>
              <w:rPr>
                <w:noProof/>
                <w:webHidden/>
              </w:rPr>
              <w:fldChar w:fldCharType="separate"/>
            </w:r>
            <w:r>
              <w:rPr>
                <w:noProof/>
                <w:webHidden/>
              </w:rPr>
              <w:t>70</w:t>
            </w:r>
            <w:r>
              <w:rPr>
                <w:noProof/>
                <w:webHidden/>
              </w:rPr>
              <w:fldChar w:fldCharType="end"/>
            </w:r>
          </w:hyperlink>
        </w:p>
        <w:p w14:paraId="6A6BB656" w14:textId="3598DB89" w:rsidR="003A7F6C" w:rsidRPr="00B811C6" w:rsidRDefault="00C525A2" w:rsidP="00B811C6">
          <w:pPr>
            <w:pStyle w:val="TOC2"/>
          </w:pPr>
          <w:r>
            <w:rPr>
              <w:color w:val="2B579A"/>
              <w:shd w:val="clear" w:color="auto" w:fill="E6E6E6"/>
            </w:rPr>
            <w:fldChar w:fldCharType="end"/>
          </w:r>
        </w:p>
      </w:sdtContent>
    </w:sdt>
    <w:bookmarkStart w:id="2" w:name="_Toc314842482" w:displacedByCustomXml="prev"/>
    <w:p w14:paraId="413EFCE0" w14:textId="77777777" w:rsidR="00FD119B" w:rsidRDefault="00FD119B">
      <w:pPr>
        <w:spacing w:before="0" w:after="200" w:line="0" w:lineRule="auto"/>
      </w:pPr>
      <w:r>
        <w:br w:type="page"/>
      </w:r>
    </w:p>
    <w:p w14:paraId="2877EBFA" w14:textId="77777777" w:rsidR="00C52E24" w:rsidRPr="00C52E24" w:rsidRDefault="00324E45" w:rsidP="003532E9">
      <w:pPr>
        <w:pStyle w:val="Heading2"/>
      </w:pPr>
      <w:bookmarkStart w:id="3" w:name="_Toc351716269"/>
      <w:bookmarkStart w:id="4" w:name="_Toc351718881"/>
      <w:bookmarkStart w:id="5" w:name="_Toc355338616"/>
      <w:bookmarkStart w:id="6" w:name="_Toc356306144"/>
      <w:bookmarkStart w:id="7" w:name="_Toc90280425"/>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AF2E1B" w:rsidRPr="00AF2E1B" w14:paraId="1405FBDE" w14:textId="77777777" w:rsidTr="008B5252">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580AA133" w14:textId="77777777" w:rsidR="00AF2E1B" w:rsidRPr="00AF2E1B" w:rsidRDefault="00AF2E1B" w:rsidP="00AF2E1B">
            <w:r w:rsidRPr="00AF2E1B">
              <w:t>Abbreviation</w:t>
            </w:r>
          </w:p>
        </w:tc>
        <w:tc>
          <w:tcPr>
            <w:tcW w:w="6695" w:type="dxa"/>
            <w:tcBorders>
              <w:top w:val="single" w:sz="4" w:space="0" w:color="auto"/>
              <w:left w:val="single" w:sz="4" w:space="0" w:color="auto"/>
              <w:bottom w:val="single" w:sz="4" w:space="0" w:color="auto"/>
              <w:right w:val="single" w:sz="4" w:space="0" w:color="auto"/>
            </w:tcBorders>
          </w:tcPr>
          <w:p w14:paraId="2AD6F872" w14:textId="77777777" w:rsidR="00AF2E1B" w:rsidRPr="00AF2E1B" w:rsidRDefault="00AF2E1B" w:rsidP="00AF2E1B">
            <w:r w:rsidRPr="00AF2E1B">
              <w:t>Meaning</w:t>
            </w:r>
          </w:p>
        </w:tc>
      </w:tr>
      <w:tr w:rsidR="00AF2E1B" w:rsidRPr="00AF2E1B" w14:paraId="0139890E" w14:textId="77777777" w:rsidTr="008B5252">
        <w:tc>
          <w:tcPr>
            <w:tcW w:w="1799" w:type="dxa"/>
            <w:tcBorders>
              <w:top w:val="single" w:sz="4" w:space="0" w:color="auto"/>
            </w:tcBorders>
          </w:tcPr>
          <w:p w14:paraId="449C2DF1" w14:textId="77777777" w:rsidR="00AF2E1B" w:rsidRPr="00AF2E1B" w:rsidRDefault="00AF2E1B" w:rsidP="00AF2E1B">
            <w:r w:rsidRPr="00AF2E1B">
              <w:t>ACV</w:t>
            </w:r>
          </w:p>
        </w:tc>
        <w:tc>
          <w:tcPr>
            <w:tcW w:w="6695" w:type="dxa"/>
            <w:tcBorders>
              <w:top w:val="single" w:sz="4" w:space="0" w:color="auto"/>
            </w:tcBorders>
          </w:tcPr>
          <w:p w14:paraId="369B5C87" w14:textId="77777777" w:rsidR="00AF2E1B" w:rsidRPr="00AF2E1B" w:rsidRDefault="00AF2E1B" w:rsidP="00AF2E1B">
            <w:r w:rsidRPr="00AF2E1B">
              <w:t>Advisory Committee on Vaccines</w:t>
            </w:r>
          </w:p>
        </w:tc>
      </w:tr>
      <w:tr w:rsidR="00AF2E1B" w:rsidRPr="00AF2E1B" w14:paraId="02C1819F" w14:textId="77777777" w:rsidTr="008B5252">
        <w:tc>
          <w:tcPr>
            <w:tcW w:w="1799" w:type="dxa"/>
          </w:tcPr>
          <w:p w14:paraId="174B81AE" w14:textId="77777777" w:rsidR="00AF2E1B" w:rsidRPr="00AF2E1B" w:rsidRDefault="00AF2E1B" w:rsidP="00AF2E1B">
            <w:r w:rsidRPr="00AF2E1B">
              <w:t>ARTG</w:t>
            </w:r>
          </w:p>
        </w:tc>
        <w:tc>
          <w:tcPr>
            <w:tcW w:w="6695" w:type="dxa"/>
          </w:tcPr>
          <w:p w14:paraId="46BAAE67" w14:textId="77777777" w:rsidR="00AF2E1B" w:rsidRPr="00AF2E1B" w:rsidRDefault="00AF2E1B" w:rsidP="00AF2E1B">
            <w:r w:rsidRPr="00AF2E1B">
              <w:t>Australian Register of Therapeutic Goods</w:t>
            </w:r>
          </w:p>
        </w:tc>
      </w:tr>
      <w:tr w:rsidR="00AF2E1B" w:rsidRPr="00AF2E1B" w14:paraId="69CD7239" w14:textId="77777777" w:rsidTr="008B5252">
        <w:tc>
          <w:tcPr>
            <w:tcW w:w="1799" w:type="dxa"/>
          </w:tcPr>
          <w:p w14:paraId="5496649C" w14:textId="77777777" w:rsidR="00AF2E1B" w:rsidRPr="00AF2E1B" w:rsidRDefault="00AF2E1B" w:rsidP="00AF2E1B">
            <w:r w:rsidRPr="00AF2E1B">
              <w:t>ASA</w:t>
            </w:r>
          </w:p>
        </w:tc>
        <w:tc>
          <w:tcPr>
            <w:tcW w:w="6695" w:type="dxa"/>
          </w:tcPr>
          <w:p w14:paraId="289EA931" w14:textId="77777777" w:rsidR="00AF2E1B" w:rsidRPr="00AF2E1B" w:rsidRDefault="00AF2E1B" w:rsidP="00AF2E1B">
            <w:r w:rsidRPr="00AF2E1B">
              <w:t>Australian-specific annex</w:t>
            </w:r>
          </w:p>
        </w:tc>
      </w:tr>
      <w:tr w:rsidR="00AF2E1B" w:rsidRPr="00AF2E1B" w14:paraId="1B2D0A43" w14:textId="77777777" w:rsidTr="008B5252">
        <w:tc>
          <w:tcPr>
            <w:tcW w:w="1799" w:type="dxa"/>
          </w:tcPr>
          <w:p w14:paraId="09A3E21B" w14:textId="77777777" w:rsidR="00AF2E1B" w:rsidRPr="00AF2E1B" w:rsidRDefault="00AF2E1B" w:rsidP="00AF2E1B">
            <w:r w:rsidRPr="00AF2E1B">
              <w:t>BNT162b2</w:t>
            </w:r>
          </w:p>
        </w:tc>
        <w:tc>
          <w:tcPr>
            <w:tcW w:w="6695" w:type="dxa"/>
          </w:tcPr>
          <w:p w14:paraId="6F25E0C6" w14:textId="1CB19B94" w:rsidR="00AF2E1B" w:rsidRPr="00AF2E1B" w:rsidRDefault="00AF2E1B" w:rsidP="00AF2E1B">
            <w:r w:rsidRPr="00AF2E1B">
              <w:t xml:space="preserve">Former name for </w:t>
            </w:r>
            <w:proofErr w:type="spellStart"/>
            <w:r w:rsidR="00735AB8">
              <w:t>Comirnaty</w:t>
            </w:r>
            <w:proofErr w:type="spellEnd"/>
            <w:r w:rsidR="00735AB8">
              <w:t xml:space="preserve"> (</w:t>
            </w:r>
            <w:proofErr w:type="spellStart"/>
            <w:r w:rsidRPr="00AF2E1B">
              <w:t>tozinameran</w:t>
            </w:r>
            <w:proofErr w:type="spellEnd"/>
            <w:r w:rsidR="00735AB8">
              <w:t>) COVID-19 vaccine</w:t>
            </w:r>
          </w:p>
        </w:tc>
      </w:tr>
      <w:tr w:rsidR="00AF2E1B" w:rsidRPr="00AF2E1B" w14:paraId="31A806FA" w14:textId="77777777" w:rsidTr="008B5252">
        <w:tc>
          <w:tcPr>
            <w:tcW w:w="1799" w:type="dxa"/>
          </w:tcPr>
          <w:p w14:paraId="29EF6968" w14:textId="77777777" w:rsidR="00AF2E1B" w:rsidRPr="00AF2E1B" w:rsidRDefault="00AF2E1B" w:rsidP="00AF2E1B">
            <w:r w:rsidRPr="00AF2E1B">
              <w:t>CDC</w:t>
            </w:r>
          </w:p>
        </w:tc>
        <w:tc>
          <w:tcPr>
            <w:tcW w:w="6695" w:type="dxa"/>
          </w:tcPr>
          <w:p w14:paraId="60AB960B" w14:textId="77777777" w:rsidR="00AF2E1B" w:rsidRPr="00AF2E1B" w:rsidRDefault="00AF2E1B" w:rsidP="00AF2E1B">
            <w:proofErr w:type="spellStart"/>
            <w:r w:rsidRPr="00AF2E1B">
              <w:t>Centers</w:t>
            </w:r>
            <w:proofErr w:type="spellEnd"/>
            <w:r w:rsidRPr="00AF2E1B">
              <w:t xml:space="preserve"> for Disease Control (United States of America)</w:t>
            </w:r>
          </w:p>
        </w:tc>
      </w:tr>
      <w:tr w:rsidR="00AF2E1B" w:rsidRPr="00AF2E1B" w14:paraId="5E849984" w14:textId="77777777" w:rsidTr="008B5252">
        <w:tc>
          <w:tcPr>
            <w:tcW w:w="1799" w:type="dxa"/>
          </w:tcPr>
          <w:p w14:paraId="16207CA4" w14:textId="77777777" w:rsidR="00AF2E1B" w:rsidRPr="00AF2E1B" w:rsidRDefault="00AF2E1B" w:rsidP="00AF2E1B">
            <w:r w:rsidRPr="00AF2E1B">
              <w:t>CI</w:t>
            </w:r>
          </w:p>
        </w:tc>
        <w:tc>
          <w:tcPr>
            <w:tcW w:w="6695" w:type="dxa"/>
          </w:tcPr>
          <w:p w14:paraId="775A4E8E" w14:textId="77777777" w:rsidR="00AF2E1B" w:rsidRPr="00AF2E1B" w:rsidRDefault="00AF2E1B" w:rsidP="00AF2E1B">
            <w:r w:rsidRPr="00AF2E1B">
              <w:t>Confidence interval</w:t>
            </w:r>
          </w:p>
        </w:tc>
      </w:tr>
      <w:tr w:rsidR="00AF2E1B" w:rsidRPr="00AF2E1B" w14:paraId="701718C4" w14:textId="77777777" w:rsidTr="008B5252">
        <w:tc>
          <w:tcPr>
            <w:tcW w:w="1799" w:type="dxa"/>
          </w:tcPr>
          <w:p w14:paraId="20024794" w14:textId="77777777" w:rsidR="00AF2E1B" w:rsidRPr="00AF2E1B" w:rsidRDefault="00AF2E1B" w:rsidP="00AF2E1B">
            <w:r w:rsidRPr="00AF2E1B">
              <w:t>CMI</w:t>
            </w:r>
          </w:p>
        </w:tc>
        <w:tc>
          <w:tcPr>
            <w:tcW w:w="6695" w:type="dxa"/>
          </w:tcPr>
          <w:p w14:paraId="1280BE74" w14:textId="77777777" w:rsidR="00AF2E1B" w:rsidRPr="00AF2E1B" w:rsidRDefault="00AF2E1B" w:rsidP="00AF2E1B">
            <w:r w:rsidRPr="00AF2E1B">
              <w:t>Consumer Medicines Information</w:t>
            </w:r>
          </w:p>
        </w:tc>
      </w:tr>
      <w:tr w:rsidR="00AF2E1B" w:rsidRPr="00AF2E1B" w14:paraId="421A4DFB" w14:textId="77777777" w:rsidTr="008B5252">
        <w:tc>
          <w:tcPr>
            <w:tcW w:w="1799" w:type="dxa"/>
          </w:tcPr>
          <w:p w14:paraId="411E12FC" w14:textId="77777777" w:rsidR="00AF2E1B" w:rsidRPr="00AF2E1B" w:rsidRDefault="00AF2E1B" w:rsidP="00AF2E1B">
            <w:r w:rsidRPr="00AF2E1B">
              <w:t>COVID-19</w:t>
            </w:r>
          </w:p>
        </w:tc>
        <w:tc>
          <w:tcPr>
            <w:tcW w:w="6695" w:type="dxa"/>
          </w:tcPr>
          <w:p w14:paraId="39CB2A16" w14:textId="77777777" w:rsidR="00AF2E1B" w:rsidRPr="00AF2E1B" w:rsidRDefault="00AF2E1B" w:rsidP="00AF2E1B">
            <w:r w:rsidRPr="00AF2E1B">
              <w:t>Coronavirus disease 2019</w:t>
            </w:r>
          </w:p>
        </w:tc>
      </w:tr>
      <w:tr w:rsidR="003A3EA9" w:rsidRPr="00AF2E1B" w14:paraId="405B309A" w14:textId="77777777" w:rsidTr="008B5252">
        <w:tc>
          <w:tcPr>
            <w:tcW w:w="1799" w:type="dxa"/>
          </w:tcPr>
          <w:p w14:paraId="544C1727" w14:textId="0BC542BF" w:rsidR="003A3EA9" w:rsidRPr="00AF2E1B" w:rsidRDefault="003A3EA9" w:rsidP="00AF2E1B">
            <w:r>
              <w:t>EMA</w:t>
            </w:r>
          </w:p>
        </w:tc>
        <w:tc>
          <w:tcPr>
            <w:tcW w:w="6695" w:type="dxa"/>
          </w:tcPr>
          <w:p w14:paraId="0621237D" w14:textId="0380CB86" w:rsidR="003A3EA9" w:rsidRPr="00AF2E1B" w:rsidRDefault="003A3EA9" w:rsidP="00AF2E1B">
            <w:r>
              <w:t>European Medicines Agency (European Union)</w:t>
            </w:r>
          </w:p>
        </w:tc>
      </w:tr>
      <w:tr w:rsidR="00AF2E1B" w:rsidRPr="00AF2E1B" w14:paraId="608694CE" w14:textId="77777777" w:rsidTr="008B5252">
        <w:tc>
          <w:tcPr>
            <w:tcW w:w="1799" w:type="dxa"/>
          </w:tcPr>
          <w:p w14:paraId="062E74AC" w14:textId="77777777" w:rsidR="00AF2E1B" w:rsidRPr="00AF2E1B" w:rsidRDefault="00AF2E1B" w:rsidP="00AF2E1B">
            <w:r w:rsidRPr="00AF2E1B">
              <w:t>FDA</w:t>
            </w:r>
          </w:p>
        </w:tc>
        <w:tc>
          <w:tcPr>
            <w:tcW w:w="6695" w:type="dxa"/>
          </w:tcPr>
          <w:p w14:paraId="3F3E9FD5" w14:textId="77777777" w:rsidR="00AF2E1B" w:rsidRPr="00AF2E1B" w:rsidRDefault="00AF2E1B" w:rsidP="00AF2E1B">
            <w:r w:rsidRPr="00AF2E1B">
              <w:t>Food and Drug Administration (United States of America)</w:t>
            </w:r>
          </w:p>
        </w:tc>
      </w:tr>
      <w:tr w:rsidR="00AF2E1B" w:rsidRPr="00AF2E1B" w14:paraId="637646C2" w14:textId="77777777" w:rsidTr="008B5252">
        <w:tc>
          <w:tcPr>
            <w:tcW w:w="1799" w:type="dxa"/>
          </w:tcPr>
          <w:p w14:paraId="2607884A" w14:textId="77777777" w:rsidR="00AF2E1B" w:rsidRPr="00AF2E1B" w:rsidRDefault="00AF2E1B" w:rsidP="00AF2E1B">
            <w:r w:rsidRPr="00AF2E1B">
              <w:t>GMFR</w:t>
            </w:r>
          </w:p>
        </w:tc>
        <w:tc>
          <w:tcPr>
            <w:tcW w:w="6695" w:type="dxa"/>
          </w:tcPr>
          <w:p w14:paraId="0A04567A" w14:textId="77777777" w:rsidR="00AF2E1B" w:rsidRPr="00AF2E1B" w:rsidRDefault="00AF2E1B" w:rsidP="00AF2E1B">
            <w:r w:rsidRPr="00AF2E1B">
              <w:t>Geometric mean fold rise</w:t>
            </w:r>
          </w:p>
        </w:tc>
      </w:tr>
      <w:tr w:rsidR="00AF2E1B" w:rsidRPr="00AF2E1B" w14:paraId="1259EFAB" w14:textId="77777777" w:rsidTr="008B5252">
        <w:tc>
          <w:tcPr>
            <w:tcW w:w="1799" w:type="dxa"/>
          </w:tcPr>
          <w:p w14:paraId="4B856268" w14:textId="77777777" w:rsidR="00AF2E1B" w:rsidRPr="00AF2E1B" w:rsidRDefault="00AF2E1B" w:rsidP="00AF2E1B">
            <w:r w:rsidRPr="00AF2E1B">
              <w:t>GMR</w:t>
            </w:r>
          </w:p>
        </w:tc>
        <w:tc>
          <w:tcPr>
            <w:tcW w:w="6695" w:type="dxa"/>
          </w:tcPr>
          <w:p w14:paraId="571D1921" w14:textId="77777777" w:rsidR="00AF2E1B" w:rsidRPr="00AF2E1B" w:rsidRDefault="00AF2E1B" w:rsidP="00AF2E1B">
            <w:r w:rsidRPr="00AF2E1B">
              <w:t>Geometric mean ratio</w:t>
            </w:r>
          </w:p>
        </w:tc>
      </w:tr>
      <w:tr w:rsidR="00AF2E1B" w:rsidRPr="00AF2E1B" w14:paraId="355647E4" w14:textId="77777777" w:rsidTr="008B5252">
        <w:tc>
          <w:tcPr>
            <w:tcW w:w="1799" w:type="dxa"/>
          </w:tcPr>
          <w:p w14:paraId="1F4C1D15" w14:textId="77777777" w:rsidR="00AF2E1B" w:rsidRPr="00AF2E1B" w:rsidRDefault="00AF2E1B" w:rsidP="00AF2E1B">
            <w:r w:rsidRPr="00AF2E1B">
              <w:t>GMT</w:t>
            </w:r>
          </w:p>
        </w:tc>
        <w:tc>
          <w:tcPr>
            <w:tcW w:w="6695" w:type="dxa"/>
          </w:tcPr>
          <w:p w14:paraId="46047DAE" w14:textId="77777777" w:rsidR="00AF2E1B" w:rsidRPr="00AF2E1B" w:rsidRDefault="00AF2E1B" w:rsidP="00AF2E1B">
            <w:r w:rsidRPr="00AF2E1B">
              <w:t>Geometric mean titre</w:t>
            </w:r>
          </w:p>
        </w:tc>
      </w:tr>
      <w:tr w:rsidR="00AF2E1B" w:rsidRPr="00AF2E1B" w14:paraId="6D76DB87" w14:textId="77777777" w:rsidTr="008B5252">
        <w:tc>
          <w:tcPr>
            <w:tcW w:w="1799" w:type="dxa"/>
          </w:tcPr>
          <w:p w14:paraId="4A10BAD6" w14:textId="77777777" w:rsidR="00AF2E1B" w:rsidRPr="00AF2E1B" w:rsidRDefault="00AF2E1B" w:rsidP="00AF2E1B">
            <w:r w:rsidRPr="00AF2E1B">
              <w:t>ICU</w:t>
            </w:r>
          </w:p>
        </w:tc>
        <w:tc>
          <w:tcPr>
            <w:tcW w:w="6695" w:type="dxa"/>
          </w:tcPr>
          <w:p w14:paraId="7EDC88BE" w14:textId="77777777" w:rsidR="00AF2E1B" w:rsidRPr="00AF2E1B" w:rsidRDefault="00AF2E1B" w:rsidP="00AF2E1B">
            <w:r w:rsidRPr="00AF2E1B">
              <w:t>Intensive care unit</w:t>
            </w:r>
          </w:p>
        </w:tc>
      </w:tr>
      <w:tr w:rsidR="00AF2E1B" w:rsidRPr="00AF2E1B" w14:paraId="27E46C16" w14:textId="77777777" w:rsidTr="008B5252">
        <w:tc>
          <w:tcPr>
            <w:tcW w:w="1799" w:type="dxa"/>
          </w:tcPr>
          <w:p w14:paraId="03D0C9A6" w14:textId="77777777" w:rsidR="00AF2E1B" w:rsidRPr="00AF2E1B" w:rsidRDefault="00AF2E1B" w:rsidP="00AF2E1B">
            <w:r w:rsidRPr="00AF2E1B">
              <w:t>IRC</w:t>
            </w:r>
          </w:p>
        </w:tc>
        <w:tc>
          <w:tcPr>
            <w:tcW w:w="6695" w:type="dxa"/>
          </w:tcPr>
          <w:p w14:paraId="7BD4A5AA" w14:textId="77777777" w:rsidR="00AF2E1B" w:rsidRPr="00AF2E1B" w:rsidRDefault="00AF2E1B" w:rsidP="00AF2E1B">
            <w:r w:rsidRPr="00AF2E1B">
              <w:t>Internal review committee</w:t>
            </w:r>
          </w:p>
        </w:tc>
      </w:tr>
      <w:tr w:rsidR="00AF2E1B" w:rsidRPr="00AF2E1B" w14:paraId="4FFB093A" w14:textId="77777777" w:rsidTr="008B5252">
        <w:tc>
          <w:tcPr>
            <w:tcW w:w="1799" w:type="dxa"/>
          </w:tcPr>
          <w:p w14:paraId="01134F41" w14:textId="77777777" w:rsidR="00AF2E1B" w:rsidRPr="00AF2E1B" w:rsidRDefault="00AF2E1B" w:rsidP="00AF2E1B">
            <w:r w:rsidRPr="00AF2E1B">
              <w:t>IRR</w:t>
            </w:r>
          </w:p>
        </w:tc>
        <w:tc>
          <w:tcPr>
            <w:tcW w:w="6695" w:type="dxa"/>
          </w:tcPr>
          <w:p w14:paraId="5CD41A1F" w14:textId="77777777" w:rsidR="00AF2E1B" w:rsidRPr="00AF2E1B" w:rsidRDefault="00AF2E1B" w:rsidP="00AF2E1B">
            <w:r w:rsidRPr="00AF2E1B">
              <w:t>Incidence rate ratio</w:t>
            </w:r>
          </w:p>
        </w:tc>
      </w:tr>
      <w:tr w:rsidR="00AF2E1B" w:rsidRPr="00AF2E1B" w14:paraId="70F06BAB" w14:textId="77777777" w:rsidTr="008B5252">
        <w:tc>
          <w:tcPr>
            <w:tcW w:w="1799" w:type="dxa"/>
          </w:tcPr>
          <w:p w14:paraId="6C9DE5F0" w14:textId="77777777" w:rsidR="00AF2E1B" w:rsidRPr="00AF2E1B" w:rsidRDefault="00AF2E1B" w:rsidP="00AF2E1B">
            <w:r w:rsidRPr="00AF2E1B">
              <w:t>LLOQ</w:t>
            </w:r>
          </w:p>
        </w:tc>
        <w:tc>
          <w:tcPr>
            <w:tcW w:w="6695" w:type="dxa"/>
          </w:tcPr>
          <w:p w14:paraId="008B094C" w14:textId="77777777" w:rsidR="00AF2E1B" w:rsidRPr="00AF2E1B" w:rsidRDefault="00AF2E1B" w:rsidP="00AF2E1B">
            <w:r w:rsidRPr="00AF2E1B">
              <w:t>Lower limit of quantitation</w:t>
            </w:r>
          </w:p>
        </w:tc>
      </w:tr>
      <w:tr w:rsidR="00AF2E1B" w:rsidRPr="00AF2E1B" w14:paraId="70AE0E49" w14:textId="77777777" w:rsidTr="008B5252">
        <w:tc>
          <w:tcPr>
            <w:tcW w:w="1799" w:type="dxa"/>
          </w:tcPr>
          <w:p w14:paraId="525F6EC4" w14:textId="77777777" w:rsidR="00AF2E1B" w:rsidRPr="00AF2E1B" w:rsidRDefault="00AF2E1B" w:rsidP="00AF2E1B">
            <w:r w:rsidRPr="00AF2E1B">
              <w:t>MIS-C</w:t>
            </w:r>
          </w:p>
        </w:tc>
        <w:tc>
          <w:tcPr>
            <w:tcW w:w="6695" w:type="dxa"/>
          </w:tcPr>
          <w:p w14:paraId="32292CF2" w14:textId="77777777" w:rsidR="00AF2E1B" w:rsidRPr="00AF2E1B" w:rsidRDefault="00AF2E1B" w:rsidP="00AF2E1B">
            <w:r w:rsidRPr="00AF2E1B">
              <w:t>Multisystem inflammatory syndrome in children</w:t>
            </w:r>
          </w:p>
        </w:tc>
      </w:tr>
      <w:tr w:rsidR="00AF2E1B" w:rsidRPr="00AF2E1B" w14:paraId="5B2C7537" w14:textId="77777777" w:rsidTr="008B5252">
        <w:tc>
          <w:tcPr>
            <w:tcW w:w="1799" w:type="dxa"/>
          </w:tcPr>
          <w:p w14:paraId="60670692" w14:textId="77777777" w:rsidR="00AF2E1B" w:rsidRPr="00AF2E1B" w:rsidRDefault="00AF2E1B" w:rsidP="00AF2E1B">
            <w:proofErr w:type="spellStart"/>
            <w:r w:rsidRPr="00AF2E1B">
              <w:t>mITT</w:t>
            </w:r>
            <w:proofErr w:type="spellEnd"/>
          </w:p>
        </w:tc>
        <w:tc>
          <w:tcPr>
            <w:tcW w:w="6695" w:type="dxa"/>
          </w:tcPr>
          <w:p w14:paraId="6B73F936" w14:textId="77777777" w:rsidR="00AF2E1B" w:rsidRPr="00AF2E1B" w:rsidRDefault="00AF2E1B" w:rsidP="00AF2E1B">
            <w:r w:rsidRPr="00AF2E1B">
              <w:t>Modified intention to treat</w:t>
            </w:r>
          </w:p>
        </w:tc>
      </w:tr>
      <w:tr w:rsidR="00AF2E1B" w:rsidRPr="00AF2E1B" w14:paraId="463F5BD5" w14:textId="77777777" w:rsidTr="008B5252">
        <w:tc>
          <w:tcPr>
            <w:tcW w:w="1799" w:type="dxa"/>
          </w:tcPr>
          <w:p w14:paraId="5399AEB3" w14:textId="77777777" w:rsidR="00AF2E1B" w:rsidRPr="00AF2E1B" w:rsidRDefault="00AF2E1B" w:rsidP="00AF2E1B">
            <w:r w:rsidRPr="00AF2E1B">
              <w:t>mRNA</w:t>
            </w:r>
          </w:p>
        </w:tc>
        <w:tc>
          <w:tcPr>
            <w:tcW w:w="6695" w:type="dxa"/>
          </w:tcPr>
          <w:p w14:paraId="49CFDC33" w14:textId="77777777" w:rsidR="00AF2E1B" w:rsidRPr="00AF2E1B" w:rsidRDefault="00AF2E1B" w:rsidP="00AF2E1B">
            <w:r w:rsidRPr="00AF2E1B">
              <w:t>Messenger RNA</w:t>
            </w:r>
          </w:p>
        </w:tc>
      </w:tr>
      <w:tr w:rsidR="00AF2E1B" w:rsidRPr="00AF2E1B" w14:paraId="5428F819" w14:textId="77777777" w:rsidTr="008B5252">
        <w:tc>
          <w:tcPr>
            <w:tcW w:w="1799" w:type="dxa"/>
          </w:tcPr>
          <w:p w14:paraId="07B2C2EA" w14:textId="77777777" w:rsidR="00AF2E1B" w:rsidRPr="00AF2E1B" w:rsidRDefault="00AF2E1B" w:rsidP="00AF2E1B">
            <w:r w:rsidRPr="00AF2E1B">
              <w:t>NAAT</w:t>
            </w:r>
          </w:p>
        </w:tc>
        <w:tc>
          <w:tcPr>
            <w:tcW w:w="6695" w:type="dxa"/>
          </w:tcPr>
          <w:p w14:paraId="6FEC37E3" w14:textId="77777777" w:rsidR="00AF2E1B" w:rsidRPr="00AF2E1B" w:rsidRDefault="00AF2E1B" w:rsidP="00AF2E1B">
            <w:r w:rsidRPr="00AF2E1B">
              <w:t>Nucleic acid amplification test</w:t>
            </w:r>
          </w:p>
        </w:tc>
      </w:tr>
      <w:tr w:rsidR="00AF2E1B" w:rsidRPr="00AF2E1B" w14:paraId="501A013E" w14:textId="77777777" w:rsidTr="008B5252">
        <w:tc>
          <w:tcPr>
            <w:tcW w:w="1799" w:type="dxa"/>
          </w:tcPr>
          <w:p w14:paraId="42C2C201" w14:textId="77777777" w:rsidR="00AF2E1B" w:rsidRPr="00AF2E1B" w:rsidRDefault="00AF2E1B" w:rsidP="00AF2E1B">
            <w:r w:rsidRPr="00AF2E1B">
              <w:t>NT50</w:t>
            </w:r>
          </w:p>
        </w:tc>
        <w:tc>
          <w:tcPr>
            <w:tcW w:w="6695" w:type="dxa"/>
          </w:tcPr>
          <w:p w14:paraId="449981EC" w14:textId="77777777" w:rsidR="00AF2E1B" w:rsidRPr="00AF2E1B" w:rsidRDefault="00AF2E1B" w:rsidP="00AF2E1B">
            <w:r w:rsidRPr="00AF2E1B">
              <w:t>50% neutralising titre/assay</w:t>
            </w:r>
          </w:p>
        </w:tc>
      </w:tr>
      <w:tr w:rsidR="00AF2E1B" w:rsidRPr="00AF2E1B" w14:paraId="4D02A628" w14:textId="77777777" w:rsidTr="008B5252">
        <w:tc>
          <w:tcPr>
            <w:tcW w:w="1799" w:type="dxa"/>
          </w:tcPr>
          <w:p w14:paraId="10AE7E72" w14:textId="77777777" w:rsidR="00AF2E1B" w:rsidRPr="00AF2E1B" w:rsidRDefault="00AF2E1B" w:rsidP="00AF2E1B">
            <w:r w:rsidRPr="00AF2E1B">
              <w:t>PI</w:t>
            </w:r>
          </w:p>
        </w:tc>
        <w:tc>
          <w:tcPr>
            <w:tcW w:w="6695" w:type="dxa"/>
          </w:tcPr>
          <w:p w14:paraId="11358381" w14:textId="77777777" w:rsidR="00AF2E1B" w:rsidRPr="00AF2E1B" w:rsidRDefault="00AF2E1B" w:rsidP="00AF2E1B">
            <w:r w:rsidRPr="00AF2E1B">
              <w:t>Product Information</w:t>
            </w:r>
          </w:p>
        </w:tc>
      </w:tr>
      <w:tr w:rsidR="00AF2E1B" w:rsidRPr="00AF2E1B" w14:paraId="788BD2BF" w14:textId="77777777" w:rsidTr="008B5252">
        <w:tc>
          <w:tcPr>
            <w:tcW w:w="1799" w:type="dxa"/>
          </w:tcPr>
          <w:p w14:paraId="79AD3281" w14:textId="77777777" w:rsidR="00AF2E1B" w:rsidRPr="00AF2E1B" w:rsidRDefault="00AF2E1B" w:rsidP="00AF2E1B">
            <w:r w:rsidRPr="00AF2E1B">
              <w:t>PIMS-TS</w:t>
            </w:r>
          </w:p>
        </w:tc>
        <w:tc>
          <w:tcPr>
            <w:tcW w:w="6695" w:type="dxa"/>
          </w:tcPr>
          <w:p w14:paraId="0477873D" w14:textId="77777777" w:rsidR="00AF2E1B" w:rsidRPr="00AF2E1B" w:rsidRDefault="00AF2E1B" w:rsidP="00AF2E1B">
            <w:r w:rsidRPr="00AF2E1B">
              <w:t>Paediatric inflammatory multisystem syndrome temporally associated with SARS-CoV-2</w:t>
            </w:r>
          </w:p>
        </w:tc>
      </w:tr>
      <w:tr w:rsidR="00AF2E1B" w:rsidRPr="00AF2E1B" w14:paraId="2F24558A" w14:textId="77777777" w:rsidTr="008B5252">
        <w:tc>
          <w:tcPr>
            <w:tcW w:w="1799" w:type="dxa"/>
          </w:tcPr>
          <w:p w14:paraId="2720F44E" w14:textId="77777777" w:rsidR="00AF2E1B" w:rsidRPr="00AF2E1B" w:rsidRDefault="00AF2E1B" w:rsidP="00AF2E1B">
            <w:r w:rsidRPr="00AF2E1B">
              <w:lastRenderedPageBreak/>
              <w:t>PSUR</w:t>
            </w:r>
          </w:p>
        </w:tc>
        <w:tc>
          <w:tcPr>
            <w:tcW w:w="6695" w:type="dxa"/>
          </w:tcPr>
          <w:p w14:paraId="3649252F" w14:textId="77777777" w:rsidR="00AF2E1B" w:rsidRPr="00AF2E1B" w:rsidRDefault="00AF2E1B" w:rsidP="00AF2E1B">
            <w:r w:rsidRPr="00AF2E1B">
              <w:t>Periodic safety update report</w:t>
            </w:r>
          </w:p>
        </w:tc>
      </w:tr>
      <w:tr w:rsidR="00AF2E1B" w:rsidRPr="00AF2E1B" w14:paraId="5C622828" w14:textId="77777777" w:rsidTr="008B5252">
        <w:tc>
          <w:tcPr>
            <w:tcW w:w="1799" w:type="dxa"/>
          </w:tcPr>
          <w:p w14:paraId="1FF26454" w14:textId="77777777" w:rsidR="00AF2E1B" w:rsidRPr="00AF2E1B" w:rsidRDefault="00AF2E1B" w:rsidP="00AF2E1B">
            <w:r w:rsidRPr="00AF2E1B">
              <w:t>RMP</w:t>
            </w:r>
          </w:p>
        </w:tc>
        <w:tc>
          <w:tcPr>
            <w:tcW w:w="6695" w:type="dxa"/>
          </w:tcPr>
          <w:p w14:paraId="30FFB226" w14:textId="77777777" w:rsidR="00AF2E1B" w:rsidRPr="00AF2E1B" w:rsidRDefault="00AF2E1B" w:rsidP="00AF2E1B">
            <w:r w:rsidRPr="00AF2E1B">
              <w:t>Risk management plan</w:t>
            </w:r>
          </w:p>
        </w:tc>
      </w:tr>
      <w:tr w:rsidR="00AF2E1B" w:rsidRPr="00AF2E1B" w14:paraId="7F57CB52" w14:textId="77777777" w:rsidTr="008B5252">
        <w:tc>
          <w:tcPr>
            <w:tcW w:w="1799" w:type="dxa"/>
          </w:tcPr>
          <w:p w14:paraId="3CAB63E4" w14:textId="77777777" w:rsidR="00AF2E1B" w:rsidRPr="00AF2E1B" w:rsidRDefault="00AF2E1B" w:rsidP="00AF2E1B">
            <w:r w:rsidRPr="00AF2E1B">
              <w:t>SARS-CoV-2</w:t>
            </w:r>
          </w:p>
        </w:tc>
        <w:tc>
          <w:tcPr>
            <w:tcW w:w="6695" w:type="dxa"/>
          </w:tcPr>
          <w:p w14:paraId="1624081C" w14:textId="77777777" w:rsidR="00AF2E1B" w:rsidRPr="00AF2E1B" w:rsidRDefault="00AF2E1B" w:rsidP="00AF2E1B">
            <w:r w:rsidRPr="00AF2E1B">
              <w:t>Severe acute respiratory syndrome coronavirus 2</w:t>
            </w:r>
          </w:p>
        </w:tc>
      </w:tr>
      <w:tr w:rsidR="00AF2E1B" w:rsidRPr="00AF2E1B" w14:paraId="4D25196D" w14:textId="77777777" w:rsidTr="008B5252">
        <w:tc>
          <w:tcPr>
            <w:tcW w:w="1799" w:type="dxa"/>
          </w:tcPr>
          <w:p w14:paraId="66200EFC" w14:textId="77777777" w:rsidR="00AF2E1B" w:rsidRPr="00AF2E1B" w:rsidRDefault="00AF2E1B" w:rsidP="00AF2E1B">
            <w:r w:rsidRPr="00AF2E1B">
              <w:t>SMQ</w:t>
            </w:r>
          </w:p>
        </w:tc>
        <w:tc>
          <w:tcPr>
            <w:tcW w:w="6695" w:type="dxa"/>
          </w:tcPr>
          <w:p w14:paraId="76EBBFAC" w14:textId="77777777" w:rsidR="00AF2E1B" w:rsidRPr="00AF2E1B" w:rsidRDefault="00AF2E1B" w:rsidP="00AF2E1B">
            <w:r w:rsidRPr="00AF2E1B">
              <w:t>Standardised MedDRA Query</w:t>
            </w:r>
          </w:p>
        </w:tc>
      </w:tr>
      <w:tr w:rsidR="00AF2E1B" w:rsidRPr="00AF2E1B" w14:paraId="0D6563D2" w14:textId="77777777" w:rsidTr="008B5252">
        <w:tc>
          <w:tcPr>
            <w:tcW w:w="1799" w:type="dxa"/>
          </w:tcPr>
          <w:p w14:paraId="234D52D3" w14:textId="77777777" w:rsidR="00AF2E1B" w:rsidRPr="00AF2E1B" w:rsidRDefault="00AF2E1B" w:rsidP="00AF2E1B">
            <w:r w:rsidRPr="00AF2E1B">
              <w:t>SOC</w:t>
            </w:r>
          </w:p>
        </w:tc>
        <w:tc>
          <w:tcPr>
            <w:tcW w:w="6695" w:type="dxa"/>
          </w:tcPr>
          <w:p w14:paraId="686F3587" w14:textId="77777777" w:rsidR="00AF2E1B" w:rsidRPr="00AF2E1B" w:rsidRDefault="00AF2E1B" w:rsidP="00AF2E1B">
            <w:r w:rsidRPr="00AF2E1B">
              <w:t>System Organ Class</w:t>
            </w:r>
          </w:p>
        </w:tc>
      </w:tr>
      <w:tr w:rsidR="00C22C55" w:rsidRPr="00AF2E1B" w14:paraId="4B1FCB64" w14:textId="77777777" w:rsidTr="008B5252">
        <w:tc>
          <w:tcPr>
            <w:tcW w:w="1799" w:type="dxa"/>
          </w:tcPr>
          <w:p w14:paraId="1B606EA5" w14:textId="1F036BF1" w:rsidR="00C22C55" w:rsidRPr="00AF2E1B" w:rsidRDefault="00C22C55" w:rsidP="00AF2E1B">
            <w:r>
              <w:t>Tris</w:t>
            </w:r>
          </w:p>
        </w:tc>
        <w:tc>
          <w:tcPr>
            <w:tcW w:w="6695" w:type="dxa"/>
          </w:tcPr>
          <w:p w14:paraId="5D817985" w14:textId="3C26C8F1" w:rsidR="00C22C55" w:rsidRPr="00AF2E1B" w:rsidRDefault="00C22C55" w:rsidP="00AF2E1B">
            <w:r>
              <w:t>T</w:t>
            </w:r>
            <w:r w:rsidRPr="0042716E">
              <w:t>romethamine</w:t>
            </w:r>
          </w:p>
        </w:tc>
      </w:tr>
      <w:tr w:rsidR="00AF2E1B" w:rsidRPr="00AF2E1B" w14:paraId="0AF8BEBB" w14:textId="77777777" w:rsidTr="008B5252">
        <w:tc>
          <w:tcPr>
            <w:tcW w:w="1799" w:type="dxa"/>
          </w:tcPr>
          <w:p w14:paraId="05B338B9" w14:textId="77777777" w:rsidR="00AF2E1B" w:rsidRPr="00AF2E1B" w:rsidRDefault="00AF2E1B" w:rsidP="00AF2E1B">
            <w:r w:rsidRPr="00AF2E1B">
              <w:t>US(A)</w:t>
            </w:r>
          </w:p>
        </w:tc>
        <w:tc>
          <w:tcPr>
            <w:tcW w:w="6695" w:type="dxa"/>
          </w:tcPr>
          <w:p w14:paraId="4793C4FB" w14:textId="77777777" w:rsidR="00AF2E1B" w:rsidRPr="00AF2E1B" w:rsidRDefault="00AF2E1B" w:rsidP="00AF2E1B">
            <w:r w:rsidRPr="00AF2E1B">
              <w:t>United States (of America)</w:t>
            </w:r>
          </w:p>
        </w:tc>
      </w:tr>
      <w:tr w:rsidR="00AF2E1B" w:rsidRPr="00AF2E1B" w14:paraId="73FDA80B" w14:textId="77777777" w:rsidTr="008B5252">
        <w:tc>
          <w:tcPr>
            <w:tcW w:w="1799" w:type="dxa"/>
          </w:tcPr>
          <w:p w14:paraId="03B9D4D8" w14:textId="77777777" w:rsidR="00AF2E1B" w:rsidRPr="00AF2E1B" w:rsidRDefault="00AF2E1B" w:rsidP="00AF2E1B">
            <w:r w:rsidRPr="00AF2E1B">
              <w:t>WHO</w:t>
            </w:r>
          </w:p>
        </w:tc>
        <w:tc>
          <w:tcPr>
            <w:tcW w:w="6695" w:type="dxa"/>
          </w:tcPr>
          <w:p w14:paraId="0B270BD5" w14:textId="77777777" w:rsidR="00AF2E1B" w:rsidRPr="00AF2E1B" w:rsidRDefault="00AF2E1B" w:rsidP="00AF2E1B">
            <w:r w:rsidRPr="00AF2E1B">
              <w:t>World Health Organization</w:t>
            </w:r>
          </w:p>
        </w:tc>
      </w:tr>
    </w:tbl>
    <w:p w14:paraId="28B27AE7" w14:textId="77777777" w:rsidR="00FD119B" w:rsidRDefault="00FD119B" w:rsidP="00FD119B"/>
    <w:p w14:paraId="6221B34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1E78FF2" w14:textId="77777777" w:rsidR="008E7846" w:rsidRDefault="00F53C07" w:rsidP="008E7846">
      <w:pPr>
        <w:pStyle w:val="Heading2"/>
      </w:pPr>
      <w:bookmarkStart w:id="8" w:name="_Toc90280426"/>
      <w:r>
        <w:lastRenderedPageBreak/>
        <w:t>I.</w:t>
      </w:r>
      <w:r w:rsidR="008E7846">
        <w:t xml:space="preserve"> Introduction to product submission</w:t>
      </w:r>
      <w:bookmarkEnd w:id="2"/>
      <w:bookmarkEnd w:id="0"/>
      <w:bookmarkEnd w:id="8"/>
    </w:p>
    <w:p w14:paraId="6B8A18FE" w14:textId="77777777" w:rsidR="008E7846" w:rsidRDefault="008E7846" w:rsidP="008E7846">
      <w:pPr>
        <w:pStyle w:val="Heading3"/>
        <w:rPr>
          <w:lang w:eastAsia="en-AU"/>
        </w:rPr>
      </w:pPr>
      <w:bookmarkStart w:id="9" w:name="_Toc247691502"/>
      <w:bookmarkStart w:id="10" w:name="_Toc314842483"/>
      <w:bookmarkStart w:id="11" w:name="_Toc90280427"/>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12D3CDAD" w14:textId="77777777" w:rsidTr="003735BC">
        <w:tc>
          <w:tcPr>
            <w:tcW w:w="2907" w:type="dxa"/>
          </w:tcPr>
          <w:p w14:paraId="2BEDBF9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ADAB161" w14:textId="1D343B1F" w:rsidR="008E7846" w:rsidRPr="003D1E62" w:rsidRDefault="009426DE" w:rsidP="009426DE">
            <w:bookmarkStart w:id="12" w:name="_Hlk90276549"/>
            <w:r>
              <w:t>Extension of indications; change to formulation (excipients)</w:t>
            </w:r>
            <w:bookmarkEnd w:id="12"/>
          </w:p>
        </w:tc>
      </w:tr>
      <w:tr w:rsidR="00460036" w:rsidRPr="003D1E62" w14:paraId="3D1B0C16" w14:textId="77777777" w:rsidTr="003735BC">
        <w:tc>
          <w:tcPr>
            <w:tcW w:w="2907" w:type="dxa"/>
          </w:tcPr>
          <w:p w14:paraId="62862DDA" w14:textId="77777777" w:rsidR="00460036" w:rsidRPr="003D1E62" w:rsidRDefault="003532E9" w:rsidP="003D1E62">
            <w:pPr>
              <w:rPr>
                <w:i/>
              </w:rPr>
            </w:pPr>
            <w:r>
              <w:rPr>
                <w:i/>
              </w:rPr>
              <w:t>Product name</w:t>
            </w:r>
            <w:r w:rsidR="00460036" w:rsidRPr="00460036">
              <w:rPr>
                <w:i/>
              </w:rPr>
              <w:t>:</w:t>
            </w:r>
          </w:p>
        </w:tc>
        <w:tc>
          <w:tcPr>
            <w:tcW w:w="6307" w:type="dxa"/>
          </w:tcPr>
          <w:p w14:paraId="5099F363" w14:textId="77777777" w:rsidR="00460036" w:rsidRPr="003D1E62" w:rsidRDefault="003532E9" w:rsidP="001B5C90">
            <w:proofErr w:type="spellStart"/>
            <w:r>
              <w:t>Comirnaty</w:t>
            </w:r>
            <w:proofErr w:type="spellEnd"/>
          </w:p>
        </w:tc>
      </w:tr>
      <w:tr w:rsidR="00460036" w:rsidRPr="003D1E62" w14:paraId="54F7F735" w14:textId="77777777" w:rsidTr="003735BC">
        <w:tc>
          <w:tcPr>
            <w:tcW w:w="2907" w:type="dxa"/>
          </w:tcPr>
          <w:p w14:paraId="51AB69C7" w14:textId="77777777" w:rsidR="00460036" w:rsidRPr="003D1E62" w:rsidRDefault="00D6224A" w:rsidP="003D1E62">
            <w:pPr>
              <w:rPr>
                <w:i/>
              </w:rPr>
            </w:pPr>
            <w:r>
              <w:rPr>
                <w:i/>
              </w:rPr>
              <w:t>Active ingredient</w:t>
            </w:r>
            <w:r w:rsidR="00460036" w:rsidRPr="00460036">
              <w:rPr>
                <w:i/>
              </w:rPr>
              <w:t>:</w:t>
            </w:r>
          </w:p>
        </w:tc>
        <w:tc>
          <w:tcPr>
            <w:tcW w:w="6307" w:type="dxa"/>
          </w:tcPr>
          <w:p w14:paraId="3805E391" w14:textId="4DE54807" w:rsidR="00460036" w:rsidRPr="003D1E62" w:rsidRDefault="005F6462" w:rsidP="00D6224A">
            <w:proofErr w:type="spellStart"/>
            <w:r>
              <w:t>Tozinameran</w:t>
            </w:r>
            <w:bookmarkStart w:id="13" w:name="_Ref90014638"/>
            <w:proofErr w:type="spellEnd"/>
            <w:r>
              <w:rPr>
                <w:rStyle w:val="FootnoteReference"/>
              </w:rPr>
              <w:footnoteReference w:id="2"/>
            </w:r>
            <w:bookmarkEnd w:id="13"/>
          </w:p>
        </w:tc>
      </w:tr>
      <w:tr w:rsidR="008E7846" w:rsidRPr="003D1E62" w14:paraId="7807AE3A" w14:textId="77777777" w:rsidTr="003735BC">
        <w:tc>
          <w:tcPr>
            <w:tcW w:w="2907" w:type="dxa"/>
          </w:tcPr>
          <w:p w14:paraId="47D39BAC" w14:textId="77777777" w:rsidR="008E7846" w:rsidRPr="003D1E62" w:rsidRDefault="008E7846" w:rsidP="003D1E62">
            <w:r w:rsidRPr="003D1E62">
              <w:rPr>
                <w:i/>
              </w:rPr>
              <w:t>Decision</w:t>
            </w:r>
            <w:r w:rsidRPr="003D1E62">
              <w:t>:</w:t>
            </w:r>
          </w:p>
        </w:tc>
        <w:tc>
          <w:tcPr>
            <w:tcW w:w="6307" w:type="dxa"/>
          </w:tcPr>
          <w:p w14:paraId="1C07F326" w14:textId="3801EC7E" w:rsidR="008E7846" w:rsidRPr="003D1E62" w:rsidRDefault="009426DE" w:rsidP="001B5C90">
            <w:r>
              <w:t>Approved</w:t>
            </w:r>
          </w:p>
        </w:tc>
      </w:tr>
      <w:tr w:rsidR="008E7846" w:rsidRPr="003D1E62" w14:paraId="6203FE47" w14:textId="77777777" w:rsidTr="003735BC">
        <w:tc>
          <w:tcPr>
            <w:tcW w:w="2907" w:type="dxa"/>
          </w:tcPr>
          <w:p w14:paraId="59B3D47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62EABA8F" w14:textId="37F015B6" w:rsidR="008E7846" w:rsidRPr="003D1E62" w:rsidRDefault="00463D52" w:rsidP="001B5C90">
            <w:r>
              <w:t>3 December 2021</w:t>
            </w:r>
          </w:p>
        </w:tc>
      </w:tr>
      <w:tr w:rsidR="00ED2922" w:rsidRPr="003D1E62" w14:paraId="0210DF4C" w14:textId="77777777" w:rsidTr="003735BC">
        <w:tc>
          <w:tcPr>
            <w:tcW w:w="2907" w:type="dxa"/>
          </w:tcPr>
          <w:p w14:paraId="4E3ECD13" w14:textId="77777777" w:rsidR="00ED2922" w:rsidRPr="00441C3F" w:rsidRDefault="00ED2922" w:rsidP="001B5C90">
            <w:pPr>
              <w:rPr>
                <w:i/>
              </w:rPr>
            </w:pPr>
            <w:r w:rsidRPr="00441C3F">
              <w:rPr>
                <w:i/>
              </w:rPr>
              <w:t>Date of entry onto ARTG</w:t>
            </w:r>
            <w:r w:rsidR="00500337">
              <w:rPr>
                <w:i/>
              </w:rPr>
              <w:t>:</w:t>
            </w:r>
          </w:p>
        </w:tc>
        <w:tc>
          <w:tcPr>
            <w:tcW w:w="6307" w:type="dxa"/>
          </w:tcPr>
          <w:p w14:paraId="5A4E1F3A" w14:textId="717F6497" w:rsidR="00ED2922" w:rsidRPr="00441C3F" w:rsidRDefault="002249FE" w:rsidP="00D153D8">
            <w:pPr>
              <w:rPr>
                <w:i/>
              </w:rPr>
            </w:pPr>
            <w:r>
              <w:t>6 December 2021</w:t>
            </w:r>
          </w:p>
        </w:tc>
      </w:tr>
      <w:tr w:rsidR="00500337" w:rsidRPr="003D1E62" w14:paraId="21930F33" w14:textId="77777777" w:rsidTr="003735BC">
        <w:tc>
          <w:tcPr>
            <w:tcW w:w="2907" w:type="dxa"/>
          </w:tcPr>
          <w:p w14:paraId="5C531750" w14:textId="4284C386" w:rsidR="00500337" w:rsidRPr="00441C3F" w:rsidRDefault="009426DE" w:rsidP="001B5C90">
            <w:pPr>
              <w:rPr>
                <w:i/>
              </w:rPr>
            </w:pPr>
            <w:r>
              <w:rPr>
                <w:i/>
              </w:rPr>
              <w:t>ARTG numbers</w:t>
            </w:r>
            <w:r w:rsidR="00500337">
              <w:rPr>
                <w:i/>
              </w:rPr>
              <w:t>:</w:t>
            </w:r>
          </w:p>
        </w:tc>
        <w:tc>
          <w:tcPr>
            <w:tcW w:w="6307" w:type="dxa"/>
          </w:tcPr>
          <w:p w14:paraId="7AB23473" w14:textId="0BAFD00B" w:rsidR="00500337" w:rsidRPr="00463D52" w:rsidRDefault="00463D52" w:rsidP="00463D52">
            <w:r>
              <w:t>377110; 377111</w:t>
            </w:r>
          </w:p>
        </w:tc>
      </w:tr>
      <w:tr w:rsidR="003735BC" w:rsidRPr="003D1E62" w14:paraId="34D23824" w14:textId="77777777" w:rsidTr="003735BC">
        <w:tc>
          <w:tcPr>
            <w:tcW w:w="2907" w:type="dxa"/>
          </w:tcPr>
          <w:p w14:paraId="21BACEE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3"/>
            </w:r>
          </w:p>
        </w:tc>
        <w:tc>
          <w:tcPr>
            <w:tcW w:w="6307" w:type="dxa"/>
          </w:tcPr>
          <w:p w14:paraId="3A494A17" w14:textId="77777777" w:rsidR="00510CAE" w:rsidRDefault="00510CAE" w:rsidP="00510CAE">
            <w:r>
              <w:t>Yes</w:t>
            </w:r>
          </w:p>
          <w:p w14:paraId="22CD30B4" w14:textId="282F5129" w:rsidR="003735BC" w:rsidRPr="00487162" w:rsidRDefault="003735BC" w:rsidP="00510CAE">
            <w:r>
              <w:t>As a provisionally registered product, this medicine will remain in the Black Triangle Scheme for the duration of its provisional registration</w:t>
            </w:r>
          </w:p>
        </w:tc>
      </w:tr>
      <w:tr w:rsidR="008E7846" w:rsidRPr="00487162" w14:paraId="10F04C21" w14:textId="77777777" w:rsidTr="00BF1190">
        <w:tc>
          <w:tcPr>
            <w:tcW w:w="2907" w:type="dxa"/>
          </w:tcPr>
          <w:p w14:paraId="19DDAD6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6AE10A8" w14:textId="77777777" w:rsidR="005F6462" w:rsidRDefault="005F6462" w:rsidP="00E45619">
            <w:r>
              <w:t>Pfizer Australia Pty Ltd</w:t>
            </w:r>
          </w:p>
          <w:p w14:paraId="1E585C35" w14:textId="77777777" w:rsidR="005F6462" w:rsidRDefault="005F6462" w:rsidP="00E45619">
            <w:r>
              <w:t>Level 17, 151 Clarence Street</w:t>
            </w:r>
          </w:p>
          <w:p w14:paraId="685145D1" w14:textId="62881E85" w:rsidR="008E7846" w:rsidRPr="00487162" w:rsidRDefault="005F6462" w:rsidP="00E45619">
            <w:r>
              <w:t>Sydney, NSW, 2000</w:t>
            </w:r>
          </w:p>
        </w:tc>
      </w:tr>
      <w:tr w:rsidR="008E7846" w:rsidRPr="00487162" w14:paraId="43FFC525" w14:textId="77777777" w:rsidTr="00BF1190">
        <w:tc>
          <w:tcPr>
            <w:tcW w:w="2907" w:type="dxa"/>
          </w:tcPr>
          <w:p w14:paraId="6DA5425C" w14:textId="32F2A950" w:rsidR="008E7846" w:rsidRPr="00487162" w:rsidRDefault="001B5C90" w:rsidP="00E45619">
            <w:pPr>
              <w:rPr>
                <w:i/>
              </w:rPr>
            </w:pPr>
            <w:r>
              <w:rPr>
                <w:i/>
              </w:rPr>
              <w:t>Dose form:</w:t>
            </w:r>
          </w:p>
        </w:tc>
        <w:tc>
          <w:tcPr>
            <w:tcW w:w="6307" w:type="dxa"/>
          </w:tcPr>
          <w:p w14:paraId="77EFC259" w14:textId="16271EFF" w:rsidR="008E7846" w:rsidRPr="00487162" w:rsidRDefault="002249FE" w:rsidP="00E45619">
            <w:r w:rsidRPr="00640930">
              <w:t xml:space="preserve">Concentrate </w:t>
            </w:r>
            <w:r>
              <w:t>for</w:t>
            </w:r>
            <w:r w:rsidRPr="00640930">
              <w:t xml:space="preserve"> injection</w:t>
            </w:r>
          </w:p>
        </w:tc>
      </w:tr>
      <w:tr w:rsidR="008E7846" w:rsidRPr="00487162" w14:paraId="4AF92159" w14:textId="77777777" w:rsidTr="00BF1190">
        <w:tc>
          <w:tcPr>
            <w:tcW w:w="2907" w:type="dxa"/>
          </w:tcPr>
          <w:p w14:paraId="463AFD2C" w14:textId="51A05406" w:rsidR="008E7846" w:rsidRPr="00487162" w:rsidRDefault="00324E45" w:rsidP="00E45619">
            <w:pPr>
              <w:rPr>
                <w:i/>
              </w:rPr>
            </w:pPr>
            <w:r>
              <w:rPr>
                <w:i/>
              </w:rPr>
              <w:t>Strengths:</w:t>
            </w:r>
          </w:p>
        </w:tc>
        <w:tc>
          <w:tcPr>
            <w:tcW w:w="6307" w:type="dxa"/>
          </w:tcPr>
          <w:p w14:paraId="4EFDC212" w14:textId="7A0BCB6E" w:rsidR="002249FE" w:rsidRDefault="002249FE" w:rsidP="00E45619">
            <w:r>
              <w:t>10</w:t>
            </w:r>
            <w:r w:rsidRPr="00640930">
              <w:t xml:space="preserve"> µg/0.</w:t>
            </w:r>
            <w:r>
              <w:t>2</w:t>
            </w:r>
            <w:r w:rsidRPr="00640930">
              <w:t xml:space="preserve"> mL</w:t>
            </w:r>
          </w:p>
          <w:p w14:paraId="600F6DEE" w14:textId="7B8596F9" w:rsidR="008E7846" w:rsidRPr="00487162" w:rsidRDefault="002249FE" w:rsidP="00E45619">
            <w:r w:rsidRPr="00640930">
              <w:t>30 µg/0.3 mL</w:t>
            </w:r>
          </w:p>
        </w:tc>
      </w:tr>
      <w:tr w:rsidR="008E7846" w:rsidRPr="00487162" w14:paraId="607EE10D" w14:textId="77777777" w:rsidTr="00BF1190">
        <w:tc>
          <w:tcPr>
            <w:tcW w:w="2907" w:type="dxa"/>
          </w:tcPr>
          <w:p w14:paraId="52811DA9" w14:textId="5EB1BB4F" w:rsidR="008E7846" w:rsidRPr="00487162" w:rsidRDefault="008E7846" w:rsidP="00E45619">
            <w:pPr>
              <w:rPr>
                <w:i/>
              </w:rPr>
            </w:pPr>
            <w:r w:rsidRPr="00487162">
              <w:rPr>
                <w:i/>
              </w:rPr>
              <w:t>Containe</w:t>
            </w:r>
            <w:r w:rsidR="002249FE">
              <w:rPr>
                <w:i/>
              </w:rPr>
              <w:t>r</w:t>
            </w:r>
            <w:r w:rsidRPr="00487162">
              <w:rPr>
                <w:i/>
              </w:rPr>
              <w:t>:</w:t>
            </w:r>
          </w:p>
        </w:tc>
        <w:tc>
          <w:tcPr>
            <w:tcW w:w="6307" w:type="dxa"/>
          </w:tcPr>
          <w:p w14:paraId="3E5BBD6D" w14:textId="6BE0B523" w:rsidR="008E7846" w:rsidRPr="00487162" w:rsidRDefault="002249FE" w:rsidP="00E45619">
            <w:r w:rsidRPr="002249FE">
              <w:t>Multidose vial</w:t>
            </w:r>
          </w:p>
        </w:tc>
      </w:tr>
      <w:tr w:rsidR="008E7846" w:rsidRPr="00487162" w14:paraId="7156FD1A" w14:textId="77777777" w:rsidTr="00BF1190">
        <w:tc>
          <w:tcPr>
            <w:tcW w:w="2907" w:type="dxa"/>
          </w:tcPr>
          <w:p w14:paraId="7E8CA37C" w14:textId="0A043052" w:rsidR="008E7846" w:rsidRPr="00487162" w:rsidRDefault="008E7846" w:rsidP="00E45619">
            <w:pPr>
              <w:rPr>
                <w:i/>
              </w:rPr>
            </w:pPr>
            <w:r w:rsidRPr="00487162">
              <w:rPr>
                <w:i/>
              </w:rPr>
              <w:t>Pack sizes:</w:t>
            </w:r>
          </w:p>
        </w:tc>
        <w:tc>
          <w:tcPr>
            <w:tcW w:w="6307" w:type="dxa"/>
          </w:tcPr>
          <w:p w14:paraId="7468BE3C" w14:textId="5FEBB701" w:rsidR="008E7846" w:rsidRPr="00487162" w:rsidRDefault="002249FE" w:rsidP="00E45619">
            <w:r>
              <w:t>195</w:t>
            </w:r>
          </w:p>
        </w:tc>
      </w:tr>
      <w:tr w:rsidR="008E7846" w:rsidRPr="00487162" w14:paraId="12DCC6B6" w14:textId="77777777" w:rsidTr="00BF1190">
        <w:tc>
          <w:tcPr>
            <w:tcW w:w="2907" w:type="dxa"/>
          </w:tcPr>
          <w:p w14:paraId="3138D1A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9B8EB3F" w14:textId="205E5347" w:rsidR="00510CAE" w:rsidRPr="00510CAE" w:rsidRDefault="00510CAE" w:rsidP="00510CAE">
            <w:pPr>
              <w:rPr>
                <w:rFonts w:eastAsia="MS Mincho"/>
                <w:i/>
                <w:lang w:eastAsia="ja-JP"/>
              </w:rPr>
            </w:pPr>
            <w:proofErr w:type="spellStart"/>
            <w:r w:rsidRPr="00510CAE">
              <w:rPr>
                <w:rFonts w:eastAsia="MS Mincho"/>
                <w:i/>
                <w:lang w:eastAsia="ja-JP"/>
              </w:rPr>
              <w:t>Comirnaty</w:t>
            </w:r>
            <w:proofErr w:type="spellEnd"/>
            <w:r w:rsidRPr="00510CAE">
              <w:rPr>
                <w:rFonts w:eastAsia="MS Mincho"/>
                <w:i/>
                <w:lang w:eastAsia="ja-JP"/>
              </w:rPr>
              <w:t xml:space="preserve"> (</w:t>
            </w:r>
            <w:proofErr w:type="spellStart"/>
            <w:r w:rsidRPr="00510CAE">
              <w:rPr>
                <w:rFonts w:eastAsia="MS Mincho"/>
                <w:i/>
                <w:lang w:eastAsia="ja-JP"/>
              </w:rPr>
              <w:t>tozinameran</w:t>
            </w:r>
            <w:proofErr w:type="spellEnd"/>
            <w:r w:rsidRPr="00510CAE">
              <w:rPr>
                <w:rFonts w:eastAsia="MS Mincho"/>
                <w:i/>
                <w:lang w:eastAsia="ja-JP"/>
              </w:rPr>
              <w:t>) COVID-19 Vaccine has provisional approval for the indication below:</w:t>
            </w:r>
          </w:p>
          <w:p w14:paraId="2625B352" w14:textId="03138F6E" w:rsidR="00510CAE" w:rsidRPr="00510CAE" w:rsidRDefault="00510CAE" w:rsidP="00510CAE">
            <w:pPr>
              <w:rPr>
                <w:rFonts w:eastAsia="MS Mincho"/>
                <w:i/>
                <w:lang w:eastAsia="ja-JP"/>
              </w:rPr>
            </w:pPr>
            <w:r w:rsidRPr="00510CAE">
              <w:rPr>
                <w:rFonts w:eastAsia="MS Mincho"/>
                <w:i/>
                <w:lang w:eastAsia="ja-JP"/>
              </w:rPr>
              <w:t xml:space="preserve">Active immunisation to prevent </w:t>
            </w:r>
            <w:r>
              <w:rPr>
                <w:rFonts w:eastAsia="MS Mincho"/>
                <w:i/>
                <w:lang w:eastAsia="ja-JP"/>
              </w:rPr>
              <w:t>coronavirus disease 2019 (COVID</w:t>
            </w:r>
            <w:r>
              <w:rPr>
                <w:rFonts w:eastAsia="MS Mincho"/>
                <w:i/>
                <w:lang w:eastAsia="ja-JP"/>
              </w:rPr>
              <w:noBreakHyphen/>
              <w:t>19) caused by SARS-CoV</w:t>
            </w:r>
            <w:r>
              <w:rPr>
                <w:rFonts w:eastAsia="MS Mincho"/>
                <w:i/>
                <w:lang w:eastAsia="ja-JP"/>
              </w:rPr>
              <w:noBreakHyphen/>
            </w:r>
            <w:r w:rsidRPr="00510CAE">
              <w:rPr>
                <w:rFonts w:eastAsia="MS Mincho"/>
                <w:i/>
                <w:lang w:eastAsia="ja-JP"/>
              </w:rPr>
              <w:t>2, in individuals 5 years of age and older.</w:t>
            </w:r>
          </w:p>
          <w:p w14:paraId="0F5D05B1" w14:textId="18321F0B" w:rsidR="00510CAE" w:rsidRPr="00510CAE" w:rsidRDefault="00510CAE" w:rsidP="00510CAE">
            <w:pPr>
              <w:rPr>
                <w:rFonts w:eastAsia="MS Mincho"/>
                <w:i/>
                <w:lang w:eastAsia="ja-JP"/>
              </w:rPr>
            </w:pPr>
            <w:r w:rsidRPr="00510CAE">
              <w:rPr>
                <w:rFonts w:eastAsia="MS Mincho"/>
                <w:i/>
                <w:lang w:eastAsia="ja-JP"/>
              </w:rPr>
              <w:lastRenderedPageBreak/>
              <w:t>The use of this vaccine should be in accordance</w:t>
            </w:r>
            <w:r>
              <w:rPr>
                <w:rFonts w:eastAsia="MS Mincho"/>
                <w:i/>
                <w:lang w:eastAsia="ja-JP"/>
              </w:rPr>
              <w:t xml:space="preserve"> with official recommendations.</w:t>
            </w:r>
          </w:p>
          <w:p w14:paraId="78516C3D" w14:textId="77777777" w:rsidR="008E7846" w:rsidRDefault="00510CAE" w:rsidP="00510CAE">
            <w:pPr>
              <w:rPr>
                <w:rFonts w:eastAsia="MS Mincho"/>
                <w:i/>
                <w:lang w:eastAsia="ja-JP"/>
              </w:rPr>
            </w:pPr>
            <w:r w:rsidRPr="00510CAE">
              <w:rPr>
                <w:rFonts w:eastAsia="MS Mincho"/>
                <w:i/>
                <w:lang w:eastAsia="ja-JP"/>
              </w:rPr>
              <w:t xml:space="preserve">The decision has been made on the basis of </w:t>
            </w:r>
            <w:proofErr w:type="gramStart"/>
            <w:r w:rsidRPr="00510CAE">
              <w:rPr>
                <w:rFonts w:eastAsia="MS Mincho"/>
                <w:i/>
                <w:lang w:eastAsia="ja-JP"/>
              </w:rPr>
              <w:t>short term</w:t>
            </w:r>
            <w:proofErr w:type="gramEnd"/>
            <w:r w:rsidRPr="00510CAE">
              <w:rPr>
                <w:rFonts w:eastAsia="MS Mincho"/>
                <w:i/>
                <w:lang w:eastAsia="ja-JP"/>
              </w:rPr>
              <w:t xml:space="preserve"> efficacy and safety data. Continued approval depends on the evidence of </w:t>
            </w:r>
            <w:proofErr w:type="gramStart"/>
            <w:r w:rsidRPr="00510CAE">
              <w:rPr>
                <w:rFonts w:eastAsia="MS Mincho"/>
                <w:i/>
                <w:lang w:eastAsia="ja-JP"/>
              </w:rPr>
              <w:t>longer term</w:t>
            </w:r>
            <w:proofErr w:type="gramEnd"/>
            <w:r w:rsidRPr="00510CAE">
              <w:rPr>
                <w:rFonts w:eastAsia="MS Mincho"/>
                <w:i/>
                <w:lang w:eastAsia="ja-JP"/>
              </w:rPr>
              <w:t xml:space="preserve"> efficacy an</w:t>
            </w:r>
            <w:r>
              <w:rPr>
                <w:rFonts w:eastAsia="MS Mincho"/>
                <w:i/>
                <w:lang w:eastAsia="ja-JP"/>
              </w:rPr>
              <w:t xml:space="preserve">d safety from ongoing clinical </w:t>
            </w:r>
            <w:r w:rsidRPr="00510CAE">
              <w:rPr>
                <w:rFonts w:eastAsia="MS Mincho"/>
                <w:i/>
                <w:lang w:eastAsia="ja-JP"/>
              </w:rPr>
              <w:t>trials and post-market assessment</w:t>
            </w:r>
            <w:r>
              <w:rPr>
                <w:rFonts w:eastAsia="MS Mincho"/>
                <w:i/>
                <w:lang w:eastAsia="ja-JP"/>
              </w:rPr>
              <w:t>.</w:t>
            </w:r>
          </w:p>
          <w:p w14:paraId="6BCF82E0" w14:textId="74B1DB64" w:rsidR="00A77751" w:rsidRPr="0015659E" w:rsidRDefault="00A77751" w:rsidP="00510CAE">
            <w:pPr>
              <w:rPr>
                <w:rFonts w:eastAsia="MS Mincho"/>
                <w:vertAlign w:val="superscript"/>
                <w:lang w:eastAsia="ja-JP"/>
              </w:rPr>
            </w:pPr>
            <w:r>
              <w:rPr>
                <w:rFonts w:eastAsia="MS Mincho"/>
                <w:lang w:eastAsia="ja-JP"/>
              </w:rPr>
              <w:t xml:space="preserve">Note, this submission is </w:t>
            </w:r>
            <w:r w:rsidR="0015659E">
              <w:rPr>
                <w:rFonts w:eastAsia="MS Mincho"/>
                <w:lang w:eastAsia="ja-JP"/>
              </w:rPr>
              <w:t xml:space="preserve">extension of indications </w:t>
            </w:r>
            <w:r>
              <w:rPr>
                <w:rFonts w:eastAsia="MS Mincho"/>
                <w:lang w:eastAsia="ja-JP"/>
              </w:rPr>
              <w:t>based on widening the patient population from individuals aged 12 years and older to include individuals from 5 years and older. Earlier submissions for the 12 to 15 years of age group</w:t>
            </w:r>
            <w:r w:rsidR="0015659E">
              <w:rPr>
                <w:rFonts w:eastAsia="MS Mincho"/>
                <w:lang w:eastAsia="ja-JP"/>
              </w:rPr>
              <w:t>;</w:t>
            </w:r>
            <w:r>
              <w:rPr>
                <w:rFonts w:eastAsia="MS Mincho"/>
                <w:lang w:eastAsia="ja-JP"/>
              </w:rPr>
              <w:t xml:space="preserve"> and </w:t>
            </w:r>
            <w:r w:rsidR="0015659E">
              <w:rPr>
                <w:rFonts w:eastAsia="MS Mincho"/>
                <w:lang w:eastAsia="ja-JP"/>
              </w:rPr>
              <w:t xml:space="preserve">in </w:t>
            </w:r>
            <w:r>
              <w:rPr>
                <w:rFonts w:eastAsia="MS Mincho"/>
                <w:lang w:eastAsia="ja-JP"/>
              </w:rPr>
              <w:t xml:space="preserve">individuals aged 16 years and older are covered in their respective </w:t>
            </w:r>
            <w:proofErr w:type="spellStart"/>
            <w:r>
              <w:rPr>
                <w:rFonts w:eastAsia="MS Mincho"/>
                <w:lang w:eastAsia="ja-JP"/>
              </w:rPr>
              <w:t>AusPARs</w:t>
            </w:r>
            <w:proofErr w:type="spellEnd"/>
            <w:r>
              <w:rPr>
                <w:rFonts w:eastAsia="MS Mincho"/>
                <w:lang w:eastAsia="ja-JP"/>
              </w:rPr>
              <w:t>.</w:t>
            </w:r>
            <w:r w:rsidR="0015659E">
              <w:rPr>
                <w:rStyle w:val="FootnoteReference"/>
                <w:rFonts w:eastAsia="MS Mincho"/>
                <w:lang w:eastAsia="ja-JP"/>
              </w:rPr>
              <w:footnoteReference w:id="4"/>
            </w:r>
            <w:r w:rsidR="0015659E">
              <w:rPr>
                <w:rFonts w:eastAsia="MS Mincho"/>
                <w:vertAlign w:val="superscript"/>
                <w:lang w:eastAsia="ja-JP"/>
              </w:rPr>
              <w:t>,</w:t>
            </w:r>
            <w:r w:rsidR="0015659E">
              <w:rPr>
                <w:rStyle w:val="FootnoteReference"/>
                <w:rFonts w:eastAsia="MS Mincho"/>
                <w:lang w:eastAsia="ja-JP"/>
              </w:rPr>
              <w:footnoteReference w:id="5"/>
            </w:r>
          </w:p>
        </w:tc>
      </w:tr>
      <w:tr w:rsidR="008E7846" w:rsidRPr="00487162" w14:paraId="74B14C17" w14:textId="77777777" w:rsidTr="00BF1190">
        <w:tc>
          <w:tcPr>
            <w:tcW w:w="2907" w:type="dxa"/>
          </w:tcPr>
          <w:p w14:paraId="3ABFE6FF" w14:textId="672D5321" w:rsidR="008E7846" w:rsidRPr="00487162" w:rsidRDefault="009426DE" w:rsidP="00E45619">
            <w:pPr>
              <w:rPr>
                <w:i/>
              </w:rPr>
            </w:pPr>
            <w:r>
              <w:rPr>
                <w:i/>
              </w:rPr>
              <w:lastRenderedPageBreak/>
              <w:t>Route</w:t>
            </w:r>
            <w:r w:rsidR="008E7846" w:rsidRPr="00487162">
              <w:rPr>
                <w:i/>
              </w:rPr>
              <w:t xml:space="preserve"> of administration:</w:t>
            </w:r>
          </w:p>
        </w:tc>
        <w:tc>
          <w:tcPr>
            <w:tcW w:w="6307" w:type="dxa"/>
          </w:tcPr>
          <w:p w14:paraId="6F0D84EC" w14:textId="2A9B81D2" w:rsidR="008E7846" w:rsidRPr="00487162" w:rsidRDefault="009426DE" w:rsidP="00E45619">
            <w:r>
              <w:t>Intramuscular injection</w:t>
            </w:r>
          </w:p>
        </w:tc>
      </w:tr>
      <w:tr w:rsidR="008E7846" w:rsidRPr="00487162" w14:paraId="5FA0DEF2" w14:textId="77777777" w:rsidTr="00BF1190">
        <w:tc>
          <w:tcPr>
            <w:tcW w:w="2907" w:type="dxa"/>
          </w:tcPr>
          <w:p w14:paraId="50C10005" w14:textId="77777777" w:rsidR="008E7846" w:rsidRPr="00487162" w:rsidRDefault="008E7846" w:rsidP="00E45619">
            <w:pPr>
              <w:rPr>
                <w:i/>
              </w:rPr>
            </w:pPr>
            <w:r w:rsidRPr="00487162">
              <w:rPr>
                <w:i/>
              </w:rPr>
              <w:t>Dosage:</w:t>
            </w:r>
          </w:p>
        </w:tc>
        <w:tc>
          <w:tcPr>
            <w:tcW w:w="6307" w:type="dxa"/>
          </w:tcPr>
          <w:p w14:paraId="1517851D" w14:textId="77777777" w:rsidR="00AE58A5" w:rsidRPr="00AE58A5" w:rsidRDefault="00AE58A5" w:rsidP="00AB64A5">
            <w:pPr>
              <w:rPr>
                <w:b/>
                <w:i/>
              </w:rPr>
            </w:pPr>
            <w:r w:rsidRPr="00AE58A5">
              <w:rPr>
                <w:b/>
                <w:i/>
              </w:rPr>
              <w:t>Individuals 12 years of age and older</w:t>
            </w:r>
          </w:p>
          <w:p w14:paraId="25DC2E56" w14:textId="700CF0FC" w:rsidR="00AE58A5" w:rsidRDefault="00AE58A5" w:rsidP="00AB64A5">
            <w:proofErr w:type="spellStart"/>
            <w:r>
              <w:t>Comirnaty</w:t>
            </w:r>
            <w:proofErr w:type="spellEnd"/>
            <w:r>
              <w:t xml:space="preserve"> Ready </w:t>
            </w:r>
            <w:proofErr w:type="gramStart"/>
            <w:r>
              <w:t>To</w:t>
            </w:r>
            <w:proofErr w:type="gramEnd"/>
            <w:r>
              <w:t xml:space="preserve"> Use Multidose (For Age 12 Years and Above, Do Not Dilute) is administered intramuscularly as a primary course of 2 doses (30 micrograms/0.3 mL) at least 21 days apart. .A booster dose (third dose) of </w:t>
            </w:r>
            <w:proofErr w:type="spellStart"/>
            <w:r>
              <w:t>Comirnaty</w:t>
            </w:r>
            <w:proofErr w:type="spellEnd"/>
            <w:r>
              <w:t xml:space="preserve"> Ready To Use Multidose (For Age 12 Years and Above, Do Not Dilute) may be administered intramuscularly at least 6 months after the completion of a COVID-19 vaccine primary series in individuals 18 years of age and older. The decision when and for whom to implement a booster dose (third dose) of </w:t>
            </w:r>
            <w:proofErr w:type="spellStart"/>
            <w:r>
              <w:t>Comirnaty</w:t>
            </w:r>
            <w:proofErr w:type="spellEnd"/>
            <w:r>
              <w:t xml:space="preserve"> Ready To Use Multidose (For Age 12 Years and Above, Do Not Dilute) should be made based on available vaccine safety and effectiveness data (see Sections 4.4 Special warnings and precautions for use and 5.1 Pharmacodynamic properties</w:t>
            </w:r>
            <w:r w:rsidR="00735AB8">
              <w:t xml:space="preserve"> of the Product Information</w:t>
            </w:r>
            <w:r>
              <w:t>), in accordance with official recommendations.</w:t>
            </w:r>
          </w:p>
          <w:p w14:paraId="1224EC99" w14:textId="1D325E00" w:rsidR="00AE58A5" w:rsidRDefault="00AE58A5" w:rsidP="00AB64A5">
            <w:r>
              <w:t xml:space="preserve">Doses of </w:t>
            </w:r>
            <w:proofErr w:type="spellStart"/>
            <w:r>
              <w:t>Comirnaty</w:t>
            </w:r>
            <w:proofErr w:type="spellEnd"/>
            <w:r>
              <w:t xml:space="preserve"> (</w:t>
            </w:r>
            <w:proofErr w:type="spellStart"/>
            <w:r>
              <w:t>tozinameran</w:t>
            </w:r>
            <w:proofErr w:type="spellEnd"/>
            <w:r>
              <w:t xml:space="preserve">) COVID-19 Vaccine </w:t>
            </w:r>
            <w:r w:rsidR="00735AB8">
              <w:t>(</w:t>
            </w:r>
            <w:r>
              <w:t>Tris/Sucrose Presentation</w:t>
            </w:r>
            <w:r w:rsidR="00735AB8">
              <w:t xml:space="preserve">; </w:t>
            </w:r>
            <w:r>
              <w:t xml:space="preserve">30 micrograms/dose) and </w:t>
            </w:r>
            <w:proofErr w:type="spellStart"/>
            <w:r>
              <w:t>Comirnaty</w:t>
            </w:r>
            <w:proofErr w:type="spellEnd"/>
            <w:r>
              <w:t xml:space="preserve"> (</w:t>
            </w:r>
            <w:proofErr w:type="spellStart"/>
            <w:r>
              <w:t>tozinameran</w:t>
            </w:r>
            <w:proofErr w:type="spellEnd"/>
            <w:r>
              <w:t xml:space="preserve">) COVID-19 Vaccine </w:t>
            </w:r>
            <w:r w:rsidR="00735AB8">
              <w:t>(</w:t>
            </w:r>
            <w:r>
              <w:t>PBS/Sucrose Presentation</w:t>
            </w:r>
            <w:r w:rsidR="00735AB8">
              <w:t xml:space="preserve">; </w:t>
            </w:r>
            <w:r>
              <w:t xml:space="preserve">30 micrograms/dose) are considered interchangeable. There are limited data on the interchangeability of </w:t>
            </w:r>
            <w:proofErr w:type="spellStart"/>
            <w:r>
              <w:t>Comirnaty</w:t>
            </w:r>
            <w:proofErr w:type="spellEnd"/>
            <w:r>
              <w:t xml:space="preserve"> with other COVID-19 vaccines to complete the primary vaccination course or the booster dose (third dose). Individuals who have received 1 dose of </w:t>
            </w:r>
            <w:proofErr w:type="spellStart"/>
            <w:r w:rsidR="00C962C1">
              <w:t>Comirnaty</w:t>
            </w:r>
            <w:proofErr w:type="spellEnd"/>
            <w:r>
              <w:t xml:space="preserve"> should preferably receive a second dose of </w:t>
            </w:r>
            <w:proofErr w:type="spellStart"/>
            <w:r w:rsidR="00C962C1">
              <w:t>Comirnaty</w:t>
            </w:r>
            <w:proofErr w:type="spellEnd"/>
            <w:r>
              <w:t xml:space="preserve"> to complete the primary vaccination course and for any additional doses.</w:t>
            </w:r>
          </w:p>
          <w:p w14:paraId="694474BC" w14:textId="0BF0D04B" w:rsidR="00735AB8" w:rsidRDefault="00735AB8" w:rsidP="00AB64A5">
            <w:pPr>
              <w:rPr>
                <w:b/>
                <w:i/>
              </w:rPr>
            </w:pPr>
          </w:p>
          <w:p w14:paraId="50CAAAB3" w14:textId="77777777" w:rsidR="00735AB8" w:rsidRDefault="00735AB8" w:rsidP="00AB64A5">
            <w:pPr>
              <w:rPr>
                <w:b/>
                <w:i/>
              </w:rPr>
            </w:pPr>
          </w:p>
          <w:p w14:paraId="5933C8CB" w14:textId="77777777" w:rsidR="008521E6" w:rsidRDefault="00451F34" w:rsidP="00AB64A5">
            <w:pPr>
              <w:rPr>
                <w:b/>
                <w:i/>
              </w:rPr>
            </w:pPr>
            <w:r w:rsidRPr="00451F34">
              <w:rPr>
                <w:b/>
                <w:i/>
              </w:rPr>
              <w:lastRenderedPageBreak/>
              <w:t>Individuals 5 to under 12 years of age</w:t>
            </w:r>
          </w:p>
          <w:p w14:paraId="75F027E6" w14:textId="1095ADA8" w:rsidR="00451F34" w:rsidRPr="008521E6" w:rsidRDefault="00C962C1" w:rsidP="00AB64A5">
            <w:pPr>
              <w:rPr>
                <w:b/>
                <w:i/>
              </w:rPr>
            </w:pPr>
            <w:proofErr w:type="spellStart"/>
            <w:r>
              <w:t>Comirnaty</w:t>
            </w:r>
            <w:proofErr w:type="spellEnd"/>
            <w:r w:rsidR="00451F34">
              <w:t xml:space="preserve"> Dilute </w:t>
            </w:r>
            <w:proofErr w:type="gramStart"/>
            <w:r w:rsidR="00451F34">
              <w:t>To</w:t>
            </w:r>
            <w:proofErr w:type="gramEnd"/>
            <w:r w:rsidR="00451F34">
              <w:t xml:space="preserve"> Use Multidose (for a</w:t>
            </w:r>
            <w:r>
              <w:t>ge 5 years to under 12 </w:t>
            </w:r>
            <w:r w:rsidR="00451F34">
              <w:t>years of age) is administered intramuscularly as a primary course of 2 doses (10 micrograms/0.2 mL each) at least 21 days apart.</w:t>
            </w:r>
          </w:p>
          <w:p w14:paraId="5BF5C2A7" w14:textId="77777777" w:rsidR="00451F34" w:rsidRPr="00451F34" w:rsidRDefault="00451F34" w:rsidP="00AB64A5">
            <w:pPr>
              <w:rPr>
                <w:b/>
                <w:i/>
              </w:rPr>
            </w:pPr>
            <w:r w:rsidRPr="00451F34">
              <w:rPr>
                <w:b/>
                <w:i/>
              </w:rPr>
              <w:t>Severely immunocompromised aged 12 years and older</w:t>
            </w:r>
          </w:p>
          <w:p w14:paraId="6A96C905" w14:textId="304CF0DB" w:rsidR="00C962C1" w:rsidRDefault="00451F34" w:rsidP="00AB64A5">
            <w:r>
              <w:t>In accordance with official recommendations, a third dose may be given at least 28 days after the second dose to individuals who are severely immunocompromised (see Section 4.4 Special</w:t>
            </w:r>
            <w:r w:rsidR="00735AB8">
              <w:t> </w:t>
            </w:r>
            <w:r>
              <w:t>war</w:t>
            </w:r>
            <w:r w:rsidR="00C962C1">
              <w:t>nings and precautions for use</w:t>
            </w:r>
            <w:r w:rsidR="00735AB8">
              <w:t xml:space="preserve"> of the Product Information</w:t>
            </w:r>
            <w:r w:rsidR="00C962C1">
              <w:t>).</w:t>
            </w:r>
          </w:p>
          <w:p w14:paraId="7213F706" w14:textId="77777777" w:rsidR="00C962C1" w:rsidRPr="00C962C1" w:rsidRDefault="00451F34" w:rsidP="00AB64A5">
            <w:pPr>
              <w:rPr>
                <w:b/>
                <w:i/>
              </w:rPr>
            </w:pPr>
            <w:r w:rsidRPr="00C962C1">
              <w:rPr>
                <w:b/>
                <w:i/>
              </w:rPr>
              <w:t xml:space="preserve">Elderly </w:t>
            </w:r>
            <w:r w:rsidR="00C962C1" w:rsidRPr="00C962C1">
              <w:rPr>
                <w:b/>
                <w:i/>
              </w:rPr>
              <w:t>population</w:t>
            </w:r>
          </w:p>
          <w:p w14:paraId="4326893A" w14:textId="63C2FB56" w:rsidR="00451F34" w:rsidRDefault="00451F34" w:rsidP="00AB64A5">
            <w:r>
              <w:t>No dosage adjustment is required in elderly individuals</w:t>
            </w:r>
            <w:r w:rsidR="00C962C1">
              <w:t xml:space="preserve"> aged 65 years or older.</w:t>
            </w:r>
          </w:p>
          <w:p w14:paraId="357BA936" w14:textId="77777777" w:rsidR="00C962C1" w:rsidRPr="00C962C1" w:rsidRDefault="00C962C1" w:rsidP="00AB64A5">
            <w:pPr>
              <w:rPr>
                <w:b/>
                <w:i/>
              </w:rPr>
            </w:pPr>
            <w:r w:rsidRPr="00C962C1">
              <w:rPr>
                <w:b/>
                <w:i/>
              </w:rPr>
              <w:t>Method of administration</w:t>
            </w:r>
          </w:p>
          <w:p w14:paraId="2FF9C119" w14:textId="045EC890" w:rsidR="00C962C1" w:rsidRDefault="00C962C1" w:rsidP="00AB64A5">
            <w:proofErr w:type="spellStart"/>
            <w:r>
              <w:t>Comirnaty</w:t>
            </w:r>
            <w:proofErr w:type="spellEnd"/>
            <w:r>
              <w:t xml:space="preserve"> should be administered intramuscularly. The preferred site of administration is the deltoid muscle of the upper arm. Do not inject </w:t>
            </w:r>
            <w:proofErr w:type="spellStart"/>
            <w:r>
              <w:t>Comirnaty</w:t>
            </w:r>
            <w:proofErr w:type="spellEnd"/>
            <w:r>
              <w:t xml:space="preserve"> intravascularly, subcutaneously or intradermally. </w:t>
            </w:r>
            <w:proofErr w:type="spellStart"/>
            <w:r>
              <w:t>Comirnaty</w:t>
            </w:r>
            <w:proofErr w:type="spellEnd"/>
            <w:r>
              <w:t xml:space="preserve"> should not be mixed in the same syringe with any other vaccines or medicinal products. For precautions to be taken before administering </w:t>
            </w:r>
            <w:proofErr w:type="spellStart"/>
            <w:r>
              <w:t>Comirnaty</w:t>
            </w:r>
            <w:proofErr w:type="spellEnd"/>
            <w:r>
              <w:t>, see Section 4.4 Special warnings and precautions for use</w:t>
            </w:r>
            <w:r w:rsidR="00735AB8">
              <w:t xml:space="preserve"> of the Product Information</w:t>
            </w:r>
            <w:r>
              <w:t xml:space="preserve">. </w:t>
            </w:r>
            <w:proofErr w:type="spellStart"/>
            <w:r>
              <w:t>Comirnaty</w:t>
            </w:r>
            <w:proofErr w:type="spellEnd"/>
            <w:r>
              <w:t xml:space="preserve"> Ready To Use Multidose (For Age 12 Years and Above, Do Not Dilute) for individuals 12 years of age and older Vials of </w:t>
            </w:r>
            <w:proofErr w:type="spellStart"/>
            <w:r>
              <w:t>Comirnaty</w:t>
            </w:r>
            <w:proofErr w:type="spellEnd"/>
            <w:r>
              <w:t xml:space="preserve"> Ready To Use Multidose (For Age 12 Years and Above, Do Not Dilute) have a grey cap, contain six doses of 0.3 mL of vaccine and do not require dilution. </w:t>
            </w:r>
            <w:proofErr w:type="gramStart"/>
            <w:r>
              <w:t>In order to</w:t>
            </w:r>
            <w:proofErr w:type="gramEnd"/>
            <w:r>
              <w:t xml:space="preserve"> extract six doses from a single vial, low dead-volume syringes and/or needles should be used. The low dead-volume syringe and needle combination should have a dead volume of no more than 35 microlitres. If standard syringes and needles are used, there may not be sufficient volume to extract a sixth dose from a single vial.</w:t>
            </w:r>
          </w:p>
          <w:p w14:paraId="700F8042" w14:textId="76582E6B" w:rsidR="00C962C1" w:rsidRDefault="00C962C1" w:rsidP="00AB64A5">
            <w:r>
              <w:t>Irrespective of the type of syringe and needle:</w:t>
            </w:r>
          </w:p>
          <w:p w14:paraId="60574C0D" w14:textId="77777777" w:rsidR="00C962C1" w:rsidRDefault="00C962C1" w:rsidP="00C962C1">
            <w:pPr>
              <w:pStyle w:val="ListBullet"/>
            </w:pPr>
            <w:r>
              <w:t>Each dose must contain 0.3 mL of vaccine.</w:t>
            </w:r>
          </w:p>
          <w:p w14:paraId="602528A3" w14:textId="77777777" w:rsidR="00C962C1" w:rsidRDefault="00C962C1" w:rsidP="00C962C1">
            <w:pPr>
              <w:pStyle w:val="ListBullet"/>
            </w:pPr>
            <w:r>
              <w:t>If the amount of vaccine remaining in the vial cannot provide a full dose of 0.3 mL, discard the vial and any excess volume.</w:t>
            </w:r>
          </w:p>
          <w:p w14:paraId="3C0BD13C" w14:textId="77777777" w:rsidR="00C962C1" w:rsidRDefault="00C962C1" w:rsidP="00C962C1">
            <w:pPr>
              <w:pStyle w:val="ListBullet"/>
            </w:pPr>
            <w:r>
              <w:t>Do not pool excess vaccine from multiple vials.</w:t>
            </w:r>
          </w:p>
          <w:p w14:paraId="4AF2B24E" w14:textId="5FF6BE57" w:rsidR="00C962C1" w:rsidRDefault="00C962C1" w:rsidP="00C962C1">
            <w:pPr>
              <w:pStyle w:val="ListBullet"/>
              <w:rPr>
                <w:b/>
                <w:i/>
              </w:rPr>
            </w:pPr>
            <w:r>
              <w:t xml:space="preserve">For instructions on the handling, thawing and dose preparation of the vaccine before administration see </w:t>
            </w:r>
            <w:r w:rsidR="00735AB8">
              <w:t>Section: </w:t>
            </w:r>
            <w:r>
              <w:t>Handling instructions</w:t>
            </w:r>
            <w:r w:rsidR="00735AB8">
              <w:t xml:space="preserve"> of the Product Information</w:t>
            </w:r>
            <w:r>
              <w:t>.</w:t>
            </w:r>
          </w:p>
          <w:p w14:paraId="5B802F3B" w14:textId="7E9F8FA1" w:rsidR="00460036" w:rsidRPr="00487162" w:rsidRDefault="00460036" w:rsidP="00AB64A5">
            <w:r w:rsidRPr="00460036">
              <w:t>For further information regarding dosage, refer to the Product Information.</w:t>
            </w:r>
          </w:p>
        </w:tc>
      </w:tr>
      <w:tr w:rsidR="00460036" w:rsidRPr="00487162" w14:paraId="77C4C3A9" w14:textId="77777777" w:rsidTr="00BF1190">
        <w:tc>
          <w:tcPr>
            <w:tcW w:w="2907" w:type="dxa"/>
          </w:tcPr>
          <w:p w14:paraId="3995D510" w14:textId="13846D8A" w:rsidR="00460036" w:rsidRPr="00487162" w:rsidRDefault="00735AB8" w:rsidP="00E45619">
            <w:pPr>
              <w:rPr>
                <w:i/>
              </w:rPr>
            </w:pPr>
            <w:r>
              <w:rPr>
                <w:i/>
              </w:rPr>
              <w:lastRenderedPageBreak/>
              <w:t xml:space="preserve"> </w:t>
            </w:r>
            <w:r w:rsidR="00C962C1">
              <w:rPr>
                <w:i/>
              </w:rPr>
              <w:t> </w:t>
            </w:r>
            <w:r w:rsidR="00460036" w:rsidRPr="00460036">
              <w:rPr>
                <w:i/>
              </w:rPr>
              <w:t>Pregnancy category</w:t>
            </w:r>
            <w:r w:rsidR="00460036">
              <w:rPr>
                <w:i/>
              </w:rPr>
              <w:t>:</w:t>
            </w:r>
          </w:p>
        </w:tc>
        <w:tc>
          <w:tcPr>
            <w:tcW w:w="6307" w:type="dxa"/>
          </w:tcPr>
          <w:p w14:paraId="441B96E9" w14:textId="24450786" w:rsidR="00460036" w:rsidRDefault="009426DE" w:rsidP="00460036">
            <w:pPr>
              <w:pStyle w:val="Instructions"/>
              <w:rPr>
                <w:i w:val="0"/>
                <w:color w:val="auto"/>
              </w:rPr>
            </w:pPr>
            <w:r>
              <w:rPr>
                <w:i w:val="0"/>
                <w:color w:val="auto"/>
              </w:rPr>
              <w:t>B1</w:t>
            </w:r>
          </w:p>
          <w:p w14:paraId="073E679D" w14:textId="55A6EEDA" w:rsidR="009426DE" w:rsidRPr="009426DE" w:rsidRDefault="009426DE" w:rsidP="009426DE">
            <w:r>
              <w:t xml:space="preserve">Drugs which have been taken by only a limited number of pregnant women and women of childbearing age, without an increase in the frequency of malformation or other direct or </w:t>
            </w:r>
            <w:r>
              <w:lastRenderedPageBreak/>
              <w:t xml:space="preserve">indirect harmful effects on the human </w:t>
            </w:r>
            <w:proofErr w:type="spellStart"/>
            <w:r>
              <w:t>fetus</w:t>
            </w:r>
            <w:proofErr w:type="spellEnd"/>
            <w:r>
              <w:t xml:space="preserve"> having been observed. Studies in animals have not shown evidence of an increased occurrence of </w:t>
            </w:r>
            <w:proofErr w:type="spellStart"/>
            <w:r>
              <w:t>fetal</w:t>
            </w:r>
            <w:proofErr w:type="spellEnd"/>
            <w:r>
              <w:t xml:space="preserve"> damage</w:t>
            </w:r>
          </w:p>
          <w:p w14:paraId="0B3B29F1" w14:textId="11F04DD4"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9426DE">
              <w:t>ces in your State or Territory.</w:t>
            </w:r>
          </w:p>
        </w:tc>
      </w:tr>
    </w:tbl>
    <w:p w14:paraId="529324AD" w14:textId="77777777" w:rsidR="008E7846" w:rsidRDefault="008E7846" w:rsidP="008E7846">
      <w:pPr>
        <w:pStyle w:val="Heading3"/>
      </w:pPr>
      <w:bookmarkStart w:id="14" w:name="_Toc247691503"/>
      <w:bookmarkStart w:id="15" w:name="_Toc314842484"/>
      <w:bookmarkStart w:id="16" w:name="_Toc90280428"/>
      <w:r>
        <w:lastRenderedPageBreak/>
        <w:t>Product background</w:t>
      </w:r>
      <w:bookmarkEnd w:id="14"/>
      <w:bookmarkEnd w:id="15"/>
      <w:bookmarkEnd w:id="16"/>
    </w:p>
    <w:p w14:paraId="71F2EB78" w14:textId="77777777" w:rsidR="008E7846" w:rsidRDefault="00250271" w:rsidP="00940A89">
      <w:r w:rsidRPr="00250271">
        <w:t xml:space="preserve">This </w:t>
      </w:r>
      <w:proofErr w:type="spellStart"/>
      <w:r w:rsidRPr="00250271">
        <w:t>AusPA</w:t>
      </w:r>
      <w:r w:rsidR="003A23B5">
        <w:t>R</w:t>
      </w:r>
      <w:proofErr w:type="spellEnd"/>
      <w:r w:rsidR="003A23B5">
        <w:t xml:space="preserve"> describes the application by Pfizer Australia Pty Ltd</w:t>
      </w:r>
      <w:r w:rsidRPr="00250271">
        <w:t xml:space="preserve"> (the sponsor) to register </w:t>
      </w:r>
      <w:proofErr w:type="spellStart"/>
      <w:r w:rsidR="003A23B5">
        <w:t>Comirnaty</w:t>
      </w:r>
      <w:proofErr w:type="spellEnd"/>
      <w:r w:rsidR="003A23B5">
        <w:t xml:space="preserve"> (</w:t>
      </w:r>
      <w:proofErr w:type="spellStart"/>
      <w:r w:rsidR="003A23B5">
        <w:t>tozinameran</w:t>
      </w:r>
      <w:proofErr w:type="spellEnd"/>
      <w:r w:rsidR="003A23B5">
        <w:t xml:space="preserve">) COVID-19 (mRNA) vaccine </w:t>
      </w:r>
      <w:r w:rsidR="003351C6">
        <w:t xml:space="preserve">30 </w:t>
      </w:r>
      <w:proofErr w:type="spellStart"/>
      <w:r w:rsidR="003351C6">
        <w:t>μg</w:t>
      </w:r>
      <w:proofErr w:type="spellEnd"/>
      <w:r w:rsidR="003351C6">
        <w:t>/0.3 mL multidose vial; and 10 </w:t>
      </w:r>
      <w:proofErr w:type="spellStart"/>
      <w:r w:rsidR="003A23B5">
        <w:t>μg</w:t>
      </w:r>
      <w:proofErr w:type="spellEnd"/>
      <w:r w:rsidR="003A23B5">
        <w:t>/0.2 mL multidose vial</w:t>
      </w:r>
      <w:r w:rsidR="003351C6">
        <w:t xml:space="preserve">, </w:t>
      </w:r>
      <w:r w:rsidRPr="00250271">
        <w:t>for the following proposed extension of indications</w:t>
      </w:r>
      <w:r w:rsidR="00CF5DAD">
        <w:t>:</w:t>
      </w:r>
    </w:p>
    <w:p w14:paraId="0F4046A5" w14:textId="77777777" w:rsidR="003A23B5" w:rsidRPr="003A23B5" w:rsidRDefault="003A23B5" w:rsidP="003A23B5">
      <w:pPr>
        <w:ind w:left="720"/>
        <w:rPr>
          <w:i/>
        </w:rPr>
      </w:pPr>
      <w:r w:rsidRPr="003A23B5">
        <w:rPr>
          <w:i/>
        </w:rPr>
        <w:t>Active immunisation to prevent coronavirus disease 2019 (COVID-19) caused b</w:t>
      </w:r>
      <w:r>
        <w:rPr>
          <w:i/>
        </w:rPr>
        <w:t>y SARS-CoV-2, in individuals 5 y</w:t>
      </w:r>
      <w:r w:rsidRPr="003A23B5">
        <w:rPr>
          <w:i/>
        </w:rPr>
        <w:t xml:space="preserve">ears </w:t>
      </w:r>
      <w:r>
        <w:rPr>
          <w:i/>
        </w:rPr>
        <w:t xml:space="preserve">of </w:t>
      </w:r>
      <w:r w:rsidRPr="003A23B5">
        <w:rPr>
          <w:i/>
        </w:rPr>
        <w:t>age and older.</w:t>
      </w:r>
    </w:p>
    <w:p w14:paraId="2FE2D8B9" w14:textId="77777777" w:rsidR="003A23B5" w:rsidRDefault="003A23B5" w:rsidP="003A23B5">
      <w:pPr>
        <w:ind w:firstLine="720"/>
      </w:pPr>
      <w:r w:rsidRPr="003A23B5">
        <w:rPr>
          <w:i/>
        </w:rPr>
        <w:t>The use of this vaccine should be in accordance with official recommendations</w:t>
      </w:r>
      <w:r w:rsidRPr="003A23B5">
        <w:t>.</w:t>
      </w:r>
    </w:p>
    <w:p w14:paraId="2CA0EE33" w14:textId="77777777" w:rsidR="003351C6" w:rsidRDefault="003351C6" w:rsidP="003351C6">
      <w:r>
        <w:t xml:space="preserve">This application seeks to replace the current indication by extending the indicated population from </w:t>
      </w:r>
      <w:r w:rsidRPr="003351C6">
        <w:rPr>
          <w:i/>
        </w:rPr>
        <w:t>individuals 12 years of age and older</w:t>
      </w:r>
      <w:r>
        <w:t>, to i</w:t>
      </w:r>
      <w:r w:rsidRPr="003351C6">
        <w:rPr>
          <w:i/>
        </w:rPr>
        <w:t>ndividuals 5 years of age and older</w:t>
      </w:r>
      <w:r>
        <w:t>.</w:t>
      </w:r>
    </w:p>
    <w:p w14:paraId="34DEEED3" w14:textId="77777777" w:rsidR="007D64DC" w:rsidRPr="003351C6" w:rsidRDefault="007D64DC" w:rsidP="007D64DC">
      <w:r>
        <w:t>With this submission, the sponsor has applied for registration of an additional strength (10 </w:t>
      </w:r>
      <w:proofErr w:type="spellStart"/>
      <w:r>
        <w:t>μg</w:t>
      </w:r>
      <w:proofErr w:type="spellEnd"/>
      <w:r>
        <w:t>/0.2 mL multidose vial) presentation, aimed specifically at 5 to under 12 years of age population.</w:t>
      </w:r>
    </w:p>
    <w:p w14:paraId="677CD563" w14:textId="12C0C6A5" w:rsidR="007D64DC" w:rsidRDefault="003351C6" w:rsidP="003351C6">
      <w:r>
        <w:t xml:space="preserve">In addition, the sponsor has applied for a change in the </w:t>
      </w:r>
      <w:proofErr w:type="spellStart"/>
      <w:r>
        <w:t>Comirna</w:t>
      </w:r>
      <w:r w:rsidR="00B16867">
        <w:t>ty</w:t>
      </w:r>
      <w:proofErr w:type="spellEnd"/>
      <w:r w:rsidR="00B16867">
        <w:t xml:space="preserve"> (</w:t>
      </w:r>
      <w:proofErr w:type="spellStart"/>
      <w:r w:rsidR="00B16867">
        <w:t>tozinameran</w:t>
      </w:r>
      <w:proofErr w:type="spellEnd"/>
      <w:r w:rsidR="00B16867">
        <w:t>) COVID</w:t>
      </w:r>
      <w:r w:rsidR="00B16867">
        <w:noBreakHyphen/>
        <w:t xml:space="preserve">19 </w:t>
      </w:r>
      <w:r w:rsidR="00735AB8">
        <w:t>v</w:t>
      </w:r>
      <w:r>
        <w:t xml:space="preserve">accine formulation, </w:t>
      </w:r>
      <w:r w:rsidR="007D64DC">
        <w:t>from a phosphate-buffered saline/sucrose buffered formulation, to a tris-buffered saline/sucrose buffered formulation.</w:t>
      </w:r>
      <w:r w:rsidR="00B16867">
        <w:t xml:space="preserve"> The change concerns the non-active excipients; the active ingredient (</w:t>
      </w:r>
      <w:proofErr w:type="spellStart"/>
      <w:r w:rsidR="00B16867">
        <w:t>tozinameran</w:t>
      </w:r>
      <w:proofErr w:type="spellEnd"/>
      <w:r w:rsidR="00B16867">
        <w:t>) is not changed in any way.</w:t>
      </w:r>
    </w:p>
    <w:p w14:paraId="3B1334C5" w14:textId="77777777" w:rsidR="00D6224A" w:rsidRDefault="003351C6" w:rsidP="003351C6">
      <w:pPr>
        <w:pStyle w:val="Heading4"/>
      </w:pPr>
      <w:r>
        <w:t>Coronavirus 2019 (COVID-19)</w:t>
      </w:r>
    </w:p>
    <w:p w14:paraId="6ADC426E" w14:textId="388A1D14" w:rsidR="00D6224A" w:rsidRDefault="00A14D5C" w:rsidP="00D6224A">
      <w:r>
        <w:t>Coronavirus 2019 (</w:t>
      </w:r>
      <w:r w:rsidR="00D6224A">
        <w:t>COVID-19</w:t>
      </w:r>
      <w:r>
        <w:t>)</w:t>
      </w:r>
      <w:r w:rsidR="00D6224A">
        <w:t xml:space="preserve"> is an infectious disease caused by the novel coronavirus, SARS-CoV-2 (</w:t>
      </w:r>
      <w:r w:rsidR="00D6224A" w:rsidRPr="00D6224A">
        <w:t>severe acute respiratory syndrome coronavirus 2</w:t>
      </w:r>
      <w:r w:rsidR="00D6224A">
        <w:t xml:space="preserve">), that </w:t>
      </w:r>
      <w:r>
        <w:t xml:space="preserve">first </w:t>
      </w:r>
      <w:r w:rsidR="00D6224A">
        <w:t>appeared in late</w:t>
      </w:r>
      <w:r w:rsidR="007D64DC">
        <w:t> </w:t>
      </w:r>
      <w:r w:rsidR="00D6224A">
        <w:t>2019.</w:t>
      </w:r>
      <w:r>
        <w:rPr>
          <w:rStyle w:val="FootnoteReference"/>
        </w:rPr>
        <w:footnoteReference w:id="6"/>
      </w:r>
      <w:r w:rsidR="00D6224A">
        <w:t xml:space="preserve"> </w:t>
      </w:r>
      <w:r>
        <w:t xml:space="preserve">Following its emergence, </w:t>
      </w:r>
      <w:r w:rsidR="00D6224A">
        <w:t xml:space="preserve">SARS-CoV-2 has spread rapidly and globally, causing </w:t>
      </w:r>
      <w:r>
        <w:t xml:space="preserve">high numbers of </w:t>
      </w:r>
      <w:r w:rsidR="00D6224A">
        <w:t>COVID-19</w:t>
      </w:r>
      <w:r>
        <w:t xml:space="preserve"> cases worldwide</w:t>
      </w:r>
      <w:r w:rsidR="00D6224A">
        <w:t>. The World Health Organization (WHO) declared that the outbreak constituted a public health emergency</w:t>
      </w:r>
      <w:r>
        <w:t xml:space="preserve"> of international concern on </w:t>
      </w:r>
      <w:r w:rsidR="00D15B9E">
        <w:t>30 January 2020 and</w:t>
      </w:r>
      <w:r w:rsidR="00D6224A">
        <w:t xml:space="preserve"> declared the outbreak to be a pandemic on 11 March 2020.</w:t>
      </w:r>
      <w:r>
        <w:rPr>
          <w:rStyle w:val="FootnoteReference"/>
        </w:rPr>
        <w:footnoteReference w:id="7"/>
      </w:r>
    </w:p>
    <w:p w14:paraId="1EED6023" w14:textId="7660E3FF" w:rsidR="007F1FB8" w:rsidRPr="00765D5A" w:rsidRDefault="007F1FB8" w:rsidP="007F1FB8">
      <w:r w:rsidRPr="00765D5A">
        <w:t xml:space="preserve">As of </w:t>
      </w:r>
      <w:r w:rsidR="00575C88">
        <w:t>9 December 2021</w:t>
      </w:r>
      <w:r w:rsidRPr="00765D5A">
        <w:t xml:space="preserve">, there have been over </w:t>
      </w:r>
      <w:r w:rsidR="00575C88">
        <w:t>267</w:t>
      </w:r>
      <w:r w:rsidR="00575C88" w:rsidRPr="00765D5A">
        <w:t xml:space="preserve"> </w:t>
      </w:r>
      <w:r w:rsidRPr="00765D5A">
        <w:t xml:space="preserve">million confirmed COVID-19 cases </w:t>
      </w:r>
      <w:r>
        <w:t>globally, and over 5.2</w:t>
      </w:r>
      <w:r w:rsidR="00575C88">
        <w:t>7</w:t>
      </w:r>
      <w:r w:rsidRPr="00765D5A">
        <w:t xml:space="preserve"> million deaths, with over 190</w:t>
      </w:r>
      <w:r w:rsidR="00575C88">
        <w:t> </w:t>
      </w:r>
      <w:r w:rsidRPr="00765D5A">
        <w:t>countries/regions affected.</w:t>
      </w:r>
      <w:r w:rsidRPr="00765D5A">
        <w:rPr>
          <w:rStyle w:val="FootnoteReference"/>
        </w:rPr>
        <w:footnoteReference w:id="8"/>
      </w:r>
      <w:r w:rsidRPr="00765D5A">
        <w:t xml:space="preserve"> In </w:t>
      </w:r>
      <w:r w:rsidRPr="00765D5A">
        <w:lastRenderedPageBreak/>
        <w:t xml:space="preserve">Australia, as of </w:t>
      </w:r>
      <w:r w:rsidR="00575C88">
        <w:t>9 December</w:t>
      </w:r>
      <w:r w:rsidRPr="00765D5A">
        <w:t xml:space="preserve"> 2021, there have been over </w:t>
      </w:r>
      <w:r w:rsidR="00575C88">
        <w:t>223</w:t>
      </w:r>
      <w:r>
        <w:t>,000</w:t>
      </w:r>
      <w:r w:rsidRPr="00765D5A">
        <w:t xml:space="preserve"> confirmed COVID-19 cases and </w:t>
      </w:r>
      <w:r w:rsidR="00575C88">
        <w:t xml:space="preserve">over </w:t>
      </w:r>
      <w:r>
        <w:t>2000</w:t>
      </w:r>
      <w:r w:rsidRPr="00765D5A">
        <w:t xml:space="preserve"> deaths</w:t>
      </w:r>
      <w:r>
        <w:t xml:space="preserve"> due to the disease</w:t>
      </w:r>
      <w:r w:rsidRPr="00765D5A">
        <w:t>.</w:t>
      </w:r>
      <w:r>
        <w:rPr>
          <w:rStyle w:val="FootnoteReference"/>
        </w:rPr>
        <w:footnoteReference w:id="9"/>
      </w:r>
    </w:p>
    <w:p w14:paraId="138DE108" w14:textId="77777777" w:rsidR="00A26B4B" w:rsidRDefault="00A26B4B" w:rsidP="00A26B4B">
      <w:pPr>
        <w:pStyle w:val="Heading4"/>
      </w:pPr>
      <w:r>
        <w:t>COVID-19 in children</w:t>
      </w:r>
    </w:p>
    <w:p w14:paraId="44FE99DE" w14:textId="23D32E7B" w:rsidR="00D6224A" w:rsidRDefault="007F1FB8" w:rsidP="00D6224A">
      <w:r>
        <w:t>COVID-19</w:t>
      </w:r>
      <w:r w:rsidR="00D6224A">
        <w:t xml:space="preserve"> is predominantly a respiratory illness, which can affect other organs.</w:t>
      </w:r>
      <w:r>
        <w:rPr>
          <w:rStyle w:val="FootnoteReference"/>
        </w:rPr>
        <w:footnoteReference w:id="10"/>
      </w:r>
      <w:r w:rsidR="00D6224A">
        <w:t xml:space="preserve"> Children are just as likely as adults to be infected with SARS-CoV-2. Most children are asymptomatic and when symptoms occur, they are usually mild. The common labor</w:t>
      </w:r>
      <w:r w:rsidR="00B16867">
        <w:t>atory findings in hospitalis</w:t>
      </w:r>
      <w:r w:rsidR="00D6224A">
        <w:t xml:space="preserve">ed patient include leukopenia, </w:t>
      </w:r>
      <w:proofErr w:type="spellStart"/>
      <w:r w:rsidR="00A26B4B">
        <w:t>lymphopaenia</w:t>
      </w:r>
      <w:proofErr w:type="spellEnd"/>
      <w:r w:rsidR="00D6224A">
        <w:t xml:space="preserve">, and increased levels of inflammatory markers. Chest X-ray findings are variable and computed tomography scans of the chest may show ground glass opacities </w:t>
      </w:r>
      <w:proofErr w:type="gramStart"/>
      <w:r w:rsidR="00D6224A">
        <w:t>similar to</w:t>
      </w:r>
      <w:proofErr w:type="gramEnd"/>
      <w:r w:rsidR="00D6224A">
        <w:t xml:space="preserve"> adults or non-specific findings. There is limited data in chi</w:t>
      </w:r>
      <w:r w:rsidR="00A26B4B">
        <w:t>ldren on the use of antivirals,</w:t>
      </w:r>
      <w:r w:rsidR="00D6224A">
        <w:t xml:space="preserve"> monoclonal antibodies, and convalescent plasma.</w:t>
      </w:r>
    </w:p>
    <w:p w14:paraId="7661A8B2" w14:textId="77777777" w:rsidR="00D6224A" w:rsidRDefault="00D6224A" w:rsidP="00D6224A">
      <w:r>
        <w:t xml:space="preserve">A new entity associated with COVID-19 called multisystem inflammatory syndrome in children (MIS-C) has emerged. Clinical, laboratory, and epidemiological criteria are the basis for this diagnosis. Management options include </w:t>
      </w:r>
      <w:r w:rsidR="00A26B4B">
        <w:t>intensive care unit (</w:t>
      </w:r>
      <w:r>
        <w:t>ICU</w:t>
      </w:r>
      <w:r w:rsidR="00A26B4B">
        <w:t>)</w:t>
      </w:r>
      <w:r>
        <w:t xml:space="preserve"> admission, steroids, intravenous gamma globulin, aspirin, anakinra, and anticoagulants.</w:t>
      </w:r>
    </w:p>
    <w:p w14:paraId="1B91A6B5" w14:textId="77777777" w:rsidR="00D6224A" w:rsidRDefault="00D6224A" w:rsidP="00D6224A">
      <w:r>
        <w:t>In the absence of highly effective prophylactic or therapeutic medicines, active immunisation through vaccination represents the best means of preventing hospitalisation and deaths at an individual level and controlling the pandemic at a societal level.</w:t>
      </w:r>
    </w:p>
    <w:p w14:paraId="3DB532EA" w14:textId="77777777" w:rsidR="00D6224A" w:rsidRDefault="00D6224A" w:rsidP="00A26B4B">
      <w:pPr>
        <w:pStyle w:val="Heading5"/>
      </w:pPr>
      <w:r>
        <w:t>COVID-19 morbi</w:t>
      </w:r>
      <w:r w:rsidR="00A26B4B">
        <w:t>dity and mortality in children under</w:t>
      </w:r>
      <w:r>
        <w:t xml:space="preserve"> 12 Years </w:t>
      </w:r>
      <w:r w:rsidR="00A26B4B">
        <w:t xml:space="preserve">of </w:t>
      </w:r>
      <w:r>
        <w:t>age</w:t>
      </w:r>
    </w:p>
    <w:p w14:paraId="6B6F0795" w14:textId="77777777" w:rsidR="00D6224A" w:rsidRDefault="00D6224A" w:rsidP="00D6224A">
      <w:r>
        <w:t>An Australian government report of data with COVID-19 disease onset fro</w:t>
      </w:r>
      <w:r w:rsidR="003353C6">
        <w:t>m 1 January </w:t>
      </w:r>
      <w:r w:rsidR="00A26B4B">
        <w:t xml:space="preserve">2021 through to 10 October 2021 </w:t>
      </w:r>
      <w:r>
        <w:t xml:space="preserve">includes </w:t>
      </w:r>
      <w:r w:rsidR="003353C6">
        <w:t xml:space="preserve">the </w:t>
      </w:r>
      <w:r>
        <w:t>rates of severe disease by age group</w:t>
      </w:r>
      <w:r w:rsidR="00A26B4B">
        <w:t xml:space="preserve"> and is reproduced as </w:t>
      </w:r>
      <w:r w:rsidR="008B3DDF">
        <w:rPr>
          <w:color w:val="2B579A"/>
          <w:shd w:val="clear" w:color="auto" w:fill="E6E6E6"/>
        </w:rPr>
        <w:fldChar w:fldCharType="begin"/>
      </w:r>
      <w:r w:rsidR="008B3DDF">
        <w:instrText xml:space="preserve"> REF _Ref88778526 \h </w:instrText>
      </w:r>
      <w:r w:rsidR="008B3DDF">
        <w:rPr>
          <w:color w:val="2B579A"/>
          <w:shd w:val="clear" w:color="auto" w:fill="E6E6E6"/>
        </w:rPr>
      </w:r>
      <w:r w:rsidR="008B3DDF">
        <w:rPr>
          <w:color w:val="2B579A"/>
          <w:shd w:val="clear" w:color="auto" w:fill="E6E6E6"/>
        </w:rPr>
        <w:fldChar w:fldCharType="separate"/>
      </w:r>
      <w:r w:rsidR="008B3DDF">
        <w:t xml:space="preserve">Table </w:t>
      </w:r>
      <w:r w:rsidR="008B3DDF">
        <w:rPr>
          <w:noProof/>
        </w:rPr>
        <w:t>1</w:t>
      </w:r>
      <w:r w:rsidR="008B3DDF">
        <w:rPr>
          <w:color w:val="2B579A"/>
          <w:shd w:val="clear" w:color="auto" w:fill="E6E6E6"/>
        </w:rPr>
        <w:fldChar w:fldCharType="end"/>
      </w:r>
      <w:r w:rsidR="008B3DDF">
        <w:t xml:space="preserve"> </w:t>
      </w:r>
      <w:r w:rsidR="00A26B4B">
        <w:t>below.</w:t>
      </w:r>
    </w:p>
    <w:p w14:paraId="1D82D166" w14:textId="77777777" w:rsidR="00D6224A" w:rsidRDefault="00D6224A" w:rsidP="00D6224A">
      <w:r>
        <w:t>The report notes that not all cases of hospitalisation are related to disease severity ‘as cases may be hospitalised for reasons other than clinical COVID-19 related care’ (</w:t>
      </w:r>
      <w:r w:rsidR="00A26B4B">
        <w:t>for example,</w:t>
      </w:r>
      <w:r>
        <w:t xml:space="preserve"> this includes ‘social admissions’ of children when parents are hospitalised with COVID-19).</w:t>
      </w:r>
    </w:p>
    <w:p w14:paraId="3EA7E9AE" w14:textId="1A8A3216" w:rsidR="008B3DDF" w:rsidRDefault="00575C88" w:rsidP="00D6224A">
      <w:r>
        <w:rPr>
          <w:highlight w:val="yellow"/>
        </w:rPr>
        <w:fldChar w:fldCharType="begin"/>
      </w:r>
      <w:r>
        <w:rPr>
          <w:highlight w:val="yellow"/>
        </w:rPr>
        <w:instrText xml:space="preserve"> REF _Ref90011017 \h </w:instrText>
      </w:r>
      <w:r>
        <w:rPr>
          <w:highlight w:val="yellow"/>
        </w:rPr>
      </w:r>
      <w:r>
        <w:rPr>
          <w:highlight w:val="yellow"/>
        </w:rPr>
        <w:fldChar w:fldCharType="separate"/>
      </w:r>
      <w:r>
        <w:t xml:space="preserve">Table </w:t>
      </w:r>
      <w:r>
        <w:rPr>
          <w:noProof/>
        </w:rPr>
        <w:t>1</w:t>
      </w:r>
      <w:r>
        <w:rPr>
          <w:highlight w:val="yellow"/>
        </w:rPr>
        <w:fldChar w:fldCharType="end"/>
      </w:r>
      <w:r>
        <w:t xml:space="preserve"> covers data up until 10 October 2021</w:t>
      </w:r>
      <w:r w:rsidR="00B16867">
        <w:t>.</w:t>
      </w:r>
    </w:p>
    <w:p w14:paraId="4ABC97D2" w14:textId="77777777" w:rsidR="008B3DDF" w:rsidRDefault="008B3DDF" w:rsidP="008B3DDF">
      <w:pPr>
        <w:pStyle w:val="TableTitle"/>
      </w:pPr>
      <w:bookmarkStart w:id="17" w:name="_Ref88778526"/>
      <w:bookmarkStart w:id="18" w:name="_Ref90011017"/>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w:t>
      </w:r>
      <w:r>
        <w:rPr>
          <w:color w:val="2B579A"/>
          <w:shd w:val="clear" w:color="auto" w:fill="E6E6E6"/>
        </w:rPr>
        <w:fldChar w:fldCharType="end"/>
      </w:r>
      <w:bookmarkEnd w:id="17"/>
      <w:r>
        <w:t xml:space="preserve">: </w:t>
      </w:r>
      <w:r w:rsidRPr="00C846D8">
        <w:t xml:space="preserve">COVID-19 cases </w:t>
      </w:r>
      <w:r w:rsidR="003353C6">
        <w:t xml:space="preserve">in Australia </w:t>
      </w:r>
      <w:r w:rsidRPr="00C846D8">
        <w:t>by age group and hig</w:t>
      </w:r>
      <w:r>
        <w:t>hest level of illness severity (1 January 2021 to</w:t>
      </w:r>
      <w:r w:rsidRPr="00C846D8">
        <w:t xml:space="preserve"> 10 October 2021</w:t>
      </w:r>
      <w:r>
        <w:t>)</w:t>
      </w:r>
      <w:bookmarkEnd w:id="18"/>
    </w:p>
    <w:p w14:paraId="40192470" w14:textId="77777777" w:rsidR="008B3DDF" w:rsidRDefault="008B3DDF" w:rsidP="008B3DDF">
      <w:r w:rsidRPr="00530179">
        <w:rPr>
          <w:noProof/>
          <w:color w:val="2B579A"/>
          <w:shd w:val="clear" w:color="auto" w:fill="E6E6E6"/>
          <w:lang w:val="en-GB" w:eastAsia="en-GB"/>
        </w:rPr>
        <w:drawing>
          <wp:inline distT="0" distB="0" distL="0" distR="0" wp14:anchorId="0A1025BE" wp14:editId="28849A5B">
            <wp:extent cx="5399996" cy="3800901"/>
            <wp:effectExtent l="0" t="0" r="0" b="9525"/>
            <wp:docPr id="98" name="Picture 98" descr="COVID-19 cases by age group and highest level of illness severity (1 January 2021 to 10 October 2021)" title="COVID-19 cases by age group and highest level of illness severity (1 January 2021 to 10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7050"/>
                    <a:stretch/>
                  </pic:blipFill>
                  <pic:spPr bwMode="auto">
                    <a:xfrm>
                      <a:off x="0" y="0"/>
                      <a:ext cx="5400040" cy="3800932"/>
                    </a:xfrm>
                    <a:prstGeom prst="rect">
                      <a:avLst/>
                    </a:prstGeom>
                    <a:ln>
                      <a:noFill/>
                    </a:ln>
                    <a:extLst>
                      <a:ext uri="{53640926-AAD7-44D8-BBD7-CCE9431645EC}">
                        <a14:shadowObscured xmlns:a14="http://schemas.microsoft.com/office/drawing/2010/main"/>
                      </a:ext>
                    </a:extLst>
                  </pic:spPr>
                </pic:pic>
              </a:graphicData>
            </a:graphic>
          </wp:inline>
        </w:drawing>
      </w:r>
    </w:p>
    <w:p w14:paraId="1F97ABAA" w14:textId="77777777" w:rsidR="008B3DDF" w:rsidRDefault="008B3DDF" w:rsidP="008B3DDF">
      <w:pPr>
        <w:pStyle w:val="TableDescription"/>
      </w:pPr>
      <w:r>
        <w:t>a: National Interoperable Notifiable Disease Surveillance S</w:t>
      </w:r>
      <w:r w:rsidRPr="00C846D8">
        <w:t>ystem (NINDSS) project</w:t>
      </w:r>
      <w:r w:rsidR="003353C6">
        <w:t>, extract from 26 </w:t>
      </w:r>
      <w:r>
        <w:t>October 2021. Includes cases notified from 1 January 2021,</w:t>
      </w:r>
      <w:r w:rsidR="003353C6">
        <w:t xml:space="preserve"> with an illness onset up to 10 October </w:t>
      </w:r>
      <w:r>
        <w:t>2021; cases with an illness onset in the last two weeks (11 to 24 October 2021) were excluded to account for the delay between onset and development of severe illness.</w:t>
      </w:r>
    </w:p>
    <w:p w14:paraId="18A15D78" w14:textId="77777777" w:rsidR="008B3DDF" w:rsidRDefault="008B3DDF" w:rsidP="008B3DDF">
      <w:pPr>
        <w:pStyle w:val="TableDescription"/>
      </w:pPr>
      <w:r>
        <w:t xml:space="preserve">b: ‘Not severe’ includes all cases that were not hospitalised, admitted to </w:t>
      </w:r>
      <w:proofErr w:type="gramStart"/>
      <w:r>
        <w:t>ICU</w:t>
      </w:r>
      <w:proofErr w:type="gramEnd"/>
      <w:r>
        <w:t xml:space="preserve"> or died.</w:t>
      </w:r>
    </w:p>
    <w:p w14:paraId="018B8DBA" w14:textId="77777777" w:rsidR="008B3DDF" w:rsidRPr="00C846D8" w:rsidRDefault="008B3DDF" w:rsidP="008B3DDF">
      <w:pPr>
        <w:pStyle w:val="TableDescription"/>
      </w:pPr>
      <w:r w:rsidRPr="00C846D8">
        <w:t xml:space="preserve">Source: Table 6, </w:t>
      </w:r>
      <w:proofErr w:type="spellStart"/>
      <w:r w:rsidRPr="00C846D8">
        <w:t>Commun</w:t>
      </w:r>
      <w:proofErr w:type="spellEnd"/>
      <w:r w:rsidRPr="00C846D8">
        <w:t xml:space="preserve"> Dis </w:t>
      </w:r>
      <w:proofErr w:type="spellStart"/>
      <w:r w:rsidRPr="00C846D8">
        <w:t>Intell</w:t>
      </w:r>
      <w:proofErr w:type="spellEnd"/>
      <w:r w:rsidRPr="00C846D8">
        <w:t xml:space="preserve"> </w:t>
      </w:r>
      <w:r>
        <w:t xml:space="preserve">(2018) 2021;45. Published online 8 November 2021. Available at: </w:t>
      </w:r>
      <w:r w:rsidRPr="00C846D8">
        <w:t>https://doi.org/10.33321/cdi.2021.45.61</w:t>
      </w:r>
    </w:p>
    <w:p w14:paraId="61C8D6D6" w14:textId="77777777" w:rsidR="00D6224A" w:rsidRDefault="003353C6" w:rsidP="00D6224A">
      <w:r>
        <w:t>The p</w:t>
      </w:r>
      <w:r w:rsidR="00D6224A">
        <w:t xml:space="preserve">roportions and rates of potential markers of disease severity comparing children </w:t>
      </w:r>
      <w:r w:rsidR="00A26B4B">
        <w:t>aged between 5 and 11 years with those aged</w:t>
      </w:r>
      <w:r w:rsidR="00D6224A">
        <w:t xml:space="preserve"> 12 years </w:t>
      </w:r>
      <w:r w:rsidR="00A26B4B">
        <w:t xml:space="preserve">or more (for whom </w:t>
      </w:r>
      <w:proofErr w:type="spellStart"/>
      <w:r w:rsidR="00A26B4B">
        <w:t>Comirnaty</w:t>
      </w:r>
      <w:proofErr w:type="spellEnd"/>
      <w:r w:rsidR="00D6224A">
        <w:t xml:space="preserve"> is currently provisionally registered in</w:t>
      </w:r>
      <w:r w:rsidR="00A26B4B">
        <w:t xml:space="preserve"> Australia) </w:t>
      </w:r>
      <w:r>
        <w:t xml:space="preserve">up to 11 October 2021, are highlighted in </w:t>
      </w:r>
      <w:r>
        <w:rPr>
          <w:color w:val="2B579A"/>
          <w:shd w:val="clear" w:color="auto" w:fill="E6E6E6"/>
        </w:rPr>
        <w:fldChar w:fldCharType="begin"/>
      </w:r>
      <w:r>
        <w:instrText xml:space="preserve"> REF _Ref89234972 \h </w:instrText>
      </w:r>
      <w:r>
        <w:rPr>
          <w:color w:val="2B579A"/>
          <w:shd w:val="clear" w:color="auto" w:fill="E6E6E6"/>
        </w:rPr>
      </w:r>
      <w:r>
        <w:rPr>
          <w:color w:val="2B579A"/>
          <w:shd w:val="clear" w:color="auto" w:fill="E6E6E6"/>
        </w:rPr>
        <w:fldChar w:fldCharType="separate"/>
      </w:r>
      <w:r>
        <w:t xml:space="preserve">Table </w:t>
      </w:r>
      <w:r>
        <w:rPr>
          <w:noProof/>
        </w:rPr>
        <w:t>2</w:t>
      </w:r>
      <w:r>
        <w:t>,</w:t>
      </w:r>
      <w:r>
        <w:rPr>
          <w:color w:val="2B579A"/>
          <w:shd w:val="clear" w:color="auto" w:fill="E6E6E6"/>
        </w:rPr>
        <w:fldChar w:fldCharType="end"/>
      </w:r>
      <w:r>
        <w:t xml:space="preserve"> below.</w:t>
      </w:r>
      <w:r>
        <w:rPr>
          <w:color w:val="2B579A"/>
          <w:shd w:val="clear" w:color="auto" w:fill="E6E6E6"/>
        </w:rPr>
        <w:fldChar w:fldCharType="begin"/>
      </w:r>
      <w:r>
        <w:instrText xml:space="preserve"> REF _Ref89234972 \h </w:instrText>
      </w:r>
      <w:r>
        <w:rPr>
          <w:color w:val="2B579A"/>
          <w:shd w:val="clear" w:color="auto" w:fill="E6E6E6"/>
        </w:rPr>
      </w:r>
      <w:r>
        <w:rPr>
          <w:color w:val="2B579A"/>
          <w:shd w:val="clear" w:color="auto" w:fill="E6E6E6"/>
        </w:rPr>
        <w:fldChar w:fldCharType="end"/>
      </w:r>
    </w:p>
    <w:p w14:paraId="70E6A768" w14:textId="536C2F81" w:rsidR="008B3DDF" w:rsidRDefault="008B3DDF" w:rsidP="008B3DDF">
      <w:pPr>
        <w:pStyle w:val="TableTitle"/>
      </w:pPr>
      <w:bookmarkStart w:id="19" w:name="_Ref89234972"/>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2</w:t>
      </w:r>
      <w:r>
        <w:rPr>
          <w:color w:val="2B579A"/>
          <w:shd w:val="clear" w:color="auto" w:fill="E6E6E6"/>
        </w:rPr>
        <w:fldChar w:fldCharType="end"/>
      </w:r>
      <w:r>
        <w:t>: Comparison of potential markers of disease severity between children aged 5</w:t>
      </w:r>
      <w:r w:rsidR="00575C88">
        <w:t> to </w:t>
      </w:r>
      <w:r>
        <w:t xml:space="preserve">11 years versus </w:t>
      </w:r>
      <w:r w:rsidR="00575C88">
        <w:t xml:space="preserve">those aged </w:t>
      </w:r>
      <w:r>
        <w:t>12 years or more</w:t>
      </w:r>
      <w:bookmarkEnd w:id="19"/>
    </w:p>
    <w:tbl>
      <w:tblPr>
        <w:tblStyle w:val="TableTGAblue"/>
        <w:tblW w:w="0" w:type="auto"/>
        <w:tblLook w:val="04A0" w:firstRow="1" w:lastRow="0" w:firstColumn="1" w:lastColumn="0" w:noHBand="0" w:noVBand="1"/>
      </w:tblPr>
      <w:tblGrid>
        <w:gridCol w:w="2828"/>
        <w:gridCol w:w="2827"/>
        <w:gridCol w:w="2829"/>
      </w:tblGrid>
      <w:tr w:rsidR="00A26B4B" w14:paraId="24F01173" w14:textId="77777777" w:rsidTr="008B3DDF">
        <w:trPr>
          <w:cnfStyle w:val="100000000000" w:firstRow="1" w:lastRow="0" w:firstColumn="0" w:lastColumn="0" w:oddVBand="0" w:evenVBand="0" w:oddHBand="0" w:evenHBand="0" w:firstRowFirstColumn="0" w:firstRowLastColumn="0" w:lastRowFirstColumn="0" w:lastRowLastColumn="0"/>
        </w:trPr>
        <w:tc>
          <w:tcPr>
            <w:tcW w:w="2828" w:type="dxa"/>
          </w:tcPr>
          <w:p w14:paraId="5BB13A04" w14:textId="42F4CB84" w:rsidR="00A26B4B" w:rsidRDefault="00A26B4B" w:rsidP="00D6224A">
            <w:r>
              <w:t>Marker of disease severity</w:t>
            </w:r>
          </w:p>
        </w:tc>
        <w:tc>
          <w:tcPr>
            <w:tcW w:w="2827" w:type="dxa"/>
          </w:tcPr>
          <w:p w14:paraId="390B8166" w14:textId="06F4D0E0" w:rsidR="00A26B4B" w:rsidRDefault="00A26B4B" w:rsidP="00D6224A">
            <w:r>
              <w:t>Aged 5</w:t>
            </w:r>
            <w:r w:rsidR="00575C88">
              <w:t xml:space="preserve"> to</w:t>
            </w:r>
            <w:r>
              <w:t>11 years</w:t>
            </w:r>
          </w:p>
        </w:tc>
        <w:tc>
          <w:tcPr>
            <w:tcW w:w="2829" w:type="dxa"/>
          </w:tcPr>
          <w:p w14:paraId="096FE6A6" w14:textId="77777777" w:rsidR="00A26B4B" w:rsidRDefault="00A26B4B" w:rsidP="00D6224A">
            <w:r>
              <w:t>Aged 12 years or more</w:t>
            </w:r>
          </w:p>
        </w:tc>
      </w:tr>
      <w:tr w:rsidR="00A26B4B" w14:paraId="1DFFF48A" w14:textId="77777777" w:rsidTr="008B3DDF">
        <w:tc>
          <w:tcPr>
            <w:tcW w:w="2828" w:type="dxa"/>
          </w:tcPr>
          <w:p w14:paraId="28DA2386" w14:textId="77777777" w:rsidR="00A26B4B" w:rsidRDefault="008B3DDF" w:rsidP="00D6224A">
            <w:r>
              <w:t>Hospitalised only</w:t>
            </w:r>
            <w:r>
              <w:br/>
            </w:r>
            <w:r w:rsidR="00A26B4B">
              <w:t>(not ICU, nor deaths)</w:t>
            </w:r>
          </w:p>
        </w:tc>
        <w:tc>
          <w:tcPr>
            <w:tcW w:w="2827" w:type="dxa"/>
          </w:tcPr>
          <w:p w14:paraId="53918EBD" w14:textId="77777777" w:rsidR="00A26B4B" w:rsidRDefault="00A26B4B" w:rsidP="00D6224A">
            <w:r>
              <w:t>279/10467 (2.7%)</w:t>
            </w:r>
          </w:p>
        </w:tc>
        <w:tc>
          <w:tcPr>
            <w:tcW w:w="2829" w:type="dxa"/>
          </w:tcPr>
          <w:p w14:paraId="121DD84E" w14:textId="77777777" w:rsidR="00A26B4B" w:rsidRDefault="00A26B4B" w:rsidP="00D6224A">
            <w:r>
              <w:t>10295/87976 (11.7%)</w:t>
            </w:r>
          </w:p>
        </w:tc>
      </w:tr>
      <w:tr w:rsidR="00A26B4B" w14:paraId="7CFFF339" w14:textId="77777777" w:rsidTr="008B3DDF">
        <w:tc>
          <w:tcPr>
            <w:tcW w:w="2828" w:type="dxa"/>
          </w:tcPr>
          <w:p w14:paraId="7F55218E" w14:textId="77777777" w:rsidR="00A26B4B" w:rsidRDefault="008B3DDF" w:rsidP="00D6224A">
            <w:r>
              <w:t>ICU admissions</w:t>
            </w:r>
          </w:p>
        </w:tc>
        <w:tc>
          <w:tcPr>
            <w:tcW w:w="2827" w:type="dxa"/>
          </w:tcPr>
          <w:p w14:paraId="7FF5331A" w14:textId="77777777" w:rsidR="00A26B4B" w:rsidRDefault="008B3DDF" w:rsidP="00D6224A">
            <w:r>
              <w:t>4/10467 (0.04%)</w:t>
            </w:r>
          </w:p>
        </w:tc>
        <w:tc>
          <w:tcPr>
            <w:tcW w:w="2829" w:type="dxa"/>
          </w:tcPr>
          <w:p w14:paraId="7CB669A6" w14:textId="77777777" w:rsidR="00A26B4B" w:rsidRDefault="008B3DDF" w:rsidP="00D6224A">
            <w:r>
              <w:t>1474/87976 (1.7%)</w:t>
            </w:r>
          </w:p>
        </w:tc>
      </w:tr>
      <w:tr w:rsidR="00A26B4B" w14:paraId="7115A6E1" w14:textId="77777777" w:rsidTr="008B3DDF">
        <w:tc>
          <w:tcPr>
            <w:tcW w:w="2828" w:type="dxa"/>
          </w:tcPr>
          <w:p w14:paraId="0222BD88" w14:textId="77777777" w:rsidR="00A26B4B" w:rsidRDefault="008B3DDF" w:rsidP="00D6224A">
            <w:r>
              <w:t>Deaths</w:t>
            </w:r>
          </w:p>
        </w:tc>
        <w:tc>
          <w:tcPr>
            <w:tcW w:w="2827" w:type="dxa"/>
          </w:tcPr>
          <w:p w14:paraId="09CDCC92" w14:textId="77777777" w:rsidR="00A26B4B" w:rsidRDefault="008B3DDF" w:rsidP="00D6224A">
            <w:r>
              <w:t>0/10467 (0.00%)</w:t>
            </w:r>
          </w:p>
        </w:tc>
        <w:tc>
          <w:tcPr>
            <w:tcW w:w="2829" w:type="dxa"/>
          </w:tcPr>
          <w:p w14:paraId="372DBF6E" w14:textId="77777777" w:rsidR="00A26B4B" w:rsidRDefault="008B3DDF" w:rsidP="00D6224A">
            <w:r>
              <w:t>689/87976 (0.78%)</w:t>
            </w:r>
          </w:p>
        </w:tc>
      </w:tr>
    </w:tbl>
    <w:p w14:paraId="66B0050A" w14:textId="77777777" w:rsidR="00D16CBC" w:rsidRDefault="00D16CBC" w:rsidP="00714C4C">
      <w:pPr>
        <w:pStyle w:val="Heading4"/>
      </w:pPr>
      <w:proofErr w:type="spellStart"/>
      <w:r>
        <w:lastRenderedPageBreak/>
        <w:t>Comirnaty</w:t>
      </w:r>
      <w:proofErr w:type="spellEnd"/>
      <w:r>
        <w:t xml:space="preserve"> (</w:t>
      </w:r>
      <w:proofErr w:type="spellStart"/>
      <w:r>
        <w:t>tozinameran</w:t>
      </w:r>
      <w:proofErr w:type="spellEnd"/>
      <w:r>
        <w:t>) COVID-19 vaccine</w:t>
      </w:r>
    </w:p>
    <w:p w14:paraId="09BE41DA" w14:textId="77777777" w:rsidR="00714C4C" w:rsidRPr="00714C4C" w:rsidRDefault="00714C4C" w:rsidP="00714C4C">
      <w:pPr>
        <w:pStyle w:val="Heading5"/>
      </w:pPr>
      <w:r>
        <w:t>Current presentation</w:t>
      </w:r>
    </w:p>
    <w:p w14:paraId="62F10D47" w14:textId="3BB92DEE" w:rsidR="00D16CBC" w:rsidRPr="00D16CBC" w:rsidRDefault="004945E2" w:rsidP="00D16CBC">
      <w:r>
        <w:t xml:space="preserve">The </w:t>
      </w:r>
      <w:proofErr w:type="spellStart"/>
      <w:r w:rsidR="00714C4C" w:rsidRPr="00D16CBC">
        <w:t>Comirnaty</w:t>
      </w:r>
      <w:proofErr w:type="spellEnd"/>
      <w:r w:rsidR="00D16CBC" w:rsidRPr="00D16CBC">
        <w:t xml:space="preserve"> </w:t>
      </w:r>
      <w:r>
        <w:t>(</w:t>
      </w:r>
      <w:proofErr w:type="spellStart"/>
      <w:r>
        <w:t>tozinameran</w:t>
      </w:r>
      <w:proofErr w:type="spellEnd"/>
      <w:r>
        <w:t xml:space="preserve">) </w:t>
      </w:r>
      <w:r w:rsidR="00D16CBC" w:rsidRPr="00D16CBC">
        <w:t xml:space="preserve">COVID-19 </w:t>
      </w:r>
      <w:r>
        <w:t>v</w:t>
      </w:r>
      <w:r w:rsidR="00D16CBC" w:rsidRPr="00D16CBC">
        <w:t>accine, is a single-stranded, 5’-capped messenger RNA (mRNA) produced using a cell-free in vitro transcription from the corresponding DNA templates, encoding the viral spike (</w:t>
      </w:r>
      <w:r>
        <w:t>or ‘</w:t>
      </w:r>
      <w:r w:rsidR="00D16CBC" w:rsidRPr="00D16CBC">
        <w:t>S</w:t>
      </w:r>
      <w:r>
        <w:t>’</w:t>
      </w:r>
      <w:r w:rsidR="00D16CBC" w:rsidRPr="00D16CBC">
        <w:t>) protein of SARS-CoV-2.</w:t>
      </w:r>
      <w:r w:rsidR="00714C4C">
        <w:t xml:space="preserve"> </w:t>
      </w:r>
      <w:r w:rsidR="00D16CBC" w:rsidRPr="00D16CBC">
        <w:t xml:space="preserve">The RNA is encapsulated in lipid nanoparticles, which enables entry into </w:t>
      </w:r>
      <w:r w:rsidR="00D16CBC">
        <w:t>host cells, expression of the S </w:t>
      </w:r>
      <w:r w:rsidR="00D16CBC" w:rsidRPr="00D16CBC">
        <w:t>protein, and elicitation of both antibody and cellular immune responses.</w:t>
      </w:r>
    </w:p>
    <w:p w14:paraId="549748C4" w14:textId="1DA8F2F7" w:rsidR="00D16CBC" w:rsidRDefault="00D16CBC" w:rsidP="00D16CBC">
      <w:r w:rsidRPr="00D16CBC">
        <w:t xml:space="preserve">The current provisionally registered formulation of </w:t>
      </w:r>
      <w:proofErr w:type="spellStart"/>
      <w:r w:rsidR="00714C4C" w:rsidRPr="00D16CBC">
        <w:t>Comirnaty</w:t>
      </w:r>
      <w:proofErr w:type="spellEnd"/>
      <w:r w:rsidR="00714C4C" w:rsidRPr="00D16CBC">
        <w:t xml:space="preserve"> </w:t>
      </w:r>
      <w:r w:rsidR="00714C4C">
        <w:t>(that is, phosphate-buffered saline/s</w:t>
      </w:r>
      <w:r w:rsidRPr="00D16CBC">
        <w:t>ucrose) is presented in multidose vials of 0.45 mL (containing 225</w:t>
      </w:r>
      <w:r w:rsidR="004945E2">
        <w:t> </w:t>
      </w:r>
      <w:r w:rsidRPr="00D16CBC">
        <w:t>µg of mRNA at a concentration of 500</w:t>
      </w:r>
      <w:r w:rsidR="004945E2">
        <w:t> </w:t>
      </w:r>
      <w:r w:rsidRPr="00D16CBC">
        <w:t>µg/mL) that are stored frozen, and then thawed prior to use. After thawing, it is diluted with 1.8 mL of normal saline to a total volume of 2.25</w:t>
      </w:r>
      <w:r w:rsidR="004945E2">
        <w:t> </w:t>
      </w:r>
      <w:r w:rsidRPr="00D16CBC">
        <w:t>mL (final concentration 100 µg/mL). This provides for 6 doses of 0.3</w:t>
      </w:r>
      <w:r w:rsidR="004945E2">
        <w:t> </w:t>
      </w:r>
      <w:r w:rsidRPr="00D16CBC">
        <w:t xml:space="preserve">mL, each containing 30 µg of mRNA (recommended dose for </w:t>
      </w:r>
      <w:r w:rsidR="004945E2">
        <w:t>those of</w:t>
      </w:r>
      <w:r w:rsidRPr="00D16CBC">
        <w:t xml:space="preserve"> 12 years </w:t>
      </w:r>
      <w:r w:rsidR="004945E2">
        <w:t xml:space="preserve">of </w:t>
      </w:r>
      <w:r w:rsidRPr="00D16CBC">
        <w:t>age</w:t>
      </w:r>
      <w:r w:rsidR="004945E2">
        <w:t xml:space="preserve"> or older</w:t>
      </w:r>
      <w:r w:rsidRPr="00D16CBC">
        <w:t>).</w:t>
      </w:r>
    </w:p>
    <w:p w14:paraId="4ACF573A" w14:textId="77777777" w:rsidR="00714C4C" w:rsidRPr="00D16CBC" w:rsidRDefault="00714C4C" w:rsidP="00714C4C">
      <w:pPr>
        <w:pStyle w:val="Heading5"/>
      </w:pPr>
      <w:r>
        <w:t>Proposed presentation</w:t>
      </w:r>
    </w:p>
    <w:p w14:paraId="0F52259D" w14:textId="70A6B406" w:rsidR="00D16CBC" w:rsidRPr="00714C4C" w:rsidRDefault="00714C4C" w:rsidP="00714C4C">
      <w:r>
        <w:t>T</w:t>
      </w:r>
      <w:r w:rsidR="00D16CBC">
        <w:t xml:space="preserve">he </w:t>
      </w:r>
      <w:r>
        <w:t>proposed new trometamol hydrochloride</w:t>
      </w:r>
      <w:r w:rsidR="004945E2">
        <w:t>-buffered (also referred to as tris hydroxymethyl aminomethane, or simply TRIS)</w:t>
      </w:r>
      <w:r>
        <w:t>/s</w:t>
      </w:r>
      <w:r w:rsidR="00D16CBC">
        <w:t>ucrose formulation will have two different dosage presentations:</w:t>
      </w:r>
    </w:p>
    <w:p w14:paraId="5D79ADD5" w14:textId="0F3E5792" w:rsidR="00D16CBC" w:rsidRPr="00530179" w:rsidRDefault="00D16CBC" w:rsidP="00714C4C">
      <w:pPr>
        <w:pStyle w:val="ListBullet"/>
      </w:pPr>
      <w:r w:rsidRPr="00530179">
        <w:t xml:space="preserve">The 30 µg mRNA dosage presentation </w:t>
      </w:r>
      <w:r w:rsidR="00714C4C">
        <w:t>(for use in individuals 12 years of age</w:t>
      </w:r>
      <w:r w:rsidR="004945E2">
        <w:t xml:space="preserve"> or older</w:t>
      </w:r>
      <w:r w:rsidR="00714C4C">
        <w:t>) is pre</w:t>
      </w:r>
      <w:r w:rsidR="00714C4C">
        <w:noBreakHyphen/>
      </w:r>
      <w:r w:rsidRPr="00530179">
        <w:t>filled to 2.25 mL fill volume with ‘suspension for injection’ (containing 225</w:t>
      </w:r>
      <w:r w:rsidR="004945E2">
        <w:t> </w:t>
      </w:r>
      <w:r w:rsidRPr="00530179">
        <w:t xml:space="preserve">µg mRNA at a concentration of 100 µg/mL) and </w:t>
      </w:r>
      <w:r w:rsidRPr="00714C4C">
        <w:rPr>
          <w:i/>
        </w:rPr>
        <w:t>will not require further dilution</w:t>
      </w:r>
      <w:r w:rsidRPr="00530179">
        <w:t xml:space="preserve"> prior to use. This provides for 6 doses of 0.3 mL, each containing 30</w:t>
      </w:r>
      <w:r w:rsidR="004945E2">
        <w:t> </w:t>
      </w:r>
      <w:r w:rsidRPr="00530179">
        <w:t>µg mRNA. It is intended that up to 0.45 mL will remain in the vial after use.</w:t>
      </w:r>
    </w:p>
    <w:p w14:paraId="200EAE41" w14:textId="6A8D43DC" w:rsidR="00D16CBC" w:rsidRPr="00530179" w:rsidRDefault="00D16CBC" w:rsidP="00714C4C">
      <w:pPr>
        <w:pStyle w:val="ListBullet"/>
      </w:pPr>
      <w:r w:rsidRPr="00530179">
        <w:t xml:space="preserve">The 10 µg mRNA dosage presentation (proposed for children 5 to </w:t>
      </w:r>
      <w:r w:rsidR="004945E2">
        <w:t>less than</w:t>
      </w:r>
      <w:r w:rsidRPr="00530179">
        <w:t xml:space="preserve"> 12 years </w:t>
      </w:r>
      <w:r w:rsidR="004945E2">
        <w:t xml:space="preserve">of </w:t>
      </w:r>
      <w:r w:rsidRPr="00530179">
        <w:t xml:space="preserve">age) is pre-filled to 1.3 mL fill volume with </w:t>
      </w:r>
      <w:r w:rsidRPr="00714C4C">
        <w:rPr>
          <w:i/>
        </w:rPr>
        <w:t>‘concentrated suspension for injection’</w:t>
      </w:r>
      <w:r w:rsidRPr="00530179">
        <w:t xml:space="preserve"> (containing 130 µg mRNA at a concentration of 100 µg/mL) and requires dilution with 1.3</w:t>
      </w:r>
      <w:r w:rsidR="004945E2">
        <w:t> </w:t>
      </w:r>
      <w:r w:rsidRPr="00530179">
        <w:t xml:space="preserve">mL of normal saline to a total volume of 2.6 </w:t>
      </w:r>
      <w:proofErr w:type="spellStart"/>
      <w:r w:rsidRPr="00530179">
        <w:t>mL.</w:t>
      </w:r>
      <w:proofErr w:type="spellEnd"/>
      <w:r w:rsidRPr="00530179">
        <w:t xml:space="preserve"> This provides for 10 doses of 0.2</w:t>
      </w:r>
      <w:r w:rsidR="004945E2">
        <w:t> </w:t>
      </w:r>
      <w:r w:rsidRPr="00530179">
        <w:t>mL, each containing 10 µg mRNA. It is intended that up to 0.6 mL will remain in the vial after use.</w:t>
      </w:r>
    </w:p>
    <w:p w14:paraId="6E3FC056" w14:textId="77777777" w:rsidR="00D16CBC" w:rsidRDefault="00714C4C" w:rsidP="00D16CBC">
      <w:pPr>
        <w:pStyle w:val="Heading4"/>
      </w:pPr>
      <w:r>
        <w:t>Other c</w:t>
      </w:r>
      <w:r w:rsidR="00D16CBC" w:rsidRPr="00530179">
        <w:t xml:space="preserve">urrent </w:t>
      </w:r>
      <w:r w:rsidR="00E17E7A">
        <w:t>therapeutic</w:t>
      </w:r>
      <w:r w:rsidR="00D16CBC" w:rsidRPr="00530179">
        <w:t xml:space="preserve"> options</w:t>
      </w:r>
    </w:p>
    <w:p w14:paraId="1EC2A372" w14:textId="77777777" w:rsidR="00714C4C" w:rsidRPr="00714C4C" w:rsidRDefault="00714C4C" w:rsidP="00714C4C">
      <w:pPr>
        <w:pStyle w:val="Heading5"/>
      </w:pPr>
      <w:r>
        <w:t>Vaccines</w:t>
      </w:r>
    </w:p>
    <w:p w14:paraId="2C051E2A" w14:textId="77777777" w:rsidR="00D16CBC" w:rsidRPr="00714C4C" w:rsidRDefault="00D16CBC" w:rsidP="00714C4C">
      <w:r w:rsidRPr="00714C4C">
        <w:t xml:space="preserve">Australia has four vaccines on the </w:t>
      </w:r>
      <w:r w:rsidR="00714C4C">
        <w:t>Australian Register of Therapeutic Goods (</w:t>
      </w:r>
      <w:r w:rsidRPr="00714C4C">
        <w:t>ARTG</w:t>
      </w:r>
      <w:r w:rsidR="00714C4C">
        <w:t>)</w:t>
      </w:r>
      <w:r w:rsidRPr="00714C4C">
        <w:t xml:space="preserve"> with provisional approval for the prevention of COVID-19:</w:t>
      </w:r>
    </w:p>
    <w:p w14:paraId="5B62EB40" w14:textId="7F01F5B8" w:rsidR="00D16CBC" w:rsidRPr="00714C4C" w:rsidRDefault="00714C4C" w:rsidP="00714C4C">
      <w:pPr>
        <w:pStyle w:val="ListBullet"/>
      </w:pPr>
      <w:proofErr w:type="spellStart"/>
      <w:r>
        <w:t>Comirnaty</w:t>
      </w:r>
      <w:proofErr w:type="spellEnd"/>
      <w:r>
        <w:t xml:space="preserve"> </w:t>
      </w:r>
      <w:r w:rsidR="00943F81">
        <w:t>(</w:t>
      </w:r>
      <w:proofErr w:type="spellStart"/>
      <w:r w:rsidR="00943F81">
        <w:t>tozinameran</w:t>
      </w:r>
      <w:proofErr w:type="spellEnd"/>
      <w:r w:rsidR="004945E2">
        <w:t>) (</w:t>
      </w:r>
      <w:r w:rsidR="00943F81">
        <w:t>mRNA</w:t>
      </w:r>
      <w:r w:rsidR="004945E2">
        <w:t>)</w:t>
      </w:r>
      <w:r w:rsidR="00943F81">
        <w:t xml:space="preserve"> COVID-19 vaccine</w:t>
      </w:r>
      <w:r w:rsidR="004945E2">
        <w:t>;</w:t>
      </w:r>
      <w:r w:rsidR="00943F81">
        <w:t xml:space="preserve"> also known widely as the </w:t>
      </w:r>
      <w:r w:rsidR="004945E2">
        <w:t>‘</w:t>
      </w:r>
      <w:r w:rsidR="00943F81">
        <w:t>Pfizer vaccine</w:t>
      </w:r>
      <w:r w:rsidR="004945E2">
        <w:t>’</w:t>
      </w:r>
      <w:r w:rsidR="00943F81">
        <w:t>, is discussed under in its current presen</w:t>
      </w:r>
      <w:r w:rsidR="00A55DCE">
        <w:t>tation in the previous section.</w:t>
      </w:r>
      <w:r w:rsidR="00943F81">
        <w:t xml:space="preserve"> </w:t>
      </w:r>
      <w:proofErr w:type="spellStart"/>
      <w:r w:rsidR="00943F81">
        <w:t>Comirnaty</w:t>
      </w:r>
      <w:proofErr w:type="spellEnd"/>
      <w:r w:rsidR="00D16CBC" w:rsidRPr="00714C4C">
        <w:t xml:space="preserve"> was granted provisional registration for individuals over 16 years on 25</w:t>
      </w:r>
      <w:r w:rsidR="00943F81">
        <w:t> </w:t>
      </w:r>
      <w:r w:rsidR="00D16CBC" w:rsidRPr="00714C4C">
        <w:t>January 2021.</w:t>
      </w:r>
      <w:r w:rsidR="00A55DCE">
        <w:rPr>
          <w:rStyle w:val="FootnoteReference"/>
        </w:rPr>
        <w:footnoteReference w:id="11"/>
      </w:r>
      <w:r w:rsidR="00A55DCE">
        <w:rPr>
          <w:vertAlign w:val="superscript"/>
        </w:rPr>
        <w:t>,</w:t>
      </w:r>
      <w:r w:rsidR="00A55DCE">
        <w:rPr>
          <w:rStyle w:val="FootnoteReference"/>
        </w:rPr>
        <w:footnoteReference w:id="12"/>
      </w:r>
      <w:r w:rsidR="00D16CBC" w:rsidRPr="00714C4C">
        <w:t xml:space="preserve"> The regimen is 2 doses</w:t>
      </w:r>
      <w:r w:rsidR="00943F81">
        <w:t>, with each dose taken</w:t>
      </w:r>
      <w:r w:rsidR="00D16CBC" w:rsidRPr="00714C4C">
        <w:t xml:space="preserve"> 3 weeks apart. </w:t>
      </w:r>
      <w:r w:rsidR="00943F81">
        <w:t>An e</w:t>
      </w:r>
      <w:r w:rsidR="00D16CBC" w:rsidRPr="00714C4C">
        <w:t>xtension of indication</w:t>
      </w:r>
      <w:r w:rsidR="00943F81">
        <w:t>s</w:t>
      </w:r>
      <w:r w:rsidR="00D16CBC" w:rsidRPr="00714C4C">
        <w:t xml:space="preserve"> to the </w:t>
      </w:r>
      <w:r w:rsidR="00943F81">
        <w:t xml:space="preserve">expand the age group to individuals aged 12 to </w:t>
      </w:r>
      <w:r w:rsidR="00D16CBC" w:rsidRPr="00714C4C">
        <w:t>15 years was approved on 21 July 2021.</w:t>
      </w:r>
      <w:r w:rsidR="00A55DCE">
        <w:rPr>
          <w:rStyle w:val="FootnoteReference"/>
        </w:rPr>
        <w:footnoteReference w:id="13"/>
      </w:r>
    </w:p>
    <w:p w14:paraId="7CE7E6B7" w14:textId="793E83A4" w:rsidR="00D16CBC" w:rsidRPr="00714C4C" w:rsidRDefault="00D16CBC" w:rsidP="00714C4C">
      <w:pPr>
        <w:pStyle w:val="ListBullet"/>
      </w:pPr>
      <w:proofErr w:type="spellStart"/>
      <w:r w:rsidRPr="00714C4C">
        <w:t>S</w:t>
      </w:r>
      <w:r w:rsidR="00A55DCE">
        <w:t>pikevax</w:t>
      </w:r>
      <w:proofErr w:type="spellEnd"/>
      <w:r w:rsidR="00A55DCE">
        <w:t xml:space="preserve"> (</w:t>
      </w:r>
      <w:proofErr w:type="spellStart"/>
      <w:r w:rsidR="00A55DCE">
        <w:t>elasomeran</w:t>
      </w:r>
      <w:proofErr w:type="spellEnd"/>
      <w:r w:rsidR="004945E2">
        <w:t>) (</w:t>
      </w:r>
      <w:r w:rsidR="00A55DCE">
        <w:t>mRNA</w:t>
      </w:r>
      <w:r w:rsidR="004945E2">
        <w:t>)</w:t>
      </w:r>
      <w:r w:rsidR="00A55DCE">
        <w:t xml:space="preserve"> COVID-19 vaccine</w:t>
      </w:r>
      <w:r w:rsidR="00222F35">
        <w:t xml:space="preserve"> </w:t>
      </w:r>
      <w:r w:rsidRPr="00714C4C">
        <w:t>0.2 mg/mL</w:t>
      </w:r>
      <w:r w:rsidR="00A55DCE">
        <w:t xml:space="preserve"> suspension for injection vial</w:t>
      </w:r>
      <w:r w:rsidR="004945E2">
        <w:t>;</w:t>
      </w:r>
      <w:r w:rsidR="00222F35">
        <w:t xml:space="preserve"> also </w:t>
      </w:r>
      <w:r w:rsidR="004945E2">
        <w:t xml:space="preserve">widely </w:t>
      </w:r>
      <w:r w:rsidR="00222F35">
        <w:t xml:space="preserve">known as the </w:t>
      </w:r>
      <w:proofErr w:type="spellStart"/>
      <w:r w:rsidR="00222F35">
        <w:t>Moderna</w:t>
      </w:r>
      <w:proofErr w:type="spellEnd"/>
      <w:r w:rsidR="00222F35">
        <w:t xml:space="preserve"> vaccine, was granted provisional approval for </w:t>
      </w:r>
      <w:r w:rsidR="00222F35">
        <w:lastRenderedPageBreak/>
        <w:t>use in adults and was registered on 9 August 2021</w:t>
      </w:r>
      <w:r w:rsidR="00A55DCE">
        <w:t>.</w:t>
      </w:r>
      <w:r w:rsidR="00A55DCE">
        <w:rPr>
          <w:rStyle w:val="FootnoteReference"/>
        </w:rPr>
        <w:footnoteReference w:id="14"/>
      </w:r>
      <w:r w:rsidR="00222F35">
        <w:t>,</w:t>
      </w:r>
      <w:r w:rsidR="00A53D95">
        <w:rPr>
          <w:rStyle w:val="FootnoteReference"/>
        </w:rPr>
        <w:footnoteReference w:id="15"/>
      </w:r>
      <w:r w:rsidR="00222F35">
        <w:t xml:space="preserve"> The regimen is 2</w:t>
      </w:r>
      <w:r w:rsidR="004945E2">
        <w:t> </w:t>
      </w:r>
      <w:r w:rsidR="00222F35">
        <w:t xml:space="preserve">doses, with each dose taken 28 days apart. </w:t>
      </w:r>
      <w:proofErr w:type="spellStart"/>
      <w:r w:rsidR="00222F35">
        <w:t>Spikevax</w:t>
      </w:r>
      <w:proofErr w:type="spellEnd"/>
      <w:r w:rsidR="00222F35">
        <w:t xml:space="preserve"> received provisional approval to extend the indications to expand the age group to indiv</w:t>
      </w:r>
      <w:r w:rsidR="7EADC312">
        <w:t>id</w:t>
      </w:r>
      <w:r w:rsidR="00222F35">
        <w:t>uals aged 12 to 15 years of age on 4 September 2021.</w:t>
      </w:r>
      <w:r w:rsidR="00222F35">
        <w:rPr>
          <w:rStyle w:val="FootnoteReference"/>
        </w:rPr>
        <w:footnoteReference w:id="16"/>
      </w:r>
    </w:p>
    <w:p w14:paraId="678AECF8" w14:textId="6E4D13A0" w:rsidR="00D16CBC" w:rsidRPr="00714C4C" w:rsidRDefault="00222F35" w:rsidP="00714C4C">
      <w:pPr>
        <w:pStyle w:val="ListBullet"/>
      </w:pPr>
      <w:r>
        <w:t xml:space="preserve">COVID-19 </w:t>
      </w:r>
      <w:r w:rsidR="004945E2">
        <w:t>v</w:t>
      </w:r>
      <w:r>
        <w:t>accine Janssen (</w:t>
      </w:r>
      <w:r w:rsidR="00D16CBC" w:rsidRPr="00714C4C">
        <w:t>Ad26.COV</w:t>
      </w:r>
      <w:proofErr w:type="gramStart"/>
      <w:r w:rsidR="00D16CBC" w:rsidRPr="00714C4C">
        <w:t>2.S</w:t>
      </w:r>
      <w:proofErr w:type="gramEnd"/>
      <w:r w:rsidR="00E17E7A">
        <w:t>)</w:t>
      </w:r>
      <w:r w:rsidR="00721BD4">
        <w:t>,</w:t>
      </w:r>
      <w:r w:rsidR="00D16CBC" w:rsidRPr="00714C4C">
        <w:t xml:space="preserve"> </w:t>
      </w:r>
      <w:r w:rsidR="00E17E7A">
        <w:t>suspension for injection vial</w:t>
      </w:r>
      <w:r w:rsidR="00721BD4">
        <w:t>,</w:t>
      </w:r>
      <w:r w:rsidR="00E17E7A">
        <w:t xml:space="preserve"> was first registered on 25 June 2021.</w:t>
      </w:r>
      <w:r w:rsidR="00E17E7A">
        <w:rPr>
          <w:rStyle w:val="FootnoteReference"/>
        </w:rPr>
        <w:footnoteReference w:id="17"/>
      </w:r>
      <w:r w:rsidR="00E17E7A">
        <w:rPr>
          <w:vertAlign w:val="superscript"/>
        </w:rPr>
        <w:t>,</w:t>
      </w:r>
      <w:r w:rsidR="00E17E7A">
        <w:rPr>
          <w:rStyle w:val="FootnoteReference"/>
        </w:rPr>
        <w:footnoteReference w:id="18"/>
      </w:r>
    </w:p>
    <w:p w14:paraId="57B1D4E9" w14:textId="409892D0" w:rsidR="00D16CBC" w:rsidRPr="00714C4C" w:rsidRDefault="00D16CBC" w:rsidP="00714C4C">
      <w:pPr>
        <w:pStyle w:val="ListBullet"/>
      </w:pPr>
      <w:proofErr w:type="spellStart"/>
      <w:r w:rsidRPr="00714C4C">
        <w:t>V</w:t>
      </w:r>
      <w:r w:rsidR="00E17E7A" w:rsidRPr="00714C4C">
        <w:t>axzevria</w:t>
      </w:r>
      <w:proofErr w:type="spellEnd"/>
      <w:r w:rsidRPr="00714C4C">
        <w:t xml:space="preserve"> </w:t>
      </w:r>
      <w:r w:rsidR="00E17E7A">
        <w:t>(</w:t>
      </w:r>
      <w:r w:rsidRPr="00714C4C">
        <w:t>ChAdOx1-S</w:t>
      </w:r>
      <w:r w:rsidR="00331954">
        <w:t xml:space="preserve">) </w:t>
      </w:r>
      <w:r w:rsidR="00E17E7A">
        <w:t>COVID-19</w:t>
      </w:r>
      <w:r w:rsidR="00331954">
        <w:t xml:space="preserve"> vaccine</w:t>
      </w:r>
      <w:r w:rsidR="00721BD4">
        <w:t>,</w:t>
      </w:r>
      <w:r w:rsidRPr="00714C4C">
        <w:t xml:space="preserve"> solution for injection multidose vial</w:t>
      </w:r>
      <w:r w:rsidR="00721BD4">
        <w:t>,</w:t>
      </w:r>
      <w:r w:rsidR="00E17E7A">
        <w:t xml:space="preserve"> (also known as the AstraZeneca vaccine) was first registered on 16 February 2021.</w:t>
      </w:r>
      <w:r w:rsidR="00E277CE">
        <w:t xml:space="preserve"> The regimen is 2 doses with each dose given at least 28 days apart</w:t>
      </w:r>
      <w:r w:rsidR="00E17E7A">
        <w:rPr>
          <w:rStyle w:val="FootnoteReference"/>
        </w:rPr>
        <w:footnoteReference w:id="19"/>
      </w:r>
      <w:r w:rsidR="004945E2">
        <w:rPr>
          <w:vertAlign w:val="superscript"/>
        </w:rPr>
        <w:t>,</w:t>
      </w:r>
      <w:r w:rsidR="00E17E7A">
        <w:rPr>
          <w:rStyle w:val="FootnoteReference"/>
        </w:rPr>
        <w:footnoteReference w:id="20"/>
      </w:r>
    </w:p>
    <w:p w14:paraId="5C41E149" w14:textId="558C2153" w:rsidR="00D16CBC" w:rsidRDefault="00D16CBC" w:rsidP="00D16CBC">
      <w:pPr>
        <w:jc w:val="both"/>
      </w:pPr>
      <w:proofErr w:type="spellStart"/>
      <w:r w:rsidRPr="00530179">
        <w:t>Comirnaty</w:t>
      </w:r>
      <w:proofErr w:type="spellEnd"/>
      <w:r w:rsidRPr="00530179">
        <w:t xml:space="preserve">, </w:t>
      </w:r>
      <w:proofErr w:type="spellStart"/>
      <w:r w:rsidRPr="00530179">
        <w:t>Vaxzevria</w:t>
      </w:r>
      <w:proofErr w:type="spellEnd"/>
      <w:r w:rsidRPr="00530179">
        <w:t xml:space="preserve"> and </w:t>
      </w:r>
      <w:proofErr w:type="spellStart"/>
      <w:r w:rsidRPr="00530179">
        <w:t>Spikevax</w:t>
      </w:r>
      <w:proofErr w:type="spellEnd"/>
      <w:r w:rsidRPr="00530179">
        <w:t xml:space="preserve"> vaccine are being rolled out as part of the Australian Government Department of Health COVID-19 vaccination strategy.</w:t>
      </w:r>
      <w:r w:rsidR="00E277CE">
        <w:rPr>
          <w:rStyle w:val="FootnoteReference"/>
        </w:rPr>
        <w:footnoteReference w:id="21"/>
      </w:r>
    </w:p>
    <w:p w14:paraId="666C83E9" w14:textId="77777777" w:rsidR="00E17E7A" w:rsidRDefault="00E17E7A" w:rsidP="00E17E7A">
      <w:pPr>
        <w:pStyle w:val="Heading5"/>
      </w:pPr>
      <w:r>
        <w:t>Management and treatment options</w:t>
      </w:r>
    </w:p>
    <w:p w14:paraId="6C0D6C0A" w14:textId="77777777" w:rsidR="00E17E7A" w:rsidRPr="00E17E7A" w:rsidRDefault="00E17E7A" w:rsidP="00E17E7A">
      <w:pPr>
        <w:pStyle w:val="Heading6"/>
      </w:pPr>
      <w:r>
        <w:t>Monoclonal antibodies</w:t>
      </w:r>
    </w:p>
    <w:p w14:paraId="59F6B923" w14:textId="7054268D" w:rsidR="00D16CBC" w:rsidRPr="00E17E7A" w:rsidRDefault="00E17E7A" w:rsidP="00E17E7A">
      <w:r>
        <w:t>Currently, three m</w:t>
      </w:r>
      <w:r w:rsidR="00D16CBC" w:rsidRPr="00E17E7A">
        <w:t>onoclonal antibodies with indication</w:t>
      </w:r>
      <w:r>
        <w:t xml:space="preserve">s for </w:t>
      </w:r>
      <w:r w:rsidR="00AB70B5">
        <w:t xml:space="preserve">the </w:t>
      </w:r>
      <w:r>
        <w:t>treatment of COVID-19</w:t>
      </w:r>
      <w:r w:rsidR="00D16CBC" w:rsidRPr="00E17E7A">
        <w:t xml:space="preserve"> have been granted provisional registration in Australia:</w:t>
      </w:r>
    </w:p>
    <w:p w14:paraId="69295724" w14:textId="406288D4" w:rsidR="00D16CBC" w:rsidRPr="00530179" w:rsidRDefault="00E17E7A" w:rsidP="00E17E7A">
      <w:pPr>
        <w:pStyle w:val="ListBullet"/>
      </w:pPr>
      <w:proofErr w:type="spellStart"/>
      <w:r>
        <w:t>Xevudy</w:t>
      </w:r>
      <w:proofErr w:type="spellEnd"/>
      <w:r>
        <w:t xml:space="preserve"> (</w:t>
      </w:r>
      <w:proofErr w:type="spellStart"/>
      <w:r w:rsidR="00D16CBC" w:rsidRPr="00530179">
        <w:t>sotrovimab</w:t>
      </w:r>
      <w:proofErr w:type="spellEnd"/>
      <w:r>
        <w:t>)</w:t>
      </w:r>
      <w:r w:rsidR="00D16CBC" w:rsidRPr="00530179">
        <w:t xml:space="preserve"> 500 mg/8 mL concentrated injection solution for infusion, vial</w:t>
      </w:r>
      <w:r w:rsidR="00206408">
        <w:t>, was registered on the ARTG on 20 August 2021.</w:t>
      </w:r>
      <w:r w:rsidR="00206408">
        <w:rPr>
          <w:rStyle w:val="FootnoteReference"/>
        </w:rPr>
        <w:footnoteReference w:id="22"/>
      </w:r>
      <w:r w:rsidR="00E277CE" w:rsidRPr="00D15B9E">
        <w:rPr>
          <w:vertAlign w:val="superscript"/>
        </w:rPr>
        <w:t>,</w:t>
      </w:r>
      <w:r w:rsidR="00206408">
        <w:rPr>
          <w:rStyle w:val="FootnoteReference"/>
        </w:rPr>
        <w:footnoteReference w:id="23"/>
      </w:r>
    </w:p>
    <w:p w14:paraId="720101B4" w14:textId="1DF6D471" w:rsidR="00D16CBC" w:rsidRPr="00530179" w:rsidRDefault="00D16CBC" w:rsidP="00E17E7A">
      <w:pPr>
        <w:pStyle w:val="ListBullet"/>
      </w:pPr>
      <w:r w:rsidRPr="00530179">
        <w:t>R</w:t>
      </w:r>
      <w:r w:rsidR="00E17E7A" w:rsidRPr="00530179">
        <w:t>onapreve</w:t>
      </w:r>
      <w:r w:rsidRPr="00530179">
        <w:t xml:space="preserve"> </w:t>
      </w:r>
      <w:r w:rsidR="00F921C2">
        <w:t>(</w:t>
      </w:r>
      <w:proofErr w:type="spellStart"/>
      <w:r w:rsidRPr="00530179">
        <w:t>casirivimab</w:t>
      </w:r>
      <w:proofErr w:type="spellEnd"/>
      <w:r w:rsidR="00F921C2">
        <w:t>/</w:t>
      </w:r>
      <w:proofErr w:type="spellStart"/>
      <w:r w:rsidR="00F921C2">
        <w:t>imdevimab</w:t>
      </w:r>
      <w:proofErr w:type="spellEnd"/>
      <w:r w:rsidR="00F921C2">
        <w:t xml:space="preserve">), </w:t>
      </w:r>
      <w:proofErr w:type="spellStart"/>
      <w:r w:rsidR="00F921C2">
        <w:t>casirivimab</w:t>
      </w:r>
      <w:proofErr w:type="spellEnd"/>
      <w:r w:rsidRPr="00530179">
        <w:t xml:space="preserve"> 120</w:t>
      </w:r>
      <w:r w:rsidR="00F921C2">
        <w:t xml:space="preserve"> </w:t>
      </w:r>
      <w:r w:rsidRPr="00530179">
        <w:t>mg/</w:t>
      </w:r>
      <w:r w:rsidR="00F921C2">
        <w:t>mL</w:t>
      </w:r>
      <w:r w:rsidRPr="00530179">
        <w:t xml:space="preserve"> and </w:t>
      </w:r>
      <w:proofErr w:type="spellStart"/>
      <w:r w:rsidRPr="00530179">
        <w:t>imdevimab</w:t>
      </w:r>
      <w:proofErr w:type="spellEnd"/>
      <w:r w:rsidRPr="00530179">
        <w:t xml:space="preserve"> 120</w:t>
      </w:r>
      <w:r w:rsidR="00F921C2">
        <w:t> mg/mL</w:t>
      </w:r>
      <w:r w:rsidRPr="00530179">
        <w:t xml:space="preserve"> solutions for infusion or injection in 1332 mg multi dose vial</w:t>
      </w:r>
      <w:r w:rsidR="00F921C2">
        <w:t xml:space="preserve">, was </w:t>
      </w:r>
      <w:r w:rsidR="00206408">
        <w:t>registered</w:t>
      </w:r>
      <w:r w:rsidR="00F921C2">
        <w:t xml:space="preserve"> on the ARTG on 18 October 2021.</w:t>
      </w:r>
      <w:r w:rsidR="00F921C2">
        <w:rPr>
          <w:rStyle w:val="FootnoteReference"/>
        </w:rPr>
        <w:footnoteReference w:id="24"/>
      </w:r>
      <w:r w:rsidR="00F921C2">
        <w:rPr>
          <w:vertAlign w:val="superscript"/>
        </w:rPr>
        <w:t>,</w:t>
      </w:r>
      <w:bookmarkStart w:id="20" w:name="_Ref88782482"/>
      <w:r w:rsidR="00F921C2">
        <w:rPr>
          <w:rStyle w:val="FootnoteReference"/>
        </w:rPr>
        <w:footnoteReference w:id="25"/>
      </w:r>
      <w:bookmarkEnd w:id="20"/>
    </w:p>
    <w:p w14:paraId="2BAB395F" w14:textId="53AA0E60" w:rsidR="00D16CBC" w:rsidRPr="00530179" w:rsidRDefault="00D16CBC" w:rsidP="00E17E7A">
      <w:pPr>
        <w:pStyle w:val="ListBullet"/>
      </w:pPr>
      <w:r w:rsidRPr="00530179">
        <w:t>R</w:t>
      </w:r>
      <w:r w:rsidR="00E17E7A" w:rsidRPr="00530179">
        <w:t>onapreve</w:t>
      </w:r>
      <w:r w:rsidRPr="00530179">
        <w:t xml:space="preserve"> </w:t>
      </w:r>
      <w:r w:rsidR="00F921C2">
        <w:t>(</w:t>
      </w:r>
      <w:proofErr w:type="spellStart"/>
      <w:r w:rsidR="00F921C2" w:rsidRPr="00530179">
        <w:t>casirivimab</w:t>
      </w:r>
      <w:proofErr w:type="spellEnd"/>
      <w:r w:rsidR="00F921C2">
        <w:t>/</w:t>
      </w:r>
      <w:proofErr w:type="spellStart"/>
      <w:r w:rsidR="00F921C2">
        <w:t>imdevimab</w:t>
      </w:r>
      <w:proofErr w:type="spellEnd"/>
      <w:r w:rsidR="00F921C2">
        <w:t xml:space="preserve">), </w:t>
      </w:r>
      <w:proofErr w:type="spellStart"/>
      <w:r w:rsidR="00F921C2">
        <w:t>casirivimab</w:t>
      </w:r>
      <w:proofErr w:type="spellEnd"/>
      <w:r w:rsidR="00F921C2">
        <w:t xml:space="preserve"> 120mg/mL</w:t>
      </w:r>
      <w:r w:rsidRPr="00530179">
        <w:t xml:space="preserve"> and </w:t>
      </w:r>
      <w:proofErr w:type="spellStart"/>
      <w:r w:rsidRPr="00530179">
        <w:t>imdevimab</w:t>
      </w:r>
      <w:proofErr w:type="spellEnd"/>
      <w:r w:rsidRPr="00530179">
        <w:t xml:space="preserve"> 120</w:t>
      </w:r>
      <w:r w:rsidR="00F921C2">
        <w:t> mg/mL</w:t>
      </w:r>
      <w:r w:rsidRPr="00530179">
        <w:t xml:space="preserve"> solutions for infusion or injection in 300 mg single dose vial</w:t>
      </w:r>
      <w:r w:rsidR="00076318">
        <w:t>,</w:t>
      </w:r>
      <w:r w:rsidR="00F921C2">
        <w:t xml:space="preserve"> was </w:t>
      </w:r>
      <w:r w:rsidR="00206408">
        <w:t>registered</w:t>
      </w:r>
      <w:r w:rsidR="00F921C2">
        <w:t xml:space="preserve"> on the ARTG on 18 October 2021.</w:t>
      </w:r>
      <w:r w:rsidR="00F921C2" w:rsidRPr="00F921C2">
        <w:rPr>
          <w:vertAlign w:val="superscript"/>
        </w:rPr>
        <w:t>,</w:t>
      </w:r>
      <w:r w:rsidR="00F921C2" w:rsidRPr="00F921C2">
        <w:rPr>
          <w:rStyle w:val="FootnoteReference"/>
        </w:rPr>
        <w:footnoteReference w:id="26"/>
      </w:r>
    </w:p>
    <w:p w14:paraId="62C4C967" w14:textId="77777777" w:rsidR="00206408" w:rsidRDefault="00206408" w:rsidP="00076318">
      <w:pPr>
        <w:pStyle w:val="Heading6"/>
      </w:pPr>
      <w:r>
        <w:t>Other medicines</w:t>
      </w:r>
    </w:p>
    <w:p w14:paraId="326F50BB" w14:textId="4903FCB4" w:rsidR="00D16CBC" w:rsidRPr="00206408" w:rsidRDefault="00206408" w:rsidP="00D15B9E">
      <w:pPr>
        <w:keepNext/>
      </w:pPr>
      <w:r>
        <w:t xml:space="preserve">The following </w:t>
      </w:r>
      <w:r w:rsidR="00076318">
        <w:t>medicine, is a broad</w:t>
      </w:r>
      <w:r w:rsidR="00076318">
        <w:noBreakHyphen/>
        <w:t xml:space="preserve">spectrum antiviral medication and </w:t>
      </w:r>
      <w:r w:rsidR="00AB70B5">
        <w:t xml:space="preserve">is indicated for the treatment of COVID-19 in adults and adolescents (aged 12 years and older weighing at </w:t>
      </w:r>
      <w:r w:rsidR="00AB70B5">
        <w:lastRenderedPageBreak/>
        <w:t>least 40 kg) with pneumonia, requiring supplemental oxygen</w:t>
      </w:r>
      <w:r w:rsidR="00076318">
        <w:t xml:space="preserve">, and </w:t>
      </w:r>
      <w:r w:rsidR="00D16CBC" w:rsidRPr="00206408">
        <w:t>ha</w:t>
      </w:r>
      <w:r w:rsidR="00076318">
        <w:t>s</w:t>
      </w:r>
      <w:r w:rsidR="00D16CBC" w:rsidRPr="00206408">
        <w:t xml:space="preserve"> been granted provisional registration in Australia:</w:t>
      </w:r>
    </w:p>
    <w:p w14:paraId="00515F17" w14:textId="62466447" w:rsidR="00D16CBC" w:rsidRPr="00D16CBC" w:rsidRDefault="00206408" w:rsidP="00D16CBC">
      <w:pPr>
        <w:pStyle w:val="ListBullet"/>
      </w:pPr>
      <w:proofErr w:type="spellStart"/>
      <w:r w:rsidRPr="00530179">
        <w:t>Veklury</w:t>
      </w:r>
      <w:proofErr w:type="spellEnd"/>
      <w:r w:rsidRPr="00530179">
        <w:t xml:space="preserve"> </w:t>
      </w:r>
      <w:r>
        <w:t>(</w:t>
      </w:r>
      <w:proofErr w:type="spellStart"/>
      <w:r w:rsidR="00D16CBC" w:rsidRPr="00530179">
        <w:t>remdesivir</w:t>
      </w:r>
      <w:proofErr w:type="spellEnd"/>
      <w:r>
        <w:t>)</w:t>
      </w:r>
      <w:r w:rsidR="00D16CBC" w:rsidRPr="00530179">
        <w:t xml:space="preserve"> 100 mg powder for injection vial</w:t>
      </w:r>
      <w:r>
        <w:t>.</w:t>
      </w:r>
      <w:r w:rsidRPr="00331954">
        <w:rPr>
          <w:rStyle w:val="FootnoteReference"/>
        </w:rPr>
        <w:footnoteReference w:id="27"/>
      </w:r>
      <w:r w:rsidRPr="00331954">
        <w:rPr>
          <w:vertAlign w:val="superscript"/>
        </w:rPr>
        <w:t>,</w:t>
      </w:r>
      <w:r w:rsidRPr="00331954">
        <w:rPr>
          <w:rStyle w:val="FootnoteReference"/>
        </w:rPr>
        <w:footnoteReference w:id="28"/>
      </w:r>
    </w:p>
    <w:p w14:paraId="4CB9A9BB" w14:textId="77777777" w:rsidR="008E7846" w:rsidRPr="003F31A2" w:rsidRDefault="00386150" w:rsidP="008E7846">
      <w:pPr>
        <w:pStyle w:val="Heading3"/>
      </w:pPr>
      <w:bookmarkStart w:id="21" w:name="_Toc314842485"/>
      <w:bookmarkStart w:id="22" w:name="_Toc247691504"/>
      <w:bookmarkStart w:id="23" w:name="_Toc90280429"/>
      <w:r>
        <w:t>Regulatory s</w:t>
      </w:r>
      <w:r w:rsidR="008E7846">
        <w:t>tatus</w:t>
      </w:r>
      <w:bookmarkEnd w:id="21"/>
      <w:bookmarkEnd w:id="22"/>
      <w:bookmarkEnd w:id="23"/>
    </w:p>
    <w:p w14:paraId="09B14381" w14:textId="294626AE" w:rsidR="00006FAB" w:rsidRDefault="00006FAB" w:rsidP="00006FAB">
      <w:bookmarkStart w:id="24" w:name="_Toc247691505"/>
      <w:bookmarkStart w:id="25" w:name="_Toc314842486"/>
      <w:r>
        <w:t xml:space="preserve">The </w:t>
      </w:r>
      <w:proofErr w:type="spellStart"/>
      <w:r w:rsidR="00B9002A">
        <w:t>Comirnaty</w:t>
      </w:r>
      <w:proofErr w:type="spellEnd"/>
      <w:r w:rsidR="00B9002A">
        <w:t xml:space="preserve"> </w:t>
      </w:r>
      <w:r w:rsidR="001D1926">
        <w:t>(</w:t>
      </w:r>
      <w:proofErr w:type="spellStart"/>
      <w:r w:rsidR="00B9002A">
        <w:t>tozi</w:t>
      </w:r>
      <w:r w:rsidR="001D1926">
        <w:t>nameran</w:t>
      </w:r>
      <w:proofErr w:type="spellEnd"/>
      <w:r w:rsidR="001D1926">
        <w:t xml:space="preserve">) COVID-19 </w:t>
      </w:r>
      <w:r w:rsidR="00AB70B5">
        <w:t>v</w:t>
      </w:r>
      <w:r w:rsidR="00321F1F">
        <w:t>accine, previously referred to</w:t>
      </w:r>
      <w:r w:rsidR="00AB70B5">
        <w:t>, and registered as</w:t>
      </w:r>
      <w:r w:rsidR="00321F1F">
        <w:t xml:space="preserve"> </w:t>
      </w:r>
      <w:proofErr w:type="spellStart"/>
      <w:r w:rsidR="00321F1F">
        <w:t>Comirnaty</w:t>
      </w:r>
      <w:proofErr w:type="spellEnd"/>
      <w:r w:rsidR="00321F1F">
        <w:t xml:space="preserve"> (BNT162b2 (</w:t>
      </w:r>
      <w:r w:rsidR="00331954">
        <w:t>m</w:t>
      </w:r>
      <w:r w:rsidR="001D1926">
        <w:t xml:space="preserve">RNA)) COVID-19 </w:t>
      </w:r>
      <w:r w:rsidR="00AB70B5">
        <w:t>v</w:t>
      </w:r>
      <w:r w:rsidR="00321F1F">
        <w:t>accine</w:t>
      </w:r>
      <w:r w:rsidR="00AB70B5">
        <w:t>;</w:t>
      </w:r>
      <w:r w:rsidR="00AB70B5" w:rsidRPr="00D15B9E">
        <w:rPr>
          <w:vertAlign w:val="superscript"/>
        </w:rPr>
        <w:fldChar w:fldCharType="begin"/>
      </w:r>
      <w:r w:rsidR="00AB70B5" w:rsidRPr="00D15B9E">
        <w:rPr>
          <w:vertAlign w:val="superscript"/>
        </w:rPr>
        <w:instrText xml:space="preserve"> NOTEREF _Ref90014638 \h </w:instrText>
      </w:r>
      <w:r w:rsidR="00AB70B5">
        <w:rPr>
          <w:vertAlign w:val="superscript"/>
        </w:rPr>
        <w:instrText xml:space="preserve"> \* MERGEFORMAT </w:instrText>
      </w:r>
      <w:r w:rsidR="00AB70B5" w:rsidRPr="00D15B9E">
        <w:rPr>
          <w:vertAlign w:val="superscript"/>
        </w:rPr>
      </w:r>
      <w:r w:rsidR="00AB70B5" w:rsidRPr="00D15B9E">
        <w:rPr>
          <w:vertAlign w:val="superscript"/>
        </w:rPr>
        <w:fldChar w:fldCharType="separate"/>
      </w:r>
      <w:r w:rsidR="00AB70B5" w:rsidRPr="00D15B9E">
        <w:rPr>
          <w:vertAlign w:val="superscript"/>
        </w:rPr>
        <w:t>1</w:t>
      </w:r>
      <w:r w:rsidR="00AB70B5" w:rsidRPr="00D15B9E">
        <w:rPr>
          <w:vertAlign w:val="superscript"/>
        </w:rPr>
        <w:fldChar w:fldCharType="end"/>
      </w:r>
      <w:r>
        <w:t xml:space="preserve"> received initial </w:t>
      </w:r>
      <w:r w:rsidR="00321F1F">
        <w:t xml:space="preserve">provisional </w:t>
      </w:r>
      <w:r>
        <w:t>registration</w:t>
      </w:r>
      <w:r w:rsidR="008B5622">
        <w:t>;</w:t>
      </w:r>
      <w:r w:rsidR="008B5622">
        <w:rPr>
          <w:rStyle w:val="FootnoteReference"/>
        </w:rPr>
        <w:footnoteReference w:id="29"/>
      </w:r>
      <w:r>
        <w:t xml:space="preserve"> on the Australian Register</w:t>
      </w:r>
      <w:r w:rsidR="00321F1F">
        <w:t xml:space="preserve"> of Therapeutic Goods (ARTG) on 25</w:t>
      </w:r>
      <w:r w:rsidR="00AB70B5">
        <w:t> </w:t>
      </w:r>
      <w:r w:rsidR="00321F1F">
        <w:t>January</w:t>
      </w:r>
      <w:r w:rsidR="00AB70B5">
        <w:t> </w:t>
      </w:r>
      <w:r w:rsidR="00321F1F">
        <w:t>2021 for the following indication:</w:t>
      </w:r>
    </w:p>
    <w:p w14:paraId="7077622F" w14:textId="77777777" w:rsidR="00B9002A" w:rsidRPr="00B9002A" w:rsidRDefault="00B9002A" w:rsidP="00321F1F">
      <w:pPr>
        <w:ind w:left="720"/>
        <w:rPr>
          <w:i/>
        </w:rPr>
      </w:pPr>
      <w:proofErr w:type="spellStart"/>
      <w:r w:rsidRPr="00B9002A">
        <w:rPr>
          <w:i/>
        </w:rPr>
        <w:t>Comirnaty</w:t>
      </w:r>
      <w:proofErr w:type="spellEnd"/>
      <w:r w:rsidRPr="00B9002A">
        <w:rPr>
          <w:i/>
        </w:rPr>
        <w:t xml:space="preserve"> (BNT162b2 (mRNA)) COVID-19 vaccine has provisional approval for the indication below:</w:t>
      </w:r>
    </w:p>
    <w:p w14:paraId="2EFE995D" w14:textId="77777777" w:rsidR="00B9002A" w:rsidRPr="00B9002A" w:rsidRDefault="00B9002A" w:rsidP="00321F1F">
      <w:pPr>
        <w:ind w:left="1440"/>
        <w:rPr>
          <w:i/>
        </w:rPr>
      </w:pPr>
      <w:r w:rsidRPr="00B9002A">
        <w:rPr>
          <w:i/>
        </w:rPr>
        <w:t>Active immunisation to prevent coronavirus disease 2019 (COVID-19) caused by SARS-CoV-2, in individuals 16 years of age and older.</w:t>
      </w:r>
    </w:p>
    <w:p w14:paraId="784E5B06" w14:textId="77777777" w:rsidR="00B9002A" w:rsidRPr="00B9002A" w:rsidRDefault="00B9002A" w:rsidP="00B9002A">
      <w:pPr>
        <w:ind w:firstLine="720"/>
        <w:rPr>
          <w:i/>
        </w:rPr>
      </w:pPr>
      <w:r w:rsidRPr="00B9002A">
        <w:rPr>
          <w:i/>
        </w:rPr>
        <w:t>The use of this vaccine should be in accordance with official recommendations.</w:t>
      </w:r>
    </w:p>
    <w:p w14:paraId="7106F800" w14:textId="77777777" w:rsidR="00B9002A" w:rsidRDefault="00B9002A" w:rsidP="00B9002A">
      <w:pPr>
        <w:ind w:left="720"/>
        <w:rPr>
          <w:i/>
        </w:rPr>
      </w:pPr>
      <w:r w:rsidRPr="00B9002A">
        <w:rPr>
          <w:i/>
        </w:rPr>
        <w:t xml:space="preserve">The decision has been made on the basis of </w:t>
      </w:r>
      <w:proofErr w:type="gramStart"/>
      <w:r w:rsidRPr="00B9002A">
        <w:rPr>
          <w:i/>
        </w:rPr>
        <w:t>short term</w:t>
      </w:r>
      <w:proofErr w:type="gramEnd"/>
      <w:r w:rsidRPr="00B9002A">
        <w:rPr>
          <w:i/>
        </w:rPr>
        <w:t xml:space="preserve"> efficacy and safety data. Continued approval depends on the evidence of </w:t>
      </w:r>
      <w:proofErr w:type="gramStart"/>
      <w:r w:rsidRPr="00B9002A">
        <w:rPr>
          <w:i/>
        </w:rPr>
        <w:t>longer term</w:t>
      </w:r>
      <w:proofErr w:type="gramEnd"/>
      <w:r w:rsidRPr="00B9002A">
        <w:rPr>
          <w:i/>
        </w:rPr>
        <w:t xml:space="preserve"> efficacy and safety from ongoing clinical trials and post- market assessment.</w:t>
      </w:r>
    </w:p>
    <w:p w14:paraId="33651DE6" w14:textId="77777777" w:rsidR="00321F1F" w:rsidRDefault="00321F1F" w:rsidP="00321F1F">
      <w:r>
        <w:t>On 24 June 2021, provisional determination was granted to cover an extension of indications to include individuals of 12 to 15 years of age.</w:t>
      </w:r>
    </w:p>
    <w:p w14:paraId="4938CACF" w14:textId="3477C4DF" w:rsidR="00321F1F" w:rsidRDefault="00321F1F" w:rsidP="00321F1F">
      <w:r>
        <w:t xml:space="preserve">On 22 July 2021, provisional registration was </w:t>
      </w:r>
      <w:r w:rsidR="00226797">
        <w:t xml:space="preserve">successfully </w:t>
      </w:r>
      <w:r>
        <w:t xml:space="preserve">granted, and </w:t>
      </w:r>
      <w:proofErr w:type="spellStart"/>
      <w:r>
        <w:t>Comirnaty</w:t>
      </w:r>
      <w:proofErr w:type="spellEnd"/>
      <w:r>
        <w:t xml:space="preserve"> was listed on the ARTG for the following indication:</w:t>
      </w:r>
    </w:p>
    <w:p w14:paraId="22C94144" w14:textId="071E51DE" w:rsidR="00321F1F" w:rsidRPr="00321F1F" w:rsidRDefault="001D1926" w:rsidP="00321F1F">
      <w:pPr>
        <w:ind w:left="720"/>
        <w:rPr>
          <w:i/>
        </w:rPr>
      </w:pPr>
      <w:proofErr w:type="spellStart"/>
      <w:r>
        <w:rPr>
          <w:i/>
        </w:rPr>
        <w:t>Comirnaty</w:t>
      </w:r>
      <w:proofErr w:type="spellEnd"/>
      <w:r>
        <w:rPr>
          <w:i/>
        </w:rPr>
        <w:t xml:space="preserve"> (BNT162b2 (mRNA)</w:t>
      </w:r>
      <w:r w:rsidR="00321F1F" w:rsidRPr="00321F1F">
        <w:rPr>
          <w:i/>
        </w:rPr>
        <w:t>) COVID-19 Vaccine has provisional approval for the indication below:</w:t>
      </w:r>
    </w:p>
    <w:p w14:paraId="1DD98DEB" w14:textId="77777777" w:rsidR="00321F1F" w:rsidRPr="00321F1F" w:rsidRDefault="00321F1F" w:rsidP="00321F1F">
      <w:pPr>
        <w:ind w:left="1440"/>
        <w:rPr>
          <w:i/>
        </w:rPr>
      </w:pPr>
      <w:r w:rsidRPr="00321F1F">
        <w:rPr>
          <w:i/>
        </w:rPr>
        <w:t>Active immunisation to prevent coronavirus disease 2019 (COVID- 19) caused by SARS-CoV-2, in individuals 12 years of age and older.</w:t>
      </w:r>
    </w:p>
    <w:p w14:paraId="3E263D66" w14:textId="77777777" w:rsidR="00321F1F" w:rsidRPr="00321F1F" w:rsidRDefault="00321F1F" w:rsidP="00321F1F">
      <w:pPr>
        <w:ind w:left="720"/>
        <w:rPr>
          <w:i/>
        </w:rPr>
      </w:pPr>
      <w:r w:rsidRPr="00321F1F">
        <w:rPr>
          <w:i/>
        </w:rPr>
        <w:t>The use of this vaccine should be in accordance with official recommendations.</w:t>
      </w:r>
    </w:p>
    <w:p w14:paraId="5C0E4167" w14:textId="77777777" w:rsidR="00321F1F" w:rsidRDefault="00321F1F" w:rsidP="00321F1F">
      <w:pPr>
        <w:ind w:left="720"/>
        <w:rPr>
          <w:i/>
        </w:rPr>
      </w:pPr>
      <w:r w:rsidRPr="00321F1F">
        <w:rPr>
          <w:i/>
        </w:rPr>
        <w:t xml:space="preserve">The decision has been made on the basis of </w:t>
      </w:r>
      <w:proofErr w:type="gramStart"/>
      <w:r w:rsidRPr="00321F1F">
        <w:rPr>
          <w:i/>
        </w:rPr>
        <w:t>short term</w:t>
      </w:r>
      <w:proofErr w:type="gramEnd"/>
      <w:r w:rsidRPr="00321F1F">
        <w:rPr>
          <w:i/>
        </w:rPr>
        <w:t xml:space="preserve"> efficacy and safety data. Continued approval depends on the evidence of </w:t>
      </w:r>
      <w:proofErr w:type="gramStart"/>
      <w:r w:rsidRPr="00321F1F">
        <w:rPr>
          <w:i/>
        </w:rPr>
        <w:t>longer term</w:t>
      </w:r>
      <w:proofErr w:type="gramEnd"/>
      <w:r w:rsidRPr="00321F1F">
        <w:rPr>
          <w:i/>
        </w:rPr>
        <w:t xml:space="preserve"> efficacy and safety from ongoing clinical trials and post- market assessment.</w:t>
      </w:r>
    </w:p>
    <w:p w14:paraId="29EFF3F8" w14:textId="77777777" w:rsidR="008B5622" w:rsidRPr="008B5622" w:rsidRDefault="008B5622" w:rsidP="008B5622">
      <w:r>
        <w:t>On 12 October 2021, provisional determination was granted for an extension of indications to include the 5 to 11 years of age group.</w:t>
      </w:r>
    </w:p>
    <w:p w14:paraId="756F4BFB" w14:textId="1DE1B26F" w:rsidR="008B5622" w:rsidRPr="00530179" w:rsidRDefault="00006FAB" w:rsidP="008B5622">
      <w:pPr>
        <w:spacing w:before="0" w:after="0" w:line="240" w:lineRule="auto"/>
      </w:pPr>
      <w:r>
        <w:t xml:space="preserve">At the time the TGA considered this application, </w:t>
      </w:r>
      <w:proofErr w:type="spellStart"/>
      <w:r w:rsidR="008B5622">
        <w:t>Comirnaty</w:t>
      </w:r>
      <w:proofErr w:type="spellEnd"/>
      <w:r w:rsidR="008B5622">
        <w:t xml:space="preserve"> </w:t>
      </w:r>
      <w:r w:rsidR="00226797">
        <w:t>(</w:t>
      </w:r>
      <w:proofErr w:type="spellStart"/>
      <w:r w:rsidR="008B5622">
        <w:t>tozinameran</w:t>
      </w:r>
      <w:proofErr w:type="spellEnd"/>
      <w:r w:rsidR="008B5622">
        <w:t xml:space="preserve"> (mRNA)</w:t>
      </w:r>
      <w:r w:rsidR="00226797">
        <w:t>)</w:t>
      </w:r>
      <w:r w:rsidR="008B5622">
        <w:t xml:space="preserve"> COVID</w:t>
      </w:r>
      <w:r w:rsidR="00226797">
        <w:noBreakHyphen/>
      </w:r>
      <w:r w:rsidR="008B5622">
        <w:t xml:space="preserve">19 vaccine had been approved widely; however specific to this </w:t>
      </w:r>
      <w:r w:rsidR="4F2F190E">
        <w:t>extension</w:t>
      </w:r>
      <w:r w:rsidR="008B5622">
        <w:t xml:space="preserve"> of indications (indicated population age), </w:t>
      </w:r>
      <w:r>
        <w:t xml:space="preserve">a similar application had been approved </w:t>
      </w:r>
      <w:r w:rsidR="008B5622">
        <w:t xml:space="preserve">by the </w:t>
      </w:r>
      <w:r w:rsidR="008B5622">
        <w:lastRenderedPageBreak/>
        <w:t xml:space="preserve">United States (US) Food and Drug Administration (FDA) under an Emergency Use Authorization for individuals aged between 5 to 11 years </w:t>
      </w:r>
      <w:r w:rsidR="003A3EA9">
        <w:t xml:space="preserve">of </w:t>
      </w:r>
      <w:r w:rsidR="008B5622">
        <w:t>age as of 29 October 2021.</w:t>
      </w:r>
      <w:r w:rsidR="003A3EA9">
        <w:rPr>
          <w:rStyle w:val="FootnoteReference"/>
        </w:rPr>
        <w:footnoteReference w:id="30"/>
      </w:r>
    </w:p>
    <w:p w14:paraId="5F8A30FE" w14:textId="77777777" w:rsidR="008E7846" w:rsidRDefault="008E7846" w:rsidP="00940A89">
      <w:pPr>
        <w:pStyle w:val="Heading3"/>
      </w:pPr>
      <w:bookmarkStart w:id="26" w:name="_Toc90280430"/>
      <w:r>
        <w:t>Product Information</w:t>
      </w:r>
      <w:bookmarkEnd w:id="24"/>
      <w:bookmarkEnd w:id="25"/>
      <w:bookmarkEnd w:id="26"/>
    </w:p>
    <w:p w14:paraId="5386777C" w14:textId="77777777" w:rsidR="00940A89" w:rsidRDefault="006136D7" w:rsidP="00940A89">
      <w:bookmarkStart w:id="27" w:name="_Toc247691506"/>
      <w:bookmarkStart w:id="28"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434DDBC9" w14:textId="77777777" w:rsidR="00500337" w:rsidRDefault="00500337" w:rsidP="00500337">
      <w:pPr>
        <w:pStyle w:val="Heading2"/>
      </w:pPr>
      <w:bookmarkStart w:id="29" w:name="_Toc504480011"/>
      <w:bookmarkStart w:id="30" w:name="_Toc90280431"/>
      <w:r>
        <w:t>II. Registration timeline</w:t>
      </w:r>
      <w:bookmarkEnd w:id="29"/>
      <w:bookmarkEnd w:id="30"/>
    </w:p>
    <w:p w14:paraId="1CF575A7"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6F5A0032" w14:textId="77777777" w:rsidR="000A41FE" w:rsidRDefault="000A41FE" w:rsidP="000A41FE">
      <w:r>
        <w:t>Data were provided as a rolling submission. Under normal circumstances, the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5437212D" w14:textId="1A0C99C5" w:rsidR="006A58A8" w:rsidRPr="006A58A8" w:rsidRDefault="006A58A8" w:rsidP="006A58A8">
      <w:pPr>
        <w:pStyle w:val="TableTitle"/>
      </w:pPr>
      <w:r w:rsidRPr="006A58A8">
        <w:t xml:space="preserve">Table </w:t>
      </w:r>
      <w:r w:rsidR="00324E45">
        <w:t>2</w:t>
      </w:r>
      <w:r w:rsidR="00006FAB">
        <w:t>:</w:t>
      </w:r>
      <w:r w:rsidRPr="006A58A8">
        <w:t xml:space="preserve"> Timeline for Submission PM-20</w:t>
      </w:r>
      <w:r w:rsidR="00324E45">
        <w:t>2</w:t>
      </w:r>
      <w:r w:rsidR="00EB4D3E">
        <w:t>1-05012-1-2</w:t>
      </w:r>
    </w:p>
    <w:tbl>
      <w:tblPr>
        <w:tblStyle w:val="TableTGAblue"/>
        <w:tblW w:w="8494" w:type="dxa"/>
        <w:tblInd w:w="-5" w:type="dxa"/>
        <w:tblLook w:val="04A0" w:firstRow="1" w:lastRow="0" w:firstColumn="1" w:lastColumn="0" w:noHBand="0" w:noVBand="1"/>
      </w:tblPr>
      <w:tblGrid>
        <w:gridCol w:w="6091"/>
        <w:gridCol w:w="2403"/>
      </w:tblGrid>
      <w:tr w:rsidR="002249FE" w:rsidRPr="006E0620" w14:paraId="11244279" w14:textId="77777777" w:rsidTr="00FD7E1C">
        <w:trPr>
          <w:cnfStyle w:val="100000000000" w:firstRow="1" w:lastRow="0" w:firstColumn="0" w:lastColumn="0" w:oddVBand="0" w:evenVBand="0" w:oddHBand="0" w:evenHBand="0" w:firstRowFirstColumn="0" w:firstRowLastColumn="0" w:lastRowFirstColumn="0" w:lastRowLastColumn="0"/>
        </w:trPr>
        <w:tc>
          <w:tcPr>
            <w:tcW w:w="6091" w:type="dxa"/>
          </w:tcPr>
          <w:p w14:paraId="3911FD97" w14:textId="77777777" w:rsidR="002249FE" w:rsidRPr="006E0620" w:rsidRDefault="002249FE" w:rsidP="002249FE">
            <w:pPr>
              <w:ind w:left="0" w:right="0"/>
            </w:pPr>
            <w:r w:rsidRPr="006E0620">
              <w:t>Description</w:t>
            </w:r>
          </w:p>
        </w:tc>
        <w:tc>
          <w:tcPr>
            <w:tcW w:w="2403" w:type="dxa"/>
          </w:tcPr>
          <w:p w14:paraId="023A498C" w14:textId="77777777" w:rsidR="002249FE" w:rsidRPr="006E0620" w:rsidRDefault="002249FE" w:rsidP="002249FE">
            <w:pPr>
              <w:ind w:left="0" w:right="0"/>
            </w:pPr>
            <w:r w:rsidRPr="006E0620">
              <w:t>Date</w:t>
            </w:r>
          </w:p>
        </w:tc>
      </w:tr>
      <w:tr w:rsidR="002249FE" w:rsidRPr="006E0620" w14:paraId="69892D89" w14:textId="77777777" w:rsidTr="00FD7E1C">
        <w:tc>
          <w:tcPr>
            <w:tcW w:w="6091" w:type="dxa"/>
          </w:tcPr>
          <w:p w14:paraId="3716E1CB" w14:textId="77777777" w:rsidR="002249FE" w:rsidRPr="006E0620" w:rsidRDefault="002249FE" w:rsidP="002249FE">
            <w:pPr>
              <w:ind w:left="0" w:right="0"/>
            </w:pPr>
            <w:r w:rsidRPr="006E0620">
              <w:t>Designation (Provisional)</w:t>
            </w:r>
          </w:p>
        </w:tc>
        <w:tc>
          <w:tcPr>
            <w:tcW w:w="2403" w:type="dxa"/>
          </w:tcPr>
          <w:p w14:paraId="03E0FE51" w14:textId="77777777" w:rsidR="002249FE" w:rsidRPr="006E0620" w:rsidRDefault="002249FE" w:rsidP="002249FE">
            <w:pPr>
              <w:ind w:left="0" w:right="0"/>
            </w:pPr>
            <w:r w:rsidRPr="00773E62">
              <w:t>12 October 2021</w:t>
            </w:r>
          </w:p>
        </w:tc>
      </w:tr>
      <w:tr w:rsidR="002249FE" w:rsidRPr="006E0620" w14:paraId="0701D121" w14:textId="77777777" w:rsidTr="00FD7E1C">
        <w:tc>
          <w:tcPr>
            <w:tcW w:w="6091" w:type="dxa"/>
          </w:tcPr>
          <w:p w14:paraId="4EA4BEE1" w14:textId="77777777" w:rsidR="002249FE" w:rsidRPr="006E0620" w:rsidRDefault="002249FE" w:rsidP="002249FE">
            <w:pPr>
              <w:ind w:left="0" w:right="0"/>
            </w:pPr>
            <w:r w:rsidRPr="006E0620">
              <w:t>Submission dossier accepted</w:t>
            </w:r>
          </w:p>
        </w:tc>
        <w:tc>
          <w:tcPr>
            <w:tcW w:w="2403" w:type="dxa"/>
          </w:tcPr>
          <w:p w14:paraId="213B9CF9" w14:textId="77777777" w:rsidR="002249FE" w:rsidRPr="006E0620" w:rsidRDefault="002249FE" w:rsidP="002249FE">
            <w:pPr>
              <w:ind w:left="0" w:right="0"/>
            </w:pPr>
            <w:r>
              <w:t>1 November 2021</w:t>
            </w:r>
          </w:p>
        </w:tc>
      </w:tr>
      <w:tr w:rsidR="002249FE" w:rsidRPr="006E0620" w14:paraId="35B42D18" w14:textId="77777777" w:rsidTr="00FD7E1C">
        <w:tc>
          <w:tcPr>
            <w:tcW w:w="6091" w:type="dxa"/>
          </w:tcPr>
          <w:p w14:paraId="6BC09C34" w14:textId="77777777" w:rsidR="002249FE" w:rsidRPr="006E0620" w:rsidRDefault="002249FE" w:rsidP="002249FE">
            <w:pPr>
              <w:ind w:left="0" w:right="0"/>
            </w:pPr>
            <w:r w:rsidRPr="006E0620">
              <w:t>Evaluation completed</w:t>
            </w:r>
          </w:p>
        </w:tc>
        <w:tc>
          <w:tcPr>
            <w:tcW w:w="2403" w:type="dxa"/>
          </w:tcPr>
          <w:p w14:paraId="57356017" w14:textId="77777777" w:rsidR="002249FE" w:rsidRPr="006E0620" w:rsidRDefault="002249FE" w:rsidP="002249FE">
            <w:pPr>
              <w:ind w:left="0" w:right="0"/>
            </w:pPr>
            <w:r>
              <w:t>1 December 2021</w:t>
            </w:r>
          </w:p>
        </w:tc>
      </w:tr>
      <w:tr w:rsidR="002249FE" w:rsidRPr="006E0620" w14:paraId="1202EB03" w14:textId="77777777" w:rsidTr="00FD7E1C">
        <w:tc>
          <w:tcPr>
            <w:tcW w:w="6091" w:type="dxa"/>
          </w:tcPr>
          <w:p w14:paraId="5C32CA48" w14:textId="77777777" w:rsidR="002249FE" w:rsidRPr="006E0620" w:rsidRDefault="002249FE" w:rsidP="002249FE">
            <w:pPr>
              <w:ind w:left="0"/>
            </w:pPr>
            <w:r w:rsidRPr="006E0620">
              <w:t>Delegate’s Overall benefit-risk assessment and request for Advisory Committee advice</w:t>
            </w:r>
          </w:p>
        </w:tc>
        <w:tc>
          <w:tcPr>
            <w:tcW w:w="2403" w:type="dxa"/>
          </w:tcPr>
          <w:p w14:paraId="238720D2" w14:textId="77777777" w:rsidR="002249FE" w:rsidRPr="006E0620" w:rsidRDefault="002249FE" w:rsidP="002249FE">
            <w:pPr>
              <w:ind w:left="0" w:right="0"/>
            </w:pPr>
            <w:r>
              <w:t>19 November 2021</w:t>
            </w:r>
          </w:p>
        </w:tc>
      </w:tr>
      <w:tr w:rsidR="002249FE" w:rsidRPr="006E0620" w14:paraId="6146FAFB" w14:textId="77777777" w:rsidTr="00FD7E1C">
        <w:tc>
          <w:tcPr>
            <w:tcW w:w="6091" w:type="dxa"/>
          </w:tcPr>
          <w:p w14:paraId="14FE99F3" w14:textId="77777777" w:rsidR="002249FE" w:rsidRPr="006E0620" w:rsidRDefault="002249FE" w:rsidP="002249FE">
            <w:pPr>
              <w:ind w:left="0" w:right="0"/>
            </w:pPr>
            <w:r w:rsidRPr="006E0620">
              <w:t>Sponsor’s pre-Advisory Committee response</w:t>
            </w:r>
          </w:p>
        </w:tc>
        <w:tc>
          <w:tcPr>
            <w:tcW w:w="2403" w:type="dxa"/>
          </w:tcPr>
          <w:p w14:paraId="0664BA2D" w14:textId="77777777" w:rsidR="002249FE" w:rsidRPr="006E0620" w:rsidRDefault="002249FE" w:rsidP="002249FE">
            <w:pPr>
              <w:ind w:left="0" w:right="0"/>
            </w:pPr>
            <w:r>
              <w:t>23 November 2021</w:t>
            </w:r>
          </w:p>
        </w:tc>
      </w:tr>
      <w:tr w:rsidR="002249FE" w:rsidRPr="006E0620" w14:paraId="3D492EDF" w14:textId="77777777" w:rsidTr="00FD7E1C">
        <w:tc>
          <w:tcPr>
            <w:tcW w:w="6091" w:type="dxa"/>
          </w:tcPr>
          <w:p w14:paraId="7B175695" w14:textId="77777777" w:rsidR="002249FE" w:rsidRPr="006E0620" w:rsidRDefault="002249FE" w:rsidP="002249FE">
            <w:pPr>
              <w:ind w:left="0" w:right="0"/>
            </w:pPr>
            <w:r w:rsidRPr="006E0620">
              <w:t>Advisory Committee meeting</w:t>
            </w:r>
          </w:p>
        </w:tc>
        <w:tc>
          <w:tcPr>
            <w:tcW w:w="2403" w:type="dxa"/>
          </w:tcPr>
          <w:p w14:paraId="49618571" w14:textId="77777777" w:rsidR="002249FE" w:rsidRPr="006E0620" w:rsidRDefault="002249FE" w:rsidP="002249FE">
            <w:pPr>
              <w:ind w:left="0" w:right="0"/>
            </w:pPr>
            <w:r>
              <w:t>1 December 2021</w:t>
            </w:r>
          </w:p>
        </w:tc>
      </w:tr>
      <w:tr w:rsidR="002249FE" w:rsidRPr="006E0620" w14:paraId="473895D4" w14:textId="77777777" w:rsidTr="00FD7E1C">
        <w:tc>
          <w:tcPr>
            <w:tcW w:w="6091" w:type="dxa"/>
          </w:tcPr>
          <w:p w14:paraId="3B97ED4A" w14:textId="77777777" w:rsidR="002249FE" w:rsidRPr="006E0620" w:rsidRDefault="002249FE" w:rsidP="002249FE">
            <w:pPr>
              <w:ind w:left="0" w:right="0"/>
            </w:pPr>
            <w:r w:rsidRPr="006E0620">
              <w:t>Registration decision (Outcome)</w:t>
            </w:r>
          </w:p>
        </w:tc>
        <w:tc>
          <w:tcPr>
            <w:tcW w:w="2403" w:type="dxa"/>
          </w:tcPr>
          <w:p w14:paraId="4E770646" w14:textId="77777777" w:rsidR="002249FE" w:rsidRPr="006E0620" w:rsidRDefault="002249FE" w:rsidP="002249FE">
            <w:pPr>
              <w:ind w:left="0" w:right="0"/>
            </w:pPr>
            <w:r>
              <w:t>3 December 2021</w:t>
            </w:r>
          </w:p>
        </w:tc>
      </w:tr>
      <w:tr w:rsidR="002249FE" w:rsidRPr="006E0620" w14:paraId="4F25FAC2" w14:textId="77777777" w:rsidTr="00FD7E1C">
        <w:tc>
          <w:tcPr>
            <w:tcW w:w="6091" w:type="dxa"/>
          </w:tcPr>
          <w:p w14:paraId="60D8BD28" w14:textId="77777777" w:rsidR="002249FE" w:rsidRPr="006E0620" w:rsidRDefault="002249FE" w:rsidP="002249FE">
            <w:pPr>
              <w:ind w:left="0" w:right="0"/>
            </w:pPr>
            <w:r w:rsidRPr="006E0620">
              <w:t>Completion of administrative activities and registration on the ARTG</w:t>
            </w:r>
          </w:p>
        </w:tc>
        <w:tc>
          <w:tcPr>
            <w:tcW w:w="2403" w:type="dxa"/>
          </w:tcPr>
          <w:p w14:paraId="75DD8AE2" w14:textId="77777777" w:rsidR="002249FE" w:rsidRPr="006E0620" w:rsidRDefault="002249FE" w:rsidP="002249FE">
            <w:pPr>
              <w:ind w:left="0" w:right="0"/>
            </w:pPr>
            <w:r>
              <w:t>6 December 2021</w:t>
            </w:r>
          </w:p>
        </w:tc>
      </w:tr>
      <w:tr w:rsidR="002249FE" w:rsidRPr="006E0620" w14:paraId="74A96802" w14:textId="77777777" w:rsidTr="00FD7E1C">
        <w:tc>
          <w:tcPr>
            <w:tcW w:w="6091" w:type="dxa"/>
          </w:tcPr>
          <w:p w14:paraId="7F11CBA6" w14:textId="77777777" w:rsidR="002249FE" w:rsidRPr="006E0620" w:rsidRDefault="002249FE" w:rsidP="002249FE">
            <w:pPr>
              <w:ind w:left="0" w:right="0"/>
            </w:pPr>
            <w:r w:rsidRPr="006E0620">
              <w:t>Number of working days from submission dossier acceptance to registration decision*</w:t>
            </w:r>
          </w:p>
        </w:tc>
        <w:tc>
          <w:tcPr>
            <w:tcW w:w="2403" w:type="dxa"/>
          </w:tcPr>
          <w:p w14:paraId="68BEA413" w14:textId="77777777" w:rsidR="002249FE" w:rsidRPr="006E0620" w:rsidRDefault="002249FE" w:rsidP="002249FE">
            <w:pPr>
              <w:ind w:left="0" w:right="0"/>
            </w:pPr>
            <w:r>
              <w:t>25</w:t>
            </w:r>
          </w:p>
        </w:tc>
      </w:tr>
    </w:tbl>
    <w:p w14:paraId="508026C0" w14:textId="77777777" w:rsidR="00500337" w:rsidRDefault="00500337" w:rsidP="00500337">
      <w:pPr>
        <w:pStyle w:val="TableDescription"/>
      </w:pPr>
      <w:r>
        <w:t>*</w:t>
      </w:r>
      <w:r w:rsidR="006603BC" w:rsidRPr="006603BC">
        <w:t>Statutory timeframe for standard applications is 255 working days</w:t>
      </w:r>
    </w:p>
    <w:p w14:paraId="7CFE56ED" w14:textId="77777777" w:rsidR="008E7846" w:rsidRPr="00792A32" w:rsidRDefault="00456765" w:rsidP="008E7846">
      <w:pPr>
        <w:pStyle w:val="Heading2"/>
      </w:pPr>
      <w:bookmarkStart w:id="31" w:name="_Toc196046504"/>
      <w:bookmarkStart w:id="32" w:name="_Toc247691527"/>
      <w:bookmarkStart w:id="33" w:name="_Toc314842510"/>
      <w:bookmarkStart w:id="34" w:name="_Toc163441390"/>
      <w:bookmarkStart w:id="35" w:name="_Toc90280432"/>
      <w:bookmarkEnd w:id="27"/>
      <w:bookmarkEnd w:id="28"/>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1"/>
      <w:bookmarkEnd w:id="32"/>
      <w:bookmarkEnd w:id="33"/>
      <w:bookmarkEnd w:id="35"/>
    </w:p>
    <w:p w14:paraId="4459CF1D" w14:textId="77777777" w:rsidR="00006FAB" w:rsidRDefault="00006FAB" w:rsidP="00006FAB">
      <w:bookmarkStart w:id="36" w:name="_Toc247691528"/>
      <w:r>
        <w:t>The submission was summarised in the following Delegate’s overview and recommendations.</w:t>
      </w:r>
    </w:p>
    <w:p w14:paraId="446B5FAE" w14:textId="77777777" w:rsidR="00006FAB" w:rsidRDefault="00006FAB" w:rsidP="00006FAB">
      <w:r>
        <w:t>TGA guidance at pre-submission meetings is nonbinding and without prejudice.</w:t>
      </w:r>
    </w:p>
    <w:p w14:paraId="66426F60" w14:textId="77777777" w:rsidR="00461A9D" w:rsidRDefault="00461A9D" w:rsidP="00461A9D">
      <w:r>
        <w:t>The Delegate referred to the following TGA-adopted guidance in support of evaluating this submission:</w:t>
      </w:r>
    </w:p>
    <w:p w14:paraId="1DB79590" w14:textId="77777777" w:rsidR="00461A9D" w:rsidRPr="004245F8" w:rsidRDefault="00461A9D" w:rsidP="00461A9D">
      <w:pPr>
        <w:pStyle w:val="ListBullet"/>
      </w:pPr>
      <w:r>
        <w:t>ACCESS Consortium: Access consortium statement on COVID-19 vaccines evidence;</w:t>
      </w:r>
      <w:r>
        <w:rPr>
          <w:rStyle w:val="FootnoteReference"/>
        </w:rPr>
        <w:footnoteReference w:id="31"/>
      </w:r>
      <w:r>
        <w:rPr>
          <w:vertAlign w:val="superscript"/>
        </w:rPr>
        <w:t>,</w:t>
      </w:r>
      <w:r>
        <w:rPr>
          <w:rStyle w:val="FootnoteReference"/>
        </w:rPr>
        <w:footnoteReference w:id="32"/>
      </w:r>
    </w:p>
    <w:p w14:paraId="26F16711" w14:textId="77777777" w:rsidR="004245F8" w:rsidRDefault="004245F8" w:rsidP="00461A9D">
      <w:pPr>
        <w:pStyle w:val="ListBullet"/>
      </w:pPr>
      <w:r>
        <w:t>European Medicines Agency (EMA/EMEA): Guidelines on clinical evaluation of new vaccines (EMEA/CHMP/VWP/164653/2005);</w:t>
      </w:r>
      <w:r>
        <w:rPr>
          <w:rStyle w:val="FootnoteReference"/>
        </w:rPr>
        <w:footnoteReference w:id="33"/>
      </w:r>
    </w:p>
    <w:p w14:paraId="160BC208" w14:textId="77777777" w:rsidR="00461A9D" w:rsidRDefault="004245F8" w:rsidP="00461A9D">
      <w:r>
        <w:t>The D</w:t>
      </w:r>
      <w:r w:rsidR="00461A9D">
        <w:t xml:space="preserve">elegate </w:t>
      </w:r>
      <w:r>
        <w:t xml:space="preserve">also </w:t>
      </w:r>
      <w:r w:rsidR="00461A9D">
        <w:t>referred to the following additional guidance:</w:t>
      </w:r>
    </w:p>
    <w:p w14:paraId="5C1F71FD" w14:textId="77777777" w:rsidR="00461A9D" w:rsidRDefault="004245F8" w:rsidP="004245F8">
      <w:pPr>
        <w:pStyle w:val="ListBullet"/>
      </w:pPr>
      <w:r>
        <w:t xml:space="preserve">EMA: </w:t>
      </w:r>
      <w:r w:rsidR="00461A9D">
        <w:t>EMA considerations on COVID-19 vaccine ap</w:t>
      </w:r>
      <w:r>
        <w:t>proval (EMA/592928/2020);</w:t>
      </w:r>
      <w:r>
        <w:rPr>
          <w:rStyle w:val="FootnoteReference"/>
        </w:rPr>
        <w:footnoteReference w:id="34"/>
      </w:r>
    </w:p>
    <w:p w14:paraId="3D64E2E2" w14:textId="77777777" w:rsidR="00CD25DC" w:rsidRDefault="00895062" w:rsidP="00461A9D">
      <w:pPr>
        <w:pStyle w:val="ListBullet"/>
      </w:pPr>
      <w:r>
        <w:t>United States Food and Drug Administration (</w:t>
      </w:r>
      <w:r w:rsidR="00461A9D">
        <w:t>US FDA</w:t>
      </w:r>
      <w:r>
        <w:t>)</w:t>
      </w:r>
      <w:r w:rsidR="00461A9D">
        <w:t>: Development and licensure of vaccines to prevent C</w:t>
      </w:r>
      <w:r w:rsidR="004245F8">
        <w:t>OVID-19: guidance for industry (</w:t>
      </w:r>
      <w:r w:rsidR="004245F8" w:rsidRPr="004245F8">
        <w:t>FDA-2020-D-1137</w:t>
      </w:r>
      <w:r w:rsidR="004245F8">
        <w:t>);</w:t>
      </w:r>
      <w:r w:rsidR="004245F8">
        <w:rPr>
          <w:rStyle w:val="FootnoteReference"/>
        </w:rPr>
        <w:footnoteReference w:id="35"/>
      </w:r>
    </w:p>
    <w:p w14:paraId="6260C820" w14:textId="77777777" w:rsidR="00CD25DC" w:rsidRDefault="00461A9D" w:rsidP="00461A9D">
      <w:pPr>
        <w:pStyle w:val="ListBullet"/>
      </w:pPr>
      <w:r>
        <w:t xml:space="preserve">US FDA: Emergency use authorization for vaccines to prevent COVID-19: guidance for industry </w:t>
      </w:r>
      <w:r w:rsidR="00CD25DC">
        <w:t>(FDA-2020-D-1137);</w:t>
      </w:r>
      <w:r w:rsidR="00CD25DC">
        <w:rPr>
          <w:rStyle w:val="FootnoteReference"/>
        </w:rPr>
        <w:footnoteReference w:id="36"/>
      </w:r>
    </w:p>
    <w:p w14:paraId="35EA4D2A" w14:textId="77777777" w:rsidR="00CD25DC" w:rsidRDefault="00461A9D" w:rsidP="00461A9D">
      <w:pPr>
        <w:pStyle w:val="ListBullet"/>
      </w:pPr>
      <w:r>
        <w:t>US FDA</w:t>
      </w:r>
      <w:r w:rsidR="00CD25DC">
        <w:t>: COVID-19: D</w:t>
      </w:r>
      <w:r>
        <w:t>eveloping drugs and biological prod</w:t>
      </w:r>
      <w:r w:rsidR="00CD25DC">
        <w:t>ucts for treatment or prevention</w:t>
      </w:r>
      <w:r>
        <w:t>: guidance for industry (</w:t>
      </w:r>
      <w:r w:rsidR="00CD25DC" w:rsidRPr="00CD25DC">
        <w:t>FDA-2020-D-1370</w:t>
      </w:r>
      <w:r>
        <w:t>)</w:t>
      </w:r>
      <w:r w:rsidR="00CD25DC">
        <w:t>;</w:t>
      </w:r>
      <w:r w:rsidR="00CD25DC">
        <w:rPr>
          <w:rStyle w:val="FootnoteReference"/>
        </w:rPr>
        <w:footnoteReference w:id="37"/>
      </w:r>
    </w:p>
    <w:p w14:paraId="789F206B" w14:textId="77777777" w:rsidR="00461A9D" w:rsidRDefault="00895062" w:rsidP="00461A9D">
      <w:pPr>
        <w:pStyle w:val="ListBullet"/>
      </w:pPr>
      <w:r>
        <w:t>World Health Organization (</w:t>
      </w:r>
      <w:r w:rsidR="00461A9D">
        <w:t>WHO</w:t>
      </w:r>
      <w:r>
        <w:t>)</w:t>
      </w:r>
      <w:r w:rsidR="00461A9D">
        <w:t>: Design of vaccine efficacy trials to be used dur</w:t>
      </w:r>
      <w:r w:rsidR="00CD25DC">
        <w:t xml:space="preserve">ing public health emergencies, </w:t>
      </w:r>
      <w:r w:rsidR="00461A9D">
        <w:t xml:space="preserve">points of consideration and key principles (not </w:t>
      </w:r>
      <w:proofErr w:type="spellStart"/>
      <w:r w:rsidR="00461A9D">
        <w:t>dated</w:t>
      </w:r>
      <w:proofErr w:type="spellEnd"/>
      <w:r w:rsidR="00461A9D">
        <w:t>)</w:t>
      </w:r>
      <w:r w:rsidR="00CD25DC">
        <w:t>.</w:t>
      </w:r>
    </w:p>
    <w:p w14:paraId="0BAB92C0" w14:textId="5F10E3DC" w:rsidR="008E7846" w:rsidRDefault="008E7846" w:rsidP="008E7846">
      <w:pPr>
        <w:pStyle w:val="Heading3"/>
      </w:pPr>
      <w:bookmarkStart w:id="37" w:name="_Toc314842511"/>
      <w:bookmarkStart w:id="38" w:name="_Toc90280433"/>
      <w:r>
        <w:t>Quality</w:t>
      </w:r>
      <w:bookmarkEnd w:id="36"/>
      <w:bookmarkEnd w:id="37"/>
      <w:bookmarkEnd w:id="38"/>
    </w:p>
    <w:p w14:paraId="72560E2A" w14:textId="39026F91" w:rsidR="007A0A47" w:rsidRPr="007A0A47" w:rsidRDefault="007A0A47" w:rsidP="007A0A47">
      <w:r w:rsidRPr="007A0A47">
        <w:t xml:space="preserve">The sponsor has applied for provisional approval to extend the indications for </w:t>
      </w:r>
      <w:proofErr w:type="spellStart"/>
      <w:r w:rsidRPr="007A0A47">
        <w:t>Comirnaty</w:t>
      </w:r>
      <w:proofErr w:type="spellEnd"/>
      <w:r w:rsidRPr="007A0A47">
        <w:t xml:space="preserve"> to include children age</w:t>
      </w:r>
      <w:r w:rsidR="00C22C55">
        <w:t>d from</w:t>
      </w:r>
      <w:r w:rsidRPr="007A0A47">
        <w:t xml:space="preserve"> 5 to </w:t>
      </w:r>
      <w:r w:rsidR="00C22C55">
        <w:t xml:space="preserve">under </w:t>
      </w:r>
      <w:r w:rsidRPr="007A0A47">
        <w:t>12 years of age, with provisional designation granted by</w:t>
      </w:r>
      <w:r w:rsidR="0042716E">
        <w:t xml:space="preserve"> the</w:t>
      </w:r>
      <w:r w:rsidRPr="007A0A47">
        <w:t xml:space="preserve"> TGA on 12 October 2021. The proposed indication</w:t>
      </w:r>
      <w:r w:rsidR="0042716E">
        <w:t xml:space="preserve"> is as follows:</w:t>
      </w:r>
    </w:p>
    <w:p w14:paraId="6A6A50F9" w14:textId="77777777" w:rsidR="007A0A47" w:rsidRPr="007A0A47" w:rsidRDefault="007A0A47" w:rsidP="007A0A47">
      <w:pPr>
        <w:ind w:left="720"/>
        <w:rPr>
          <w:i/>
        </w:rPr>
      </w:pPr>
      <w:r w:rsidRPr="007A0A47">
        <w:rPr>
          <w:i/>
        </w:rPr>
        <w:t xml:space="preserve">Active immunisation to prevent coronavirus disease 2019 (COVID-19) caused by SARS-CoV-2, in individuals 5 years of age and older. The use of this vaccine should be in accordance with official recommendations. </w:t>
      </w:r>
    </w:p>
    <w:p w14:paraId="0BB15A12" w14:textId="74FB0D5C" w:rsidR="007A0A47" w:rsidRPr="0042716E" w:rsidRDefault="007A0A47" w:rsidP="0042716E">
      <w:r w:rsidRPr="0042716E">
        <w:t>Additionally, the application is accompanied by quality updates to register a new drug product formulation in 2 strengths and 2 fill volumes using a tromethamine (</w:t>
      </w:r>
      <w:r w:rsidR="00C22C55">
        <w:t>t</w:t>
      </w:r>
      <w:r w:rsidRPr="0042716E">
        <w:t>ris) buffer instead of phosphate-buffered saline. The proposed new dosage form will support the vacci</w:t>
      </w:r>
      <w:r w:rsidR="0042716E">
        <w:t>nation of different age groups:</w:t>
      </w:r>
    </w:p>
    <w:p w14:paraId="21B48A2C" w14:textId="2316F12A" w:rsidR="00E705F7" w:rsidRDefault="007A0A47" w:rsidP="00E705F7">
      <w:pPr>
        <w:numPr>
          <w:ilvl w:val="0"/>
          <w:numId w:val="15"/>
        </w:numPr>
        <w:spacing w:before="0" w:after="0" w:line="240" w:lineRule="auto"/>
        <w:rPr>
          <w:rFonts w:ascii="Calibri" w:eastAsia="Times New Roman" w:hAnsi="Calibri"/>
        </w:rPr>
      </w:pPr>
      <w:r w:rsidRPr="0042716E">
        <w:rPr>
          <w:i/>
        </w:rPr>
        <w:t>Individuals 12 years of age and older</w:t>
      </w:r>
      <w:r w:rsidRPr="0042716E">
        <w:t xml:space="preserve">: </w:t>
      </w:r>
      <w:r w:rsidR="00E705F7">
        <w:rPr>
          <w:rStyle w:val="normaltextrun"/>
          <w:color w:val="000000"/>
          <w:shd w:val="clear" w:color="auto" w:fill="FFFFFF"/>
        </w:rPr>
        <w:t>Formulated as</w:t>
      </w:r>
      <w:r w:rsidR="00AD54C1">
        <w:rPr>
          <w:rStyle w:val="normaltextrun"/>
          <w:color w:val="000000"/>
          <w:shd w:val="clear" w:color="auto" w:fill="FFFFFF"/>
        </w:rPr>
        <w:t xml:space="preserve"> </w:t>
      </w:r>
      <w:r w:rsidR="00E705F7">
        <w:rPr>
          <w:rStyle w:val="normaltextrun"/>
          <w:color w:val="000000"/>
          <w:shd w:val="clear" w:color="auto" w:fill="FFFFFF"/>
        </w:rPr>
        <w:t>dispersion for injection. Each vial has a 2.25 mL fill volume and contains 6 doses of 30 </w:t>
      </w:r>
      <w:proofErr w:type="spellStart"/>
      <w:r w:rsidR="00E705F7">
        <w:rPr>
          <w:rStyle w:val="normaltextrun"/>
          <w:color w:val="000000"/>
          <w:shd w:val="clear" w:color="auto" w:fill="FFFFFF"/>
        </w:rPr>
        <w:t>μg</w:t>
      </w:r>
      <w:proofErr w:type="spellEnd"/>
      <w:r w:rsidR="00E705F7">
        <w:rPr>
          <w:rStyle w:val="normaltextrun"/>
          <w:color w:val="000000"/>
          <w:shd w:val="clear" w:color="auto" w:fill="FFFFFF"/>
        </w:rPr>
        <w:t xml:space="preserve"> of </w:t>
      </w:r>
      <w:proofErr w:type="spellStart"/>
      <w:r w:rsidR="00E705F7">
        <w:rPr>
          <w:rStyle w:val="normaltextrun"/>
          <w:color w:val="000000"/>
          <w:shd w:val="clear" w:color="auto" w:fill="FFFFFF"/>
        </w:rPr>
        <w:t>tozinameran</w:t>
      </w:r>
      <w:proofErr w:type="spellEnd"/>
      <w:r w:rsidR="00E705F7">
        <w:rPr>
          <w:rStyle w:val="normaltextrun"/>
          <w:color w:val="000000"/>
          <w:shd w:val="clear" w:color="auto" w:fill="FFFFFF"/>
        </w:rPr>
        <w:t xml:space="preserve"> (30 </w:t>
      </w:r>
      <w:proofErr w:type="spellStart"/>
      <w:r w:rsidR="00E705F7">
        <w:rPr>
          <w:rStyle w:val="normaltextrun"/>
          <w:color w:val="000000"/>
          <w:shd w:val="clear" w:color="auto" w:fill="FFFFFF"/>
        </w:rPr>
        <w:t>μg</w:t>
      </w:r>
      <w:proofErr w:type="spellEnd"/>
      <w:r w:rsidR="00E705F7">
        <w:rPr>
          <w:rStyle w:val="normaltextrun"/>
          <w:color w:val="000000"/>
          <w:shd w:val="clear" w:color="auto" w:fill="FFFFFF"/>
        </w:rPr>
        <w:t> RNA/dose) in a 0.3 mL injection volume administered without dilution.</w:t>
      </w:r>
      <w:r w:rsidR="00E705F7">
        <w:rPr>
          <w:rStyle w:val="eop"/>
          <w:color w:val="000000"/>
          <w:shd w:val="clear" w:color="auto" w:fill="FFFFFF"/>
        </w:rPr>
        <w:t> </w:t>
      </w:r>
    </w:p>
    <w:p w14:paraId="26024FBB" w14:textId="7AA7B352" w:rsidR="007A0A47" w:rsidRDefault="007A0A47" w:rsidP="007A0A47">
      <w:pPr>
        <w:pStyle w:val="ListBullet"/>
      </w:pPr>
      <w:r w:rsidRPr="0042716E">
        <w:rPr>
          <w:i/>
        </w:rPr>
        <w:lastRenderedPageBreak/>
        <w:t>Children 5 to 11 years:</w:t>
      </w:r>
      <w:r w:rsidRPr="0042716E">
        <w:t xml:space="preserve"> Formulated as concentrate for dispersion for injection. Each vial has a 1.3 mL fill volume and requires dilution with 1.3 mL 0.9% sodium chloride prior to administration. Once diluted, the vial contains 10 do</w:t>
      </w:r>
      <w:r w:rsidR="0042716E">
        <w:t xml:space="preserve">ses of 10 </w:t>
      </w:r>
      <w:proofErr w:type="spellStart"/>
      <w:r w:rsidR="0042716E">
        <w:t>μg</w:t>
      </w:r>
      <w:proofErr w:type="spellEnd"/>
      <w:r w:rsidR="0042716E">
        <w:t xml:space="preserve"> of </w:t>
      </w:r>
      <w:proofErr w:type="spellStart"/>
      <w:r w:rsidR="0042716E">
        <w:t>tozinameran</w:t>
      </w:r>
      <w:proofErr w:type="spellEnd"/>
      <w:r w:rsidR="0042716E">
        <w:t xml:space="preserve"> (10 </w:t>
      </w:r>
      <w:proofErr w:type="spellStart"/>
      <w:r w:rsidRPr="0042716E">
        <w:t>μg</w:t>
      </w:r>
      <w:proofErr w:type="spellEnd"/>
      <w:r w:rsidRPr="0042716E">
        <w:t xml:space="preserve"> RNA/do</w:t>
      </w:r>
      <w:r w:rsidR="0042716E">
        <w:t>se) in 0.2 mL injection volume.</w:t>
      </w:r>
    </w:p>
    <w:p w14:paraId="5A14B975" w14:textId="01F1F92A" w:rsidR="0042716E" w:rsidRDefault="0042716E" w:rsidP="0042716E">
      <w:pPr>
        <w:pStyle w:val="Heading4"/>
      </w:pPr>
      <w:r>
        <w:t>Drug substance</w:t>
      </w:r>
    </w:p>
    <w:p w14:paraId="3AF06F9D" w14:textId="4CF3A768" w:rsidR="0042716E" w:rsidRPr="0042716E" w:rsidRDefault="0042716E" w:rsidP="0042716E">
      <w:r>
        <w:t xml:space="preserve">The drug substance (active ingredient: </w:t>
      </w:r>
      <w:proofErr w:type="spellStart"/>
      <w:r>
        <w:t>tozinameran</w:t>
      </w:r>
      <w:proofErr w:type="spellEnd"/>
      <w:r>
        <w:t xml:space="preserve">) used to manufacture the </w:t>
      </w:r>
      <w:r w:rsidR="00C22C55">
        <w:t>t</w:t>
      </w:r>
      <w:r>
        <w:t>ris/</w:t>
      </w:r>
      <w:r w:rsidR="00C22C55">
        <w:t>s</w:t>
      </w:r>
      <w:r>
        <w:t xml:space="preserve">ucrose drug product will be the same as that used for the current </w:t>
      </w:r>
      <w:r w:rsidR="00C22C55" w:rsidRPr="0042716E">
        <w:t xml:space="preserve">phosphate-buffered saline </w:t>
      </w:r>
      <w:r>
        <w:t>/</w:t>
      </w:r>
      <w:r w:rsidR="00C22C55">
        <w:t>s</w:t>
      </w:r>
      <w:r>
        <w:t>ucrose drug product.</w:t>
      </w:r>
    </w:p>
    <w:p w14:paraId="18C8040B" w14:textId="0BE2B100" w:rsidR="007A0A47" w:rsidRDefault="007A0A47" w:rsidP="007A0A47">
      <w:pPr>
        <w:pStyle w:val="Heading4"/>
      </w:pPr>
      <w:r>
        <w:t>Drug product</w:t>
      </w:r>
    </w:p>
    <w:p w14:paraId="40C29CC2" w14:textId="0D68D217" w:rsidR="007A0A47" w:rsidRDefault="007A0A47" w:rsidP="007A0A47">
      <w:r>
        <w:t xml:space="preserve">The </w:t>
      </w:r>
      <w:r w:rsidR="00C22C55">
        <w:t>t</w:t>
      </w:r>
      <w:r>
        <w:t>ris/</w:t>
      </w:r>
      <w:r w:rsidR="00C22C55">
        <w:t>s</w:t>
      </w:r>
      <w:r>
        <w:t xml:space="preserve">ucrose drug product is supplied as a preservative-free, sterile, multi-dose dispersion of RNA-containing lipid nanoparticles in aqueous cryoprotectant buffer for intramuscular administration and is formulated at 0.1 mg/mL RNA in a </w:t>
      </w:r>
      <w:r w:rsidR="00C22C55">
        <w:t>t</w:t>
      </w:r>
      <w:r>
        <w:t xml:space="preserve">ris / sucrose </w:t>
      </w:r>
      <w:r w:rsidR="6FD83F21">
        <w:t xml:space="preserve">buffer </w:t>
      </w:r>
      <w:r>
        <w:t>at pH 7.4.</w:t>
      </w:r>
    </w:p>
    <w:p w14:paraId="7C21F237" w14:textId="2677108C" w:rsidR="007A0A47" w:rsidRPr="007A0A47" w:rsidRDefault="007A0A47" w:rsidP="007A0A47">
      <w:r>
        <w:t xml:space="preserve">The drug product is supplied in a 2 mL glass vial sealed with a </w:t>
      </w:r>
      <w:proofErr w:type="spellStart"/>
      <w:r>
        <w:t>bromobutyl</w:t>
      </w:r>
      <w:proofErr w:type="spellEnd"/>
      <w:r>
        <w:t xml:space="preserve"> rubber stopper and an aluminium seal with flip-off plastic cap.</w:t>
      </w:r>
    </w:p>
    <w:p w14:paraId="2FEDA592" w14:textId="336BC265" w:rsidR="007A0A47" w:rsidRDefault="007A0A47" w:rsidP="007A0A47">
      <w:pPr>
        <w:pStyle w:val="Heading5"/>
      </w:pPr>
      <w:r w:rsidRPr="007A0A47">
        <w:t>Sh</w:t>
      </w:r>
      <w:r>
        <w:t>elf life and storage conditions</w:t>
      </w:r>
    </w:p>
    <w:p w14:paraId="480D684B" w14:textId="73CE12D6" w:rsidR="007A0A47" w:rsidRPr="007A0A47" w:rsidRDefault="007A0A47" w:rsidP="007A0A47">
      <w:r>
        <w:t>The following shelf life and storage conditions were placed on this vaccine:</w:t>
      </w:r>
    </w:p>
    <w:p w14:paraId="4AF5915A" w14:textId="69D1BDE7" w:rsidR="007A0A47" w:rsidRPr="007A0A47" w:rsidRDefault="007A0A47" w:rsidP="007A0A47">
      <w:pPr>
        <w:pStyle w:val="ListBullet"/>
      </w:pPr>
      <w:r>
        <w:t>six months shelf life when stored at the long-term storage condition of -90°C to -60°C; and</w:t>
      </w:r>
    </w:p>
    <w:p w14:paraId="49D61631" w14:textId="44082B32" w:rsidR="007A0A47" w:rsidRPr="007A0A47" w:rsidRDefault="007A0A47" w:rsidP="007A0A47">
      <w:pPr>
        <w:pStyle w:val="ListBullet"/>
      </w:pPr>
      <w:r>
        <w:t>an a</w:t>
      </w:r>
      <w:r w:rsidRPr="007A0A47">
        <w:t>dditional storage condition of 5</w:t>
      </w:r>
      <w:r>
        <w:t xml:space="preserve"> </w:t>
      </w:r>
      <w:r w:rsidRPr="007A0A47">
        <w:t>±3°C for up to 3 months (w</w:t>
      </w:r>
      <w:r>
        <w:t>ithin the 6-month shelf life).</w:t>
      </w:r>
    </w:p>
    <w:p w14:paraId="2FD63E4A" w14:textId="0FA772F2" w:rsidR="007A0A47" w:rsidRDefault="0042716E" w:rsidP="0042716E">
      <w:pPr>
        <w:pStyle w:val="Heading4"/>
      </w:pPr>
      <w:r>
        <w:t>Conclusion</w:t>
      </w:r>
    </w:p>
    <w:p w14:paraId="25F1569A" w14:textId="3C35E1E9" w:rsidR="0042716E" w:rsidRDefault="0042716E" w:rsidP="0042716E">
      <w:r>
        <w:t xml:space="preserve">All quality and pharmaceutical chemistry conditions have been adequately </w:t>
      </w:r>
      <w:r w:rsidR="00335269">
        <w:t>satisfied.</w:t>
      </w:r>
    </w:p>
    <w:p w14:paraId="7A2887C6" w14:textId="58FB8010" w:rsidR="00335269" w:rsidRPr="0042716E" w:rsidRDefault="00335269" w:rsidP="0042716E">
      <w:r>
        <w:t>There are no outstanding reasons to prevent approval from a quality and pharmaceutical chemistry perspective.</w:t>
      </w:r>
    </w:p>
    <w:p w14:paraId="78719873" w14:textId="6E94A83C" w:rsidR="008E7846" w:rsidRDefault="008E7846" w:rsidP="008E7846">
      <w:pPr>
        <w:pStyle w:val="Heading3"/>
      </w:pPr>
      <w:bookmarkStart w:id="39" w:name="_Toc314842512"/>
      <w:bookmarkStart w:id="40" w:name="_Toc90280434"/>
      <w:r>
        <w:t>Nonclinical</w:t>
      </w:r>
      <w:bookmarkEnd w:id="39"/>
      <w:bookmarkEnd w:id="40"/>
    </w:p>
    <w:p w14:paraId="38F264D9" w14:textId="6ACD9BDA" w:rsidR="008E7846" w:rsidRDefault="00006FAB" w:rsidP="00006FAB">
      <w:r>
        <w:t>There was no requirement for a nonclinical evaluation in a submission of this type.</w:t>
      </w:r>
    </w:p>
    <w:p w14:paraId="6CE0DA67" w14:textId="1A4B7B4D" w:rsidR="00C22C55" w:rsidRDefault="00C22C55" w:rsidP="00006FAB">
      <w:proofErr w:type="spellStart"/>
      <w:r>
        <w:t>Comirnaty</w:t>
      </w:r>
      <w:proofErr w:type="spellEnd"/>
      <w:r>
        <w:t xml:space="preserve"> (</w:t>
      </w:r>
      <w:proofErr w:type="spellStart"/>
      <w:r w:rsidR="005D1794">
        <w:t>tozinameran</w:t>
      </w:r>
      <w:proofErr w:type="spellEnd"/>
      <w:r>
        <w:t>) COVID-19 vaccine has been satisfactorily evaluated from a nonclinical perspective in the p</w:t>
      </w:r>
      <w:r w:rsidR="000F3DDD">
        <w:t>revious submissions for this drug.</w:t>
      </w:r>
    </w:p>
    <w:p w14:paraId="4613A6FB" w14:textId="5E615581" w:rsidR="008E7846" w:rsidRDefault="008E7846" w:rsidP="008E7846">
      <w:pPr>
        <w:pStyle w:val="Heading3"/>
      </w:pPr>
      <w:bookmarkStart w:id="41" w:name="_Toc247691530"/>
      <w:bookmarkStart w:id="42" w:name="_Toc314842513"/>
      <w:bookmarkStart w:id="43" w:name="_Toc90280435"/>
      <w:r>
        <w:t>Clinical</w:t>
      </w:r>
      <w:bookmarkEnd w:id="41"/>
      <w:bookmarkEnd w:id="42"/>
      <w:bookmarkEnd w:id="43"/>
    </w:p>
    <w:p w14:paraId="571A1DDD" w14:textId="55C668AE" w:rsidR="00B41980" w:rsidRPr="00B41980" w:rsidRDefault="00B41980" w:rsidP="00B41980">
      <w:r>
        <w:t>For the evaluation of the proposed extension of indications (extension to vaccinate individuals from the age of 5 years up, specifically the 5 to 11 years of age group) the sponsor supplied the Phase I and II/III Study C4591007.</w:t>
      </w:r>
    </w:p>
    <w:p w14:paraId="5DA04AFA" w14:textId="77777777" w:rsidR="00352171" w:rsidRPr="00352171" w:rsidRDefault="00352171" w:rsidP="00352171">
      <w:bookmarkStart w:id="44" w:name="_Ref86054896"/>
      <w:bookmarkStart w:id="45" w:name="_Toc314842514"/>
      <w:r w:rsidRPr="00352171">
        <w:t>Study C4591007</w:t>
      </w:r>
      <w:bookmarkEnd w:id="44"/>
      <w:r w:rsidRPr="00352171">
        <w:t xml:space="preserve"> is ongoing paediatric study in heal</w:t>
      </w:r>
      <w:r>
        <w:t xml:space="preserve">thy children from 6 months to under </w:t>
      </w:r>
      <w:r w:rsidRPr="00352171">
        <w:t>12 years of age.</w:t>
      </w:r>
    </w:p>
    <w:p w14:paraId="69693967" w14:textId="095065DF" w:rsidR="00352171" w:rsidRPr="00352171" w:rsidRDefault="00352171" w:rsidP="00352171">
      <w:r w:rsidRPr="00352171">
        <w:t xml:space="preserve">It is a randomised, placebo-controlled, Phase I, </w:t>
      </w:r>
      <w:r w:rsidR="00335269">
        <w:t>and II/</w:t>
      </w:r>
      <w:r w:rsidRPr="00352171">
        <w:t xml:space="preserve">III study, designed to evaluate </w:t>
      </w:r>
      <w:proofErr w:type="spellStart"/>
      <w:r w:rsidR="002A07C8">
        <w:t>Comirnaty</w:t>
      </w:r>
      <w:proofErr w:type="spellEnd"/>
      <w:r w:rsidR="002A07C8">
        <w:t xml:space="preserve"> (</w:t>
      </w:r>
      <w:proofErr w:type="spellStart"/>
      <w:r w:rsidR="002A07C8">
        <w:t>tozinameran</w:t>
      </w:r>
      <w:proofErr w:type="spellEnd"/>
      <w:r w:rsidR="002A07C8">
        <w:t>)</w:t>
      </w:r>
      <w:r w:rsidRPr="00352171">
        <w:t xml:space="preserve"> vaccination</w:t>
      </w:r>
      <w:r w:rsidR="002A07C8">
        <w:t xml:space="preserve"> in an age de-escalation Phase I</w:t>
      </w:r>
      <w:r w:rsidRPr="00352171">
        <w:t xml:space="preserve"> dose finding part, and </w:t>
      </w:r>
      <w:r w:rsidR="002A07C8">
        <w:t>a Phase II/III</w:t>
      </w:r>
      <w:r w:rsidRPr="00352171">
        <w:t xml:space="preserve"> selected dose part. The protoco</w:t>
      </w:r>
      <w:r w:rsidR="002A07C8">
        <w:t>l defined age groups are: 5 to under</w:t>
      </w:r>
      <w:r w:rsidR="002954CF">
        <w:t> </w:t>
      </w:r>
      <w:r w:rsidR="002A07C8">
        <w:t>12 years; 2 to under</w:t>
      </w:r>
      <w:r w:rsidRPr="00352171">
        <w:t xml:space="preserve"> 5 years</w:t>
      </w:r>
      <w:r w:rsidR="002A07C8">
        <w:t xml:space="preserve"> of age; and 6 months to under 2</w:t>
      </w:r>
      <w:r w:rsidRPr="00352171">
        <w:t xml:space="preserve"> years of age.</w:t>
      </w:r>
    </w:p>
    <w:p w14:paraId="04CC036E" w14:textId="77777777" w:rsidR="00352171" w:rsidRPr="00530179" w:rsidRDefault="00352171" w:rsidP="00352171">
      <w:pPr>
        <w:jc w:val="both"/>
      </w:pPr>
      <w:r w:rsidRPr="00530179">
        <w:lastRenderedPageBreak/>
        <w:t>The current submission is only relevant for the children 5 to 11 years of age.</w:t>
      </w:r>
    </w:p>
    <w:p w14:paraId="21AC52BA" w14:textId="77777777" w:rsidR="00352171" w:rsidRPr="002A07C8" w:rsidRDefault="002A07C8" w:rsidP="002A07C8">
      <w:pPr>
        <w:pStyle w:val="Heading4"/>
      </w:pPr>
      <w:r>
        <w:t>Study C4591007 (Phase I part)</w:t>
      </w:r>
    </w:p>
    <w:p w14:paraId="6AEE7326" w14:textId="77777777" w:rsidR="00352171" w:rsidRPr="002A07C8" w:rsidRDefault="00352171" w:rsidP="002A07C8">
      <w:r w:rsidRPr="002A07C8">
        <w:t>This is a dose finding study starting with the lowest dose in the oldest age group and then de-escalating by age group to identify a dose level that was safe, tolerable and immunogenic in each age grou</w:t>
      </w:r>
      <w:r w:rsidR="002A07C8">
        <w:t>p for advancement to the Phase II/III</w:t>
      </w:r>
      <w:r w:rsidRPr="002A07C8">
        <w:t xml:space="preserve"> study. </w:t>
      </w:r>
      <w:r w:rsidR="002A07C8">
        <w:t xml:space="preserve">The </w:t>
      </w:r>
      <w:r w:rsidRPr="002A07C8">
        <w:t>P</w:t>
      </w:r>
      <w:r w:rsidR="002A07C8">
        <w:t>hase I</w:t>
      </w:r>
      <w:r w:rsidRPr="002A07C8">
        <w:t xml:space="preserve"> study utilised the exi</w:t>
      </w:r>
      <w:r w:rsidR="002A07C8">
        <w:t xml:space="preserve">sting </w:t>
      </w:r>
      <w:proofErr w:type="spellStart"/>
      <w:r w:rsidR="002A07C8">
        <w:t>Comirnaty</w:t>
      </w:r>
      <w:proofErr w:type="spellEnd"/>
      <w:r w:rsidR="002A07C8">
        <w:t xml:space="preserve"> formulation of phosphate buffered saline/s</w:t>
      </w:r>
      <w:r w:rsidRPr="002A07C8">
        <w:t>ucrose buffered products.</w:t>
      </w:r>
    </w:p>
    <w:p w14:paraId="58C460E1" w14:textId="77777777" w:rsidR="00352171" w:rsidRPr="002A07C8" w:rsidRDefault="00352171" w:rsidP="002A07C8">
      <w:r w:rsidRPr="002A07C8">
        <w:t xml:space="preserve">Two dose </w:t>
      </w:r>
      <w:proofErr w:type="gramStart"/>
      <w:r w:rsidRPr="002A07C8">
        <w:t>schedule</w:t>
      </w:r>
      <w:proofErr w:type="gramEnd"/>
      <w:r w:rsidRPr="002A07C8">
        <w:t xml:space="preserve"> of up to 3 different dose levels (</w:t>
      </w:r>
      <w:r w:rsidR="002A07C8">
        <w:t xml:space="preserve">that is, </w:t>
      </w:r>
      <w:r w:rsidRPr="002A07C8">
        <w:t xml:space="preserve">10, 20 or 30 µg) of </w:t>
      </w:r>
      <w:proofErr w:type="spellStart"/>
      <w:r w:rsidR="002A07C8">
        <w:t>Comirnaty</w:t>
      </w:r>
      <w:proofErr w:type="spellEnd"/>
      <w:r w:rsidR="002A07C8">
        <w:t xml:space="preserve"> </w:t>
      </w:r>
      <w:r w:rsidRPr="002A07C8">
        <w:t>mRNA</w:t>
      </w:r>
      <w:r w:rsidR="002A07C8">
        <w:t xml:space="preserve"> vaccine</w:t>
      </w:r>
      <w:r w:rsidRPr="002A07C8">
        <w:t xml:space="preserve"> given 21 days apart as a primary series.</w:t>
      </w:r>
    </w:p>
    <w:p w14:paraId="00C57D1F" w14:textId="77777777" w:rsidR="00352171" w:rsidRPr="00530179" w:rsidRDefault="00352171" w:rsidP="00352171">
      <w:pPr>
        <w:jc w:val="both"/>
      </w:pPr>
      <w:r w:rsidRPr="00530179">
        <w:t>Following dose levels being were tested in each age group:</w:t>
      </w:r>
    </w:p>
    <w:p w14:paraId="335DB886" w14:textId="77777777" w:rsidR="002A07C8" w:rsidRDefault="002A07C8" w:rsidP="002A07C8">
      <w:pPr>
        <w:pStyle w:val="ListBullet"/>
      </w:pPr>
      <w:r>
        <w:t xml:space="preserve">5 to </w:t>
      </w:r>
      <w:r w:rsidR="00352171" w:rsidRPr="00530179">
        <w:t>11 years: 10, 20 and 30 µg</w:t>
      </w:r>
    </w:p>
    <w:p w14:paraId="2D7CB13E" w14:textId="77777777" w:rsidR="002A07C8" w:rsidRDefault="002A07C8" w:rsidP="002A07C8">
      <w:pPr>
        <w:pStyle w:val="ListBullet"/>
      </w:pPr>
      <w:r>
        <w:t xml:space="preserve">2 to </w:t>
      </w:r>
      <w:r w:rsidR="00352171" w:rsidRPr="00530179">
        <w:t>4 years: 3 and 10 µg</w:t>
      </w:r>
    </w:p>
    <w:p w14:paraId="23A85E38" w14:textId="77777777" w:rsidR="00352171" w:rsidRPr="00530179" w:rsidRDefault="00352171" w:rsidP="002A07C8">
      <w:pPr>
        <w:pStyle w:val="ListBullet"/>
      </w:pPr>
      <w:r w:rsidRPr="00530179">
        <w:t>6 months to 1 year: 3 µg.</w:t>
      </w:r>
    </w:p>
    <w:p w14:paraId="0D335F81" w14:textId="6C60C140" w:rsidR="00352171" w:rsidRPr="002A07C8" w:rsidRDefault="002954CF" w:rsidP="002A07C8">
      <w:r>
        <w:t>Sixteen</w:t>
      </w:r>
      <w:r w:rsidRPr="002A07C8">
        <w:t xml:space="preserve"> </w:t>
      </w:r>
      <w:r w:rsidR="00352171" w:rsidRPr="002A07C8">
        <w:t>participants per dose level for each of the 3 age groups and 3 dose levels were recruited (total n</w:t>
      </w:r>
      <w:r w:rsidR="002A07C8" w:rsidRPr="002A07C8">
        <w:t xml:space="preserve"> </w:t>
      </w:r>
      <w:r w:rsidR="00352171" w:rsidRPr="002A07C8">
        <w:t>=</w:t>
      </w:r>
      <w:r w:rsidR="002A07C8" w:rsidRPr="002A07C8">
        <w:t xml:space="preserve"> </w:t>
      </w:r>
      <w:r w:rsidR="00352171" w:rsidRPr="002A07C8">
        <w:t>144).</w:t>
      </w:r>
    </w:p>
    <w:p w14:paraId="62050E9C" w14:textId="30112C49" w:rsidR="002A07C8" w:rsidRDefault="00352171" w:rsidP="00352171">
      <w:pPr>
        <w:rPr>
          <w:noProof/>
          <w:lang w:val="en-GB" w:eastAsia="en-GB"/>
        </w:rPr>
      </w:pPr>
      <w:r w:rsidRPr="002A07C8">
        <w:t xml:space="preserve">All 16 participants assigned to the </w:t>
      </w:r>
      <w:proofErr w:type="gramStart"/>
      <w:r w:rsidRPr="002A07C8">
        <w:t>30 µg</w:t>
      </w:r>
      <w:proofErr w:type="gramEnd"/>
      <w:r w:rsidRPr="002A07C8">
        <w:t xml:space="preserve"> group in the </w:t>
      </w:r>
      <w:r w:rsidR="002A07C8" w:rsidRPr="002A07C8">
        <w:t>Phase I</w:t>
      </w:r>
      <w:r w:rsidRPr="002A07C8">
        <w:t xml:space="preserve"> study were excluded from the all-available and evaluable immunogenicity populations, given that the dose level was discontinued due to increased reactogenicity after Dose 2. An additional 2 participants (one each from the 10 and 20 µg groups) were also excluded.</w:t>
      </w:r>
    </w:p>
    <w:p w14:paraId="770E53D8" w14:textId="7B9CF9DE" w:rsidR="00637B39" w:rsidRDefault="00637B39" w:rsidP="00FD7E1C">
      <w:pPr>
        <w:pStyle w:val="FigureTitle"/>
        <w:ind w:right="-1277"/>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954CF">
        <w:rPr>
          <w:noProof/>
        </w:rPr>
        <w:t>1</w:t>
      </w:r>
      <w:r>
        <w:rPr>
          <w:color w:val="2B579A"/>
          <w:shd w:val="clear" w:color="auto" w:fill="E6E6E6"/>
        </w:rPr>
        <w:fldChar w:fldCharType="end"/>
      </w:r>
      <w:r>
        <w:t xml:space="preserve">: </w:t>
      </w:r>
      <w:r w:rsidR="002954CF">
        <w:t xml:space="preserve">Study C4591007 schema for </w:t>
      </w:r>
      <w:r>
        <w:t>Phase I dose-finding and Phase</w:t>
      </w:r>
      <w:r w:rsidR="002954CF">
        <w:t> </w:t>
      </w:r>
      <w:r>
        <w:t>II/III</w:t>
      </w:r>
      <w:r w:rsidR="002954CF">
        <w:t> </w:t>
      </w:r>
      <w:r>
        <w:t>selected-d</w:t>
      </w:r>
      <w:r w:rsidRPr="00055594">
        <w:t>ose</w:t>
      </w:r>
      <w:r>
        <w:t xml:space="preserve"> studies</w:t>
      </w:r>
    </w:p>
    <w:p w14:paraId="7BB36D77" w14:textId="77777777" w:rsidR="00352171" w:rsidRDefault="002A07C8" w:rsidP="00FD7E1C">
      <w:r w:rsidRPr="00637B39">
        <w:rPr>
          <w:noProof/>
          <w:shd w:val="clear" w:color="auto" w:fill="E6E6E6"/>
          <w:lang w:val="en-GB" w:eastAsia="en-GB"/>
        </w:rPr>
        <w:drawing>
          <wp:inline distT="0" distB="0" distL="0" distR="0" wp14:anchorId="02224E9C" wp14:editId="2AD961A5">
            <wp:extent cx="4437896" cy="2997641"/>
            <wp:effectExtent l="0" t="0" r="1270" b="0"/>
            <wp:docPr id="12" name="Picture 12" descr="Figure 1: Study C4591007 schema for Phase I dose-finding and Phase II/III selected-do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Study C4591007 schema for Phase I dose-finding and Phase II/III selected-dose studies"/>
                    <pic:cNvPicPr>
                      <a:picLocks noChangeAspect="1" noChangeArrowheads="1"/>
                    </pic:cNvPicPr>
                  </pic:nvPicPr>
                  <pic:blipFill rotWithShape="1">
                    <a:blip r:embed="rId21">
                      <a:extLst>
                        <a:ext uri="{28A0092B-C50C-407E-A947-70E740481C1C}">
                          <a14:useLocalDpi xmlns:a14="http://schemas.microsoft.com/office/drawing/2010/main" val="0"/>
                        </a:ext>
                      </a:extLst>
                    </a:blip>
                    <a:srcRect l="4446" t="4474" b="25998"/>
                    <a:stretch/>
                  </pic:blipFill>
                  <pic:spPr bwMode="auto">
                    <a:xfrm>
                      <a:off x="0" y="0"/>
                      <a:ext cx="4496780" cy="3037415"/>
                    </a:xfrm>
                    <a:prstGeom prst="rect">
                      <a:avLst/>
                    </a:prstGeom>
                    <a:noFill/>
                    <a:ln>
                      <a:noFill/>
                    </a:ln>
                    <a:extLst>
                      <a:ext uri="{53640926-AAD7-44D8-BBD7-CCE9431645EC}">
                        <a14:shadowObscured xmlns:a14="http://schemas.microsoft.com/office/drawing/2010/main"/>
                      </a:ext>
                    </a:extLst>
                  </pic:spPr>
                </pic:pic>
              </a:graphicData>
            </a:graphic>
          </wp:inline>
        </w:drawing>
      </w:r>
    </w:p>
    <w:p w14:paraId="2D7B72EE" w14:textId="77777777" w:rsidR="002A07C8" w:rsidRDefault="002A07C8" w:rsidP="00D15B9E">
      <w:pPr>
        <w:pStyle w:val="FigureDescription"/>
        <w:keepNext/>
      </w:pPr>
      <w:r>
        <w:t>Abbreviations: IRC = internal review committee.</w:t>
      </w:r>
    </w:p>
    <w:p w14:paraId="73F4E24F" w14:textId="4807E818" w:rsidR="002A07C8" w:rsidRDefault="002A07C8" w:rsidP="00D15B9E">
      <w:pPr>
        <w:pStyle w:val="FigureDescription"/>
        <w:keepNext/>
      </w:pPr>
      <w:r>
        <w:t xml:space="preserve">a: In each age group, if the low dose level was considered not acceptable based on safety assessment after Dose 1, the mid dose level or high dose level would not commence. In </w:t>
      </w:r>
      <w:r w:rsidR="005D1794">
        <w:t>this</w:t>
      </w:r>
      <w:r>
        <w:t xml:space="preserve"> case, an optional lower dose level may have commenced.</w:t>
      </w:r>
    </w:p>
    <w:p w14:paraId="149AE657" w14:textId="09FC1BE3" w:rsidR="002A07C8" w:rsidRDefault="002A07C8" w:rsidP="00D15B9E">
      <w:pPr>
        <w:pStyle w:val="FigureDescription"/>
        <w:keepNext/>
      </w:pPr>
      <w:r>
        <w:t>b: The IRC reviewed safety data (e-diaries and adverse events) acquired up to 7 days after Dose 1 in the low dose level group, and dosing could commence at the low-dose level in the next age group based upon confirmation of an acceptable safety assessment at this review.</w:t>
      </w:r>
    </w:p>
    <w:p w14:paraId="158351FA" w14:textId="161EBADE" w:rsidR="002A07C8" w:rsidRDefault="00637B39" w:rsidP="00637B39">
      <w:pPr>
        <w:pStyle w:val="FigureDescription"/>
      </w:pPr>
      <w:r>
        <w:t xml:space="preserve">c: IRC choice of dose level for each age group. Dependent on safety, </w:t>
      </w:r>
      <w:r w:rsidR="005D1794">
        <w:t>tolerability,</w:t>
      </w:r>
      <w:r>
        <w:t xml:space="preserve"> and immunogenicity data from 7 days after Dose 2 in each age group.</w:t>
      </w:r>
    </w:p>
    <w:p w14:paraId="69ECAA67" w14:textId="77777777" w:rsidR="00637B39" w:rsidRDefault="00637B39" w:rsidP="002954CF">
      <w:pPr>
        <w:pStyle w:val="Heading5"/>
      </w:pPr>
      <w:r>
        <w:lastRenderedPageBreak/>
        <w:t>Phase I study objectives</w:t>
      </w:r>
    </w:p>
    <w:p w14:paraId="37520F4E" w14:textId="06DD31AE" w:rsidR="00AC5069" w:rsidRDefault="00AC5069" w:rsidP="002954CF">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2954CF">
        <w:rPr>
          <w:noProof/>
        </w:rPr>
        <w:t>3</w:t>
      </w:r>
      <w:r>
        <w:rPr>
          <w:color w:val="2B579A"/>
          <w:shd w:val="clear" w:color="auto" w:fill="E6E6E6"/>
        </w:rPr>
        <w:fldChar w:fldCharType="end"/>
      </w:r>
      <w:r>
        <w:t xml:space="preserve">: Phase I </w:t>
      </w:r>
      <w:r w:rsidR="008B5252">
        <w:t xml:space="preserve">objectives, </w:t>
      </w:r>
      <w:proofErr w:type="spellStart"/>
      <w:r w:rsidR="008B5252">
        <w:t>estimands</w:t>
      </w:r>
      <w:proofErr w:type="spellEnd"/>
      <w:r w:rsidR="008B5252">
        <w:t xml:space="preserve"> and endpoints (efficacy and immunogenicity)</w:t>
      </w:r>
    </w:p>
    <w:tbl>
      <w:tblPr>
        <w:tblStyle w:val="TableTGAblue"/>
        <w:tblW w:w="0" w:type="auto"/>
        <w:tblLook w:val="04A0" w:firstRow="1" w:lastRow="0" w:firstColumn="1" w:lastColumn="0" w:noHBand="0" w:noVBand="1"/>
      </w:tblPr>
      <w:tblGrid>
        <w:gridCol w:w="2827"/>
        <w:gridCol w:w="2828"/>
        <w:gridCol w:w="2829"/>
      </w:tblGrid>
      <w:tr w:rsidR="00637B39" w:rsidRPr="00637B39" w14:paraId="6C047B81" w14:textId="77777777" w:rsidTr="00AC5069">
        <w:trPr>
          <w:cnfStyle w:val="100000000000" w:firstRow="1" w:lastRow="0" w:firstColumn="0" w:lastColumn="0" w:oddVBand="0" w:evenVBand="0" w:oddHBand="0" w:evenHBand="0" w:firstRowFirstColumn="0" w:firstRowLastColumn="0" w:lastRowFirstColumn="0" w:lastRowLastColumn="0"/>
        </w:trPr>
        <w:tc>
          <w:tcPr>
            <w:tcW w:w="2827" w:type="dxa"/>
          </w:tcPr>
          <w:p w14:paraId="6221EDAA" w14:textId="77777777" w:rsidR="00637B39" w:rsidRPr="00637B39" w:rsidRDefault="00637B39" w:rsidP="002954CF">
            <w:r w:rsidRPr="00637B39">
              <w:t>Objectives</w:t>
            </w:r>
          </w:p>
        </w:tc>
        <w:tc>
          <w:tcPr>
            <w:tcW w:w="2828" w:type="dxa"/>
          </w:tcPr>
          <w:p w14:paraId="4AA773CA" w14:textId="77777777" w:rsidR="00637B39" w:rsidRPr="00637B39" w:rsidRDefault="00637B39" w:rsidP="00317D77">
            <w:proofErr w:type="spellStart"/>
            <w:r w:rsidRPr="00637B39">
              <w:t>Estimands</w:t>
            </w:r>
            <w:proofErr w:type="spellEnd"/>
          </w:p>
        </w:tc>
        <w:tc>
          <w:tcPr>
            <w:tcW w:w="2829" w:type="dxa"/>
          </w:tcPr>
          <w:p w14:paraId="1511EED7" w14:textId="77777777" w:rsidR="00637B39" w:rsidRPr="00637B39" w:rsidRDefault="00637B39" w:rsidP="00E705F7">
            <w:r w:rsidRPr="00637B39">
              <w:t>Endpoints</w:t>
            </w:r>
          </w:p>
        </w:tc>
      </w:tr>
      <w:tr w:rsidR="00637B39" w:rsidRPr="00637B39" w14:paraId="7DAE1904" w14:textId="77777777" w:rsidTr="00AC5069">
        <w:tc>
          <w:tcPr>
            <w:tcW w:w="2827" w:type="dxa"/>
          </w:tcPr>
          <w:p w14:paraId="0302F60F" w14:textId="77777777" w:rsidR="00637B39" w:rsidRPr="00637B39" w:rsidRDefault="00637B39" w:rsidP="00D15B9E">
            <w:pPr>
              <w:keepNext/>
            </w:pPr>
            <w:r>
              <w:t>Secondary: To describe the immune responses elicited by prophylactic vaccine at each dose level in each age group</w:t>
            </w:r>
          </w:p>
        </w:tc>
        <w:tc>
          <w:tcPr>
            <w:tcW w:w="2828" w:type="dxa"/>
          </w:tcPr>
          <w:p w14:paraId="23A64A09" w14:textId="77777777" w:rsidR="00637B39" w:rsidRPr="00637B39" w:rsidRDefault="00637B39" w:rsidP="00D15B9E">
            <w:pPr>
              <w:keepNext/>
            </w:pPr>
            <w:r>
              <w:t>Secondary: In participants complying with the key protocol criteria in each age group: GMTs at 7 days after Dose 2</w:t>
            </w:r>
          </w:p>
        </w:tc>
        <w:tc>
          <w:tcPr>
            <w:tcW w:w="2829" w:type="dxa"/>
          </w:tcPr>
          <w:p w14:paraId="3D72F1AC" w14:textId="77777777" w:rsidR="00637B39" w:rsidRPr="00637B39" w:rsidRDefault="00637B39" w:rsidP="00D15B9E">
            <w:pPr>
              <w:keepNext/>
            </w:pPr>
            <w:r>
              <w:t>Secondary: SARS-CoV-2 neutralising titres</w:t>
            </w:r>
          </w:p>
        </w:tc>
      </w:tr>
      <w:tr w:rsidR="00637B39" w:rsidRPr="00637B39" w14:paraId="615A5B66" w14:textId="77777777" w:rsidTr="008B5252">
        <w:trPr>
          <w:cantSplit/>
        </w:trPr>
        <w:tc>
          <w:tcPr>
            <w:tcW w:w="2827" w:type="dxa"/>
          </w:tcPr>
          <w:p w14:paraId="1B029DE0" w14:textId="77777777" w:rsidR="00637B39" w:rsidRPr="00637B39" w:rsidRDefault="00637B39" w:rsidP="00637B39">
            <w:r>
              <w:t>Exploratory: To describe COVID-19 and severe COVID-19 cases with and without serological or virological evidence of past SARS-CoV-2 infection</w:t>
            </w:r>
          </w:p>
        </w:tc>
        <w:tc>
          <w:tcPr>
            <w:tcW w:w="2828" w:type="dxa"/>
          </w:tcPr>
          <w:p w14:paraId="4E6F51BF" w14:textId="77777777" w:rsidR="00637B39" w:rsidRPr="00637B39" w:rsidRDefault="00637B39" w:rsidP="00637B39"/>
        </w:tc>
        <w:tc>
          <w:tcPr>
            <w:tcW w:w="2829" w:type="dxa"/>
          </w:tcPr>
          <w:p w14:paraId="1F9FEF25" w14:textId="77777777" w:rsidR="00637B39" w:rsidRDefault="00AC5069" w:rsidP="00637B39">
            <w:r>
              <w:t>Confirmed COVID-19 cases</w:t>
            </w:r>
          </w:p>
          <w:p w14:paraId="55A6215A" w14:textId="77777777" w:rsidR="00AC5069" w:rsidRPr="00637B39" w:rsidRDefault="00AC5069" w:rsidP="00637B39">
            <w:r>
              <w:t>Confirmed severe COVID-19 cases</w:t>
            </w:r>
          </w:p>
        </w:tc>
      </w:tr>
      <w:tr w:rsidR="00637B39" w:rsidRPr="00637B39" w14:paraId="3846F64A" w14:textId="77777777" w:rsidTr="00AC5069">
        <w:tc>
          <w:tcPr>
            <w:tcW w:w="2827" w:type="dxa"/>
          </w:tcPr>
          <w:p w14:paraId="627152DC" w14:textId="77777777" w:rsidR="00637B39" w:rsidRPr="00637B39" w:rsidRDefault="00AC5069" w:rsidP="00AC5069">
            <w:r>
              <w:t>Exploratory: To describe MIS-C cases with and without evidence of past SARS-CoV-2 infection</w:t>
            </w:r>
          </w:p>
        </w:tc>
        <w:tc>
          <w:tcPr>
            <w:tcW w:w="2828" w:type="dxa"/>
          </w:tcPr>
          <w:p w14:paraId="3084B6F6" w14:textId="77777777" w:rsidR="00637B39" w:rsidRPr="00637B39" w:rsidRDefault="00637B39" w:rsidP="00637B39"/>
        </w:tc>
        <w:tc>
          <w:tcPr>
            <w:tcW w:w="2829" w:type="dxa"/>
          </w:tcPr>
          <w:p w14:paraId="6E6BCA90" w14:textId="77777777" w:rsidR="00637B39" w:rsidRPr="00637B39" w:rsidRDefault="00AC5069" w:rsidP="00637B39">
            <w:r>
              <w:t>Confirmed cases as per CDC criteria</w:t>
            </w:r>
          </w:p>
        </w:tc>
      </w:tr>
    </w:tbl>
    <w:p w14:paraId="15635804" w14:textId="44D5F131" w:rsidR="00AC5069" w:rsidRDefault="00AC5069" w:rsidP="00AC5069">
      <w:pPr>
        <w:pStyle w:val="TableDescription"/>
      </w:pPr>
      <w:r>
        <w:t xml:space="preserve">CDC = </w:t>
      </w:r>
      <w:proofErr w:type="spellStart"/>
      <w:r>
        <w:t>Centers</w:t>
      </w:r>
      <w:proofErr w:type="spellEnd"/>
      <w:r>
        <w:t xml:space="preserve"> for Disease Control</w:t>
      </w:r>
      <w:r w:rsidR="002954CF">
        <w:t xml:space="preserve"> and Prevention</w:t>
      </w:r>
      <w:r>
        <w:t>; GMT = geometric mean titre; MIS-C = m</w:t>
      </w:r>
      <w:r w:rsidRPr="00AC5069">
        <w:t>ultisystem inflammatory syndrome in children</w:t>
      </w:r>
      <w:r w:rsidR="008B5252">
        <w:t>; CSR = clinical study report</w:t>
      </w:r>
    </w:p>
    <w:p w14:paraId="1F3450D8" w14:textId="77777777" w:rsidR="00AC5069" w:rsidRDefault="00AC5069" w:rsidP="00AC5069">
      <w:pPr>
        <w:pStyle w:val="TableDescription"/>
      </w:pPr>
      <w:r>
        <w:t>a: Results included in the interim CSR only for participants 5 to &lt; 12 years of age.</w:t>
      </w:r>
    </w:p>
    <w:p w14:paraId="350E3B92" w14:textId="77777777" w:rsidR="00AC5069" w:rsidRDefault="00AC5069" w:rsidP="00AC5069">
      <w:pPr>
        <w:pStyle w:val="TableDescription"/>
      </w:pPr>
      <w:r>
        <w:t>b: Results not included interim CSR.</w:t>
      </w:r>
    </w:p>
    <w:p w14:paraId="7E10265A" w14:textId="3DD02974" w:rsidR="00637B39" w:rsidRDefault="00AC5069" w:rsidP="00AC5069">
      <w:pPr>
        <w:pStyle w:val="TableDescription"/>
      </w:pPr>
      <w:r>
        <w:t xml:space="preserve">c: Results through data </w:t>
      </w:r>
      <w:proofErr w:type="spellStart"/>
      <w:r w:rsidR="005D1794">
        <w:t>cut off</w:t>
      </w:r>
      <w:proofErr w:type="spellEnd"/>
      <w:r>
        <w:t xml:space="preserve"> date are included in interim CSR.</w:t>
      </w:r>
    </w:p>
    <w:p w14:paraId="4C9C547D" w14:textId="77777777" w:rsidR="00593868" w:rsidRPr="00530179" w:rsidRDefault="00593868" w:rsidP="00593868">
      <w:pPr>
        <w:pStyle w:val="Heading5"/>
      </w:pPr>
      <w:r w:rsidRPr="00530179">
        <w:t>Procedures</w:t>
      </w:r>
    </w:p>
    <w:p w14:paraId="24621AC0" w14:textId="502AC038" w:rsidR="00593868" w:rsidRPr="00530179" w:rsidRDefault="00593868" w:rsidP="00593868">
      <w:pPr>
        <w:jc w:val="both"/>
        <w:rPr>
          <w:lang w:eastAsia="ja-JP"/>
        </w:rPr>
      </w:pPr>
      <w:r w:rsidRPr="00530179">
        <w:rPr>
          <w:lang w:eastAsia="ja-JP"/>
        </w:rPr>
        <w:t>Serum samples for immunogenicity testing were obtained on be</w:t>
      </w:r>
      <w:r>
        <w:rPr>
          <w:lang w:eastAsia="ja-JP"/>
        </w:rPr>
        <w:t xml:space="preserve">fore Dose 1, before Dose 2 and </w:t>
      </w:r>
      <w:r w:rsidRPr="00530179">
        <w:rPr>
          <w:lang w:eastAsia="ja-JP"/>
        </w:rPr>
        <w:t xml:space="preserve">about </w:t>
      </w:r>
      <w:r w:rsidR="002954CF">
        <w:rPr>
          <w:lang w:eastAsia="ja-JP"/>
        </w:rPr>
        <w:t>one</w:t>
      </w:r>
      <w:r w:rsidRPr="00530179">
        <w:rPr>
          <w:lang w:eastAsia="ja-JP"/>
        </w:rPr>
        <w:t xml:space="preserve"> week after Dose 2.</w:t>
      </w:r>
    </w:p>
    <w:p w14:paraId="62A8FB55" w14:textId="77777777" w:rsidR="00593868" w:rsidRPr="00530179" w:rsidRDefault="00593868" w:rsidP="00593868">
      <w:pPr>
        <w:rPr>
          <w:b/>
          <w:bCs/>
          <w:i/>
          <w:u w:val="single"/>
        </w:rPr>
      </w:pPr>
      <w:r>
        <w:rPr>
          <w:lang w:eastAsia="ja-JP"/>
        </w:rPr>
        <w:t>Phase I</w:t>
      </w:r>
      <w:r w:rsidRPr="00530179">
        <w:rPr>
          <w:lang w:eastAsia="ja-JP"/>
        </w:rPr>
        <w:t xml:space="preserve"> data are presented to the 7 days post-Dose 2 time point, for participants without serological or virological evidence of SARS-CoV-2 infection up to that time</w:t>
      </w:r>
    </w:p>
    <w:p w14:paraId="07BEE5F1" w14:textId="77777777" w:rsidR="00593868" w:rsidRPr="00530179" w:rsidRDefault="00593868" w:rsidP="00593868">
      <w:pPr>
        <w:pStyle w:val="Heading5"/>
      </w:pPr>
      <w:r>
        <w:t>Disposition of p</w:t>
      </w:r>
      <w:r w:rsidRPr="00530179">
        <w:t>articipants</w:t>
      </w:r>
    </w:p>
    <w:p w14:paraId="4187FDE8" w14:textId="77777777" w:rsidR="00593868" w:rsidRPr="00530179" w:rsidRDefault="00593868" w:rsidP="00593868">
      <w:pPr>
        <w:rPr>
          <w:bCs/>
        </w:rPr>
      </w:pPr>
      <w:r w:rsidRPr="00530179">
        <w:rPr>
          <w:bCs/>
        </w:rPr>
        <w:t xml:space="preserve">A total of 48 (98.0%) </w:t>
      </w:r>
      <w:r>
        <w:rPr>
          <w:bCs/>
        </w:rPr>
        <w:t xml:space="preserve">participants assigned to the 10 </w:t>
      </w:r>
      <w:proofErr w:type="spellStart"/>
      <w:r>
        <w:rPr>
          <w:bCs/>
        </w:rPr>
        <w:t>μg</w:t>
      </w:r>
      <w:proofErr w:type="spellEnd"/>
      <w:r>
        <w:rPr>
          <w:bCs/>
        </w:rPr>
        <w:t xml:space="preserve">, 20 </w:t>
      </w:r>
      <w:proofErr w:type="spellStart"/>
      <w:r>
        <w:rPr>
          <w:bCs/>
        </w:rPr>
        <w:t>μg</w:t>
      </w:r>
      <w:proofErr w:type="spellEnd"/>
      <w:r>
        <w:rPr>
          <w:bCs/>
        </w:rPr>
        <w:t xml:space="preserve">, and 30 </w:t>
      </w:r>
      <w:proofErr w:type="spellStart"/>
      <w:r w:rsidRPr="00530179">
        <w:rPr>
          <w:bCs/>
        </w:rPr>
        <w:t>μg</w:t>
      </w:r>
      <w:proofErr w:type="spellEnd"/>
      <w:r w:rsidRPr="00530179">
        <w:rPr>
          <w:bCs/>
        </w:rPr>
        <w:t xml:space="preserve"> dose level groups (N</w:t>
      </w:r>
      <w:r>
        <w:rPr>
          <w:bCs/>
        </w:rPr>
        <w:t> </w:t>
      </w:r>
      <w:r w:rsidRPr="00530179">
        <w:rPr>
          <w:bCs/>
        </w:rPr>
        <w:t>=</w:t>
      </w:r>
      <w:r>
        <w:rPr>
          <w:bCs/>
        </w:rPr>
        <w:t> </w:t>
      </w:r>
      <w:r w:rsidRPr="00530179">
        <w:rPr>
          <w:bCs/>
        </w:rPr>
        <w:t xml:space="preserve">16 each) received 2 doses of </w:t>
      </w:r>
      <w:proofErr w:type="spellStart"/>
      <w:r>
        <w:rPr>
          <w:bCs/>
        </w:rPr>
        <w:t>Comirnaty</w:t>
      </w:r>
      <w:proofErr w:type="spellEnd"/>
      <w:r>
        <w:rPr>
          <w:bCs/>
        </w:rPr>
        <w:t xml:space="preserve"> vaccine and completed the 1-month post</w:t>
      </w:r>
      <w:r>
        <w:rPr>
          <w:bCs/>
        </w:rPr>
        <w:noBreakHyphen/>
        <w:t xml:space="preserve">Dose 2 visit. One </w:t>
      </w:r>
      <w:r w:rsidRPr="00530179">
        <w:rPr>
          <w:bCs/>
        </w:rPr>
        <w:t>additional</w:t>
      </w:r>
      <w:r>
        <w:rPr>
          <w:bCs/>
        </w:rPr>
        <w:t xml:space="preserve"> participant assigned to the 20 </w:t>
      </w:r>
      <w:proofErr w:type="spellStart"/>
      <w:r w:rsidRPr="00530179">
        <w:rPr>
          <w:bCs/>
        </w:rPr>
        <w:t>μg</w:t>
      </w:r>
      <w:proofErr w:type="spellEnd"/>
      <w:r w:rsidRPr="00530179">
        <w:rPr>
          <w:bCs/>
        </w:rPr>
        <w:t xml:space="preserve"> dose level group did not receive </w:t>
      </w:r>
      <w:r>
        <w:rPr>
          <w:bCs/>
        </w:rPr>
        <w:t>the vaccine</w:t>
      </w:r>
      <w:r w:rsidRPr="00530179">
        <w:rPr>
          <w:bCs/>
        </w:rPr>
        <w:t>. No participants</w:t>
      </w:r>
      <w:r>
        <w:rPr>
          <w:bCs/>
        </w:rPr>
        <w:t xml:space="preserve"> were withdrawn from the Phase I</w:t>
      </w:r>
      <w:r w:rsidRPr="00530179">
        <w:rPr>
          <w:bCs/>
        </w:rPr>
        <w:t xml:space="preserve"> part of the study.</w:t>
      </w:r>
    </w:p>
    <w:p w14:paraId="19247F55" w14:textId="5B9D93BE" w:rsidR="00593868" w:rsidRPr="00593868" w:rsidRDefault="00593868" w:rsidP="00593868">
      <w:r w:rsidRPr="00593868">
        <w:t>Due to observed reactogenicity in the initial 4</w:t>
      </w:r>
      <w:r w:rsidR="00AC2ACA">
        <w:t xml:space="preserve"> out of </w:t>
      </w:r>
      <w:r w:rsidRPr="00593868">
        <w:t>16 participants of the assigned 30 </w:t>
      </w:r>
      <w:proofErr w:type="spellStart"/>
      <w:r w:rsidRPr="00593868">
        <w:t>μg</w:t>
      </w:r>
      <w:proofErr w:type="spellEnd"/>
      <w:r w:rsidRPr="00593868">
        <w:t xml:space="preserve"> dose level group after receiving both doses, an internal review committee (IRC) decision was made for the remaining 12</w:t>
      </w:r>
      <w:r w:rsidR="00AC2ACA">
        <w:t xml:space="preserve"> of the </w:t>
      </w:r>
      <w:r w:rsidRPr="00593868">
        <w:t>16 participants in the dose level group to receive the same dose tha</w:t>
      </w:r>
      <w:r>
        <w:t xml:space="preserve">t was to be selected for Phase II/III (10 </w:t>
      </w:r>
      <w:proofErr w:type="spellStart"/>
      <w:r>
        <w:t>μg</w:t>
      </w:r>
      <w:proofErr w:type="spellEnd"/>
      <w:r>
        <w:t>) at Dose 2, and the 30 </w:t>
      </w:r>
      <w:proofErr w:type="spellStart"/>
      <w:r w:rsidRPr="00593868">
        <w:t>μg</w:t>
      </w:r>
      <w:proofErr w:type="spellEnd"/>
      <w:r w:rsidRPr="00593868">
        <w:t xml:space="preserve"> dose level was discontinued in the study. </w:t>
      </w:r>
      <w:r>
        <w:t xml:space="preserve">Phase I immunogenicity results in the clinical study report </w:t>
      </w:r>
      <w:r w:rsidRPr="00593868">
        <w:t xml:space="preserve">are not presented </w:t>
      </w:r>
      <w:r>
        <w:t xml:space="preserve">for the 30 </w:t>
      </w:r>
      <w:proofErr w:type="spellStart"/>
      <w:r w:rsidRPr="00593868">
        <w:t>μg</w:t>
      </w:r>
      <w:proofErr w:type="spellEnd"/>
      <w:r w:rsidRPr="00593868">
        <w:t xml:space="preserve"> dose level group.</w:t>
      </w:r>
    </w:p>
    <w:p w14:paraId="28358F63" w14:textId="0FA4420B" w:rsidR="00593868" w:rsidRPr="00593868" w:rsidRDefault="00593868" w:rsidP="00593868">
      <w:r w:rsidRPr="00593868">
        <w:t xml:space="preserve">All </w:t>
      </w:r>
      <w:r>
        <w:t xml:space="preserve">participants assigned to the 30 </w:t>
      </w:r>
      <w:proofErr w:type="spellStart"/>
      <w:r w:rsidRPr="00593868">
        <w:t>μg</w:t>
      </w:r>
      <w:proofErr w:type="spellEnd"/>
      <w:r w:rsidRPr="00593868">
        <w:t xml:space="preserve"> dose level are included in safety analyses, but safety results are reported separately for those who received different dose levels at Dose 2 (</w:t>
      </w:r>
      <w:r>
        <w:t xml:space="preserve">that </w:t>
      </w:r>
      <w:r>
        <w:lastRenderedPageBreak/>
        <w:t xml:space="preserve">is, </w:t>
      </w:r>
      <w:r w:rsidRPr="00593868">
        <w:t>those who received 30</w:t>
      </w:r>
      <w:r w:rsidR="00AC2ACA" w:rsidRPr="00AC2ACA">
        <w:t xml:space="preserve"> </w:t>
      </w:r>
      <w:proofErr w:type="spellStart"/>
      <w:r w:rsidR="00AC2ACA" w:rsidRPr="00593868">
        <w:t>μg</w:t>
      </w:r>
      <w:proofErr w:type="spellEnd"/>
      <w:r w:rsidR="00AC2ACA" w:rsidRPr="00593868">
        <w:t xml:space="preserve"> </w:t>
      </w:r>
      <w:r w:rsidR="00AC2ACA">
        <w:t xml:space="preserve">at Doses 1 and 2, </w:t>
      </w:r>
      <w:r w:rsidRPr="00593868">
        <w:t>and those who received 30</w:t>
      </w:r>
      <w:r w:rsidR="00AC2ACA" w:rsidRPr="00AC2ACA">
        <w:t xml:space="preserve"> </w:t>
      </w:r>
      <w:proofErr w:type="spellStart"/>
      <w:r w:rsidR="00AC2ACA" w:rsidRPr="00593868">
        <w:t>μg</w:t>
      </w:r>
      <w:proofErr w:type="spellEnd"/>
      <w:r w:rsidR="00AC2ACA" w:rsidRPr="00593868">
        <w:t xml:space="preserve"> </w:t>
      </w:r>
      <w:r w:rsidR="00AC2ACA">
        <w:t xml:space="preserve">at Dose 1 and </w:t>
      </w:r>
      <w:r w:rsidRPr="00593868">
        <w:t xml:space="preserve">10 </w:t>
      </w:r>
      <w:proofErr w:type="spellStart"/>
      <w:r w:rsidRPr="00593868">
        <w:t>μg</w:t>
      </w:r>
      <w:proofErr w:type="spellEnd"/>
      <w:r w:rsidR="00AC2ACA">
        <w:t xml:space="preserve"> at Dose 2</w:t>
      </w:r>
      <w:r w:rsidRPr="00593868">
        <w:t>).</w:t>
      </w:r>
    </w:p>
    <w:p w14:paraId="29CA8296" w14:textId="77777777" w:rsidR="00593868" w:rsidRPr="00530179" w:rsidRDefault="00593868" w:rsidP="00593868">
      <w:pPr>
        <w:pStyle w:val="Heading5"/>
      </w:pPr>
      <w:r w:rsidRPr="00530179">
        <w:t>Immunogenicity analysis</w:t>
      </w:r>
    </w:p>
    <w:p w14:paraId="5900821E" w14:textId="77777777" w:rsidR="00593868" w:rsidRPr="00593868" w:rsidRDefault="00593868" w:rsidP="00593868">
      <w:r>
        <w:t>Phase I</w:t>
      </w:r>
      <w:r w:rsidRPr="00593868">
        <w:t xml:space="preserve"> immune responses were evaluated based on SARS-CoV-2 50% neutralising titres and summarised as GMTs using the s</w:t>
      </w:r>
      <w:r>
        <w:t>ame methodologies as the Phase II/III</w:t>
      </w:r>
      <w:r w:rsidRPr="00593868">
        <w:t xml:space="preserve"> analysis.</w:t>
      </w:r>
    </w:p>
    <w:p w14:paraId="038C99A3" w14:textId="0854AAB5" w:rsidR="00593868" w:rsidRPr="00593868" w:rsidRDefault="00593868" w:rsidP="00593868">
      <w:r>
        <w:t>Phase I</w:t>
      </w:r>
      <w:r w:rsidRPr="00593868">
        <w:t xml:space="preserve"> immunogenicity data for participants 5 to &lt;</w:t>
      </w:r>
      <w:r>
        <w:t xml:space="preserve"> </w:t>
      </w:r>
      <w:r w:rsidRPr="00593868">
        <w:t xml:space="preserve">12 </w:t>
      </w:r>
      <w:r>
        <w:t>y</w:t>
      </w:r>
      <w:r w:rsidRPr="00593868">
        <w:t xml:space="preserve">ears </w:t>
      </w:r>
      <w:r>
        <w:t xml:space="preserve">of </w:t>
      </w:r>
      <w:r w:rsidRPr="00593868">
        <w:t>age</w:t>
      </w:r>
      <w:r>
        <w:t xml:space="preserve"> </w:t>
      </w:r>
      <w:r w:rsidRPr="00593868">
        <w:t xml:space="preserve">are presented for the groups that received both </w:t>
      </w:r>
      <w:proofErr w:type="spellStart"/>
      <w:r>
        <w:t>Comirnaty</w:t>
      </w:r>
      <w:proofErr w:type="spellEnd"/>
      <w:r>
        <w:t xml:space="preserve"> COVID-19 vaccine</w:t>
      </w:r>
      <w:r w:rsidRPr="00593868">
        <w:t xml:space="preserve"> doses of 10 and 20 </w:t>
      </w:r>
      <w:proofErr w:type="spellStart"/>
      <w:r w:rsidRPr="00593868">
        <w:t>μg</w:t>
      </w:r>
      <w:proofErr w:type="spellEnd"/>
      <w:r w:rsidRPr="00593868">
        <w:t xml:space="preserve"> as assigned (</w:t>
      </w:r>
      <w:r>
        <w:t xml:space="preserve">the 30 </w:t>
      </w:r>
      <w:proofErr w:type="spellStart"/>
      <w:r w:rsidR="008B5252">
        <w:t>μg</w:t>
      </w:r>
      <w:proofErr w:type="spellEnd"/>
      <w:r w:rsidR="008B5252">
        <w:t xml:space="preserve"> dose level was discontinued).</w:t>
      </w:r>
    </w:p>
    <w:p w14:paraId="43EEA26F" w14:textId="77777777" w:rsidR="00593868" w:rsidRPr="00593868" w:rsidRDefault="00593868" w:rsidP="00593868">
      <w:r>
        <w:t xml:space="preserve">The </w:t>
      </w:r>
      <w:proofErr w:type="spellStart"/>
      <w:r>
        <w:t>Comirnaty</w:t>
      </w:r>
      <w:proofErr w:type="spellEnd"/>
      <w:r>
        <w:t xml:space="preserve"> COVID-19 vaccine</w:t>
      </w:r>
      <w:r w:rsidRPr="00593868">
        <w:t xml:space="preserve"> elicited</w:t>
      </w:r>
      <w:r>
        <w:t xml:space="preserve"> robust SARS-CoV-2 50% neutralising titres by 7 </w:t>
      </w:r>
      <w:r w:rsidRPr="00593868">
        <w:t>days after Dose 2 at both tested dose levels when administered to healthy children 5 to &lt;</w:t>
      </w:r>
      <w:r>
        <w:t> </w:t>
      </w:r>
      <w:r w:rsidRPr="00593868">
        <w:t xml:space="preserve">12 years of age. The Day 7 post-Dose 2 </w:t>
      </w:r>
      <w:r>
        <w:t xml:space="preserve">geometric mean titres (GMT) were similar across the 10 </w:t>
      </w:r>
      <w:proofErr w:type="spellStart"/>
      <w:r>
        <w:t>μg</w:t>
      </w:r>
      <w:proofErr w:type="spellEnd"/>
      <w:r>
        <w:t xml:space="preserve"> and 20 </w:t>
      </w:r>
      <w:proofErr w:type="spellStart"/>
      <w:r w:rsidRPr="00593868">
        <w:t>μg</w:t>
      </w:r>
      <w:proofErr w:type="spellEnd"/>
      <w:r w:rsidRPr="00593868">
        <w:t xml:space="preserve"> dose level groups.</w:t>
      </w:r>
    </w:p>
    <w:p w14:paraId="34DA5A36" w14:textId="77777777" w:rsidR="00593868" w:rsidRPr="00530179" w:rsidRDefault="00B46DE3" w:rsidP="00593868">
      <w:pPr>
        <w:pStyle w:val="Heading6"/>
      </w:pPr>
      <w:r>
        <w:t>Neutralising tit</w:t>
      </w:r>
      <w:r w:rsidR="00593868" w:rsidRPr="00530179">
        <w:t>r</w:t>
      </w:r>
      <w:r>
        <w:t>es</w:t>
      </w:r>
    </w:p>
    <w:p w14:paraId="37C393F2" w14:textId="723BD68F" w:rsidR="00593868" w:rsidRPr="00B46DE3" w:rsidRDefault="00593868" w:rsidP="00B46DE3">
      <w:r w:rsidRPr="00B46DE3">
        <w:t xml:space="preserve">At 7 days after Dose 2, both tested dose levels (10 </w:t>
      </w:r>
      <w:proofErr w:type="spellStart"/>
      <w:r w:rsidRPr="00B46DE3">
        <w:t>μg</w:t>
      </w:r>
      <w:proofErr w:type="spellEnd"/>
      <w:r w:rsidRPr="00B46DE3">
        <w:t xml:space="preserve"> and 20 </w:t>
      </w:r>
      <w:proofErr w:type="spellStart"/>
      <w:r w:rsidRPr="00B46DE3">
        <w:t>μg</w:t>
      </w:r>
      <w:proofErr w:type="spellEnd"/>
      <w:r w:rsidRPr="00B46DE3">
        <w:t>) e</w:t>
      </w:r>
      <w:r w:rsidR="008B5252">
        <w:t>licited high levels of neutralis</w:t>
      </w:r>
      <w:r w:rsidRPr="00B46DE3">
        <w:t>ing antibodies.</w:t>
      </w:r>
    </w:p>
    <w:p w14:paraId="650F8BF2" w14:textId="77777777" w:rsidR="00593868" w:rsidRPr="00B46DE3" w:rsidRDefault="00593868" w:rsidP="00B46DE3">
      <w:r w:rsidRPr="00B46DE3">
        <w:t xml:space="preserve">At Day 7 post-Dose 2, the GMTs were similar across the </w:t>
      </w:r>
      <w:r w:rsidR="00B46DE3">
        <w:t>tested dose levels: 4162.6 (95% confidence interval (</w:t>
      </w:r>
      <w:r w:rsidRPr="00B46DE3">
        <w:t>CI</w:t>
      </w:r>
      <w:r w:rsidR="00B46DE3">
        <w:t xml:space="preserve">): 2584.7, 6704.0) in the 10 </w:t>
      </w:r>
      <w:proofErr w:type="spellStart"/>
      <w:r w:rsidR="00B46DE3">
        <w:t>μg</w:t>
      </w:r>
      <w:proofErr w:type="spellEnd"/>
      <w:r w:rsidR="00B46DE3">
        <w:t xml:space="preserve"> group and 4583.4 (95% CI: 2802.9, 7494.8) in the 20 </w:t>
      </w:r>
      <w:proofErr w:type="spellStart"/>
      <w:r w:rsidRPr="00B46DE3">
        <w:t>μg</w:t>
      </w:r>
      <w:proofErr w:type="spellEnd"/>
      <w:r w:rsidRPr="00B46DE3">
        <w:t xml:space="preserve"> group.</w:t>
      </w:r>
    </w:p>
    <w:p w14:paraId="2078A55F" w14:textId="77777777" w:rsidR="00593868" w:rsidRPr="00B46DE3" w:rsidRDefault="00593868" w:rsidP="00B46DE3">
      <w:r w:rsidRPr="00B46DE3">
        <w:t xml:space="preserve">Results for the all-available immunogenicity population were </w:t>
      </w:r>
      <w:proofErr w:type="gramStart"/>
      <w:r w:rsidRPr="00B46DE3">
        <w:t>similar to</w:t>
      </w:r>
      <w:proofErr w:type="gramEnd"/>
      <w:r w:rsidRPr="00B46DE3">
        <w:t xml:space="preserve"> those observed for the evaluable immunogenicity population.</w:t>
      </w:r>
    </w:p>
    <w:p w14:paraId="22E2AED6" w14:textId="750CE6F5" w:rsidR="00B46DE3" w:rsidRPr="00B46DE3" w:rsidRDefault="00593868" w:rsidP="00B46DE3">
      <w:r w:rsidRPr="00B46DE3">
        <w:t>The reverse cumulative di</w:t>
      </w:r>
      <w:r w:rsidR="008B5252">
        <w:t>stribution curve</w:t>
      </w:r>
      <w:r w:rsidR="00B46DE3">
        <w:t xml:space="preserve"> of SARS-CoV-2 50% neutralising titre</w:t>
      </w:r>
      <w:r w:rsidRPr="00B46DE3">
        <w:t xml:space="preserve">s after </w:t>
      </w:r>
      <w:r w:rsidR="00B46DE3">
        <w:t>vaccination</w:t>
      </w:r>
      <w:r w:rsidRPr="00B46DE3">
        <w:t xml:space="preserve"> (at both dose levels) without evidence of infection showed that,</w:t>
      </w:r>
      <w:r w:rsidR="00B46DE3">
        <w:t xml:space="preserve"> all participants responded by the first</w:t>
      </w:r>
      <w:r w:rsidRPr="00B46DE3">
        <w:t xml:space="preserve"> week after Dose 2.</w:t>
      </w:r>
    </w:p>
    <w:p w14:paraId="6D5A1AAF" w14:textId="5B261BAA" w:rsidR="00B46DE3" w:rsidRDefault="00B46DE3" w:rsidP="00B46DE3">
      <w:pPr>
        <w:pStyle w:val="FigureTitle"/>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2</w:t>
      </w:r>
      <w:r>
        <w:rPr>
          <w:color w:val="2B579A"/>
          <w:shd w:val="clear" w:color="auto" w:fill="E6E6E6"/>
        </w:rPr>
        <w:fldChar w:fldCharType="end"/>
      </w:r>
      <w:r>
        <w:t xml:space="preserve">: </w:t>
      </w:r>
      <w:r w:rsidR="00AC2ACA">
        <w:t>Phase I g</w:t>
      </w:r>
      <w:r>
        <w:t>eometric mean titres and 95% confidence intervals for SARS</w:t>
      </w:r>
      <w:r w:rsidR="00BE7A35">
        <w:noBreakHyphen/>
      </w:r>
      <w:r>
        <w:t>CoV-2 neutralisation assay</w:t>
      </w:r>
    </w:p>
    <w:p w14:paraId="34BEAEB3" w14:textId="77777777" w:rsidR="00593868" w:rsidRDefault="00B46DE3" w:rsidP="00593868">
      <w:r w:rsidRPr="00530179">
        <w:rPr>
          <w:noProof/>
          <w:color w:val="2B579A"/>
          <w:shd w:val="clear" w:color="auto" w:fill="E6E6E6"/>
          <w:lang w:val="en-GB" w:eastAsia="en-GB"/>
        </w:rPr>
        <w:drawing>
          <wp:inline distT="0" distB="0" distL="0" distR="0" wp14:anchorId="01CB2697" wp14:editId="4CA62835">
            <wp:extent cx="4339988" cy="3086527"/>
            <wp:effectExtent l="0" t="0" r="3810" b="0"/>
            <wp:docPr id="17" name="Picture 17" descr="Phase I study gGeometric mean titres and 95% confidence intervals for SARS-CoV-2 neutralisation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6771" t="3634" b="23850"/>
                    <a:stretch/>
                  </pic:blipFill>
                  <pic:spPr bwMode="auto">
                    <a:xfrm>
                      <a:off x="0" y="0"/>
                      <a:ext cx="4368364" cy="3106708"/>
                    </a:xfrm>
                    <a:prstGeom prst="rect">
                      <a:avLst/>
                    </a:prstGeom>
                    <a:noFill/>
                    <a:ln>
                      <a:noFill/>
                    </a:ln>
                    <a:extLst>
                      <a:ext uri="{53640926-AAD7-44D8-BBD7-CCE9431645EC}">
                        <a14:shadowObscured xmlns:a14="http://schemas.microsoft.com/office/drawing/2010/main"/>
                      </a:ext>
                    </a:extLst>
                  </pic:spPr>
                </pic:pic>
              </a:graphicData>
            </a:graphic>
          </wp:inline>
        </w:drawing>
      </w:r>
    </w:p>
    <w:p w14:paraId="1240DE13" w14:textId="3B15B5B0" w:rsidR="00B46DE3" w:rsidRDefault="00B46DE3" w:rsidP="006341DE">
      <w:pPr>
        <w:pStyle w:val="FigureDescription"/>
      </w:pPr>
      <w:r>
        <w:t>7D-PD2 = 7 days after Dose 2; GMT = geometric mean titre; NAAT = nuc</w:t>
      </w:r>
      <w:r w:rsidR="008B5252">
        <w:t>leic acid amplification test; N</w:t>
      </w:r>
      <w:r w:rsidR="008B5252">
        <w:noBreakHyphen/>
      </w:r>
      <w:r>
        <w:t xml:space="preserve">binging = SARS-CoV-2 </w:t>
      </w:r>
      <w:proofErr w:type="spellStart"/>
      <w:r>
        <w:t>nuceloprotein</w:t>
      </w:r>
      <w:proofErr w:type="spellEnd"/>
      <w:r>
        <w:t xml:space="preserve"> binding; NT50 = 50% neutralising titre.</w:t>
      </w:r>
    </w:p>
    <w:p w14:paraId="5D943898" w14:textId="77777777" w:rsidR="007E29DB" w:rsidRDefault="00B46DE3" w:rsidP="00EB22A0">
      <w:pPr>
        <w:pStyle w:val="FigureDescription"/>
      </w:pPr>
      <w:r>
        <w:t>Dots present individual antibody levels, num</w:t>
      </w:r>
      <w:r w:rsidR="006341DE">
        <w:t>b</w:t>
      </w:r>
      <w:r>
        <w:t>er within each bar represents geometric mean.</w:t>
      </w:r>
    </w:p>
    <w:p w14:paraId="1A4C1A2E" w14:textId="60001CC0" w:rsidR="00EB22A0" w:rsidRDefault="00EB22A0" w:rsidP="00EB22A0">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E7A35">
        <w:rPr>
          <w:noProof/>
        </w:rPr>
        <w:t>4</w:t>
      </w:r>
      <w:r>
        <w:rPr>
          <w:color w:val="2B579A"/>
          <w:shd w:val="clear" w:color="auto" w:fill="E6E6E6"/>
        </w:rPr>
        <w:fldChar w:fldCharType="end"/>
      </w:r>
      <w:r>
        <w:t xml:space="preserve">: </w:t>
      </w:r>
      <w:r w:rsidRPr="007E29DB">
        <w:t>Summary of geometric mean titres in participants without evidence of infection (evaluable immunogenicity population</w:t>
      </w:r>
      <w:r>
        <w:t>)</w:t>
      </w:r>
    </w:p>
    <w:p w14:paraId="74950CF5" w14:textId="45044C9F" w:rsidR="006341DE" w:rsidRDefault="006341DE" w:rsidP="006341DE">
      <w:pPr>
        <w:jc w:val="both"/>
        <w:rPr>
          <w:b/>
          <w:bCs/>
        </w:rPr>
      </w:pPr>
      <w:r w:rsidRPr="00530179">
        <w:rPr>
          <w:b/>
          <w:bCs/>
          <w:noProof/>
          <w:color w:val="2B579A"/>
          <w:shd w:val="clear" w:color="auto" w:fill="E6E6E6"/>
          <w:lang w:val="en-GB" w:eastAsia="en-GB"/>
        </w:rPr>
        <w:drawing>
          <wp:inline distT="0" distB="0" distL="0" distR="0" wp14:anchorId="737A229A" wp14:editId="47734A9B">
            <wp:extent cx="5308979" cy="1459865"/>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r="7283" b="62559"/>
                    <a:stretch/>
                  </pic:blipFill>
                  <pic:spPr bwMode="auto">
                    <a:xfrm>
                      <a:off x="0" y="0"/>
                      <a:ext cx="5336312" cy="1467381"/>
                    </a:xfrm>
                    <a:prstGeom prst="rect">
                      <a:avLst/>
                    </a:prstGeom>
                    <a:noFill/>
                    <a:ln>
                      <a:noFill/>
                    </a:ln>
                    <a:extLst>
                      <a:ext uri="{53640926-AAD7-44D8-BBD7-CCE9431645EC}">
                        <a14:shadowObscured xmlns:a14="http://schemas.microsoft.com/office/drawing/2010/main"/>
                      </a:ext>
                    </a:extLst>
                  </pic:spPr>
                </pic:pic>
              </a:graphicData>
            </a:graphic>
          </wp:inline>
        </w:drawing>
      </w:r>
    </w:p>
    <w:p w14:paraId="50FC36A5" w14:textId="09B9C6C4" w:rsidR="00BE7A35" w:rsidRDefault="00BE7A35" w:rsidP="00D15B9E">
      <w:pPr>
        <w:pStyle w:val="TableDescription"/>
      </w:pPr>
      <w:r>
        <w:t>GMT = geometric mean titre; LLOQ = lower limit of quantitation; NAAT = nucleic acid amplification test; N-binding = SARS-CoV-2 nucleoprotein-binding; NT50 = 50% neutralising titre; SARS-CoV-2 = severe acute respiratory syndrome coronavirus 2.</w:t>
      </w:r>
    </w:p>
    <w:p w14:paraId="370B1583" w14:textId="06F066A7" w:rsidR="00BE7A35" w:rsidRDefault="00BE7A35" w:rsidP="00D15B9E">
      <w:pPr>
        <w:pStyle w:val="TableDescription"/>
      </w:pPr>
      <w:r>
        <w:t>Note: Participants who had no serological or virological evidence (prior to the Visit 3 blood sample collection) of past SARS-CoV-2 infections (that is, N-binding antibody (serum) negative at Visits 1, 2 and, SARS-CoV-2 not detected by NAAT (nasal swab) at Visits 1 and 2; and negative NAAT (nasal swab) result at any unscheduled visit prior to the Visit 3 blood sample collection) and had no medical history of COVID-19 were included in the analysis.</w:t>
      </w:r>
    </w:p>
    <w:p w14:paraId="4F9ED2B5" w14:textId="46DA448F" w:rsidR="00BE7A35" w:rsidRPr="00530179" w:rsidRDefault="00BE7A35" w:rsidP="00D15B9E">
      <w:pPr>
        <w:pStyle w:val="TableDescription"/>
      </w:pPr>
      <w:r>
        <w:t xml:space="preserve">a: protocol-specified timing for blood sample collection; b: n = </w:t>
      </w:r>
      <w:r w:rsidR="00D74B0C">
        <w:t>number of participants with valid and determinate assay results for the specified assay at the given dose/sampling time point; c: GMTs and 2-sided 95% CIs were calculated by exponentiating the mean logarithm of the titres and the corresponding CIs (based on the Student t distribution). Assay results below the LLOQ were set to 0.5 x LLOQ.</w:t>
      </w:r>
    </w:p>
    <w:p w14:paraId="151F0054" w14:textId="7F5BE356" w:rsidR="00EB22A0" w:rsidRDefault="00EB22A0" w:rsidP="00EB22A0">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E7A35">
        <w:rPr>
          <w:noProof/>
        </w:rPr>
        <w:t>5</w:t>
      </w:r>
      <w:r>
        <w:rPr>
          <w:color w:val="2B579A"/>
          <w:shd w:val="clear" w:color="auto" w:fill="E6E6E6"/>
        </w:rPr>
        <w:fldChar w:fldCharType="end"/>
      </w:r>
      <w:r>
        <w:t xml:space="preserve">: </w:t>
      </w:r>
      <w:r w:rsidRPr="00EB22A0">
        <w:t>Summary of geometric mean titres, (all- available immunogenicity population)</w:t>
      </w:r>
    </w:p>
    <w:p w14:paraId="615C4A97" w14:textId="2C1C078B" w:rsidR="00EB22A0" w:rsidRDefault="006341DE" w:rsidP="00EB22A0">
      <w:pPr>
        <w:jc w:val="both"/>
        <w:rPr>
          <w:b/>
          <w:bCs/>
        </w:rPr>
      </w:pPr>
      <w:r w:rsidRPr="00530179">
        <w:rPr>
          <w:b/>
          <w:bCs/>
          <w:noProof/>
          <w:color w:val="2B579A"/>
          <w:shd w:val="clear" w:color="auto" w:fill="E6E6E6"/>
          <w:lang w:val="en-GB" w:eastAsia="en-GB"/>
        </w:rPr>
        <w:drawing>
          <wp:inline distT="0" distB="0" distL="0" distR="0" wp14:anchorId="041C310A" wp14:editId="5EAF396C">
            <wp:extent cx="5459105" cy="1664970"/>
            <wp:effectExtent l="0" t="0" r="8255" b="0"/>
            <wp:docPr id="19" name="Picture 19" descr="Table 5: Summary of geometric mean titres, (all- avail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5: Summary of geometric mean titres, (all- available immunogenicity popula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r="4729" b="52701"/>
                    <a:stretch/>
                  </pic:blipFill>
                  <pic:spPr bwMode="auto">
                    <a:xfrm>
                      <a:off x="0" y="0"/>
                      <a:ext cx="5461403" cy="1665671"/>
                    </a:xfrm>
                    <a:prstGeom prst="rect">
                      <a:avLst/>
                    </a:prstGeom>
                    <a:noFill/>
                    <a:ln>
                      <a:noFill/>
                    </a:ln>
                    <a:extLst>
                      <a:ext uri="{53640926-AAD7-44D8-BBD7-CCE9431645EC}">
                        <a14:shadowObscured xmlns:a14="http://schemas.microsoft.com/office/drawing/2010/main"/>
                      </a:ext>
                    </a:extLst>
                  </pic:spPr>
                </pic:pic>
              </a:graphicData>
            </a:graphic>
          </wp:inline>
        </w:drawing>
      </w:r>
    </w:p>
    <w:p w14:paraId="1087CCF4" w14:textId="77777777" w:rsidR="00D74B0C" w:rsidRDefault="00D74B0C" w:rsidP="00D74B0C">
      <w:pPr>
        <w:pStyle w:val="TableDescription"/>
      </w:pPr>
      <w:r>
        <w:t>GMT = geometric mean titre; LLOQ = lower limit of quantitation; NAAT = nucleic acid amplification test; N-binding = SARS-CoV-2 nucleoprotein-binding; NT50 = 50% neutralising titre; SARS-CoV-2 = severe acute respiratory syndrome coronavirus 2.</w:t>
      </w:r>
    </w:p>
    <w:p w14:paraId="4A5A281A" w14:textId="195A7B43" w:rsidR="00D74B0C" w:rsidRPr="00D15B9E" w:rsidRDefault="00D74B0C" w:rsidP="00D15B9E">
      <w:pPr>
        <w:pStyle w:val="TableDescription"/>
      </w:pPr>
      <w:r>
        <w:t>a: protocol-specified timing for blood sample collection; b: n = number of participants with valid and determinate assay results for the specified assay at the given dose/sampling time point; c: GMTs and 2-sided 95% CIs were calculated by exponentiating the mean logarithm of the titres and the corresponding CIs (based on the Student t distribution). Assay results below the LLOQ were set to 0.5 x LLOQ.</w:t>
      </w:r>
    </w:p>
    <w:p w14:paraId="2CA665EA" w14:textId="77777777" w:rsidR="00EB22A0" w:rsidRDefault="00EB22A0" w:rsidP="00EB22A0">
      <w:pPr>
        <w:pStyle w:val="FigureTitle"/>
      </w:pPr>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3</w:t>
      </w:r>
      <w:r>
        <w:rPr>
          <w:color w:val="2B579A"/>
          <w:shd w:val="clear" w:color="auto" w:fill="E6E6E6"/>
        </w:rPr>
        <w:fldChar w:fldCharType="end"/>
      </w:r>
      <w:r>
        <w:t xml:space="preserve">: </w:t>
      </w:r>
      <w:r w:rsidRPr="00EB22A0">
        <w:t>Reverse cumulative distribution curves, SARS-CoV-2 neutralisation assay (NT50) participants without evidence of infection (evaluable immunogenicity population</w:t>
      </w:r>
    </w:p>
    <w:p w14:paraId="06A07A6F" w14:textId="4D6B18FE" w:rsidR="00EB22A0" w:rsidRDefault="00EB22A0" w:rsidP="00EB22A0">
      <w:pPr>
        <w:jc w:val="both"/>
        <w:rPr>
          <w:b/>
          <w:bCs/>
        </w:rPr>
      </w:pPr>
      <w:r w:rsidRPr="00530179">
        <w:rPr>
          <w:b/>
          <w:bCs/>
          <w:noProof/>
          <w:color w:val="2B579A"/>
          <w:shd w:val="clear" w:color="auto" w:fill="E6E6E6"/>
          <w:lang w:val="en-GB" w:eastAsia="en-GB"/>
        </w:rPr>
        <w:drawing>
          <wp:inline distT="0" distB="0" distL="0" distR="0" wp14:anchorId="22ED316D" wp14:editId="1FFCEBA2">
            <wp:extent cx="5218156" cy="3022979"/>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l="1330" r="1605" b="21023"/>
                    <a:stretch/>
                  </pic:blipFill>
                  <pic:spPr bwMode="auto">
                    <a:xfrm>
                      <a:off x="0" y="0"/>
                      <a:ext cx="5268792" cy="3052314"/>
                    </a:xfrm>
                    <a:prstGeom prst="rect">
                      <a:avLst/>
                    </a:prstGeom>
                    <a:noFill/>
                    <a:ln>
                      <a:noFill/>
                    </a:ln>
                    <a:extLst>
                      <a:ext uri="{53640926-AAD7-44D8-BBD7-CCE9431645EC}">
                        <a14:shadowObscured xmlns:a14="http://schemas.microsoft.com/office/drawing/2010/main"/>
                      </a:ext>
                    </a:extLst>
                  </pic:spPr>
                </pic:pic>
              </a:graphicData>
            </a:graphic>
          </wp:inline>
        </w:drawing>
      </w:r>
    </w:p>
    <w:p w14:paraId="20AAAFAD" w14:textId="320BFC07" w:rsidR="00D74B0C" w:rsidRDefault="00D74B0C" w:rsidP="00D15B9E">
      <w:pPr>
        <w:pStyle w:val="FigureDescription"/>
      </w:pPr>
      <w:r>
        <w:t xml:space="preserve">7D-PD2 = 7 days after Dose 2; LLOQ = lower limit of quantitation; NAAT = nucleic acid amplification test; </w:t>
      </w:r>
      <w:proofErr w:type="spellStart"/>
      <w:r>
        <w:t>Nbinding</w:t>
      </w:r>
      <w:proofErr w:type="spellEnd"/>
      <w:r>
        <w:t xml:space="preserve"> = SARS-CoV-2 nucleoprotein-binding; NT50 = 50% neutralising titre; RCDC = reverse cumulative </w:t>
      </w:r>
      <w:r w:rsidR="00212FDF">
        <w:t>distribution curve.</w:t>
      </w:r>
    </w:p>
    <w:p w14:paraId="10D064C0" w14:textId="539372A1" w:rsidR="00212FDF" w:rsidRPr="00530179" w:rsidRDefault="00212FDF" w:rsidP="00D15B9E">
      <w:pPr>
        <w:pStyle w:val="FigureDescription"/>
      </w:pPr>
      <w:r>
        <w:t>Note: LLOQ value us represented using a vertical line. Assay results below the LLOQ were set to 0.5 x LLOQ in the analysis</w:t>
      </w:r>
    </w:p>
    <w:p w14:paraId="55859F2F" w14:textId="77777777" w:rsidR="001A095E" w:rsidRPr="00530179" w:rsidRDefault="001A095E" w:rsidP="001A095E">
      <w:pPr>
        <w:pStyle w:val="Heading5"/>
      </w:pPr>
      <w:r w:rsidRPr="00530179">
        <w:t xml:space="preserve">Safety </w:t>
      </w:r>
      <w:r>
        <w:t>a</w:t>
      </w:r>
      <w:r w:rsidRPr="00530179">
        <w:t>nalysis</w:t>
      </w:r>
    </w:p>
    <w:p w14:paraId="0238A405" w14:textId="75D310CB" w:rsidR="001A095E" w:rsidRPr="001A095E" w:rsidRDefault="001A095E" w:rsidP="001A095E">
      <w:r w:rsidRPr="001A095E">
        <w:t xml:space="preserve">Safety was the sole primary outcome for Phase </w:t>
      </w:r>
      <w:r w:rsidR="00212FDF">
        <w:t>I</w:t>
      </w:r>
      <w:r w:rsidRPr="001A095E">
        <w:t xml:space="preserve"> of this study and wa</w:t>
      </w:r>
      <w:r>
        <w:t>s assessed by dose level up to one</w:t>
      </w:r>
      <w:r w:rsidRPr="001A095E">
        <w:t xml:space="preserve"> month after Dose 2 and/or t</w:t>
      </w:r>
      <w:r>
        <w:t xml:space="preserve">o the data </w:t>
      </w:r>
      <w:proofErr w:type="spellStart"/>
      <w:r>
        <w:t>cut</w:t>
      </w:r>
      <w:r w:rsidR="005D1794">
        <w:t xml:space="preserve"> </w:t>
      </w:r>
      <w:r>
        <w:t>off</w:t>
      </w:r>
      <w:proofErr w:type="spellEnd"/>
      <w:r>
        <w:t xml:space="preserve"> date of 16 July </w:t>
      </w:r>
      <w:r w:rsidRPr="001A095E">
        <w:t>2021.</w:t>
      </w:r>
    </w:p>
    <w:p w14:paraId="51F91467" w14:textId="702099C3" w:rsidR="001A095E" w:rsidRDefault="001A095E" w:rsidP="001A095E">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212FDF">
        <w:rPr>
          <w:noProof/>
        </w:rPr>
        <w:t>6</w:t>
      </w:r>
      <w:r>
        <w:rPr>
          <w:color w:val="2B579A"/>
          <w:shd w:val="clear" w:color="auto" w:fill="E6E6E6"/>
        </w:rPr>
        <w:fldChar w:fldCharType="end"/>
      </w:r>
      <w:r>
        <w:t xml:space="preserve">: Safety Objective, </w:t>
      </w:r>
      <w:proofErr w:type="spellStart"/>
      <w:r>
        <w:t>estimands</w:t>
      </w:r>
      <w:proofErr w:type="spellEnd"/>
      <w:r>
        <w:t xml:space="preserve"> and e</w:t>
      </w:r>
      <w:r w:rsidRPr="00530179">
        <w:t>ndpoints</w:t>
      </w:r>
    </w:p>
    <w:p w14:paraId="5B90A349" w14:textId="6502E17E" w:rsidR="001A095E" w:rsidRDefault="001A095E" w:rsidP="001A095E">
      <w:pPr>
        <w:jc w:val="both"/>
        <w:rPr>
          <w:b/>
        </w:rPr>
      </w:pPr>
      <w:r w:rsidRPr="00530179">
        <w:rPr>
          <w:b/>
          <w:noProof/>
          <w:color w:val="2B579A"/>
          <w:shd w:val="clear" w:color="auto" w:fill="E6E6E6"/>
          <w:lang w:val="en-GB" w:eastAsia="en-GB"/>
        </w:rPr>
        <w:drawing>
          <wp:inline distT="0" distB="0" distL="0" distR="0" wp14:anchorId="5DE436DB" wp14:editId="785A9D9A">
            <wp:extent cx="4619767" cy="2358769"/>
            <wp:effectExtent l="0" t="0" r="0" b="3810"/>
            <wp:docPr id="21" name="Picture 21" descr="Table 6: Safety Objective, estimand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6: Safety Objective, estimands and endpoi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4701" cy="2366394"/>
                    </a:xfrm>
                    <a:prstGeom prst="rect">
                      <a:avLst/>
                    </a:prstGeom>
                    <a:noFill/>
                  </pic:spPr>
                </pic:pic>
              </a:graphicData>
            </a:graphic>
          </wp:inline>
        </w:drawing>
      </w:r>
    </w:p>
    <w:p w14:paraId="3A918E7E" w14:textId="1581051E" w:rsidR="00887BE1" w:rsidRPr="00530179" w:rsidRDefault="00887BE1" w:rsidP="00887BE1">
      <w:pPr>
        <w:pStyle w:val="TableDescription"/>
      </w:pPr>
      <w:r>
        <w:t>AE = adverse event; CSR = clinical study report; SAE = serious adverse event</w:t>
      </w:r>
    </w:p>
    <w:p w14:paraId="56D51FA1" w14:textId="77777777" w:rsidR="00BB642D" w:rsidRPr="00530179" w:rsidRDefault="00BB642D" w:rsidP="00BB642D">
      <w:pPr>
        <w:pStyle w:val="Heading5"/>
      </w:pPr>
      <w:r w:rsidRPr="00530179">
        <w:t>Baseline data</w:t>
      </w:r>
    </w:p>
    <w:p w14:paraId="492B43D9" w14:textId="77777777" w:rsidR="00BB642D" w:rsidRPr="00BB642D" w:rsidRDefault="00BB642D" w:rsidP="00BB642D">
      <w:r w:rsidRPr="00BB642D">
        <w:t xml:space="preserve">In the </w:t>
      </w:r>
      <w:r>
        <w:t>Phase I</w:t>
      </w:r>
      <w:r w:rsidRPr="00BB642D">
        <w:t xml:space="preserve"> study, e-diary data were submitted for between 85.4% and 100.0% of participants on each of the 7 post-vaccination days following Dose 1 and between 81.3% and 97.9% post-Dose 2.</w:t>
      </w:r>
    </w:p>
    <w:p w14:paraId="1BD6A5F0" w14:textId="77777777" w:rsidR="00BB642D" w:rsidRPr="00530179" w:rsidRDefault="00BB642D" w:rsidP="00BB642D">
      <w:pPr>
        <w:pStyle w:val="Heading5"/>
      </w:pPr>
      <w:r w:rsidRPr="00530179">
        <w:lastRenderedPageBreak/>
        <w:t>Results for the primary safety outcome</w:t>
      </w:r>
    </w:p>
    <w:p w14:paraId="14A8B451" w14:textId="3D382ACA" w:rsidR="00BB642D" w:rsidRPr="00BB642D" w:rsidRDefault="00BB642D" w:rsidP="00BB642D">
      <w:r w:rsidRPr="00BB642D">
        <w:t>These results are through</w:t>
      </w:r>
      <w:r>
        <w:t xml:space="preserve"> to</w:t>
      </w:r>
      <w:r w:rsidRPr="00BB642D">
        <w:t xml:space="preserve"> </w:t>
      </w:r>
      <w:proofErr w:type="gramStart"/>
      <w:r w:rsidRPr="00BB642D">
        <w:t>1 month</w:t>
      </w:r>
      <w:proofErr w:type="gramEnd"/>
      <w:r w:rsidRPr="00BB642D">
        <w:t xml:space="preserve"> post-Dose 2 and t</w:t>
      </w:r>
      <w:r>
        <w:t xml:space="preserve">o </w:t>
      </w:r>
      <w:r w:rsidR="00887BE1">
        <w:t xml:space="preserve">the Phase </w:t>
      </w:r>
      <w:r w:rsidR="00212FDF">
        <w:t>I</w:t>
      </w:r>
      <w:r w:rsidR="00887BE1">
        <w:t xml:space="preserve"> data </w:t>
      </w:r>
      <w:proofErr w:type="spellStart"/>
      <w:r w:rsidR="00887BE1">
        <w:t>cut</w:t>
      </w:r>
      <w:r w:rsidR="005D1794">
        <w:t xml:space="preserve"> </w:t>
      </w:r>
      <w:r w:rsidR="00887BE1">
        <w:t>off</w:t>
      </w:r>
      <w:proofErr w:type="spellEnd"/>
      <w:r w:rsidR="00887BE1">
        <w:t xml:space="preserve"> date 16 </w:t>
      </w:r>
      <w:r>
        <w:t>July 2021</w:t>
      </w:r>
      <w:r w:rsidRPr="00BB642D">
        <w:t>, representing follow-up of approximately 3 months post-Dose 2.</w:t>
      </w:r>
    </w:p>
    <w:p w14:paraId="271A4FE2" w14:textId="77777777" w:rsidR="00BB642D" w:rsidRPr="00530179" w:rsidRDefault="00BB642D" w:rsidP="00BB642D">
      <w:pPr>
        <w:pStyle w:val="Heading6"/>
        <w:rPr>
          <w:lang w:eastAsia="ja-JP"/>
        </w:rPr>
      </w:pPr>
      <w:r w:rsidRPr="00530179">
        <w:rPr>
          <w:lang w:eastAsia="ja-JP"/>
        </w:rPr>
        <w:t>Local reactogenicity</w:t>
      </w:r>
    </w:p>
    <w:p w14:paraId="37775D61" w14:textId="7975B5C8" w:rsidR="00BB642D" w:rsidRPr="00BB642D" w:rsidRDefault="00BB642D" w:rsidP="00BB642D">
      <w:r w:rsidRPr="00BB642D">
        <w:t xml:space="preserve">Both the 10 and 20 µg doses were well tolerated with similar frequencies of reactions; however, the intensity of pain at the injection site was higher for the </w:t>
      </w:r>
      <w:proofErr w:type="gramStart"/>
      <w:r w:rsidRPr="00BB642D">
        <w:t>20 µg</w:t>
      </w:r>
      <w:proofErr w:type="gramEnd"/>
      <w:r w:rsidRPr="00BB642D">
        <w:t xml:space="preserve"> do</w:t>
      </w:r>
      <w:r w:rsidR="00887BE1">
        <w:t>se post</w:t>
      </w:r>
      <w:r w:rsidR="00887BE1">
        <w:noBreakHyphen/>
        <w:t>Dose </w:t>
      </w:r>
      <w:r>
        <w:t>1 and post-Dose 2</w:t>
      </w:r>
      <w:r w:rsidRPr="00BB642D">
        <w:t>.</w:t>
      </w:r>
    </w:p>
    <w:p w14:paraId="794628A1" w14:textId="0EB80E2E" w:rsidR="00BB642D" w:rsidRPr="00BB642D" w:rsidRDefault="00BB642D" w:rsidP="00BB642D">
      <w:r w:rsidRPr="00BB642D">
        <w:t xml:space="preserve">Frequencies and intensities were higher for the 4 participants given the </w:t>
      </w:r>
      <w:proofErr w:type="gramStart"/>
      <w:r w:rsidRPr="00BB642D">
        <w:t>30 µg</w:t>
      </w:r>
      <w:proofErr w:type="gramEnd"/>
      <w:r w:rsidRPr="00BB642D">
        <w:t xml:space="preserve"> dosing for both doses compared to the lower doses, with 1 of the 4 experienc</w:t>
      </w:r>
      <w:r>
        <w:t>ing severe redness post</w:t>
      </w:r>
      <w:r w:rsidR="00212FDF">
        <w:noBreakHyphen/>
      </w:r>
      <w:r>
        <w:t>Dose 2</w:t>
      </w:r>
      <w:r w:rsidRPr="00BB642D">
        <w:t>.</w:t>
      </w:r>
    </w:p>
    <w:p w14:paraId="139192E4" w14:textId="4BB542EE" w:rsidR="00BB642D" w:rsidRPr="00BB642D" w:rsidRDefault="00212FDF" w:rsidP="00BB642D">
      <w:r>
        <w:t>The m</w:t>
      </w:r>
      <w:r w:rsidR="00BB642D" w:rsidRPr="00BB642D">
        <w:t>edian onset day for most local reactions was within 1 to 2 days after Dose 1 or Dose</w:t>
      </w:r>
      <w:r>
        <w:t> </w:t>
      </w:r>
      <w:r w:rsidR="00BB642D" w:rsidRPr="00BB642D">
        <w:t xml:space="preserve">2 and </w:t>
      </w:r>
      <w:proofErr w:type="gramStart"/>
      <w:r w:rsidR="00BB642D" w:rsidRPr="00BB642D">
        <w:t>the majority of</w:t>
      </w:r>
      <w:proofErr w:type="gramEnd"/>
      <w:r w:rsidR="00BB642D" w:rsidRPr="00BB642D">
        <w:t xml:space="preserve"> events resolved within 1 or 2 days of onset.</w:t>
      </w:r>
    </w:p>
    <w:p w14:paraId="52BCE59B" w14:textId="39BD4AA7" w:rsidR="00BB642D" w:rsidRDefault="00BB642D" w:rsidP="00BB642D">
      <w:pPr>
        <w:pStyle w:val="FigureTitle"/>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4</w:t>
      </w:r>
      <w:r>
        <w:rPr>
          <w:color w:val="2B579A"/>
          <w:shd w:val="clear" w:color="auto" w:fill="E6E6E6"/>
        </w:rPr>
        <w:fldChar w:fldCharType="end"/>
      </w:r>
      <w:r>
        <w:t>: Participants reporting local reactions, by maximum severity, within 7 days after each dose (safety p</w:t>
      </w:r>
      <w:r w:rsidRPr="00BB642D">
        <w:t>opulatio</w:t>
      </w:r>
      <w:r>
        <w:t>n)</w:t>
      </w:r>
    </w:p>
    <w:p w14:paraId="33C14EAA" w14:textId="567CB6B3" w:rsidR="006341DE" w:rsidRDefault="00BB642D" w:rsidP="006341DE">
      <w:r w:rsidRPr="00530179">
        <w:rPr>
          <w:noProof/>
          <w:color w:val="2B579A"/>
          <w:shd w:val="clear" w:color="auto" w:fill="E6E6E6"/>
          <w:lang w:val="en-GB" w:eastAsia="en-GB"/>
        </w:rPr>
        <w:drawing>
          <wp:inline distT="0" distB="0" distL="0" distR="0" wp14:anchorId="41B13937" wp14:editId="4DF94312">
            <wp:extent cx="5271135" cy="3530600"/>
            <wp:effectExtent l="19050" t="19050" r="24765" b="12700"/>
            <wp:docPr id="23" name="Picture 23" descr="Figure 4: Participants reporting local reactions, by maximum severity, within 7 days after each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099"/>
                    <a:stretch/>
                  </pic:blipFill>
                  <pic:spPr bwMode="auto">
                    <a:xfrm>
                      <a:off x="0" y="0"/>
                      <a:ext cx="5274665" cy="3532965"/>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79C806" w14:textId="6CC66BEE" w:rsidR="00212FDF" w:rsidRDefault="00212FDF" w:rsidP="00D15B9E">
      <w:pPr>
        <w:pStyle w:val="FigureDescription"/>
      </w:pPr>
      <w:r>
        <w:t>Note: number above each bar denotes percentage of participants reporting the reaction with any severity.</w:t>
      </w:r>
    </w:p>
    <w:p w14:paraId="13278146" w14:textId="60CB6A93" w:rsidR="00212FDF" w:rsidRDefault="00212FDF" w:rsidP="00D15B9E">
      <w:pPr>
        <w:pStyle w:val="FigureDescription"/>
      </w:pPr>
      <w:r>
        <w:t xml:space="preserve">a: of the 16 participants who received 30 </w:t>
      </w:r>
      <w:r w:rsidRPr="00BB642D">
        <w:t>µg</w:t>
      </w:r>
      <w:r>
        <w:t xml:space="preserve"> at Dose 1, 4 participants received 30 </w:t>
      </w:r>
      <w:r w:rsidRPr="00BB642D">
        <w:t>µg</w:t>
      </w:r>
      <w:r>
        <w:t xml:space="preserve"> at Dose 2.</w:t>
      </w:r>
    </w:p>
    <w:p w14:paraId="76C48302" w14:textId="731F784E" w:rsidR="00212FDF" w:rsidRDefault="00212FDF" w:rsidP="00D15B9E">
      <w:pPr>
        <w:pStyle w:val="FigureDescription"/>
      </w:pPr>
      <w:r>
        <w:t xml:space="preserve">b: of the 16 participants who received 30 </w:t>
      </w:r>
      <w:r w:rsidRPr="00BB642D">
        <w:t>µg</w:t>
      </w:r>
      <w:r>
        <w:t xml:space="preserve"> at Dose 1, 12 participants received 10 </w:t>
      </w:r>
      <w:r w:rsidRPr="00BB642D">
        <w:t>µg</w:t>
      </w:r>
      <w:r>
        <w:t xml:space="preserve"> at Dose 2.</w:t>
      </w:r>
    </w:p>
    <w:p w14:paraId="19F3A40E" w14:textId="77777777" w:rsidR="005647A8" w:rsidRPr="00530179" w:rsidRDefault="005647A8" w:rsidP="005647A8">
      <w:pPr>
        <w:pStyle w:val="Heading6"/>
        <w:rPr>
          <w:lang w:eastAsia="ja-JP"/>
        </w:rPr>
      </w:pPr>
      <w:r w:rsidRPr="00530179">
        <w:rPr>
          <w:lang w:eastAsia="ja-JP"/>
        </w:rPr>
        <w:t>Systemic reactogenicity</w:t>
      </w:r>
    </w:p>
    <w:p w14:paraId="32E96DD3" w14:textId="77777777" w:rsidR="005647A8" w:rsidRPr="005647A8" w:rsidRDefault="005647A8" w:rsidP="005647A8">
      <w:r w:rsidRPr="005647A8">
        <w:t>There were generally higher frequencies and/or intensities in the 20 µg group compared to the 10 µg group, with frequencies and intensities slightly higher for fever, fatigue, headache and chills post-Dose 2 in the 10 µg group; a similar pattern was seen following 20 µg</w:t>
      </w:r>
      <w:r>
        <w:t>, with the exception of fatigue.</w:t>
      </w:r>
    </w:p>
    <w:p w14:paraId="40270F18" w14:textId="03D5807A" w:rsidR="005647A8" w:rsidRPr="005647A8" w:rsidRDefault="005647A8" w:rsidP="005647A8">
      <w:r w:rsidRPr="005647A8">
        <w:t xml:space="preserve">The only severe reactions seen in the lower dose groups were 1 case each of fever in the 10 and 20 µg groups, post-Dose 2 and both resolved by </w:t>
      </w:r>
      <w:r w:rsidR="00317D77">
        <w:t>D</w:t>
      </w:r>
      <w:r w:rsidRPr="005647A8">
        <w:t>ay 3. There were no Grade 4 reactions seen.</w:t>
      </w:r>
    </w:p>
    <w:p w14:paraId="357AE496" w14:textId="4BAE0294" w:rsidR="005647A8" w:rsidRPr="005647A8" w:rsidRDefault="005647A8" w:rsidP="005647A8">
      <w:r w:rsidRPr="005647A8">
        <w:lastRenderedPageBreak/>
        <w:t>The 30 µg</w:t>
      </w:r>
      <w:r w:rsidR="00317D77">
        <w:t xml:space="preserve"> for both Doses 1 and 2</w:t>
      </w:r>
      <w:r w:rsidRPr="005647A8">
        <w:t xml:space="preserve"> group had higher frequencies and intensities of reactions than the lower dose groups following both doses but the smaller numbers mean these results should be interpreted cautiously (</w:t>
      </w:r>
      <w:r w:rsidR="00317D77">
        <w:t>for example,</w:t>
      </w:r>
      <w:r w:rsidRPr="005647A8">
        <w:t xml:space="preserve"> muscle pain was experienced by 100% of the 4 participants given 30 µg</w:t>
      </w:r>
      <w:r w:rsidR="00317D77">
        <w:t xml:space="preserve"> for both doses</w:t>
      </w:r>
      <w:r w:rsidRPr="005647A8">
        <w:t xml:space="preserve"> </w:t>
      </w:r>
      <w:r w:rsidR="00317D77">
        <w:t>(</w:t>
      </w:r>
      <w:r w:rsidRPr="005647A8">
        <w:t>post-Dose 1</w:t>
      </w:r>
      <w:r w:rsidR="00317D77">
        <w:t>)</w:t>
      </w:r>
      <w:r w:rsidRPr="005647A8">
        <w:t xml:space="preserve"> but 0% of the 12</w:t>
      </w:r>
      <w:r w:rsidR="00317D77">
        <w:t xml:space="preserve"> participants </w:t>
      </w:r>
      <w:r w:rsidRPr="005647A8">
        <w:t>given 30</w:t>
      </w:r>
      <w:r w:rsidR="00317D77">
        <w:t xml:space="preserve"> </w:t>
      </w:r>
      <w:r w:rsidR="00317D77" w:rsidRPr="005647A8">
        <w:t>µg</w:t>
      </w:r>
      <w:r w:rsidR="00317D77" w:rsidRPr="005647A8" w:rsidDel="00317D77">
        <w:t xml:space="preserve"> </w:t>
      </w:r>
      <w:r w:rsidR="00317D77">
        <w:t xml:space="preserve">for Dose 1 and </w:t>
      </w:r>
      <w:r w:rsidRPr="005647A8">
        <w:t>10 µg</w:t>
      </w:r>
      <w:r w:rsidR="00317D77">
        <w:t xml:space="preserve"> for Dose 2</w:t>
      </w:r>
      <w:r w:rsidRPr="005647A8">
        <w:t>, even though the first dose was the same in all).</w:t>
      </w:r>
    </w:p>
    <w:p w14:paraId="46A0124D" w14:textId="6296FBF5" w:rsidR="005647A8" w:rsidRPr="005647A8" w:rsidRDefault="005647A8" w:rsidP="005647A8">
      <w:r w:rsidRPr="005647A8">
        <w:t xml:space="preserve">The frequency of anti-pyretic or pain medication use was higher in the </w:t>
      </w:r>
      <w:proofErr w:type="gramStart"/>
      <w:r w:rsidRPr="005647A8">
        <w:t>20 µg</w:t>
      </w:r>
      <w:proofErr w:type="gramEnd"/>
      <w:r w:rsidRPr="005647A8">
        <w:t xml:space="preserve"> group than the 10 µg group post-Dose 2 and higher in participants give</w:t>
      </w:r>
      <w:r w:rsidR="00887BE1">
        <w:t>n a 30 µg dose, either for Dose </w:t>
      </w:r>
      <w:r w:rsidRPr="005647A8">
        <w:t>1 or Dose 2.</w:t>
      </w:r>
    </w:p>
    <w:p w14:paraId="05EAFC94" w14:textId="08B3E37F" w:rsidR="005647A8" w:rsidRPr="005647A8" w:rsidRDefault="00317D77" w:rsidP="005647A8">
      <w:r>
        <w:t>The m</w:t>
      </w:r>
      <w:r w:rsidR="005647A8" w:rsidRPr="005647A8">
        <w:t xml:space="preserve">edian onset day for most systemic events was 1 to 2 days after Dose 1 or Dose 2 and </w:t>
      </w:r>
      <w:proofErr w:type="gramStart"/>
      <w:r w:rsidR="005647A8" w:rsidRPr="005647A8">
        <w:t>the majority of</w:t>
      </w:r>
      <w:proofErr w:type="gramEnd"/>
      <w:r w:rsidR="005647A8" w:rsidRPr="005647A8">
        <w:t xml:space="preserve"> events resolved within 1 day of onset.</w:t>
      </w:r>
    </w:p>
    <w:p w14:paraId="22E85CC2" w14:textId="360CAFE3" w:rsidR="005647A8" w:rsidRDefault="005647A8" w:rsidP="005647A8">
      <w:pPr>
        <w:pStyle w:val="FigureTitle"/>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5</w:t>
      </w:r>
      <w:r>
        <w:rPr>
          <w:color w:val="2B579A"/>
          <w:shd w:val="clear" w:color="auto" w:fill="E6E6E6"/>
        </w:rPr>
        <w:fldChar w:fldCharType="end"/>
      </w:r>
      <w:r>
        <w:t xml:space="preserve">: </w:t>
      </w:r>
      <w:r w:rsidRPr="00530179">
        <w:t>Participants reporting systemic events, by maximum severity,</w:t>
      </w:r>
      <w:r w:rsidR="00887BE1">
        <w:t xml:space="preserve"> within 7 </w:t>
      </w:r>
      <w:r>
        <w:t>days after each dose (safety p</w:t>
      </w:r>
      <w:r w:rsidRPr="00530179">
        <w:t>opulation</w:t>
      </w:r>
      <w:r>
        <w:t>)</w:t>
      </w:r>
    </w:p>
    <w:p w14:paraId="473B51A6" w14:textId="3E4A6888" w:rsidR="005647A8" w:rsidRDefault="005647A8" w:rsidP="005647A8">
      <w:pPr>
        <w:jc w:val="both"/>
        <w:rPr>
          <w:lang w:eastAsia="ja-JP"/>
        </w:rPr>
      </w:pPr>
      <w:r w:rsidRPr="00530179">
        <w:rPr>
          <w:noProof/>
          <w:color w:val="2B579A"/>
          <w:shd w:val="clear" w:color="auto" w:fill="E6E6E6"/>
          <w:lang w:val="en-GB" w:eastAsia="en-GB"/>
        </w:rPr>
        <w:drawing>
          <wp:inline distT="0" distB="0" distL="0" distR="0" wp14:anchorId="049A300D" wp14:editId="4F1E3D04">
            <wp:extent cx="5233317" cy="3879850"/>
            <wp:effectExtent l="19050" t="19050" r="24765" b="25400"/>
            <wp:docPr id="25" name="Picture 25" descr="Figure 5: Participants reporting systemic events, by maximum severity, within 7 days after each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Participants reporting systemic events, by maximum severity, within 7 days after each dose (safety population)"/>
                    <pic:cNvPicPr/>
                  </pic:nvPicPr>
                  <pic:blipFill rotWithShape="1">
                    <a:blip r:embed="rId28"/>
                    <a:srcRect b="9855"/>
                    <a:stretch/>
                  </pic:blipFill>
                  <pic:spPr bwMode="auto">
                    <a:xfrm>
                      <a:off x="0" y="0"/>
                      <a:ext cx="5248561" cy="3891151"/>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E0E270" w14:textId="1E54D8EA" w:rsidR="00317D77" w:rsidRDefault="00317D77" w:rsidP="00317D77">
      <w:pPr>
        <w:pStyle w:val="FigureDescription"/>
      </w:pPr>
      <w:r>
        <w:t>Note: Severity was not collected for use of antipyretic or pain medication.</w:t>
      </w:r>
    </w:p>
    <w:p w14:paraId="0318B3FA" w14:textId="72DB3082" w:rsidR="00317D77" w:rsidRDefault="00317D77" w:rsidP="00317D77">
      <w:pPr>
        <w:pStyle w:val="FigureDescription"/>
      </w:pPr>
      <w:r>
        <w:t>Note: number above each bar denotes percentage of participants reporting the reaction with any severity.</w:t>
      </w:r>
    </w:p>
    <w:p w14:paraId="65BD3770" w14:textId="77777777" w:rsidR="00317D77" w:rsidRDefault="00317D77" w:rsidP="00317D77">
      <w:pPr>
        <w:pStyle w:val="FigureDescription"/>
      </w:pPr>
      <w:r>
        <w:t xml:space="preserve">a: of the 16 participants who received 30 </w:t>
      </w:r>
      <w:r w:rsidRPr="00BB642D">
        <w:t>µg</w:t>
      </w:r>
      <w:r>
        <w:t xml:space="preserve"> at Dose 1, 4 participants received 30 </w:t>
      </w:r>
      <w:r w:rsidRPr="00BB642D">
        <w:t>µg</w:t>
      </w:r>
      <w:r>
        <w:t xml:space="preserve"> at Dose 2.</w:t>
      </w:r>
    </w:p>
    <w:p w14:paraId="137B43FC" w14:textId="1CAA7C15" w:rsidR="00317D77" w:rsidRPr="00530179" w:rsidRDefault="00317D77" w:rsidP="00D15B9E">
      <w:pPr>
        <w:pStyle w:val="FigureDescription"/>
      </w:pPr>
      <w:r>
        <w:t xml:space="preserve">b: of the 16 participants who received 30 </w:t>
      </w:r>
      <w:r w:rsidRPr="00BB642D">
        <w:t>µg</w:t>
      </w:r>
      <w:r>
        <w:t xml:space="preserve"> at Dose 1, 12 participants received 10 </w:t>
      </w:r>
      <w:r w:rsidRPr="00BB642D">
        <w:t>µg</w:t>
      </w:r>
      <w:r>
        <w:t xml:space="preserve"> at Dose 2.</w:t>
      </w:r>
    </w:p>
    <w:p w14:paraId="49B8189B" w14:textId="77777777" w:rsidR="005647A8" w:rsidRPr="00530179" w:rsidRDefault="005647A8" w:rsidP="00BE709A">
      <w:pPr>
        <w:pStyle w:val="Heading6"/>
        <w:rPr>
          <w:lang w:eastAsia="ja-JP"/>
        </w:rPr>
      </w:pPr>
      <w:r w:rsidRPr="00530179">
        <w:rPr>
          <w:lang w:eastAsia="ja-JP"/>
        </w:rPr>
        <w:t>Adverse events</w:t>
      </w:r>
    </w:p>
    <w:p w14:paraId="3694E134" w14:textId="2C52C1EF" w:rsidR="005647A8" w:rsidRPr="00530179" w:rsidRDefault="005647A8" w:rsidP="00D15B9E">
      <w:pPr>
        <w:rPr>
          <w:lang w:eastAsia="ja-JP"/>
        </w:rPr>
      </w:pPr>
      <w:r w:rsidRPr="00530179">
        <w:rPr>
          <w:lang w:eastAsia="ja-JP"/>
        </w:rPr>
        <w:t xml:space="preserve">Frequencies, severities and relatedness for </w:t>
      </w:r>
      <w:r w:rsidR="00887BE1">
        <w:rPr>
          <w:lang w:eastAsia="ja-JP"/>
        </w:rPr>
        <w:t>adverse events</w:t>
      </w:r>
      <w:r w:rsidRPr="00530179">
        <w:rPr>
          <w:lang w:eastAsia="ja-JP"/>
        </w:rPr>
        <w:t xml:space="preserve"> is shown for each dose level in </w:t>
      </w:r>
      <w:r w:rsidR="00887BE1">
        <w:rPr>
          <w:color w:val="2B579A"/>
          <w:shd w:val="clear" w:color="auto" w:fill="E6E6E6"/>
          <w:lang w:eastAsia="ja-JP"/>
        </w:rPr>
        <w:fldChar w:fldCharType="begin"/>
      </w:r>
      <w:r w:rsidR="00887BE1">
        <w:rPr>
          <w:lang w:eastAsia="ja-JP"/>
        </w:rPr>
        <w:instrText xml:space="preserve"> REF _Ref89717451 \h </w:instrText>
      </w:r>
      <w:r w:rsidR="00887BE1">
        <w:rPr>
          <w:color w:val="2B579A"/>
          <w:shd w:val="clear" w:color="auto" w:fill="E6E6E6"/>
          <w:lang w:eastAsia="ja-JP"/>
        </w:rPr>
      </w:r>
      <w:r w:rsidR="00887BE1">
        <w:rPr>
          <w:color w:val="2B579A"/>
          <w:shd w:val="clear" w:color="auto" w:fill="E6E6E6"/>
          <w:lang w:eastAsia="ja-JP"/>
        </w:rPr>
        <w:fldChar w:fldCharType="separate"/>
      </w:r>
      <w:r w:rsidR="00317D77">
        <w:t xml:space="preserve">Table </w:t>
      </w:r>
      <w:r w:rsidR="00317D77">
        <w:rPr>
          <w:noProof/>
        </w:rPr>
        <w:t>7</w:t>
      </w:r>
      <w:r w:rsidR="00317D77">
        <w:t>.</w:t>
      </w:r>
      <w:r w:rsidR="00887BE1">
        <w:rPr>
          <w:color w:val="2B579A"/>
          <w:shd w:val="clear" w:color="auto" w:fill="E6E6E6"/>
          <w:lang w:eastAsia="ja-JP"/>
        </w:rPr>
        <w:fldChar w:fldCharType="end"/>
      </w:r>
      <w:r w:rsidRPr="00530179">
        <w:rPr>
          <w:lang w:eastAsia="ja-JP"/>
        </w:rPr>
        <w:t xml:space="preserve"> One severe </w:t>
      </w:r>
      <w:r w:rsidR="00887BE1">
        <w:rPr>
          <w:lang w:eastAsia="ja-JP"/>
        </w:rPr>
        <w:t>adverse event</w:t>
      </w:r>
      <w:r w:rsidRPr="00530179">
        <w:rPr>
          <w:lang w:eastAsia="ja-JP"/>
        </w:rPr>
        <w:t xml:space="preserve"> occurred in a participant in the 20 µg group which involved pyrexia of 39.7°C after Dose 2 on day 1 post-vaccination, lasting 3 days.</w:t>
      </w:r>
    </w:p>
    <w:p w14:paraId="08905B24" w14:textId="7DE6AE7C" w:rsidR="005647A8" w:rsidRPr="00530179" w:rsidRDefault="005647A8" w:rsidP="00D15B9E">
      <w:pPr>
        <w:rPr>
          <w:lang w:eastAsia="ja-JP"/>
        </w:rPr>
      </w:pPr>
      <w:r w:rsidRPr="00530179">
        <w:rPr>
          <w:lang w:eastAsia="ja-JP"/>
        </w:rPr>
        <w:t xml:space="preserve">Immediate </w:t>
      </w:r>
      <w:r w:rsidR="00887BE1">
        <w:rPr>
          <w:lang w:eastAsia="ja-JP"/>
        </w:rPr>
        <w:t>adverse events</w:t>
      </w:r>
      <w:r w:rsidRPr="00530179">
        <w:rPr>
          <w:lang w:eastAsia="ja-JP"/>
        </w:rPr>
        <w:t xml:space="preserve"> post-Dose 1 include one case of injection site discomfort and one case of syncope in the </w:t>
      </w:r>
      <w:proofErr w:type="gramStart"/>
      <w:r w:rsidRPr="00530179">
        <w:rPr>
          <w:lang w:eastAsia="ja-JP"/>
        </w:rPr>
        <w:t>10 µg</w:t>
      </w:r>
      <w:proofErr w:type="gramEnd"/>
      <w:r w:rsidRPr="00530179">
        <w:rPr>
          <w:lang w:eastAsia="ja-JP"/>
        </w:rPr>
        <w:t xml:space="preserve"> group, and injection site pain in 2 cases in the 30</w:t>
      </w:r>
      <w:r w:rsidR="00317D77" w:rsidRPr="00317D77">
        <w:rPr>
          <w:lang w:eastAsia="ja-JP"/>
        </w:rPr>
        <w:t xml:space="preserve"> </w:t>
      </w:r>
      <w:r w:rsidR="00317D77" w:rsidRPr="00530179">
        <w:rPr>
          <w:lang w:eastAsia="ja-JP"/>
        </w:rPr>
        <w:t xml:space="preserve">µg </w:t>
      </w:r>
      <w:r w:rsidR="00317D77">
        <w:rPr>
          <w:lang w:eastAsia="ja-JP"/>
        </w:rPr>
        <w:t xml:space="preserve">for </w:t>
      </w:r>
      <w:r w:rsidR="00317D77">
        <w:rPr>
          <w:lang w:eastAsia="ja-JP"/>
        </w:rPr>
        <w:lastRenderedPageBreak/>
        <w:t xml:space="preserve">Dose 1 and </w:t>
      </w:r>
      <w:r w:rsidRPr="00530179">
        <w:rPr>
          <w:lang w:eastAsia="ja-JP"/>
        </w:rPr>
        <w:t>10 µg</w:t>
      </w:r>
      <w:r w:rsidR="00317D77">
        <w:rPr>
          <w:lang w:eastAsia="ja-JP"/>
        </w:rPr>
        <w:t xml:space="preserve"> for Dose 2</w:t>
      </w:r>
      <w:r w:rsidRPr="00530179">
        <w:rPr>
          <w:lang w:eastAsia="ja-JP"/>
        </w:rPr>
        <w:t xml:space="preserve"> group. Post-Dose 2, there was 1 participant in the </w:t>
      </w:r>
      <w:proofErr w:type="gramStart"/>
      <w:r w:rsidRPr="00530179">
        <w:rPr>
          <w:lang w:eastAsia="ja-JP"/>
        </w:rPr>
        <w:t>10 µg</w:t>
      </w:r>
      <w:proofErr w:type="gramEnd"/>
      <w:r w:rsidRPr="00530179">
        <w:rPr>
          <w:lang w:eastAsia="ja-JP"/>
        </w:rPr>
        <w:t xml:space="preserve"> group who reported immediate injection site pain.</w:t>
      </w:r>
    </w:p>
    <w:p w14:paraId="25051FFD" w14:textId="3481B1DA" w:rsidR="00BE709A" w:rsidRDefault="00BE709A" w:rsidP="00BE709A">
      <w:pPr>
        <w:pStyle w:val="TableTitle"/>
      </w:pPr>
      <w:bookmarkStart w:id="46" w:name="_Ref89717451"/>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317D77">
        <w:rPr>
          <w:noProof/>
        </w:rPr>
        <w:t>7</w:t>
      </w:r>
      <w:r>
        <w:rPr>
          <w:color w:val="2B579A"/>
          <w:shd w:val="clear" w:color="auto" w:fill="E6E6E6"/>
        </w:rPr>
        <w:fldChar w:fldCharType="end"/>
      </w:r>
      <w:r>
        <w:t xml:space="preserve">: </w:t>
      </w:r>
      <w:r w:rsidRPr="005A6FBE">
        <w:t xml:space="preserve">Number (%) of participants reporting at least 1 adverse event from Dose 1 through 1 month after </w:t>
      </w:r>
      <w:r>
        <w:t>Dose 2 (s</w:t>
      </w:r>
      <w:r w:rsidRPr="005A6FBE">
        <w:t>afety</w:t>
      </w:r>
      <w:r>
        <w:t xml:space="preserve"> p</w:t>
      </w:r>
      <w:r w:rsidRPr="005A6FBE">
        <w:t>opulation</w:t>
      </w:r>
      <w:r>
        <w:t>)</w:t>
      </w:r>
      <w:bookmarkEnd w:id="46"/>
    </w:p>
    <w:p w14:paraId="50A8F152" w14:textId="1CA78462" w:rsidR="005647A8" w:rsidRDefault="00BE709A" w:rsidP="006341DE">
      <w:r w:rsidRPr="00530179">
        <w:rPr>
          <w:noProof/>
          <w:color w:val="2B579A"/>
          <w:shd w:val="clear" w:color="auto" w:fill="E6E6E6"/>
          <w:lang w:val="en-GB" w:eastAsia="en-GB"/>
        </w:rPr>
        <w:drawing>
          <wp:inline distT="0" distB="0" distL="0" distR="0" wp14:anchorId="60A6DBE2" wp14:editId="6FD8B6D8">
            <wp:extent cx="5399500" cy="3619500"/>
            <wp:effectExtent l="0" t="0" r="0" b="0"/>
            <wp:docPr id="24" name="Picture 24" descr="Number (%) of participants reporting at least 1 adverse event from Dose 1 through 1 month after Dose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6946"/>
                    <a:stretch/>
                  </pic:blipFill>
                  <pic:spPr bwMode="auto">
                    <a:xfrm>
                      <a:off x="0" y="0"/>
                      <a:ext cx="5400040" cy="3619862"/>
                    </a:xfrm>
                    <a:prstGeom prst="rect">
                      <a:avLst/>
                    </a:prstGeom>
                    <a:ln>
                      <a:noFill/>
                    </a:ln>
                    <a:extLst>
                      <a:ext uri="{53640926-AAD7-44D8-BBD7-CCE9431645EC}">
                        <a14:shadowObscured xmlns:a14="http://schemas.microsoft.com/office/drawing/2010/main"/>
                      </a:ext>
                    </a:extLst>
                  </pic:spPr>
                </pic:pic>
              </a:graphicData>
            </a:graphic>
          </wp:inline>
        </w:drawing>
      </w:r>
    </w:p>
    <w:p w14:paraId="093BDDD2" w14:textId="77777777" w:rsidR="00C3718F" w:rsidRDefault="00C3718F" w:rsidP="00D15B9E">
      <w:pPr>
        <w:pStyle w:val="TableDescription"/>
      </w:pPr>
      <w:r>
        <w:t xml:space="preserve">a: of the 16 participants who received 30 </w:t>
      </w:r>
      <w:r w:rsidRPr="00BB642D">
        <w:t>µg</w:t>
      </w:r>
      <w:r>
        <w:t xml:space="preserve"> at Dose 1, 4 participants received 30 </w:t>
      </w:r>
      <w:r w:rsidRPr="00BB642D">
        <w:t>µg</w:t>
      </w:r>
      <w:r>
        <w:t xml:space="preserve"> at Dose 2.</w:t>
      </w:r>
    </w:p>
    <w:p w14:paraId="58B96A6C" w14:textId="77777777" w:rsidR="00C3718F" w:rsidRPr="00530179" w:rsidRDefault="00C3718F" w:rsidP="00D15B9E">
      <w:pPr>
        <w:pStyle w:val="TableDescription"/>
      </w:pPr>
      <w:r>
        <w:t xml:space="preserve">b: of the 16 participants who received 30 </w:t>
      </w:r>
      <w:r w:rsidRPr="00BB642D">
        <w:t>µg</w:t>
      </w:r>
      <w:r>
        <w:t xml:space="preserve"> at Dose 1, 12 participants received 10 </w:t>
      </w:r>
      <w:r w:rsidRPr="00BB642D">
        <w:t>µg</w:t>
      </w:r>
      <w:r>
        <w:t xml:space="preserve"> at Dose 2.</w:t>
      </w:r>
    </w:p>
    <w:p w14:paraId="28E0FD36" w14:textId="07FBEC93" w:rsidR="00C3718F" w:rsidRDefault="00C3718F" w:rsidP="00D15B9E">
      <w:pPr>
        <w:pStyle w:val="TableDescription"/>
      </w:pPr>
      <w:r>
        <w:t>c: N = number of participants in the specified group; this value is the denominator for the percentage calculations.</w:t>
      </w:r>
    </w:p>
    <w:p w14:paraId="66AF6B7D" w14:textId="1D440120" w:rsidR="00C3718F" w:rsidRDefault="00C3718F" w:rsidP="00D15B9E">
      <w:pPr>
        <w:pStyle w:val="TableDescription"/>
      </w:pPr>
      <w:r>
        <w:t>d: n = number of participants reporting at least 1 occurrence of the specified event category/ For ‘any adverse event’ n = the number of participants reporting at least 1 occurrence of any adverse event.</w:t>
      </w:r>
    </w:p>
    <w:p w14:paraId="50EB370A" w14:textId="5F01EE01" w:rsidR="00C3718F" w:rsidRDefault="00C3718F" w:rsidP="00D15B9E">
      <w:pPr>
        <w:pStyle w:val="TableDescription"/>
      </w:pPr>
      <w:r>
        <w:t>e: assessed by the investigator as related to investigational vaccine.</w:t>
      </w:r>
    </w:p>
    <w:p w14:paraId="7C3EAA68" w14:textId="77777777" w:rsidR="00312826" w:rsidRPr="00530179" w:rsidRDefault="001908ED" w:rsidP="001908ED">
      <w:pPr>
        <w:pStyle w:val="Heading6"/>
        <w:rPr>
          <w:lang w:eastAsia="ja-JP"/>
        </w:rPr>
      </w:pPr>
      <w:r>
        <w:rPr>
          <w:lang w:eastAsia="ja-JP"/>
        </w:rPr>
        <w:t>Serious adverse events,</w:t>
      </w:r>
      <w:r w:rsidR="00312826" w:rsidRPr="00530179">
        <w:rPr>
          <w:lang w:eastAsia="ja-JP"/>
        </w:rPr>
        <w:t xml:space="preserve"> deaths and </w:t>
      </w:r>
      <w:r>
        <w:rPr>
          <w:lang w:eastAsia="ja-JP"/>
        </w:rPr>
        <w:t>adverse events</w:t>
      </w:r>
      <w:r w:rsidR="00312826" w:rsidRPr="00530179">
        <w:rPr>
          <w:lang w:eastAsia="ja-JP"/>
        </w:rPr>
        <w:t xml:space="preserve"> leading to withdrawal</w:t>
      </w:r>
    </w:p>
    <w:p w14:paraId="0B1C4CE6" w14:textId="1781F56C" w:rsidR="00312826" w:rsidRPr="00530179" w:rsidRDefault="00312826" w:rsidP="00312826">
      <w:pPr>
        <w:jc w:val="both"/>
        <w:rPr>
          <w:lang w:eastAsia="ja-JP"/>
        </w:rPr>
      </w:pPr>
      <w:r w:rsidRPr="00530179">
        <w:rPr>
          <w:lang w:eastAsia="ja-JP"/>
        </w:rPr>
        <w:t xml:space="preserve">None reported as of the data </w:t>
      </w:r>
      <w:proofErr w:type="spellStart"/>
      <w:r w:rsidRPr="00530179">
        <w:rPr>
          <w:lang w:eastAsia="ja-JP"/>
        </w:rPr>
        <w:t>cut</w:t>
      </w:r>
      <w:r w:rsidR="005D1794">
        <w:rPr>
          <w:lang w:eastAsia="ja-JP"/>
        </w:rPr>
        <w:t xml:space="preserve"> </w:t>
      </w:r>
      <w:r w:rsidRPr="00530179">
        <w:rPr>
          <w:lang w:eastAsia="ja-JP"/>
        </w:rPr>
        <w:t>off</w:t>
      </w:r>
      <w:proofErr w:type="spellEnd"/>
      <w:r w:rsidRPr="00530179">
        <w:rPr>
          <w:lang w:eastAsia="ja-JP"/>
        </w:rPr>
        <w:t xml:space="preserve"> date.</w:t>
      </w:r>
    </w:p>
    <w:p w14:paraId="57BEC36F" w14:textId="77777777" w:rsidR="00312826" w:rsidRPr="00530179" w:rsidRDefault="001908ED" w:rsidP="001908ED">
      <w:pPr>
        <w:pStyle w:val="Heading6"/>
        <w:rPr>
          <w:lang w:eastAsia="ja-JP"/>
        </w:rPr>
      </w:pPr>
      <w:r>
        <w:rPr>
          <w:lang w:eastAsia="ja-JP"/>
        </w:rPr>
        <w:t>Adverse events of special interest</w:t>
      </w:r>
    </w:p>
    <w:p w14:paraId="4C5C55C9" w14:textId="77777777" w:rsidR="00312826" w:rsidRDefault="00312826" w:rsidP="00312826">
      <w:pPr>
        <w:jc w:val="both"/>
        <w:rPr>
          <w:lang w:eastAsia="ja-JP"/>
        </w:rPr>
      </w:pPr>
      <w:r w:rsidRPr="00530179">
        <w:rPr>
          <w:lang w:eastAsia="ja-JP"/>
        </w:rPr>
        <w:t>There were no cases of anaphylaxis, appendicitis, Bell’s palsy, myocarditis, pericarditis, or MIS-C. There were no cases of participants with abnormal physical findings.</w:t>
      </w:r>
    </w:p>
    <w:p w14:paraId="0D53DF68" w14:textId="77777777" w:rsidR="00145662" w:rsidRPr="00530179" w:rsidRDefault="00145662" w:rsidP="00312826">
      <w:pPr>
        <w:jc w:val="both"/>
        <w:rPr>
          <w:lang w:eastAsia="ja-JP"/>
        </w:rPr>
      </w:pPr>
      <w:r>
        <w:rPr>
          <w:lang w:eastAsia="ja-JP"/>
        </w:rPr>
        <w:t>From the clinical study report:</w:t>
      </w:r>
    </w:p>
    <w:p w14:paraId="65AE5506" w14:textId="77777777" w:rsidR="00312826" w:rsidRPr="00145662" w:rsidRDefault="00312826" w:rsidP="00145662">
      <w:pPr>
        <w:ind w:left="720"/>
      </w:pPr>
      <w:r w:rsidRPr="00145662">
        <w:t>‘One (1) participant who received 2 doses of BNT162b2</w:t>
      </w:r>
      <w:r w:rsidR="00145662" w:rsidRPr="00145662">
        <w:t xml:space="preserve"> [</w:t>
      </w:r>
      <w:proofErr w:type="spellStart"/>
      <w:r w:rsidR="00145662" w:rsidRPr="00145662">
        <w:t>Comirnaty</w:t>
      </w:r>
      <w:proofErr w:type="spellEnd"/>
      <w:r w:rsidR="00145662" w:rsidRPr="00145662">
        <w:t xml:space="preserve"> vaccine]</w:t>
      </w:r>
      <w:r w:rsidRPr="00145662">
        <w:t xml:space="preserve"> 30 </w:t>
      </w:r>
      <w:proofErr w:type="spellStart"/>
      <w:r w:rsidRPr="00145662">
        <w:t>μg</w:t>
      </w:r>
      <w:proofErr w:type="spellEnd"/>
      <w:r w:rsidRPr="00145662">
        <w:t xml:space="preserve"> as assigned had an AE</w:t>
      </w:r>
      <w:r w:rsidR="00145662" w:rsidRPr="00145662">
        <w:t xml:space="preserve"> [adverse event]</w:t>
      </w:r>
      <w:r w:rsidRPr="00145662">
        <w:t xml:space="preserve"> of Grade 2 arthralgia (right hip pain) that was judged by the investigator as related to study intervention. This participant was a White male 5 years of age with no relevant medical history or concomitant vaccinations. The event was reported with an onset of 7 days after Dose 1, and was reported as involving no limitation in movement of the extremity, no accompanying fever, no injection site abnormality, and no other symptoms; the event resolved the same day after administration of ibuprofen.’</w:t>
      </w:r>
    </w:p>
    <w:p w14:paraId="6C00A284" w14:textId="77777777" w:rsidR="00312826" w:rsidRPr="00530179" w:rsidRDefault="00312826" w:rsidP="00145662">
      <w:pPr>
        <w:pStyle w:val="Heading6"/>
        <w:rPr>
          <w:lang w:eastAsia="ja-JP"/>
        </w:rPr>
      </w:pPr>
      <w:r w:rsidRPr="00530179">
        <w:rPr>
          <w:lang w:eastAsia="ja-JP"/>
        </w:rPr>
        <w:lastRenderedPageBreak/>
        <w:t>Lymphadenopathy</w:t>
      </w:r>
    </w:p>
    <w:p w14:paraId="6F678BE6" w14:textId="6FB0E641" w:rsidR="00312826" w:rsidRPr="00145662" w:rsidRDefault="00145662" w:rsidP="00312826">
      <w:pPr>
        <w:jc w:val="both"/>
        <w:rPr>
          <w:lang w:eastAsia="ja-JP"/>
        </w:rPr>
      </w:pPr>
      <w:r>
        <w:rPr>
          <w:lang w:eastAsia="ja-JP"/>
        </w:rPr>
        <w:t>Two</w:t>
      </w:r>
      <w:r w:rsidR="00312826" w:rsidRPr="00530179">
        <w:rPr>
          <w:lang w:eastAsia="ja-JP"/>
        </w:rPr>
        <w:t xml:space="preserve"> participants </w:t>
      </w:r>
      <w:r>
        <w:rPr>
          <w:lang w:eastAsia="ja-JP"/>
        </w:rPr>
        <w:t xml:space="preserve">between </w:t>
      </w:r>
      <w:r w:rsidR="00312826" w:rsidRPr="00530179">
        <w:rPr>
          <w:lang w:eastAsia="ja-JP"/>
        </w:rPr>
        <w:t>5 to &lt;</w:t>
      </w:r>
      <w:r>
        <w:rPr>
          <w:lang w:eastAsia="ja-JP"/>
        </w:rPr>
        <w:t xml:space="preserve"> 12</w:t>
      </w:r>
      <w:r w:rsidR="00312826" w:rsidRPr="00530179">
        <w:rPr>
          <w:lang w:eastAsia="ja-JP"/>
        </w:rPr>
        <w:t xml:space="preserve"> </w:t>
      </w:r>
      <w:r>
        <w:rPr>
          <w:lang w:eastAsia="ja-JP"/>
        </w:rPr>
        <w:t>y</w:t>
      </w:r>
      <w:r w:rsidR="00312826" w:rsidRPr="00530179">
        <w:rPr>
          <w:lang w:eastAsia="ja-JP"/>
        </w:rPr>
        <w:t xml:space="preserve">ears </w:t>
      </w:r>
      <w:r>
        <w:rPr>
          <w:lang w:eastAsia="ja-JP"/>
        </w:rPr>
        <w:t xml:space="preserve">of </w:t>
      </w:r>
      <w:r w:rsidR="00312826" w:rsidRPr="00530179">
        <w:rPr>
          <w:lang w:eastAsia="ja-JP"/>
        </w:rPr>
        <w:t xml:space="preserve">age had cases of lymphadenopathy up to the data </w:t>
      </w:r>
      <w:proofErr w:type="spellStart"/>
      <w:r w:rsidR="00312826" w:rsidRPr="00530179">
        <w:rPr>
          <w:lang w:eastAsia="ja-JP"/>
        </w:rPr>
        <w:t>cut</w:t>
      </w:r>
      <w:r w:rsidR="005D1794">
        <w:rPr>
          <w:lang w:eastAsia="ja-JP"/>
        </w:rPr>
        <w:t xml:space="preserve"> </w:t>
      </w:r>
      <w:r w:rsidR="00312826" w:rsidRPr="00530179">
        <w:rPr>
          <w:lang w:eastAsia="ja-JP"/>
        </w:rPr>
        <w:t>off</w:t>
      </w:r>
      <w:proofErr w:type="spellEnd"/>
      <w:r w:rsidR="00312826" w:rsidRPr="00530179">
        <w:rPr>
          <w:lang w:eastAsia="ja-JP"/>
        </w:rPr>
        <w:t xml:space="preserve"> date but neither were in the </w:t>
      </w:r>
      <w:proofErr w:type="gramStart"/>
      <w:r w:rsidR="00312826" w:rsidRPr="00530179">
        <w:rPr>
          <w:lang w:eastAsia="ja-JP"/>
        </w:rPr>
        <w:t>10 µg</w:t>
      </w:r>
      <w:proofErr w:type="gramEnd"/>
      <w:r w:rsidR="00312826" w:rsidRPr="00530179">
        <w:rPr>
          <w:lang w:eastAsia="ja-JP"/>
        </w:rPr>
        <w:t xml:space="preserve"> group (</w:t>
      </w:r>
      <w:r>
        <w:rPr>
          <w:lang w:eastAsia="ja-JP"/>
        </w:rPr>
        <w:t>that is, the dose selected for Phase II/III</w:t>
      </w:r>
      <w:r w:rsidR="00312826" w:rsidRPr="00530179">
        <w:rPr>
          <w:lang w:eastAsia="ja-JP"/>
        </w:rPr>
        <w:t xml:space="preserve"> s</w:t>
      </w:r>
      <w:r>
        <w:rPr>
          <w:lang w:eastAsia="ja-JP"/>
        </w:rPr>
        <w:t>tudy).</w:t>
      </w:r>
    </w:p>
    <w:p w14:paraId="726EF0C3" w14:textId="77777777" w:rsidR="00312826" w:rsidRPr="00530179" w:rsidRDefault="00312826" w:rsidP="001908ED">
      <w:pPr>
        <w:pStyle w:val="Heading5"/>
      </w:pPr>
      <w:r w:rsidRPr="00530179">
        <w:t>Dose defining</w:t>
      </w:r>
    </w:p>
    <w:p w14:paraId="25174C92" w14:textId="15C0C1E3" w:rsidR="00312826" w:rsidRDefault="00312826" w:rsidP="00312826">
      <w:r w:rsidRPr="00530179">
        <w:t xml:space="preserve">Based upon review of safety and immunogenicity in the Phase </w:t>
      </w:r>
      <w:r w:rsidR="00A76B17">
        <w:t>I</w:t>
      </w:r>
      <w:r w:rsidRPr="00530179">
        <w:t xml:space="preserve"> study, the final BNT162b2</w:t>
      </w:r>
      <w:r w:rsidR="00A76B17">
        <w:t xml:space="preserve"> (</w:t>
      </w:r>
      <w:proofErr w:type="spellStart"/>
      <w:r w:rsidR="00A76B17">
        <w:t>tozinameran</w:t>
      </w:r>
      <w:proofErr w:type="spellEnd"/>
      <w:r w:rsidR="00A76B17">
        <w:t>)</w:t>
      </w:r>
      <w:r w:rsidRPr="00530179">
        <w:t xml:space="preserve"> dose level</w:t>
      </w:r>
      <w:r w:rsidR="00887BE1">
        <w:t>s selected were 10 µg for the 5 to 11 y</w:t>
      </w:r>
      <w:r w:rsidRPr="00530179">
        <w:t>ears</w:t>
      </w:r>
      <w:r w:rsidR="00887BE1">
        <w:t xml:space="preserve"> of</w:t>
      </w:r>
      <w:r w:rsidRPr="00530179">
        <w:t xml:space="preserve"> age group, and 3 µg for the two younger age groups.</w:t>
      </w:r>
    </w:p>
    <w:p w14:paraId="09E14DE4" w14:textId="77777777" w:rsidR="00AE00F7" w:rsidRPr="00AE00F7" w:rsidRDefault="00AE00F7" w:rsidP="00AE00F7">
      <w:pPr>
        <w:pStyle w:val="Heading4"/>
      </w:pPr>
      <w:r w:rsidRPr="00AE00F7">
        <w:t xml:space="preserve">Study C4591007 </w:t>
      </w:r>
      <w:r>
        <w:t>(Phase II/III parts)</w:t>
      </w:r>
    </w:p>
    <w:p w14:paraId="2375D6EE" w14:textId="77777777" w:rsidR="00AE00F7" w:rsidRPr="00530179" w:rsidRDefault="00AE00F7" w:rsidP="00AE00F7">
      <w:pPr>
        <w:pStyle w:val="Heading5"/>
        <w:rPr>
          <w:lang w:eastAsia="ja-JP"/>
        </w:rPr>
      </w:pPr>
      <w:bookmarkStart w:id="47" w:name="_Ref86054952"/>
      <w:r w:rsidRPr="00530179">
        <w:rPr>
          <w:lang w:eastAsia="ja-JP"/>
        </w:rPr>
        <w:t xml:space="preserve">Study design, objectives, </w:t>
      </w:r>
      <w:proofErr w:type="gramStart"/>
      <w:r w:rsidRPr="00530179">
        <w:rPr>
          <w:lang w:eastAsia="ja-JP"/>
        </w:rPr>
        <w:t>locations</w:t>
      </w:r>
      <w:proofErr w:type="gramEnd"/>
      <w:r w:rsidRPr="00530179">
        <w:rPr>
          <w:lang w:eastAsia="ja-JP"/>
        </w:rPr>
        <w:t xml:space="preserve"> and dates</w:t>
      </w:r>
      <w:bookmarkEnd w:id="47"/>
    </w:p>
    <w:p w14:paraId="7AC33DA7" w14:textId="5DAC851F" w:rsidR="00AE00F7" w:rsidRPr="00AE00F7" w:rsidRDefault="00AE00F7" w:rsidP="00AE00F7">
      <w:r w:rsidRPr="00AE00F7">
        <w:t xml:space="preserve">Based on the dose of 10 µg selected in the Phase I part of Study C4591007, subjects were randomised 2:1 to receive </w:t>
      </w:r>
      <w:r>
        <w:t xml:space="preserve">the </w:t>
      </w:r>
      <w:proofErr w:type="spellStart"/>
      <w:r w:rsidR="005D1794">
        <w:t>Comirnaty</w:t>
      </w:r>
      <w:proofErr w:type="spellEnd"/>
      <w:r>
        <w:t xml:space="preserve"> vaccine</w:t>
      </w:r>
      <w:r w:rsidRPr="00AE00F7">
        <w:t xml:space="preserve"> or placebo at 84 study sites in Finland (n = 11), Poland (n = 8), Spain (n = 10) and the US</w:t>
      </w:r>
      <w:r>
        <w:t>A</w:t>
      </w:r>
      <w:r w:rsidRPr="00AE00F7">
        <w:t xml:space="preserve"> (n = 55). The intent was to assess safety and tolerability, </w:t>
      </w:r>
      <w:proofErr w:type="gramStart"/>
      <w:r w:rsidRPr="00AE00F7">
        <w:t>immunogenicity</w:t>
      </w:r>
      <w:proofErr w:type="gramEnd"/>
      <w:r w:rsidRPr="00AE00F7">
        <w:t xml:space="preserve"> and efficacy.</w:t>
      </w:r>
    </w:p>
    <w:p w14:paraId="2F211DAA" w14:textId="77777777" w:rsidR="00AE00F7" w:rsidRPr="00AE00F7" w:rsidRDefault="00AE00F7" w:rsidP="00AE00F7">
      <w:r w:rsidRPr="00AE00F7">
        <w:t xml:space="preserve">Immunogenicity is to be assessed through </w:t>
      </w:r>
      <w:proofErr w:type="spellStart"/>
      <w:r w:rsidRPr="00AE00F7">
        <w:t>immunobridging</w:t>
      </w:r>
      <w:proofErr w:type="spellEnd"/>
      <w:r w:rsidRPr="00AE00F7">
        <w:t xml:space="preserve"> with a group of randomly selected subjects </w:t>
      </w:r>
      <w:r>
        <w:t xml:space="preserve">of 16 to </w:t>
      </w:r>
      <w:r w:rsidRPr="00AE00F7">
        <w:t xml:space="preserve">25 </w:t>
      </w:r>
      <w:r>
        <w:t>years of age from Study C4591001</w:t>
      </w:r>
      <w:r w:rsidRPr="00AE00F7">
        <w:t xml:space="preserve">, and clinical efficacy following accrual of a suitable number of COVID-19 cases in the </w:t>
      </w:r>
      <w:r>
        <w:t>5 to 11 years of age</w:t>
      </w:r>
      <w:r w:rsidRPr="00AE00F7">
        <w:t xml:space="preserve"> group.</w:t>
      </w:r>
    </w:p>
    <w:p w14:paraId="247BCF1D" w14:textId="77777777" w:rsidR="00AE00F7" w:rsidRPr="00AE00F7" w:rsidRDefault="00AE00F7" w:rsidP="00AE00F7">
      <w:r w:rsidRPr="00AE00F7">
        <w:t xml:space="preserve">A supportive vaccine efficacy analysis is planned once 22 confirmed cases of COVID-19 have accrued among subjects with no prior serological </w:t>
      </w:r>
      <w:r>
        <w:t>or virological evidence of SARS</w:t>
      </w:r>
      <w:r>
        <w:noBreakHyphen/>
      </w:r>
      <w:r w:rsidRPr="00AE00F7">
        <w:t xml:space="preserve">CoV-2 infection prior to 7 days after receipt of Dose 2 provided success criteria for </w:t>
      </w:r>
      <w:proofErr w:type="spellStart"/>
      <w:r w:rsidRPr="00AE00F7">
        <w:t>immunobridging</w:t>
      </w:r>
      <w:proofErr w:type="spellEnd"/>
      <w:r w:rsidRPr="00AE00F7">
        <w:t xml:space="preserve"> are also met.</w:t>
      </w:r>
    </w:p>
    <w:p w14:paraId="3CC54288" w14:textId="77777777" w:rsidR="00AE00F7" w:rsidRPr="00AE00F7" w:rsidRDefault="00AE00F7" w:rsidP="00AE00F7">
      <w:r w:rsidRPr="00AE00F7">
        <w:t>Additional objectives are designed to explore lower dose levels and other vaccine immunogenicity evaluations subsets of subjects.</w:t>
      </w:r>
    </w:p>
    <w:p w14:paraId="769641AE" w14:textId="77777777" w:rsidR="00AE00F7" w:rsidRPr="00AE00F7" w:rsidRDefault="00AE00F7" w:rsidP="00AE00F7">
      <w:r>
        <w:t>Of note, the s</w:t>
      </w:r>
      <w:r w:rsidRPr="00AE00F7">
        <w:t xml:space="preserve">ponsor recruited an additional 2250 children (1500 </w:t>
      </w:r>
      <w:r>
        <w:t xml:space="preserve">receiving </w:t>
      </w:r>
      <w:proofErr w:type="spellStart"/>
      <w:r>
        <w:t>Comirnaty</w:t>
      </w:r>
      <w:proofErr w:type="spellEnd"/>
      <w:r>
        <w:t>,</w:t>
      </w:r>
      <w:r w:rsidRPr="00AE00F7">
        <w:t xml:space="preserve"> and 750 placebo) commencing August 2021 in a safety expansion subset to obtain a larger safety database to support licensure for this age group; however, their data were not included in the present </w:t>
      </w:r>
      <w:r>
        <w:t>electronic</w:t>
      </w:r>
      <w:r w:rsidRPr="00AE00F7">
        <w:t xml:space="preserve"> submission and </w:t>
      </w:r>
      <w:r>
        <w:t xml:space="preserve">an </w:t>
      </w:r>
      <w:r w:rsidRPr="00AE00F7">
        <w:t>interim report for 2.4 week median follow up was provided later. In additi</w:t>
      </w:r>
      <w:r>
        <w:t>on to those 2250 subjects, the s</w:t>
      </w:r>
      <w:r w:rsidRPr="00AE00F7">
        <w:t>ponsor intends to recruit a further 750 subjects to collect samples for troponin I evaluation (as a marker of myocarditis), with enrolment scheduled to commence in October 2021.</w:t>
      </w:r>
    </w:p>
    <w:p w14:paraId="7D62AE16" w14:textId="77777777" w:rsidR="00AE00F7" w:rsidRPr="00530179" w:rsidRDefault="00AE00F7" w:rsidP="00AE00F7">
      <w:pPr>
        <w:pStyle w:val="Heading5"/>
        <w:rPr>
          <w:lang w:eastAsia="ja-JP"/>
        </w:rPr>
      </w:pPr>
      <w:bookmarkStart w:id="48" w:name="_Ref86054953"/>
      <w:r w:rsidRPr="00530179">
        <w:rPr>
          <w:lang w:eastAsia="ja-JP"/>
        </w:rPr>
        <w:t>Inclusion and exclusion criteria</w:t>
      </w:r>
      <w:bookmarkEnd w:id="48"/>
    </w:p>
    <w:p w14:paraId="4DBD8830" w14:textId="77777777" w:rsidR="00AE00F7" w:rsidRDefault="00AE00F7" w:rsidP="00AE00F7">
      <w:pPr>
        <w:pStyle w:val="Heading6"/>
        <w:rPr>
          <w:lang w:eastAsia="ja-JP"/>
        </w:rPr>
      </w:pPr>
      <w:r>
        <w:rPr>
          <w:lang w:eastAsia="ja-JP"/>
        </w:rPr>
        <w:t>Inclusion criteria</w:t>
      </w:r>
    </w:p>
    <w:p w14:paraId="7B1E7F90" w14:textId="77777777" w:rsidR="00AE00F7" w:rsidRPr="00AE00F7" w:rsidRDefault="00AE00F7" w:rsidP="00AE00F7">
      <w:pPr>
        <w:rPr>
          <w:lang w:eastAsia="ja-JP"/>
        </w:rPr>
      </w:pPr>
      <w:r>
        <w:rPr>
          <w:lang w:eastAsia="ja-JP"/>
        </w:rPr>
        <w:t>Inclusion criteria were:</w:t>
      </w:r>
    </w:p>
    <w:p w14:paraId="5C10A741" w14:textId="27C18A84" w:rsidR="00AE00F7" w:rsidRPr="00AE00F7" w:rsidRDefault="00AE00F7" w:rsidP="00AE00F7">
      <w:pPr>
        <w:pStyle w:val="ListBullet"/>
      </w:pPr>
      <w:r w:rsidRPr="00AE00F7">
        <w:t>male and female subjects 6 months to 12 years age at time of randomisation</w:t>
      </w:r>
      <w:r w:rsidR="00A76B17">
        <w:t>; and</w:t>
      </w:r>
    </w:p>
    <w:p w14:paraId="05ED50D8" w14:textId="77777777" w:rsidR="00AE00F7" w:rsidRPr="00AE00F7" w:rsidRDefault="00AE00F7" w:rsidP="00AE00F7">
      <w:pPr>
        <w:pStyle w:val="ListBullet"/>
      </w:pPr>
      <w:r>
        <w:t>considered h</w:t>
      </w:r>
      <w:r w:rsidRPr="00AE00F7">
        <w:t>ealthy, as determined by medical history, physica</w:t>
      </w:r>
      <w:r>
        <w:t xml:space="preserve">l </w:t>
      </w:r>
      <w:proofErr w:type="gramStart"/>
      <w:r>
        <w:t>examination</w:t>
      </w:r>
      <w:proofErr w:type="gramEnd"/>
      <w:r>
        <w:t xml:space="preserve"> and judgement of i</w:t>
      </w:r>
      <w:r w:rsidRPr="00AE00F7">
        <w:t>nvestigator.</w:t>
      </w:r>
    </w:p>
    <w:p w14:paraId="7C4314FB" w14:textId="1EDAD83D" w:rsidR="00AE00F7" w:rsidRPr="00AE00F7" w:rsidRDefault="00AE00F7" w:rsidP="00AE00F7">
      <w:r w:rsidRPr="00AE00F7">
        <w:rPr>
          <w:i/>
        </w:rPr>
        <w:t>Note</w:t>
      </w:r>
      <w:r w:rsidRPr="00AE00F7">
        <w:t>: enrolment was permitted for subjects with medi</w:t>
      </w:r>
      <w:r>
        <w:t>cal conditions such as: stable t</w:t>
      </w:r>
      <w:r w:rsidRPr="00AE00F7">
        <w:t xml:space="preserve">ype 1 diabetes mellitus or hypothyroidism; stable and controlled HIV, </w:t>
      </w:r>
      <w:r w:rsidR="00FA1DD0">
        <w:t>hepatitis C or B (</w:t>
      </w:r>
      <w:r w:rsidRPr="00AE00F7">
        <w:t>HCV or HBV</w:t>
      </w:r>
      <w:r w:rsidR="00FA1DD0">
        <w:t>)</w:t>
      </w:r>
      <w:r w:rsidRPr="00AE00F7">
        <w:t xml:space="preserve"> </w:t>
      </w:r>
      <w:r w:rsidR="00A76B17">
        <w:t xml:space="preserve">viral </w:t>
      </w:r>
      <w:r w:rsidRPr="00AE00F7">
        <w:t>infection; and past serological or microbiologic evidence of prior (but not active) SARS-CoV-2 infection.</w:t>
      </w:r>
    </w:p>
    <w:p w14:paraId="3488C8F6" w14:textId="4CA66D88" w:rsidR="00AE00F7" w:rsidRPr="00AE00F7" w:rsidRDefault="00AE00F7" w:rsidP="00AE00F7">
      <w:pPr>
        <w:pStyle w:val="Heading6"/>
      </w:pPr>
      <w:r>
        <w:t>Exclusion criteria</w:t>
      </w:r>
    </w:p>
    <w:p w14:paraId="7E924EDE" w14:textId="77777777" w:rsidR="00AE00F7" w:rsidRPr="00AE00F7" w:rsidRDefault="00AE00F7" w:rsidP="00AE00F7">
      <w:r w:rsidRPr="00AE00F7">
        <w:t xml:space="preserve">Main </w:t>
      </w:r>
      <w:r>
        <w:t>e</w:t>
      </w:r>
      <w:r w:rsidRPr="00AE00F7">
        <w:t>xclusion criteria</w:t>
      </w:r>
      <w:r>
        <w:t xml:space="preserve"> were</w:t>
      </w:r>
      <w:r w:rsidRPr="00AE00F7">
        <w:t>:</w:t>
      </w:r>
    </w:p>
    <w:p w14:paraId="4DE8A21E" w14:textId="1F6BD424" w:rsidR="00AE00F7" w:rsidRPr="00AE00F7" w:rsidRDefault="00AE00F7" w:rsidP="00AE00F7">
      <w:pPr>
        <w:pStyle w:val="ListBullet"/>
      </w:pPr>
      <w:r w:rsidRPr="00AE00F7">
        <w:t>clinically important prior medical (including immunosuppressive or autoimmune conditions) or psychiatric illness or laboratory abnormalities</w:t>
      </w:r>
      <w:r w:rsidR="00A76B17">
        <w:t>; and/or</w:t>
      </w:r>
    </w:p>
    <w:p w14:paraId="70A04252" w14:textId="77777777" w:rsidR="00AE00F7" w:rsidRPr="00530179" w:rsidRDefault="00AE00F7" w:rsidP="002D48F5">
      <w:pPr>
        <w:pStyle w:val="ListBullet"/>
      </w:pPr>
      <w:r w:rsidRPr="00AE00F7">
        <w:lastRenderedPageBreak/>
        <w:t>past diagnosis of MIS-C</w:t>
      </w:r>
      <w:r w:rsidR="002D48F5">
        <w:t>.</w:t>
      </w:r>
    </w:p>
    <w:p w14:paraId="4F1D336E" w14:textId="77777777" w:rsidR="00AE00F7" w:rsidRPr="00530179" w:rsidRDefault="00AE00F7" w:rsidP="00AE00F7">
      <w:pPr>
        <w:keepNext/>
        <w:keepLines/>
        <w:numPr>
          <w:ilvl w:val="3"/>
          <w:numId w:val="0"/>
        </w:numPr>
        <w:outlineLvl w:val="4"/>
        <w:rPr>
          <w:rFonts w:eastAsia="Times New Roman"/>
          <w:b/>
          <w:bCs/>
          <w:i/>
          <w:szCs w:val="21"/>
          <w:lang w:eastAsia="ja-JP"/>
        </w:rPr>
      </w:pPr>
      <w:bookmarkStart w:id="49" w:name="_Ref86054958"/>
      <w:r w:rsidRPr="00530179">
        <w:rPr>
          <w:rFonts w:eastAsia="Times New Roman"/>
          <w:b/>
          <w:bCs/>
          <w:i/>
          <w:szCs w:val="21"/>
          <w:lang w:eastAsia="ja-JP"/>
        </w:rPr>
        <w:t>Study treatments</w:t>
      </w:r>
      <w:bookmarkEnd w:id="49"/>
    </w:p>
    <w:p w14:paraId="2E4AF5AD" w14:textId="27C4DE4A" w:rsidR="00AE00F7" w:rsidRPr="002D48F5" w:rsidRDefault="002D48F5" w:rsidP="002D48F5">
      <w:proofErr w:type="spellStart"/>
      <w:r w:rsidRPr="002D48F5">
        <w:t>Comirnaty</w:t>
      </w:r>
      <w:proofErr w:type="spellEnd"/>
      <w:r w:rsidR="00AE00F7" w:rsidRPr="002D48F5">
        <w:t xml:space="preserve"> </w:t>
      </w:r>
      <w:r w:rsidR="00A76B17">
        <w:t>(</w:t>
      </w:r>
      <w:proofErr w:type="spellStart"/>
      <w:r w:rsidR="00A76B17">
        <w:t>tozinameran</w:t>
      </w:r>
      <w:proofErr w:type="spellEnd"/>
      <w:r w:rsidR="00A76B17">
        <w:t xml:space="preserve">) </w:t>
      </w:r>
      <w:r w:rsidR="00AE00F7" w:rsidRPr="002D48F5">
        <w:t xml:space="preserve">10 µg in 0.2 mL dose given twice, 21 days apart as a primary series. Matching saline placebo, 0.2 </w:t>
      </w:r>
      <w:proofErr w:type="spellStart"/>
      <w:r w:rsidR="00AE00F7" w:rsidRPr="002D48F5">
        <w:t>mL.</w:t>
      </w:r>
      <w:proofErr w:type="spellEnd"/>
      <w:r w:rsidR="00AE00F7" w:rsidRPr="002D48F5">
        <w:t xml:space="preserve"> However, no details were provided in the </w:t>
      </w:r>
      <w:r>
        <w:t>clinical study report</w:t>
      </w:r>
      <w:r w:rsidR="00AE00F7" w:rsidRPr="002D48F5">
        <w:t xml:space="preserve"> about the formulation type (</w:t>
      </w:r>
      <w:r>
        <w:t>phosphate buffered saline/s</w:t>
      </w:r>
      <w:r w:rsidR="00F6606E">
        <w:t>ucrose buffered; or t</w:t>
      </w:r>
      <w:r w:rsidR="00AE00F7" w:rsidRPr="002D48F5">
        <w:t>ris</w:t>
      </w:r>
      <w:r w:rsidR="00F6606E">
        <w:t>/s</w:t>
      </w:r>
      <w:r w:rsidR="00AE00F7" w:rsidRPr="002D48F5">
        <w:t>ucrose buffered) used for the clinical trials.</w:t>
      </w:r>
    </w:p>
    <w:p w14:paraId="0CBFCB36" w14:textId="77777777" w:rsidR="00AE00F7" w:rsidRPr="002D48F5" w:rsidRDefault="00AE00F7" w:rsidP="002D48F5">
      <w:r w:rsidRPr="002D48F5">
        <w:t>Following information was provided in subsequent email correspondence with the sponsor:</w:t>
      </w:r>
    </w:p>
    <w:p w14:paraId="34E39688" w14:textId="77777777" w:rsidR="00AE00F7" w:rsidRPr="00F6606E" w:rsidRDefault="00F6606E" w:rsidP="00F6606E">
      <w:pPr>
        <w:pStyle w:val="ListBullet"/>
      </w:pPr>
      <w:r>
        <w:t>Both the Phase I and Phase II/III</w:t>
      </w:r>
      <w:r w:rsidR="00AE00F7" w:rsidRPr="00F6606E">
        <w:t xml:space="preserve"> studies utilised the existing formulation of </w:t>
      </w:r>
      <w:r>
        <w:t>phosphate buffered saline/s</w:t>
      </w:r>
      <w:r w:rsidR="00AE00F7" w:rsidRPr="00F6606E">
        <w:t>ucrose buffered products.</w:t>
      </w:r>
    </w:p>
    <w:p w14:paraId="1A12B6ED" w14:textId="4690753B" w:rsidR="00AE00F7" w:rsidRPr="00F6606E" w:rsidRDefault="00AE00F7" w:rsidP="00F6606E">
      <w:pPr>
        <w:pStyle w:val="ListBullet"/>
      </w:pPr>
      <w:r w:rsidRPr="00F6606E">
        <w:t>The vial size f</w:t>
      </w:r>
      <w:r w:rsidR="00F6606E">
        <w:t xml:space="preserve">or the </w:t>
      </w:r>
      <w:proofErr w:type="gramStart"/>
      <w:r w:rsidR="00F6606E">
        <w:t>10 µg</w:t>
      </w:r>
      <w:proofErr w:type="gramEnd"/>
      <w:r w:rsidR="00F6606E">
        <w:t xml:space="preserve"> dose in the Phase II/III</w:t>
      </w:r>
      <w:r w:rsidRPr="00F6606E">
        <w:t xml:space="preserve"> study was 0.2 mL (as above), which was then further diluted so that doses of 10 µg in 0.2 mL could be utilised. The 0.2 mL vial ‘was made specifically for the </w:t>
      </w:r>
      <w:r w:rsidR="00A76B17">
        <w:t xml:space="preserve">Study </w:t>
      </w:r>
      <w:r w:rsidRPr="00F6606E">
        <w:t>C4591007 and is not being manufactured for supply’.</w:t>
      </w:r>
    </w:p>
    <w:p w14:paraId="5B005B91" w14:textId="77777777" w:rsidR="00F6606E" w:rsidRDefault="00F6606E" w:rsidP="00F6606E">
      <w:pPr>
        <w:pStyle w:val="ListBullet"/>
      </w:pPr>
      <w:r>
        <w:t>The new formulation t</w:t>
      </w:r>
      <w:r w:rsidR="00AE00F7" w:rsidRPr="00F6606E">
        <w:t>ris</w:t>
      </w:r>
      <w:r>
        <w:t xml:space="preserve"> buffered saline/s</w:t>
      </w:r>
      <w:r w:rsidR="00AE00F7" w:rsidRPr="00F6606E">
        <w:t xml:space="preserve">ucrose buffered </w:t>
      </w:r>
      <w:r>
        <w:t>product was not used at all in S</w:t>
      </w:r>
      <w:r w:rsidR="00AE00F7" w:rsidRPr="00F6606E">
        <w:t>tudy C4591007.</w:t>
      </w:r>
      <w:bookmarkStart w:id="50" w:name="_Ref85818945"/>
    </w:p>
    <w:p w14:paraId="37C5AFBB" w14:textId="77777777" w:rsidR="00F6606E" w:rsidRPr="00F6606E" w:rsidRDefault="00F6606E" w:rsidP="00F6606E">
      <w:pPr>
        <w:pStyle w:val="Heading5"/>
        <w:rPr>
          <w:rFonts w:eastAsia="Cambria"/>
          <w:szCs w:val="22"/>
        </w:rPr>
      </w:pPr>
      <w:r w:rsidRPr="00F6606E">
        <w:lastRenderedPageBreak/>
        <w:t>Efficacy and immunogenicity variables and outcomes</w:t>
      </w:r>
      <w:bookmarkEnd w:id="50"/>
    </w:p>
    <w:p w14:paraId="540BCFB1" w14:textId="499F1ACC" w:rsidR="00F6606E" w:rsidRPr="00F6606E" w:rsidRDefault="00F6606E" w:rsidP="00F6606E">
      <w:pPr>
        <w:pStyle w:val="TableTitle"/>
        <w:rPr>
          <w:rFonts w:eastAsia="Times New Roman"/>
          <w:bCs/>
          <w:i/>
          <w:szCs w:val="21"/>
          <w:lang w:eastAsia="ja-JP"/>
        </w:rPr>
      </w:pPr>
      <w:r w:rsidRPr="00F6606E">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9</w:t>
      </w:r>
      <w:r>
        <w:rPr>
          <w:color w:val="2B579A"/>
          <w:shd w:val="clear" w:color="auto" w:fill="E6E6E6"/>
        </w:rPr>
        <w:fldChar w:fldCharType="end"/>
      </w:r>
      <w:r w:rsidRPr="00F6606E">
        <w:t xml:space="preserve">: </w:t>
      </w:r>
      <w:r>
        <w:t>Phase II/III</w:t>
      </w:r>
      <w:r w:rsidRPr="00F6606E">
        <w:t xml:space="preserve"> Objectives, </w:t>
      </w:r>
      <w:proofErr w:type="spellStart"/>
      <w:r w:rsidRPr="00F6606E">
        <w:t>estimands</w:t>
      </w:r>
      <w:proofErr w:type="spellEnd"/>
      <w:r w:rsidRPr="00F6606E">
        <w:t xml:space="preserve"> and endpoints (efficacy and immunogenicity)</w:t>
      </w:r>
    </w:p>
    <w:p w14:paraId="642B9E3A" w14:textId="506C3BEB" w:rsidR="00AE00F7" w:rsidRDefault="00F6606E" w:rsidP="00AE00F7">
      <w:r w:rsidRPr="00530179">
        <w:rPr>
          <w:noProof/>
          <w:color w:val="2B579A"/>
          <w:shd w:val="clear" w:color="auto" w:fill="E6E6E6"/>
          <w:lang w:val="en-GB" w:eastAsia="en-GB"/>
        </w:rPr>
        <w:drawing>
          <wp:inline distT="0" distB="0" distL="0" distR="0" wp14:anchorId="669368B7" wp14:editId="5CBBB818">
            <wp:extent cx="5223229" cy="7772400"/>
            <wp:effectExtent l="0" t="0" r="0" b="0"/>
            <wp:docPr id="96" name="Picture 96" descr="Phase II/III Objectives, estimands and endpoints (efficacy and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5228714" cy="7780562"/>
                    </a:xfrm>
                    <a:prstGeom prst="rect">
                      <a:avLst/>
                    </a:prstGeom>
                    <a:noFill/>
                  </pic:spPr>
                </pic:pic>
              </a:graphicData>
            </a:graphic>
          </wp:inline>
        </w:drawing>
      </w:r>
    </w:p>
    <w:p w14:paraId="63438E25" w14:textId="01BAD6A8" w:rsidR="00A76B17" w:rsidRDefault="00A76B17" w:rsidP="00D15B9E">
      <w:pPr>
        <w:pStyle w:val="TableDescription"/>
      </w:pPr>
      <w:r>
        <w:t xml:space="preserve">Note: BNT162b2 refers to </w:t>
      </w:r>
      <w:proofErr w:type="spellStart"/>
      <w:r>
        <w:t>Comirnaty</w:t>
      </w:r>
      <w:proofErr w:type="spellEnd"/>
      <w:r>
        <w:t xml:space="preserve"> (</w:t>
      </w:r>
      <w:proofErr w:type="spellStart"/>
      <w:r>
        <w:t>tozinameran</w:t>
      </w:r>
      <w:proofErr w:type="spellEnd"/>
      <w:r>
        <w:t>)</w:t>
      </w:r>
    </w:p>
    <w:p w14:paraId="78620A9B" w14:textId="77777777" w:rsidR="00F6606E" w:rsidRPr="00530179" w:rsidRDefault="00F6606E" w:rsidP="00917237">
      <w:pPr>
        <w:pStyle w:val="Heading5"/>
        <w:rPr>
          <w:lang w:eastAsia="ja-JP"/>
        </w:rPr>
      </w:pPr>
      <w:bookmarkStart w:id="51" w:name="_Ref86054969"/>
      <w:r w:rsidRPr="00530179">
        <w:rPr>
          <w:lang w:eastAsia="ja-JP"/>
        </w:rPr>
        <w:lastRenderedPageBreak/>
        <w:t xml:space="preserve">Study </w:t>
      </w:r>
      <w:r w:rsidRPr="00917237">
        <w:t>procedures</w:t>
      </w:r>
      <w:bookmarkEnd w:id="51"/>
    </w:p>
    <w:p w14:paraId="643DDFF5" w14:textId="77777777" w:rsidR="00F6606E" w:rsidRPr="00530179" w:rsidRDefault="00F6606E" w:rsidP="00F6606E">
      <w:pPr>
        <w:rPr>
          <w:lang w:eastAsia="ja-JP"/>
        </w:rPr>
      </w:pPr>
      <w:r w:rsidRPr="00530179">
        <w:rPr>
          <w:lang w:eastAsia="ja-JP"/>
        </w:rPr>
        <w:t>Serum samples for immunogenicity testing were obtained as follows:</w:t>
      </w:r>
    </w:p>
    <w:p w14:paraId="34C59963" w14:textId="0CF6B91D" w:rsidR="00F6606E" w:rsidRPr="00917237" w:rsidRDefault="00FA1DD0" w:rsidP="00917237">
      <w:pPr>
        <w:pStyle w:val="ListBullet"/>
      </w:pPr>
      <w:r>
        <w:t>V</w:t>
      </w:r>
      <w:r w:rsidR="00F6606E" w:rsidRPr="00917237">
        <w:t>isit 1: before Dose 1 (from</w:t>
      </w:r>
      <w:r w:rsidR="00917237">
        <w:t xml:space="preserve"> about 450 subjects (</w:t>
      </w:r>
      <w:r w:rsidR="00F6606E" w:rsidRPr="00917237">
        <w:t xml:space="preserve">300 </w:t>
      </w:r>
      <w:proofErr w:type="spellStart"/>
      <w:r w:rsidR="00917237">
        <w:t>Comirnaty</w:t>
      </w:r>
      <w:proofErr w:type="spellEnd"/>
      <w:r w:rsidR="00917237">
        <w:t xml:space="preserve"> vaccine, 150 placebo)</w:t>
      </w:r>
      <w:r w:rsidR="00F6606E" w:rsidRPr="00917237">
        <w:t>)</w:t>
      </w:r>
    </w:p>
    <w:p w14:paraId="1B9A4D93" w14:textId="77777777" w:rsidR="00F6606E" w:rsidRPr="00917237" w:rsidRDefault="00F6606E" w:rsidP="00917237">
      <w:pPr>
        <w:pStyle w:val="ListBullet"/>
      </w:pPr>
      <w:r w:rsidRPr="00917237">
        <w:t>about 1 month after Dose 2</w:t>
      </w:r>
    </w:p>
    <w:p w14:paraId="099EB561" w14:textId="77777777" w:rsidR="00F6606E" w:rsidRPr="00917237" w:rsidRDefault="00F6606E" w:rsidP="00917237">
      <w:pPr>
        <w:pStyle w:val="ListBullet"/>
      </w:pPr>
      <w:r w:rsidRPr="00917237">
        <w:t>about 6 months after Dose 2</w:t>
      </w:r>
    </w:p>
    <w:p w14:paraId="28A10DD3" w14:textId="77777777" w:rsidR="00F6606E" w:rsidRPr="00917237" w:rsidRDefault="00F6606E" w:rsidP="00917237">
      <w:pPr>
        <w:pStyle w:val="ListBullet"/>
      </w:pPr>
      <w:r w:rsidRPr="00917237">
        <w:t>about 12 and 24 months after Dose 2 (from a subset of about 70 subjects)</w:t>
      </w:r>
      <w:r w:rsidR="00917237">
        <w:t>.</w:t>
      </w:r>
    </w:p>
    <w:p w14:paraId="459C2B59" w14:textId="77777777" w:rsidR="00F6606E" w:rsidRPr="00530179" w:rsidRDefault="00917237" w:rsidP="00917237">
      <w:r>
        <w:t>Phase II/III</w:t>
      </w:r>
      <w:r w:rsidR="00F6606E" w:rsidRPr="00917237">
        <w:t xml:space="preserve"> results are reported in the interim </w:t>
      </w:r>
      <w:r>
        <w:t>clinical study report for SARS-CoV-2 neutralis</w:t>
      </w:r>
      <w:r w:rsidR="00F6606E" w:rsidRPr="00917237">
        <w:t>ing t</w:t>
      </w:r>
      <w:r>
        <w:t>it</w:t>
      </w:r>
      <w:r w:rsidR="00F6606E" w:rsidRPr="00917237">
        <w:t>r</w:t>
      </w:r>
      <w:r>
        <w:t>e</w:t>
      </w:r>
      <w:r w:rsidR="00F6606E" w:rsidRPr="00917237">
        <w:t xml:space="preserve">s through the </w:t>
      </w:r>
      <w:r>
        <w:t>1-month post-Dose 2 time point.</w:t>
      </w:r>
      <w:r w:rsidR="00F6606E" w:rsidRPr="00917237">
        <w:t xml:space="preserve"> Data from later time points will be reported in the future.</w:t>
      </w:r>
    </w:p>
    <w:p w14:paraId="1337CB0E" w14:textId="77777777" w:rsidR="00F6606E" w:rsidRPr="00530179" w:rsidRDefault="00F6606E" w:rsidP="00917237">
      <w:pPr>
        <w:pStyle w:val="Heading5"/>
        <w:rPr>
          <w:lang w:eastAsia="ja-JP"/>
        </w:rPr>
      </w:pPr>
      <w:bookmarkStart w:id="52" w:name="_Ref86055784"/>
      <w:r w:rsidRPr="00530179">
        <w:rPr>
          <w:lang w:eastAsia="ja-JP"/>
        </w:rPr>
        <w:t>Sample size</w:t>
      </w:r>
      <w:bookmarkEnd w:id="52"/>
    </w:p>
    <w:p w14:paraId="5E7583C5" w14:textId="77777777" w:rsidR="00F6606E" w:rsidRPr="00917237" w:rsidRDefault="00F6606E" w:rsidP="00917237">
      <w:r w:rsidRPr="00530179">
        <w:rPr>
          <w:lang w:eastAsia="ja-JP"/>
        </w:rPr>
        <w:t xml:space="preserve">Phase </w:t>
      </w:r>
      <w:r w:rsidR="00917237">
        <w:rPr>
          <w:lang w:eastAsia="ja-JP"/>
        </w:rPr>
        <w:t>II/III</w:t>
      </w:r>
      <w:r w:rsidRPr="00530179">
        <w:rPr>
          <w:lang w:eastAsia="ja-JP"/>
        </w:rPr>
        <w:t xml:space="preserve"> was designed to include </w:t>
      </w:r>
      <w:r w:rsidRPr="00530179">
        <w:rPr>
          <w:bCs/>
          <w:lang w:eastAsia="ja-JP"/>
        </w:rPr>
        <w:t>a total of approximately 6750 subjects</w:t>
      </w:r>
      <w:r w:rsidRPr="00530179">
        <w:rPr>
          <w:lang w:eastAsia="ja-JP"/>
        </w:rPr>
        <w:t xml:space="preserve"> for all age groups, with the 5 to &lt;12 Years age group including a total of approximately 4500 subjects (3000 </w:t>
      </w:r>
      <w:proofErr w:type="gramStart"/>
      <w:r w:rsidRPr="00530179">
        <w:rPr>
          <w:lang w:eastAsia="ja-JP"/>
        </w:rPr>
        <w:t>active</w:t>
      </w:r>
      <w:proofErr w:type="gramEnd"/>
      <w:r w:rsidRPr="00530179">
        <w:rPr>
          <w:lang w:eastAsia="ja-JP"/>
        </w:rPr>
        <w:t xml:space="preserve">, 1500 placebo). This includes an </w:t>
      </w:r>
      <w:r w:rsidRPr="00917237">
        <w:t xml:space="preserve">initial </w:t>
      </w:r>
      <w:r w:rsidR="00917237">
        <w:t xml:space="preserve">N of approximately </w:t>
      </w:r>
      <w:r w:rsidRPr="00917237">
        <w:t xml:space="preserve">2250 subjects (1500 vaccine, 750 placebo), from whom data are included in the interim </w:t>
      </w:r>
      <w:r w:rsidR="00917237">
        <w:t>clinical study report</w:t>
      </w:r>
      <w:r w:rsidRPr="00917237">
        <w:t>.</w:t>
      </w:r>
    </w:p>
    <w:p w14:paraId="5D4CF26F" w14:textId="00E99B37" w:rsidR="00F6606E" w:rsidRPr="00917237" w:rsidRDefault="00F6606E" w:rsidP="00917237">
      <w:r w:rsidRPr="00917237">
        <w:t>An additional 2250 subjects in the 5 to &lt;</w:t>
      </w:r>
      <w:r w:rsidR="00917237">
        <w:t xml:space="preserve"> </w:t>
      </w:r>
      <w:r w:rsidRPr="00917237">
        <w:t xml:space="preserve">12 </w:t>
      </w:r>
      <w:r w:rsidR="00917237">
        <w:t>y</w:t>
      </w:r>
      <w:r w:rsidRPr="00917237">
        <w:t xml:space="preserve">ears </w:t>
      </w:r>
      <w:r w:rsidR="00FA1DD0">
        <w:t xml:space="preserve">of </w:t>
      </w:r>
      <w:r w:rsidRPr="00917237">
        <w:t xml:space="preserve">age group are </w:t>
      </w:r>
      <w:r w:rsidR="00917237">
        <w:t>to be enrolled and randomis</w:t>
      </w:r>
      <w:r w:rsidRPr="00917237">
        <w:t xml:space="preserve">ed </w:t>
      </w:r>
      <w:r w:rsidR="00917237">
        <w:t xml:space="preserve">in a </w:t>
      </w:r>
      <w:r w:rsidRPr="00917237">
        <w:t>2:1</w:t>
      </w:r>
      <w:r w:rsidR="00917237">
        <w:t xml:space="preserve"> ratio</w:t>
      </w:r>
      <w:r w:rsidRPr="00917237">
        <w:t xml:space="preserve"> (1500 active, 750 placebo) to enlarge the size of the paediatric safety database to support future licensure.’ This is the safety expansion subset.</w:t>
      </w:r>
    </w:p>
    <w:p w14:paraId="6BFD6C4E" w14:textId="046C31DD" w:rsidR="00F6606E" w:rsidRPr="00917237" w:rsidRDefault="00F6606E" w:rsidP="00917237">
      <w:r w:rsidRPr="00917237">
        <w:t>An additional 750 subjects in the 5 to &lt;</w:t>
      </w:r>
      <w:r w:rsidR="00917237">
        <w:t xml:space="preserve"> </w:t>
      </w:r>
      <w:r w:rsidR="00FA1DD0">
        <w:t>12 y</w:t>
      </w:r>
      <w:r w:rsidRPr="00917237">
        <w:t xml:space="preserve">ears </w:t>
      </w:r>
      <w:r w:rsidR="00FA1DD0">
        <w:t xml:space="preserve">of </w:t>
      </w:r>
      <w:r w:rsidRPr="00917237">
        <w:t>age group are to be enrolled to conduct troponin I evaluations. Safety data from these additional subjects will be reported when available.</w:t>
      </w:r>
    </w:p>
    <w:p w14:paraId="7430E052" w14:textId="596CA2E8" w:rsidR="00F6606E" w:rsidRPr="00917237" w:rsidRDefault="00917237" w:rsidP="00917237">
      <w:r>
        <w:t>It was calculated that around</w:t>
      </w:r>
      <w:r w:rsidR="00F6606E" w:rsidRPr="00917237">
        <w:t xml:space="preserve"> 225 evaluable subject</w:t>
      </w:r>
      <w:r>
        <w:t>s in each age group along with around</w:t>
      </w:r>
      <w:r w:rsidR="00F6606E" w:rsidRPr="00917237">
        <w:t xml:space="preserve"> 225 corresponding randomly selected subjects </w:t>
      </w:r>
      <w:r>
        <w:t xml:space="preserve">aged 16 to </w:t>
      </w:r>
      <w:r w:rsidR="00F6606E" w:rsidRPr="00917237">
        <w:t xml:space="preserve">25 years from Study C4591001 would provide a power of 90.4% and 92.6% to declare </w:t>
      </w:r>
      <w:proofErr w:type="spellStart"/>
      <w:r w:rsidR="00F6606E" w:rsidRPr="00917237">
        <w:t>immunobridging</w:t>
      </w:r>
      <w:proofErr w:type="spellEnd"/>
      <w:r w:rsidR="00F6606E" w:rsidRPr="00917237">
        <w:t xml:space="preserve"> success based on </w:t>
      </w:r>
      <w:r w:rsidR="00FA1DD0">
        <w:t>geometric mean ratios (</w:t>
      </w:r>
      <w:r w:rsidR="00F6606E" w:rsidRPr="00917237">
        <w:t>GMR</w:t>
      </w:r>
      <w:r w:rsidR="00FA1DD0">
        <w:t>)</w:t>
      </w:r>
      <w:r w:rsidR="00F6606E" w:rsidRPr="00917237">
        <w:t xml:space="preserve"> and </w:t>
      </w:r>
      <w:proofErr w:type="spellStart"/>
      <w:r w:rsidR="00F6606E" w:rsidRPr="00917237">
        <w:t>seroresponse</w:t>
      </w:r>
      <w:proofErr w:type="spellEnd"/>
      <w:r w:rsidR="00F6606E" w:rsidRPr="00917237">
        <w:t xml:space="preserve"> difference respectively.</w:t>
      </w:r>
    </w:p>
    <w:p w14:paraId="121AB0E3" w14:textId="77777777" w:rsidR="00F6606E" w:rsidRPr="00917237" w:rsidRDefault="00F6606E" w:rsidP="00917237">
      <w:r w:rsidRPr="00917237">
        <w:t>Accounting for a 25% non-evaluable rate with a 2:1 randomisa</w:t>
      </w:r>
      <w:r w:rsidR="00917237">
        <w:t>tion ratio, this would require approximately</w:t>
      </w:r>
      <w:r w:rsidRPr="00917237">
        <w:t xml:space="preserve"> 450 subjects for each age group (</w:t>
      </w:r>
      <w:r w:rsidR="00917237">
        <w:t>that is,</w:t>
      </w:r>
      <w:r w:rsidRPr="00917237">
        <w:t xml:space="preserve"> 300 </w:t>
      </w:r>
      <w:proofErr w:type="spellStart"/>
      <w:r w:rsidR="00917237">
        <w:t>Comirnaty</w:t>
      </w:r>
      <w:proofErr w:type="spellEnd"/>
      <w:r w:rsidR="00917237">
        <w:t xml:space="preserve"> vaccine,</w:t>
      </w:r>
      <w:r w:rsidRPr="00917237">
        <w:t xml:space="preserve"> and 150 placebo) with </w:t>
      </w:r>
      <w:proofErr w:type="gramStart"/>
      <w:r w:rsidRPr="00917237">
        <w:t>1 month</w:t>
      </w:r>
      <w:proofErr w:type="gramEnd"/>
      <w:r w:rsidRPr="00917237">
        <w:t xml:space="preserve"> post-Dose 2 serum samples available.</w:t>
      </w:r>
      <w:bookmarkStart w:id="53" w:name="_Ref86055785"/>
    </w:p>
    <w:p w14:paraId="2500BB20" w14:textId="77777777" w:rsidR="00F6606E" w:rsidRPr="00530179" w:rsidRDefault="00F6606E" w:rsidP="00917237">
      <w:pPr>
        <w:pStyle w:val="Heading5"/>
        <w:rPr>
          <w:lang w:eastAsia="ja-JP"/>
        </w:rPr>
      </w:pPr>
      <w:r w:rsidRPr="00530179">
        <w:rPr>
          <w:lang w:eastAsia="ja-JP"/>
        </w:rPr>
        <w:t>Statistical methods</w:t>
      </w:r>
      <w:bookmarkEnd w:id="53"/>
    </w:p>
    <w:p w14:paraId="2817791E" w14:textId="77777777" w:rsidR="00F6606E" w:rsidRPr="00530179" w:rsidRDefault="00F6606E" w:rsidP="00917237">
      <w:pPr>
        <w:pStyle w:val="Heading6"/>
        <w:rPr>
          <w:lang w:eastAsia="ja-JP"/>
        </w:rPr>
      </w:pPr>
      <w:r w:rsidRPr="00530179">
        <w:rPr>
          <w:lang w:eastAsia="ja-JP"/>
        </w:rPr>
        <w:t>Immunogenicity analysis</w:t>
      </w:r>
    </w:p>
    <w:p w14:paraId="278E3A1C" w14:textId="77777777" w:rsidR="00F6606E" w:rsidRPr="00CF4251" w:rsidRDefault="00F6606E" w:rsidP="00CF4251">
      <w:proofErr w:type="spellStart"/>
      <w:r w:rsidRPr="00917237">
        <w:t>Immunobridging</w:t>
      </w:r>
      <w:proofErr w:type="spellEnd"/>
      <w:r w:rsidRPr="00917237">
        <w:t xml:space="preserve"> analyses were performed to demonstrate non-inferiority between immune responses (GMTs) at </w:t>
      </w:r>
      <w:proofErr w:type="gramStart"/>
      <w:r w:rsidRPr="00917237">
        <w:t>1 month</w:t>
      </w:r>
      <w:proofErr w:type="gramEnd"/>
      <w:r w:rsidRPr="00917237">
        <w:t xml:space="preserve"> post-Dose 2 relative t</w:t>
      </w:r>
      <w:r w:rsidR="00917237">
        <w:t xml:space="preserve">o the random sample from the 16 to </w:t>
      </w:r>
      <w:r w:rsidRPr="00917237">
        <w:t xml:space="preserve">25 </w:t>
      </w:r>
      <w:r w:rsidR="00917237">
        <w:t xml:space="preserve">years of age </w:t>
      </w:r>
      <w:r w:rsidRPr="00917237">
        <w:t>cohort (</w:t>
      </w:r>
      <w:r w:rsidR="00917237">
        <w:t xml:space="preserve">see </w:t>
      </w:r>
      <w:r w:rsidRPr="00917237">
        <w:t xml:space="preserve">above). ‘Samples were tested contemporaneously in the </w:t>
      </w:r>
      <w:r w:rsidRPr="00CF4251">
        <w:t>same assay.’</w:t>
      </w:r>
    </w:p>
    <w:p w14:paraId="1657FF38" w14:textId="00B59401" w:rsidR="00F6606E" w:rsidRPr="00CF4251" w:rsidRDefault="00E705F7" w:rsidP="00CF4251">
      <w:r>
        <w:t>Geometric mean ratios (GMR)</w:t>
      </w:r>
      <w:r w:rsidRPr="00CF4251">
        <w:t xml:space="preserve"> </w:t>
      </w:r>
      <w:r w:rsidR="00F6606E" w:rsidRPr="00CF4251">
        <w:t>with 95% CIs were calculated sequentially. The GMR equalled t</w:t>
      </w:r>
      <w:r w:rsidR="00CF4251" w:rsidRPr="00CF4251">
        <w:t xml:space="preserve">he difference in means of the 5 to </w:t>
      </w:r>
      <w:r w:rsidR="00F6606E" w:rsidRPr="00CF4251">
        <w:t xml:space="preserve">11 </w:t>
      </w:r>
      <w:r w:rsidR="00CF4251" w:rsidRPr="00CF4251">
        <w:t xml:space="preserve">years of age </w:t>
      </w:r>
      <w:r w:rsidR="00F6606E" w:rsidRPr="00CF4251">
        <w:t>gr</w:t>
      </w:r>
      <w:r w:rsidR="00CF4251" w:rsidRPr="00CF4251">
        <w:t xml:space="preserve">oup minus the 16 to </w:t>
      </w:r>
      <w:r w:rsidR="00F6606E" w:rsidRPr="00CF4251">
        <w:t xml:space="preserve">25 </w:t>
      </w:r>
      <w:r w:rsidR="00CF4251" w:rsidRPr="00CF4251">
        <w:t>years of age</w:t>
      </w:r>
      <w:r w:rsidR="00F6606E" w:rsidRPr="00CF4251">
        <w:t xml:space="preserve"> group on the natural log scale prior to exponentiating. The criterion for </w:t>
      </w:r>
      <w:proofErr w:type="spellStart"/>
      <w:r w:rsidR="00F6606E" w:rsidRPr="00CF4251">
        <w:t>immunobridging</w:t>
      </w:r>
      <w:proofErr w:type="spellEnd"/>
      <w:r w:rsidR="00F6606E" w:rsidRPr="00CF4251">
        <w:t xml:space="preserve"> success (</w:t>
      </w:r>
      <w:r w:rsidR="00CF4251" w:rsidRPr="00CF4251">
        <w:t>that is,</w:t>
      </w:r>
      <w:r w:rsidR="00F6606E" w:rsidRPr="00CF4251">
        <w:t xml:space="preserve"> non-inferiority): if the lower bound of the 2-side 95% CI for the GMR was &gt; 0.67 and the point estimate for the GMR was ≥ 0.8 (or ≥ 1.0 as requested by the FDA).</w:t>
      </w:r>
    </w:p>
    <w:p w14:paraId="48E6BFEA" w14:textId="77777777" w:rsidR="00F6606E" w:rsidRPr="00530179" w:rsidRDefault="00F6606E" w:rsidP="00CF4251">
      <w:pPr>
        <w:rPr>
          <w:lang w:eastAsia="ja-JP"/>
        </w:rPr>
      </w:pPr>
      <w:proofErr w:type="spellStart"/>
      <w:r w:rsidRPr="00CF4251">
        <w:rPr>
          <w:bCs/>
          <w:lang w:eastAsia="ja-JP"/>
        </w:rPr>
        <w:t>Seroresponse</w:t>
      </w:r>
      <w:proofErr w:type="spellEnd"/>
      <w:r w:rsidRPr="00530179">
        <w:rPr>
          <w:lang w:eastAsia="ja-JP"/>
        </w:rPr>
        <w:t xml:space="preserve"> was defined a</w:t>
      </w:r>
      <w:r w:rsidR="00CF4251">
        <w:rPr>
          <w:lang w:eastAsia="ja-JP"/>
        </w:rPr>
        <w:t>s a ≥ 4-fold rise in GMTs from Baseline (that is, just prior to Dose 1). If the baseline GMT was below the lower limit of quantitation</w:t>
      </w:r>
      <w:r w:rsidRPr="00530179">
        <w:rPr>
          <w:lang w:eastAsia="ja-JP"/>
        </w:rPr>
        <w:t xml:space="preserve">, then a post-vaccination response of ≥ 4-fold was considered </w:t>
      </w:r>
      <w:proofErr w:type="spellStart"/>
      <w:r w:rsidRPr="00530179">
        <w:rPr>
          <w:lang w:eastAsia="ja-JP"/>
        </w:rPr>
        <w:t>seroresponse</w:t>
      </w:r>
      <w:proofErr w:type="spellEnd"/>
      <w:r w:rsidRPr="00530179">
        <w:rPr>
          <w:lang w:eastAsia="ja-JP"/>
        </w:rPr>
        <w:t>. The difference in percentage point</w:t>
      </w:r>
      <w:r w:rsidR="00CF4251">
        <w:rPr>
          <w:lang w:eastAsia="ja-JP"/>
        </w:rPr>
        <w:t xml:space="preserve">s of </w:t>
      </w:r>
      <w:proofErr w:type="spellStart"/>
      <w:r w:rsidR="00CF4251">
        <w:rPr>
          <w:lang w:eastAsia="ja-JP"/>
        </w:rPr>
        <w:t>seroresponse</w:t>
      </w:r>
      <w:proofErr w:type="spellEnd"/>
      <w:r w:rsidR="00CF4251">
        <w:rPr>
          <w:lang w:eastAsia="ja-JP"/>
        </w:rPr>
        <w:t xml:space="preserve"> of subjects 5 to </w:t>
      </w:r>
      <w:r w:rsidRPr="00530179">
        <w:rPr>
          <w:lang w:eastAsia="ja-JP"/>
        </w:rPr>
        <w:t xml:space="preserve">11 </w:t>
      </w:r>
      <w:r w:rsidR="00CF4251" w:rsidRPr="00530179">
        <w:rPr>
          <w:lang w:eastAsia="ja-JP"/>
        </w:rPr>
        <w:t xml:space="preserve">years </w:t>
      </w:r>
      <w:r w:rsidR="00CF4251">
        <w:rPr>
          <w:lang w:eastAsia="ja-JP"/>
        </w:rPr>
        <w:t xml:space="preserve">of </w:t>
      </w:r>
      <w:r w:rsidR="00CF4251" w:rsidRPr="00530179">
        <w:rPr>
          <w:lang w:eastAsia="ja-JP"/>
        </w:rPr>
        <w:t xml:space="preserve">age </w:t>
      </w:r>
      <w:r w:rsidR="00CF4251">
        <w:rPr>
          <w:lang w:eastAsia="ja-JP"/>
        </w:rPr>
        <w:t xml:space="preserve">minus that of subjects 6 to </w:t>
      </w:r>
      <w:r w:rsidRPr="00530179">
        <w:rPr>
          <w:lang w:eastAsia="ja-JP"/>
        </w:rPr>
        <w:t xml:space="preserve">25 </w:t>
      </w:r>
      <w:r w:rsidR="00CF4251">
        <w:rPr>
          <w:lang w:eastAsia="ja-JP"/>
        </w:rPr>
        <w:t>years of age</w:t>
      </w:r>
      <w:r w:rsidRPr="00530179">
        <w:rPr>
          <w:lang w:eastAsia="ja-JP"/>
        </w:rPr>
        <w:t xml:space="preserve"> was calculated. </w:t>
      </w:r>
      <w:proofErr w:type="spellStart"/>
      <w:r w:rsidRPr="00CF4251">
        <w:rPr>
          <w:bCs/>
          <w:lang w:eastAsia="ja-JP"/>
        </w:rPr>
        <w:t>Immunobridging</w:t>
      </w:r>
      <w:proofErr w:type="spellEnd"/>
      <w:r w:rsidRPr="00CF4251">
        <w:rPr>
          <w:bCs/>
          <w:lang w:eastAsia="ja-JP"/>
        </w:rPr>
        <w:t xml:space="preserve"> success</w:t>
      </w:r>
      <w:r w:rsidRPr="00530179">
        <w:rPr>
          <w:lang w:eastAsia="ja-JP"/>
        </w:rPr>
        <w:t xml:space="preserve"> was declared if the lower </w:t>
      </w:r>
      <w:r w:rsidRPr="00530179">
        <w:rPr>
          <w:lang w:eastAsia="ja-JP"/>
        </w:rPr>
        <w:lastRenderedPageBreak/>
        <w:t xml:space="preserve">bound of the 95% CI for the difference in </w:t>
      </w:r>
      <w:proofErr w:type="spellStart"/>
      <w:r w:rsidRPr="00530179">
        <w:rPr>
          <w:lang w:eastAsia="ja-JP"/>
        </w:rPr>
        <w:t>seroresponse</w:t>
      </w:r>
      <w:proofErr w:type="spellEnd"/>
      <w:r w:rsidRPr="00530179">
        <w:rPr>
          <w:lang w:eastAsia="ja-JP"/>
        </w:rPr>
        <w:t xml:space="preserve"> rates was greater than -10%, provided that the </w:t>
      </w:r>
      <w:proofErr w:type="spellStart"/>
      <w:r w:rsidRPr="00530179">
        <w:rPr>
          <w:lang w:eastAsia="ja-JP"/>
        </w:rPr>
        <w:t>immunobridging</w:t>
      </w:r>
      <w:proofErr w:type="spellEnd"/>
      <w:r w:rsidRPr="00530179">
        <w:rPr>
          <w:lang w:eastAsia="ja-JP"/>
        </w:rPr>
        <w:t xml:space="preserve"> success based on GMRs had been achieved.</w:t>
      </w:r>
    </w:p>
    <w:p w14:paraId="575D532A" w14:textId="77777777" w:rsidR="00F6606E" w:rsidRPr="00530179" w:rsidRDefault="00CF4251" w:rsidP="00CF4251">
      <w:pPr>
        <w:rPr>
          <w:lang w:eastAsia="ja-JP"/>
        </w:rPr>
      </w:pPr>
      <w:r>
        <w:rPr>
          <w:bCs/>
          <w:lang w:eastAsia="ja-JP"/>
        </w:rPr>
        <w:t>Geometric mean titres (GMT)</w:t>
      </w:r>
      <w:r w:rsidR="00F6606E" w:rsidRPr="00CF4251">
        <w:rPr>
          <w:lang w:eastAsia="ja-JP"/>
        </w:rPr>
        <w:t xml:space="preserve"> </w:t>
      </w:r>
      <w:r w:rsidR="00F6606E" w:rsidRPr="00530179">
        <w:rPr>
          <w:lang w:eastAsia="ja-JP"/>
        </w:rPr>
        <w:t xml:space="preserve">and their 95% CIs were presented as the mean of the assay results after log transformation, followed by exponentiation to the original scale. Excepting for </w:t>
      </w:r>
      <w:proofErr w:type="spellStart"/>
      <w:r w:rsidR="00F6606E" w:rsidRPr="00530179">
        <w:rPr>
          <w:lang w:eastAsia="ja-JP"/>
        </w:rPr>
        <w:t>seroresponse</w:t>
      </w:r>
      <w:proofErr w:type="spellEnd"/>
      <w:r w:rsidR="00F6606E" w:rsidRPr="00530179">
        <w:rPr>
          <w:lang w:eastAsia="ja-JP"/>
        </w:rPr>
        <w:t xml:space="preserve">, titres &lt; </w:t>
      </w:r>
      <w:r>
        <w:rPr>
          <w:lang w:eastAsia="ja-JP"/>
        </w:rPr>
        <w:t>lower limit of quantitation</w:t>
      </w:r>
      <w:r w:rsidR="00F6606E" w:rsidRPr="00530179">
        <w:rPr>
          <w:lang w:eastAsia="ja-JP"/>
        </w:rPr>
        <w:t xml:space="preserve"> were set to 0.5 x </w:t>
      </w:r>
      <w:r>
        <w:rPr>
          <w:lang w:eastAsia="ja-JP"/>
        </w:rPr>
        <w:t>the lower limit</w:t>
      </w:r>
      <w:r w:rsidR="00F6606E" w:rsidRPr="00530179">
        <w:rPr>
          <w:lang w:eastAsia="ja-JP"/>
        </w:rPr>
        <w:t xml:space="preserve"> for all other analyses.</w:t>
      </w:r>
    </w:p>
    <w:p w14:paraId="324C6653" w14:textId="09C1B317" w:rsidR="00F6606E" w:rsidRPr="00530179" w:rsidRDefault="00CF4251" w:rsidP="00CF4251">
      <w:pPr>
        <w:rPr>
          <w:lang w:eastAsia="ja-JP"/>
        </w:rPr>
      </w:pPr>
      <w:r>
        <w:rPr>
          <w:lang w:eastAsia="ja-JP"/>
        </w:rPr>
        <w:t xml:space="preserve">Geometric mean fold rises </w:t>
      </w:r>
      <w:r w:rsidR="00E705F7">
        <w:rPr>
          <w:lang w:eastAsia="ja-JP"/>
        </w:rPr>
        <w:t xml:space="preserve">(GMFR) </w:t>
      </w:r>
      <w:r w:rsidR="00F6606E" w:rsidRPr="00530179">
        <w:rPr>
          <w:lang w:eastAsia="ja-JP"/>
        </w:rPr>
        <w:t>and their 95% CIs were calculated as the mean of the difference of logarithmically transformed assay results (later time point minus earlier time point) and exponentiating the mean.</w:t>
      </w:r>
    </w:p>
    <w:p w14:paraId="37FE3F7E" w14:textId="77777777" w:rsidR="00F6606E" w:rsidRPr="00530179" w:rsidRDefault="00374068" w:rsidP="00CF4251">
      <w:pPr>
        <w:rPr>
          <w:lang w:eastAsia="ja-JP"/>
        </w:rPr>
      </w:pPr>
      <w:r>
        <w:rPr>
          <w:bCs/>
          <w:lang w:eastAsia="ja-JP"/>
        </w:rPr>
        <w:t>Phase II/III</w:t>
      </w:r>
      <w:r w:rsidR="00F6606E" w:rsidRPr="00CF4251">
        <w:rPr>
          <w:bCs/>
          <w:lang w:eastAsia="ja-JP"/>
        </w:rPr>
        <w:t xml:space="preserve"> subgroup analyse</w:t>
      </w:r>
      <w:r w:rsidR="00F6606E" w:rsidRPr="00530179">
        <w:rPr>
          <w:b/>
          <w:bCs/>
          <w:lang w:eastAsia="ja-JP"/>
        </w:rPr>
        <w:t>s</w:t>
      </w:r>
      <w:r w:rsidR="00F6606E" w:rsidRPr="00530179">
        <w:rPr>
          <w:lang w:eastAsia="ja-JP"/>
        </w:rPr>
        <w:t xml:space="preserve"> based on demographics (sex</w:t>
      </w:r>
      <w:r w:rsidR="00CF4251">
        <w:rPr>
          <w:lang w:eastAsia="ja-JP"/>
        </w:rPr>
        <w:t>, race, and ethnicity) and SARS</w:t>
      </w:r>
      <w:r w:rsidR="00CF4251">
        <w:rPr>
          <w:lang w:eastAsia="ja-JP"/>
        </w:rPr>
        <w:noBreakHyphen/>
      </w:r>
      <w:r w:rsidR="00F6606E" w:rsidRPr="00530179">
        <w:rPr>
          <w:lang w:eastAsia="ja-JP"/>
        </w:rPr>
        <w:t>CoV-2 baseline status (positive or negative) were performed on primary safety and immunogenicity endpoints as supplemental analyses.</w:t>
      </w:r>
    </w:p>
    <w:p w14:paraId="2FD6873C" w14:textId="77777777" w:rsidR="00374068" w:rsidRPr="00530179" w:rsidRDefault="00374068" w:rsidP="00374068">
      <w:pPr>
        <w:pStyle w:val="Heading5"/>
        <w:rPr>
          <w:lang w:eastAsia="ja-JP"/>
        </w:rPr>
      </w:pPr>
      <w:bookmarkStart w:id="54" w:name="_Ref85814248"/>
      <w:r w:rsidRPr="00530179">
        <w:rPr>
          <w:lang w:eastAsia="ja-JP"/>
        </w:rPr>
        <w:t>Participant flow</w:t>
      </w:r>
      <w:bookmarkEnd w:id="54"/>
    </w:p>
    <w:p w14:paraId="540EE70E" w14:textId="77777777" w:rsidR="00374068" w:rsidRPr="00530179" w:rsidRDefault="00374068" w:rsidP="00374068">
      <w:pPr>
        <w:pStyle w:val="Heading6"/>
        <w:rPr>
          <w:b/>
          <w:lang w:eastAsia="ja-JP"/>
        </w:rPr>
      </w:pPr>
      <w:r w:rsidRPr="00530179">
        <w:rPr>
          <w:lang w:eastAsia="ja-JP"/>
        </w:rPr>
        <w:t>All randomised subjects</w:t>
      </w:r>
    </w:p>
    <w:p w14:paraId="5AC2F141" w14:textId="77777777" w:rsidR="00374068" w:rsidRPr="00530179" w:rsidRDefault="00374068" w:rsidP="00374068">
      <w:pPr>
        <w:rPr>
          <w:lang w:eastAsia="ja-JP"/>
        </w:rPr>
      </w:pPr>
      <w:r w:rsidRPr="00530179">
        <w:rPr>
          <w:lang w:eastAsia="ja-JP"/>
        </w:rPr>
        <w:t xml:space="preserve">The disposition of all randomised </w:t>
      </w:r>
      <w:r>
        <w:rPr>
          <w:lang w:eastAsia="ja-JP"/>
        </w:rPr>
        <w:t xml:space="preserve">subjects (n = 2285) is shown below. </w:t>
      </w:r>
      <w:r w:rsidRPr="00530179">
        <w:rPr>
          <w:lang w:eastAsia="ja-JP"/>
        </w:rPr>
        <w:t xml:space="preserve">Dose 2 was given to ≥ 98.7% of subjects. Only 2 (0.1%) </w:t>
      </w:r>
      <w:r>
        <w:rPr>
          <w:lang w:eastAsia="ja-JP"/>
        </w:rPr>
        <w:t>vaccine</w:t>
      </w:r>
      <w:r w:rsidRPr="00530179">
        <w:rPr>
          <w:lang w:eastAsia="ja-JP"/>
        </w:rPr>
        <w:t xml:space="preserve"> recipients discontinued from the vaccination period (but continued in the study) and a total of 5 (0.3%) were withdrawn, 4 by their parents. None of the withdrawals were related to an </w:t>
      </w:r>
      <w:r>
        <w:rPr>
          <w:lang w:eastAsia="ja-JP"/>
        </w:rPr>
        <w:t>adverse event</w:t>
      </w:r>
      <w:r w:rsidRPr="00530179">
        <w:rPr>
          <w:lang w:eastAsia="ja-JP"/>
        </w:rPr>
        <w:t xml:space="preserve">. Of the 1528 subjects randomised to </w:t>
      </w:r>
      <w:r>
        <w:rPr>
          <w:lang w:eastAsia="ja-JP"/>
        </w:rPr>
        <w:t xml:space="preserve">receive </w:t>
      </w:r>
      <w:proofErr w:type="spellStart"/>
      <w:r>
        <w:rPr>
          <w:lang w:eastAsia="ja-JP"/>
        </w:rPr>
        <w:t>Comirnaty</w:t>
      </w:r>
      <w:proofErr w:type="spellEnd"/>
      <w:r>
        <w:rPr>
          <w:lang w:eastAsia="ja-JP"/>
        </w:rPr>
        <w:t xml:space="preserve"> vaccine</w:t>
      </w:r>
      <w:r w:rsidRPr="00530179">
        <w:rPr>
          <w:lang w:eastAsia="ja-JP"/>
        </w:rPr>
        <w:t xml:space="preserve"> 10 µg, 11 (0.7%) were not vaccinated, 1517 (99.3%) received Dose 1 and 1514 (99.1%) received Dose 2. </w:t>
      </w:r>
      <w:r>
        <w:rPr>
          <w:lang w:eastAsia="ja-JP"/>
        </w:rPr>
        <w:t>The vaccine</w:t>
      </w:r>
      <w:r w:rsidRPr="00530179">
        <w:rPr>
          <w:lang w:eastAsia="ja-JP"/>
        </w:rPr>
        <w:t xml:space="preserve"> was accidentally administered to 1 (0.1%) of the 757 placebo recipients at Dose 1 and again at Dose 2. The protocol-specified window for Dose 2 was 19-23 days following Dose 1 and this was achieved for 94.4% of </w:t>
      </w:r>
      <w:r>
        <w:rPr>
          <w:lang w:eastAsia="ja-JP"/>
        </w:rPr>
        <w:t>vaccine</w:t>
      </w:r>
      <w:r w:rsidRPr="00530179">
        <w:rPr>
          <w:lang w:eastAsia="ja-JP"/>
        </w:rPr>
        <w:t xml:space="preserve"> 10 µg recipients and 94.5% of placebo recipients. When given outside the window, Dose 2 was most frequently delayed</w:t>
      </w:r>
    </w:p>
    <w:p w14:paraId="03AE3D68" w14:textId="61CBBCCB" w:rsidR="00374068" w:rsidRDefault="00374068" w:rsidP="00374068">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10</w:t>
      </w:r>
      <w:r>
        <w:rPr>
          <w:color w:val="2B579A"/>
          <w:shd w:val="clear" w:color="auto" w:fill="E6E6E6"/>
        </w:rPr>
        <w:fldChar w:fldCharType="end"/>
      </w:r>
      <w:r>
        <w:t xml:space="preserve">: </w:t>
      </w:r>
      <w:r w:rsidR="00E705F7">
        <w:t xml:space="preserve">Phase II/III </w:t>
      </w:r>
      <w:r>
        <w:t>Disposition of all randomi</w:t>
      </w:r>
      <w:r w:rsidR="00E705F7">
        <w:t>s</w:t>
      </w:r>
      <w:r>
        <w:t>ed subjects</w:t>
      </w:r>
    </w:p>
    <w:p w14:paraId="4E767CBF" w14:textId="77777777" w:rsidR="00F6606E" w:rsidRDefault="00374068" w:rsidP="00AE00F7">
      <w:r w:rsidRPr="00530179">
        <w:rPr>
          <w:noProof/>
          <w:color w:val="2B579A"/>
          <w:shd w:val="clear" w:color="auto" w:fill="E6E6E6"/>
          <w:lang w:val="en-GB" w:eastAsia="en-GB"/>
        </w:rPr>
        <w:drawing>
          <wp:inline distT="0" distB="0" distL="0" distR="0" wp14:anchorId="6ACB18A1" wp14:editId="577BA73B">
            <wp:extent cx="5247564" cy="5606488"/>
            <wp:effectExtent l="0" t="0" r="0" b="0"/>
            <wp:docPr id="97" name="Picture 97" descr="Phase II/III Disposition of all randomis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885" r="1920"/>
                    <a:stretch/>
                  </pic:blipFill>
                  <pic:spPr bwMode="auto">
                    <a:xfrm>
                      <a:off x="0" y="0"/>
                      <a:ext cx="5248665" cy="5607665"/>
                    </a:xfrm>
                    <a:prstGeom prst="rect">
                      <a:avLst/>
                    </a:prstGeom>
                    <a:noFill/>
                    <a:ln>
                      <a:noFill/>
                    </a:ln>
                    <a:extLst>
                      <a:ext uri="{53640926-AAD7-44D8-BBD7-CCE9431645EC}">
                        <a14:shadowObscured xmlns:a14="http://schemas.microsoft.com/office/drawing/2010/main"/>
                      </a:ext>
                    </a:extLst>
                  </pic:spPr>
                </pic:pic>
              </a:graphicData>
            </a:graphic>
          </wp:inline>
        </w:drawing>
      </w:r>
    </w:p>
    <w:p w14:paraId="329C8D8B" w14:textId="77777777" w:rsidR="00374068" w:rsidRPr="00530179" w:rsidRDefault="00374068" w:rsidP="00374068">
      <w:pPr>
        <w:pStyle w:val="Heading6"/>
        <w:rPr>
          <w:lang w:eastAsia="ja-JP"/>
        </w:rPr>
      </w:pPr>
      <w:proofErr w:type="spellStart"/>
      <w:r w:rsidRPr="00530179">
        <w:rPr>
          <w:lang w:eastAsia="ja-JP"/>
        </w:rPr>
        <w:t>Immunobridging</w:t>
      </w:r>
      <w:proofErr w:type="spellEnd"/>
      <w:r w:rsidRPr="00530179">
        <w:rPr>
          <w:lang w:eastAsia="ja-JP"/>
        </w:rPr>
        <w:t xml:space="preserve"> subset</w:t>
      </w:r>
    </w:p>
    <w:p w14:paraId="3AEEE563" w14:textId="77777777" w:rsidR="00374068" w:rsidRPr="00530179" w:rsidRDefault="00374068" w:rsidP="00374068">
      <w:pPr>
        <w:rPr>
          <w:lang w:eastAsia="ja-JP"/>
        </w:rPr>
      </w:pPr>
      <w:r w:rsidRPr="00530179">
        <w:rPr>
          <w:lang w:eastAsia="ja-JP"/>
        </w:rPr>
        <w:t xml:space="preserve">The disposition of subjects in this subset was reflective of the </w:t>
      </w:r>
      <w:r w:rsidRPr="00374068">
        <w:t>population</w:t>
      </w:r>
      <w:r w:rsidRPr="00530179">
        <w:rPr>
          <w:lang w:eastAsia="ja-JP"/>
        </w:rPr>
        <w:t xml:space="preserve"> overall and is shown (along with the inclusion of the historical controls </w:t>
      </w:r>
      <w:r>
        <w:rPr>
          <w:lang w:eastAsia="ja-JP"/>
        </w:rPr>
        <w:t xml:space="preserve">of the 16 to </w:t>
      </w:r>
      <w:r w:rsidRPr="00530179">
        <w:rPr>
          <w:lang w:eastAsia="ja-JP"/>
        </w:rPr>
        <w:t xml:space="preserve">25 </w:t>
      </w:r>
      <w:r>
        <w:rPr>
          <w:lang w:eastAsia="ja-JP"/>
        </w:rPr>
        <w:t>years of age cohort</w:t>
      </w:r>
      <w:r w:rsidRPr="00530179">
        <w:rPr>
          <w:lang w:eastAsia="ja-JP"/>
        </w:rPr>
        <w:t xml:space="preserve"> from</w:t>
      </w:r>
      <w:r>
        <w:rPr>
          <w:lang w:eastAsia="ja-JP"/>
        </w:rPr>
        <w:t xml:space="preserve"> Study C4591001)</w:t>
      </w:r>
      <w:r w:rsidRPr="00530179">
        <w:rPr>
          <w:b/>
          <w:lang w:eastAsia="ja-JP"/>
        </w:rPr>
        <w:t xml:space="preserve">. </w:t>
      </w:r>
      <w:r w:rsidRPr="00530179">
        <w:rPr>
          <w:lang w:eastAsia="ja-JP"/>
        </w:rPr>
        <w:t>Completion of the visit at 1 month after Dose 2 occurred in ≥ 97.7% of each group.</w:t>
      </w:r>
    </w:p>
    <w:p w14:paraId="79E2E346" w14:textId="1785FA3B" w:rsidR="00374068" w:rsidRDefault="00374068" w:rsidP="00374068">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11</w:t>
      </w:r>
      <w:r>
        <w:rPr>
          <w:color w:val="2B579A"/>
          <w:shd w:val="clear" w:color="auto" w:fill="E6E6E6"/>
        </w:rPr>
        <w:fldChar w:fldCharType="end"/>
      </w:r>
      <w:r>
        <w:t xml:space="preserve">: </w:t>
      </w:r>
      <w:r w:rsidR="00E705F7">
        <w:t xml:space="preserve">Phase II/III </w:t>
      </w:r>
      <w:r w:rsidRPr="00DF6579">
        <w:t xml:space="preserve">Disposition of </w:t>
      </w:r>
      <w:r>
        <w:t>all randomis</w:t>
      </w:r>
      <w:r w:rsidRPr="00DF6579">
        <w:t xml:space="preserve">ed </w:t>
      </w:r>
      <w:r>
        <w:t>subject</w:t>
      </w:r>
      <w:r w:rsidR="006134EC">
        <w:t>s through 1 month after Dose 2,</w:t>
      </w:r>
      <w:r>
        <w:t xml:space="preserve"> </w:t>
      </w:r>
      <w:proofErr w:type="spellStart"/>
      <w:r>
        <w:t>immunobridging</w:t>
      </w:r>
      <w:proofErr w:type="spellEnd"/>
      <w:r>
        <w:t xml:space="preserve"> subset</w:t>
      </w:r>
      <w:r w:rsidR="00E705F7">
        <w:t>;</w:t>
      </w:r>
      <w:r w:rsidRPr="00DF6579">
        <w:t xml:space="preserve"> 5 to &lt;</w:t>
      </w:r>
      <w:r>
        <w:t xml:space="preserve"> </w:t>
      </w:r>
      <w:r w:rsidR="006134EC">
        <w:t>12 years age and S</w:t>
      </w:r>
      <w:r w:rsidRPr="00DF6579">
        <w:t xml:space="preserve">tudy </w:t>
      </w:r>
      <w:r w:rsidR="00E705F7">
        <w:t>C</w:t>
      </w:r>
      <w:r w:rsidRPr="00DF6579">
        <w:t>4</w:t>
      </w:r>
      <w:r w:rsidR="006134EC">
        <w:t xml:space="preserve">591001 Phase II/III, </w:t>
      </w:r>
      <w:r w:rsidRPr="00DF6579">
        <w:t>16 through 25 years of age</w:t>
      </w:r>
    </w:p>
    <w:p w14:paraId="1035EC3E" w14:textId="77777777" w:rsidR="00374068" w:rsidRDefault="00374068" w:rsidP="00AE00F7">
      <w:r w:rsidRPr="00530179">
        <w:rPr>
          <w:b/>
          <w:noProof/>
          <w:color w:val="2B579A"/>
          <w:szCs w:val="18"/>
          <w:shd w:val="clear" w:color="auto" w:fill="E6E6E6"/>
          <w:lang w:val="en-GB" w:eastAsia="en-GB"/>
        </w:rPr>
        <w:drawing>
          <wp:inline distT="0" distB="0" distL="0" distR="0" wp14:anchorId="28E8BA36" wp14:editId="6B8B7DD5">
            <wp:extent cx="5400040" cy="5535864"/>
            <wp:effectExtent l="0" t="0" r="0" b="8255"/>
            <wp:docPr id="99" name="Picture 99" descr="Phase II/III Disposition of all randomised subjects through 1 month after Dose 2, immunobridging subset; Phase II/III;. 5 to &lt; 12 years age and Study Cc4591001 Phase II/III, 16 through 2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5535864"/>
                    </a:xfrm>
                    <a:prstGeom prst="rect">
                      <a:avLst/>
                    </a:prstGeom>
                    <a:noFill/>
                  </pic:spPr>
                </pic:pic>
              </a:graphicData>
            </a:graphic>
          </wp:inline>
        </w:drawing>
      </w:r>
    </w:p>
    <w:p w14:paraId="7FB4CB14" w14:textId="77777777" w:rsidR="00D7041B" w:rsidRPr="00530179" w:rsidRDefault="00D7041B" w:rsidP="00D7041B">
      <w:pPr>
        <w:pStyle w:val="Heading5"/>
        <w:rPr>
          <w:lang w:eastAsia="ja-JP"/>
        </w:rPr>
      </w:pPr>
      <w:bookmarkStart w:id="55" w:name="_Ref86055789"/>
      <w:r w:rsidRPr="00530179">
        <w:rPr>
          <w:lang w:eastAsia="ja-JP"/>
        </w:rPr>
        <w:t>Major protocol deviations</w:t>
      </w:r>
      <w:bookmarkEnd w:id="55"/>
    </w:p>
    <w:p w14:paraId="55DFC62F" w14:textId="77777777" w:rsidR="00D7041B" w:rsidRPr="00530179" w:rsidRDefault="00D7041B" w:rsidP="00D7041B">
      <w:pPr>
        <w:rPr>
          <w:lang w:eastAsia="ja-JP"/>
        </w:rPr>
      </w:pPr>
      <w:r w:rsidRPr="00530179">
        <w:rPr>
          <w:lang w:eastAsia="ja-JP"/>
        </w:rPr>
        <w:t xml:space="preserve">Important protocol deviations were reported in 48 subjects (3.1%) in the </w:t>
      </w:r>
      <w:proofErr w:type="spellStart"/>
      <w:r>
        <w:rPr>
          <w:lang w:eastAsia="ja-JP"/>
        </w:rPr>
        <w:t>Comirnaty</w:t>
      </w:r>
      <w:proofErr w:type="spellEnd"/>
      <w:r>
        <w:rPr>
          <w:lang w:eastAsia="ja-JP"/>
        </w:rPr>
        <w:t xml:space="preserve"> vaccine</w:t>
      </w:r>
      <w:r w:rsidRPr="00530179">
        <w:rPr>
          <w:lang w:eastAsia="ja-JP"/>
        </w:rPr>
        <w:t xml:space="preserve"> group and 4 subjects (0.5%) in the placebo group. Nearly all protocol deviations in the </w:t>
      </w:r>
      <w:proofErr w:type="spellStart"/>
      <w:r>
        <w:rPr>
          <w:lang w:eastAsia="ja-JP"/>
        </w:rPr>
        <w:t>Comirnaty</w:t>
      </w:r>
      <w:proofErr w:type="spellEnd"/>
      <w:r>
        <w:rPr>
          <w:lang w:eastAsia="ja-JP"/>
        </w:rPr>
        <w:t xml:space="preserve"> vaccine group (47 (3.1%)</w:t>
      </w:r>
      <w:r w:rsidRPr="00530179">
        <w:rPr>
          <w:lang w:eastAsia="ja-JP"/>
        </w:rPr>
        <w:t>) were related to inv</w:t>
      </w:r>
      <w:r>
        <w:rPr>
          <w:lang w:eastAsia="ja-JP"/>
        </w:rPr>
        <w:t>estigational product, most (38 (2.5%)</w:t>
      </w:r>
      <w:r w:rsidRPr="00530179">
        <w:rPr>
          <w:lang w:eastAsia="ja-JP"/>
        </w:rPr>
        <w:t xml:space="preserve">) due to being unsuitable for use (as </w:t>
      </w:r>
      <w:r>
        <w:rPr>
          <w:lang w:eastAsia="ja-JP"/>
        </w:rPr>
        <w:t xml:space="preserve">the </w:t>
      </w:r>
      <w:proofErr w:type="spellStart"/>
      <w:r>
        <w:rPr>
          <w:lang w:eastAsia="ja-JP"/>
        </w:rPr>
        <w:t>Comirnaty</w:t>
      </w:r>
      <w:proofErr w:type="spellEnd"/>
      <w:r>
        <w:rPr>
          <w:lang w:eastAsia="ja-JP"/>
        </w:rPr>
        <w:t xml:space="preserve"> vaccine</w:t>
      </w:r>
      <w:r w:rsidRPr="00530179">
        <w:rPr>
          <w:lang w:eastAsia="ja-JP"/>
        </w:rPr>
        <w:t xml:space="preserve"> requires thawing/dilution prior to administration, whereas saline placebo does not)</w:t>
      </w:r>
      <w:r>
        <w:rPr>
          <w:lang w:eastAsia="ja-JP"/>
        </w:rPr>
        <w:t>.</w:t>
      </w:r>
    </w:p>
    <w:p w14:paraId="04C2E619" w14:textId="09DD562B" w:rsidR="003140E3" w:rsidRDefault="003140E3" w:rsidP="003140E3">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12</w:t>
      </w:r>
      <w:r>
        <w:rPr>
          <w:color w:val="2B579A"/>
          <w:shd w:val="clear" w:color="auto" w:fill="E6E6E6"/>
        </w:rPr>
        <w:fldChar w:fldCharType="end"/>
      </w:r>
      <w:r>
        <w:t xml:space="preserve">: </w:t>
      </w:r>
      <w:r w:rsidR="00E705F7">
        <w:t>c</w:t>
      </w:r>
    </w:p>
    <w:p w14:paraId="44020B93" w14:textId="77777777" w:rsidR="00D7041B" w:rsidRDefault="00D7041B" w:rsidP="00AE00F7">
      <w:r w:rsidRPr="00530179">
        <w:rPr>
          <w:b/>
          <w:noProof/>
          <w:color w:val="2B579A"/>
          <w:szCs w:val="18"/>
          <w:shd w:val="clear" w:color="auto" w:fill="E6E6E6"/>
          <w:lang w:val="en-GB" w:eastAsia="en-GB"/>
        </w:rPr>
        <w:drawing>
          <wp:inline distT="0" distB="0" distL="0" distR="0" wp14:anchorId="3EE306D9" wp14:editId="6AC8703A">
            <wp:extent cx="5400040" cy="4348752"/>
            <wp:effectExtent l="0" t="0" r="0" b="0"/>
            <wp:docPr id="100" name="Picture 100" descr="Phase II/III Disposition of all randomised subjects through 1 month after Dose 2, immunobridging subset; Phase II/III;. 5 to &lt; 12 years age and Study Cc4591001 Phase II/III, 16 through 2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348752"/>
                    </a:xfrm>
                    <a:prstGeom prst="rect">
                      <a:avLst/>
                    </a:prstGeom>
                    <a:noFill/>
                  </pic:spPr>
                </pic:pic>
              </a:graphicData>
            </a:graphic>
          </wp:inline>
        </w:drawing>
      </w:r>
    </w:p>
    <w:p w14:paraId="1D82CC9D" w14:textId="77777777" w:rsidR="003140E3" w:rsidRPr="00530179" w:rsidRDefault="003140E3" w:rsidP="003140E3">
      <w:pPr>
        <w:pStyle w:val="Heading5"/>
      </w:pPr>
      <w:r w:rsidRPr="00530179">
        <w:t>I</w:t>
      </w:r>
      <w:r>
        <w:t>mmunogenicity</w:t>
      </w:r>
    </w:p>
    <w:p w14:paraId="3DF05E14" w14:textId="2D02B863" w:rsidR="003140E3" w:rsidRPr="00530179" w:rsidRDefault="003140E3" w:rsidP="003140E3">
      <w:pPr>
        <w:rPr>
          <w:b/>
          <w:szCs w:val="18"/>
        </w:rPr>
      </w:pPr>
      <w:r w:rsidRPr="00530179">
        <w:rPr>
          <w:lang w:eastAsia="ja-JP"/>
        </w:rPr>
        <w:t>The evaluable immunogenicity population for children 5 to &lt;</w:t>
      </w:r>
      <w:r w:rsidR="006134EC">
        <w:rPr>
          <w:lang w:eastAsia="ja-JP"/>
        </w:rPr>
        <w:t xml:space="preserve"> 12 y</w:t>
      </w:r>
      <w:r w:rsidRPr="00530179">
        <w:rPr>
          <w:lang w:eastAsia="ja-JP"/>
        </w:rPr>
        <w:t>ears</w:t>
      </w:r>
      <w:r w:rsidR="006134EC">
        <w:rPr>
          <w:lang w:eastAsia="ja-JP"/>
        </w:rPr>
        <w:t xml:space="preserve"> of</w:t>
      </w:r>
      <w:r w:rsidRPr="00530179">
        <w:rPr>
          <w:lang w:eastAsia="ja-JP"/>
        </w:rPr>
        <w:t xml:space="preserve"> age </w:t>
      </w:r>
      <w:r>
        <w:rPr>
          <w:lang w:eastAsia="ja-JP"/>
        </w:rPr>
        <w:t>included 294 </w:t>
      </w:r>
      <w:r w:rsidRPr="00530179">
        <w:rPr>
          <w:lang w:eastAsia="ja-JP"/>
        </w:rPr>
        <w:t xml:space="preserve">subjects in the </w:t>
      </w:r>
      <w:proofErr w:type="spellStart"/>
      <w:r>
        <w:rPr>
          <w:lang w:eastAsia="ja-JP"/>
        </w:rPr>
        <w:t>Comirnaty</w:t>
      </w:r>
      <w:proofErr w:type="spellEnd"/>
      <w:r>
        <w:rPr>
          <w:lang w:eastAsia="ja-JP"/>
        </w:rPr>
        <w:t xml:space="preserve"> vaccine</w:t>
      </w:r>
      <w:r w:rsidRPr="00530179">
        <w:rPr>
          <w:lang w:eastAsia="ja-JP"/>
        </w:rPr>
        <w:t xml:space="preserve"> group and 147 subjects in the placebo group, and for Study C4591001, subjects </w:t>
      </w:r>
      <w:r w:rsidR="006134EC">
        <w:rPr>
          <w:lang w:eastAsia="ja-JP"/>
        </w:rPr>
        <w:t>16 to 25 ye</w:t>
      </w:r>
      <w:r w:rsidRPr="00530179">
        <w:rPr>
          <w:lang w:eastAsia="ja-JP"/>
        </w:rPr>
        <w:t xml:space="preserve">ars </w:t>
      </w:r>
      <w:r w:rsidR="006134EC">
        <w:rPr>
          <w:lang w:eastAsia="ja-JP"/>
        </w:rPr>
        <w:t xml:space="preserve">of </w:t>
      </w:r>
      <w:r w:rsidRPr="00530179">
        <w:rPr>
          <w:lang w:eastAsia="ja-JP"/>
        </w:rPr>
        <w:t xml:space="preserve">age included 273 subjects in the </w:t>
      </w:r>
      <w:proofErr w:type="spellStart"/>
      <w:r>
        <w:rPr>
          <w:lang w:eastAsia="ja-JP"/>
        </w:rPr>
        <w:t>Comirnaty</w:t>
      </w:r>
      <w:proofErr w:type="spellEnd"/>
      <w:r w:rsidRPr="00530179">
        <w:rPr>
          <w:lang w:eastAsia="ja-JP"/>
        </w:rPr>
        <w:t xml:space="preserve"> group and 47 subjects in the placebo group. The evaluable immunogenicity population without prior evidence of SARS-CoV-2 infection up to 1 month after Dose 2 for the group of children 5 to &lt;12 Years age comprised of 264 subjects in the </w:t>
      </w:r>
      <w:proofErr w:type="spellStart"/>
      <w:r>
        <w:rPr>
          <w:lang w:eastAsia="ja-JP"/>
        </w:rPr>
        <w:t>Comirnaty</w:t>
      </w:r>
      <w:proofErr w:type="spellEnd"/>
      <w:r>
        <w:rPr>
          <w:lang w:eastAsia="ja-JP"/>
        </w:rPr>
        <w:t xml:space="preserve"> vaccine</w:t>
      </w:r>
      <w:r w:rsidRPr="00530179">
        <w:rPr>
          <w:lang w:eastAsia="ja-JP"/>
        </w:rPr>
        <w:t xml:space="preserve"> group and 130 subjects in the placebo group, and for 16 to 25 years </w:t>
      </w:r>
      <w:r w:rsidR="006134EC">
        <w:rPr>
          <w:lang w:eastAsia="ja-JP"/>
        </w:rPr>
        <w:t xml:space="preserve">of </w:t>
      </w:r>
      <w:r w:rsidRPr="00530179">
        <w:rPr>
          <w:lang w:eastAsia="ja-JP"/>
        </w:rPr>
        <w:t xml:space="preserve">age, 253 subjects in the </w:t>
      </w:r>
      <w:proofErr w:type="spellStart"/>
      <w:r>
        <w:rPr>
          <w:lang w:eastAsia="ja-JP"/>
        </w:rPr>
        <w:t>Comirnaty</w:t>
      </w:r>
      <w:proofErr w:type="spellEnd"/>
      <w:r>
        <w:rPr>
          <w:lang w:eastAsia="ja-JP"/>
        </w:rPr>
        <w:t xml:space="preserve"> vaccine</w:t>
      </w:r>
      <w:r w:rsidRPr="00530179">
        <w:rPr>
          <w:lang w:eastAsia="ja-JP"/>
        </w:rPr>
        <w:t xml:space="preserve"> group and 45 subjects in the placebo group.</w:t>
      </w:r>
    </w:p>
    <w:p w14:paraId="49560433" w14:textId="77777777" w:rsidR="003140E3" w:rsidRPr="00530179" w:rsidRDefault="003140E3" w:rsidP="003140E3">
      <w:pPr>
        <w:pStyle w:val="Heading6"/>
        <w:rPr>
          <w:lang w:eastAsia="ja-JP"/>
        </w:rPr>
      </w:pPr>
      <w:r>
        <w:rPr>
          <w:lang w:eastAsia="ja-JP"/>
        </w:rPr>
        <w:t xml:space="preserve">Baseline data: </w:t>
      </w:r>
      <w:r w:rsidRPr="00530179">
        <w:rPr>
          <w:lang w:eastAsia="ja-JP"/>
        </w:rPr>
        <w:t>Immunogenicity populations</w:t>
      </w:r>
    </w:p>
    <w:p w14:paraId="03EBF7B1" w14:textId="77777777" w:rsidR="003140E3" w:rsidRPr="00530179" w:rsidRDefault="003140E3" w:rsidP="003140E3">
      <w:pPr>
        <w:rPr>
          <w:lang w:eastAsia="ja-JP"/>
        </w:rPr>
      </w:pPr>
      <w:r>
        <w:rPr>
          <w:lang w:eastAsia="ja-JP"/>
        </w:rPr>
        <w:t xml:space="preserve">In the 5 to </w:t>
      </w:r>
      <w:r w:rsidRPr="00530179">
        <w:rPr>
          <w:lang w:eastAsia="ja-JP"/>
        </w:rPr>
        <w:t xml:space="preserve">11 years group, demographics in the evaluable immunogenicity population without infection up to 1 month after Dose 2 </w:t>
      </w:r>
      <w:r w:rsidRPr="003140E3">
        <w:t>were</w:t>
      </w:r>
      <w:r w:rsidRPr="00530179">
        <w:rPr>
          <w:lang w:eastAsia="ja-JP"/>
        </w:rPr>
        <w:t xml:space="preserve"> very similar to those described for the safety population. Baseline seropositivity was seen in 7.1% of the </w:t>
      </w:r>
      <w:proofErr w:type="spellStart"/>
      <w:r>
        <w:rPr>
          <w:lang w:eastAsia="ja-JP"/>
        </w:rPr>
        <w:t>Comirnaty</w:t>
      </w:r>
      <w:proofErr w:type="spellEnd"/>
      <w:r>
        <w:rPr>
          <w:lang w:eastAsia="ja-JP"/>
        </w:rPr>
        <w:t xml:space="preserve"> vaccine</w:t>
      </w:r>
      <w:r w:rsidRPr="00530179">
        <w:rPr>
          <w:lang w:eastAsia="ja-JP"/>
        </w:rPr>
        <w:t xml:space="preserve"> group and 8.8% of the placebo group.</w:t>
      </w:r>
    </w:p>
    <w:p w14:paraId="0E89E8A4" w14:textId="77777777" w:rsidR="003140E3" w:rsidRPr="00530179" w:rsidRDefault="003140E3" w:rsidP="003140E3">
      <w:pPr>
        <w:rPr>
          <w:lang w:eastAsia="ja-JP"/>
        </w:rPr>
      </w:pPr>
      <w:r>
        <w:rPr>
          <w:lang w:eastAsia="ja-JP"/>
        </w:rPr>
        <w:t xml:space="preserve">In the 16 to </w:t>
      </w:r>
      <w:r w:rsidRPr="00530179">
        <w:rPr>
          <w:lang w:eastAsia="ja-JP"/>
        </w:rPr>
        <w:t>25 years group drawn from Study C4591001, demographics in the evaluable immunogenicity population without infection up to 1 month after Dose 2 included the following:</w:t>
      </w:r>
    </w:p>
    <w:p w14:paraId="5BAE9CEA" w14:textId="0B3F73F6" w:rsidR="003140E3" w:rsidRPr="003140E3" w:rsidRDefault="003140E3" w:rsidP="003140E3">
      <w:pPr>
        <w:pStyle w:val="ListBullet"/>
      </w:pPr>
      <w:r w:rsidRPr="003140E3">
        <w:t xml:space="preserve">76.7% White, 10.7% </w:t>
      </w:r>
      <w:r w:rsidR="00E705F7">
        <w:t>B</w:t>
      </w:r>
      <w:r w:rsidRPr="003140E3">
        <w:t>lack or African American, 6.3% Asian, 37.5% Hispanic/Latino</w:t>
      </w:r>
    </w:p>
    <w:p w14:paraId="54C6A5D5" w14:textId="217A2FE4" w:rsidR="003140E3" w:rsidRPr="003140E3" w:rsidRDefault="003140E3" w:rsidP="003140E3">
      <w:pPr>
        <w:pStyle w:val="ListBullet"/>
      </w:pPr>
      <w:r w:rsidRPr="003140E3">
        <w:t>median age</w:t>
      </w:r>
      <w:r w:rsidR="00E705F7">
        <w:t>:</w:t>
      </w:r>
      <w:r w:rsidRPr="003140E3">
        <w:t xml:space="preserve"> 21.0 years</w:t>
      </w:r>
    </w:p>
    <w:p w14:paraId="63D4BAA3" w14:textId="77777777" w:rsidR="003140E3" w:rsidRPr="003140E3" w:rsidRDefault="003140E3" w:rsidP="003140E3">
      <w:pPr>
        <w:pStyle w:val="ListBullet"/>
      </w:pPr>
      <w:r w:rsidRPr="003140E3">
        <w:t>bas</w:t>
      </w:r>
      <w:r>
        <w:t>eline SARS-CoV-2 seropositivity (</w:t>
      </w:r>
      <w:r w:rsidRPr="003140E3">
        <w:t xml:space="preserve">4.8% </w:t>
      </w:r>
      <w:r>
        <w:t xml:space="preserve">for </w:t>
      </w:r>
      <w:proofErr w:type="spellStart"/>
      <w:r>
        <w:t>Comirnaty</w:t>
      </w:r>
      <w:proofErr w:type="spellEnd"/>
      <w:r>
        <w:t xml:space="preserve"> group</w:t>
      </w:r>
      <w:r w:rsidRPr="003140E3">
        <w:t xml:space="preserve"> and 2.1% placebo</w:t>
      </w:r>
      <w:r>
        <w:t>)</w:t>
      </w:r>
    </w:p>
    <w:p w14:paraId="7308EC62" w14:textId="77777777" w:rsidR="003140E3" w:rsidRPr="003140E3" w:rsidRDefault="003140E3" w:rsidP="003140E3">
      <w:pPr>
        <w:pStyle w:val="ListBullet"/>
      </w:pPr>
      <w:r>
        <w:t>an o</w:t>
      </w:r>
      <w:r w:rsidRPr="003140E3">
        <w:t>besity i</w:t>
      </w:r>
      <w:r>
        <w:t>mbalance between the two groups:</w:t>
      </w:r>
      <w:r w:rsidRPr="003140E3">
        <w:t xml:space="preserve"> 15.8% in </w:t>
      </w:r>
      <w:r>
        <w:t xml:space="preserve">the </w:t>
      </w:r>
      <w:proofErr w:type="spellStart"/>
      <w:r>
        <w:t>Comirnaty</w:t>
      </w:r>
      <w:proofErr w:type="spellEnd"/>
      <w:r>
        <w:t xml:space="preserve"> vaccine group</w:t>
      </w:r>
      <w:r w:rsidRPr="003140E3">
        <w:t xml:space="preserve"> and 31.1% in placebo. </w:t>
      </w:r>
    </w:p>
    <w:p w14:paraId="38615E64" w14:textId="6939B95B" w:rsidR="003140E3" w:rsidRPr="003140E3" w:rsidRDefault="003140E3" w:rsidP="003140E3">
      <w:r w:rsidRPr="003140E3">
        <w:lastRenderedPageBreak/>
        <w:t xml:space="preserve">Comorbidities in the BNT162b2 </w:t>
      </w:r>
      <w:r w:rsidR="00E705F7">
        <w:t>(</w:t>
      </w:r>
      <w:proofErr w:type="spellStart"/>
      <w:r w:rsidR="00E705F7">
        <w:t>Comirnaty</w:t>
      </w:r>
      <w:proofErr w:type="spellEnd"/>
      <w:r w:rsidR="00E705F7">
        <w:t xml:space="preserve"> (</w:t>
      </w:r>
      <w:proofErr w:type="spellStart"/>
      <w:r w:rsidR="00E705F7">
        <w:t>tozinameran</w:t>
      </w:r>
      <w:proofErr w:type="spellEnd"/>
      <w:r w:rsidR="00E705F7">
        <w:t xml:space="preserve">)) </w:t>
      </w:r>
      <w:r w:rsidRPr="003140E3">
        <w:t>group that may increase the risk of severe COVID-19 (including obesity) were present in 20.6%. These included asthma (7.8%), neurologic disorders (1.3%) and congenital heart disease (1.0%). One participant had acute lymphocytic leukaemia.</w:t>
      </w:r>
    </w:p>
    <w:p w14:paraId="0A6F06A9" w14:textId="1C504AA8" w:rsidR="00D0132E" w:rsidRDefault="00D0132E" w:rsidP="00D0132E">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13</w:t>
      </w:r>
      <w:r>
        <w:rPr>
          <w:color w:val="2B579A"/>
          <w:shd w:val="clear" w:color="auto" w:fill="E6E6E6"/>
        </w:rPr>
        <w:fldChar w:fldCharType="end"/>
      </w:r>
      <w:r>
        <w:t xml:space="preserve">: Study </w:t>
      </w:r>
      <w:r w:rsidR="00E705F7">
        <w:t>C</w:t>
      </w:r>
      <w:r>
        <w:t xml:space="preserve">4591007 </w:t>
      </w:r>
      <w:r w:rsidRPr="0099687D">
        <w:t xml:space="preserve">Exposure to </w:t>
      </w:r>
      <w:proofErr w:type="spellStart"/>
      <w:r>
        <w:t>Comirnaty</w:t>
      </w:r>
      <w:proofErr w:type="spellEnd"/>
      <w:r>
        <w:t xml:space="preserve"> vaccine by special p</w:t>
      </w:r>
      <w:r w:rsidRPr="0099687D">
        <w:t>opulation</w:t>
      </w:r>
      <w:r w:rsidR="00E705F7">
        <w:t>s</w:t>
      </w:r>
      <w:r w:rsidRPr="0099687D">
        <w:t xml:space="preserve"> </w:t>
      </w:r>
      <w:r>
        <w:t>(</w:t>
      </w:r>
      <w:r w:rsidRPr="0099687D">
        <w:t>blinded placebo-controlled follow-up period</w:t>
      </w:r>
      <w:r>
        <w:t>)</w:t>
      </w:r>
    </w:p>
    <w:p w14:paraId="605F3D30" w14:textId="4C5DD0C5" w:rsidR="003140E3" w:rsidRDefault="003140E3" w:rsidP="00AE00F7">
      <w:r w:rsidRPr="00530179">
        <w:rPr>
          <w:noProof/>
          <w:color w:val="2B579A"/>
          <w:shd w:val="clear" w:color="auto" w:fill="E6E6E6"/>
          <w:lang w:val="en-GB" w:eastAsia="en-GB"/>
        </w:rPr>
        <w:drawing>
          <wp:inline distT="0" distB="0" distL="0" distR="0" wp14:anchorId="29C847BE" wp14:editId="13A5ABC3">
            <wp:extent cx="5398770" cy="5880100"/>
            <wp:effectExtent l="0" t="0" r="0" b="6350"/>
            <wp:docPr id="5" name="Picture 5" descr="Study Cc4591007 Exposure to Comirnaty vaccine by special population (blinded placebo-controlled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1231" cy="5893672"/>
                    </a:xfrm>
                    <a:prstGeom prst="rect">
                      <a:avLst/>
                    </a:prstGeom>
                    <a:noFill/>
                  </pic:spPr>
                </pic:pic>
              </a:graphicData>
            </a:graphic>
          </wp:inline>
        </w:drawing>
      </w:r>
    </w:p>
    <w:p w14:paraId="360EC3F6" w14:textId="2972E199" w:rsidR="00E705F7" w:rsidRDefault="00E705F7" w:rsidP="00AE00F7">
      <w:r>
        <w:t xml:space="preserve">Note: BNT162b2 = </w:t>
      </w:r>
      <w:proofErr w:type="spellStart"/>
      <w:r>
        <w:t>Comirnaty</w:t>
      </w:r>
      <w:proofErr w:type="spellEnd"/>
      <w:r>
        <w:t xml:space="preserve"> (</w:t>
      </w:r>
      <w:proofErr w:type="spellStart"/>
      <w:r>
        <w:t>tozinameran</w:t>
      </w:r>
      <w:proofErr w:type="spellEnd"/>
      <w:r>
        <w:t>) COVID-19 vaccine</w:t>
      </w:r>
    </w:p>
    <w:p w14:paraId="40BB3254" w14:textId="4F4CE1E7" w:rsidR="00D0132E" w:rsidRPr="00530179" w:rsidRDefault="00D0132E" w:rsidP="00D0132E">
      <w:pPr>
        <w:pStyle w:val="Heading5"/>
        <w:rPr>
          <w:lang w:eastAsia="ja-JP"/>
        </w:rPr>
      </w:pPr>
      <w:bookmarkStart w:id="56" w:name="_Ref86055306"/>
      <w:r>
        <w:rPr>
          <w:lang w:eastAsia="ja-JP"/>
        </w:rPr>
        <w:t>Immunogenicity r</w:t>
      </w:r>
      <w:r w:rsidRPr="00530179">
        <w:rPr>
          <w:lang w:eastAsia="ja-JP"/>
        </w:rPr>
        <w:t>esults</w:t>
      </w:r>
    </w:p>
    <w:p w14:paraId="68869CD3" w14:textId="77777777" w:rsidR="00D0132E" w:rsidRPr="00530179" w:rsidRDefault="00D0132E" w:rsidP="00D0132E">
      <w:pPr>
        <w:pStyle w:val="Heading6"/>
        <w:rPr>
          <w:lang w:eastAsia="ja-JP"/>
        </w:rPr>
      </w:pPr>
      <w:r w:rsidRPr="00530179">
        <w:rPr>
          <w:lang w:eastAsia="ja-JP"/>
        </w:rPr>
        <w:t>Primary immunogenicity outcome</w:t>
      </w:r>
      <w:bookmarkEnd w:id="56"/>
      <w:r>
        <w:rPr>
          <w:lang w:eastAsia="ja-JP"/>
        </w:rPr>
        <w:t>s</w:t>
      </w:r>
    </w:p>
    <w:p w14:paraId="6F7193B6" w14:textId="538330B6" w:rsidR="00D0132E" w:rsidRPr="00530179" w:rsidRDefault="00D0132E" w:rsidP="00D0132E">
      <w:pPr>
        <w:rPr>
          <w:lang w:eastAsia="ja-JP"/>
        </w:rPr>
      </w:pPr>
      <w:r>
        <w:rPr>
          <w:lang w:eastAsia="ja-JP"/>
        </w:rPr>
        <w:t>The GMR of 5 to</w:t>
      </w:r>
      <w:r w:rsidRPr="00530179">
        <w:rPr>
          <w:lang w:eastAsia="ja-JP"/>
        </w:rPr>
        <w:t xml:space="preserve">11 </w:t>
      </w:r>
      <w:r>
        <w:rPr>
          <w:lang w:eastAsia="ja-JP"/>
        </w:rPr>
        <w:t>years of age</w:t>
      </w:r>
      <w:r w:rsidRPr="00530179">
        <w:rPr>
          <w:lang w:eastAsia="ja-JP"/>
        </w:rPr>
        <w:t xml:space="preserve"> subject</w:t>
      </w:r>
      <w:r>
        <w:rPr>
          <w:lang w:eastAsia="ja-JP"/>
        </w:rPr>
        <w:t xml:space="preserve">s’ GMTs relative to those of 16 to </w:t>
      </w:r>
      <w:r w:rsidRPr="00530179">
        <w:rPr>
          <w:lang w:eastAsia="ja-JP"/>
        </w:rPr>
        <w:t xml:space="preserve">25 </w:t>
      </w:r>
      <w:r w:rsidRPr="00D0132E">
        <w:t>years age</w:t>
      </w:r>
      <w:r w:rsidRPr="00530179">
        <w:rPr>
          <w:lang w:eastAsia="ja-JP"/>
        </w:rPr>
        <w:t xml:space="preserve"> subjects</w:t>
      </w:r>
      <w:r>
        <w:rPr>
          <w:lang w:eastAsia="ja-JP"/>
        </w:rPr>
        <w:t xml:space="preserve"> was 1.04 (95% CI: 0.93, 1.18)</w:t>
      </w:r>
      <w:r w:rsidRPr="00530179">
        <w:rPr>
          <w:lang w:eastAsia="ja-JP"/>
        </w:rPr>
        <w:t xml:space="preserve">. This met the </w:t>
      </w:r>
      <w:proofErr w:type="spellStart"/>
      <w:r w:rsidRPr="00530179">
        <w:rPr>
          <w:lang w:eastAsia="ja-JP"/>
        </w:rPr>
        <w:t>immunobridging</w:t>
      </w:r>
      <w:proofErr w:type="spellEnd"/>
      <w:r w:rsidRPr="00530179">
        <w:rPr>
          <w:lang w:eastAsia="ja-JP"/>
        </w:rPr>
        <w:t xml:space="preserve"> objective for success, with the lower bound of the 95% CI being &gt; 0.67 and the point estimate ≥ 0.8 (it was also ≥</w:t>
      </w:r>
      <w:r w:rsidR="00A07701">
        <w:rPr>
          <w:lang w:eastAsia="ja-JP"/>
        </w:rPr>
        <w:t> </w:t>
      </w:r>
      <w:r w:rsidRPr="00530179">
        <w:rPr>
          <w:lang w:eastAsia="ja-JP"/>
        </w:rPr>
        <w:t>1.0 as preferred by the US FDA). While being non-inferior, the result was not superior (lower bound of 95% CI &lt; 1.0).</w:t>
      </w:r>
    </w:p>
    <w:p w14:paraId="733CAE11" w14:textId="22526C55" w:rsidR="00D0132E" w:rsidRDefault="00D0132E" w:rsidP="00A07701">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A07701">
        <w:rPr>
          <w:noProof/>
        </w:rPr>
        <w:t>13</w:t>
      </w:r>
      <w:r>
        <w:rPr>
          <w:color w:val="2B579A"/>
          <w:shd w:val="clear" w:color="auto" w:fill="E6E6E6"/>
        </w:rPr>
        <w:fldChar w:fldCharType="end"/>
      </w:r>
      <w:r>
        <w:t xml:space="preserve">: </w:t>
      </w:r>
      <w:r w:rsidR="00A07701">
        <w:t xml:space="preserve">Study C4591007 </w:t>
      </w:r>
      <w:r w:rsidRPr="00F7428C">
        <w:t>Su</w:t>
      </w:r>
      <w:r>
        <w:t>mmary of geometric mean ratios;</w:t>
      </w:r>
      <w:r w:rsidRPr="00F7428C">
        <w:t xml:space="preserve"> subjects without evidence of</w:t>
      </w:r>
      <w:r w:rsidR="006134EC">
        <w:t xml:space="preserve"> infection up to 1 month after Dose 2, </w:t>
      </w:r>
      <w:proofErr w:type="spellStart"/>
      <w:r w:rsidR="006134EC">
        <w:t>immunobridging</w:t>
      </w:r>
      <w:proofErr w:type="spellEnd"/>
      <w:r w:rsidR="006134EC">
        <w:t xml:space="preserve"> subset; Phase</w:t>
      </w:r>
      <w:r w:rsidR="00A07701">
        <w:t> </w:t>
      </w:r>
      <w:r w:rsidR="006134EC">
        <w:t xml:space="preserve">II/III study, </w:t>
      </w:r>
      <w:r w:rsidRPr="00F7428C">
        <w:t>5 to &lt;</w:t>
      </w:r>
      <w:r w:rsidR="006134EC">
        <w:t xml:space="preserve"> </w:t>
      </w:r>
      <w:r w:rsidRPr="00F7428C">
        <w:t>12</w:t>
      </w:r>
      <w:r w:rsidR="006134EC">
        <w:t xml:space="preserve"> </w:t>
      </w:r>
      <w:r w:rsidRPr="00F7428C">
        <w:t>years</w:t>
      </w:r>
      <w:r>
        <w:t xml:space="preserve"> </w:t>
      </w:r>
      <w:r w:rsidR="006134EC">
        <w:t xml:space="preserve">age and Study C4591001 Phase II/III, </w:t>
      </w:r>
      <w:r w:rsidRPr="00F7428C">
        <w:t>16 through 25</w:t>
      </w:r>
      <w:r w:rsidR="00A07701">
        <w:t> </w:t>
      </w:r>
      <w:r w:rsidRPr="00F7428C">
        <w:t>years</w:t>
      </w:r>
      <w:r w:rsidR="006134EC">
        <w:t xml:space="preserve"> of</w:t>
      </w:r>
      <w:r w:rsidRPr="00F7428C">
        <w:t xml:space="preserve"> age</w:t>
      </w:r>
      <w:r w:rsidR="00A07701">
        <w:t xml:space="preserve"> (</w:t>
      </w:r>
      <w:r w:rsidRPr="00F7428C">
        <w:t>evaluable immunogenicity population</w:t>
      </w:r>
      <w:r w:rsidR="00A07701">
        <w:t>)</w:t>
      </w:r>
    </w:p>
    <w:p w14:paraId="79EEB33D" w14:textId="77777777" w:rsidR="00D0132E" w:rsidRDefault="00D0132E" w:rsidP="00AE00F7">
      <w:r w:rsidRPr="00530179">
        <w:rPr>
          <w:noProof/>
          <w:color w:val="2B579A"/>
          <w:shd w:val="clear" w:color="auto" w:fill="E6E6E6"/>
          <w:lang w:val="en-GB" w:eastAsia="en-GB"/>
        </w:rPr>
        <w:drawing>
          <wp:inline distT="0" distB="0" distL="0" distR="0" wp14:anchorId="3C1C1A95" wp14:editId="5BC9AA19">
            <wp:extent cx="5399787" cy="5600700"/>
            <wp:effectExtent l="0" t="0" r="0" b="0"/>
            <wp:docPr id="44" name="Picture 44" descr="Table 13: Study C4591007 Summary of geometric mean ratios; subjects without evidence of infection up to 1 month after Dose 2, immunobridging subset; Phase II/III study, 5 to &lt; 12 years age and Study C4591001 Phase II/III, 16 through 25 years of ag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13: Study C4591007 Summary of geometric mean ratios; subjects without evidence of infection up to 1 month after Dose 2, immunobridging subset; Phase II/III study, 5 to &lt; 12 years age and Study C4591001 Phase II/III, 16 through 25 years of age (evaluable immunogenicity population)"/>
                    <pic:cNvPicPr/>
                  </pic:nvPicPr>
                  <pic:blipFill>
                    <a:blip r:embed="rId36"/>
                    <a:stretch>
                      <a:fillRect/>
                    </a:stretch>
                  </pic:blipFill>
                  <pic:spPr>
                    <a:xfrm>
                      <a:off x="0" y="0"/>
                      <a:ext cx="5407683" cy="5608889"/>
                    </a:xfrm>
                    <a:prstGeom prst="rect">
                      <a:avLst/>
                    </a:prstGeom>
                  </pic:spPr>
                </pic:pic>
              </a:graphicData>
            </a:graphic>
          </wp:inline>
        </w:drawing>
      </w:r>
    </w:p>
    <w:p w14:paraId="555F2F1C" w14:textId="77777777" w:rsidR="00D0132E" w:rsidRDefault="00D0132E" w:rsidP="00D0132E">
      <w:pPr>
        <w:pStyle w:val="Heading6"/>
      </w:pPr>
      <w:r>
        <w:t xml:space="preserve">Difference in </w:t>
      </w:r>
      <w:proofErr w:type="spellStart"/>
      <w:r>
        <w:t>seroresponse</w:t>
      </w:r>
      <w:proofErr w:type="spellEnd"/>
      <w:r>
        <w:t xml:space="preserve"> rates</w:t>
      </w:r>
    </w:p>
    <w:p w14:paraId="3F9F1A11" w14:textId="4B4B4CBC" w:rsidR="00D0132E" w:rsidRDefault="00D0132E" w:rsidP="00D0132E">
      <w:r>
        <w:t xml:space="preserve">Difference in </w:t>
      </w:r>
      <w:proofErr w:type="spellStart"/>
      <w:r>
        <w:t>seroresponse</w:t>
      </w:r>
      <w:proofErr w:type="spellEnd"/>
      <w:r>
        <w:t xml:space="preserve"> rates in children </w:t>
      </w:r>
      <w:r w:rsidR="00A07701">
        <w:t xml:space="preserve">of </w:t>
      </w:r>
      <w:r>
        <w:t>5</w:t>
      </w:r>
      <w:r w:rsidR="00A07701">
        <w:t xml:space="preserve"> to </w:t>
      </w:r>
      <w:r>
        <w:t xml:space="preserve">11 years and young adults </w:t>
      </w:r>
      <w:r w:rsidR="00A07701">
        <w:t xml:space="preserve">of </w:t>
      </w:r>
      <w:r>
        <w:t>16</w:t>
      </w:r>
      <w:r w:rsidR="00A07701">
        <w:t xml:space="preserve"> to </w:t>
      </w:r>
      <w:r>
        <w:t>25</w:t>
      </w:r>
      <w:r w:rsidR="00A07701">
        <w:t> </w:t>
      </w:r>
      <w:r>
        <w:t xml:space="preserve">years age was 0.0% (95% CI: -2.0%, 2.0%). As the pre-specified criteria for </w:t>
      </w:r>
      <w:proofErr w:type="spellStart"/>
      <w:r>
        <w:t>immunobridging</w:t>
      </w:r>
      <w:proofErr w:type="spellEnd"/>
      <w:r>
        <w:t xml:space="preserve"> based on GMR were met (a prerequisite) and the lower bound of the 95% CI for the difference in </w:t>
      </w:r>
      <w:proofErr w:type="spellStart"/>
      <w:r>
        <w:t>seroresponse</w:t>
      </w:r>
      <w:proofErr w:type="spellEnd"/>
      <w:r>
        <w:t xml:space="preserve"> rates was greater than -10.0%, the criteria for non-inferiority were met.</w:t>
      </w:r>
    </w:p>
    <w:p w14:paraId="22CBB000" w14:textId="5F9EDEC8" w:rsidR="00926760" w:rsidRDefault="00926760" w:rsidP="00926760">
      <w:pPr>
        <w:pStyle w:val="TableTitle"/>
        <w:pageBreakBefore/>
      </w:pPr>
      <w:r w:rsidRPr="00CF38FB">
        <w:lastRenderedPageBreak/>
        <w:t>Table</w:t>
      </w:r>
      <w:r>
        <w:t xml:space="preserve"> </w:t>
      </w:r>
      <w:r w:rsidRPr="00CF38FB">
        <w:fldChar w:fldCharType="begin"/>
      </w:r>
      <w:r w:rsidRPr="00CF38FB">
        <w:instrText>SEQ Table \* ARABIC</w:instrText>
      </w:r>
      <w:r w:rsidRPr="00CF38FB">
        <w:fldChar w:fldCharType="separate"/>
      </w:r>
      <w:r w:rsidRPr="00CF38FB">
        <w:t>14</w:t>
      </w:r>
      <w:r w:rsidRPr="00CF38FB">
        <w:fldChar w:fldCharType="end"/>
      </w:r>
      <w:r w:rsidRPr="00CF38FB">
        <w:t>:</w:t>
      </w:r>
      <w:r>
        <w:t xml:space="preserve"> </w:t>
      </w:r>
      <w:r w:rsidRPr="00CF38FB">
        <w:t>Difference</w:t>
      </w:r>
      <w:r>
        <w:t xml:space="preserve"> </w:t>
      </w:r>
      <w:r w:rsidRPr="00CF38FB">
        <w:t>in percentages</w:t>
      </w:r>
      <w:r>
        <w:t xml:space="preserve"> </w:t>
      </w:r>
      <w:r w:rsidRPr="00CF38FB">
        <w:t>of</w:t>
      </w:r>
      <w:r>
        <w:t xml:space="preserve"> </w:t>
      </w:r>
      <w:r w:rsidRPr="00CF38FB">
        <w:t>subjects</w:t>
      </w:r>
      <w:r>
        <w:t xml:space="preserve"> </w:t>
      </w:r>
      <w:r w:rsidRPr="00CF38FB">
        <w:t>with</w:t>
      </w:r>
      <w:r>
        <w:t xml:space="preserve"> </w:t>
      </w:r>
      <w:proofErr w:type="spellStart"/>
      <w:r w:rsidRPr="00CF38FB">
        <w:t>seroresponse</w:t>
      </w:r>
      <w:proofErr w:type="spellEnd"/>
      <w:r w:rsidRPr="00CF38FB">
        <w:t>,</w:t>
      </w:r>
      <w:r>
        <w:t xml:space="preserve"> </w:t>
      </w:r>
      <w:r w:rsidRPr="00CF38FB">
        <w:t>subjects</w:t>
      </w:r>
      <w:r>
        <w:t xml:space="preserve"> w</w:t>
      </w:r>
      <w:r w:rsidRPr="00CF38FB">
        <w:t>ithout</w:t>
      </w:r>
      <w:r>
        <w:t xml:space="preserve"> </w:t>
      </w:r>
      <w:r w:rsidRPr="00CF38FB">
        <w:t>evidence</w:t>
      </w:r>
      <w:r>
        <w:t xml:space="preserve"> </w:t>
      </w:r>
      <w:r w:rsidRPr="00CF38FB">
        <w:t>of</w:t>
      </w:r>
      <w:r>
        <w:t xml:space="preserve"> </w:t>
      </w:r>
      <w:r w:rsidRPr="00CF38FB">
        <w:t>infection</w:t>
      </w:r>
      <w:r>
        <w:t xml:space="preserve"> </w:t>
      </w:r>
      <w:r w:rsidRPr="00CF38FB">
        <w:t>up</w:t>
      </w:r>
      <w:r>
        <w:t xml:space="preserve"> </w:t>
      </w:r>
      <w:r w:rsidRPr="00CF38FB">
        <w:t>to</w:t>
      </w:r>
      <w:r>
        <w:t xml:space="preserve"> </w:t>
      </w:r>
      <w:r w:rsidRPr="00CF38FB">
        <w:t>one</w:t>
      </w:r>
      <w:r>
        <w:t xml:space="preserve"> </w:t>
      </w:r>
      <w:r w:rsidRPr="00CF38FB">
        <w:t>month</w:t>
      </w:r>
      <w:r>
        <w:t xml:space="preserve"> </w:t>
      </w:r>
      <w:r w:rsidRPr="00CF38FB">
        <w:t>after</w:t>
      </w:r>
      <w:r>
        <w:t xml:space="preserve"> </w:t>
      </w:r>
      <w:r w:rsidRPr="00CF38FB">
        <w:t>Dose</w:t>
      </w:r>
      <w:r>
        <w:t xml:space="preserve"> </w:t>
      </w:r>
      <w:r w:rsidRPr="00CF38FB">
        <w:t>2,</w:t>
      </w:r>
      <w:r>
        <w:t xml:space="preserve"> </w:t>
      </w:r>
      <w:proofErr w:type="spellStart"/>
      <w:r w:rsidRPr="00CF38FB">
        <w:t>immunobridging</w:t>
      </w:r>
      <w:proofErr w:type="spellEnd"/>
      <w:r>
        <w:t xml:space="preserve"> </w:t>
      </w:r>
      <w:proofErr w:type="spellStart"/>
      <w:r>
        <w:t>subsed</w:t>
      </w:r>
      <w:proofErr w:type="spellEnd"/>
      <w:r>
        <w:t xml:space="preserve">; Phase II/III comparison of 5 to </w:t>
      </w:r>
      <w:r w:rsidRPr="00CF38FB">
        <w:t>&lt;</w:t>
      </w:r>
      <w:r>
        <w:t xml:space="preserve"> </w:t>
      </w:r>
      <w:r w:rsidRPr="00CF38FB">
        <w:t>12</w:t>
      </w:r>
      <w:r>
        <w:t xml:space="preserve"> </w:t>
      </w:r>
      <w:r w:rsidRPr="00CF38FB">
        <w:t>Years of age to Study C4591001 Phase II/III 16 through 25 years of age (evaluable immunogenicity population)</w:t>
      </w:r>
    </w:p>
    <w:p w14:paraId="07BED073" w14:textId="4369792E" w:rsidR="009D32DA" w:rsidRDefault="009D32DA" w:rsidP="00926760">
      <w:r w:rsidRPr="00530179">
        <w:rPr>
          <w:noProof/>
          <w:shd w:val="clear" w:color="auto" w:fill="E6E6E6"/>
          <w:lang w:val="en-GB" w:eastAsia="en-GB"/>
        </w:rPr>
        <w:drawing>
          <wp:inline distT="0" distB="0" distL="0" distR="0" wp14:anchorId="06710433" wp14:editId="687E9B63">
            <wp:extent cx="5121679" cy="3953329"/>
            <wp:effectExtent l="0" t="0" r="3175" b="9525"/>
            <wp:docPr id="45" name="Picture 45" descr="Table 14: Difference in percentages of subjects with seroresponse, subjects without evidence of infection up to one month after Dose 2, immunobridging subsed; Phase II/III comparison of 5 to &lt; 12 Years of age to Study C4591001 Phase II/III 16 through 25 years of ag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14: Difference in percentages of subjects with seroresponse, subjects without evidence of infection up to one month after Dose 2, immunobridging subsed; Phase II/III comparison of 5 to &lt; 12 Years of age to Study C4591001 Phase II/III 16 through 25 years of age (evaluable immunogenicity population)"/>
                    <pic:cNvPicPr/>
                  </pic:nvPicPr>
                  <pic:blipFill>
                    <a:blip r:embed="rId37"/>
                    <a:stretch>
                      <a:fillRect/>
                    </a:stretch>
                  </pic:blipFill>
                  <pic:spPr>
                    <a:xfrm>
                      <a:off x="0" y="0"/>
                      <a:ext cx="5130330" cy="3960007"/>
                    </a:xfrm>
                    <a:prstGeom prst="rect">
                      <a:avLst/>
                    </a:prstGeom>
                  </pic:spPr>
                </pic:pic>
              </a:graphicData>
            </a:graphic>
          </wp:inline>
        </w:drawing>
      </w:r>
    </w:p>
    <w:p w14:paraId="3E4F8147" w14:textId="77777777" w:rsidR="009D32DA" w:rsidRPr="00530179" w:rsidRDefault="009D32DA" w:rsidP="009D32DA">
      <w:pPr>
        <w:pStyle w:val="Heading5"/>
        <w:rPr>
          <w:lang w:eastAsia="ja-JP"/>
        </w:rPr>
      </w:pPr>
      <w:r w:rsidRPr="00530179">
        <w:rPr>
          <w:lang w:eastAsia="ja-JP"/>
        </w:rPr>
        <w:t>Seco</w:t>
      </w:r>
      <w:r>
        <w:rPr>
          <w:lang w:eastAsia="ja-JP"/>
        </w:rPr>
        <w:t>ndary immunogenicity outcomes</w:t>
      </w:r>
    </w:p>
    <w:p w14:paraId="0B1F4ECC" w14:textId="77777777" w:rsidR="009D32DA" w:rsidRPr="00530179" w:rsidRDefault="009D32DA" w:rsidP="009D32DA">
      <w:pPr>
        <w:rPr>
          <w:lang w:eastAsia="ja-JP"/>
        </w:rPr>
      </w:pPr>
      <w:r w:rsidRPr="00530179">
        <w:rPr>
          <w:lang w:eastAsia="ja-JP"/>
        </w:rPr>
        <w:t>A series of secondary immunogenicity outcome</w:t>
      </w:r>
      <w:r>
        <w:rPr>
          <w:lang w:eastAsia="ja-JP"/>
        </w:rPr>
        <w:t>s were analysed in the Phase II/III</w:t>
      </w:r>
      <w:r w:rsidRPr="00530179">
        <w:rPr>
          <w:lang w:eastAsia="ja-JP"/>
        </w:rPr>
        <w:t xml:space="preserve"> study.</w:t>
      </w:r>
    </w:p>
    <w:p w14:paraId="4B1E9EF5" w14:textId="77777777" w:rsidR="009D32DA" w:rsidRPr="00530179" w:rsidRDefault="009D32DA" w:rsidP="009D32DA">
      <w:pPr>
        <w:pStyle w:val="Heading6"/>
        <w:rPr>
          <w:lang w:eastAsia="ja-JP"/>
        </w:rPr>
      </w:pPr>
      <w:r w:rsidRPr="00530179">
        <w:rPr>
          <w:lang w:eastAsia="ja-JP"/>
        </w:rPr>
        <w:t>Geometric mean neutralising titres</w:t>
      </w:r>
    </w:p>
    <w:p w14:paraId="70C4F557" w14:textId="77777777" w:rsidR="009D32DA" w:rsidRPr="00530179" w:rsidRDefault="009D32DA" w:rsidP="009D32DA">
      <w:pPr>
        <w:rPr>
          <w:lang w:eastAsia="ja-JP"/>
        </w:rPr>
      </w:pPr>
      <w:r w:rsidRPr="00530179">
        <w:rPr>
          <w:lang w:eastAsia="ja-JP"/>
        </w:rPr>
        <w:t xml:space="preserve">GMT responses were very similar in the 5-11 years age groups and 16-25 years age groups and are </w:t>
      </w:r>
      <w:r w:rsidRPr="009D32DA">
        <w:t>shown</w:t>
      </w:r>
      <w:r w:rsidR="00521A35">
        <w:rPr>
          <w:lang w:eastAsia="ja-JP"/>
        </w:rPr>
        <w:t xml:space="preserve"> graphically in the following 2 figures.</w:t>
      </w:r>
    </w:p>
    <w:p w14:paraId="4F0510BA" w14:textId="77777777" w:rsidR="009D32DA" w:rsidRPr="009D32DA" w:rsidRDefault="009D32DA" w:rsidP="009D32DA">
      <w:r w:rsidRPr="00530179">
        <w:rPr>
          <w:lang w:eastAsia="ja-JP"/>
        </w:rPr>
        <w:t xml:space="preserve">GMTs in the evaluable and all-available immunogenicity populations with or without evidence of infection up to </w:t>
      </w:r>
      <w:proofErr w:type="gramStart"/>
      <w:r w:rsidRPr="00530179">
        <w:rPr>
          <w:lang w:eastAsia="ja-JP"/>
        </w:rPr>
        <w:t>1 month</w:t>
      </w:r>
      <w:proofErr w:type="gramEnd"/>
      <w:r w:rsidRPr="00530179">
        <w:rPr>
          <w:lang w:eastAsia="ja-JP"/>
        </w:rPr>
        <w:t xml:space="preserve"> post-Dose 2 were similar to those from the primary analysis population.</w:t>
      </w:r>
    </w:p>
    <w:p w14:paraId="105F8ECF" w14:textId="3D21476F" w:rsidR="009D32DA" w:rsidRPr="00CF38FB" w:rsidRDefault="009D32DA" w:rsidP="00926760">
      <w:pPr>
        <w:pStyle w:val="FigureTitle"/>
        <w:pageBreakBefore/>
      </w:pPr>
      <w:r w:rsidRPr="00CF38FB">
        <w:lastRenderedPageBreak/>
        <w:t xml:space="preserve">Figure </w:t>
      </w:r>
      <w:r w:rsidRPr="00CF38FB">
        <w:fldChar w:fldCharType="begin"/>
      </w:r>
      <w:r w:rsidRPr="00CF38FB">
        <w:instrText>SEQ Figure \* ARABIC</w:instrText>
      </w:r>
      <w:r w:rsidRPr="00CF38FB">
        <w:fldChar w:fldCharType="separate"/>
      </w:r>
      <w:r w:rsidR="003F6BBF" w:rsidRPr="00CF38FB">
        <w:t>6</w:t>
      </w:r>
      <w:r w:rsidRPr="00CF38FB">
        <w:fldChar w:fldCharType="end"/>
      </w:r>
      <w:r w:rsidRPr="00CF38FB">
        <w:t xml:space="preserve">: </w:t>
      </w:r>
      <w:r w:rsidR="00E4719A" w:rsidRPr="00CF38FB">
        <w:t>Geometric mean tit</w:t>
      </w:r>
      <w:r w:rsidRPr="00CF38FB">
        <w:t>r</w:t>
      </w:r>
      <w:r w:rsidR="00E4719A" w:rsidRPr="00CF38FB">
        <w:t>es and 95% confidence intervals: SARS-CoV-2 neutralisation assay (</w:t>
      </w:r>
      <w:r w:rsidRPr="00CF38FB">
        <w:t>NT50</w:t>
      </w:r>
      <w:r w:rsidR="00E4719A" w:rsidRPr="00CF38FB">
        <w:t>); participants without evidence of infection up to 1</w:t>
      </w:r>
      <w:r w:rsidR="00926760">
        <w:t xml:space="preserve"> </w:t>
      </w:r>
      <w:r w:rsidR="00E4719A" w:rsidRPr="00CF38FB">
        <w:t xml:space="preserve">month after Dose 2, </w:t>
      </w:r>
      <w:proofErr w:type="spellStart"/>
      <w:r w:rsidR="00E4719A" w:rsidRPr="00CF38FB">
        <w:t>immunobridging</w:t>
      </w:r>
      <w:proofErr w:type="spellEnd"/>
      <w:r w:rsidR="00E4719A" w:rsidRPr="00CF38FB">
        <w:t xml:space="preserve"> subset; Phase II/III, 5 to &lt; 12 years of age and Study C4591001 Phase II/III, 16 through 25 years</w:t>
      </w:r>
    </w:p>
    <w:p w14:paraId="3CF64981" w14:textId="77777777" w:rsidR="009D32DA" w:rsidRDefault="009D32DA" w:rsidP="00D0132E">
      <w:r w:rsidRPr="00530179">
        <w:rPr>
          <w:strike/>
          <w:noProof/>
          <w:color w:val="2B579A"/>
          <w:shd w:val="clear" w:color="auto" w:fill="E6E6E6"/>
          <w:lang w:val="en-GB" w:eastAsia="en-GB"/>
        </w:rPr>
        <w:drawing>
          <wp:inline distT="0" distB="0" distL="0" distR="0" wp14:anchorId="7410F2ED" wp14:editId="2EF4CC50">
            <wp:extent cx="5400040" cy="3829119"/>
            <wp:effectExtent l="0" t="0" r="0" b="0"/>
            <wp:docPr id="108" name="Picture 108" descr="Figure 6: Geometric mean titres and 95% confidence intervals: SARS-CoV-2 neutralisation assay (NT50); participants without evidence of infection up to 1 month after Dose 2, immunobridging subset; Phase II/III, 5 to &lt; 12 years of age and Study C4591001 Phase II/III, 16 through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6: Geometric mean titres and 95% confidence intervals: SARS-CoV-2 neutralisation assay (NT50); participants without evidence of infection up to 1 month after Dose 2, immunobridging subset; Phase II/III, 5 to &lt; 12 years of age and Study C4591001 Phase II/III, 16 through 25 years"/>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l="2261" t="1824" r="1872" b="6369"/>
                    <a:stretch/>
                  </pic:blipFill>
                  <pic:spPr bwMode="auto">
                    <a:xfrm>
                      <a:off x="0" y="0"/>
                      <a:ext cx="5400040" cy="3829119"/>
                    </a:xfrm>
                    <a:prstGeom prst="rect">
                      <a:avLst/>
                    </a:prstGeom>
                    <a:noFill/>
                    <a:ln>
                      <a:noFill/>
                    </a:ln>
                    <a:extLst>
                      <a:ext uri="{53640926-AAD7-44D8-BBD7-CCE9431645EC}">
                        <a14:shadowObscured xmlns:a14="http://schemas.microsoft.com/office/drawing/2010/main"/>
                      </a:ext>
                    </a:extLst>
                  </pic:spPr>
                </pic:pic>
              </a:graphicData>
            </a:graphic>
          </wp:inline>
        </w:drawing>
      </w:r>
    </w:p>
    <w:p w14:paraId="4F6EBD71" w14:textId="004EE592" w:rsidR="009D32DA" w:rsidRDefault="009D32DA" w:rsidP="00521A35">
      <w:pPr>
        <w:pStyle w:val="FigureTitle"/>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7</w:t>
      </w:r>
      <w:r>
        <w:rPr>
          <w:color w:val="2B579A"/>
          <w:shd w:val="clear" w:color="auto" w:fill="E6E6E6"/>
        </w:rPr>
        <w:fldChar w:fldCharType="end"/>
      </w:r>
      <w:r>
        <w:t xml:space="preserve">: </w:t>
      </w:r>
      <w:r w:rsidRPr="008228FE">
        <w:t xml:space="preserve">Reverse </w:t>
      </w:r>
      <w:r w:rsidR="00E4719A" w:rsidRPr="008228FE">
        <w:t>cumulative distribution curves</w:t>
      </w:r>
      <w:r w:rsidRPr="008228FE">
        <w:t xml:space="preserve">, SARS-CoV-2 </w:t>
      </w:r>
      <w:r w:rsidR="00E4719A">
        <w:t>neutralis</w:t>
      </w:r>
      <w:r w:rsidR="00E4719A" w:rsidRPr="008228FE">
        <w:t xml:space="preserve">ation assay </w:t>
      </w:r>
      <w:r w:rsidR="00E4719A">
        <w:t>(</w:t>
      </w:r>
      <w:r w:rsidRPr="008228FE">
        <w:t>NT50</w:t>
      </w:r>
      <w:r w:rsidR="00E4719A">
        <w:t>)</w:t>
      </w:r>
      <w:r w:rsidR="00866CEE">
        <w:t xml:space="preserve">; </w:t>
      </w:r>
      <w:r w:rsidR="00E4719A" w:rsidRPr="008228FE">
        <w:t>subjects without evidence of</w:t>
      </w:r>
      <w:r w:rsidR="00E4719A">
        <w:t xml:space="preserve"> infection up to 1 month after Dose 2; </w:t>
      </w:r>
      <w:proofErr w:type="spellStart"/>
      <w:r w:rsidR="00E4719A">
        <w:t>immunobridging</w:t>
      </w:r>
      <w:proofErr w:type="spellEnd"/>
      <w:r w:rsidR="00E4719A">
        <w:t xml:space="preserve"> subset,</w:t>
      </w:r>
      <w:r w:rsidR="00E4719A" w:rsidRPr="008228FE">
        <w:t xml:space="preserve"> </w:t>
      </w:r>
      <w:r w:rsidR="00E4719A">
        <w:t xml:space="preserve">Phase II/III </w:t>
      </w:r>
      <w:r w:rsidRPr="008228FE">
        <w:t>5 to &lt;12 Yea</w:t>
      </w:r>
      <w:r w:rsidR="00E4719A">
        <w:t>rs age and Study C4591001 Phase II/III</w:t>
      </w:r>
      <w:r w:rsidRPr="008228FE">
        <w:t xml:space="preserve"> 16 </w:t>
      </w:r>
      <w:r w:rsidR="00E4719A" w:rsidRPr="008228FE">
        <w:t>through 25 yea</w:t>
      </w:r>
      <w:r w:rsidR="00E4719A">
        <w:t>rs</w:t>
      </w:r>
    </w:p>
    <w:p w14:paraId="66668140" w14:textId="77777777" w:rsidR="009D32DA" w:rsidRDefault="009D32DA" w:rsidP="00D0132E">
      <w:r w:rsidRPr="00530179">
        <w:rPr>
          <w:strike/>
          <w:noProof/>
          <w:color w:val="2B579A"/>
          <w:shd w:val="clear" w:color="auto" w:fill="E6E6E6"/>
          <w:lang w:val="en-GB" w:eastAsia="en-GB"/>
        </w:rPr>
        <w:drawing>
          <wp:inline distT="0" distB="0" distL="0" distR="0" wp14:anchorId="5E57339A" wp14:editId="42D1BC7B">
            <wp:extent cx="5400040" cy="3225527"/>
            <wp:effectExtent l="19050" t="19050" r="10160" b="13335"/>
            <wp:docPr id="47" name="Picture 47" descr="Figure 7: Reverse cumulative distribution curves, SARS-CoV-2 neutralisation assay (NT50); subjects without evidence of infection up to 1 month after Dose 2; immunobridging subset, Phase II/III 5 to &lt;12 Years age and Study C4591001 Phase II/III 16 through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7: Reverse cumulative distribution curves, SARS-CoV-2 neutralisation assay (NT50); subjects without evidence of infection up to 1 month after Dose 2; immunobridging subset, Phase II/III 5 to &lt;12 Years age and Study C4591001 Phase II/III 16 through 25 years"/>
                    <pic:cNvPicPr/>
                  </pic:nvPicPr>
                  <pic:blipFill rotWithShape="1">
                    <a:blip r:embed="rId39"/>
                    <a:srcRect r="953"/>
                    <a:stretch/>
                  </pic:blipFill>
                  <pic:spPr bwMode="auto">
                    <a:xfrm>
                      <a:off x="0" y="0"/>
                      <a:ext cx="5400040" cy="3225527"/>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EFE" w14:textId="77777777" w:rsidR="009D32DA" w:rsidRPr="00530179" w:rsidRDefault="009D32DA" w:rsidP="00521A35">
      <w:pPr>
        <w:pStyle w:val="Heading6"/>
        <w:rPr>
          <w:lang w:eastAsia="ja-JP"/>
        </w:rPr>
      </w:pPr>
      <w:r w:rsidRPr="00530179">
        <w:rPr>
          <w:lang w:eastAsia="ja-JP"/>
        </w:rPr>
        <w:lastRenderedPageBreak/>
        <w:t>Subgroup analyses</w:t>
      </w:r>
    </w:p>
    <w:p w14:paraId="19D8187A" w14:textId="77777777" w:rsidR="009D32DA" w:rsidRPr="00530179" w:rsidRDefault="009D32DA" w:rsidP="009D32DA">
      <w:pPr>
        <w:jc w:val="both"/>
        <w:rPr>
          <w:lang w:eastAsia="ja-JP"/>
        </w:rPr>
      </w:pPr>
      <w:r w:rsidRPr="00530179">
        <w:rPr>
          <w:lang w:eastAsia="ja-JP"/>
        </w:rPr>
        <w:t>GMTs wer</w:t>
      </w:r>
      <w:r w:rsidR="00521A35">
        <w:rPr>
          <w:lang w:eastAsia="ja-JP"/>
        </w:rPr>
        <w:t>e evaluated by demographic (for example, sex, race/ethnicity) and baseline SARS</w:t>
      </w:r>
      <w:r w:rsidR="00521A35">
        <w:rPr>
          <w:lang w:eastAsia="ja-JP"/>
        </w:rPr>
        <w:noBreakHyphen/>
      </w:r>
      <w:r w:rsidRPr="00530179">
        <w:rPr>
          <w:lang w:eastAsia="ja-JP"/>
        </w:rPr>
        <w:t>CoV-2 subgroups.</w:t>
      </w:r>
    </w:p>
    <w:p w14:paraId="122FCEA0" w14:textId="77777777" w:rsidR="009D32DA" w:rsidRPr="00521A35" w:rsidRDefault="009D32DA" w:rsidP="00521A35">
      <w:r w:rsidRPr="00521A35">
        <w:t>The demographic subgroup analyses didn’t reveal any meaningful differences to the overall results (noting small numbers in some subgroups).</w:t>
      </w:r>
    </w:p>
    <w:p w14:paraId="4F167C7B" w14:textId="77777777" w:rsidR="009D32DA" w:rsidRPr="00521A35" w:rsidRDefault="009D32DA" w:rsidP="00521A35">
      <w:r w:rsidRPr="00521A35">
        <w:t xml:space="preserve">In the baseline seropositive subgroup analysis, subjects </w:t>
      </w:r>
      <w:r w:rsidR="00521A35">
        <w:t xml:space="preserve">of 5 to </w:t>
      </w:r>
      <w:r w:rsidRPr="00521A35">
        <w:t xml:space="preserve">11 </w:t>
      </w:r>
      <w:r w:rsidR="00521A35">
        <w:t xml:space="preserve">years of age had a </w:t>
      </w:r>
      <w:proofErr w:type="gramStart"/>
      <w:r w:rsidR="00521A35">
        <w:t>54.7 fold</w:t>
      </w:r>
      <w:proofErr w:type="gramEnd"/>
      <w:r w:rsidR="00521A35">
        <w:t xml:space="preserve"> rise relative to B</w:t>
      </w:r>
      <w:r w:rsidRPr="00521A35">
        <w:t>aseline results at 1 mon</w:t>
      </w:r>
      <w:r w:rsidR="00521A35">
        <w:t>th post-Dose 2 (n = 21, GMT at second timepoint = 3270 (95% CI: 2032.1, 5261.8)</w:t>
      </w:r>
      <w:r w:rsidRPr="00521A35">
        <w:t>). This was higher than the result in baseline</w:t>
      </w:r>
      <w:r w:rsidR="00521A35">
        <w:t xml:space="preserve"> seronegative subjects (1211.3 (95% CI: 1121.1, 1308.7)</w:t>
      </w:r>
      <w:r w:rsidRPr="00521A35">
        <w:t>). It was also higher than the GMT seen in ba</w:t>
      </w:r>
      <w:r w:rsidR="00521A35">
        <w:t>seline seropositive subjects 16 to 25 years of age</w:t>
      </w:r>
      <w:r w:rsidRPr="00521A35">
        <w:t xml:space="preserve"> at 1 month post-Dose 2 (n = 13, GMT at </w:t>
      </w:r>
      <w:r w:rsidR="00521A35">
        <w:t>second timepoint = 2253.8 (95% CI: 1497.7, 3391.5)</w:t>
      </w:r>
      <w:r w:rsidRPr="00521A35">
        <w:t>, who had a 24.7-fold ris</w:t>
      </w:r>
      <w:r w:rsidR="00521A35">
        <w:t>e from B</w:t>
      </w:r>
      <w:r w:rsidRPr="00521A35">
        <w:t>aseline).</w:t>
      </w:r>
    </w:p>
    <w:p w14:paraId="2CB268E8" w14:textId="77777777" w:rsidR="009D32DA" w:rsidRPr="00530179" w:rsidRDefault="009D32DA" w:rsidP="00521A35">
      <w:pPr>
        <w:pStyle w:val="Heading6"/>
        <w:rPr>
          <w:lang w:eastAsia="ja-JP"/>
        </w:rPr>
      </w:pPr>
      <w:r w:rsidRPr="00530179">
        <w:rPr>
          <w:lang w:eastAsia="ja-JP"/>
        </w:rPr>
        <w:t xml:space="preserve">Geometric </w:t>
      </w:r>
      <w:r w:rsidR="00521A35">
        <w:rPr>
          <w:lang w:eastAsia="ja-JP"/>
        </w:rPr>
        <w:t xml:space="preserve">mean </w:t>
      </w:r>
      <w:r w:rsidRPr="00530179">
        <w:rPr>
          <w:lang w:eastAsia="ja-JP"/>
        </w:rPr>
        <w:t>fold rises</w:t>
      </w:r>
    </w:p>
    <w:p w14:paraId="536F472D" w14:textId="7EB8FA78" w:rsidR="009D32DA" w:rsidRPr="00530179" w:rsidRDefault="00521A35" w:rsidP="00521A35">
      <w:pPr>
        <w:rPr>
          <w:lang w:eastAsia="ja-JP"/>
        </w:rPr>
      </w:pPr>
      <w:r>
        <w:rPr>
          <w:lang w:eastAsia="ja-JP"/>
        </w:rPr>
        <w:t xml:space="preserve">Geometric mean fold rises (GMFR) were similar in the 5 to </w:t>
      </w:r>
      <w:r w:rsidR="009D32DA" w:rsidRPr="00530179">
        <w:rPr>
          <w:lang w:eastAsia="ja-JP"/>
        </w:rPr>
        <w:t xml:space="preserve">11 years </w:t>
      </w:r>
      <w:r>
        <w:rPr>
          <w:lang w:eastAsia="ja-JP"/>
        </w:rPr>
        <w:t xml:space="preserve">of </w:t>
      </w:r>
      <w:r w:rsidR="009D32DA" w:rsidRPr="00530179">
        <w:rPr>
          <w:lang w:eastAsia="ja-JP"/>
        </w:rPr>
        <w:t>age</w:t>
      </w:r>
      <w:r>
        <w:rPr>
          <w:lang w:eastAsia="ja-JP"/>
        </w:rPr>
        <w:t xml:space="preserve"> and 16 to </w:t>
      </w:r>
      <w:r w:rsidR="00E4719A">
        <w:rPr>
          <w:lang w:eastAsia="ja-JP"/>
        </w:rPr>
        <w:t>25 </w:t>
      </w:r>
      <w:r>
        <w:rPr>
          <w:lang w:eastAsia="ja-JP"/>
        </w:rPr>
        <w:t xml:space="preserve">years of </w:t>
      </w:r>
      <w:r w:rsidR="009D32DA" w:rsidRPr="00530179">
        <w:rPr>
          <w:lang w:eastAsia="ja-JP"/>
        </w:rPr>
        <w:t xml:space="preserve">age </w:t>
      </w:r>
      <w:r w:rsidR="005D1794" w:rsidRPr="00530179">
        <w:rPr>
          <w:lang w:eastAsia="ja-JP"/>
        </w:rPr>
        <w:t>groups, when</w:t>
      </w:r>
      <w:r>
        <w:rPr>
          <w:lang w:eastAsia="ja-JP"/>
        </w:rPr>
        <w:t xml:space="preserve"> comparing rises from B</w:t>
      </w:r>
      <w:r w:rsidR="009D32DA" w:rsidRPr="00530179">
        <w:rPr>
          <w:lang w:eastAsia="ja-JP"/>
        </w:rPr>
        <w:t xml:space="preserve">aseline to </w:t>
      </w:r>
      <w:proofErr w:type="gramStart"/>
      <w:r w:rsidR="009D32DA" w:rsidRPr="00530179">
        <w:rPr>
          <w:lang w:eastAsia="ja-JP"/>
        </w:rPr>
        <w:t>1 month</w:t>
      </w:r>
      <w:proofErr w:type="gramEnd"/>
      <w:r w:rsidR="009D32DA" w:rsidRPr="00530179">
        <w:rPr>
          <w:lang w:eastAsia="ja-JP"/>
        </w:rPr>
        <w:t xml:space="preserve"> post-Dose 2 (118.2 v</w:t>
      </w:r>
      <w:r>
        <w:rPr>
          <w:lang w:eastAsia="ja-JP"/>
        </w:rPr>
        <w:t>ersu</w:t>
      </w:r>
      <w:r w:rsidR="009D32DA" w:rsidRPr="00530179">
        <w:rPr>
          <w:lang w:eastAsia="ja-JP"/>
        </w:rPr>
        <w:t>s 111.4 respectively). In placebo recipients, the</w:t>
      </w:r>
      <w:r w:rsidR="00E4719A">
        <w:rPr>
          <w:lang w:eastAsia="ja-JP"/>
        </w:rPr>
        <w:t>re was no rise as expected (1.0 </w:t>
      </w:r>
      <w:r w:rsidR="009D32DA" w:rsidRPr="00530179">
        <w:rPr>
          <w:lang w:eastAsia="ja-JP"/>
        </w:rPr>
        <w:t>v</w:t>
      </w:r>
      <w:r>
        <w:rPr>
          <w:lang w:eastAsia="ja-JP"/>
        </w:rPr>
        <w:t>ersu</w:t>
      </w:r>
      <w:r w:rsidR="009D32DA" w:rsidRPr="00530179">
        <w:rPr>
          <w:lang w:eastAsia="ja-JP"/>
        </w:rPr>
        <w:t>s 1.1 respectively).</w:t>
      </w:r>
    </w:p>
    <w:p w14:paraId="6F0A5A58" w14:textId="77777777" w:rsidR="009D32DA" w:rsidRPr="00530179" w:rsidRDefault="00521A35" w:rsidP="00521A35">
      <w:pPr>
        <w:rPr>
          <w:lang w:eastAsia="ja-JP"/>
        </w:rPr>
      </w:pPr>
      <w:r>
        <w:rPr>
          <w:lang w:eastAsia="ja-JP"/>
        </w:rPr>
        <w:t xml:space="preserve">Geometric mean fold rises </w:t>
      </w:r>
      <w:r w:rsidR="009D32DA" w:rsidRPr="00530179">
        <w:rPr>
          <w:lang w:eastAsia="ja-JP"/>
        </w:rPr>
        <w:t xml:space="preserve">in the non-primary analysis populations were </w:t>
      </w:r>
      <w:proofErr w:type="gramStart"/>
      <w:r w:rsidR="009D32DA" w:rsidRPr="00530179">
        <w:rPr>
          <w:lang w:eastAsia="ja-JP"/>
        </w:rPr>
        <w:t>similar to</w:t>
      </w:r>
      <w:proofErr w:type="gramEnd"/>
      <w:r w:rsidR="009D32DA" w:rsidRPr="00530179">
        <w:rPr>
          <w:lang w:eastAsia="ja-JP"/>
        </w:rPr>
        <w:t xml:space="preserve"> those above. Subgroup analyses did not reveal any meaningful new results.</w:t>
      </w:r>
      <w:bookmarkStart w:id="57" w:name="_Ref85821530"/>
      <w:bookmarkStart w:id="58" w:name="_Toc87446893"/>
    </w:p>
    <w:p w14:paraId="7B38C95E" w14:textId="6852D348" w:rsidR="009D32DA" w:rsidRPr="00711639" w:rsidRDefault="009D32DA" w:rsidP="00711639">
      <w:pPr>
        <w:pStyle w:val="TableTitle"/>
        <w:spacing w:before="0" w:after="0" w:line="240" w:lineRule="auto"/>
      </w:pPr>
      <w:r w:rsidRPr="00711639">
        <w:t xml:space="preserve">Table 14: Summary </w:t>
      </w:r>
      <w:r w:rsidR="00521A35" w:rsidRPr="00711639">
        <w:t xml:space="preserve">of geometric mean fold rises from before vaccination to each subsequent time point </w:t>
      </w:r>
      <w:r w:rsidR="00521A35" w:rsidRPr="00711639">
        <w:rPr>
          <w:rFonts w:hint="eastAsia"/>
        </w:rPr>
        <w:t>(</w:t>
      </w:r>
      <w:r w:rsidRPr="00711639">
        <w:t>N</w:t>
      </w:r>
      <w:r w:rsidR="00521A35" w:rsidRPr="00711639">
        <w:t>T50) in participants withou</w:t>
      </w:r>
      <w:r w:rsidR="00711639" w:rsidRPr="00711639">
        <w:t>t evidence of infection up to 1 </w:t>
      </w:r>
      <w:r w:rsidR="00711639">
        <w:t>month after D</w:t>
      </w:r>
      <w:r w:rsidR="00521A35" w:rsidRPr="00711639">
        <w:t xml:space="preserve">ose 2 </w:t>
      </w:r>
      <w:r w:rsidR="00711639" w:rsidRPr="00711639">
        <w:rPr>
          <w:rFonts w:hint="eastAsia"/>
        </w:rPr>
        <w:t>(</w:t>
      </w:r>
      <w:proofErr w:type="spellStart"/>
      <w:r w:rsidR="00711639">
        <w:t>Immunobridging</w:t>
      </w:r>
      <w:proofErr w:type="spellEnd"/>
      <w:r w:rsidR="00711639">
        <w:t xml:space="preserve"> s</w:t>
      </w:r>
      <w:r w:rsidRPr="00711639">
        <w:t xml:space="preserve">ubset </w:t>
      </w:r>
      <w:r w:rsidR="00711639">
        <w:t>comparison, evaluable immunogenicity p</w:t>
      </w:r>
      <w:r w:rsidRPr="00711639">
        <w:t>opulation</w:t>
      </w:r>
      <w:r w:rsidR="00711639">
        <w:t>)</w:t>
      </w:r>
    </w:p>
    <w:p w14:paraId="4C920E76" w14:textId="77777777" w:rsidR="009D32DA" w:rsidRPr="00530179" w:rsidRDefault="009D32DA" w:rsidP="009D32DA">
      <w:pPr>
        <w:spacing w:before="0" w:after="0" w:line="240" w:lineRule="auto"/>
        <w:jc w:val="both"/>
        <w:rPr>
          <w:b/>
          <w:bCs/>
          <w:lang w:eastAsia="ja-JP"/>
        </w:rPr>
      </w:pPr>
      <w:r w:rsidRPr="00530179">
        <w:rPr>
          <w:b/>
          <w:bCs/>
          <w:noProof/>
          <w:color w:val="2B579A"/>
          <w:shd w:val="clear" w:color="auto" w:fill="E6E6E6"/>
          <w:lang w:val="en-GB" w:eastAsia="en-GB"/>
        </w:rPr>
        <w:drawing>
          <wp:inline distT="0" distB="0" distL="0" distR="0" wp14:anchorId="4E52DFDF" wp14:editId="7548B656">
            <wp:extent cx="5269865" cy="2876550"/>
            <wp:effectExtent l="0" t="0" r="6985" b="0"/>
            <wp:docPr id="109" name="Picture 109" descr="Table 14: Summary of geometric mean fold rises from before vaccination to each subsequent time point (NT50) in participants without evidence of infection up to 1 month after Dose 2 (Immunobridging subset comparis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 14: Summary of geometric mean fold rises from before vaccination to each subsequent time point (NT50) in participants without evidence of infection up to 1 month after Dose 2 (Immunobridging subset comparison, evaluable immunogenicity population)"/>
                    <pic:cNvPicPr>
                      <a:picLocks noChangeAspect="1" noChangeArrowheads="1"/>
                    </pic:cNvPicPr>
                  </pic:nvPicPr>
                  <pic:blipFill rotWithShape="1">
                    <a:blip r:embed="rId40">
                      <a:lum bright="-20000" contrast="40000"/>
                      <a:extLst>
                        <a:ext uri="{28A0092B-C50C-407E-A947-70E740481C1C}">
                          <a14:useLocalDpi xmlns:a14="http://schemas.microsoft.com/office/drawing/2010/main" val="0"/>
                        </a:ext>
                      </a:extLst>
                    </a:blip>
                    <a:srcRect b="11169"/>
                    <a:stretch/>
                  </pic:blipFill>
                  <pic:spPr bwMode="auto">
                    <a:xfrm>
                      <a:off x="0" y="0"/>
                      <a:ext cx="5282033" cy="2883192"/>
                    </a:xfrm>
                    <a:prstGeom prst="rect">
                      <a:avLst/>
                    </a:prstGeom>
                    <a:noFill/>
                    <a:ln>
                      <a:noFill/>
                    </a:ln>
                    <a:extLst>
                      <a:ext uri="{53640926-AAD7-44D8-BBD7-CCE9431645EC}">
                        <a14:shadowObscured xmlns:a14="http://schemas.microsoft.com/office/drawing/2010/main"/>
                      </a:ext>
                    </a:extLst>
                  </pic:spPr>
                </pic:pic>
              </a:graphicData>
            </a:graphic>
          </wp:inline>
        </w:drawing>
      </w:r>
    </w:p>
    <w:bookmarkEnd w:id="57"/>
    <w:bookmarkEnd w:id="58"/>
    <w:p w14:paraId="1A41B3B0" w14:textId="77777777" w:rsidR="009D32DA" w:rsidRPr="00711639" w:rsidRDefault="00711639" w:rsidP="00711639">
      <w:pPr>
        <w:pStyle w:val="Heading6"/>
      </w:pPr>
      <w:proofErr w:type="spellStart"/>
      <w:r>
        <w:t>Seroresponse</w:t>
      </w:r>
      <w:proofErr w:type="spellEnd"/>
      <w:r>
        <w:t xml:space="preserve"> rates, </w:t>
      </w:r>
      <w:r w:rsidR="009D32DA" w:rsidRPr="00711639">
        <w:t>subgroup analyses</w:t>
      </w:r>
    </w:p>
    <w:p w14:paraId="65973336" w14:textId="77777777" w:rsidR="009D32DA" w:rsidRPr="00530179" w:rsidRDefault="009D32DA" w:rsidP="009D32DA">
      <w:pPr>
        <w:jc w:val="both"/>
        <w:rPr>
          <w:lang w:eastAsia="ja-JP"/>
        </w:rPr>
      </w:pPr>
      <w:r w:rsidRPr="00530179">
        <w:rPr>
          <w:lang w:eastAsia="ja-JP"/>
        </w:rPr>
        <w:t xml:space="preserve">As discussed above under ‘Difference in </w:t>
      </w:r>
      <w:proofErr w:type="spellStart"/>
      <w:r w:rsidRPr="00530179">
        <w:rPr>
          <w:lang w:eastAsia="ja-JP"/>
        </w:rPr>
        <w:t>seroresponse</w:t>
      </w:r>
      <w:proofErr w:type="spellEnd"/>
      <w:r w:rsidRPr="00530179">
        <w:rPr>
          <w:lang w:eastAsia="ja-JP"/>
        </w:rPr>
        <w:t xml:space="preserve"> rates’, a very high rate was achieved that was t</w:t>
      </w:r>
      <w:r w:rsidR="00711639">
        <w:rPr>
          <w:lang w:eastAsia="ja-JP"/>
        </w:rPr>
        <w:t>he same in both age groups (that is,</w:t>
      </w:r>
      <w:r w:rsidRPr="00530179">
        <w:rPr>
          <w:lang w:eastAsia="ja-JP"/>
        </w:rPr>
        <w:t xml:space="preserve"> 99.2%). Similar rates were seen in the non-primary immunogenicity populations and across subgroups. </w:t>
      </w:r>
    </w:p>
    <w:p w14:paraId="74949B5F" w14:textId="721FFAEB" w:rsidR="009D32DA" w:rsidRPr="00530179" w:rsidRDefault="009D32DA" w:rsidP="00711639">
      <w:pPr>
        <w:pStyle w:val="Heading5"/>
        <w:rPr>
          <w:lang w:eastAsia="ja-JP"/>
        </w:rPr>
      </w:pPr>
      <w:r w:rsidRPr="00530179">
        <w:rPr>
          <w:lang w:eastAsia="ja-JP"/>
        </w:rPr>
        <w:t>Results for suppo</w:t>
      </w:r>
      <w:r w:rsidR="00711639">
        <w:rPr>
          <w:lang w:eastAsia="ja-JP"/>
        </w:rPr>
        <w:t>rtive immunogenicity analysis (</w:t>
      </w:r>
      <w:r w:rsidR="00866CEE">
        <w:rPr>
          <w:lang w:eastAsia="ja-JP"/>
        </w:rPr>
        <w:t>D</w:t>
      </w:r>
      <w:r w:rsidRPr="00530179">
        <w:rPr>
          <w:lang w:eastAsia="ja-JP"/>
        </w:rPr>
        <w:t>elta variant)</w:t>
      </w:r>
    </w:p>
    <w:p w14:paraId="041975EA" w14:textId="4FE9EB14" w:rsidR="009D32DA" w:rsidRPr="00530179" w:rsidRDefault="009D32DA" w:rsidP="00711639">
      <w:pPr>
        <w:rPr>
          <w:lang w:eastAsia="ja-JP"/>
        </w:rPr>
      </w:pPr>
      <w:r w:rsidRPr="00530179">
        <w:rPr>
          <w:lang w:eastAsia="ja-JP"/>
        </w:rPr>
        <w:t xml:space="preserve">A supplemental analysis of neutralising responses </w:t>
      </w:r>
      <w:r w:rsidRPr="00711639">
        <w:t>to</w:t>
      </w:r>
      <w:r w:rsidRPr="00530179">
        <w:rPr>
          <w:lang w:eastAsia="ja-JP"/>
        </w:rPr>
        <w:t xml:space="preserve"> </w:t>
      </w:r>
      <w:r w:rsidR="00711639">
        <w:rPr>
          <w:lang w:eastAsia="ja-JP"/>
        </w:rPr>
        <w:t xml:space="preserve">the SARS-CoV-2 </w:t>
      </w:r>
      <w:r w:rsidR="00866CEE">
        <w:rPr>
          <w:lang w:eastAsia="ja-JP"/>
        </w:rPr>
        <w:t>D</w:t>
      </w:r>
      <w:r w:rsidRPr="00530179">
        <w:rPr>
          <w:lang w:eastAsia="ja-JP"/>
        </w:rPr>
        <w:t>elta</w:t>
      </w:r>
      <w:r w:rsidR="00866CEE">
        <w:rPr>
          <w:lang w:eastAsia="ja-JP"/>
        </w:rPr>
        <w:t xml:space="preserve"> variant</w:t>
      </w:r>
      <w:r w:rsidRPr="00530179">
        <w:rPr>
          <w:lang w:eastAsia="ja-JP"/>
        </w:rPr>
        <w:t xml:space="preserve"> was conducted in </w:t>
      </w:r>
      <w:r w:rsidR="00711639">
        <w:rPr>
          <w:lang w:eastAsia="ja-JP"/>
        </w:rPr>
        <w:t xml:space="preserve">38 randomly selected subjects 5 to </w:t>
      </w:r>
      <w:r w:rsidRPr="00530179">
        <w:rPr>
          <w:lang w:eastAsia="ja-JP"/>
        </w:rPr>
        <w:t>11 years age from the immu</w:t>
      </w:r>
      <w:r w:rsidR="00711639">
        <w:rPr>
          <w:lang w:eastAsia="ja-JP"/>
        </w:rPr>
        <w:t>nogenicity subset of the Phase II/III</w:t>
      </w:r>
      <w:r w:rsidRPr="00530179">
        <w:rPr>
          <w:lang w:eastAsia="ja-JP"/>
        </w:rPr>
        <w:t xml:space="preserve"> study (n = 34 in the </w:t>
      </w:r>
      <w:proofErr w:type="spellStart"/>
      <w:r w:rsidR="00711639">
        <w:rPr>
          <w:lang w:eastAsia="ja-JP"/>
        </w:rPr>
        <w:t>Comirnaty</w:t>
      </w:r>
      <w:proofErr w:type="spellEnd"/>
      <w:r w:rsidR="00711639">
        <w:rPr>
          <w:lang w:eastAsia="ja-JP"/>
        </w:rPr>
        <w:t xml:space="preserve"> vaccine</w:t>
      </w:r>
      <w:r w:rsidRPr="00530179">
        <w:rPr>
          <w:lang w:eastAsia="ja-JP"/>
        </w:rPr>
        <w:t xml:space="preserve"> group</w:t>
      </w:r>
      <w:r w:rsidR="00711639">
        <w:rPr>
          <w:lang w:eastAsia="ja-JP"/>
        </w:rPr>
        <w:t>,</w:t>
      </w:r>
      <w:r w:rsidRPr="00530179">
        <w:rPr>
          <w:lang w:eastAsia="ja-JP"/>
        </w:rPr>
        <w:t xml:space="preserve"> and n = 4 in the placebo group).</w:t>
      </w:r>
    </w:p>
    <w:p w14:paraId="5FCD42C9" w14:textId="77777777" w:rsidR="009D32DA" w:rsidRPr="00530179" w:rsidRDefault="009D32DA" w:rsidP="00711639">
      <w:pPr>
        <w:rPr>
          <w:lang w:eastAsia="ja-JP"/>
        </w:rPr>
      </w:pPr>
      <w:r w:rsidRPr="00530179">
        <w:rPr>
          <w:lang w:eastAsia="ja-JP"/>
        </w:rPr>
        <w:lastRenderedPageBreak/>
        <w:t xml:space="preserve">The assay utilised was a previously reported but </w:t>
      </w:r>
      <w:r w:rsidRPr="00711639">
        <w:rPr>
          <w:lang w:eastAsia="ja-JP"/>
        </w:rPr>
        <w:t>unvalidated</w:t>
      </w:r>
      <w:r w:rsidRPr="00530179">
        <w:rPr>
          <w:lang w:eastAsia="ja-JP"/>
        </w:rPr>
        <w:t xml:space="preserve"> 50% plaque-reduction utilisation test, distinct from the validated SARS-CoV-2 neutralisation assay used to determine titres for </w:t>
      </w:r>
      <w:proofErr w:type="spellStart"/>
      <w:r w:rsidRPr="00530179">
        <w:rPr>
          <w:lang w:eastAsia="ja-JP"/>
        </w:rPr>
        <w:t>immunobridging</w:t>
      </w:r>
      <w:proofErr w:type="spellEnd"/>
      <w:r w:rsidRPr="00530179">
        <w:rPr>
          <w:lang w:eastAsia="ja-JP"/>
        </w:rPr>
        <w:t>. Responses were determined to wi</w:t>
      </w:r>
      <w:r w:rsidR="00711639">
        <w:rPr>
          <w:lang w:eastAsia="ja-JP"/>
        </w:rPr>
        <w:t>ld-type (reference) strain and d</w:t>
      </w:r>
      <w:r w:rsidRPr="00530179">
        <w:rPr>
          <w:lang w:eastAsia="ja-JP"/>
        </w:rPr>
        <w:t>elta variant.</w:t>
      </w:r>
    </w:p>
    <w:p w14:paraId="6087FC5F" w14:textId="77777777" w:rsidR="009D32DA" w:rsidRPr="00530179" w:rsidRDefault="00711639" w:rsidP="00711639">
      <w:pPr>
        <w:pStyle w:val="Heading6"/>
        <w:rPr>
          <w:lang w:eastAsia="ja-JP"/>
        </w:rPr>
      </w:pPr>
      <w:r>
        <w:rPr>
          <w:lang w:eastAsia="ja-JP"/>
        </w:rPr>
        <w:t>Delta neutralisation subset</w:t>
      </w:r>
    </w:p>
    <w:p w14:paraId="5BE9C32B" w14:textId="77777777" w:rsidR="009D32DA" w:rsidRPr="00530179" w:rsidRDefault="009D32DA" w:rsidP="00711639">
      <w:pPr>
        <w:rPr>
          <w:lang w:eastAsia="ja-JP"/>
        </w:rPr>
      </w:pPr>
      <w:r w:rsidRPr="00530179">
        <w:rPr>
          <w:lang w:eastAsia="ja-JP"/>
        </w:rPr>
        <w:t xml:space="preserve">Delta neutralisation subset of 38 subjects, were randomly selected from the evaluable immunogenicity </w:t>
      </w:r>
      <w:r w:rsidRPr="00711639">
        <w:t>population</w:t>
      </w:r>
      <w:r w:rsidRPr="00530179">
        <w:rPr>
          <w:lang w:eastAsia="ja-JP"/>
        </w:rPr>
        <w:t xml:space="preserve"> who had no evidence of infection up to </w:t>
      </w:r>
      <w:proofErr w:type="gramStart"/>
      <w:r w:rsidRPr="00530179">
        <w:rPr>
          <w:lang w:eastAsia="ja-JP"/>
        </w:rPr>
        <w:t>1 month</w:t>
      </w:r>
      <w:proofErr w:type="gramEnd"/>
      <w:r w:rsidRPr="00530179">
        <w:rPr>
          <w:lang w:eastAsia="ja-JP"/>
        </w:rPr>
        <w:t xml:space="preserve"> post-Dose 2. They had received Doses 1 and 2 as initially randomised, had at least 1 valid and determinate </w:t>
      </w:r>
      <w:r w:rsidR="00711639">
        <w:rPr>
          <w:lang w:eastAsia="ja-JP"/>
        </w:rPr>
        <w:t xml:space="preserve">immunogenicity result within 28 to </w:t>
      </w:r>
      <w:r w:rsidRPr="00530179">
        <w:rPr>
          <w:lang w:eastAsia="ja-JP"/>
        </w:rPr>
        <w:t>42 days after Dose 2, and did not have any important protocol deviations impacting evaluability.</w:t>
      </w:r>
    </w:p>
    <w:p w14:paraId="31F12FB9" w14:textId="77777777" w:rsidR="009D32DA" w:rsidRPr="00711639" w:rsidRDefault="009D32DA" w:rsidP="00711639">
      <w:pPr>
        <w:pStyle w:val="Heading6"/>
      </w:pPr>
      <w:r w:rsidRPr="00530179">
        <w:rPr>
          <w:lang w:eastAsia="ja-JP"/>
        </w:rPr>
        <w:t>Geometric mean titres</w:t>
      </w:r>
    </w:p>
    <w:p w14:paraId="0CC0A3A7" w14:textId="77777777" w:rsidR="009D32DA" w:rsidRPr="00530179" w:rsidRDefault="009D32DA" w:rsidP="00711639">
      <w:pPr>
        <w:rPr>
          <w:lang w:eastAsia="ja-JP"/>
        </w:rPr>
      </w:pPr>
      <w:r w:rsidRPr="00530179">
        <w:rPr>
          <w:lang w:eastAsia="ja-JP"/>
        </w:rPr>
        <w:t xml:space="preserve">SARS-CoV-2 </w:t>
      </w:r>
      <w:r w:rsidR="00711639">
        <w:rPr>
          <w:lang w:eastAsia="ja-JP"/>
        </w:rPr>
        <w:t>plaque reduction neutralis</w:t>
      </w:r>
      <w:r w:rsidR="00711639" w:rsidRPr="00711639">
        <w:rPr>
          <w:lang w:eastAsia="ja-JP"/>
        </w:rPr>
        <w:t xml:space="preserve">ation test </w:t>
      </w:r>
      <w:r w:rsidRPr="00530179">
        <w:rPr>
          <w:lang w:eastAsia="ja-JP"/>
        </w:rPr>
        <w:t xml:space="preserve">GMTs substantially increased for both the reference and Delta strains after two doses of 10 </w:t>
      </w:r>
      <w:proofErr w:type="spellStart"/>
      <w:r w:rsidRPr="00530179">
        <w:rPr>
          <w:lang w:eastAsia="ja-JP"/>
        </w:rPr>
        <w:t>μg</w:t>
      </w:r>
      <w:proofErr w:type="spellEnd"/>
      <w:r w:rsidRPr="00530179">
        <w:rPr>
          <w:lang w:eastAsia="ja-JP"/>
        </w:rPr>
        <w:t xml:space="preserve"> </w:t>
      </w:r>
      <w:r w:rsidR="00711639">
        <w:rPr>
          <w:lang w:eastAsia="ja-JP"/>
        </w:rPr>
        <w:t>vaccine</w:t>
      </w:r>
      <w:r w:rsidRPr="00530179">
        <w:rPr>
          <w:lang w:eastAsia="ja-JP"/>
        </w:rPr>
        <w:t xml:space="preserve">. The GMT at 1 month after Dose 2 against the </w:t>
      </w:r>
      <w:r w:rsidRPr="00711639">
        <w:t>reference</w:t>
      </w:r>
      <w:r w:rsidRPr="00530179">
        <w:rPr>
          <w:lang w:eastAsia="ja-JP"/>
        </w:rPr>
        <w:t xml:space="preserve"> strain was 365.3 (95% CI: 279.0, 478.4), which was approximately 36.5-times the GMT pre-vaccination.</w:t>
      </w:r>
    </w:p>
    <w:p w14:paraId="5552F02B" w14:textId="77777777" w:rsidR="009D32DA" w:rsidRPr="00530179" w:rsidRDefault="009D32DA" w:rsidP="009D32DA">
      <w:pPr>
        <w:rPr>
          <w:lang w:eastAsia="ja-JP"/>
        </w:rPr>
      </w:pPr>
      <w:r w:rsidRPr="00530179">
        <w:rPr>
          <w:lang w:eastAsia="ja-JP"/>
        </w:rPr>
        <w:t>The GMT at 1 month after Dose 2 against the Delt</w:t>
      </w:r>
      <w:r w:rsidR="00711639">
        <w:rPr>
          <w:lang w:eastAsia="ja-JP"/>
        </w:rPr>
        <w:t>a variant strain was 294.9 (95% CI: </w:t>
      </w:r>
      <w:r w:rsidRPr="00530179">
        <w:rPr>
          <w:lang w:eastAsia="ja-JP"/>
        </w:rPr>
        <w:t>214.6, 405.3), which was approximately 29.5-times the GMT pre-vaccination.</w:t>
      </w:r>
    </w:p>
    <w:p w14:paraId="69D48BCB" w14:textId="77777777" w:rsidR="009D32DA" w:rsidRPr="00530179" w:rsidRDefault="009D32DA" w:rsidP="009D32DA">
      <w:pPr>
        <w:rPr>
          <w:lang w:eastAsia="ja-JP"/>
        </w:rPr>
      </w:pPr>
      <w:r w:rsidRPr="00530179">
        <w:rPr>
          <w:lang w:eastAsia="ja-JP"/>
        </w:rPr>
        <w:t xml:space="preserve">The pre-Dose 1 GMT in both the </w:t>
      </w:r>
      <w:proofErr w:type="spellStart"/>
      <w:r w:rsidR="00711639">
        <w:rPr>
          <w:lang w:eastAsia="ja-JP"/>
        </w:rPr>
        <w:t>Comirnaty</w:t>
      </w:r>
      <w:proofErr w:type="spellEnd"/>
      <w:r w:rsidR="00711639">
        <w:rPr>
          <w:lang w:eastAsia="ja-JP"/>
        </w:rPr>
        <w:t>-vaccinated</w:t>
      </w:r>
      <w:r w:rsidRPr="00530179">
        <w:rPr>
          <w:lang w:eastAsia="ja-JP"/>
        </w:rPr>
        <w:t xml:space="preserve"> and placebo-vaccinated groups was 10.0 (95% CI: 10.0</w:t>
      </w:r>
      <w:r w:rsidR="00711639">
        <w:rPr>
          <w:lang w:eastAsia="ja-JP"/>
        </w:rPr>
        <w:t>, 10.0).</w:t>
      </w:r>
    </w:p>
    <w:p w14:paraId="1A03D359" w14:textId="77777777" w:rsidR="009D32DA" w:rsidRPr="00530179" w:rsidRDefault="00711639" w:rsidP="009D32DA">
      <w:pPr>
        <w:jc w:val="both"/>
        <w:rPr>
          <w:lang w:eastAsia="ja-JP"/>
        </w:rPr>
      </w:pPr>
      <w:r>
        <w:rPr>
          <w:lang w:eastAsia="ja-JP"/>
        </w:rPr>
        <w:t xml:space="preserve">The </w:t>
      </w:r>
      <w:r>
        <w:t>GMFR</w:t>
      </w:r>
      <w:r w:rsidR="009D32DA" w:rsidRPr="00711639">
        <w:t xml:space="preserve"> against</w:t>
      </w:r>
      <w:r w:rsidR="009D32DA" w:rsidRPr="00530179">
        <w:rPr>
          <w:lang w:eastAsia="ja-JP"/>
        </w:rPr>
        <w:t xml:space="preserve"> reference strain was 36.5 (95% CI: 27.9, 47.8) and against Delta variant strain</w:t>
      </w:r>
      <w:r w:rsidR="00B83631">
        <w:rPr>
          <w:lang w:eastAsia="ja-JP"/>
        </w:rPr>
        <w:t xml:space="preserve"> was 29.5 (95% CI: 21.5, 40.5).</w:t>
      </w:r>
    </w:p>
    <w:p w14:paraId="1FCFC6B0" w14:textId="5BEC32B5" w:rsidR="009D32DA" w:rsidRPr="00B83631" w:rsidRDefault="009D32DA" w:rsidP="009D32DA">
      <w:pPr>
        <w:rPr>
          <w:lang w:eastAsia="ja-JP"/>
        </w:rPr>
      </w:pPr>
      <w:r w:rsidRPr="00530179">
        <w:rPr>
          <w:lang w:eastAsia="ja-JP"/>
        </w:rPr>
        <w:t xml:space="preserve">The </w:t>
      </w:r>
      <w:r w:rsidRPr="00B83631">
        <w:t xml:space="preserve">GMR of responses against </w:t>
      </w:r>
      <w:r w:rsidR="00B83631">
        <w:t xml:space="preserve">the </w:t>
      </w:r>
      <w:r w:rsidRPr="00B83631">
        <w:t>Delta variant v</w:t>
      </w:r>
      <w:r w:rsidR="00B83631">
        <w:t>ersu</w:t>
      </w:r>
      <w:r w:rsidRPr="00B83631">
        <w:t xml:space="preserve">s </w:t>
      </w:r>
      <w:r w:rsidR="00B83631">
        <w:t xml:space="preserve">the </w:t>
      </w:r>
      <w:r w:rsidRPr="00B83631">
        <w:t>reference strain</w:t>
      </w:r>
      <w:r w:rsidRPr="00530179">
        <w:rPr>
          <w:lang w:eastAsia="ja-JP"/>
        </w:rPr>
        <w:t xml:space="preserve"> </w:t>
      </w:r>
      <w:r w:rsidR="00B83631">
        <w:rPr>
          <w:lang w:eastAsia="ja-JP"/>
        </w:rPr>
        <w:t>was 0.81 (95%</w:t>
      </w:r>
      <w:r w:rsidR="00866CEE">
        <w:rPr>
          <w:lang w:eastAsia="ja-JP"/>
        </w:rPr>
        <w:t> </w:t>
      </w:r>
      <w:r w:rsidR="00B83631">
        <w:rPr>
          <w:lang w:eastAsia="ja-JP"/>
        </w:rPr>
        <w:t>CI: 0.65, 1.00).</w:t>
      </w:r>
    </w:p>
    <w:p w14:paraId="0106211D" w14:textId="77777777" w:rsidR="00B83631" w:rsidRDefault="00B83631" w:rsidP="00B83631">
      <w:pPr>
        <w:pStyle w:val="FigureTitle"/>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8</w:t>
      </w:r>
      <w:r>
        <w:rPr>
          <w:color w:val="2B579A"/>
          <w:shd w:val="clear" w:color="auto" w:fill="E6E6E6"/>
        </w:rPr>
        <w:fldChar w:fldCharType="end"/>
      </w:r>
      <w:r>
        <w:t>: Neutralisation of both reference strain and Delta variant of concern are comparable (randomly selected subset)</w:t>
      </w:r>
    </w:p>
    <w:p w14:paraId="6330FA79" w14:textId="77777777" w:rsidR="009D32DA" w:rsidRPr="00530179" w:rsidRDefault="009D32DA" w:rsidP="009D32DA">
      <w:pPr>
        <w:rPr>
          <w:lang w:eastAsia="ja-JP"/>
        </w:rPr>
      </w:pPr>
      <w:r w:rsidRPr="00530179">
        <w:rPr>
          <w:noProof/>
          <w:color w:val="2B579A"/>
          <w:highlight w:val="yellow"/>
          <w:shd w:val="clear" w:color="auto" w:fill="E6E6E6"/>
          <w:lang w:val="en-GB" w:eastAsia="en-GB"/>
        </w:rPr>
        <w:drawing>
          <wp:inline distT="0" distB="0" distL="0" distR="0" wp14:anchorId="6604FC2B" wp14:editId="3E7F5C47">
            <wp:extent cx="5336275" cy="2524732"/>
            <wp:effectExtent l="0" t="0" r="0" b="9525"/>
            <wp:docPr id="26" name="Picture 26" descr="Neutralisation of both reference strain and Delta variant of concern are comparable (randomly selected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t="16959" r="4829" b="6504"/>
                    <a:stretch/>
                  </pic:blipFill>
                  <pic:spPr bwMode="auto">
                    <a:xfrm>
                      <a:off x="0" y="0"/>
                      <a:ext cx="5376166" cy="2543605"/>
                    </a:xfrm>
                    <a:prstGeom prst="rect">
                      <a:avLst/>
                    </a:prstGeom>
                    <a:noFill/>
                    <a:ln>
                      <a:noFill/>
                    </a:ln>
                    <a:extLst>
                      <a:ext uri="{53640926-AAD7-44D8-BBD7-CCE9431645EC}">
                        <a14:shadowObscured xmlns:a14="http://schemas.microsoft.com/office/drawing/2010/main"/>
                      </a:ext>
                    </a:extLst>
                  </pic:spPr>
                </pic:pic>
              </a:graphicData>
            </a:graphic>
          </wp:inline>
        </w:drawing>
      </w:r>
    </w:p>
    <w:p w14:paraId="6905E2DA" w14:textId="77777777" w:rsidR="00B83631" w:rsidRDefault="00B83631" w:rsidP="00B83631">
      <w:pPr>
        <w:pStyle w:val="TableDescription"/>
        <w:rPr>
          <w:lang w:eastAsia="ja-JP"/>
        </w:rPr>
      </w:pPr>
      <w:r>
        <w:rPr>
          <w:lang w:eastAsia="ja-JP"/>
        </w:rPr>
        <w:t>Subjects aged 5 to &lt; 12 years of age from Phase II/III Study C4591007</w:t>
      </w:r>
    </w:p>
    <w:p w14:paraId="21DCA3E8" w14:textId="77777777" w:rsidR="009D32DA" w:rsidRPr="00530179" w:rsidRDefault="009D32DA" w:rsidP="00B83631">
      <w:pPr>
        <w:pStyle w:val="FigureDescription"/>
        <w:rPr>
          <w:lang w:eastAsia="ja-JP"/>
        </w:rPr>
      </w:pPr>
      <w:r w:rsidRPr="00530179">
        <w:rPr>
          <w:lang w:eastAsia="ja-JP"/>
        </w:rPr>
        <w:t xml:space="preserve">Source: Pfizer’s </w:t>
      </w:r>
      <w:r w:rsidR="00B83631">
        <w:rPr>
          <w:lang w:eastAsia="ja-JP"/>
        </w:rPr>
        <w:t xml:space="preserve">US </w:t>
      </w:r>
      <w:r w:rsidRPr="00530179">
        <w:rPr>
          <w:lang w:eastAsia="ja-JP"/>
        </w:rPr>
        <w:t>FDA presentation</w:t>
      </w:r>
    </w:p>
    <w:p w14:paraId="2888C589" w14:textId="77777777" w:rsidR="001513E5" w:rsidRPr="001513E5" w:rsidRDefault="001513E5" w:rsidP="005476D2">
      <w:pPr>
        <w:pStyle w:val="Heading5"/>
      </w:pPr>
      <w:r>
        <w:t>Study C4591007, Phase II/III (</w:t>
      </w:r>
      <w:r w:rsidR="005476D2">
        <w:t xml:space="preserve">clinical </w:t>
      </w:r>
      <w:r>
        <w:t>efficacy</w:t>
      </w:r>
      <w:r w:rsidR="005476D2">
        <w:t xml:space="preserve"> outcomes</w:t>
      </w:r>
      <w:r>
        <w:t>)</w:t>
      </w:r>
    </w:p>
    <w:p w14:paraId="220EF2D6" w14:textId="77777777" w:rsidR="001513E5" w:rsidRDefault="001513E5" w:rsidP="001513E5">
      <w:r>
        <w:t>Clinical efficacy outcomes are considered among the secondary objectives (calculation of vaccine efficacy) and exploratory objectives (description of cases).</w:t>
      </w:r>
    </w:p>
    <w:p w14:paraId="3286BBF5" w14:textId="77777777" w:rsidR="001513E5" w:rsidRDefault="001513E5" w:rsidP="001513E5">
      <w:r>
        <w:t xml:space="preserve">Efficacy analyses for the 5 to &lt; 12 years age group were pre-specified to be conducted when at least 22 confirmed COVID-19 cases had accrued in subjects without serological or </w:t>
      </w:r>
      <w:r>
        <w:lastRenderedPageBreak/>
        <w:t xml:space="preserve">virological evidence of past SARS-CoV-2 infection prior to 7 days post-Dose 2, and only if </w:t>
      </w:r>
      <w:proofErr w:type="spellStart"/>
      <w:r>
        <w:t>immunobridging</w:t>
      </w:r>
      <w:proofErr w:type="spellEnd"/>
      <w:r>
        <w:t xml:space="preserve"> success criteria had first been met.</w:t>
      </w:r>
    </w:p>
    <w:p w14:paraId="75E57307" w14:textId="144C5CBC" w:rsidR="001513E5" w:rsidRDefault="001513E5" w:rsidP="001513E5">
      <w:r>
        <w:t xml:space="preserve">A preliminary report of efficacy data was presented through a data </w:t>
      </w:r>
      <w:proofErr w:type="spellStart"/>
      <w:r w:rsidR="005D1794">
        <w:t>cut off</w:t>
      </w:r>
      <w:proofErr w:type="spellEnd"/>
      <w:r>
        <w:t xml:space="preserve"> date of 8 October 2021 after 19 confirmed cases of COVID-19 had accrued. This was based on the prespecified secondary efficacy objectives and endpoints, as shown in </w:t>
      </w:r>
      <w:r w:rsidR="00E4719A">
        <w:t>Table 16.</w:t>
      </w:r>
    </w:p>
    <w:p w14:paraId="7E7AC940" w14:textId="77777777" w:rsidR="001513E5" w:rsidRDefault="001513E5" w:rsidP="001513E5">
      <w:r>
        <w:t>Case definitions; the first or ‘per-protocol’ case definition was of a symptomatic illness triggering an illness visit (at least one of the following symptoms) plus a positive SARS</w:t>
      </w:r>
      <w:r>
        <w:noBreakHyphen/>
        <w:t>CoV-2 NAAT (nucleic acid amplification t</w:t>
      </w:r>
      <w:r w:rsidRPr="001513E5">
        <w:t>est)</w:t>
      </w:r>
      <w:r>
        <w:rPr>
          <w:rFonts w:ascii="ArialMT" w:eastAsia="MS Mincho" w:hAnsi="ArialMT" w:cs="ArialMT"/>
          <w:color w:val="3C4044"/>
          <w:sz w:val="28"/>
          <w:szCs w:val="28"/>
          <w:lang w:val="en-GB"/>
        </w:rPr>
        <w:t xml:space="preserve"> </w:t>
      </w:r>
      <w:r>
        <w:t>either during, or within 4 days before or after the symptomatic period:</w:t>
      </w:r>
    </w:p>
    <w:p w14:paraId="4787AA3D" w14:textId="04F3310E" w:rsidR="001513E5" w:rsidRDefault="001513E5" w:rsidP="001513E5">
      <w:pPr>
        <w:pStyle w:val="ListBullet"/>
      </w:pPr>
      <w:r>
        <w:t xml:space="preserve">Fever, new or increased cough, new or increased shortness of breath, chills, new or increased muscle pain new loss of taste or smell, sore </w:t>
      </w:r>
      <w:r w:rsidR="005D1794">
        <w:t>throat,</w:t>
      </w:r>
      <w:r>
        <w:t xml:space="preserve"> diarrhoea</w:t>
      </w:r>
      <w:r w:rsidR="005D1794">
        <w:t xml:space="preserve"> </w:t>
      </w:r>
      <w:r>
        <w:t>(as defined by ≥ 3 loose stools/day) and vomiting</w:t>
      </w:r>
    </w:p>
    <w:p w14:paraId="3A9AC818" w14:textId="77777777" w:rsidR="001513E5" w:rsidRDefault="001513E5" w:rsidP="001513E5">
      <w:r>
        <w:t>A second more inclusive (that is, potentially more sensitive, but less specific) definition was applied according to CDC criteria and could include one or more of the following additional symptoms:</w:t>
      </w:r>
    </w:p>
    <w:p w14:paraId="5EFB03B4" w14:textId="77777777" w:rsidR="009D32DA" w:rsidRPr="001513E5" w:rsidRDefault="001513E5" w:rsidP="001513E5">
      <w:pPr>
        <w:pStyle w:val="ListBullet"/>
      </w:pPr>
      <w:r>
        <w:t>Fatigue, headache, nasal congestion or runny nose, nausea or abdominal pain or lethargy.</w:t>
      </w:r>
    </w:p>
    <w:p w14:paraId="5EC9F910" w14:textId="1818DB74" w:rsidR="001513E5" w:rsidRDefault="001513E5" w:rsidP="001513E5">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16</w:t>
      </w:r>
      <w:r>
        <w:rPr>
          <w:color w:val="2B579A"/>
          <w:shd w:val="clear" w:color="auto" w:fill="E6E6E6"/>
        </w:rPr>
        <w:fldChar w:fldCharType="end"/>
      </w:r>
      <w:r>
        <w:t xml:space="preserve">: Study C459007 Phase II/III Objectives, </w:t>
      </w:r>
      <w:proofErr w:type="spellStart"/>
      <w:r>
        <w:t>estimands</w:t>
      </w:r>
      <w:proofErr w:type="spellEnd"/>
      <w:r>
        <w:t xml:space="preserve"> and endpoints (clinical e</w:t>
      </w:r>
      <w:r w:rsidRPr="0056547F">
        <w:t>fficacy</w:t>
      </w:r>
      <w:r>
        <w:rPr>
          <w:noProof/>
        </w:rPr>
        <w:t>)</w:t>
      </w:r>
    </w:p>
    <w:p w14:paraId="0564D181" w14:textId="77777777" w:rsidR="009D32DA" w:rsidRDefault="001513E5" w:rsidP="00D0132E">
      <w:r w:rsidRPr="00530179">
        <w:rPr>
          <w:b/>
          <w:noProof/>
          <w:color w:val="2B579A"/>
          <w:szCs w:val="18"/>
          <w:shd w:val="clear" w:color="auto" w:fill="E6E6E6"/>
          <w:lang w:val="en-GB" w:eastAsia="en-GB"/>
        </w:rPr>
        <w:drawing>
          <wp:inline distT="0" distB="0" distL="0" distR="0" wp14:anchorId="1F20C307" wp14:editId="2EA0FFF8">
            <wp:extent cx="5400040" cy="4250624"/>
            <wp:effectExtent l="0" t="0" r="0" b="0"/>
            <wp:docPr id="101" name="Picture 101" descr="Study C459007 Phase II/III Objectives, estimands and endpoints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250624"/>
                    </a:xfrm>
                    <a:prstGeom prst="rect">
                      <a:avLst/>
                    </a:prstGeom>
                    <a:noFill/>
                  </pic:spPr>
                </pic:pic>
              </a:graphicData>
            </a:graphic>
          </wp:inline>
        </w:drawing>
      </w:r>
    </w:p>
    <w:p w14:paraId="07C5EA8E" w14:textId="77777777" w:rsidR="005476D2" w:rsidRPr="005476D2" w:rsidDel="0081373E" w:rsidRDefault="005476D2" w:rsidP="005476D2">
      <w:pPr>
        <w:pStyle w:val="Heading6"/>
        <w:rPr>
          <w:lang w:eastAsia="ja-JP"/>
        </w:rPr>
      </w:pPr>
      <w:r w:rsidRPr="005476D2">
        <w:rPr>
          <w:lang w:eastAsia="ja-JP"/>
        </w:rPr>
        <w:t>Analysis populations</w:t>
      </w:r>
    </w:p>
    <w:p w14:paraId="4EC3EEE6" w14:textId="342F6751" w:rsidR="005476D2" w:rsidRPr="00530179" w:rsidRDefault="005476D2" w:rsidP="005476D2">
      <w:pPr>
        <w:rPr>
          <w:lang w:eastAsia="ja-JP"/>
        </w:rPr>
      </w:pPr>
      <w:r w:rsidRPr="00530179">
        <w:rPr>
          <w:lang w:eastAsia="ja-JP"/>
        </w:rPr>
        <w:t xml:space="preserve">The data are analysed in ‘evaluable efficacy populations’ and ‘all-available </w:t>
      </w:r>
      <w:proofErr w:type="spellStart"/>
      <w:r w:rsidRPr="00530179">
        <w:rPr>
          <w:lang w:eastAsia="ja-JP"/>
        </w:rPr>
        <w:t>mITT</w:t>
      </w:r>
      <w:proofErr w:type="spellEnd"/>
      <w:r w:rsidR="00E4719A">
        <w:rPr>
          <w:lang w:eastAsia="ja-JP"/>
        </w:rPr>
        <w:t xml:space="preserve"> (modified intention to treat)</w:t>
      </w:r>
      <w:r w:rsidRPr="00530179">
        <w:rPr>
          <w:lang w:eastAsia="ja-JP"/>
        </w:rPr>
        <w:t xml:space="preserve"> efficacy </w:t>
      </w:r>
      <w:proofErr w:type="gramStart"/>
      <w:r w:rsidRPr="00530179">
        <w:rPr>
          <w:lang w:eastAsia="ja-JP"/>
        </w:rPr>
        <w:t>populations’</w:t>
      </w:r>
      <w:proofErr w:type="gramEnd"/>
      <w:r w:rsidRPr="00530179">
        <w:rPr>
          <w:lang w:eastAsia="ja-JP"/>
        </w:rPr>
        <w:t>. Cases are inclusive of any symptomatic confirmed COVID-19, hospitalised COVID-19, severe COVID-</w:t>
      </w:r>
      <w:proofErr w:type="gramStart"/>
      <w:r w:rsidRPr="00530179">
        <w:rPr>
          <w:lang w:eastAsia="ja-JP"/>
        </w:rPr>
        <w:t>19</w:t>
      </w:r>
      <w:proofErr w:type="gramEnd"/>
      <w:r w:rsidRPr="00530179">
        <w:rPr>
          <w:lang w:eastAsia="ja-JP"/>
        </w:rPr>
        <w:t xml:space="preserve"> and MI</w:t>
      </w:r>
      <w:r>
        <w:rPr>
          <w:lang w:eastAsia="ja-JP"/>
        </w:rPr>
        <w:t>S-C (using the CDC definition).</w:t>
      </w:r>
    </w:p>
    <w:p w14:paraId="4DB0D8ED" w14:textId="5A80D11E" w:rsidR="005476D2" w:rsidRPr="00530179" w:rsidRDefault="005476D2" w:rsidP="005476D2">
      <w:pPr>
        <w:rPr>
          <w:lang w:eastAsia="ja-JP"/>
        </w:rPr>
      </w:pPr>
      <w:proofErr w:type="gramStart"/>
      <w:r w:rsidRPr="00530179">
        <w:rPr>
          <w:lang w:eastAsia="ja-JP"/>
        </w:rPr>
        <w:lastRenderedPageBreak/>
        <w:t>At a later date</w:t>
      </w:r>
      <w:proofErr w:type="gramEnd"/>
      <w:r w:rsidRPr="00530179">
        <w:rPr>
          <w:lang w:eastAsia="ja-JP"/>
        </w:rPr>
        <w:t xml:space="preserve">, it is planned to capture cases of confirmed seroconversion or </w:t>
      </w:r>
      <w:r w:rsidR="00E4719A">
        <w:rPr>
          <w:lang w:eastAsia="ja-JP"/>
        </w:rPr>
        <w:t>polymerase chain reaction</w:t>
      </w:r>
      <w:r w:rsidRPr="00530179">
        <w:rPr>
          <w:lang w:eastAsia="ja-JP"/>
        </w:rPr>
        <w:t xml:space="preserve"> positivity to SARS-CoV-2 in the absence of diagnosed COVID-19.</w:t>
      </w:r>
    </w:p>
    <w:p w14:paraId="147EE11B" w14:textId="70263E75" w:rsidR="005476D2" w:rsidRDefault="005476D2" w:rsidP="005476D2">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17</w:t>
      </w:r>
      <w:r>
        <w:rPr>
          <w:color w:val="2B579A"/>
          <w:shd w:val="clear" w:color="auto" w:fill="E6E6E6"/>
        </w:rPr>
        <w:fldChar w:fldCharType="end"/>
      </w:r>
      <w:r>
        <w:t>: Study 4591007 Definitions of analysis populations</w:t>
      </w:r>
    </w:p>
    <w:p w14:paraId="628E7697" w14:textId="77777777" w:rsidR="005476D2" w:rsidRDefault="005476D2" w:rsidP="00D0132E">
      <w:r w:rsidRPr="00530179">
        <w:rPr>
          <w:b/>
          <w:noProof/>
          <w:color w:val="2B579A"/>
          <w:szCs w:val="18"/>
          <w:shd w:val="clear" w:color="auto" w:fill="E6E6E6"/>
          <w:lang w:val="en-GB" w:eastAsia="en-GB"/>
        </w:rPr>
        <w:drawing>
          <wp:inline distT="0" distB="0" distL="0" distR="0" wp14:anchorId="177E8984" wp14:editId="54CFFDA0">
            <wp:extent cx="4901565" cy="3009900"/>
            <wp:effectExtent l="0" t="0" r="0" b="0"/>
            <wp:docPr id="1" name="Picture 1" descr="Study 4591007 Definitions of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1565" cy="3009900"/>
                    </a:xfrm>
                    <a:prstGeom prst="rect">
                      <a:avLst/>
                    </a:prstGeom>
                    <a:noFill/>
                  </pic:spPr>
                </pic:pic>
              </a:graphicData>
            </a:graphic>
          </wp:inline>
        </w:drawing>
      </w:r>
    </w:p>
    <w:p w14:paraId="0E685806" w14:textId="77777777" w:rsidR="005476D2" w:rsidRPr="00530179" w:rsidRDefault="005476D2" w:rsidP="005476D2">
      <w:pPr>
        <w:pStyle w:val="Heading6"/>
      </w:pPr>
      <w:r w:rsidRPr="00530179" w:rsidDel="0081373E">
        <w:t>S</w:t>
      </w:r>
      <w:r w:rsidRPr="00530179">
        <w:t>ample size</w:t>
      </w:r>
    </w:p>
    <w:p w14:paraId="54059780" w14:textId="77777777" w:rsidR="005476D2" w:rsidRPr="00530179" w:rsidRDefault="005476D2" w:rsidP="005476D2">
      <w:pPr>
        <w:rPr>
          <w:lang w:eastAsia="ja-JP"/>
        </w:rPr>
      </w:pPr>
      <w:r>
        <w:rPr>
          <w:lang w:eastAsia="ja-JP"/>
        </w:rPr>
        <w:t>For vaccine efficacy</w:t>
      </w:r>
      <w:r w:rsidRPr="00530179">
        <w:rPr>
          <w:lang w:eastAsia="ja-JP"/>
        </w:rPr>
        <w:t>, the sample size estimation was based on the</w:t>
      </w:r>
      <w:r>
        <w:rPr>
          <w:lang w:eastAsia="ja-JP"/>
        </w:rPr>
        <w:t xml:space="preserve"> whole study population of around</w:t>
      </w:r>
      <w:r w:rsidRPr="00530179">
        <w:rPr>
          <w:lang w:eastAsia="ja-JP"/>
        </w:rPr>
        <w:t xml:space="preserve"> 4500 subjects 6 months to 11 years of age, randomised 2:1 </w:t>
      </w:r>
      <w:r>
        <w:rPr>
          <w:lang w:eastAsia="ja-JP"/>
        </w:rPr>
        <w:t>to receive vaccine (</w:t>
      </w:r>
      <w:proofErr w:type="spellStart"/>
      <w:r>
        <w:rPr>
          <w:lang w:eastAsia="ja-JP"/>
        </w:rPr>
        <w:t>Comirnaty</w:t>
      </w:r>
      <w:proofErr w:type="spellEnd"/>
      <w:r>
        <w:rPr>
          <w:lang w:eastAsia="ja-JP"/>
        </w:rPr>
        <w:t>) or</w:t>
      </w:r>
      <w:r w:rsidRPr="00530179">
        <w:rPr>
          <w:lang w:eastAsia="ja-JP"/>
        </w:rPr>
        <w:t xml:space="preserve"> placebo, assuming 25% being non-evaluable and a 1.3% annual attack rate. Across that whole population, it was estimated that</w:t>
      </w:r>
      <w:r>
        <w:rPr>
          <w:lang w:eastAsia="ja-JP"/>
        </w:rPr>
        <w:t xml:space="preserve"> 22 cases would accrue within 6 </w:t>
      </w:r>
      <w:r w:rsidRPr="00530179">
        <w:rPr>
          <w:lang w:eastAsia="ja-JP"/>
        </w:rPr>
        <w:t xml:space="preserve">months post-vaccination and that this would provide 70% power to determine </w:t>
      </w:r>
      <w:r>
        <w:rPr>
          <w:lang w:eastAsia="ja-JP"/>
        </w:rPr>
        <w:t>vaccine efficacy</w:t>
      </w:r>
      <w:r w:rsidRPr="00530179">
        <w:rPr>
          <w:lang w:eastAsia="ja-JP"/>
        </w:rPr>
        <w:t xml:space="preserve"> success (defined as the lower bound of the 95% CI for </w:t>
      </w:r>
      <w:r>
        <w:rPr>
          <w:lang w:eastAsia="ja-JP"/>
        </w:rPr>
        <w:t>vaccine efficacy</w:t>
      </w:r>
      <w:r w:rsidRPr="00530179">
        <w:rPr>
          <w:lang w:eastAsia="ja-JP"/>
        </w:rPr>
        <w:t xml:space="preserve"> &gt; 20%), assuming a case split of 8 </w:t>
      </w:r>
      <w:proofErr w:type="spellStart"/>
      <w:r>
        <w:rPr>
          <w:lang w:eastAsia="ja-JP"/>
        </w:rPr>
        <w:t>Comirnaty</w:t>
      </w:r>
      <w:proofErr w:type="spellEnd"/>
      <w:r w:rsidRPr="00530179">
        <w:rPr>
          <w:lang w:eastAsia="ja-JP"/>
        </w:rPr>
        <w:t xml:space="preserve"> </w:t>
      </w:r>
      <w:r>
        <w:rPr>
          <w:lang w:eastAsia="ja-JP"/>
        </w:rPr>
        <w:t xml:space="preserve">(vaccine) </w:t>
      </w:r>
      <w:r w:rsidRPr="00530179">
        <w:rPr>
          <w:lang w:eastAsia="ja-JP"/>
        </w:rPr>
        <w:t>and 14 placebo</w:t>
      </w:r>
      <w:r>
        <w:rPr>
          <w:lang w:eastAsia="ja-JP"/>
        </w:rPr>
        <w:t xml:space="preserve"> cases</w:t>
      </w:r>
      <w:r w:rsidRPr="00530179">
        <w:rPr>
          <w:lang w:eastAsia="ja-JP"/>
        </w:rPr>
        <w:t>.</w:t>
      </w:r>
    </w:p>
    <w:p w14:paraId="7591E19D" w14:textId="77777777" w:rsidR="005476D2" w:rsidRPr="00530179" w:rsidRDefault="005476D2" w:rsidP="005476D2">
      <w:pPr>
        <w:pStyle w:val="Heading6"/>
      </w:pPr>
      <w:r w:rsidRPr="00530179">
        <w:t>Statistical methods</w:t>
      </w:r>
    </w:p>
    <w:p w14:paraId="78893540" w14:textId="77777777" w:rsidR="005476D2" w:rsidRPr="007F1892" w:rsidRDefault="007F1892" w:rsidP="007F1892">
      <w:r>
        <w:t>Vaccine efficacy</w:t>
      </w:r>
      <w:r w:rsidR="005476D2" w:rsidRPr="007F1892">
        <w:t xml:space="preserve"> is to be estimated by 100 x (1 – IRR) where IRR is the</w:t>
      </w:r>
      <w:r>
        <w:t xml:space="preserve"> incidence rate ratio, the</w:t>
      </w:r>
      <w:r w:rsidR="005476D2" w:rsidRPr="007F1892">
        <w:t xml:space="preserve"> calculated ratio of confirmed COVID-19 per 1000 person-years of follow-up in the </w:t>
      </w:r>
      <w:proofErr w:type="spellStart"/>
      <w:r>
        <w:t>Comirnaty</w:t>
      </w:r>
      <w:proofErr w:type="spellEnd"/>
      <w:r>
        <w:t xml:space="preserve"> vaccine</w:t>
      </w:r>
      <w:r w:rsidR="005476D2" w:rsidRPr="007F1892">
        <w:t xml:space="preserve"> group to the corresponding rate in the placebo group at the specified time point (</w:t>
      </w:r>
      <w:r>
        <w:t>that is,</w:t>
      </w:r>
      <w:r w:rsidR="005476D2" w:rsidRPr="007F1892">
        <w:t xml:space="preserve"> for the main analysis, from at least 7 days post-Dose 2). The </w:t>
      </w:r>
      <w:r>
        <w:t xml:space="preserve">2-sided 95% CI for vaccine efficacy </w:t>
      </w:r>
      <w:r w:rsidR="005476D2" w:rsidRPr="007F1892">
        <w:t xml:space="preserve">is to be provided using the Clopper-Pearson method adjusting for surveillance time. </w:t>
      </w:r>
      <w:r>
        <w:t>Vaccine efficacy</w:t>
      </w:r>
      <w:r w:rsidR="005476D2" w:rsidRPr="007F1892">
        <w:t xml:space="preserve"> is only to be calculated once success for the </w:t>
      </w:r>
      <w:proofErr w:type="spellStart"/>
      <w:r w:rsidR="005476D2" w:rsidRPr="007F1892">
        <w:t>immunobridging</w:t>
      </w:r>
      <w:proofErr w:type="spellEnd"/>
      <w:r w:rsidR="005476D2" w:rsidRPr="007F1892">
        <w:t xml:space="preserve"> criteria has been demonstrated. A lower bound for the 95% CI of &gt; 20% is taken to indicate success for </w:t>
      </w:r>
      <w:r>
        <w:t>vaccine efficacy</w:t>
      </w:r>
      <w:r w:rsidR="005476D2" w:rsidRPr="007F1892">
        <w:t>.</w:t>
      </w:r>
    </w:p>
    <w:p w14:paraId="42CCC3C6" w14:textId="77777777" w:rsidR="005476D2" w:rsidRPr="00B314B7" w:rsidRDefault="005476D2" w:rsidP="001B1A12">
      <w:pPr>
        <w:pStyle w:val="Heading6"/>
      </w:pPr>
      <w:r w:rsidRPr="00530179">
        <w:t>Results for efficacy outcomes</w:t>
      </w:r>
      <w:r w:rsidR="00B314B7">
        <w:t xml:space="preserve"> (exploratory </w:t>
      </w:r>
      <w:r w:rsidR="00B314B7" w:rsidRPr="00B314B7">
        <w:t>analysis</w:t>
      </w:r>
      <w:r w:rsidR="001B1A12">
        <w:t>), f</w:t>
      </w:r>
      <w:r w:rsidRPr="00B314B7">
        <w:t>irst (per-protocol) definition</w:t>
      </w:r>
    </w:p>
    <w:p w14:paraId="447F4F95" w14:textId="77777777" w:rsidR="005476D2" w:rsidRPr="00B314B7" w:rsidRDefault="005476D2" w:rsidP="00B314B7">
      <w:r w:rsidRPr="00B314B7">
        <w:t xml:space="preserve">A preliminary efficacy analysis was performed on 19 cases that had accrued through </w:t>
      </w:r>
      <w:r w:rsidR="00B314B7">
        <w:t xml:space="preserve">8 October </w:t>
      </w:r>
      <w:r w:rsidRPr="00B314B7">
        <w:t xml:space="preserve">2021 (3 in the </w:t>
      </w:r>
      <w:proofErr w:type="spellStart"/>
      <w:r w:rsidR="00B314B7">
        <w:t>Comirnaty</w:t>
      </w:r>
      <w:proofErr w:type="spellEnd"/>
      <w:r w:rsidR="00B314B7">
        <w:t xml:space="preserve"> vaccine</w:t>
      </w:r>
      <w:r w:rsidRPr="00B314B7">
        <w:t xml:space="preserve"> group and 16 in the placebo group). This demonstrated a </w:t>
      </w:r>
      <w:r w:rsidR="00B314B7" w:rsidRPr="00B314B7">
        <w:t>vaccine efficacy</w:t>
      </w:r>
      <w:r w:rsidRPr="00B314B7">
        <w:t xml:space="preserve"> (at least 7 days after Dose 2) of 90.7% (95% CI: 67.7%, 98.3%) in the evaluable efficacy population without prior evidence of SARS-CoV-2 infection before or during the vaccination regimen. None of the 3 cases in the </w:t>
      </w:r>
      <w:proofErr w:type="spellStart"/>
      <w:r w:rsidR="00B314B7" w:rsidRPr="00B314B7">
        <w:t>Comirnaty</w:t>
      </w:r>
      <w:proofErr w:type="spellEnd"/>
      <w:r w:rsidR="00B314B7" w:rsidRPr="00B314B7">
        <w:t xml:space="preserve"> vaccine</w:t>
      </w:r>
      <w:r w:rsidRPr="00B314B7">
        <w:t xml:space="preserve"> group had comorbidities, whereas these were present in 3/16 (18.8%) of the placebo group, which is </w:t>
      </w:r>
      <w:proofErr w:type="gramStart"/>
      <w:r w:rsidRPr="00B314B7">
        <w:t>similar to</w:t>
      </w:r>
      <w:proofErr w:type="gramEnd"/>
      <w:r w:rsidRPr="00B314B7">
        <w:t xml:space="preserve"> the rate in the overall evaluable efficacy population of 20.1%.</w:t>
      </w:r>
    </w:p>
    <w:p w14:paraId="631CD9FF" w14:textId="77777777" w:rsidR="005476D2" w:rsidRPr="00B314B7" w:rsidRDefault="005476D2" w:rsidP="00B314B7">
      <w:r w:rsidRPr="00B314B7">
        <w:t xml:space="preserve">There were no additional cases of COVID-19 in the evaluable efficacy population with or without prior evidence of SARS-CoV-2 infection in either </w:t>
      </w:r>
      <w:proofErr w:type="spellStart"/>
      <w:r w:rsidR="00B314B7">
        <w:t>Comirnaty</w:t>
      </w:r>
      <w:proofErr w:type="spellEnd"/>
      <w:r w:rsidR="00B314B7">
        <w:t xml:space="preserve"> (vaccine)</w:t>
      </w:r>
      <w:r w:rsidRPr="00B314B7">
        <w:t xml:space="preserve"> or placebo recipients. </w:t>
      </w:r>
      <w:r w:rsidR="00B314B7">
        <w:t>vaccine efficacy</w:t>
      </w:r>
      <w:r w:rsidRPr="00B314B7">
        <w:t xml:space="preserve"> in that group was also 90.7% (95% CI: 67.4%, 98.3%).</w:t>
      </w:r>
    </w:p>
    <w:p w14:paraId="64E407CA" w14:textId="2B368B0B" w:rsidR="00B314B7" w:rsidRPr="00B314B7" w:rsidRDefault="00B314B7" w:rsidP="00B314B7">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18</w:t>
      </w:r>
      <w:r>
        <w:rPr>
          <w:color w:val="2B579A"/>
          <w:shd w:val="clear" w:color="auto" w:fill="E6E6E6"/>
        </w:rPr>
        <w:fldChar w:fldCharType="end"/>
      </w:r>
      <w:bookmarkStart w:id="59" w:name="_Toc87446873"/>
      <w:r>
        <w:t xml:space="preserve">: Study C4591007 (Phase II/III) </w:t>
      </w:r>
      <w:r w:rsidR="00B323F7">
        <w:t>v</w:t>
      </w:r>
      <w:r>
        <w:t>accine efficacy; first COVID-19 o</w:t>
      </w:r>
      <w:r w:rsidRPr="00530179">
        <w:t xml:space="preserve">ccurrence from 7 days after </w:t>
      </w:r>
      <w:r>
        <w:t>Dose 2, s</w:t>
      </w:r>
      <w:r w:rsidRPr="00530179">
        <w:t xml:space="preserve">ubjects </w:t>
      </w:r>
      <w:r>
        <w:t xml:space="preserve">5 to &lt; 12 years of age </w:t>
      </w:r>
      <w:r w:rsidRPr="00530179">
        <w:t xml:space="preserve">without evidence of infection prior to 7 days after </w:t>
      </w:r>
      <w:r>
        <w:t>Dose 2 (evaluable efficacy p</w:t>
      </w:r>
      <w:r w:rsidRPr="00530179">
        <w:t>opulation</w:t>
      </w:r>
      <w:bookmarkEnd w:id="59"/>
      <w:r>
        <w:t>)</w:t>
      </w:r>
    </w:p>
    <w:p w14:paraId="1B0BCFC3" w14:textId="77777777" w:rsidR="005476D2" w:rsidRDefault="00B314B7" w:rsidP="00D0132E">
      <w:r w:rsidRPr="00530179">
        <w:rPr>
          <w:b/>
          <w:noProof/>
          <w:color w:val="2B579A"/>
          <w:szCs w:val="18"/>
          <w:shd w:val="clear" w:color="auto" w:fill="E6E6E6"/>
          <w:lang w:val="en-GB" w:eastAsia="en-GB"/>
        </w:rPr>
        <w:drawing>
          <wp:inline distT="0" distB="0" distL="0" distR="0" wp14:anchorId="5FA44B5C" wp14:editId="249B1DEF">
            <wp:extent cx="5400040" cy="3030006"/>
            <wp:effectExtent l="0" t="0" r="0" b="0"/>
            <wp:docPr id="102" name="Picture 102" descr="Study C4591007 (Phase II/III) vaccine efficacy; first COVID-19 occurrence from 7 days after Dose 2, subjects 5 to &lt; 12 years of age without evidence of infection prior to 7 days after Dose 2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030006"/>
                    </a:xfrm>
                    <a:prstGeom prst="rect">
                      <a:avLst/>
                    </a:prstGeom>
                    <a:noFill/>
                  </pic:spPr>
                </pic:pic>
              </a:graphicData>
            </a:graphic>
          </wp:inline>
        </w:drawing>
      </w:r>
    </w:p>
    <w:p w14:paraId="2F2E3D97" w14:textId="77777777" w:rsidR="00B314B7" w:rsidRPr="00530179" w:rsidRDefault="001B1A12" w:rsidP="001B1A12">
      <w:pPr>
        <w:pStyle w:val="Heading6"/>
        <w:rPr>
          <w:lang w:eastAsia="ja-JP"/>
        </w:rPr>
      </w:pPr>
      <w:r w:rsidRPr="00530179">
        <w:t>Results for efficacy outcomes</w:t>
      </w:r>
      <w:r>
        <w:t xml:space="preserve"> (exploratory </w:t>
      </w:r>
      <w:r w:rsidRPr="00B314B7">
        <w:t>analysis</w:t>
      </w:r>
      <w:r>
        <w:t xml:space="preserve">), </w:t>
      </w:r>
      <w:r>
        <w:rPr>
          <w:lang w:eastAsia="ja-JP"/>
        </w:rPr>
        <w:t>s</w:t>
      </w:r>
      <w:r w:rsidR="00B314B7" w:rsidRPr="00530179">
        <w:rPr>
          <w:lang w:eastAsia="ja-JP"/>
        </w:rPr>
        <w:t>econd (CDC criteria) definition</w:t>
      </w:r>
    </w:p>
    <w:p w14:paraId="1BFD83DA" w14:textId="77777777" w:rsidR="00B314B7" w:rsidRPr="001B1A12" w:rsidRDefault="001B1A12" w:rsidP="001B1A12">
      <w:r w:rsidRPr="001B1A12">
        <w:t xml:space="preserve">There were </w:t>
      </w:r>
      <w:r w:rsidR="00B314B7" w:rsidRPr="001B1A12">
        <w:t xml:space="preserve">2 additional cases of COVID-19, one each in the </w:t>
      </w:r>
      <w:proofErr w:type="spellStart"/>
      <w:r w:rsidRPr="001B1A12">
        <w:t>Comirnaty</w:t>
      </w:r>
      <w:proofErr w:type="spellEnd"/>
      <w:r w:rsidRPr="001B1A12">
        <w:t xml:space="preserve"> (vaccine)</w:t>
      </w:r>
      <w:r w:rsidR="00B314B7" w:rsidRPr="001B1A12">
        <w:t xml:space="preserve"> group (total number = 4) and placebo group (total number = 17). These both occurred in subjects without serological evidence of prior SARS-CoV-2 infection. </w:t>
      </w:r>
      <w:r>
        <w:t xml:space="preserve">Vaccine efficacy in evaluable subjects 5 to 11 years of age </w:t>
      </w:r>
      <w:r w:rsidR="00B314B7" w:rsidRPr="001B1A12">
        <w:t>without prior evidence of SARS-CoV-2 infection was 88.4% (95% CI: 64.5%, 97.2%).</w:t>
      </w:r>
    </w:p>
    <w:p w14:paraId="67B80C4C" w14:textId="77777777" w:rsidR="00B314B7" w:rsidRPr="00530179" w:rsidRDefault="001B1A12" w:rsidP="001B1A12">
      <w:pPr>
        <w:pStyle w:val="Heading6"/>
        <w:rPr>
          <w:lang w:eastAsia="ja-JP"/>
        </w:rPr>
      </w:pPr>
      <w:r>
        <w:rPr>
          <w:lang w:eastAsia="ja-JP"/>
        </w:rPr>
        <w:t>Supportive analyses (</w:t>
      </w:r>
      <w:r w:rsidR="00B314B7" w:rsidRPr="00530179">
        <w:rPr>
          <w:lang w:eastAsia="ja-JP"/>
        </w:rPr>
        <w:t>al</w:t>
      </w:r>
      <w:r>
        <w:rPr>
          <w:lang w:eastAsia="ja-JP"/>
        </w:rPr>
        <w:t>l-available efficacy population)</w:t>
      </w:r>
    </w:p>
    <w:p w14:paraId="1ABCB21A" w14:textId="00AD8F3A" w:rsidR="00B314B7" w:rsidRPr="00530179" w:rsidRDefault="00B314B7" w:rsidP="00B314B7">
      <w:pPr>
        <w:rPr>
          <w:b/>
          <w:sz w:val="28"/>
          <w:lang w:eastAsia="ja-JP"/>
        </w:rPr>
      </w:pPr>
      <w:r w:rsidRPr="00530179">
        <w:rPr>
          <w:lang w:eastAsia="ja-JP"/>
        </w:rPr>
        <w:t xml:space="preserve">The observed </w:t>
      </w:r>
      <w:r w:rsidR="001B1A12">
        <w:rPr>
          <w:lang w:eastAsia="ja-JP"/>
        </w:rPr>
        <w:t>vaccine efficacy</w:t>
      </w:r>
      <w:r w:rsidRPr="00530179">
        <w:rPr>
          <w:lang w:eastAsia="ja-JP"/>
        </w:rPr>
        <w:t xml:space="preserve"> of </w:t>
      </w:r>
      <w:proofErr w:type="spellStart"/>
      <w:r w:rsidR="001B1A12">
        <w:rPr>
          <w:lang w:eastAsia="ja-JP"/>
        </w:rPr>
        <w:t>comirnaty</w:t>
      </w:r>
      <w:proofErr w:type="spellEnd"/>
      <w:r w:rsidRPr="00530179">
        <w:rPr>
          <w:lang w:eastAsia="ja-JP"/>
        </w:rPr>
        <w:t xml:space="preserve"> 10 µg against any confirmed COVID-19 from Dose 1 through the data </w:t>
      </w:r>
      <w:proofErr w:type="spellStart"/>
      <w:r w:rsidRPr="00530179">
        <w:rPr>
          <w:lang w:eastAsia="ja-JP"/>
        </w:rPr>
        <w:t>cut</w:t>
      </w:r>
      <w:r w:rsidR="005D1794">
        <w:rPr>
          <w:lang w:eastAsia="ja-JP"/>
        </w:rPr>
        <w:t xml:space="preserve"> </w:t>
      </w:r>
      <w:r w:rsidRPr="00530179">
        <w:rPr>
          <w:lang w:eastAsia="ja-JP"/>
        </w:rPr>
        <w:t>off</w:t>
      </w:r>
      <w:proofErr w:type="spellEnd"/>
      <w:r w:rsidRPr="00530179">
        <w:rPr>
          <w:lang w:eastAsia="ja-JP"/>
        </w:rPr>
        <w:t xml:space="preserve"> date of </w:t>
      </w:r>
      <w:r w:rsidR="001B1A12">
        <w:rPr>
          <w:lang w:eastAsia="ja-JP"/>
        </w:rPr>
        <w:t xml:space="preserve">8 October </w:t>
      </w:r>
      <w:r w:rsidRPr="00530179">
        <w:rPr>
          <w:lang w:eastAsia="ja-JP"/>
        </w:rPr>
        <w:t>2021 in the Dose 1 all-available (m</w:t>
      </w:r>
      <w:r w:rsidR="001B1A12">
        <w:rPr>
          <w:lang w:eastAsia="ja-JP"/>
        </w:rPr>
        <w:t>odified intention to treat) population (that is, in</w:t>
      </w:r>
      <w:r w:rsidRPr="00530179">
        <w:rPr>
          <w:lang w:eastAsia="ja-JP"/>
        </w:rPr>
        <w:t xml:space="preserve"> all randomised subjects who received Dose 1) was 91.4% (95% CI: 70.4%, 98.4%).</w:t>
      </w:r>
    </w:p>
    <w:p w14:paraId="540957E6" w14:textId="77777777" w:rsidR="00B314B7" w:rsidRDefault="00B314B7" w:rsidP="00B314B7">
      <w:pPr>
        <w:rPr>
          <w:lang w:eastAsia="ja-JP"/>
        </w:rPr>
      </w:pPr>
      <w:r w:rsidRPr="00530179">
        <w:rPr>
          <w:lang w:eastAsia="ja-JP"/>
        </w:rPr>
        <w:t xml:space="preserve">The Kaplan-Meier curve of case accrual shows a steady acquisition of the cases in the placebo group (beginning approximately 3 weeks post-Dose 1) and sporadic </w:t>
      </w:r>
      <w:r w:rsidR="001B1A12">
        <w:rPr>
          <w:lang w:eastAsia="ja-JP"/>
        </w:rPr>
        <w:t>occurrence in the vaccine group.</w:t>
      </w:r>
    </w:p>
    <w:p w14:paraId="057E0533" w14:textId="789DEF28" w:rsidR="001B1A12" w:rsidRDefault="001B1A12" w:rsidP="001B1A12">
      <w:pPr>
        <w:pStyle w:val="FigureTitle"/>
      </w:pPr>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F6BBF">
        <w:rPr>
          <w:noProof/>
        </w:rPr>
        <w:t>9</w:t>
      </w:r>
      <w:r>
        <w:rPr>
          <w:color w:val="2B579A"/>
          <w:shd w:val="clear" w:color="auto" w:fill="E6E6E6"/>
        </w:rPr>
        <w:fldChar w:fldCharType="end"/>
      </w:r>
      <w:r>
        <w:t xml:space="preserve">: Study C4591007 Phase II/III </w:t>
      </w:r>
      <w:r w:rsidRPr="001B1A12">
        <w:t xml:space="preserve">cumulative incidence curves for the first </w:t>
      </w:r>
      <w:r>
        <w:t xml:space="preserve">COVID-19 occurrence after Dose 1 in subjects </w:t>
      </w:r>
      <w:r w:rsidRPr="001B1A12">
        <w:t>5 to &lt;</w:t>
      </w:r>
      <w:r>
        <w:t xml:space="preserve"> 12 y</w:t>
      </w:r>
      <w:r w:rsidRPr="001B1A12">
        <w:t xml:space="preserve">ears </w:t>
      </w:r>
      <w:r>
        <w:t>of age (all-available efficacy p</w:t>
      </w:r>
      <w:r w:rsidRPr="001B1A12">
        <w:t>opulation</w:t>
      </w:r>
      <w:r>
        <w:t>)</w:t>
      </w:r>
    </w:p>
    <w:p w14:paraId="4E9A258E" w14:textId="77777777" w:rsidR="001B1A12" w:rsidRPr="00530179" w:rsidRDefault="001B1A12" w:rsidP="00B314B7">
      <w:pPr>
        <w:rPr>
          <w:b/>
          <w:sz w:val="28"/>
          <w:lang w:eastAsia="ja-JP"/>
        </w:rPr>
      </w:pPr>
      <w:r w:rsidRPr="00530179">
        <w:rPr>
          <w:b/>
          <w:noProof/>
          <w:color w:val="2B579A"/>
          <w:shd w:val="clear" w:color="auto" w:fill="E6E6E6"/>
          <w:lang w:val="en-GB" w:eastAsia="en-GB"/>
        </w:rPr>
        <w:drawing>
          <wp:inline distT="0" distB="0" distL="0" distR="0" wp14:anchorId="4356535A" wp14:editId="208D3F08">
            <wp:extent cx="5090615" cy="4455341"/>
            <wp:effectExtent l="0" t="0" r="0" b="2540"/>
            <wp:docPr id="110" name="Picture 110" descr="Study C4591007 Phase II/III cumulative incidence curves for the first COVID-19 occurrence after Dose 1 in subjects 5 to &lt; 12 years of age (all-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0854" cy="4464302"/>
                    </a:xfrm>
                    <a:prstGeom prst="rect">
                      <a:avLst/>
                    </a:prstGeom>
                    <a:noFill/>
                  </pic:spPr>
                </pic:pic>
              </a:graphicData>
            </a:graphic>
          </wp:inline>
        </w:drawing>
      </w:r>
    </w:p>
    <w:p w14:paraId="0A9FA2FD" w14:textId="77777777" w:rsidR="001B1A12" w:rsidRPr="001B1A12" w:rsidRDefault="001B1A12" w:rsidP="001B1A12">
      <w:r w:rsidRPr="001B1A12">
        <w:t>There were no cases of severe COVID-19 (per-protocol definition or per the more inclusive CDC definition) and no cases of multisystem inflammatory syndrome of children (MIS-C) reported through the data cut-off date.</w:t>
      </w:r>
    </w:p>
    <w:p w14:paraId="293C74B1" w14:textId="77777777" w:rsidR="001B1A12" w:rsidRPr="001B1A12" w:rsidRDefault="001B1A12" w:rsidP="001B1A12">
      <w:pPr>
        <w:pStyle w:val="Heading6"/>
      </w:pPr>
      <w:r w:rsidRPr="001B1A12">
        <w:t>Vaccine efficacy subgroup analyses</w:t>
      </w:r>
    </w:p>
    <w:p w14:paraId="0F55674C" w14:textId="77777777" w:rsidR="00B314B7" w:rsidRDefault="001B1A12" w:rsidP="00D0132E">
      <w:r>
        <w:t>Vaccine efficacy</w:t>
      </w:r>
      <w:r w:rsidRPr="001B1A12">
        <w:t xml:space="preserve"> was evaluated for subgroups according to sex, race, ethnicity, </w:t>
      </w:r>
      <w:proofErr w:type="gramStart"/>
      <w:r w:rsidRPr="001B1A12">
        <w:t>country</w:t>
      </w:r>
      <w:proofErr w:type="gramEnd"/>
      <w:r w:rsidRPr="001B1A12">
        <w:t xml:space="preserve"> and at-risk status (</w:t>
      </w:r>
      <w:r>
        <w:t>that is, obesity</w:t>
      </w:r>
      <w:r w:rsidRPr="001B1A12">
        <w:t xml:space="preserve"> or with ≥</w:t>
      </w:r>
      <w:r>
        <w:t xml:space="preserve"> </w:t>
      </w:r>
      <w:r w:rsidRPr="001B1A12">
        <w:t xml:space="preserve">1 specified comorbidity) based on per-protocol case criteria. All subgroups had observed </w:t>
      </w:r>
      <w:r>
        <w:t>vaccine efficacy</w:t>
      </w:r>
      <w:r w:rsidRPr="001B1A12">
        <w:t xml:space="preserve"> &gt; 85%, noting that numbers were sma</w:t>
      </w:r>
      <w:r>
        <w:t>ll and the CIs (95%) were wide.</w:t>
      </w:r>
    </w:p>
    <w:p w14:paraId="5A687C8A" w14:textId="77777777" w:rsidR="00CC0B15" w:rsidRDefault="00FC624D" w:rsidP="00CC0B15">
      <w:pPr>
        <w:pStyle w:val="Heading4"/>
      </w:pPr>
      <w:r>
        <w:t>Safety</w:t>
      </w:r>
    </w:p>
    <w:p w14:paraId="757EA13B" w14:textId="77777777" w:rsidR="00FC624D" w:rsidRPr="00FC624D" w:rsidRDefault="00FC624D" w:rsidP="00FC624D">
      <w:pPr>
        <w:pStyle w:val="Heading5"/>
      </w:pPr>
      <w:r>
        <w:t>Study C4591007 (Phase II/III parts)</w:t>
      </w:r>
    </w:p>
    <w:p w14:paraId="15FC523E" w14:textId="77777777" w:rsidR="00FC624D" w:rsidRPr="00530179" w:rsidRDefault="00FC624D" w:rsidP="00FC624D">
      <w:bookmarkStart w:id="60" w:name="_Hlk85799608"/>
      <w:r w:rsidRPr="00530179">
        <w:t xml:space="preserve">Objectives, </w:t>
      </w:r>
      <w:proofErr w:type="spellStart"/>
      <w:r w:rsidRPr="00530179">
        <w:t>estimands</w:t>
      </w:r>
      <w:proofErr w:type="spellEnd"/>
      <w:r w:rsidRPr="00530179">
        <w:t xml:space="preserve"> </w:t>
      </w:r>
      <w:r>
        <w:t xml:space="preserve">and endpoints relevant to the 5 to </w:t>
      </w:r>
      <w:r w:rsidRPr="00530179">
        <w:t xml:space="preserve">11 </w:t>
      </w:r>
      <w:r>
        <w:t>years of age subgroup (from Study C4591007, Phase II/III parts) are presented in the following table.</w:t>
      </w:r>
    </w:p>
    <w:bookmarkEnd w:id="60"/>
    <w:p w14:paraId="0BEBC71B" w14:textId="7699EEAB" w:rsidR="00FC624D" w:rsidRDefault="00FC624D" w:rsidP="00FC624D">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66CEE">
        <w:rPr>
          <w:noProof/>
        </w:rPr>
        <w:t>18</w:t>
      </w:r>
      <w:r>
        <w:rPr>
          <w:color w:val="2B579A"/>
          <w:shd w:val="clear" w:color="auto" w:fill="E6E6E6"/>
        </w:rPr>
        <w:fldChar w:fldCharType="end"/>
      </w:r>
      <w:r>
        <w:t xml:space="preserve">: Study C4591007 Phase II/III Safety objectives, </w:t>
      </w:r>
      <w:proofErr w:type="spellStart"/>
      <w:r>
        <w:t>estimands</w:t>
      </w:r>
      <w:proofErr w:type="spellEnd"/>
      <w:r>
        <w:t xml:space="preserve"> and endpoints</w:t>
      </w:r>
    </w:p>
    <w:p w14:paraId="6F41FB39" w14:textId="1EFB59D4" w:rsidR="00FC624D" w:rsidRDefault="00FC624D" w:rsidP="00FC624D">
      <w:pPr>
        <w:rPr>
          <w:lang w:eastAsia="ja-JP"/>
        </w:rPr>
      </w:pPr>
      <w:r w:rsidRPr="00530179">
        <w:rPr>
          <w:noProof/>
          <w:color w:val="2B579A"/>
          <w:shd w:val="clear" w:color="auto" w:fill="E6E6E6"/>
          <w:lang w:val="en-GB" w:eastAsia="en-GB"/>
        </w:rPr>
        <w:drawing>
          <wp:inline distT="0" distB="0" distL="0" distR="0" wp14:anchorId="64A9F540" wp14:editId="16B3399D">
            <wp:extent cx="5230561" cy="3505200"/>
            <wp:effectExtent l="0" t="0" r="8255" b="0"/>
            <wp:docPr id="103" name="Picture 103" descr="Study C4591007 Phase II/III Safety objectives, estimand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9541" cy="3511218"/>
                    </a:xfrm>
                    <a:prstGeom prst="rect">
                      <a:avLst/>
                    </a:prstGeom>
                    <a:noFill/>
                  </pic:spPr>
                </pic:pic>
              </a:graphicData>
            </a:graphic>
          </wp:inline>
        </w:drawing>
      </w:r>
    </w:p>
    <w:p w14:paraId="2BB1EAF1" w14:textId="10AA2AF6" w:rsidR="00B323F7" w:rsidRPr="00530179" w:rsidRDefault="00B323F7" w:rsidP="00FC624D">
      <w:pPr>
        <w:rPr>
          <w:lang w:eastAsia="ja-JP"/>
        </w:rPr>
      </w:pPr>
      <w:r>
        <w:rPr>
          <w:lang w:eastAsia="ja-JP"/>
        </w:rPr>
        <w:t>AE = adverse event; CSR = case study report; LLOQ = lower limit of quantitation; SAE = serious adverse event</w:t>
      </w:r>
    </w:p>
    <w:p w14:paraId="514F9E2F" w14:textId="77777777" w:rsidR="00FC624D" w:rsidRDefault="00FC624D" w:rsidP="00FC624D">
      <w:pPr>
        <w:pStyle w:val="Heading6"/>
      </w:pPr>
      <w:r w:rsidRPr="00530179">
        <w:t>Study procedures</w:t>
      </w:r>
    </w:p>
    <w:p w14:paraId="7674613D" w14:textId="77777777" w:rsidR="00FC624D" w:rsidRPr="00FC624D" w:rsidRDefault="00FC624D" w:rsidP="00FC624D">
      <w:r>
        <w:t>The following are descriptions of how and when data related adverse events were collected and described in this study:</w:t>
      </w:r>
    </w:p>
    <w:p w14:paraId="69C35E23" w14:textId="77777777" w:rsidR="00FC624D" w:rsidRDefault="00FC624D" w:rsidP="00FC624D">
      <w:pPr>
        <w:pStyle w:val="ListBullet"/>
      </w:pPr>
      <w:r>
        <w:t xml:space="preserve">All/any </w:t>
      </w:r>
      <w:r w:rsidRPr="00FC624D">
        <w:rPr>
          <w:i/>
        </w:rPr>
        <w:t>adverse events</w:t>
      </w:r>
      <w:r>
        <w:t xml:space="preserve"> w</w:t>
      </w:r>
      <w:r w:rsidRPr="00530179">
        <w:t>ere collected from the time of signing the c</w:t>
      </w:r>
      <w:r>
        <w:t>onsent until 1 month after Dose </w:t>
      </w:r>
      <w:r w:rsidRPr="00530179">
        <w:t xml:space="preserve">2, </w:t>
      </w:r>
      <w:proofErr w:type="gramStart"/>
      <w:r w:rsidRPr="00530179">
        <w:t>and also</w:t>
      </w:r>
      <w:proofErr w:type="gramEnd"/>
      <w:r w:rsidRPr="00530179">
        <w:t xml:space="preserve"> for 48 hours after venesecti</w:t>
      </w:r>
      <w:r>
        <w:t>ons and nasal swab collections.</w:t>
      </w:r>
    </w:p>
    <w:p w14:paraId="06FF6406" w14:textId="77777777" w:rsidR="00FC624D" w:rsidRPr="00530179" w:rsidRDefault="00FC624D" w:rsidP="00FC624D">
      <w:pPr>
        <w:pStyle w:val="ListBullet"/>
      </w:pPr>
      <w:r w:rsidRPr="00FC624D">
        <w:rPr>
          <w:bCs/>
          <w:i/>
        </w:rPr>
        <w:t>Immediate adverse events</w:t>
      </w:r>
      <w:r w:rsidRPr="00530179">
        <w:t xml:space="preserve"> were monitored up to 30 minutes post-dose.</w:t>
      </w:r>
    </w:p>
    <w:p w14:paraId="0EACDE99" w14:textId="77777777" w:rsidR="00FC624D" w:rsidRPr="00530179" w:rsidRDefault="00FC624D" w:rsidP="00FC624D">
      <w:pPr>
        <w:pStyle w:val="ListBullet"/>
      </w:pPr>
      <w:r w:rsidRPr="00FC624D">
        <w:rPr>
          <w:bCs/>
          <w:i/>
        </w:rPr>
        <w:t>Serious adverse events</w:t>
      </w:r>
      <w:r w:rsidRPr="00FC624D">
        <w:t xml:space="preserve"> </w:t>
      </w:r>
      <w:r w:rsidRPr="00530179">
        <w:t>were to be collected from the time of signing the consent until approximately 6 months after Dose 2.</w:t>
      </w:r>
    </w:p>
    <w:p w14:paraId="18E451B3" w14:textId="77777777" w:rsidR="00FC624D" w:rsidRPr="00530179" w:rsidRDefault="00FC624D" w:rsidP="00FC624D">
      <w:pPr>
        <w:pStyle w:val="ListBullet"/>
      </w:pPr>
      <w:r w:rsidRPr="00FC624D">
        <w:rPr>
          <w:bCs/>
          <w:i/>
        </w:rPr>
        <w:t>Adverse events of special interest</w:t>
      </w:r>
      <w:r w:rsidRPr="00530179">
        <w:t xml:space="preserve"> included myocarditis and pericarditis plus a list of </w:t>
      </w:r>
      <w:r>
        <w:t xml:space="preserve">targeted medical events </w:t>
      </w:r>
      <w:r w:rsidRPr="00530179">
        <w:t>of specific interest</w:t>
      </w:r>
      <w:r>
        <w:t>;</w:t>
      </w:r>
      <w:r>
        <w:rPr>
          <w:rStyle w:val="FootnoteReference"/>
        </w:rPr>
        <w:footnoteReference w:id="38"/>
      </w:r>
      <w:r w:rsidRPr="00530179">
        <w:t xml:space="preserve"> that are highlighted during clinical safety data review and signal </w:t>
      </w:r>
      <w:proofErr w:type="gramStart"/>
      <w:r w:rsidRPr="00530179">
        <w:t>detection, and</w:t>
      </w:r>
      <w:proofErr w:type="gramEnd"/>
      <w:r w:rsidRPr="00530179">
        <w:t xml:space="preserve"> reviewed on an ongoing basis. This includes </w:t>
      </w:r>
      <w:r w:rsidR="002528EE">
        <w:t>adverse events</w:t>
      </w:r>
      <w:r w:rsidRPr="00530179">
        <w:t xml:space="preserve"> related to COVID-19 and vaccines in general, and the CDC list of AESIs for COVID-19. Additional </w:t>
      </w:r>
      <w:r w:rsidR="002528EE">
        <w:t>adverse events of special interest</w:t>
      </w:r>
      <w:r w:rsidRPr="00530179">
        <w:t xml:space="preserve"> </w:t>
      </w:r>
      <w:r w:rsidR="002528EE">
        <w:t xml:space="preserve">to the sponsor </w:t>
      </w:r>
      <w:r w:rsidRPr="00530179">
        <w:t xml:space="preserve">and </w:t>
      </w:r>
      <w:r w:rsidR="002528EE">
        <w:t xml:space="preserve">medical </w:t>
      </w:r>
      <w:r w:rsidRPr="00530179">
        <w:t>regulators were also considered.</w:t>
      </w:r>
    </w:p>
    <w:p w14:paraId="0A1F09C3" w14:textId="77777777" w:rsidR="00FC624D" w:rsidRPr="00530179" w:rsidRDefault="002528EE" w:rsidP="002528EE">
      <w:pPr>
        <w:pStyle w:val="Heading6"/>
      </w:pPr>
      <w:r>
        <w:t>Safety p</w:t>
      </w:r>
      <w:r w:rsidR="00FC624D" w:rsidRPr="00530179">
        <w:t>opulation</w:t>
      </w:r>
    </w:p>
    <w:p w14:paraId="63C62720" w14:textId="77777777" w:rsidR="00FC624D" w:rsidRPr="002528EE" w:rsidRDefault="00FC624D" w:rsidP="002528EE">
      <w:r w:rsidRPr="002528EE">
        <w:t xml:space="preserve">Of the 1535 subjects randomised to </w:t>
      </w:r>
      <w:r w:rsidR="002528EE">
        <w:t xml:space="preserve">receive </w:t>
      </w:r>
      <w:proofErr w:type="spellStart"/>
      <w:r w:rsidR="002528EE">
        <w:t>Comirnaty</w:t>
      </w:r>
      <w:proofErr w:type="spellEnd"/>
      <w:r w:rsidR="002528EE">
        <w:t xml:space="preserve"> vaccine</w:t>
      </w:r>
      <w:r w:rsidRPr="002528EE">
        <w:t xml:space="preserve"> </w:t>
      </w:r>
      <w:r w:rsidR="002528EE">
        <w:t>(</w:t>
      </w:r>
      <w:r w:rsidRPr="002528EE">
        <w:t>10 µg</w:t>
      </w:r>
      <w:r w:rsidR="002528EE">
        <w:t>)</w:t>
      </w:r>
      <w:r w:rsidRPr="002528EE">
        <w:t>, 17 did not receive study vaccine, leaving 1518 in the safety population. In addition, ther</w:t>
      </w:r>
      <w:r w:rsidR="002528EE">
        <w:t xml:space="preserve">e were 750 placebo recipients, giving a </w:t>
      </w:r>
      <w:r w:rsidRPr="002528EE">
        <w:t xml:space="preserve">total safety population of 2268, </w:t>
      </w:r>
      <w:r w:rsidR="002528EE">
        <w:t>99.3% of those randomised</w:t>
      </w:r>
      <w:r w:rsidRPr="002528EE">
        <w:t>. None of the safety population were diagnosed HIV positive.</w:t>
      </w:r>
    </w:p>
    <w:p w14:paraId="43D7D3B0" w14:textId="77777777" w:rsidR="00FC624D" w:rsidRPr="00530179" w:rsidRDefault="00FC624D" w:rsidP="002528EE">
      <w:r w:rsidRPr="002528EE">
        <w:lastRenderedPageBreak/>
        <w:t>The majority (≥ 95%) of subjects had ≥ 2 to &lt; 3 months follow-up post-Dose 2, with the remainder having &lt; 2 months.</w:t>
      </w:r>
    </w:p>
    <w:p w14:paraId="49E0D157" w14:textId="17F63351" w:rsidR="002528EE" w:rsidRDefault="002528EE" w:rsidP="002528EE">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66CEE">
        <w:rPr>
          <w:noProof/>
        </w:rPr>
        <w:t>19</w:t>
      </w:r>
      <w:r>
        <w:rPr>
          <w:color w:val="2B579A"/>
          <w:shd w:val="clear" w:color="auto" w:fill="E6E6E6"/>
        </w:rPr>
        <w:fldChar w:fldCharType="end"/>
      </w:r>
      <w:r>
        <w:t xml:space="preserve">: Study C4591007 Phase II/III Follow-up time after Dose 2 in subjects </w:t>
      </w:r>
      <w:r w:rsidRPr="00530179">
        <w:t>5 to &lt;</w:t>
      </w:r>
      <w:r>
        <w:t> 12 y</w:t>
      </w:r>
      <w:r w:rsidRPr="00530179">
        <w:t xml:space="preserve">ears </w:t>
      </w:r>
      <w:r>
        <w:t xml:space="preserve">of </w:t>
      </w:r>
      <w:r w:rsidRPr="00530179">
        <w:t>age</w:t>
      </w:r>
      <w:r>
        <w:t xml:space="preserve"> (safety population)</w:t>
      </w:r>
    </w:p>
    <w:p w14:paraId="50CBDE9B" w14:textId="77777777" w:rsidR="00FC624D" w:rsidRPr="00530179" w:rsidRDefault="00FC624D" w:rsidP="00FC624D">
      <w:pPr>
        <w:spacing w:before="0" w:after="160" w:line="259" w:lineRule="auto"/>
        <w:rPr>
          <w:lang w:eastAsia="ja-JP"/>
        </w:rPr>
      </w:pPr>
      <w:r w:rsidRPr="00530179">
        <w:rPr>
          <w:noProof/>
          <w:color w:val="2B579A"/>
          <w:shd w:val="clear" w:color="auto" w:fill="E6E6E6"/>
          <w:lang w:val="en-GB" w:eastAsia="en-GB"/>
        </w:rPr>
        <w:drawing>
          <wp:inline distT="0" distB="0" distL="0" distR="0" wp14:anchorId="157DABF6" wp14:editId="5ADCCE62">
            <wp:extent cx="5318760" cy="2735580"/>
            <wp:effectExtent l="0" t="0" r="0" b="7620"/>
            <wp:docPr id="104" name="Picture 104" descr="Study C4591007 Phase II/III Follow-up time after Dose 2 in subjects 5 to &lt; 12 years of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8760" cy="2735580"/>
                    </a:xfrm>
                    <a:prstGeom prst="rect">
                      <a:avLst/>
                    </a:prstGeom>
                    <a:noFill/>
                  </pic:spPr>
                </pic:pic>
              </a:graphicData>
            </a:graphic>
          </wp:inline>
        </w:drawing>
      </w:r>
    </w:p>
    <w:p w14:paraId="3827BEA5" w14:textId="04168AF0" w:rsidR="00FC624D" w:rsidRPr="00530179" w:rsidRDefault="00FC624D" w:rsidP="00FC624D">
      <w:pPr>
        <w:rPr>
          <w:lang w:eastAsia="ja-JP"/>
        </w:rPr>
      </w:pPr>
      <w:r w:rsidRPr="00530179">
        <w:rPr>
          <w:lang w:eastAsia="ja-JP"/>
        </w:rPr>
        <w:t>These</w:t>
      </w:r>
      <w:r w:rsidR="002528EE">
        <w:rPr>
          <w:lang w:eastAsia="ja-JP"/>
        </w:rPr>
        <w:t xml:space="preserve"> results are through the Study C4591007 (Phase II/III parts)</w:t>
      </w:r>
      <w:r w:rsidRPr="00530179">
        <w:rPr>
          <w:lang w:eastAsia="ja-JP"/>
        </w:rPr>
        <w:t xml:space="preserve"> data </w:t>
      </w:r>
      <w:proofErr w:type="spellStart"/>
      <w:r w:rsidR="005D1794" w:rsidRPr="00530179">
        <w:rPr>
          <w:lang w:eastAsia="ja-JP"/>
        </w:rPr>
        <w:t>cut off</w:t>
      </w:r>
      <w:proofErr w:type="spellEnd"/>
      <w:r w:rsidRPr="00530179">
        <w:rPr>
          <w:lang w:eastAsia="ja-JP"/>
        </w:rPr>
        <w:t xml:space="preserve"> date </w:t>
      </w:r>
      <w:r w:rsidR="002528EE">
        <w:rPr>
          <w:lang w:eastAsia="ja-JP"/>
        </w:rPr>
        <w:t>6 September 2021</w:t>
      </w:r>
      <w:r w:rsidRPr="00530179">
        <w:rPr>
          <w:lang w:eastAsia="ja-JP"/>
        </w:rPr>
        <w:t>, representing follow-up of 2 months post-Dose 2.</w:t>
      </w:r>
    </w:p>
    <w:p w14:paraId="67C98DB7" w14:textId="77777777" w:rsidR="00FC624D" w:rsidRPr="00530179" w:rsidRDefault="00FC624D" w:rsidP="002528EE">
      <w:pPr>
        <w:pStyle w:val="Heading6"/>
        <w:rPr>
          <w:lang w:eastAsia="ja-JP"/>
        </w:rPr>
      </w:pPr>
      <w:r w:rsidRPr="00530179">
        <w:rPr>
          <w:lang w:eastAsia="ja-JP"/>
        </w:rPr>
        <w:t>Local reactogenicity</w:t>
      </w:r>
    </w:p>
    <w:p w14:paraId="3A4E9426" w14:textId="77777777" w:rsidR="00FC624D" w:rsidRPr="003F6BBF" w:rsidRDefault="00FC624D" w:rsidP="003F6BBF">
      <w:r w:rsidRPr="003F6BBF">
        <w:t xml:space="preserve">The frequency and intensity of local reactions was higher in the vaccine group </w:t>
      </w:r>
      <w:r w:rsidR="003F6BBF">
        <w:t xml:space="preserve">(see </w:t>
      </w:r>
      <w:r w:rsidR="003F6BBF">
        <w:rPr>
          <w:color w:val="2B579A"/>
          <w:shd w:val="clear" w:color="auto" w:fill="E6E6E6"/>
        </w:rPr>
        <w:fldChar w:fldCharType="begin"/>
      </w:r>
      <w:r w:rsidR="003F6BBF">
        <w:instrText xml:space="preserve"> REF _Ref89039368 \h </w:instrText>
      </w:r>
      <w:r w:rsidR="003F6BBF">
        <w:rPr>
          <w:color w:val="2B579A"/>
          <w:shd w:val="clear" w:color="auto" w:fill="E6E6E6"/>
        </w:rPr>
      </w:r>
      <w:r w:rsidR="003F6BBF">
        <w:rPr>
          <w:color w:val="2B579A"/>
          <w:shd w:val="clear" w:color="auto" w:fill="E6E6E6"/>
        </w:rPr>
        <w:fldChar w:fldCharType="separate"/>
      </w:r>
      <w:r w:rsidR="003F6BBF">
        <w:t>Figure </w:t>
      </w:r>
      <w:r w:rsidR="003F6BBF">
        <w:rPr>
          <w:noProof/>
        </w:rPr>
        <w:t>10</w:t>
      </w:r>
      <w:r w:rsidR="003F6BBF">
        <w:rPr>
          <w:color w:val="2B579A"/>
          <w:shd w:val="clear" w:color="auto" w:fill="E6E6E6"/>
        </w:rPr>
        <w:fldChar w:fldCharType="end"/>
      </w:r>
      <w:r w:rsidR="003F6BBF">
        <w:t>, below)</w:t>
      </w:r>
      <w:r w:rsidRPr="003F6BBF">
        <w:t xml:space="preserve">. Pain was the </w:t>
      </w:r>
      <w:r w:rsidR="003F6BBF">
        <w:t xml:space="preserve">most common </w:t>
      </w:r>
      <w:r w:rsidRPr="003F6BBF">
        <w:t xml:space="preserve">reaction, with similar frequencies and intensities post-Dose 1 and Dose 2. Redness and swelling were less frequent and occurred at higher frequency post-Dose 2. </w:t>
      </w:r>
    </w:p>
    <w:p w14:paraId="73965A81" w14:textId="77777777" w:rsidR="00FC624D" w:rsidRPr="003F6BBF" w:rsidRDefault="00FC624D" w:rsidP="003F6BBF">
      <w:r w:rsidRPr="003F6BBF">
        <w:t xml:space="preserve">After any dose of </w:t>
      </w:r>
      <w:proofErr w:type="spellStart"/>
      <w:r w:rsidR="003F6BBF" w:rsidRPr="003F6BBF">
        <w:t>Comirnaty</w:t>
      </w:r>
      <w:proofErr w:type="spellEnd"/>
      <w:r w:rsidRPr="003F6BBF">
        <w:t>, severe reactions were rare, being seen for pain in 9/1517 (0.6%) of cases (4 post-Dose 1 and 5 post-Dose 2), re</w:t>
      </w:r>
      <w:r w:rsidR="003F6BBF">
        <w:t>dness in 3/1517 (0.2%; all post</w:t>
      </w:r>
      <w:r w:rsidR="003F6BBF">
        <w:noBreakHyphen/>
        <w:t>Dose </w:t>
      </w:r>
      <w:r w:rsidRPr="003F6BBF">
        <w:t>2) and swelling in 1/1517 (0.1%; post-Dose 1). No Grade 4 reactions were observed.</w:t>
      </w:r>
    </w:p>
    <w:p w14:paraId="6A1B0BDC" w14:textId="77777777" w:rsidR="00FC624D" w:rsidRPr="003F6BBF" w:rsidRDefault="00FC624D" w:rsidP="003F6BBF">
      <w:r w:rsidRPr="003F6BBF">
        <w:t>Across groups, median onset for all local reactions afte</w:t>
      </w:r>
      <w:r w:rsidR="003F6BBF">
        <w:t xml:space="preserve">r receiving </w:t>
      </w:r>
      <w:proofErr w:type="spellStart"/>
      <w:r w:rsidR="003F6BBF">
        <w:t>Comirnaty</w:t>
      </w:r>
      <w:proofErr w:type="spellEnd"/>
      <w:r w:rsidR="003F6BBF">
        <w:t xml:space="preserve"> was 1 to 2 </w:t>
      </w:r>
      <w:r w:rsidRPr="003F6BBF">
        <w:t>days after Dose 1 or Dose 2, and all events resolved within</w:t>
      </w:r>
      <w:r w:rsidR="003F6BBF">
        <w:t xml:space="preserve"> a median duration of 1 to 2 </w:t>
      </w:r>
      <w:r w:rsidRPr="003F6BBF">
        <w:t>days.</w:t>
      </w:r>
    </w:p>
    <w:p w14:paraId="2AA2E0A6" w14:textId="77777777" w:rsidR="00FC624D" w:rsidRPr="003F6BBF" w:rsidRDefault="00FC624D" w:rsidP="003F6BBF">
      <w:r w:rsidRPr="003F6BBF">
        <w:t xml:space="preserve">Children </w:t>
      </w:r>
      <w:r w:rsidR="003F6BBF">
        <w:t xml:space="preserve">aged 5 to </w:t>
      </w:r>
      <w:r w:rsidRPr="003F6BBF">
        <w:t>11 years had comparable rates of pain at the injection site but slightly higher frequencies of redness and swelling at the injection site than were recorded in older individuals</w:t>
      </w:r>
      <w:r w:rsidR="003F6BBF">
        <w:t xml:space="preserve"> </w:t>
      </w:r>
      <w:r w:rsidRPr="003F6BBF">
        <w:t>(</w:t>
      </w:r>
      <w:r w:rsidR="003F6BBF">
        <w:t xml:space="preserve">aged 12 to </w:t>
      </w:r>
      <w:r w:rsidRPr="003F6BBF">
        <w:t xml:space="preserve">15 years of age) and the associated cohort of </w:t>
      </w:r>
      <w:r w:rsidR="003F6BBF">
        <w:t xml:space="preserve">older adolescents and adults 16 to </w:t>
      </w:r>
      <w:r w:rsidRPr="003F6BBF">
        <w:t xml:space="preserve">25 years of age </w:t>
      </w:r>
      <w:r w:rsidR="003F6BBF">
        <w:t>from Study C4591001).</w:t>
      </w:r>
    </w:p>
    <w:p w14:paraId="4590FF18" w14:textId="5202A823" w:rsidR="003F6BBF" w:rsidRDefault="003F6BBF" w:rsidP="003F6BBF">
      <w:pPr>
        <w:pStyle w:val="FigureTitle"/>
      </w:pPr>
      <w:bookmarkStart w:id="61" w:name="_Ref8903936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10</w:t>
      </w:r>
      <w:r>
        <w:rPr>
          <w:color w:val="2B579A"/>
          <w:shd w:val="clear" w:color="auto" w:fill="E6E6E6"/>
        </w:rPr>
        <w:fldChar w:fldCharType="end"/>
      </w:r>
      <w:r>
        <w:t>: Study C4591007 (Phase II/III) Subjects aged 5 to &lt; 12 years</w:t>
      </w:r>
      <w:r w:rsidRPr="00530179">
        <w:t xml:space="preserve"> reporting local reactions, by maximum severity, within 7 days after each dose</w:t>
      </w:r>
      <w:r>
        <w:t xml:space="preserve"> (safety p</w:t>
      </w:r>
      <w:r w:rsidRPr="00530179">
        <w:rPr>
          <w:szCs w:val="18"/>
        </w:rPr>
        <w:t>opulation</w:t>
      </w:r>
      <w:r>
        <w:t>)</w:t>
      </w:r>
      <w:bookmarkEnd w:id="61"/>
    </w:p>
    <w:p w14:paraId="66971DCC" w14:textId="77777777" w:rsidR="00FC624D" w:rsidRPr="00530179" w:rsidRDefault="00FC624D" w:rsidP="003F6BBF">
      <w:pPr>
        <w:rPr>
          <w:lang w:eastAsia="ja-JP"/>
        </w:rPr>
      </w:pPr>
      <w:r w:rsidRPr="003F6BBF">
        <w:rPr>
          <w:noProof/>
          <w:color w:val="2B579A"/>
          <w:shd w:val="clear" w:color="auto" w:fill="E6E6E6"/>
          <w:lang w:val="en-GB" w:eastAsia="en-GB"/>
        </w:rPr>
        <w:drawing>
          <wp:inline distT="0" distB="0" distL="0" distR="0" wp14:anchorId="1505714C" wp14:editId="1A56121E">
            <wp:extent cx="5399249" cy="5448300"/>
            <wp:effectExtent l="19050" t="19050" r="11430" b="19050"/>
            <wp:docPr id="105" name="Picture 105" descr="Study C4591007 (Phase II/III) Subjects aged 5 to &lt; 12 years reporting local reactions, by maximum severity, within 7 days after each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6946" cy="5456067"/>
                    </a:xfrm>
                    <a:prstGeom prst="rect">
                      <a:avLst/>
                    </a:prstGeom>
                    <a:ln>
                      <a:solidFill>
                        <a:srgbClr val="002C47"/>
                      </a:solidFill>
                    </a:ln>
                  </pic:spPr>
                </pic:pic>
              </a:graphicData>
            </a:graphic>
          </wp:inline>
        </w:drawing>
      </w:r>
    </w:p>
    <w:p w14:paraId="4E5F1265" w14:textId="77777777" w:rsidR="003F6BBF" w:rsidRPr="00530179" w:rsidRDefault="003F6BBF" w:rsidP="003F6BBF">
      <w:pPr>
        <w:pStyle w:val="Heading6"/>
        <w:rPr>
          <w:lang w:eastAsia="ja-JP"/>
        </w:rPr>
      </w:pPr>
      <w:r w:rsidRPr="00530179">
        <w:rPr>
          <w:lang w:eastAsia="ja-JP"/>
        </w:rPr>
        <w:t xml:space="preserve">Systemic </w:t>
      </w:r>
      <w:r w:rsidRPr="003F6BBF">
        <w:t>reactogenicity</w:t>
      </w:r>
    </w:p>
    <w:p w14:paraId="30518D20" w14:textId="77777777" w:rsidR="003F6BBF" w:rsidRPr="003F6BBF" w:rsidRDefault="003F6BBF" w:rsidP="003F6BBF">
      <w:r w:rsidRPr="003F6BBF">
        <w:t xml:space="preserve">Dose 1 was well tolerated, with similar frequencies to placebo that were </w:t>
      </w:r>
      <w:proofErr w:type="gramStart"/>
      <w:r w:rsidRPr="003F6BBF">
        <w:t>actually lower</w:t>
      </w:r>
      <w:proofErr w:type="gramEnd"/>
      <w:r w:rsidRPr="003F6BBF">
        <w:t xml:space="preserve"> in some instances (for example, for headache and joint pain). Frequencies were generally higher for </w:t>
      </w:r>
      <w:proofErr w:type="spellStart"/>
      <w:r>
        <w:t>Comirnaty</w:t>
      </w:r>
      <w:proofErr w:type="spellEnd"/>
      <w:r w:rsidRPr="003F6BBF">
        <w:t xml:space="preserve"> than placebo post-Dose 2.</w:t>
      </w:r>
    </w:p>
    <w:p w14:paraId="439FD5B3" w14:textId="77777777" w:rsidR="003F6BBF" w:rsidRPr="003F6BBF" w:rsidRDefault="003F6BBF" w:rsidP="003F6BBF">
      <w:r w:rsidRPr="003F6BBF">
        <w:t xml:space="preserve">In </w:t>
      </w:r>
      <w:proofErr w:type="spellStart"/>
      <w:r>
        <w:t>Comirnaty</w:t>
      </w:r>
      <w:proofErr w:type="spellEnd"/>
      <w:r w:rsidRPr="003F6BBF">
        <w:t xml:space="preserve"> recipients, frequencies and intensities of systemic events were generally lower </w:t>
      </w:r>
      <w:r>
        <w:t>post</w:t>
      </w:r>
      <w:r>
        <w:noBreakHyphen/>
      </w:r>
      <w:r w:rsidRPr="003F6BBF">
        <w:t>Dose 1 than post-Dose 2.</w:t>
      </w:r>
    </w:p>
    <w:p w14:paraId="65D5FC08" w14:textId="77777777" w:rsidR="003F6BBF" w:rsidRPr="003F6BBF" w:rsidRDefault="003F6BBF" w:rsidP="003F6BBF">
      <w:r w:rsidRPr="003F6BBF">
        <w:t xml:space="preserve">Fever </w:t>
      </w:r>
      <w:r>
        <w:t>(recorded temperature of ≥ 38°C)</w:t>
      </w:r>
      <w:r w:rsidRPr="003F6BBF">
        <w:t xml:space="preserve"> occurred in 2.</w:t>
      </w:r>
      <w:r>
        <w:t>5% after Dose 1 and 6.5% after D</w:t>
      </w:r>
      <w:r w:rsidRPr="003F6BBF">
        <w:t>ose 2.</w:t>
      </w:r>
    </w:p>
    <w:p w14:paraId="5D32AE19" w14:textId="77777777" w:rsidR="003F6BBF" w:rsidRDefault="003F6BBF" w:rsidP="000B3727">
      <w:pPr>
        <w:pStyle w:val="FigureTitle"/>
      </w:pPr>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11</w:t>
      </w:r>
      <w:r>
        <w:rPr>
          <w:color w:val="2B579A"/>
          <w:shd w:val="clear" w:color="auto" w:fill="E6E6E6"/>
        </w:rPr>
        <w:fldChar w:fldCharType="end"/>
      </w:r>
      <w:r>
        <w:t>: Study C4591007 Phase II/III Subjects aged 5 to &lt; 12 years re</w:t>
      </w:r>
      <w:r w:rsidRPr="00530179">
        <w:rPr>
          <w:szCs w:val="18"/>
        </w:rPr>
        <w:t xml:space="preserve">porting </w:t>
      </w:r>
      <w:r w:rsidRPr="00530179">
        <w:t>systemic events, by maximum severity, within 7 days after each dose</w:t>
      </w:r>
      <w:r w:rsidR="000B3727">
        <w:t xml:space="preserve"> (safety p</w:t>
      </w:r>
      <w:r w:rsidRPr="00530179">
        <w:rPr>
          <w:szCs w:val="18"/>
        </w:rPr>
        <w:t>opulation</w:t>
      </w:r>
      <w:r w:rsidR="000B3727">
        <w:t>)</w:t>
      </w:r>
    </w:p>
    <w:p w14:paraId="7C4DE433" w14:textId="77777777" w:rsidR="003F6BBF" w:rsidRPr="00530179" w:rsidRDefault="003F6BBF" w:rsidP="003F6BBF">
      <w:pPr>
        <w:rPr>
          <w:lang w:eastAsia="ja-JP"/>
        </w:rPr>
      </w:pPr>
      <w:r w:rsidRPr="00530179">
        <w:rPr>
          <w:noProof/>
          <w:color w:val="2B579A"/>
          <w:shd w:val="clear" w:color="auto" w:fill="E6E6E6"/>
          <w:lang w:val="en-GB" w:eastAsia="en-GB"/>
        </w:rPr>
        <w:drawing>
          <wp:inline distT="0" distB="0" distL="0" distR="0" wp14:anchorId="5BDEA6CD" wp14:editId="45A5F82C">
            <wp:extent cx="4971592" cy="4502150"/>
            <wp:effectExtent l="19050" t="19050" r="19685" b="12700"/>
            <wp:docPr id="50" name="Picture 50" descr="Study C4591007 Phase II/III Subjects aged 5 to &lt; 12 years reporting systemic events, by maximum severity, within 7 days after each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82997" cy="4512478"/>
                    </a:xfrm>
                    <a:prstGeom prst="rect">
                      <a:avLst/>
                    </a:prstGeom>
                    <a:ln>
                      <a:solidFill>
                        <a:srgbClr val="002C47"/>
                      </a:solidFill>
                    </a:ln>
                  </pic:spPr>
                </pic:pic>
              </a:graphicData>
            </a:graphic>
          </wp:inline>
        </w:drawing>
      </w:r>
    </w:p>
    <w:p w14:paraId="533860AD" w14:textId="77777777" w:rsidR="003F6BBF" w:rsidRPr="00530179" w:rsidRDefault="003F6BBF" w:rsidP="000B3727">
      <w:pPr>
        <w:rPr>
          <w:lang w:eastAsia="ja-JP"/>
        </w:rPr>
      </w:pPr>
      <w:r w:rsidRPr="00530179">
        <w:rPr>
          <w:lang w:eastAsia="ja-JP"/>
        </w:rPr>
        <w:t>Severe systemic events were rare, occurring in ≤ 0.2% subjec</w:t>
      </w:r>
      <w:r w:rsidR="000B3727">
        <w:rPr>
          <w:lang w:eastAsia="ja-JP"/>
        </w:rPr>
        <w:t>ts following Dose 1 and Dose </w:t>
      </w:r>
      <w:r w:rsidRPr="00530179">
        <w:rPr>
          <w:lang w:eastAsia="ja-JP"/>
        </w:rPr>
        <w:t xml:space="preserve">2, only </w:t>
      </w:r>
      <w:r w:rsidR="000B3727">
        <w:rPr>
          <w:lang w:eastAsia="ja-JP"/>
        </w:rPr>
        <w:t>one subject had a fever &gt; 40°C</w:t>
      </w:r>
      <w:r w:rsidRPr="00530179">
        <w:rPr>
          <w:lang w:eastAsia="ja-JP"/>
        </w:rPr>
        <w:t xml:space="preserve">; this occurred on day 2 post-Dose 2 and lasted </w:t>
      </w:r>
      <w:r w:rsidR="000B3727">
        <w:rPr>
          <w:lang w:eastAsia="ja-JP"/>
        </w:rPr>
        <w:t>one day.</w:t>
      </w:r>
    </w:p>
    <w:p w14:paraId="34E1B945" w14:textId="77777777" w:rsidR="003F6BBF" w:rsidRPr="000B3727" w:rsidRDefault="003F6BBF" w:rsidP="000B3727">
      <w:r w:rsidRPr="000B3727">
        <w:t xml:space="preserve">Across groups, median </w:t>
      </w:r>
      <w:proofErr w:type="gramStart"/>
      <w:r w:rsidRPr="000B3727">
        <w:t>onset</w:t>
      </w:r>
      <w:proofErr w:type="gramEnd"/>
      <w:r w:rsidRPr="000B3727">
        <w:t xml:space="preserve"> or all systemic events after receiving </w:t>
      </w:r>
      <w:proofErr w:type="spellStart"/>
      <w:r w:rsidR="000B3727">
        <w:t>Comirnaty</w:t>
      </w:r>
      <w:proofErr w:type="spellEnd"/>
      <w:r w:rsidR="000B3727">
        <w:t xml:space="preserve"> was 1 to 4 </w:t>
      </w:r>
      <w:r w:rsidRPr="000B3727">
        <w:t>days after Dose 1 or Dose 2 (most had a median of 2 days post-dose), and all events resolved w</w:t>
      </w:r>
      <w:r w:rsidR="000B3727">
        <w:t>ith a median duration of 1 day.</w:t>
      </w:r>
    </w:p>
    <w:p w14:paraId="528D5F89" w14:textId="77777777" w:rsidR="003F6BBF" w:rsidRPr="000B3727" w:rsidRDefault="003F6BBF" w:rsidP="000B3727">
      <w:r w:rsidRPr="000B3727">
        <w:t>Overall, the pattern of systemic events reported in children 5 to &lt;</w:t>
      </w:r>
      <w:r w:rsidR="000B3727" w:rsidRPr="000B3727">
        <w:t xml:space="preserve"> </w:t>
      </w:r>
      <w:r w:rsidRPr="000B3727">
        <w:t>12 years of age after each dose, was generally comparable to, or less than, that obse</w:t>
      </w:r>
      <w:r w:rsidR="000B3727" w:rsidRPr="000B3727">
        <w:t>rved in prior analyses of Phase II/III</w:t>
      </w:r>
      <w:r w:rsidRPr="000B3727">
        <w:t xml:space="preserve"> participants ≥ 12 Years age in Study C4591001.</w:t>
      </w:r>
    </w:p>
    <w:p w14:paraId="1496F1F3" w14:textId="77777777" w:rsidR="003F6BBF" w:rsidRPr="00530179" w:rsidRDefault="000B3727" w:rsidP="000B3727">
      <w:pPr>
        <w:pStyle w:val="Heading6"/>
        <w:rPr>
          <w:lang w:eastAsia="ja-JP"/>
        </w:rPr>
      </w:pPr>
      <w:r>
        <w:rPr>
          <w:lang w:eastAsia="ja-JP"/>
        </w:rPr>
        <w:t xml:space="preserve">Adverse events from Dose 1 to one </w:t>
      </w:r>
      <w:r w:rsidR="003F6BBF" w:rsidRPr="00530179">
        <w:rPr>
          <w:lang w:eastAsia="ja-JP"/>
        </w:rPr>
        <w:t>month after Dose 2</w:t>
      </w:r>
    </w:p>
    <w:p w14:paraId="7DCCAF52" w14:textId="4269DD87" w:rsidR="003F6BBF" w:rsidRPr="000B3727" w:rsidRDefault="003F6BBF" w:rsidP="000B3727">
      <w:r w:rsidRPr="000B3727">
        <w:t xml:space="preserve">Frequencies of </w:t>
      </w:r>
      <w:r w:rsidR="000B3727" w:rsidRPr="000B3727">
        <w:t>adverse events</w:t>
      </w:r>
      <w:r w:rsidRPr="000B3727">
        <w:t xml:space="preserve"> were comparable in </w:t>
      </w:r>
      <w:proofErr w:type="spellStart"/>
      <w:r w:rsidR="000B3727" w:rsidRPr="000B3727">
        <w:t>Comirnaty</w:t>
      </w:r>
      <w:proofErr w:type="spellEnd"/>
      <w:r w:rsidR="000B3727" w:rsidRPr="000B3727">
        <w:t xml:space="preserve"> (vaccine)</w:t>
      </w:r>
      <w:r w:rsidRPr="000B3727">
        <w:t xml:space="preserve"> and placebo recipients (10.9% </w:t>
      </w:r>
      <w:r w:rsidR="000B3727" w:rsidRPr="000B3727">
        <w:t>versus</w:t>
      </w:r>
      <w:r w:rsidRPr="000B3727">
        <w:t xml:space="preserve"> 9.2% respectively). An overview of </w:t>
      </w:r>
      <w:r w:rsidR="000B3727" w:rsidRPr="000B3727">
        <w:t>adverse events</w:t>
      </w:r>
      <w:r w:rsidRPr="000B3727">
        <w:t xml:space="preserve"> (including relatedness to vaccination a</w:t>
      </w:r>
      <w:r w:rsidR="000B3727">
        <w:t xml:space="preserve">nd seriousness) is presented in </w:t>
      </w:r>
      <w:r w:rsidR="000B3727">
        <w:rPr>
          <w:color w:val="2B579A"/>
          <w:shd w:val="clear" w:color="auto" w:fill="E6E6E6"/>
        </w:rPr>
        <w:fldChar w:fldCharType="begin"/>
      </w:r>
      <w:r w:rsidR="000B3727">
        <w:instrText xml:space="preserve"> REF _Ref89040241 \h </w:instrText>
      </w:r>
      <w:r w:rsidR="000B3727">
        <w:rPr>
          <w:color w:val="2B579A"/>
          <w:shd w:val="clear" w:color="auto" w:fill="E6E6E6"/>
        </w:rPr>
      </w:r>
      <w:r w:rsidR="000B3727">
        <w:rPr>
          <w:color w:val="2B579A"/>
          <w:shd w:val="clear" w:color="auto" w:fill="E6E6E6"/>
        </w:rPr>
        <w:fldChar w:fldCharType="separate"/>
      </w:r>
      <w:r w:rsidR="00866CEE">
        <w:t xml:space="preserve">Table </w:t>
      </w:r>
      <w:r w:rsidR="00866CEE">
        <w:rPr>
          <w:noProof/>
        </w:rPr>
        <w:t>20</w:t>
      </w:r>
      <w:r w:rsidR="00866CEE">
        <w:t>.</w:t>
      </w:r>
      <w:r w:rsidR="000B3727">
        <w:rPr>
          <w:color w:val="2B579A"/>
          <w:shd w:val="clear" w:color="auto" w:fill="E6E6E6"/>
        </w:rPr>
        <w:fldChar w:fldCharType="end"/>
      </w:r>
    </w:p>
    <w:p w14:paraId="306ED7E6" w14:textId="77777777" w:rsidR="003F6BBF" w:rsidRPr="00530179" w:rsidRDefault="003F6BBF" w:rsidP="003F6BBF">
      <w:pPr>
        <w:rPr>
          <w:lang w:eastAsia="ja-JP"/>
        </w:rPr>
      </w:pPr>
      <w:r w:rsidRPr="00530179">
        <w:rPr>
          <w:lang w:eastAsia="ja-JP"/>
        </w:rPr>
        <w:t xml:space="preserve">In </w:t>
      </w:r>
      <w:proofErr w:type="spellStart"/>
      <w:r w:rsidR="000B3727">
        <w:rPr>
          <w:lang w:eastAsia="ja-JP"/>
        </w:rPr>
        <w:t>Comirnaty</w:t>
      </w:r>
      <w:proofErr w:type="spellEnd"/>
      <w:r w:rsidR="000B3727">
        <w:rPr>
          <w:lang w:eastAsia="ja-JP"/>
        </w:rPr>
        <w:t xml:space="preserve"> (vaccine)</w:t>
      </w:r>
      <w:r w:rsidRPr="00530179">
        <w:rPr>
          <w:lang w:eastAsia="ja-JP"/>
        </w:rPr>
        <w:t xml:space="preserve"> recipients, there were 2 severe </w:t>
      </w:r>
      <w:r w:rsidR="000B3727">
        <w:rPr>
          <w:lang w:eastAsia="ja-JP"/>
        </w:rPr>
        <w:t>adverse events</w:t>
      </w:r>
      <w:r w:rsidRPr="00530179">
        <w:rPr>
          <w:lang w:eastAsia="ja-JP"/>
        </w:rPr>
        <w:t xml:space="preserve"> reported (v</w:t>
      </w:r>
      <w:r w:rsidR="000B3727">
        <w:rPr>
          <w:lang w:eastAsia="ja-JP"/>
        </w:rPr>
        <w:t>ersus one</w:t>
      </w:r>
      <w:r w:rsidRPr="00530179">
        <w:rPr>
          <w:lang w:eastAsia="ja-JP"/>
        </w:rPr>
        <w:t xml:space="preserve"> in the placebo group) but there were no </w:t>
      </w:r>
      <w:r w:rsidR="000B3727">
        <w:rPr>
          <w:lang w:eastAsia="ja-JP"/>
        </w:rPr>
        <w:t xml:space="preserve">serious adverse </w:t>
      </w:r>
      <w:proofErr w:type="gramStart"/>
      <w:r w:rsidR="000B3727">
        <w:rPr>
          <w:lang w:eastAsia="ja-JP"/>
        </w:rPr>
        <w:t>events</w:t>
      </w:r>
      <w:proofErr w:type="gramEnd"/>
      <w:r w:rsidRPr="00530179">
        <w:rPr>
          <w:lang w:eastAsia="ja-JP"/>
        </w:rPr>
        <w:t xml:space="preserve"> and none led to study withdr</w:t>
      </w:r>
      <w:r w:rsidR="000B3727">
        <w:rPr>
          <w:lang w:eastAsia="ja-JP"/>
        </w:rPr>
        <w:t>awal.</w:t>
      </w:r>
    </w:p>
    <w:p w14:paraId="275D56D1" w14:textId="35419CE4" w:rsidR="000B3727" w:rsidRDefault="000B3727" w:rsidP="000B3727">
      <w:pPr>
        <w:pStyle w:val="TableTitle"/>
      </w:pPr>
      <w:bookmarkStart w:id="62" w:name="_Ref89040241"/>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66CEE">
        <w:rPr>
          <w:noProof/>
        </w:rPr>
        <w:t>20</w:t>
      </w:r>
      <w:r>
        <w:rPr>
          <w:color w:val="2B579A"/>
          <w:shd w:val="clear" w:color="auto" w:fill="E6E6E6"/>
        </w:rPr>
        <w:fldChar w:fldCharType="end"/>
      </w:r>
      <w:r>
        <w:t xml:space="preserve">: Study C4591007 Phase II/III </w:t>
      </w:r>
      <w:r w:rsidRPr="00530179">
        <w:t xml:space="preserve">Number (%) of </w:t>
      </w:r>
      <w:r>
        <w:t xml:space="preserve">subjects aged 5 to &lt; 2 years of age reporting at least one </w:t>
      </w:r>
      <w:r w:rsidRPr="00530179">
        <w:t xml:space="preserve">adverse event from </w:t>
      </w:r>
      <w:r>
        <w:t>Dose 1 to one month after Dose 2 (safety population)</w:t>
      </w:r>
      <w:bookmarkEnd w:id="62"/>
    </w:p>
    <w:p w14:paraId="42D8559C" w14:textId="115DBB04" w:rsidR="003F6BBF" w:rsidRDefault="003F6BBF" w:rsidP="003F6BBF">
      <w:pPr>
        <w:rPr>
          <w:lang w:eastAsia="ja-JP"/>
        </w:rPr>
      </w:pPr>
      <w:r w:rsidRPr="00530179">
        <w:rPr>
          <w:noProof/>
          <w:color w:val="2B579A"/>
          <w:shd w:val="clear" w:color="auto" w:fill="E6E6E6"/>
          <w:lang w:val="en-GB" w:eastAsia="en-GB"/>
        </w:rPr>
        <w:drawing>
          <wp:inline distT="0" distB="0" distL="0" distR="0" wp14:anchorId="4DC37110" wp14:editId="08A6192F">
            <wp:extent cx="5420156" cy="4222750"/>
            <wp:effectExtent l="0" t="0" r="9525" b="6350"/>
            <wp:docPr id="51" name="Picture 51" descr="Study C4591007 Phase II/III Number (%) of subjects aged 5 to &lt; 2 years of age reporting at least one adverse event from Dose 1 to one month after Dose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3305" cy="4232994"/>
                    </a:xfrm>
                    <a:prstGeom prst="rect">
                      <a:avLst/>
                    </a:prstGeom>
                  </pic:spPr>
                </pic:pic>
              </a:graphicData>
            </a:graphic>
          </wp:inline>
        </w:drawing>
      </w:r>
    </w:p>
    <w:p w14:paraId="53DC52A2" w14:textId="648BAB3C" w:rsidR="0092177B" w:rsidRPr="00530179" w:rsidRDefault="0092177B" w:rsidP="00D15B9E">
      <w:pPr>
        <w:pStyle w:val="TableDescription"/>
        <w:rPr>
          <w:lang w:eastAsia="ja-JP"/>
        </w:rPr>
      </w:pPr>
      <w:r>
        <w:rPr>
          <w:lang w:eastAsia="ja-JP"/>
        </w:rPr>
        <w:t xml:space="preserve">Note: BNT162b2 refers to </w:t>
      </w:r>
      <w:proofErr w:type="spellStart"/>
      <w:r>
        <w:rPr>
          <w:lang w:eastAsia="ja-JP"/>
        </w:rPr>
        <w:t>Comirnaty</w:t>
      </w:r>
      <w:proofErr w:type="spellEnd"/>
      <w:r>
        <w:rPr>
          <w:lang w:eastAsia="ja-JP"/>
        </w:rPr>
        <w:t xml:space="preserve"> (</w:t>
      </w:r>
      <w:proofErr w:type="spellStart"/>
      <w:r>
        <w:rPr>
          <w:lang w:eastAsia="ja-JP"/>
        </w:rPr>
        <w:t>tozinameran</w:t>
      </w:r>
      <w:proofErr w:type="spellEnd"/>
      <w:r>
        <w:rPr>
          <w:lang w:eastAsia="ja-JP"/>
        </w:rPr>
        <w:t>) vaccine</w:t>
      </w:r>
    </w:p>
    <w:p w14:paraId="005918AB" w14:textId="77777777" w:rsidR="003F6BBF" w:rsidRPr="00530179" w:rsidRDefault="00A666D7" w:rsidP="00A666D7">
      <w:pPr>
        <w:rPr>
          <w:lang w:eastAsia="ja-JP"/>
        </w:rPr>
      </w:pPr>
      <w:r>
        <w:rPr>
          <w:lang w:eastAsia="ja-JP"/>
        </w:rPr>
        <w:t>Adverse events by System Organ Class (SOC) are reflected as</w:t>
      </w:r>
      <w:r w:rsidR="003F6BBF" w:rsidRPr="00530179">
        <w:rPr>
          <w:lang w:eastAsia="ja-JP"/>
        </w:rPr>
        <w:t xml:space="preserve"> reactogenicity SOCs</w:t>
      </w:r>
      <w:r>
        <w:rPr>
          <w:lang w:eastAsia="ja-JP"/>
        </w:rPr>
        <w:t>,</w:t>
      </w:r>
      <w:r w:rsidR="003F6BBF" w:rsidRPr="00530179">
        <w:rPr>
          <w:lang w:eastAsia="ja-JP"/>
        </w:rPr>
        <w:t xml:space="preserve"> as follows (for </w:t>
      </w:r>
      <w:proofErr w:type="spellStart"/>
      <w:r>
        <w:rPr>
          <w:lang w:eastAsia="ja-JP"/>
        </w:rPr>
        <w:t>Comirnaty</w:t>
      </w:r>
      <w:proofErr w:type="spellEnd"/>
      <w:r>
        <w:rPr>
          <w:lang w:eastAsia="ja-JP"/>
        </w:rPr>
        <w:t xml:space="preserve"> (vaccine) versus</w:t>
      </w:r>
      <w:r w:rsidR="003F6BBF" w:rsidRPr="00530179">
        <w:rPr>
          <w:lang w:eastAsia="ja-JP"/>
        </w:rPr>
        <w:t xml:space="preserve"> placebo):</w:t>
      </w:r>
    </w:p>
    <w:p w14:paraId="7514072C" w14:textId="77777777" w:rsidR="003F6BBF" w:rsidRPr="00530179" w:rsidRDefault="00A666D7" w:rsidP="00A666D7">
      <w:pPr>
        <w:pStyle w:val="ListBullet"/>
        <w:rPr>
          <w:lang w:eastAsia="ja-JP"/>
        </w:rPr>
      </w:pPr>
      <w:r>
        <w:rPr>
          <w:lang w:eastAsia="ja-JP"/>
        </w:rPr>
        <w:t>SOC G</w:t>
      </w:r>
      <w:r w:rsidR="003F6BBF" w:rsidRPr="00530179">
        <w:rPr>
          <w:lang w:eastAsia="ja-JP"/>
        </w:rPr>
        <w:t>eneral disorders and adminis</w:t>
      </w:r>
      <w:r>
        <w:rPr>
          <w:lang w:eastAsia="ja-JP"/>
        </w:rPr>
        <w:t>tration site conditions: 1.6% versus</w:t>
      </w:r>
      <w:r w:rsidR="003F6BBF" w:rsidRPr="00530179">
        <w:rPr>
          <w:lang w:eastAsia="ja-JP"/>
        </w:rPr>
        <w:t xml:space="preserve"> 1.7%</w:t>
      </w:r>
    </w:p>
    <w:p w14:paraId="1C6425E3" w14:textId="77777777" w:rsidR="003F6BBF" w:rsidRPr="00530179" w:rsidRDefault="00A666D7" w:rsidP="00A666D7">
      <w:pPr>
        <w:pStyle w:val="ListBullet"/>
        <w:rPr>
          <w:lang w:eastAsia="ja-JP"/>
        </w:rPr>
      </w:pPr>
      <w:r>
        <w:rPr>
          <w:lang w:eastAsia="ja-JP"/>
        </w:rPr>
        <w:t>SOC G</w:t>
      </w:r>
      <w:r w:rsidR="003F6BBF" w:rsidRPr="00530179">
        <w:rPr>
          <w:lang w:eastAsia="ja-JP"/>
        </w:rPr>
        <w:t xml:space="preserve">astrointestinal disorders: 1.6% </w:t>
      </w:r>
      <w:r>
        <w:rPr>
          <w:lang w:eastAsia="ja-JP"/>
        </w:rPr>
        <w:t>versus</w:t>
      </w:r>
      <w:r w:rsidR="003F6BBF" w:rsidRPr="00530179">
        <w:rPr>
          <w:lang w:eastAsia="ja-JP"/>
        </w:rPr>
        <w:t xml:space="preserve"> 1.7%</w:t>
      </w:r>
    </w:p>
    <w:p w14:paraId="490E43EA" w14:textId="77777777" w:rsidR="003F6BBF" w:rsidRPr="00530179" w:rsidRDefault="00A666D7" w:rsidP="00A666D7">
      <w:pPr>
        <w:pStyle w:val="ListBullet"/>
        <w:rPr>
          <w:lang w:eastAsia="ja-JP"/>
        </w:rPr>
      </w:pPr>
      <w:r>
        <w:rPr>
          <w:lang w:eastAsia="ja-JP"/>
        </w:rPr>
        <w:t>SOC N</w:t>
      </w:r>
      <w:r w:rsidR="003F6BBF" w:rsidRPr="00530179">
        <w:rPr>
          <w:lang w:eastAsia="ja-JP"/>
        </w:rPr>
        <w:t xml:space="preserve">ervous system disorders: 0.7% </w:t>
      </w:r>
      <w:r>
        <w:rPr>
          <w:lang w:eastAsia="ja-JP"/>
        </w:rPr>
        <w:t>versus</w:t>
      </w:r>
      <w:r w:rsidR="003F6BBF" w:rsidRPr="00530179">
        <w:rPr>
          <w:lang w:eastAsia="ja-JP"/>
        </w:rPr>
        <w:t xml:space="preserve"> 0.5%</w:t>
      </w:r>
    </w:p>
    <w:p w14:paraId="435048AA" w14:textId="77777777" w:rsidR="003F6BBF" w:rsidRPr="00530179" w:rsidRDefault="00A666D7" w:rsidP="00A666D7">
      <w:pPr>
        <w:pStyle w:val="ListBullet"/>
        <w:rPr>
          <w:lang w:eastAsia="ja-JP"/>
        </w:rPr>
      </w:pPr>
      <w:r>
        <w:rPr>
          <w:lang w:eastAsia="ja-JP"/>
        </w:rPr>
        <w:t>SOC M</w:t>
      </w:r>
      <w:r w:rsidR="003F6BBF" w:rsidRPr="00530179">
        <w:rPr>
          <w:lang w:eastAsia="ja-JP"/>
        </w:rPr>
        <w:t>usculoskeletal and connective tissue disorders: 0.5% v</w:t>
      </w:r>
      <w:r>
        <w:rPr>
          <w:lang w:eastAsia="ja-JP"/>
        </w:rPr>
        <w:t>ersu</w:t>
      </w:r>
      <w:r w:rsidR="003F6BBF" w:rsidRPr="00530179">
        <w:rPr>
          <w:lang w:eastAsia="ja-JP"/>
        </w:rPr>
        <w:t>s 0.7%.</w:t>
      </w:r>
    </w:p>
    <w:p w14:paraId="7A0087BB" w14:textId="77777777" w:rsidR="003F6BBF" w:rsidRPr="00530179" w:rsidRDefault="003F6BBF" w:rsidP="00A666D7">
      <w:pPr>
        <w:rPr>
          <w:lang w:eastAsia="ja-JP"/>
        </w:rPr>
      </w:pPr>
      <w:r w:rsidRPr="00530179">
        <w:rPr>
          <w:lang w:eastAsia="ja-JP"/>
        </w:rPr>
        <w:t xml:space="preserve">The frequency of related </w:t>
      </w:r>
      <w:r w:rsidR="00A666D7">
        <w:rPr>
          <w:lang w:eastAsia="ja-JP"/>
        </w:rPr>
        <w:t>adverse events</w:t>
      </w:r>
      <w:r w:rsidRPr="00530179">
        <w:rPr>
          <w:lang w:eastAsia="ja-JP"/>
        </w:rPr>
        <w:t xml:space="preserve"> was similar to participants </w:t>
      </w:r>
      <w:r w:rsidR="00A666D7">
        <w:rPr>
          <w:lang w:eastAsia="ja-JP"/>
        </w:rPr>
        <w:t>aged 12 to 15 years in S</w:t>
      </w:r>
      <w:r w:rsidRPr="00530179">
        <w:rPr>
          <w:lang w:eastAsia="ja-JP"/>
        </w:rPr>
        <w:t xml:space="preserve">tudy </w:t>
      </w:r>
      <w:r w:rsidR="00A666D7">
        <w:rPr>
          <w:lang w:eastAsia="ja-JP"/>
        </w:rPr>
        <w:t xml:space="preserve">C4591001 and less than those 16 to </w:t>
      </w:r>
      <w:r w:rsidRPr="00530179">
        <w:rPr>
          <w:lang w:eastAsia="ja-JP"/>
        </w:rPr>
        <w:t xml:space="preserve">25 years The types and frequencies of </w:t>
      </w:r>
      <w:r w:rsidR="00A666D7">
        <w:rPr>
          <w:lang w:eastAsia="ja-JP"/>
        </w:rPr>
        <w:t>adverse events</w:t>
      </w:r>
      <w:r w:rsidRPr="00530179">
        <w:rPr>
          <w:lang w:eastAsia="ja-JP"/>
        </w:rPr>
        <w:t xml:space="preserve"> reported in children </w:t>
      </w:r>
      <w:r w:rsidR="00A666D7">
        <w:rPr>
          <w:lang w:eastAsia="ja-JP"/>
        </w:rPr>
        <w:t xml:space="preserve">aged 5 to </w:t>
      </w:r>
      <w:r w:rsidRPr="00530179">
        <w:rPr>
          <w:lang w:eastAsia="ja-JP"/>
        </w:rPr>
        <w:t xml:space="preserve">11 years, was comparable to those for adolescents </w:t>
      </w:r>
      <w:r w:rsidR="00A666D7">
        <w:rPr>
          <w:lang w:eastAsia="ja-JP"/>
        </w:rPr>
        <w:t xml:space="preserve">aged 12 to </w:t>
      </w:r>
      <w:r w:rsidRPr="00530179">
        <w:rPr>
          <w:lang w:eastAsia="ja-JP"/>
        </w:rPr>
        <w:t>15 years.</w:t>
      </w:r>
    </w:p>
    <w:p w14:paraId="0164194F" w14:textId="77777777" w:rsidR="003F6BBF" w:rsidRPr="00530179" w:rsidRDefault="003F6BBF" w:rsidP="00A666D7">
      <w:pPr>
        <w:pStyle w:val="ListBullet"/>
        <w:rPr>
          <w:lang w:eastAsia="ja-JP"/>
        </w:rPr>
      </w:pPr>
      <w:r w:rsidRPr="00530179">
        <w:rPr>
          <w:lang w:eastAsia="ja-JP"/>
        </w:rPr>
        <w:t xml:space="preserve">Blood and lymphatic system disorders (inclusive of lymphadenopathy and lymph node pain): 0.9% </w:t>
      </w:r>
      <w:r w:rsidR="00A666D7">
        <w:rPr>
          <w:lang w:eastAsia="ja-JP"/>
        </w:rPr>
        <w:t>versus</w:t>
      </w:r>
      <w:r w:rsidRPr="00530179">
        <w:rPr>
          <w:lang w:eastAsia="ja-JP"/>
        </w:rPr>
        <w:t xml:space="preserve"> 0.1% respectively. This compares to frequencies of 0.8% in previously reported a</w:t>
      </w:r>
      <w:r w:rsidR="00A666D7">
        <w:rPr>
          <w:lang w:eastAsia="ja-JP"/>
        </w:rPr>
        <w:t xml:space="preserve">dolescents and 0.2% in those aged 16 to </w:t>
      </w:r>
      <w:r w:rsidRPr="00530179">
        <w:rPr>
          <w:lang w:eastAsia="ja-JP"/>
        </w:rPr>
        <w:t>25 years.</w:t>
      </w:r>
    </w:p>
    <w:p w14:paraId="782B8F49" w14:textId="77777777" w:rsidR="003F6BBF" w:rsidRPr="00A666D7" w:rsidRDefault="003F6BBF" w:rsidP="00A666D7">
      <w:pPr>
        <w:pStyle w:val="ListBullet"/>
      </w:pPr>
      <w:r w:rsidRPr="00A666D7">
        <w:t xml:space="preserve">Skin and subcutaneous disorders (inclusive of rashes, urticaria, eczema and pruritus): 1.4% </w:t>
      </w:r>
      <w:r w:rsidR="00A666D7">
        <w:t>versus</w:t>
      </w:r>
      <w:r w:rsidRPr="00A666D7">
        <w:t xml:space="preserve"> 0.8%. This compares to frequencies of 0.5% in adolescents and 0.9% in those </w:t>
      </w:r>
      <w:r w:rsidR="00A666D7">
        <w:t xml:space="preserve">aged 16 to </w:t>
      </w:r>
      <w:r w:rsidRPr="00A666D7">
        <w:t>25 years.</w:t>
      </w:r>
    </w:p>
    <w:p w14:paraId="3A24EE70" w14:textId="02D2BC62" w:rsidR="003F6BBF" w:rsidRPr="00530179" w:rsidRDefault="00A666D7" w:rsidP="00A666D7">
      <w:pPr>
        <w:pStyle w:val="ListBullet"/>
        <w:rPr>
          <w:lang w:eastAsia="ja-JP"/>
        </w:rPr>
      </w:pPr>
      <w:r>
        <w:rPr>
          <w:lang w:eastAsia="ja-JP"/>
        </w:rPr>
        <w:t>Cardiac disorders: One</w:t>
      </w:r>
      <w:r w:rsidR="003F6BBF" w:rsidRPr="00530179">
        <w:rPr>
          <w:lang w:eastAsia="ja-JP"/>
        </w:rPr>
        <w:t xml:space="preserve"> participant in the </w:t>
      </w:r>
      <w:proofErr w:type="spellStart"/>
      <w:r w:rsidR="005D1794">
        <w:rPr>
          <w:lang w:eastAsia="ja-JP"/>
        </w:rPr>
        <w:t>Comirnaty</w:t>
      </w:r>
      <w:proofErr w:type="spellEnd"/>
      <w:r>
        <w:rPr>
          <w:lang w:eastAsia="ja-JP"/>
        </w:rPr>
        <w:t xml:space="preserve"> (vaccine)</w:t>
      </w:r>
      <w:r w:rsidR="003F6BBF" w:rsidRPr="00530179">
        <w:rPr>
          <w:lang w:eastAsia="ja-JP"/>
        </w:rPr>
        <w:t xml:space="preserve"> group had a Grade 1 event of ‘angina pectoris’ that was considered by the Investigator as </w:t>
      </w:r>
      <w:proofErr w:type="gramStart"/>
      <w:r w:rsidR="003F6BBF" w:rsidRPr="00530179">
        <w:rPr>
          <w:lang w:eastAsia="ja-JP"/>
        </w:rPr>
        <w:t>study-related</w:t>
      </w:r>
      <w:proofErr w:type="gramEnd"/>
      <w:r w:rsidR="003F6BBF" w:rsidRPr="00530179">
        <w:rPr>
          <w:lang w:eastAsia="ja-JP"/>
        </w:rPr>
        <w:t xml:space="preserve">. </w:t>
      </w:r>
      <w:r w:rsidR="003F6BBF" w:rsidRPr="00530179">
        <w:rPr>
          <w:lang w:eastAsia="ja-JP"/>
        </w:rPr>
        <w:lastRenderedPageBreak/>
        <w:t>This represented mild, transien</w:t>
      </w:r>
      <w:r w:rsidR="00B323F7">
        <w:rPr>
          <w:lang w:eastAsia="ja-JP"/>
        </w:rPr>
        <w:t>t chest pain lasting one</w:t>
      </w:r>
      <w:r w:rsidR="003F6BBF" w:rsidRPr="00530179">
        <w:rPr>
          <w:lang w:eastAsia="ja-JP"/>
        </w:rPr>
        <w:t xml:space="preserve"> minute that was reported 2 days post-Dose 2, then resolved without sequalae.</w:t>
      </w:r>
    </w:p>
    <w:p w14:paraId="35DC1AED" w14:textId="77777777" w:rsidR="003F6BBF" w:rsidRPr="00530179" w:rsidRDefault="003F6BBF" w:rsidP="00A666D7">
      <w:pPr>
        <w:rPr>
          <w:lang w:eastAsia="ja-JP"/>
        </w:rPr>
      </w:pPr>
      <w:r w:rsidRPr="00530179">
        <w:rPr>
          <w:lang w:eastAsia="ja-JP"/>
        </w:rPr>
        <w:t xml:space="preserve">There were no </w:t>
      </w:r>
      <w:r w:rsidR="00A666D7">
        <w:rPr>
          <w:lang w:eastAsia="ja-JP"/>
        </w:rPr>
        <w:t>Preferred Terms</w:t>
      </w:r>
      <w:r w:rsidRPr="00530179">
        <w:rPr>
          <w:lang w:eastAsia="ja-JP"/>
        </w:rPr>
        <w:t xml:space="preserve"> that would be considered as per-protocol Tier 2 events (</w:t>
      </w:r>
      <w:r w:rsidR="00A666D7">
        <w:rPr>
          <w:lang w:eastAsia="ja-JP"/>
        </w:rPr>
        <w:t xml:space="preserve">that is, </w:t>
      </w:r>
      <w:r w:rsidRPr="00530179">
        <w:rPr>
          <w:lang w:eastAsia="ja-JP"/>
        </w:rPr>
        <w:t>1.0%</w:t>
      </w:r>
      <w:r w:rsidR="00A666D7">
        <w:rPr>
          <w:lang w:eastAsia="ja-JP"/>
        </w:rPr>
        <w:t xml:space="preserve"> or more</w:t>
      </w:r>
      <w:r w:rsidRPr="00530179">
        <w:rPr>
          <w:lang w:eastAsia="ja-JP"/>
        </w:rPr>
        <w:t xml:space="preserve">) in any vaccine group; the closest was lymphadenopathy at 0.9% in the </w:t>
      </w:r>
      <w:proofErr w:type="spellStart"/>
      <w:r w:rsidR="00A666D7">
        <w:rPr>
          <w:lang w:eastAsia="ja-JP"/>
        </w:rPr>
        <w:t>Comirnaty</w:t>
      </w:r>
      <w:proofErr w:type="spellEnd"/>
      <w:r w:rsidR="00A666D7">
        <w:rPr>
          <w:lang w:eastAsia="ja-JP"/>
        </w:rPr>
        <w:t xml:space="preserve"> (vaccine)</w:t>
      </w:r>
      <w:r w:rsidRPr="00530179">
        <w:rPr>
          <w:lang w:eastAsia="ja-JP"/>
        </w:rPr>
        <w:t xml:space="preserve"> group.</w:t>
      </w:r>
    </w:p>
    <w:p w14:paraId="5801C093" w14:textId="77777777" w:rsidR="003F6BBF" w:rsidRPr="00530179" w:rsidRDefault="003F6BBF" w:rsidP="00A666D7">
      <w:pPr>
        <w:rPr>
          <w:lang w:eastAsia="ja-JP"/>
        </w:rPr>
      </w:pPr>
      <w:r w:rsidRPr="00530179">
        <w:rPr>
          <w:lang w:eastAsia="ja-JP"/>
        </w:rPr>
        <w:t xml:space="preserve">The profile of </w:t>
      </w:r>
      <w:r w:rsidR="00A666D7">
        <w:rPr>
          <w:lang w:eastAsia="ja-JP"/>
        </w:rPr>
        <w:t>adverse events</w:t>
      </w:r>
      <w:r w:rsidRPr="00530179">
        <w:rPr>
          <w:lang w:eastAsia="ja-JP"/>
        </w:rPr>
        <w:t xml:space="preserve"> by </w:t>
      </w:r>
      <w:r w:rsidR="00A666D7">
        <w:rPr>
          <w:lang w:eastAsia="ja-JP"/>
        </w:rPr>
        <w:t>System Organ Classes and Preferred Terms</w:t>
      </w:r>
      <w:r w:rsidRPr="00530179">
        <w:rPr>
          <w:lang w:eastAsia="ja-JP"/>
        </w:rPr>
        <w:t xml:space="preserve"> in general (and for those related to lymphadenopathy in particular) showed no obvious meaningful clinical variation across demographic or serostatus subgroups.</w:t>
      </w:r>
    </w:p>
    <w:p w14:paraId="5645B65F" w14:textId="77777777" w:rsidR="003F6BBF" w:rsidRPr="00530179" w:rsidRDefault="003F6BBF" w:rsidP="00A666D7">
      <w:pPr>
        <w:pStyle w:val="Heading6"/>
        <w:rPr>
          <w:lang w:eastAsia="ja-JP"/>
        </w:rPr>
      </w:pPr>
      <w:r w:rsidRPr="00530179">
        <w:rPr>
          <w:lang w:eastAsia="ja-JP"/>
        </w:rPr>
        <w:t xml:space="preserve">Related </w:t>
      </w:r>
      <w:r w:rsidR="00A666D7">
        <w:rPr>
          <w:lang w:eastAsia="ja-JP"/>
        </w:rPr>
        <w:t>adverse events</w:t>
      </w:r>
      <w:r w:rsidRPr="00530179">
        <w:rPr>
          <w:lang w:eastAsia="ja-JP"/>
        </w:rPr>
        <w:t xml:space="preserve"> from Dose 1 to 1 month after Dose 2</w:t>
      </w:r>
    </w:p>
    <w:p w14:paraId="4B7234BA" w14:textId="77777777" w:rsidR="003F6BBF" w:rsidRPr="00A666D7" w:rsidRDefault="003F6BBF" w:rsidP="00A666D7">
      <w:r w:rsidRPr="00A666D7">
        <w:t xml:space="preserve">These occurred at a slightly higher frequency in the </w:t>
      </w:r>
      <w:proofErr w:type="spellStart"/>
      <w:r w:rsidR="00A666D7" w:rsidRPr="00A666D7">
        <w:t>Comirnaty</w:t>
      </w:r>
      <w:proofErr w:type="spellEnd"/>
      <w:r w:rsidR="00A666D7" w:rsidRPr="00A666D7">
        <w:t xml:space="preserve"> (vaccine)</w:t>
      </w:r>
      <w:r w:rsidRPr="00A666D7">
        <w:t xml:space="preserve"> group (3.0%) th</w:t>
      </w:r>
      <w:r w:rsidR="00A666D7">
        <w:t>an in the placebo group (2.1%)</w:t>
      </w:r>
      <w:r w:rsidRPr="00A666D7">
        <w:t xml:space="preserve">. Most related </w:t>
      </w:r>
      <w:r w:rsidR="00A666D7" w:rsidRPr="00A666D7">
        <w:t>adverse events</w:t>
      </w:r>
      <w:r w:rsidRPr="00A666D7">
        <w:t xml:space="preserve"> represented reactogenicity events.</w:t>
      </w:r>
    </w:p>
    <w:p w14:paraId="775D91B8" w14:textId="77777777" w:rsidR="003F6BBF" w:rsidRPr="00530179" w:rsidRDefault="003F6BBF" w:rsidP="00A666D7">
      <w:pPr>
        <w:rPr>
          <w:lang w:eastAsia="ja-JP"/>
        </w:rPr>
      </w:pPr>
      <w:r w:rsidRPr="00530179">
        <w:rPr>
          <w:lang w:eastAsia="ja-JP"/>
        </w:rPr>
        <w:t xml:space="preserve">The </w:t>
      </w:r>
      <w:r w:rsidRPr="00A666D7">
        <w:t>following</w:t>
      </w:r>
      <w:r w:rsidRPr="00530179">
        <w:rPr>
          <w:lang w:eastAsia="ja-JP"/>
        </w:rPr>
        <w:t xml:space="preserve"> was of note to the Delegate:</w:t>
      </w:r>
    </w:p>
    <w:p w14:paraId="5BAC2AFD" w14:textId="17354A14" w:rsidR="003F6BBF" w:rsidRPr="00530179" w:rsidRDefault="003F6BBF" w:rsidP="00A666D7">
      <w:pPr>
        <w:pStyle w:val="ListBullet"/>
        <w:rPr>
          <w:lang w:eastAsia="ja-JP"/>
        </w:rPr>
      </w:pPr>
      <w:r w:rsidRPr="00A666D7">
        <w:rPr>
          <w:bCs/>
          <w:lang w:eastAsia="ja-JP"/>
        </w:rPr>
        <w:t>Lymphadenopathy</w:t>
      </w:r>
      <w:r w:rsidRPr="00A666D7">
        <w:rPr>
          <w:lang w:eastAsia="ja-JP"/>
        </w:rPr>
        <w:t xml:space="preserve"> </w:t>
      </w:r>
      <w:r w:rsidRPr="00530179">
        <w:rPr>
          <w:lang w:eastAsia="ja-JP"/>
        </w:rPr>
        <w:t xml:space="preserve">was reported in 0.7% of the </w:t>
      </w:r>
      <w:r w:rsidR="00A666D7">
        <w:rPr>
          <w:lang w:eastAsia="ja-JP"/>
        </w:rPr>
        <w:t>vaccine (</w:t>
      </w:r>
      <w:proofErr w:type="spellStart"/>
      <w:r w:rsidR="005D1794">
        <w:rPr>
          <w:lang w:eastAsia="ja-JP"/>
        </w:rPr>
        <w:t>Comirnaty</w:t>
      </w:r>
      <w:proofErr w:type="spellEnd"/>
      <w:r w:rsidR="00A666D7">
        <w:rPr>
          <w:lang w:eastAsia="ja-JP"/>
        </w:rPr>
        <w:t>)</w:t>
      </w:r>
      <w:r w:rsidRPr="00530179">
        <w:rPr>
          <w:lang w:eastAsia="ja-JP"/>
        </w:rPr>
        <w:t xml:space="preserve"> group and 0.0% of the placebo group. All cases were considered</w:t>
      </w:r>
      <w:r w:rsidR="00A666D7">
        <w:rPr>
          <w:lang w:eastAsia="ja-JP"/>
        </w:rPr>
        <w:t xml:space="preserve"> mild. There was an additional one</w:t>
      </w:r>
      <w:r w:rsidRPr="00530179">
        <w:rPr>
          <w:lang w:eastAsia="ja-JP"/>
        </w:rPr>
        <w:t xml:space="preserve"> case (0.1%) of lymph node pain in the </w:t>
      </w:r>
      <w:proofErr w:type="spellStart"/>
      <w:r w:rsidR="00A666D7">
        <w:rPr>
          <w:lang w:eastAsia="ja-JP"/>
        </w:rPr>
        <w:t>Comirnaty</w:t>
      </w:r>
      <w:proofErr w:type="spellEnd"/>
      <w:r w:rsidR="00A666D7">
        <w:rPr>
          <w:lang w:eastAsia="ja-JP"/>
        </w:rPr>
        <w:t xml:space="preserve"> (vaccine)</w:t>
      </w:r>
      <w:r w:rsidRPr="00530179">
        <w:rPr>
          <w:lang w:eastAsia="ja-JP"/>
        </w:rPr>
        <w:t xml:space="preserve"> group, with none in the placebo group.</w:t>
      </w:r>
    </w:p>
    <w:p w14:paraId="76FA2285" w14:textId="77777777" w:rsidR="003F6BBF" w:rsidRPr="00530179" w:rsidRDefault="003F6BBF" w:rsidP="00A666D7">
      <w:pPr>
        <w:pStyle w:val="ListBullet"/>
        <w:rPr>
          <w:lang w:eastAsia="ja-JP"/>
        </w:rPr>
      </w:pPr>
      <w:r w:rsidRPr="00530179">
        <w:rPr>
          <w:lang w:eastAsia="ja-JP"/>
        </w:rPr>
        <w:t xml:space="preserve">Frequencies of </w:t>
      </w:r>
      <w:r w:rsidR="00A666D7">
        <w:rPr>
          <w:lang w:eastAsia="ja-JP"/>
        </w:rPr>
        <w:t>Preferred Terms within the System Organ Class</w:t>
      </w:r>
      <w:r w:rsidRPr="00530179">
        <w:rPr>
          <w:lang w:eastAsia="ja-JP"/>
        </w:rPr>
        <w:t xml:space="preserve"> of </w:t>
      </w:r>
      <w:r w:rsidRPr="00A666D7">
        <w:rPr>
          <w:bCs/>
          <w:lang w:eastAsia="ja-JP"/>
        </w:rPr>
        <w:t>skin and subcutaneous disorders</w:t>
      </w:r>
      <w:r w:rsidRPr="00A666D7">
        <w:rPr>
          <w:lang w:eastAsia="ja-JP"/>
        </w:rPr>
        <w:t xml:space="preserve"> </w:t>
      </w:r>
      <w:r w:rsidRPr="00530179">
        <w:rPr>
          <w:lang w:eastAsia="ja-JP"/>
        </w:rPr>
        <w:t xml:space="preserve">(inclusive of urticaria, rash, </w:t>
      </w:r>
      <w:proofErr w:type="gramStart"/>
      <w:r w:rsidRPr="00530179">
        <w:rPr>
          <w:lang w:eastAsia="ja-JP"/>
        </w:rPr>
        <w:t>erythema</w:t>
      </w:r>
      <w:proofErr w:type="gramEnd"/>
      <w:r w:rsidRPr="00530179">
        <w:rPr>
          <w:lang w:eastAsia="ja-JP"/>
        </w:rPr>
        <w:t xml:space="preserve"> and pruritus) occurred at similar frequencies of relatedness (0.4% </w:t>
      </w:r>
      <w:r w:rsidR="00A666D7">
        <w:rPr>
          <w:lang w:eastAsia="ja-JP"/>
        </w:rPr>
        <w:t>versus</w:t>
      </w:r>
      <w:r w:rsidRPr="00530179">
        <w:rPr>
          <w:lang w:eastAsia="ja-JP"/>
        </w:rPr>
        <w:t xml:space="preserve"> 0.5% respectively). </w:t>
      </w:r>
    </w:p>
    <w:p w14:paraId="750B36C2" w14:textId="77777777" w:rsidR="003F6BBF" w:rsidRPr="00530179" w:rsidRDefault="003F6BBF" w:rsidP="00A666D7">
      <w:pPr>
        <w:pStyle w:val="ListBullet"/>
        <w:rPr>
          <w:lang w:eastAsia="ja-JP"/>
        </w:rPr>
      </w:pPr>
      <w:r w:rsidRPr="00530179">
        <w:rPr>
          <w:lang w:eastAsia="ja-JP"/>
        </w:rPr>
        <w:t xml:space="preserve">A non-serious Grade 3 event of </w:t>
      </w:r>
      <w:r w:rsidRPr="00A666D7">
        <w:rPr>
          <w:bCs/>
          <w:lang w:eastAsia="ja-JP"/>
        </w:rPr>
        <w:t>‘tic’</w:t>
      </w:r>
      <w:r w:rsidRPr="00530179">
        <w:rPr>
          <w:lang w:eastAsia="ja-JP"/>
        </w:rPr>
        <w:t xml:space="preserve"> was reported in a participant in the </w:t>
      </w:r>
      <w:proofErr w:type="spellStart"/>
      <w:r w:rsidR="00A666D7">
        <w:rPr>
          <w:lang w:eastAsia="ja-JP"/>
        </w:rPr>
        <w:t>Comirnaty</w:t>
      </w:r>
      <w:proofErr w:type="spellEnd"/>
      <w:r w:rsidR="00A666D7">
        <w:rPr>
          <w:lang w:eastAsia="ja-JP"/>
        </w:rPr>
        <w:t xml:space="preserve"> (vaccine) group</w:t>
      </w:r>
      <w:r w:rsidRPr="00530179">
        <w:rPr>
          <w:lang w:eastAsia="ja-JP"/>
        </w:rPr>
        <w:t xml:space="preserve"> post-Dose 2 and initially assessed as related; however, was later assessed as unrelated following neurology consultation.</w:t>
      </w:r>
    </w:p>
    <w:p w14:paraId="4A40A6CA" w14:textId="77777777" w:rsidR="003F6BBF" w:rsidRPr="00530179" w:rsidRDefault="00A666D7" w:rsidP="00A666D7">
      <w:pPr>
        <w:pStyle w:val="Heading6"/>
        <w:rPr>
          <w:lang w:eastAsia="ja-JP"/>
        </w:rPr>
      </w:pPr>
      <w:r>
        <w:rPr>
          <w:lang w:eastAsia="ja-JP"/>
        </w:rPr>
        <w:t>Immediate adverse events</w:t>
      </w:r>
    </w:p>
    <w:p w14:paraId="2D4B6608" w14:textId="77777777" w:rsidR="003F6BBF" w:rsidRPr="002313B9" w:rsidRDefault="003F6BBF" w:rsidP="00A666D7">
      <w:pPr>
        <w:rPr>
          <w:lang w:eastAsia="ja-JP"/>
        </w:rPr>
      </w:pPr>
      <w:r w:rsidRPr="00530179">
        <w:rPr>
          <w:lang w:eastAsia="ja-JP"/>
        </w:rPr>
        <w:t xml:space="preserve">Post-Dose 1 there were 3 (0.2%) immediate </w:t>
      </w:r>
      <w:r w:rsidR="00A666D7">
        <w:rPr>
          <w:lang w:eastAsia="ja-JP"/>
        </w:rPr>
        <w:t>adverse events</w:t>
      </w:r>
      <w:r w:rsidRPr="00530179">
        <w:rPr>
          <w:lang w:eastAsia="ja-JP"/>
        </w:rPr>
        <w:t xml:space="preserve"> in the </w:t>
      </w:r>
      <w:proofErr w:type="spellStart"/>
      <w:r w:rsidR="00A666D7">
        <w:rPr>
          <w:lang w:eastAsia="ja-JP"/>
        </w:rPr>
        <w:t>Comirnaty</w:t>
      </w:r>
      <w:proofErr w:type="spellEnd"/>
      <w:r w:rsidR="00A666D7">
        <w:rPr>
          <w:lang w:eastAsia="ja-JP"/>
        </w:rPr>
        <w:t xml:space="preserve"> (vaccine)</w:t>
      </w:r>
      <w:r w:rsidRPr="00530179">
        <w:rPr>
          <w:lang w:eastAsia="ja-JP"/>
        </w:rPr>
        <w:t xml:space="preserve"> group, all involving injection site pain, compared to 3 (0.4%) in the placebo group. </w:t>
      </w:r>
    </w:p>
    <w:p w14:paraId="409601CB" w14:textId="7FE74B1F" w:rsidR="002313B9" w:rsidRDefault="002313B9" w:rsidP="002313B9">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177B">
        <w:rPr>
          <w:noProof/>
        </w:rPr>
        <w:t>21</w:t>
      </w:r>
      <w:r>
        <w:rPr>
          <w:color w:val="2B579A"/>
          <w:shd w:val="clear" w:color="auto" w:fill="E6E6E6"/>
        </w:rPr>
        <w:fldChar w:fldCharType="end"/>
      </w:r>
      <w:r>
        <w:t xml:space="preserve">: </w:t>
      </w:r>
      <w:r>
        <w:rPr>
          <w:lang w:eastAsia="ja-JP"/>
        </w:rPr>
        <w:t xml:space="preserve">Study C4591007 Phase II/III </w:t>
      </w:r>
      <w:r w:rsidRPr="00530179">
        <w:rPr>
          <w:lang w:eastAsia="ja-JP"/>
        </w:rPr>
        <w:t xml:space="preserve">Number (%) of </w:t>
      </w:r>
      <w:r>
        <w:rPr>
          <w:lang w:eastAsia="ja-JP"/>
        </w:rPr>
        <w:t>subjects aged 5 to &lt; 12 years r</w:t>
      </w:r>
      <w:r w:rsidRPr="00530179">
        <w:rPr>
          <w:lang w:eastAsia="ja-JP"/>
        </w:rPr>
        <w:t xml:space="preserve">eporting </w:t>
      </w:r>
      <w:r>
        <w:rPr>
          <w:lang w:eastAsia="ja-JP"/>
        </w:rPr>
        <w:t>at least one</w:t>
      </w:r>
      <w:r w:rsidRPr="00530179">
        <w:rPr>
          <w:lang w:eastAsia="ja-JP"/>
        </w:rPr>
        <w:t xml:space="preserve"> immediate adverse event after Dose 1, by System Organ Class and Preferred Term </w:t>
      </w:r>
      <w:r>
        <w:rPr>
          <w:rFonts w:eastAsia="MS Mincho" w:hint="eastAsia"/>
          <w:lang w:eastAsia="ja-JP"/>
        </w:rPr>
        <w:t>(safety population)</w:t>
      </w:r>
    </w:p>
    <w:p w14:paraId="55CFAE20" w14:textId="04CE3BE5" w:rsidR="003F6BBF" w:rsidRDefault="003F6BBF" w:rsidP="003F6BBF">
      <w:pPr>
        <w:rPr>
          <w:lang w:eastAsia="ja-JP"/>
        </w:rPr>
      </w:pPr>
      <w:r w:rsidRPr="00530179">
        <w:rPr>
          <w:noProof/>
          <w:color w:val="2B579A"/>
          <w:shd w:val="clear" w:color="auto" w:fill="E6E6E6"/>
          <w:lang w:val="en-GB" w:eastAsia="en-GB"/>
        </w:rPr>
        <w:drawing>
          <wp:inline distT="0" distB="0" distL="0" distR="0" wp14:anchorId="5A777983" wp14:editId="78F46180">
            <wp:extent cx="4476585" cy="2984743"/>
            <wp:effectExtent l="0" t="0" r="635" b="6350"/>
            <wp:docPr id="106" name="Picture 106" descr="Study C4591007 Phase II/III Number (%) of subjects aged 5 to &lt; 12 years reporting at least one immediate adverse event after Dose 1,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b="11332"/>
                    <a:stretch/>
                  </pic:blipFill>
                  <pic:spPr bwMode="auto">
                    <a:xfrm>
                      <a:off x="0" y="0"/>
                      <a:ext cx="4487783" cy="2992209"/>
                    </a:xfrm>
                    <a:prstGeom prst="rect">
                      <a:avLst/>
                    </a:prstGeom>
                    <a:noFill/>
                    <a:ln>
                      <a:noFill/>
                    </a:ln>
                    <a:extLst>
                      <a:ext uri="{53640926-AAD7-44D8-BBD7-CCE9431645EC}">
                        <a14:shadowObscured xmlns:a14="http://schemas.microsoft.com/office/drawing/2010/main"/>
                      </a:ext>
                    </a:extLst>
                  </pic:spPr>
                </pic:pic>
              </a:graphicData>
            </a:graphic>
          </wp:inline>
        </w:drawing>
      </w:r>
    </w:p>
    <w:p w14:paraId="76DC7636" w14:textId="569391C4" w:rsidR="0092177B" w:rsidRPr="00530179" w:rsidRDefault="0092177B" w:rsidP="00D15B9E">
      <w:pPr>
        <w:pStyle w:val="TableDescription"/>
        <w:rPr>
          <w:lang w:eastAsia="ja-JP"/>
        </w:rPr>
      </w:pPr>
      <w:r>
        <w:rPr>
          <w:lang w:eastAsia="ja-JP"/>
        </w:rPr>
        <w:t xml:space="preserve">Note: BNT162b2 refers to </w:t>
      </w:r>
      <w:proofErr w:type="spellStart"/>
      <w:r>
        <w:rPr>
          <w:lang w:eastAsia="ja-JP"/>
        </w:rPr>
        <w:t>Comirnaty</w:t>
      </w:r>
      <w:proofErr w:type="spellEnd"/>
      <w:r>
        <w:rPr>
          <w:lang w:eastAsia="ja-JP"/>
        </w:rPr>
        <w:t xml:space="preserve"> (</w:t>
      </w:r>
      <w:proofErr w:type="spellStart"/>
      <w:r>
        <w:rPr>
          <w:lang w:eastAsia="ja-JP"/>
        </w:rPr>
        <w:t>tozinameran</w:t>
      </w:r>
      <w:proofErr w:type="spellEnd"/>
      <w:r>
        <w:rPr>
          <w:lang w:eastAsia="ja-JP"/>
        </w:rPr>
        <w:t>) vaccine</w:t>
      </w:r>
    </w:p>
    <w:p w14:paraId="1B57D240" w14:textId="77777777" w:rsidR="003F6BBF" w:rsidRPr="002313B9" w:rsidRDefault="003F6BBF" w:rsidP="002313B9">
      <w:r w:rsidRPr="002313B9">
        <w:lastRenderedPageBreak/>
        <w:t xml:space="preserve">Post-Dose 2 there were 4 (0.3%) immediate </w:t>
      </w:r>
      <w:r w:rsidR="002313B9">
        <w:t>adverse events</w:t>
      </w:r>
      <w:r w:rsidRPr="002313B9">
        <w:t xml:space="preserve"> in the </w:t>
      </w:r>
      <w:proofErr w:type="spellStart"/>
      <w:r w:rsidR="002313B9">
        <w:t>Comirnaty</w:t>
      </w:r>
      <w:proofErr w:type="spellEnd"/>
      <w:r w:rsidR="002313B9">
        <w:t xml:space="preserve"> (vaccine)</w:t>
      </w:r>
      <w:r w:rsidRPr="002313B9">
        <w:t xml:space="preserve"> group (one each of nausea, injection site pain, injection site erythema and erythema), compared to 2 (0.3%) in the placebo group.</w:t>
      </w:r>
    </w:p>
    <w:p w14:paraId="1329A5D0" w14:textId="77777777" w:rsidR="003F6BBF" w:rsidRPr="002313B9" w:rsidRDefault="003F6BBF" w:rsidP="002313B9">
      <w:r w:rsidRPr="002313B9">
        <w:t xml:space="preserve">No allergic </w:t>
      </w:r>
      <w:r w:rsidR="002313B9">
        <w:t>adverse events</w:t>
      </w:r>
      <w:r w:rsidRPr="002313B9">
        <w:t xml:space="preserve"> were reported after either dose of </w:t>
      </w:r>
      <w:proofErr w:type="spellStart"/>
      <w:r w:rsidR="002313B9">
        <w:t>Comirnaty</w:t>
      </w:r>
      <w:proofErr w:type="spellEnd"/>
      <w:r w:rsidR="002313B9">
        <w:t xml:space="preserve"> (vaccine)</w:t>
      </w:r>
      <w:r w:rsidRPr="002313B9">
        <w:t xml:space="preserve"> within 30 minutes after vaccination.</w:t>
      </w:r>
    </w:p>
    <w:p w14:paraId="3FCAD7C2" w14:textId="49039A5A" w:rsidR="002313B9" w:rsidRDefault="002313B9" w:rsidP="002313B9">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001FC">
        <w:rPr>
          <w:noProof/>
        </w:rPr>
        <w:t>23</w:t>
      </w:r>
      <w:r>
        <w:rPr>
          <w:color w:val="2B579A"/>
          <w:shd w:val="clear" w:color="auto" w:fill="E6E6E6"/>
        </w:rPr>
        <w:fldChar w:fldCharType="end"/>
      </w:r>
      <w:r>
        <w:t xml:space="preserve">: </w:t>
      </w:r>
      <w:r w:rsidRPr="0097371D">
        <w:t>Study C4591007 Phase II/III Number (%) of subjects aged 5 to &lt; 12 years reporting at least one immediate adverse event after dose 2, by System Organ Class and Preferred Term (safety population)</w:t>
      </w:r>
    </w:p>
    <w:p w14:paraId="63C3F3FB" w14:textId="69D943F6" w:rsidR="003F6BBF" w:rsidRDefault="003F6BBF" w:rsidP="003F6BBF">
      <w:pPr>
        <w:rPr>
          <w:lang w:eastAsia="ja-JP"/>
        </w:rPr>
      </w:pPr>
      <w:r w:rsidRPr="00530179">
        <w:rPr>
          <w:noProof/>
          <w:color w:val="2B579A"/>
          <w:shd w:val="clear" w:color="auto" w:fill="E6E6E6"/>
          <w:lang w:val="en-GB" w:eastAsia="en-GB"/>
        </w:rPr>
        <w:drawing>
          <wp:inline distT="0" distB="0" distL="0" distR="0" wp14:anchorId="4CF2AAC0" wp14:editId="606414B6">
            <wp:extent cx="5118043" cy="3196425"/>
            <wp:effectExtent l="0" t="0" r="6985" b="4445"/>
            <wp:docPr id="107" name="Picture 107" descr="Study C4591007 Phase II/III Number (%) of subjects aged 5 to &lt; 12 years reporting at least one immediate adverse event after dose 2,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b="12068"/>
                    <a:stretch/>
                  </pic:blipFill>
                  <pic:spPr bwMode="auto">
                    <a:xfrm>
                      <a:off x="0" y="0"/>
                      <a:ext cx="5154070" cy="3218925"/>
                    </a:xfrm>
                    <a:prstGeom prst="rect">
                      <a:avLst/>
                    </a:prstGeom>
                    <a:noFill/>
                    <a:ln>
                      <a:noFill/>
                    </a:ln>
                    <a:extLst>
                      <a:ext uri="{53640926-AAD7-44D8-BBD7-CCE9431645EC}">
                        <a14:shadowObscured xmlns:a14="http://schemas.microsoft.com/office/drawing/2010/main"/>
                      </a:ext>
                    </a:extLst>
                  </pic:spPr>
                </pic:pic>
              </a:graphicData>
            </a:graphic>
          </wp:inline>
        </w:drawing>
      </w:r>
    </w:p>
    <w:p w14:paraId="70B1BFA3" w14:textId="48439FC2" w:rsidR="0092177B" w:rsidRPr="00530179" w:rsidRDefault="0092177B" w:rsidP="00D15B9E">
      <w:pPr>
        <w:pStyle w:val="TableDescription"/>
        <w:rPr>
          <w:lang w:eastAsia="ja-JP"/>
        </w:rPr>
      </w:pPr>
      <w:r>
        <w:rPr>
          <w:lang w:eastAsia="ja-JP"/>
        </w:rPr>
        <w:t xml:space="preserve">Note: BNT162b2 refers to </w:t>
      </w:r>
      <w:proofErr w:type="spellStart"/>
      <w:r>
        <w:rPr>
          <w:lang w:eastAsia="ja-JP"/>
        </w:rPr>
        <w:t>Comirnaty</w:t>
      </w:r>
      <w:proofErr w:type="spellEnd"/>
      <w:r>
        <w:rPr>
          <w:lang w:eastAsia="ja-JP"/>
        </w:rPr>
        <w:t xml:space="preserve"> (</w:t>
      </w:r>
      <w:proofErr w:type="spellStart"/>
      <w:r>
        <w:rPr>
          <w:lang w:eastAsia="ja-JP"/>
        </w:rPr>
        <w:t>tozinameran</w:t>
      </w:r>
      <w:proofErr w:type="spellEnd"/>
      <w:r>
        <w:rPr>
          <w:lang w:eastAsia="ja-JP"/>
        </w:rPr>
        <w:t>) vaccine</w:t>
      </w:r>
    </w:p>
    <w:p w14:paraId="6F73E176" w14:textId="77777777" w:rsidR="003F6BBF" w:rsidRPr="00530179" w:rsidRDefault="002313B9" w:rsidP="002313B9">
      <w:pPr>
        <w:pStyle w:val="Heading6"/>
        <w:rPr>
          <w:lang w:eastAsia="ja-JP"/>
        </w:rPr>
      </w:pPr>
      <w:r>
        <w:rPr>
          <w:lang w:eastAsia="ja-JP"/>
        </w:rPr>
        <w:t>Severe or life-threatening adverse events</w:t>
      </w:r>
      <w:r w:rsidR="003F6BBF" w:rsidRPr="00530179">
        <w:rPr>
          <w:lang w:eastAsia="ja-JP"/>
        </w:rPr>
        <w:t xml:space="preserve"> from Dose 1 to 1 month after Dose 2</w:t>
      </w:r>
    </w:p>
    <w:p w14:paraId="4B9D60AE" w14:textId="7264672C" w:rsidR="003F6BBF" w:rsidRPr="00530179" w:rsidRDefault="003F6BBF" w:rsidP="002313B9">
      <w:pPr>
        <w:rPr>
          <w:lang w:eastAsia="ja-JP"/>
        </w:rPr>
      </w:pPr>
      <w:r w:rsidRPr="00530179">
        <w:rPr>
          <w:lang w:eastAsia="ja-JP"/>
        </w:rPr>
        <w:t xml:space="preserve">There were 2 (0.1%) in the </w:t>
      </w:r>
      <w:proofErr w:type="spellStart"/>
      <w:r w:rsidR="002313B9">
        <w:rPr>
          <w:lang w:eastAsia="ja-JP"/>
        </w:rPr>
        <w:t>Comirnaty</w:t>
      </w:r>
      <w:proofErr w:type="spellEnd"/>
      <w:r w:rsidR="002313B9">
        <w:rPr>
          <w:lang w:eastAsia="ja-JP"/>
        </w:rPr>
        <w:t xml:space="preserve"> (vaccine)</w:t>
      </w:r>
      <w:r w:rsidRPr="00530179">
        <w:rPr>
          <w:lang w:eastAsia="ja-JP"/>
        </w:rPr>
        <w:t xml:space="preserve"> group: the case of ‘tic’ dis</w:t>
      </w:r>
      <w:r w:rsidR="002313B9">
        <w:rPr>
          <w:lang w:eastAsia="ja-JP"/>
        </w:rPr>
        <w:t>cussed above under ‘Related adverse events</w:t>
      </w:r>
      <w:r w:rsidRPr="00530179">
        <w:rPr>
          <w:lang w:eastAsia="ja-JP"/>
        </w:rPr>
        <w:t xml:space="preserve">’ and another Grade 3 case of rash (a bilateral pleomorphic light eruption on arms) that was considered by the Investigator as unrelated, with a plausible alternative explanation as a rash to sunscreen. There were no Grade 4 </w:t>
      </w:r>
      <w:r w:rsidR="002313B9">
        <w:rPr>
          <w:lang w:eastAsia="ja-JP"/>
        </w:rPr>
        <w:t>adverse eve</w:t>
      </w:r>
      <w:r w:rsidR="0092177B">
        <w:rPr>
          <w:lang w:eastAsia="ja-JP"/>
        </w:rPr>
        <w:t>n</w:t>
      </w:r>
      <w:r w:rsidR="002313B9">
        <w:rPr>
          <w:lang w:eastAsia="ja-JP"/>
        </w:rPr>
        <w:t>ts</w:t>
      </w:r>
      <w:r w:rsidRPr="00530179">
        <w:rPr>
          <w:lang w:eastAsia="ja-JP"/>
        </w:rPr>
        <w:t xml:space="preserve"> in this </w:t>
      </w:r>
      <w:proofErr w:type="gramStart"/>
      <w:r w:rsidRPr="00530179">
        <w:rPr>
          <w:lang w:eastAsia="ja-JP"/>
        </w:rPr>
        <w:t>time period</w:t>
      </w:r>
      <w:proofErr w:type="gramEnd"/>
      <w:r w:rsidRPr="00530179">
        <w:rPr>
          <w:lang w:eastAsia="ja-JP"/>
        </w:rPr>
        <w:t>.</w:t>
      </w:r>
    </w:p>
    <w:p w14:paraId="6F92D3F1" w14:textId="264E8856" w:rsidR="003F6BBF" w:rsidRPr="00530179" w:rsidRDefault="002313B9" w:rsidP="002313B9">
      <w:pPr>
        <w:pStyle w:val="Heading6"/>
        <w:rPr>
          <w:lang w:eastAsia="ja-JP"/>
        </w:rPr>
      </w:pPr>
      <w:r>
        <w:rPr>
          <w:lang w:eastAsia="ja-JP"/>
        </w:rPr>
        <w:t>Adverse events</w:t>
      </w:r>
      <w:r w:rsidR="003F6BBF" w:rsidRPr="00530179">
        <w:rPr>
          <w:lang w:eastAsia="ja-JP"/>
        </w:rPr>
        <w:t xml:space="preserve"> through the data </w:t>
      </w:r>
      <w:proofErr w:type="spellStart"/>
      <w:r w:rsidR="005D1794" w:rsidRPr="00530179">
        <w:rPr>
          <w:lang w:eastAsia="ja-JP"/>
        </w:rPr>
        <w:t>cut off</w:t>
      </w:r>
      <w:proofErr w:type="spellEnd"/>
      <w:r w:rsidR="003F6BBF" w:rsidRPr="00530179">
        <w:rPr>
          <w:lang w:eastAsia="ja-JP"/>
        </w:rPr>
        <w:t xml:space="preserve"> date</w:t>
      </w:r>
    </w:p>
    <w:p w14:paraId="6ED9B17E" w14:textId="30185B26" w:rsidR="003F6BBF" w:rsidRPr="002313B9" w:rsidRDefault="003F6BBF" w:rsidP="002313B9">
      <w:r w:rsidRPr="002313B9">
        <w:t xml:space="preserve">An analysis of </w:t>
      </w:r>
      <w:r w:rsidR="002313B9">
        <w:t xml:space="preserve">adverse events through the data </w:t>
      </w:r>
      <w:proofErr w:type="spellStart"/>
      <w:r w:rsidR="005D1794">
        <w:t>cut off</w:t>
      </w:r>
      <w:proofErr w:type="spellEnd"/>
      <w:r w:rsidR="002313B9">
        <w:t xml:space="preserve"> date 6 September 2021</w:t>
      </w:r>
      <w:r w:rsidRPr="002313B9">
        <w:t>) looked at approximately 2 months of data</w:t>
      </w:r>
      <w:r w:rsidR="002313B9">
        <w:t xml:space="preserve"> post-Dose 2 as opposed to the one</w:t>
      </w:r>
      <w:r w:rsidRPr="002313B9">
        <w:t xml:space="preserve"> month summarised above.</w:t>
      </w:r>
    </w:p>
    <w:p w14:paraId="307B332C" w14:textId="050DF35C" w:rsidR="003F6BBF" w:rsidRPr="002313B9" w:rsidRDefault="003F6BBF" w:rsidP="002313B9">
      <w:r w:rsidRPr="002313B9">
        <w:t xml:space="preserve">The frequency of </w:t>
      </w:r>
      <w:r w:rsidR="002313B9">
        <w:t>adverse events</w:t>
      </w:r>
      <w:r w:rsidRPr="002313B9">
        <w:t xml:space="preserve"> in the </w:t>
      </w:r>
      <w:proofErr w:type="spellStart"/>
      <w:r w:rsidR="002313B9">
        <w:t>Comirnaty</w:t>
      </w:r>
      <w:proofErr w:type="spellEnd"/>
      <w:r w:rsidR="002313B9">
        <w:t xml:space="preserve"> (vaccine)</w:t>
      </w:r>
      <w:r w:rsidRPr="002313B9">
        <w:t xml:space="preserve"> group was 11.6% through the</w:t>
      </w:r>
      <w:r w:rsidR="002313B9">
        <w:t xml:space="preserve"> data </w:t>
      </w:r>
      <w:proofErr w:type="spellStart"/>
      <w:r w:rsidR="005D1794">
        <w:t>cut off</w:t>
      </w:r>
      <w:proofErr w:type="spellEnd"/>
      <w:r w:rsidR="002313B9">
        <w:t xml:space="preserve"> date vs 10.9% for </w:t>
      </w:r>
      <w:proofErr w:type="gramStart"/>
      <w:r w:rsidR="002313B9">
        <w:t>one</w:t>
      </w:r>
      <w:r w:rsidRPr="002313B9">
        <w:t xml:space="preserve"> month</w:t>
      </w:r>
      <w:proofErr w:type="gramEnd"/>
      <w:r w:rsidRPr="002313B9">
        <w:t xml:space="preserve"> post-Dose 2; in the placebo group these were 9</w:t>
      </w:r>
      <w:r w:rsidR="002313B9">
        <w:t xml:space="preserve">.6% versus </w:t>
      </w:r>
      <w:r w:rsidRPr="002313B9">
        <w:t xml:space="preserve">9.2% respectively. There were few additional </w:t>
      </w:r>
      <w:r w:rsidR="002313B9">
        <w:t>adverse events</w:t>
      </w:r>
      <w:r w:rsidRPr="002313B9">
        <w:t xml:space="preserve"> in this extended period and no additional </w:t>
      </w:r>
      <w:r w:rsidR="002313B9">
        <w:t>adverse</w:t>
      </w:r>
      <w:r w:rsidRPr="002313B9">
        <w:t xml:space="preserve"> of clinical interest were identified.</w:t>
      </w:r>
    </w:p>
    <w:p w14:paraId="0166F754" w14:textId="3D086F1B" w:rsidR="003F6BBF" w:rsidRPr="00530179" w:rsidRDefault="002313B9" w:rsidP="002313B9">
      <w:pPr>
        <w:pStyle w:val="Heading6"/>
        <w:rPr>
          <w:lang w:eastAsia="ja-JP"/>
        </w:rPr>
      </w:pPr>
      <w:r>
        <w:rPr>
          <w:lang w:eastAsia="ja-JP"/>
        </w:rPr>
        <w:t>Serious adverse events,</w:t>
      </w:r>
      <w:r w:rsidR="003F6BBF" w:rsidRPr="00530179">
        <w:rPr>
          <w:lang w:eastAsia="ja-JP"/>
        </w:rPr>
        <w:t xml:space="preserve"> deaths and </w:t>
      </w:r>
      <w:r>
        <w:rPr>
          <w:lang w:eastAsia="ja-JP"/>
        </w:rPr>
        <w:t>adverse events</w:t>
      </w:r>
      <w:r w:rsidR="003F6BBF" w:rsidRPr="00530179">
        <w:rPr>
          <w:lang w:eastAsia="ja-JP"/>
        </w:rPr>
        <w:t xml:space="preserve"> leading to withdrawal through data </w:t>
      </w:r>
      <w:proofErr w:type="spellStart"/>
      <w:r w:rsidR="005D1794" w:rsidRPr="00530179">
        <w:rPr>
          <w:lang w:eastAsia="ja-JP"/>
        </w:rPr>
        <w:t>cut off</w:t>
      </w:r>
      <w:proofErr w:type="spellEnd"/>
      <w:r w:rsidR="003F6BBF" w:rsidRPr="00530179">
        <w:rPr>
          <w:lang w:eastAsia="ja-JP"/>
        </w:rPr>
        <w:t xml:space="preserve"> date</w:t>
      </w:r>
    </w:p>
    <w:p w14:paraId="662B0AE9" w14:textId="77777777" w:rsidR="003F6BBF" w:rsidRPr="00530179" w:rsidRDefault="003F6BBF" w:rsidP="002313B9">
      <w:pPr>
        <w:rPr>
          <w:lang w:eastAsia="ja-JP"/>
        </w:rPr>
      </w:pPr>
      <w:r w:rsidRPr="00530179">
        <w:rPr>
          <w:lang w:eastAsia="ja-JP"/>
        </w:rPr>
        <w:t xml:space="preserve">There were 3 </w:t>
      </w:r>
      <w:r w:rsidR="002313B9">
        <w:rPr>
          <w:lang w:eastAsia="ja-JP"/>
        </w:rPr>
        <w:t>serious adverse</w:t>
      </w:r>
      <w:r w:rsidRPr="00530179">
        <w:rPr>
          <w:lang w:eastAsia="ja-JP"/>
        </w:rPr>
        <w:t xml:space="preserve"> reported by 2 participants, one each in the </w:t>
      </w:r>
      <w:proofErr w:type="spellStart"/>
      <w:r w:rsidR="002313B9">
        <w:rPr>
          <w:lang w:eastAsia="ja-JP"/>
        </w:rPr>
        <w:t>Comirnaty</w:t>
      </w:r>
      <w:proofErr w:type="spellEnd"/>
      <w:r w:rsidR="002313B9">
        <w:rPr>
          <w:lang w:eastAsia="ja-JP"/>
        </w:rPr>
        <w:t xml:space="preserve"> (vaccine)</w:t>
      </w:r>
      <w:r w:rsidRPr="00530179">
        <w:rPr>
          <w:lang w:eastAsia="ja-JP"/>
        </w:rPr>
        <w:t xml:space="preserve"> and placebo groups. The </w:t>
      </w:r>
      <w:proofErr w:type="spellStart"/>
      <w:r w:rsidR="002313B9">
        <w:rPr>
          <w:lang w:eastAsia="ja-JP"/>
        </w:rPr>
        <w:t>Comirnaty</w:t>
      </w:r>
      <w:proofErr w:type="spellEnd"/>
      <w:r w:rsidR="002313B9">
        <w:rPr>
          <w:lang w:eastAsia="ja-JP"/>
        </w:rPr>
        <w:t xml:space="preserve"> (vaccine)</w:t>
      </w:r>
      <w:r w:rsidRPr="00530179">
        <w:rPr>
          <w:lang w:eastAsia="ja-JP"/>
        </w:rPr>
        <w:t xml:space="preserve"> recipient had a fall and fractured elbow 45 days after D</w:t>
      </w:r>
      <w:r w:rsidR="002313B9">
        <w:rPr>
          <w:lang w:eastAsia="ja-JP"/>
        </w:rPr>
        <w:t>ose 2 that was assessed by the i</w:t>
      </w:r>
      <w:r w:rsidRPr="00530179">
        <w:rPr>
          <w:lang w:eastAsia="ja-JP"/>
        </w:rPr>
        <w:t>nvestigator as not related to the study intervention. The placebo recipient had pancreatitis and abdominal pain that occurred 4 days post-Dose 2 (unrelated).</w:t>
      </w:r>
    </w:p>
    <w:p w14:paraId="1C4E6BBB" w14:textId="77777777" w:rsidR="003F6BBF" w:rsidRPr="00530179" w:rsidRDefault="003F6BBF" w:rsidP="003F6BBF">
      <w:pPr>
        <w:rPr>
          <w:lang w:eastAsia="ja-JP"/>
        </w:rPr>
      </w:pPr>
      <w:r w:rsidRPr="00530179">
        <w:rPr>
          <w:lang w:eastAsia="ja-JP"/>
        </w:rPr>
        <w:lastRenderedPageBreak/>
        <w:t xml:space="preserve">There were no deaths and no </w:t>
      </w:r>
      <w:r w:rsidR="002313B9">
        <w:rPr>
          <w:lang w:eastAsia="ja-JP"/>
        </w:rPr>
        <w:t>adverse events</w:t>
      </w:r>
      <w:r w:rsidRPr="00530179">
        <w:rPr>
          <w:lang w:eastAsia="ja-JP"/>
        </w:rPr>
        <w:t xml:space="preserve"> leading to study withdrawal.</w:t>
      </w:r>
    </w:p>
    <w:p w14:paraId="0787B722" w14:textId="77777777" w:rsidR="00352F31" w:rsidRPr="00530179" w:rsidRDefault="00B75F4E" w:rsidP="00B75F4E">
      <w:pPr>
        <w:pStyle w:val="Heading6"/>
        <w:rPr>
          <w:lang w:eastAsia="ja-JP"/>
        </w:rPr>
      </w:pPr>
      <w:r>
        <w:rPr>
          <w:lang w:eastAsia="ja-JP"/>
        </w:rPr>
        <w:t>Adverse events of special interest</w:t>
      </w:r>
    </w:p>
    <w:p w14:paraId="7C8950CA" w14:textId="77777777" w:rsidR="00352F31" w:rsidRPr="00B75F4E" w:rsidRDefault="00352F31" w:rsidP="00B75F4E">
      <w:r w:rsidRPr="00B75F4E">
        <w:t xml:space="preserve">There were no cases reported of anaphylaxis, myocarditis, pericarditis, Bell’s palsy (or facial paralysis/paresis) or appendicitis. There were no cases of anaphylaxis, anaphylactoid reaction or hypersensitivity in the </w:t>
      </w:r>
      <w:proofErr w:type="spellStart"/>
      <w:r w:rsidR="00B75F4E">
        <w:t>Comirnaty</w:t>
      </w:r>
      <w:proofErr w:type="spellEnd"/>
      <w:r w:rsidR="00B75F4E">
        <w:t xml:space="preserve"> (vaccine)</w:t>
      </w:r>
      <w:r w:rsidRPr="00B75F4E">
        <w:t xml:space="preserve"> group (one placebo recipient had a hypersensitivity event).</w:t>
      </w:r>
    </w:p>
    <w:p w14:paraId="3AED537D" w14:textId="10D6E8BD" w:rsidR="00352F31" w:rsidRPr="00530179" w:rsidRDefault="00352F31" w:rsidP="006158EA">
      <w:pPr>
        <w:pStyle w:val="Heading7"/>
        <w:rPr>
          <w:b/>
          <w:lang w:eastAsia="ja-JP"/>
        </w:rPr>
      </w:pPr>
      <w:r w:rsidRPr="00530179">
        <w:rPr>
          <w:lang w:eastAsia="ja-JP"/>
        </w:rPr>
        <w:t>Standardised Med</w:t>
      </w:r>
      <w:r w:rsidR="006158EA">
        <w:rPr>
          <w:lang w:eastAsia="ja-JP"/>
        </w:rPr>
        <w:t>D</w:t>
      </w:r>
      <w:r w:rsidRPr="00530179">
        <w:rPr>
          <w:lang w:eastAsia="ja-JP"/>
        </w:rPr>
        <w:t>RA Queries (SMQ) of angioedema and hypersensitivity</w:t>
      </w:r>
    </w:p>
    <w:p w14:paraId="3DA8B0DC" w14:textId="1FAB67EA" w:rsidR="00352F31" w:rsidRPr="00530179" w:rsidRDefault="00352F31" w:rsidP="006158EA">
      <w:pPr>
        <w:rPr>
          <w:lang w:eastAsia="ja-JP"/>
        </w:rPr>
      </w:pPr>
      <w:r w:rsidRPr="00530179">
        <w:rPr>
          <w:lang w:eastAsia="ja-JP"/>
        </w:rPr>
        <w:t xml:space="preserve">A safety review was conducted using the </w:t>
      </w:r>
      <w:r w:rsidR="006158EA">
        <w:rPr>
          <w:lang w:eastAsia="ja-JP"/>
        </w:rPr>
        <w:t>Med</w:t>
      </w:r>
      <w:r w:rsidR="0092177B">
        <w:rPr>
          <w:lang w:eastAsia="ja-JP"/>
        </w:rPr>
        <w:t>ical Dictionary for Regulatory Activities (Med</w:t>
      </w:r>
      <w:r w:rsidR="006158EA">
        <w:rPr>
          <w:lang w:eastAsia="ja-JP"/>
        </w:rPr>
        <w:t>DRA</w:t>
      </w:r>
      <w:r w:rsidR="0092177B">
        <w:rPr>
          <w:lang w:eastAsia="ja-JP"/>
        </w:rPr>
        <w:t>) Standardised MedDRA Queries</w:t>
      </w:r>
      <w:r w:rsidR="006158EA">
        <w:rPr>
          <w:lang w:eastAsia="ja-JP"/>
        </w:rPr>
        <w:t xml:space="preserve"> </w:t>
      </w:r>
      <w:r w:rsidR="0092177B">
        <w:rPr>
          <w:lang w:eastAsia="ja-JP"/>
        </w:rPr>
        <w:t>(</w:t>
      </w:r>
      <w:r w:rsidRPr="00530179">
        <w:rPr>
          <w:lang w:eastAsia="ja-JP"/>
        </w:rPr>
        <w:t>SMQ</w:t>
      </w:r>
      <w:r w:rsidR="0092177B">
        <w:rPr>
          <w:lang w:eastAsia="ja-JP"/>
        </w:rPr>
        <w:t>)</w:t>
      </w:r>
      <w:r w:rsidRPr="00530179">
        <w:rPr>
          <w:lang w:eastAsia="ja-JP"/>
        </w:rPr>
        <w:t xml:space="preserve"> of angioedema</w:t>
      </w:r>
      <w:r w:rsidR="006158EA">
        <w:rPr>
          <w:lang w:eastAsia="ja-JP"/>
        </w:rPr>
        <w:t xml:space="preserve"> and hypersensitivity through, </w:t>
      </w:r>
      <w:proofErr w:type="gramStart"/>
      <w:r w:rsidR="006158EA">
        <w:rPr>
          <w:lang w:eastAsia="ja-JP"/>
        </w:rPr>
        <w:t>one</w:t>
      </w:r>
      <w:r w:rsidRPr="00530179">
        <w:rPr>
          <w:lang w:eastAsia="ja-JP"/>
        </w:rPr>
        <w:t xml:space="preserve"> month</w:t>
      </w:r>
      <w:proofErr w:type="gramEnd"/>
      <w:r w:rsidRPr="00530179">
        <w:rPr>
          <w:lang w:eastAsia="ja-JP"/>
        </w:rPr>
        <w:t xml:space="preserve"> post-Dose 2. </w:t>
      </w:r>
    </w:p>
    <w:p w14:paraId="0B95C895" w14:textId="079B301C" w:rsidR="00352F31" w:rsidRPr="00530179" w:rsidRDefault="00352F31" w:rsidP="006158EA">
      <w:pPr>
        <w:rPr>
          <w:lang w:eastAsia="ja-JP"/>
        </w:rPr>
      </w:pPr>
      <w:r w:rsidRPr="00530179">
        <w:rPr>
          <w:lang w:eastAsia="ja-JP"/>
        </w:rPr>
        <w:t xml:space="preserve">Much of the </w:t>
      </w:r>
      <w:r w:rsidRPr="006158EA">
        <w:t>imbalance</w:t>
      </w:r>
      <w:r w:rsidRPr="00530179">
        <w:rPr>
          <w:lang w:eastAsia="ja-JP"/>
        </w:rPr>
        <w:t xml:space="preserve"> was evidenced by differences in dermatitis/eczema like reactions (5</w:t>
      </w:r>
      <w:r w:rsidR="006158EA">
        <w:rPr>
          <w:lang w:eastAsia="ja-JP"/>
        </w:rPr>
        <w:t xml:space="preserve"> cases in the </w:t>
      </w:r>
      <w:proofErr w:type="spellStart"/>
      <w:r w:rsidR="006158EA">
        <w:rPr>
          <w:lang w:eastAsia="ja-JP"/>
        </w:rPr>
        <w:t>Comirnaty</w:t>
      </w:r>
      <w:proofErr w:type="spellEnd"/>
      <w:r w:rsidR="006158EA">
        <w:rPr>
          <w:lang w:eastAsia="ja-JP"/>
        </w:rPr>
        <w:t xml:space="preserve"> (vaccine) group versus zero</w:t>
      </w:r>
      <w:r w:rsidRPr="00530179">
        <w:rPr>
          <w:lang w:eastAsia="ja-JP"/>
        </w:rPr>
        <w:t xml:space="preserve"> in the placebo group), all of which were deemed unrelated. Rash was also imbalanced (8 in the </w:t>
      </w:r>
      <w:proofErr w:type="spellStart"/>
      <w:r w:rsidR="006158EA">
        <w:rPr>
          <w:lang w:eastAsia="ja-JP"/>
        </w:rPr>
        <w:t>Comirnaty</w:t>
      </w:r>
      <w:proofErr w:type="spellEnd"/>
      <w:r w:rsidR="006158EA">
        <w:rPr>
          <w:lang w:eastAsia="ja-JP"/>
        </w:rPr>
        <w:t xml:space="preserve"> (vaccine) group versus one</w:t>
      </w:r>
      <w:r w:rsidR="005D1794">
        <w:rPr>
          <w:lang w:eastAsia="ja-JP"/>
        </w:rPr>
        <w:t xml:space="preserve"> </w:t>
      </w:r>
      <w:r w:rsidRPr="00530179">
        <w:rPr>
          <w:lang w:eastAsia="ja-JP"/>
        </w:rPr>
        <w:t xml:space="preserve">in the placebo group), 4 of which were deemed related: all were Grade 1, typically with an onset ≥ 7 days post-vaccination, and only </w:t>
      </w:r>
      <w:r w:rsidR="0092177B">
        <w:rPr>
          <w:lang w:eastAsia="ja-JP"/>
        </w:rPr>
        <w:t>one</w:t>
      </w:r>
      <w:r w:rsidRPr="00530179">
        <w:rPr>
          <w:lang w:eastAsia="ja-JP"/>
        </w:rPr>
        <w:t xml:space="preserve"> with an injection site rash at the injection site at onset 3 days post-Dose 2. There was no clear pattern relating to distribution of the related rashes and there w</w:t>
      </w:r>
      <w:r w:rsidR="006158EA">
        <w:rPr>
          <w:lang w:eastAsia="ja-JP"/>
        </w:rPr>
        <w:t>ere confounding factors in 2 (that is, prior</w:t>
      </w:r>
      <w:r w:rsidRPr="00530179">
        <w:rPr>
          <w:lang w:eastAsia="ja-JP"/>
        </w:rPr>
        <w:t xml:space="preserve"> erythema secondary to Tegaderm </w:t>
      </w:r>
      <w:r w:rsidR="006158EA">
        <w:rPr>
          <w:lang w:eastAsia="ja-JP"/>
        </w:rPr>
        <w:t xml:space="preserve">(transparent medical dressing) </w:t>
      </w:r>
      <w:r w:rsidRPr="00530179">
        <w:rPr>
          <w:lang w:eastAsia="ja-JP"/>
        </w:rPr>
        <w:t>and a bee sting in the same distribution before or after)</w:t>
      </w:r>
    </w:p>
    <w:p w14:paraId="0C3CBBBF" w14:textId="77777777" w:rsidR="00352F31" w:rsidRPr="00530179" w:rsidRDefault="00352F31" w:rsidP="006158EA">
      <w:pPr>
        <w:pStyle w:val="Heading7"/>
        <w:rPr>
          <w:lang w:eastAsia="ja-JP"/>
        </w:rPr>
      </w:pPr>
      <w:r w:rsidRPr="006158EA">
        <w:rPr>
          <w:sz w:val="22"/>
          <w:lang w:eastAsia="ja-JP"/>
        </w:rPr>
        <w:t>Lymphadenopathy</w:t>
      </w:r>
    </w:p>
    <w:p w14:paraId="10FB4A08" w14:textId="414D4FBA" w:rsidR="00352F31" w:rsidRPr="006158EA" w:rsidRDefault="00352F31" w:rsidP="006158EA">
      <w:r w:rsidRPr="006158EA">
        <w:t xml:space="preserve">As of the data </w:t>
      </w:r>
      <w:proofErr w:type="spellStart"/>
      <w:r w:rsidR="005D1794" w:rsidRPr="006158EA">
        <w:t>cut off</w:t>
      </w:r>
      <w:proofErr w:type="spellEnd"/>
      <w:r w:rsidRPr="006158EA">
        <w:t xml:space="preserve"> date, there were 13 (0.9%) cases of lymphadenopathy in the </w:t>
      </w:r>
      <w:proofErr w:type="spellStart"/>
      <w:r w:rsidR="006158EA">
        <w:t>Comirnaty</w:t>
      </w:r>
      <w:proofErr w:type="spellEnd"/>
      <w:r w:rsidR="006158EA">
        <w:t xml:space="preserve"> (vaccine) </w:t>
      </w:r>
      <w:r w:rsidRPr="006158EA">
        <w:t>group a</w:t>
      </w:r>
      <w:r w:rsidR="006158EA">
        <w:t>nd one</w:t>
      </w:r>
      <w:r w:rsidRPr="006158EA">
        <w:t xml:space="preserve"> (0.1%) in the placebo group (</w:t>
      </w:r>
      <w:r w:rsidRPr="006158EA">
        <w:rPr>
          <w:color w:val="2B579A"/>
          <w:shd w:val="clear" w:color="auto" w:fill="E6E6E6"/>
        </w:rPr>
        <w:fldChar w:fldCharType="begin"/>
      </w:r>
      <w:r w:rsidRPr="006158EA">
        <w:instrText xml:space="preserve"> REF _Ref86080247 \h  \* MERGEFORMAT </w:instrText>
      </w:r>
      <w:r w:rsidRPr="006158EA">
        <w:rPr>
          <w:color w:val="2B579A"/>
          <w:shd w:val="clear" w:color="auto" w:fill="E6E6E6"/>
        </w:rPr>
      </w:r>
      <w:r w:rsidRPr="006158EA">
        <w:rPr>
          <w:color w:val="2B579A"/>
          <w:shd w:val="clear" w:color="auto" w:fill="E6E6E6"/>
        </w:rPr>
        <w:fldChar w:fldCharType="separate"/>
      </w:r>
      <w:r w:rsidRPr="006158EA">
        <w:t>Table 23</w:t>
      </w:r>
      <w:r w:rsidRPr="006158EA">
        <w:rPr>
          <w:color w:val="2B579A"/>
          <w:shd w:val="clear" w:color="auto" w:fill="E6E6E6"/>
        </w:rPr>
        <w:fldChar w:fldCharType="end"/>
      </w:r>
      <w:r w:rsidRPr="006158EA">
        <w:t>). All reported cases of lymphadenopathy were mild.</w:t>
      </w:r>
    </w:p>
    <w:p w14:paraId="1353DEDD" w14:textId="77777777" w:rsidR="00352F31" w:rsidRPr="006158EA" w:rsidRDefault="00352F31" w:rsidP="006158EA">
      <w:r w:rsidRPr="006158EA">
        <w:t xml:space="preserve">In the </w:t>
      </w:r>
      <w:proofErr w:type="spellStart"/>
      <w:r w:rsidR="006158EA">
        <w:t>Comirnaty</w:t>
      </w:r>
      <w:proofErr w:type="spellEnd"/>
      <w:r w:rsidR="006158EA">
        <w:t xml:space="preserve"> (vaccine)</w:t>
      </w:r>
      <w:r w:rsidRPr="006158EA">
        <w:t xml:space="preserve"> group, the mean time t</w:t>
      </w:r>
      <w:r w:rsidR="006158EA">
        <w:t>o onset of lymphadenopathy post</w:t>
      </w:r>
      <w:r w:rsidR="006158EA">
        <w:noBreakHyphen/>
        <w:t>Dose </w:t>
      </w:r>
      <w:r w:rsidRPr="006158EA">
        <w:t xml:space="preserve">1 was 6.2 days (median 3 days) and post-Dose 2 was 2.6 days (median 2 days). The mean duration was 4.7 days (median 3.5 days, range 1 to 14 days). </w:t>
      </w:r>
    </w:p>
    <w:p w14:paraId="1399827B" w14:textId="77777777" w:rsidR="00352F31" w:rsidRPr="006158EA" w:rsidRDefault="00352F31" w:rsidP="006158EA">
      <w:r w:rsidRPr="006158EA">
        <w:t xml:space="preserve">Overall, the pattern of lymphadenopathy cases </w:t>
      </w:r>
      <w:r w:rsidR="006158EA">
        <w:t>reported in children 5 to &lt; 12 y</w:t>
      </w:r>
      <w:r w:rsidRPr="006158EA">
        <w:t>ears age was generally similar to that obser</w:t>
      </w:r>
      <w:r w:rsidR="006158EA">
        <w:t>ved in prior analyses of Phase II/III participants ≥ 12 y</w:t>
      </w:r>
      <w:r w:rsidRPr="006158EA">
        <w:t xml:space="preserve">ears age in Study C4591001’ (0.8% in adolescents and 0.2% in 16-25 years) and most cases were </w:t>
      </w:r>
      <w:r w:rsidR="006158EA">
        <w:t xml:space="preserve">mild to moderate </w:t>
      </w:r>
      <w:r w:rsidRPr="006158EA">
        <w:t>in severity.</w:t>
      </w:r>
    </w:p>
    <w:p w14:paraId="032F5306" w14:textId="58D6373B" w:rsidR="006158EA" w:rsidRDefault="006158EA" w:rsidP="006158EA">
      <w:pPr>
        <w:pStyle w:val="TableTitle"/>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92177B">
        <w:rPr>
          <w:noProof/>
        </w:rPr>
        <w:t>23</w:t>
      </w:r>
      <w:r>
        <w:rPr>
          <w:color w:val="2B579A"/>
          <w:shd w:val="clear" w:color="auto" w:fill="E6E6E6"/>
        </w:rPr>
        <w:fldChar w:fldCharType="end"/>
      </w:r>
      <w:r>
        <w:t xml:space="preserve">: </w:t>
      </w:r>
      <w:r w:rsidRPr="00B342DF">
        <w:t>Study C4591007 (Phase II/III) Subjects aged 5 to &lt; 12 years reporting an adverse event of lymphadenopathy; blinded placebo-controlled follow-up period (safety population)</w:t>
      </w:r>
    </w:p>
    <w:p w14:paraId="6ECD808F" w14:textId="77777777" w:rsidR="0092177B" w:rsidRDefault="00352F31" w:rsidP="00352F31">
      <w:pPr>
        <w:rPr>
          <w:lang w:eastAsia="ja-JP"/>
        </w:rPr>
      </w:pPr>
      <w:r w:rsidRPr="00530179">
        <w:rPr>
          <w:noProof/>
          <w:color w:val="2B579A"/>
          <w:shd w:val="clear" w:color="auto" w:fill="E6E6E6"/>
          <w:lang w:val="en-GB" w:eastAsia="en-GB"/>
        </w:rPr>
        <w:drawing>
          <wp:inline distT="0" distB="0" distL="0" distR="0" wp14:anchorId="10A61B5B" wp14:editId="621D3880">
            <wp:extent cx="3975653" cy="2813819"/>
            <wp:effectExtent l="0" t="0" r="6350" b="5715"/>
            <wp:docPr id="53" name="Picture 53" descr="Study C4591007 (Phase II/III) Subjects aged 5 to &lt; 12 years reporting an adverse event of lymphadenopathy; blinded placebo-controlled follow-up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33000"/>
                              </a14:imgEffect>
                            </a14:imgLayer>
                          </a14:imgProps>
                        </a:ext>
                      </a:extLst>
                    </a:blip>
                    <a:stretch>
                      <a:fillRect/>
                    </a:stretch>
                  </pic:blipFill>
                  <pic:spPr>
                    <a:xfrm>
                      <a:off x="0" y="0"/>
                      <a:ext cx="4052093" cy="2867920"/>
                    </a:xfrm>
                    <a:prstGeom prst="rect">
                      <a:avLst/>
                    </a:prstGeom>
                  </pic:spPr>
                </pic:pic>
              </a:graphicData>
            </a:graphic>
          </wp:inline>
        </w:drawing>
      </w:r>
    </w:p>
    <w:p w14:paraId="4990B258" w14:textId="55C007BE" w:rsidR="00352F31" w:rsidRPr="00530179" w:rsidRDefault="0092177B" w:rsidP="00D15B9E">
      <w:pPr>
        <w:pStyle w:val="TableDescription"/>
        <w:rPr>
          <w:lang w:eastAsia="ja-JP"/>
        </w:rPr>
      </w:pPr>
      <w:r>
        <w:rPr>
          <w:lang w:eastAsia="ja-JP"/>
        </w:rPr>
        <w:t xml:space="preserve">Note: BNT162n2 refers to </w:t>
      </w:r>
      <w:proofErr w:type="spellStart"/>
      <w:r>
        <w:rPr>
          <w:lang w:eastAsia="ja-JP"/>
        </w:rPr>
        <w:t>Comirnaty</w:t>
      </w:r>
      <w:proofErr w:type="spellEnd"/>
      <w:r>
        <w:rPr>
          <w:lang w:eastAsia="ja-JP"/>
        </w:rPr>
        <w:t xml:space="preserve"> (</w:t>
      </w:r>
      <w:proofErr w:type="spellStart"/>
      <w:r>
        <w:rPr>
          <w:lang w:eastAsia="ja-JP"/>
        </w:rPr>
        <w:t>tozinameran</w:t>
      </w:r>
      <w:proofErr w:type="spellEnd"/>
      <w:r>
        <w:rPr>
          <w:lang w:eastAsia="ja-JP"/>
        </w:rPr>
        <w:t>) vaccine</w:t>
      </w:r>
    </w:p>
    <w:p w14:paraId="4F16B768" w14:textId="77777777" w:rsidR="00352F31" w:rsidRPr="00530179" w:rsidRDefault="00352F31" w:rsidP="006158EA">
      <w:pPr>
        <w:pStyle w:val="Heading7"/>
        <w:rPr>
          <w:lang w:eastAsia="ja-JP"/>
        </w:rPr>
      </w:pPr>
      <w:r w:rsidRPr="00530179">
        <w:rPr>
          <w:lang w:eastAsia="ja-JP"/>
        </w:rPr>
        <w:t xml:space="preserve">Other events of </w:t>
      </w:r>
      <w:r w:rsidRPr="006158EA">
        <w:rPr>
          <w:sz w:val="22"/>
          <w:lang w:eastAsia="ja-JP"/>
        </w:rPr>
        <w:t>clinical</w:t>
      </w:r>
      <w:r w:rsidR="006158EA">
        <w:rPr>
          <w:lang w:eastAsia="ja-JP"/>
        </w:rPr>
        <w:t xml:space="preserve"> interest (</w:t>
      </w:r>
      <w:r w:rsidRPr="00530179">
        <w:rPr>
          <w:lang w:eastAsia="ja-JP"/>
        </w:rPr>
        <w:t>not observed</w:t>
      </w:r>
      <w:r w:rsidR="006158EA">
        <w:rPr>
          <w:lang w:eastAsia="ja-JP"/>
        </w:rPr>
        <w:t>)</w:t>
      </w:r>
    </w:p>
    <w:p w14:paraId="3586EEAB" w14:textId="77777777" w:rsidR="00352F31" w:rsidRPr="006158EA" w:rsidRDefault="00352F31" w:rsidP="006158EA">
      <w:r w:rsidRPr="006158EA">
        <w:t xml:space="preserve">Referencing the CDC list of </w:t>
      </w:r>
      <w:r w:rsidR="006158EA">
        <w:t>adverse events of special interest</w:t>
      </w:r>
      <w:r w:rsidRPr="006158EA">
        <w:t>, there were no cases of thrombocytopenic events, thromboembolic or intravascular coagulation events, autoimmune or demyelination events, meningitis, encephalitis, neuritis, Kawasaki disease, MIS-C, or acute respiratory distress syndrome.</w:t>
      </w:r>
    </w:p>
    <w:p w14:paraId="147EE074" w14:textId="77777777" w:rsidR="00352F31" w:rsidRPr="006158EA" w:rsidRDefault="00352F31" w:rsidP="006158EA">
      <w:r w:rsidRPr="006158EA">
        <w:t>There were no severe COVID-19 cases (</w:t>
      </w:r>
      <w:r w:rsidR="006158EA">
        <w:t>for example,</w:t>
      </w:r>
      <w:r w:rsidRPr="006158EA">
        <w:t xml:space="preserve"> potentially </w:t>
      </w:r>
      <w:r w:rsidR="006158EA">
        <w:t>VAERD, or v</w:t>
      </w:r>
      <w:r w:rsidR="006158EA" w:rsidRPr="006158EA">
        <w:t>accine-associated enhanced respiratory disease</w:t>
      </w:r>
      <w:r w:rsidRPr="006158EA">
        <w:t>) recorded. There were no severe or serious related rash</w:t>
      </w:r>
      <w:r w:rsidR="006158EA">
        <w:t>.</w:t>
      </w:r>
    </w:p>
    <w:p w14:paraId="62757CCF" w14:textId="77777777" w:rsidR="00352F31" w:rsidRPr="006158EA" w:rsidRDefault="00352F31" w:rsidP="006158EA">
      <w:r w:rsidRPr="006158EA">
        <w:t xml:space="preserve">There were no imbalances in abnormal physical findings (baseline rates were 1.8% and 1.9% in the </w:t>
      </w:r>
      <w:proofErr w:type="spellStart"/>
      <w:r w:rsidR="006158EA">
        <w:t>Comirnaty</w:t>
      </w:r>
      <w:proofErr w:type="spellEnd"/>
      <w:r w:rsidR="006158EA">
        <w:t xml:space="preserve"> (vaccine)</w:t>
      </w:r>
      <w:r w:rsidRPr="006158EA">
        <w:t xml:space="preserve"> and placebo groups respectively; from 19 to 23 days post-Dose 1 these were 0.9% an 0.8% respectively). </w:t>
      </w:r>
    </w:p>
    <w:p w14:paraId="5041F3A8" w14:textId="77777777" w:rsidR="00352F31" w:rsidRPr="006158EA" w:rsidRDefault="006158EA" w:rsidP="006158EA">
      <w:pPr>
        <w:pStyle w:val="Heading7"/>
        <w:rPr>
          <w:sz w:val="22"/>
        </w:rPr>
      </w:pPr>
      <w:r w:rsidRPr="006158EA">
        <w:rPr>
          <w:sz w:val="22"/>
        </w:rPr>
        <w:t>Other related events of clinical interest</w:t>
      </w:r>
    </w:p>
    <w:p w14:paraId="0D2D4170" w14:textId="77777777" w:rsidR="00352F31" w:rsidRPr="006158EA" w:rsidRDefault="006158EA" w:rsidP="006158EA">
      <w:r w:rsidRPr="006158EA">
        <w:rPr>
          <w:i/>
        </w:rPr>
        <w:t>Arthralgia</w:t>
      </w:r>
      <w:r w:rsidRPr="006158EA">
        <w:t xml:space="preserve">: This was reported in one </w:t>
      </w:r>
      <w:r w:rsidR="00352F31" w:rsidRPr="006158EA">
        <w:t xml:space="preserve">participant in the </w:t>
      </w:r>
      <w:r w:rsidRPr="006158EA">
        <w:t>(</w:t>
      </w:r>
      <w:proofErr w:type="spellStart"/>
      <w:r w:rsidRPr="006158EA">
        <w:t>Comirnaty</w:t>
      </w:r>
      <w:proofErr w:type="spellEnd"/>
      <w:r w:rsidRPr="006158EA">
        <w:t xml:space="preserve">) vaccine group, a 7 year old </w:t>
      </w:r>
      <w:r w:rsidR="00352F31" w:rsidRPr="006158EA">
        <w:t xml:space="preserve">male with an </w:t>
      </w:r>
      <w:r w:rsidRPr="006158EA">
        <w:t>adverse</w:t>
      </w:r>
      <w:r w:rsidR="00352F31" w:rsidRPr="006158EA">
        <w:t xml:space="preserve"> of Grade 1 arthralgia (right elbow joint pain) occurring on the day of Dose 2 (given in left deltoid) and resolving the next</w:t>
      </w:r>
      <w:r w:rsidR="00382ABB">
        <w:t xml:space="preserve"> day. It was considered by the i</w:t>
      </w:r>
      <w:r w:rsidR="00352F31" w:rsidRPr="006158EA">
        <w:t>nvestigator as related.</w:t>
      </w:r>
    </w:p>
    <w:p w14:paraId="1C340B27" w14:textId="77777777" w:rsidR="00352F31" w:rsidRPr="00530179" w:rsidRDefault="00352F31" w:rsidP="00382ABB">
      <w:pPr>
        <w:rPr>
          <w:lang w:eastAsia="ja-JP"/>
        </w:rPr>
      </w:pPr>
      <w:r w:rsidRPr="00530179">
        <w:rPr>
          <w:rFonts w:eastAsia="Times New Roman"/>
          <w:bCs/>
          <w:i/>
          <w:szCs w:val="24"/>
          <w:lang w:eastAsia="ja-JP"/>
        </w:rPr>
        <w:t>Paraesthesia</w:t>
      </w:r>
      <w:r w:rsidR="00382ABB">
        <w:rPr>
          <w:lang w:eastAsia="ja-JP"/>
        </w:rPr>
        <w:t xml:space="preserve">: </w:t>
      </w:r>
      <w:r w:rsidRPr="00382ABB">
        <w:t xml:space="preserve">This </w:t>
      </w:r>
      <w:r w:rsidR="00382ABB" w:rsidRPr="00382ABB">
        <w:t>was reported in one</w:t>
      </w:r>
      <w:r w:rsidRPr="00382ABB">
        <w:t xml:space="preserve"> participant in the </w:t>
      </w:r>
      <w:proofErr w:type="spellStart"/>
      <w:r w:rsidR="00382ABB">
        <w:t>Comirnaty</w:t>
      </w:r>
      <w:proofErr w:type="spellEnd"/>
      <w:r w:rsidR="00382ABB">
        <w:t xml:space="preserve"> vaccine) group, a 9 year old </w:t>
      </w:r>
      <w:r w:rsidRPr="00382ABB">
        <w:t xml:space="preserve">female with an </w:t>
      </w:r>
      <w:r w:rsidR="00382ABB">
        <w:t>adverse event</w:t>
      </w:r>
      <w:r w:rsidRPr="00382ABB">
        <w:t xml:space="preserve"> of Grade 2 paraesthesia (bilateral lower and upper extremity tingling) with onset at 1 day post-Dose 2 and reported as recovered/resolved 3 days l</w:t>
      </w:r>
      <w:r w:rsidR="00382ABB">
        <w:t>ater. It was considered by the i</w:t>
      </w:r>
      <w:r w:rsidRPr="00382ABB">
        <w:t>nvestigator as related.</w:t>
      </w:r>
    </w:p>
    <w:p w14:paraId="139CAA1E" w14:textId="6F02DED9" w:rsidR="00352F31" w:rsidRPr="00382ABB" w:rsidRDefault="00352F31" w:rsidP="00382ABB">
      <w:pPr>
        <w:rPr>
          <w:rFonts w:eastAsia="Times New Roman"/>
          <w:bCs/>
          <w:i/>
          <w:szCs w:val="24"/>
          <w:lang w:eastAsia="ja-JP"/>
        </w:rPr>
      </w:pPr>
      <w:r w:rsidRPr="00382ABB">
        <w:rPr>
          <w:i/>
        </w:rPr>
        <w:t>Tic</w:t>
      </w:r>
      <w:r w:rsidR="00382ABB">
        <w:t xml:space="preserve">: </w:t>
      </w:r>
      <w:r w:rsidRPr="00382ABB">
        <w:t>An</w:t>
      </w:r>
      <w:r w:rsidRPr="00530179">
        <w:rPr>
          <w:lang w:eastAsia="ja-JP"/>
        </w:rPr>
        <w:t xml:space="preserve"> </w:t>
      </w:r>
      <w:r w:rsidR="00382ABB">
        <w:rPr>
          <w:lang w:eastAsia="ja-JP"/>
        </w:rPr>
        <w:t>adverse event</w:t>
      </w:r>
      <w:r w:rsidRPr="00530179">
        <w:rPr>
          <w:lang w:eastAsia="ja-JP"/>
        </w:rPr>
        <w:t xml:space="preserve"> of Grade 3 tic was reported in a 9 years old male with onset at 7 days post-Dose 2, which recovered/resolved at the data </w:t>
      </w:r>
      <w:r w:rsidR="005D1794" w:rsidRPr="00530179">
        <w:rPr>
          <w:lang w:eastAsia="ja-JP"/>
        </w:rPr>
        <w:t>cut off</w:t>
      </w:r>
      <w:r w:rsidRPr="00530179">
        <w:rPr>
          <w:lang w:eastAsia="ja-JP"/>
        </w:rPr>
        <w:t xml:space="preserve">. It was considered by the Investigator as related; however, following a normal </w:t>
      </w:r>
      <w:r w:rsidR="00382ABB">
        <w:rPr>
          <w:lang w:eastAsia="ja-JP"/>
        </w:rPr>
        <w:t>m</w:t>
      </w:r>
      <w:r w:rsidR="00382ABB" w:rsidRPr="00382ABB">
        <w:rPr>
          <w:lang w:eastAsia="ja-JP"/>
        </w:rPr>
        <w:t xml:space="preserve">agnetic resonance imaging </w:t>
      </w:r>
      <w:r w:rsidR="00382ABB">
        <w:rPr>
          <w:lang w:eastAsia="ja-JP"/>
        </w:rPr>
        <w:t>(</w:t>
      </w:r>
      <w:r w:rsidRPr="00530179">
        <w:rPr>
          <w:lang w:eastAsia="ja-JP"/>
        </w:rPr>
        <w:t>MRI</w:t>
      </w:r>
      <w:r w:rsidR="00382ABB">
        <w:rPr>
          <w:lang w:eastAsia="ja-JP"/>
        </w:rPr>
        <w:t>)</w:t>
      </w:r>
      <w:r w:rsidRPr="00530179">
        <w:rPr>
          <w:lang w:eastAsia="ja-JP"/>
        </w:rPr>
        <w:t xml:space="preserve"> scan, a paediatric neurologist was </w:t>
      </w:r>
      <w:proofErr w:type="gramStart"/>
      <w:r w:rsidRPr="00530179">
        <w:rPr>
          <w:lang w:eastAsia="ja-JP"/>
        </w:rPr>
        <w:t>consulted</w:t>
      </w:r>
      <w:proofErr w:type="gramEnd"/>
      <w:r w:rsidRPr="00530179">
        <w:rPr>
          <w:lang w:eastAsia="ja-JP"/>
        </w:rPr>
        <w:t xml:space="preserve"> and the </w:t>
      </w:r>
      <w:r w:rsidR="00382ABB">
        <w:t>adverse event</w:t>
      </w:r>
      <w:r w:rsidRPr="00382ABB">
        <w:t xml:space="preserve"> wasn’t deemed study-related.</w:t>
      </w:r>
    </w:p>
    <w:p w14:paraId="7C36F74B" w14:textId="5C2C0BCA" w:rsidR="00FC624D" w:rsidRDefault="00352F31" w:rsidP="00FC624D">
      <w:pPr>
        <w:rPr>
          <w:lang w:eastAsia="ja-JP"/>
        </w:rPr>
      </w:pPr>
      <w:r w:rsidRPr="00530179">
        <w:rPr>
          <w:rFonts w:eastAsia="Times New Roman"/>
          <w:bCs/>
          <w:i/>
          <w:szCs w:val="24"/>
          <w:lang w:eastAsia="ja-JP"/>
        </w:rPr>
        <w:t>Chest pain</w:t>
      </w:r>
      <w:r w:rsidR="00382ABB">
        <w:rPr>
          <w:lang w:eastAsia="ja-JP"/>
        </w:rPr>
        <w:t xml:space="preserve">: </w:t>
      </w:r>
      <w:r w:rsidRPr="00530179">
        <w:rPr>
          <w:lang w:eastAsia="ja-JP"/>
        </w:rPr>
        <w:t xml:space="preserve">An </w:t>
      </w:r>
      <w:r w:rsidR="00382ABB">
        <w:rPr>
          <w:lang w:eastAsia="ja-JP"/>
        </w:rPr>
        <w:t>adverse event of Grade 1 a</w:t>
      </w:r>
      <w:r w:rsidRPr="00382ABB">
        <w:t>ngina pectoris</w:t>
      </w:r>
      <w:r w:rsidRPr="00530179">
        <w:rPr>
          <w:lang w:eastAsia="ja-JP"/>
        </w:rPr>
        <w:t xml:space="preserve"> with onset at 2 days post-Dose 2 was reported in a 9 years old female in the </w:t>
      </w:r>
      <w:proofErr w:type="spellStart"/>
      <w:r w:rsidR="00382ABB">
        <w:rPr>
          <w:lang w:eastAsia="ja-JP"/>
        </w:rPr>
        <w:t>Comirnaty</w:t>
      </w:r>
      <w:proofErr w:type="spellEnd"/>
      <w:r w:rsidR="00382ABB">
        <w:rPr>
          <w:lang w:eastAsia="ja-JP"/>
        </w:rPr>
        <w:t xml:space="preserve"> (vaccine) group</w:t>
      </w:r>
      <w:r w:rsidRPr="00530179">
        <w:rPr>
          <w:lang w:eastAsia="ja-JP"/>
        </w:rPr>
        <w:t xml:space="preserve">, it was characterised as mild and transient, lasting 1 minute in duration. It resolved without </w:t>
      </w:r>
      <w:r w:rsidRPr="00530179">
        <w:rPr>
          <w:lang w:eastAsia="ja-JP"/>
        </w:rPr>
        <w:lastRenderedPageBreak/>
        <w:t xml:space="preserve">sequalae. Further investigation was not pursued. Mild to moderate reactogenicity events were also reported concurrently, involving pain at injection site, </w:t>
      </w:r>
      <w:proofErr w:type="gramStart"/>
      <w:r w:rsidRPr="00530179">
        <w:rPr>
          <w:lang w:eastAsia="ja-JP"/>
        </w:rPr>
        <w:t>fatigue</w:t>
      </w:r>
      <w:proofErr w:type="gramEnd"/>
      <w:r w:rsidRPr="00530179">
        <w:rPr>
          <w:lang w:eastAsia="ja-JP"/>
        </w:rPr>
        <w:t xml:space="preserve"> and headache. There was no troponin or </w:t>
      </w:r>
      <w:r w:rsidR="00382ABB">
        <w:rPr>
          <w:lang w:eastAsia="ja-JP"/>
        </w:rPr>
        <w:t>electrocardiogram</w:t>
      </w:r>
      <w:r w:rsidRPr="00530179">
        <w:rPr>
          <w:lang w:eastAsia="ja-JP"/>
        </w:rPr>
        <w:t xml:space="preserve"> result available. The </w:t>
      </w:r>
      <w:r w:rsidR="00382ABB">
        <w:rPr>
          <w:lang w:eastAsia="ja-JP"/>
        </w:rPr>
        <w:t>reaction was considered by the i</w:t>
      </w:r>
      <w:r w:rsidRPr="00530179">
        <w:rPr>
          <w:lang w:eastAsia="ja-JP"/>
        </w:rPr>
        <w:t>nvestigator as related.</w:t>
      </w:r>
    </w:p>
    <w:p w14:paraId="63B9F380" w14:textId="77777777" w:rsidR="008A1785" w:rsidRDefault="008A1785" w:rsidP="000D7A86">
      <w:pPr>
        <w:pStyle w:val="Heading5"/>
        <w:rPr>
          <w:lang w:eastAsia="ja-JP"/>
        </w:rPr>
      </w:pPr>
      <w:r>
        <w:rPr>
          <w:lang w:eastAsia="ja-JP"/>
        </w:rPr>
        <w:t>Study C4591007 Safety expansion subset (Cohort 2)</w:t>
      </w:r>
    </w:p>
    <w:p w14:paraId="6FBF6E0F" w14:textId="2EE05BA3" w:rsidR="008A1785" w:rsidRDefault="008A1785" w:rsidP="008A1785">
      <w:pPr>
        <w:rPr>
          <w:lang w:eastAsia="ja-JP"/>
        </w:rPr>
      </w:pPr>
      <w:r>
        <w:rPr>
          <w:lang w:eastAsia="ja-JP"/>
        </w:rPr>
        <w:t xml:space="preserve">Following the initial enrolment, the sponsor commenced enrolling for expansion safety group of approximately 2250 additional participants. Participants were </w:t>
      </w:r>
      <w:r w:rsidR="00B323F7">
        <w:rPr>
          <w:lang w:eastAsia="ja-JP"/>
        </w:rPr>
        <w:t>randomised</w:t>
      </w:r>
      <w:r>
        <w:rPr>
          <w:lang w:eastAsia="ja-JP"/>
        </w:rPr>
        <w:t xml:space="preserve"> 2:1 to receive </w:t>
      </w:r>
      <w:proofErr w:type="spellStart"/>
      <w:r>
        <w:rPr>
          <w:lang w:eastAsia="ja-JP"/>
        </w:rPr>
        <w:t>Comirnaty</w:t>
      </w:r>
      <w:proofErr w:type="spellEnd"/>
      <w:r>
        <w:rPr>
          <w:lang w:eastAsia="ja-JP"/>
        </w:rPr>
        <w:t xml:space="preserve"> (vaccine) 10 </w:t>
      </w:r>
      <w:proofErr w:type="spellStart"/>
      <w:r>
        <w:rPr>
          <w:lang w:eastAsia="ja-JP"/>
        </w:rPr>
        <w:t>μg</w:t>
      </w:r>
      <w:proofErr w:type="spellEnd"/>
      <w:r>
        <w:rPr>
          <w:lang w:eastAsia="ja-JP"/>
        </w:rPr>
        <w:t xml:space="preserve"> or placebo. Results are presented up to the data cut </w:t>
      </w:r>
      <w:proofErr w:type="gramStart"/>
      <w:r>
        <w:rPr>
          <w:lang w:eastAsia="ja-JP"/>
        </w:rPr>
        <w:t>off of</w:t>
      </w:r>
      <w:proofErr w:type="gramEnd"/>
      <w:r>
        <w:rPr>
          <w:lang w:eastAsia="ja-JP"/>
        </w:rPr>
        <w:t xml:space="preserve"> 8 October 2021, which represents at least 1 week of follow-up after Dose 2 for nearly all (98.5%) participants and at least 2 weeks of follow-up after Dose 2 for most (&gt; 70%) participants.</w:t>
      </w:r>
    </w:p>
    <w:p w14:paraId="1DEE1942" w14:textId="77777777" w:rsidR="008A1785" w:rsidRDefault="008A1785" w:rsidP="000D7A86">
      <w:pPr>
        <w:pStyle w:val="Heading6"/>
        <w:rPr>
          <w:lang w:eastAsia="ja-JP"/>
        </w:rPr>
      </w:pPr>
      <w:r>
        <w:rPr>
          <w:lang w:eastAsia="ja-JP"/>
        </w:rPr>
        <w:t>Overview of adverse events</w:t>
      </w:r>
    </w:p>
    <w:p w14:paraId="524BAA5B" w14:textId="77777777" w:rsidR="008A1785" w:rsidRDefault="008A1785" w:rsidP="008A1785">
      <w:pPr>
        <w:rPr>
          <w:lang w:eastAsia="ja-JP"/>
        </w:rPr>
      </w:pPr>
      <w:r>
        <w:rPr>
          <w:lang w:eastAsia="ja-JP"/>
        </w:rPr>
        <w:t>Data for solicited adverse events were not presented for the safety expansion subset.</w:t>
      </w:r>
    </w:p>
    <w:p w14:paraId="3BD3336F" w14:textId="77777777" w:rsidR="008A1785" w:rsidRDefault="008A1785" w:rsidP="008A1785">
      <w:pPr>
        <w:rPr>
          <w:lang w:eastAsia="ja-JP"/>
        </w:rPr>
      </w:pPr>
      <w:r>
        <w:rPr>
          <w:lang w:eastAsia="ja-JP"/>
        </w:rPr>
        <w:t xml:space="preserve">The frequency of adverse events observed in the safety expansion subset was 7.2% in the </w:t>
      </w:r>
      <w:proofErr w:type="spellStart"/>
      <w:r>
        <w:rPr>
          <w:lang w:eastAsia="ja-JP"/>
        </w:rPr>
        <w:t>Comirnaty</w:t>
      </w:r>
      <w:proofErr w:type="spellEnd"/>
      <w:r>
        <w:rPr>
          <w:lang w:eastAsia="ja-JP"/>
        </w:rPr>
        <w:t xml:space="preserve"> </w:t>
      </w:r>
      <w:r w:rsidR="000D7A86">
        <w:rPr>
          <w:lang w:eastAsia="ja-JP"/>
        </w:rPr>
        <w:t>(</w:t>
      </w:r>
      <w:r>
        <w:rPr>
          <w:lang w:eastAsia="ja-JP"/>
        </w:rPr>
        <w:t>vaccine</w:t>
      </w:r>
      <w:r w:rsidR="000D7A86">
        <w:rPr>
          <w:lang w:eastAsia="ja-JP"/>
        </w:rPr>
        <w:t>)</w:t>
      </w:r>
      <w:r>
        <w:rPr>
          <w:lang w:eastAsia="ja-JP"/>
        </w:rPr>
        <w:t xml:space="preserve"> group and 6.3% in the placebo group, slightly lower than seen with longer follow-up in the initial enrolment cohort.</w:t>
      </w:r>
    </w:p>
    <w:p w14:paraId="30690304" w14:textId="06524A02" w:rsidR="000D7A86" w:rsidRDefault="000D7A86" w:rsidP="000D7A86">
      <w:pPr>
        <w:pStyle w:val="TableTitle"/>
      </w:pPr>
      <w:bookmarkStart w:id="63" w:name="_Ref8905457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611D7">
        <w:rPr>
          <w:noProof/>
        </w:rPr>
        <w:t>24</w:t>
      </w:r>
      <w:r>
        <w:rPr>
          <w:color w:val="2B579A"/>
          <w:shd w:val="clear" w:color="auto" w:fill="E6E6E6"/>
        </w:rPr>
        <w:fldChar w:fldCharType="end"/>
      </w:r>
      <w:r>
        <w:t>: Study C4591007 Safety expansion; n</w:t>
      </w:r>
      <w:r w:rsidRPr="007A2757">
        <w:t xml:space="preserve">umber (%) of </w:t>
      </w:r>
      <w:r>
        <w:t>subjects between 5 and &lt;</w:t>
      </w:r>
      <w:r w:rsidR="00E611D7">
        <w:t xml:space="preserve"> </w:t>
      </w:r>
      <w:r>
        <w:t>12 years of age</w:t>
      </w:r>
      <w:r w:rsidRPr="007A2757">
        <w:t xml:space="preserve"> reporting</w:t>
      </w:r>
      <w:r>
        <w:t xml:space="preserve"> at least one adverse event from Dose 1 through </w:t>
      </w:r>
      <w:proofErr w:type="spellStart"/>
      <w:r w:rsidR="005D1794">
        <w:t>cut off</w:t>
      </w:r>
      <w:proofErr w:type="spellEnd"/>
      <w:r>
        <w:t xml:space="preserve"> date (8 October 2021; Safety expansion group, safety p</w:t>
      </w:r>
      <w:r w:rsidRPr="007A2757">
        <w:t>opulation</w:t>
      </w:r>
      <w:r>
        <w:t>)</w:t>
      </w:r>
      <w:bookmarkEnd w:id="63"/>
    </w:p>
    <w:p w14:paraId="47A57430" w14:textId="34AF962D" w:rsidR="008A1785" w:rsidRDefault="000D7A86" w:rsidP="008A1785">
      <w:pPr>
        <w:rPr>
          <w:lang w:eastAsia="ja-JP"/>
        </w:rPr>
      </w:pPr>
      <w:r w:rsidRPr="00530179">
        <w:rPr>
          <w:noProof/>
          <w:color w:val="2B579A"/>
          <w:shd w:val="clear" w:color="auto" w:fill="E6E6E6"/>
          <w:lang w:val="en-GB" w:eastAsia="en-GB"/>
        </w:rPr>
        <w:drawing>
          <wp:inline distT="0" distB="0" distL="0" distR="0" wp14:anchorId="3723FB2F" wp14:editId="5BB7431C">
            <wp:extent cx="5205125" cy="4502150"/>
            <wp:effectExtent l="0" t="0" r="0" b="0"/>
            <wp:docPr id="67" name="Picture 67" descr="Study C4591007 Safety expansion; number (%) of subjects between 5 and &lt;12 years of age reporting at least one adverse event from Dose 1 through cutoff date (8 October 2021; Safety expansion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06741" cy="4503548"/>
                    </a:xfrm>
                    <a:prstGeom prst="rect">
                      <a:avLst/>
                    </a:prstGeom>
                  </pic:spPr>
                </pic:pic>
              </a:graphicData>
            </a:graphic>
          </wp:inline>
        </w:drawing>
      </w:r>
    </w:p>
    <w:p w14:paraId="4F21051A" w14:textId="764786EE" w:rsidR="00E611D7" w:rsidRDefault="00E611D7" w:rsidP="00D15B9E">
      <w:pPr>
        <w:pStyle w:val="TableDescription"/>
        <w:rPr>
          <w:lang w:eastAsia="ja-JP"/>
        </w:rPr>
      </w:pPr>
      <w:r>
        <w:rPr>
          <w:lang w:eastAsia="ja-JP"/>
        </w:rPr>
        <w:t xml:space="preserve">Note: BNT162b2 refers to </w:t>
      </w:r>
      <w:proofErr w:type="spellStart"/>
      <w:r>
        <w:rPr>
          <w:lang w:eastAsia="ja-JP"/>
        </w:rPr>
        <w:t>Comirnaty</w:t>
      </w:r>
      <w:proofErr w:type="spellEnd"/>
      <w:r>
        <w:rPr>
          <w:lang w:eastAsia="ja-JP"/>
        </w:rPr>
        <w:t xml:space="preserve"> (</w:t>
      </w:r>
      <w:proofErr w:type="spellStart"/>
      <w:r>
        <w:rPr>
          <w:lang w:eastAsia="ja-JP"/>
        </w:rPr>
        <w:t>tozinameran</w:t>
      </w:r>
      <w:proofErr w:type="spellEnd"/>
      <w:r>
        <w:rPr>
          <w:lang w:eastAsia="ja-JP"/>
        </w:rPr>
        <w:t>) vaccine</w:t>
      </w:r>
    </w:p>
    <w:p w14:paraId="31673712" w14:textId="77777777" w:rsidR="008A1785" w:rsidRDefault="008A1785" w:rsidP="000D7A86">
      <w:pPr>
        <w:pStyle w:val="Heading6"/>
        <w:rPr>
          <w:lang w:eastAsia="ja-JP"/>
        </w:rPr>
      </w:pPr>
      <w:r>
        <w:rPr>
          <w:lang w:eastAsia="ja-JP"/>
        </w:rPr>
        <w:lastRenderedPageBreak/>
        <w:t>Analysis of adverse events</w:t>
      </w:r>
    </w:p>
    <w:p w14:paraId="5FB87B03" w14:textId="77777777" w:rsidR="008A1785" w:rsidRDefault="00373F30" w:rsidP="008A1785">
      <w:pPr>
        <w:rPr>
          <w:lang w:eastAsia="ja-JP"/>
        </w:rPr>
      </w:pPr>
      <w:r>
        <w:rPr>
          <w:lang w:eastAsia="ja-JP"/>
        </w:rPr>
        <w:t>Adverse events</w:t>
      </w:r>
      <w:r w:rsidR="008A1785">
        <w:rPr>
          <w:lang w:eastAsia="ja-JP"/>
        </w:rPr>
        <w:t xml:space="preserve"> reflective of reactogenicity events were slightly more common in the </w:t>
      </w:r>
      <w:proofErr w:type="spellStart"/>
      <w:r>
        <w:rPr>
          <w:lang w:eastAsia="ja-JP"/>
        </w:rPr>
        <w:t>Comirnaty</w:t>
      </w:r>
      <w:proofErr w:type="spellEnd"/>
      <w:r>
        <w:rPr>
          <w:lang w:eastAsia="ja-JP"/>
        </w:rPr>
        <w:t xml:space="preserve"> (vaccine) group</w:t>
      </w:r>
      <w:r w:rsidR="008A1785">
        <w:rPr>
          <w:lang w:eastAsia="ja-JP"/>
        </w:rPr>
        <w:t xml:space="preserve"> than placebo group as shown for the following </w:t>
      </w:r>
      <w:r>
        <w:rPr>
          <w:lang w:eastAsia="ja-JP"/>
        </w:rPr>
        <w:t xml:space="preserve">System Organ Classes (SOC) in a </w:t>
      </w:r>
      <w:proofErr w:type="spellStart"/>
      <w:r>
        <w:rPr>
          <w:lang w:eastAsia="ja-JP"/>
        </w:rPr>
        <w:t>Comirnaty</w:t>
      </w:r>
      <w:proofErr w:type="spellEnd"/>
      <w:r>
        <w:rPr>
          <w:lang w:eastAsia="ja-JP"/>
        </w:rPr>
        <w:t xml:space="preserve"> (vaccine</w:t>
      </w:r>
      <w:r w:rsidR="00172C1E">
        <w:rPr>
          <w:lang w:eastAsia="ja-JP"/>
        </w:rPr>
        <w:t>)</w:t>
      </w:r>
      <w:r>
        <w:rPr>
          <w:lang w:eastAsia="ja-JP"/>
        </w:rPr>
        <w:t xml:space="preserve"> versus placebo comparison:</w:t>
      </w:r>
    </w:p>
    <w:p w14:paraId="43541B40" w14:textId="77777777" w:rsidR="008A1785" w:rsidRDefault="00373F30" w:rsidP="00373F30">
      <w:pPr>
        <w:pStyle w:val="ListBullet"/>
        <w:rPr>
          <w:lang w:eastAsia="ja-JP"/>
        </w:rPr>
      </w:pPr>
      <w:r>
        <w:rPr>
          <w:lang w:eastAsia="ja-JP"/>
        </w:rPr>
        <w:t>SOC G</w:t>
      </w:r>
      <w:r w:rsidR="008A1785">
        <w:rPr>
          <w:lang w:eastAsia="ja-JP"/>
        </w:rPr>
        <w:t>eneral disorders and administration site conditions: 2.3% v</w:t>
      </w:r>
      <w:r>
        <w:rPr>
          <w:lang w:eastAsia="ja-JP"/>
        </w:rPr>
        <w:t>ersu</w:t>
      </w:r>
      <w:r w:rsidR="008A1785">
        <w:rPr>
          <w:lang w:eastAsia="ja-JP"/>
        </w:rPr>
        <w:t>s 1.8%</w:t>
      </w:r>
    </w:p>
    <w:p w14:paraId="0CA63514" w14:textId="77777777" w:rsidR="008A1785" w:rsidRDefault="00373F30" w:rsidP="00373F30">
      <w:pPr>
        <w:pStyle w:val="ListBullet"/>
        <w:rPr>
          <w:lang w:eastAsia="ja-JP"/>
        </w:rPr>
      </w:pPr>
      <w:r>
        <w:rPr>
          <w:lang w:eastAsia="ja-JP"/>
        </w:rPr>
        <w:t>SOC G</w:t>
      </w:r>
      <w:r w:rsidR="008A1785">
        <w:rPr>
          <w:lang w:eastAsia="ja-JP"/>
        </w:rPr>
        <w:t>astrointestinal disorders: 0.8% v</w:t>
      </w:r>
      <w:r>
        <w:rPr>
          <w:lang w:eastAsia="ja-JP"/>
        </w:rPr>
        <w:t>ersu</w:t>
      </w:r>
      <w:r w:rsidR="008A1785">
        <w:rPr>
          <w:lang w:eastAsia="ja-JP"/>
        </w:rPr>
        <w:t>s 0.8%</w:t>
      </w:r>
    </w:p>
    <w:p w14:paraId="5F4EF709" w14:textId="77777777" w:rsidR="008A1785" w:rsidRDefault="00373F30" w:rsidP="00373F30">
      <w:pPr>
        <w:pStyle w:val="ListBullet"/>
        <w:rPr>
          <w:lang w:eastAsia="ja-JP"/>
        </w:rPr>
      </w:pPr>
      <w:r>
        <w:rPr>
          <w:lang w:eastAsia="ja-JP"/>
        </w:rPr>
        <w:t>SOC N</w:t>
      </w:r>
      <w:r w:rsidR="008A1785">
        <w:rPr>
          <w:lang w:eastAsia="ja-JP"/>
        </w:rPr>
        <w:t>ervous system disorders: 0.6% v</w:t>
      </w:r>
      <w:r>
        <w:rPr>
          <w:lang w:eastAsia="ja-JP"/>
        </w:rPr>
        <w:t>ersu</w:t>
      </w:r>
      <w:r w:rsidR="008A1785">
        <w:rPr>
          <w:lang w:eastAsia="ja-JP"/>
        </w:rPr>
        <w:t>s 0.4%</w:t>
      </w:r>
    </w:p>
    <w:p w14:paraId="73680C01" w14:textId="77777777" w:rsidR="008A1785" w:rsidRDefault="00373F30" w:rsidP="00373F30">
      <w:pPr>
        <w:pStyle w:val="ListBullet"/>
        <w:rPr>
          <w:lang w:eastAsia="ja-JP"/>
        </w:rPr>
      </w:pPr>
      <w:r>
        <w:rPr>
          <w:lang w:eastAsia="ja-JP"/>
        </w:rPr>
        <w:t>SOC M</w:t>
      </w:r>
      <w:r w:rsidR="008A1785">
        <w:rPr>
          <w:lang w:eastAsia="ja-JP"/>
        </w:rPr>
        <w:t>usculoskeletal and connective tissue disorders: 0.4% v</w:t>
      </w:r>
      <w:r>
        <w:rPr>
          <w:lang w:eastAsia="ja-JP"/>
        </w:rPr>
        <w:t>ersu</w:t>
      </w:r>
      <w:r w:rsidR="008A1785">
        <w:rPr>
          <w:lang w:eastAsia="ja-JP"/>
        </w:rPr>
        <w:t>s 0.4%.</w:t>
      </w:r>
    </w:p>
    <w:p w14:paraId="79A1663D" w14:textId="77777777" w:rsidR="008A1785" w:rsidRDefault="008A1785" w:rsidP="008A1785">
      <w:pPr>
        <w:rPr>
          <w:lang w:eastAsia="ja-JP"/>
        </w:rPr>
      </w:pPr>
      <w:r>
        <w:rPr>
          <w:lang w:eastAsia="ja-JP"/>
        </w:rPr>
        <w:t xml:space="preserve">Of note, </w:t>
      </w:r>
      <w:r w:rsidR="00172C1E">
        <w:rPr>
          <w:lang w:eastAsia="ja-JP"/>
        </w:rPr>
        <w:t>for</w:t>
      </w:r>
      <w:r>
        <w:rPr>
          <w:lang w:eastAsia="ja-JP"/>
        </w:rPr>
        <w:t xml:space="preserve"> other SOCs and </w:t>
      </w:r>
      <w:r w:rsidR="00373F30">
        <w:rPr>
          <w:lang w:eastAsia="ja-JP"/>
        </w:rPr>
        <w:t>Preferred Terms</w:t>
      </w:r>
      <w:r>
        <w:rPr>
          <w:lang w:eastAsia="ja-JP"/>
        </w:rPr>
        <w:t>:</w:t>
      </w:r>
    </w:p>
    <w:p w14:paraId="3FDC374F" w14:textId="77777777" w:rsidR="008A1785" w:rsidRDefault="008A1785" w:rsidP="00373F30">
      <w:pPr>
        <w:pStyle w:val="ListBullet"/>
        <w:rPr>
          <w:lang w:eastAsia="ja-JP"/>
        </w:rPr>
      </w:pPr>
      <w:r>
        <w:rPr>
          <w:lang w:eastAsia="ja-JP"/>
        </w:rPr>
        <w:t>Cardiac disorders were not reported by any participants in either group.</w:t>
      </w:r>
    </w:p>
    <w:p w14:paraId="7E42A2FE" w14:textId="77777777" w:rsidR="008A1785" w:rsidRDefault="008A1785" w:rsidP="00373F30">
      <w:pPr>
        <w:pStyle w:val="ListBullet"/>
        <w:rPr>
          <w:lang w:eastAsia="ja-JP"/>
        </w:rPr>
      </w:pPr>
      <w:r>
        <w:rPr>
          <w:lang w:eastAsia="ja-JP"/>
        </w:rPr>
        <w:t xml:space="preserve">One child in the </w:t>
      </w:r>
      <w:proofErr w:type="spellStart"/>
      <w:r w:rsidR="00373F30">
        <w:rPr>
          <w:lang w:eastAsia="ja-JP"/>
        </w:rPr>
        <w:t>Comirnaty</w:t>
      </w:r>
      <w:proofErr w:type="spellEnd"/>
      <w:r w:rsidR="00373F30">
        <w:rPr>
          <w:lang w:eastAsia="ja-JP"/>
        </w:rPr>
        <w:t xml:space="preserve"> (vaccine)</w:t>
      </w:r>
      <w:r>
        <w:rPr>
          <w:lang w:eastAsia="ja-JP"/>
        </w:rPr>
        <w:t xml:space="preserve"> group had a related event of ‘irritability’ in the SOC ‘psychiatric disorders’.</w:t>
      </w:r>
    </w:p>
    <w:p w14:paraId="5D73ED8C" w14:textId="77777777" w:rsidR="00373F30" w:rsidRDefault="008A1785" w:rsidP="00373F30">
      <w:pPr>
        <w:pStyle w:val="ListBullet"/>
        <w:rPr>
          <w:lang w:eastAsia="ja-JP"/>
        </w:rPr>
      </w:pPr>
      <w:r>
        <w:rPr>
          <w:lang w:eastAsia="ja-JP"/>
        </w:rPr>
        <w:t>Events in the SOC ‘blood and lymphatic system disorders’ were reported in 0.4% of participants in each group (this SOC is inclusive of lymphade</w:t>
      </w:r>
      <w:r w:rsidR="00373F30">
        <w:rPr>
          <w:lang w:eastAsia="ja-JP"/>
        </w:rPr>
        <w:t>nopathy)</w:t>
      </w:r>
    </w:p>
    <w:p w14:paraId="436CF6B1" w14:textId="77777777" w:rsidR="008A1785" w:rsidRDefault="00373F30" w:rsidP="00373F30">
      <w:pPr>
        <w:pStyle w:val="ListBullet"/>
        <w:rPr>
          <w:lang w:eastAsia="ja-JP"/>
        </w:rPr>
      </w:pPr>
      <w:r>
        <w:rPr>
          <w:lang w:eastAsia="ja-JP"/>
        </w:rPr>
        <w:t>E</w:t>
      </w:r>
      <w:r w:rsidR="008A1785">
        <w:rPr>
          <w:lang w:eastAsia="ja-JP"/>
        </w:rPr>
        <w:t xml:space="preserve">vents in the ‘skin and subcutaneous disorders’ SOC ‘were reported in 1.0% of participants in the </w:t>
      </w:r>
      <w:proofErr w:type="spellStart"/>
      <w:r>
        <w:rPr>
          <w:lang w:eastAsia="ja-JP"/>
        </w:rPr>
        <w:t>Comirnaty</w:t>
      </w:r>
      <w:proofErr w:type="spellEnd"/>
      <w:r>
        <w:rPr>
          <w:lang w:eastAsia="ja-JP"/>
        </w:rPr>
        <w:t xml:space="preserve"> (vaccine)</w:t>
      </w:r>
      <w:r w:rsidR="008A1785">
        <w:rPr>
          <w:lang w:eastAsia="ja-JP"/>
        </w:rPr>
        <w:t xml:space="preserve"> group and 0.5% of participants in the placebo group. Events reported more frequently in the </w:t>
      </w:r>
      <w:proofErr w:type="spellStart"/>
      <w:r>
        <w:rPr>
          <w:lang w:eastAsia="ja-JP"/>
        </w:rPr>
        <w:t>Comirnaty</w:t>
      </w:r>
      <w:proofErr w:type="spellEnd"/>
      <w:r>
        <w:rPr>
          <w:lang w:eastAsia="ja-JP"/>
        </w:rPr>
        <w:t xml:space="preserve"> (vaccine)</w:t>
      </w:r>
      <w:r w:rsidR="008A1785">
        <w:rPr>
          <w:lang w:eastAsia="ja-JP"/>
        </w:rPr>
        <w:t xml:space="preserve"> group included rashes, urticaria, angioedema, dermatitis, pruritis, night sweats.’</w:t>
      </w:r>
    </w:p>
    <w:p w14:paraId="4640AE2E" w14:textId="77777777" w:rsidR="008A1785" w:rsidRDefault="008A1785" w:rsidP="00373F30">
      <w:pPr>
        <w:pStyle w:val="ListBullet"/>
        <w:rPr>
          <w:lang w:eastAsia="ja-JP"/>
        </w:rPr>
      </w:pPr>
      <w:r>
        <w:rPr>
          <w:lang w:eastAsia="ja-JP"/>
        </w:rPr>
        <w:t xml:space="preserve">There were 3 (0.2%) participants in the </w:t>
      </w:r>
      <w:proofErr w:type="spellStart"/>
      <w:r w:rsidR="00373F30">
        <w:rPr>
          <w:lang w:eastAsia="ja-JP"/>
        </w:rPr>
        <w:t>Comirnaty</w:t>
      </w:r>
      <w:proofErr w:type="spellEnd"/>
      <w:r w:rsidR="00373F30">
        <w:rPr>
          <w:lang w:eastAsia="ja-JP"/>
        </w:rPr>
        <w:t xml:space="preserve"> (vaccine)</w:t>
      </w:r>
      <w:r>
        <w:rPr>
          <w:lang w:eastAsia="ja-JP"/>
        </w:rPr>
        <w:t xml:space="preserve"> group with events from the ‘immune system disorders’ SOC that included one event reported as Type IV hypersensitivity reaction (summarised below under ‘Adverse events of clinical interest’) and other non-drug allergies, but none in the placebo group.</w:t>
      </w:r>
    </w:p>
    <w:p w14:paraId="3A66F84C" w14:textId="77777777" w:rsidR="008A1785" w:rsidRDefault="008A1785" w:rsidP="00373F30">
      <w:pPr>
        <w:pStyle w:val="Heading6"/>
        <w:rPr>
          <w:lang w:eastAsia="ja-JP"/>
        </w:rPr>
      </w:pPr>
      <w:r>
        <w:rPr>
          <w:lang w:eastAsia="ja-JP"/>
        </w:rPr>
        <w:t>Related adverse events</w:t>
      </w:r>
    </w:p>
    <w:p w14:paraId="1B50506E" w14:textId="4488E739" w:rsidR="008A1785" w:rsidRDefault="008A1785" w:rsidP="008A1785">
      <w:pPr>
        <w:rPr>
          <w:lang w:eastAsia="ja-JP"/>
        </w:rPr>
      </w:pPr>
      <w:r>
        <w:rPr>
          <w:lang w:eastAsia="ja-JP"/>
        </w:rPr>
        <w:t xml:space="preserve">These occurred in 3.5% of the </w:t>
      </w:r>
      <w:proofErr w:type="spellStart"/>
      <w:r w:rsidR="00373F30">
        <w:rPr>
          <w:lang w:eastAsia="ja-JP"/>
        </w:rPr>
        <w:t>Comirnaty</w:t>
      </w:r>
      <w:proofErr w:type="spellEnd"/>
      <w:r w:rsidR="00373F30">
        <w:rPr>
          <w:lang w:eastAsia="ja-JP"/>
        </w:rPr>
        <w:t xml:space="preserve"> (vaccine)</w:t>
      </w:r>
      <w:r>
        <w:rPr>
          <w:lang w:eastAsia="ja-JP"/>
        </w:rPr>
        <w:t xml:space="preserve"> group and 1.8% of the placebo grou</w:t>
      </w:r>
      <w:r w:rsidR="00373F30">
        <w:rPr>
          <w:lang w:eastAsia="ja-JP"/>
        </w:rPr>
        <w:t xml:space="preserve">p (see </w:t>
      </w:r>
      <w:r w:rsidR="00373F30">
        <w:rPr>
          <w:color w:val="2B579A"/>
          <w:shd w:val="clear" w:color="auto" w:fill="E6E6E6"/>
          <w:lang w:eastAsia="ja-JP"/>
        </w:rPr>
        <w:fldChar w:fldCharType="begin"/>
      </w:r>
      <w:r w:rsidR="00373F30">
        <w:rPr>
          <w:lang w:eastAsia="ja-JP"/>
        </w:rPr>
        <w:instrText xml:space="preserve"> REF _Ref89054575 \h </w:instrText>
      </w:r>
      <w:r w:rsidR="00373F30">
        <w:rPr>
          <w:color w:val="2B579A"/>
          <w:shd w:val="clear" w:color="auto" w:fill="E6E6E6"/>
          <w:lang w:eastAsia="ja-JP"/>
        </w:rPr>
      </w:r>
      <w:r w:rsidR="00373F30">
        <w:rPr>
          <w:color w:val="2B579A"/>
          <w:shd w:val="clear" w:color="auto" w:fill="E6E6E6"/>
          <w:lang w:eastAsia="ja-JP"/>
        </w:rPr>
        <w:fldChar w:fldCharType="separate"/>
      </w:r>
      <w:r w:rsidR="00E611D7">
        <w:t xml:space="preserve">Table </w:t>
      </w:r>
      <w:r w:rsidR="00E611D7">
        <w:rPr>
          <w:noProof/>
        </w:rPr>
        <w:t>24</w:t>
      </w:r>
      <w:r w:rsidR="00373F30">
        <w:rPr>
          <w:color w:val="2B579A"/>
          <w:shd w:val="clear" w:color="auto" w:fill="E6E6E6"/>
          <w:lang w:eastAsia="ja-JP"/>
        </w:rPr>
        <w:fldChar w:fldCharType="end"/>
      </w:r>
      <w:r>
        <w:rPr>
          <w:lang w:eastAsia="ja-JP"/>
        </w:rPr>
        <w:t>) and most were reactogenicity events in the SOC of ‘general disorders and administration site conditions’ (2.0% and 0.9% respectively).</w:t>
      </w:r>
    </w:p>
    <w:p w14:paraId="732A571C" w14:textId="77777777" w:rsidR="008A1785" w:rsidRDefault="00373F30" w:rsidP="008A1785">
      <w:pPr>
        <w:rPr>
          <w:lang w:eastAsia="ja-JP"/>
        </w:rPr>
      </w:pPr>
      <w:r>
        <w:rPr>
          <w:lang w:eastAsia="ja-JP"/>
        </w:rPr>
        <w:t>One participant had 2 adverse events</w:t>
      </w:r>
      <w:r w:rsidR="008A1785">
        <w:rPr>
          <w:lang w:eastAsia="ja-JP"/>
        </w:rPr>
        <w:t xml:space="preserve"> of pyrexia and neutropenia (‘worsening from baseline’) both considered as rela</w:t>
      </w:r>
      <w:r w:rsidR="00172C1E">
        <w:rPr>
          <w:lang w:eastAsia="ja-JP"/>
        </w:rPr>
        <w:t xml:space="preserve">ted and leading to withdrawal; this is </w:t>
      </w:r>
      <w:r w:rsidR="008A1785">
        <w:rPr>
          <w:lang w:eastAsia="ja-JP"/>
        </w:rPr>
        <w:t>described in more detail below.</w:t>
      </w:r>
    </w:p>
    <w:p w14:paraId="3A5CD47E" w14:textId="5180C621" w:rsidR="008A1785" w:rsidRDefault="008A1785" w:rsidP="008A1785">
      <w:pPr>
        <w:rPr>
          <w:lang w:eastAsia="ja-JP"/>
        </w:rPr>
      </w:pPr>
      <w:r>
        <w:rPr>
          <w:lang w:eastAsia="ja-JP"/>
        </w:rPr>
        <w:t>There was one non-serious case of h</w:t>
      </w:r>
      <w:r w:rsidR="00E611D7">
        <w:rPr>
          <w:lang w:eastAsia="ja-JP"/>
        </w:rPr>
        <w:t>a</w:t>
      </w:r>
      <w:r>
        <w:rPr>
          <w:lang w:eastAsia="ja-JP"/>
        </w:rPr>
        <w:t xml:space="preserve">ematochezia (moderate severity) in the </w:t>
      </w:r>
      <w:proofErr w:type="spellStart"/>
      <w:r w:rsidR="009E5B6A">
        <w:rPr>
          <w:lang w:eastAsia="ja-JP"/>
        </w:rPr>
        <w:t>Comirnaty</w:t>
      </w:r>
      <w:proofErr w:type="spellEnd"/>
      <w:r w:rsidR="009E5B6A">
        <w:rPr>
          <w:lang w:eastAsia="ja-JP"/>
        </w:rPr>
        <w:t xml:space="preserve"> (vaccine)</w:t>
      </w:r>
      <w:r>
        <w:rPr>
          <w:lang w:eastAsia="ja-JP"/>
        </w:rPr>
        <w:t xml:space="preserve"> group occurring 4 days post-Dose 2. The participant had heme occult positive stool, was seen in the </w:t>
      </w:r>
      <w:r w:rsidR="00172C1E">
        <w:rPr>
          <w:lang w:eastAsia="ja-JP"/>
        </w:rPr>
        <w:t>emergency department</w:t>
      </w:r>
      <w:r>
        <w:rPr>
          <w:lang w:eastAsia="ja-JP"/>
        </w:rPr>
        <w:t>, had no additional tests done and resolved the same day without sequalae.</w:t>
      </w:r>
    </w:p>
    <w:p w14:paraId="1650C16A" w14:textId="77777777" w:rsidR="008A1785" w:rsidRPr="009E5B6A" w:rsidRDefault="008A1785" w:rsidP="009E5B6A">
      <w:pPr>
        <w:ind w:left="720"/>
        <w:rPr>
          <w:i/>
          <w:lang w:eastAsia="ja-JP"/>
        </w:rPr>
      </w:pPr>
      <w:r w:rsidRPr="009E5B6A">
        <w:rPr>
          <w:i/>
          <w:lang w:eastAsia="ja-JP"/>
        </w:rPr>
        <w:t xml:space="preserve">‘Two participants (0.1%) in the BNT162b2 </w:t>
      </w:r>
      <w:r w:rsidR="009E5B6A" w:rsidRPr="009E5B6A">
        <w:rPr>
          <w:i/>
          <w:lang w:eastAsia="ja-JP"/>
        </w:rPr>
        <w:t>[</w:t>
      </w:r>
      <w:proofErr w:type="spellStart"/>
      <w:r w:rsidR="009E5B6A" w:rsidRPr="009E5B6A">
        <w:rPr>
          <w:i/>
          <w:lang w:eastAsia="ja-JP"/>
        </w:rPr>
        <w:t>Comirnaty</w:t>
      </w:r>
      <w:proofErr w:type="spellEnd"/>
      <w:r w:rsidR="009E5B6A" w:rsidRPr="009E5B6A">
        <w:rPr>
          <w:i/>
          <w:lang w:eastAsia="ja-JP"/>
        </w:rPr>
        <w:t xml:space="preserve">/vaccine] </w:t>
      </w:r>
      <w:r w:rsidRPr="009E5B6A">
        <w:rPr>
          <w:i/>
          <w:lang w:eastAsia="ja-JP"/>
        </w:rPr>
        <w:t>group and 1 participant (0.1%) in the placebo group had events of non-cardiac chest pain considered by the investigator as related to study intervention. All events were mild and reported as resolved within 1 to 2 days of onset.’</w:t>
      </w:r>
    </w:p>
    <w:p w14:paraId="3318B89B" w14:textId="77777777" w:rsidR="008A1785" w:rsidRDefault="008A1785" w:rsidP="009E5B6A">
      <w:pPr>
        <w:pStyle w:val="Heading6"/>
        <w:rPr>
          <w:lang w:eastAsia="ja-JP"/>
        </w:rPr>
      </w:pPr>
      <w:r>
        <w:rPr>
          <w:lang w:eastAsia="ja-JP"/>
        </w:rPr>
        <w:t>Immediate adverse events</w:t>
      </w:r>
    </w:p>
    <w:p w14:paraId="566ED585" w14:textId="77777777" w:rsidR="008A1785" w:rsidRDefault="008A1785" w:rsidP="008A1785">
      <w:pPr>
        <w:rPr>
          <w:lang w:eastAsia="ja-JP"/>
        </w:rPr>
      </w:pPr>
      <w:r>
        <w:rPr>
          <w:lang w:eastAsia="ja-JP"/>
        </w:rPr>
        <w:t xml:space="preserve">Immediate </w:t>
      </w:r>
      <w:r w:rsidR="00172C1E">
        <w:rPr>
          <w:lang w:eastAsia="ja-JP"/>
        </w:rPr>
        <w:t>adverse events</w:t>
      </w:r>
      <w:r>
        <w:rPr>
          <w:lang w:eastAsia="ja-JP"/>
        </w:rPr>
        <w:t xml:space="preserve"> occurring within 30 minutes of Dose 1 or Dose 2 occurred at a frequency of ≤ 0.2% in both groups. Most were reactogenicity events like injection site pain. There were no allergic events reported.</w:t>
      </w:r>
    </w:p>
    <w:p w14:paraId="75022688" w14:textId="77777777" w:rsidR="008A1785" w:rsidRDefault="008A1785" w:rsidP="00172C1E">
      <w:pPr>
        <w:pStyle w:val="Heading6"/>
        <w:rPr>
          <w:lang w:eastAsia="ja-JP"/>
        </w:rPr>
      </w:pPr>
      <w:r>
        <w:rPr>
          <w:lang w:eastAsia="ja-JP"/>
        </w:rPr>
        <w:t>Severe and life-threatening events</w:t>
      </w:r>
    </w:p>
    <w:p w14:paraId="6E8D19BA" w14:textId="77777777" w:rsidR="008A1785" w:rsidRDefault="00172C1E" w:rsidP="008A1785">
      <w:pPr>
        <w:rPr>
          <w:lang w:eastAsia="ja-JP"/>
        </w:rPr>
      </w:pPr>
      <w:r>
        <w:rPr>
          <w:lang w:eastAsia="ja-JP"/>
        </w:rPr>
        <w:t xml:space="preserve">Severe (that is, </w:t>
      </w:r>
      <w:r w:rsidR="008A1785">
        <w:rPr>
          <w:lang w:eastAsia="ja-JP"/>
        </w:rPr>
        <w:t xml:space="preserve">Grade 3) </w:t>
      </w:r>
      <w:r>
        <w:rPr>
          <w:lang w:eastAsia="ja-JP"/>
        </w:rPr>
        <w:t>adverse events</w:t>
      </w:r>
      <w:r w:rsidR="008A1785">
        <w:rPr>
          <w:lang w:eastAsia="ja-JP"/>
        </w:rPr>
        <w:t xml:space="preserve"> occurred in 5 (0.3%) of </w:t>
      </w:r>
      <w:proofErr w:type="spellStart"/>
      <w:r>
        <w:rPr>
          <w:lang w:eastAsia="ja-JP"/>
        </w:rPr>
        <w:t>Comirnaty</w:t>
      </w:r>
      <w:proofErr w:type="spellEnd"/>
      <w:r>
        <w:rPr>
          <w:lang w:eastAsia="ja-JP"/>
        </w:rPr>
        <w:t xml:space="preserve"> vaccine</w:t>
      </w:r>
      <w:r w:rsidR="008A1785">
        <w:rPr>
          <w:lang w:eastAsia="ja-JP"/>
        </w:rPr>
        <w:t xml:space="preserve"> recipients and none in the placebo group. These 5 </w:t>
      </w:r>
      <w:r>
        <w:rPr>
          <w:lang w:eastAsia="ja-JP"/>
        </w:rPr>
        <w:t>adverse events</w:t>
      </w:r>
      <w:r w:rsidR="008A1785">
        <w:rPr>
          <w:lang w:eastAsia="ja-JP"/>
        </w:rPr>
        <w:t xml:space="preserve"> included:</w:t>
      </w:r>
    </w:p>
    <w:p w14:paraId="3620EB2F" w14:textId="77777777" w:rsidR="008A1785" w:rsidRDefault="008A1785" w:rsidP="00172C1E">
      <w:pPr>
        <w:pStyle w:val="ListBullet"/>
        <w:rPr>
          <w:lang w:eastAsia="ja-JP"/>
        </w:rPr>
      </w:pPr>
      <w:r>
        <w:rPr>
          <w:lang w:eastAsia="ja-JP"/>
        </w:rPr>
        <w:lastRenderedPageBreak/>
        <w:t xml:space="preserve">the case of pyrexia and neutropenia (‘worsening from baseline’) discussed </w:t>
      </w:r>
      <w:proofErr w:type="gramStart"/>
      <w:r>
        <w:rPr>
          <w:lang w:eastAsia="ja-JP"/>
        </w:rPr>
        <w:t>below</w:t>
      </w:r>
      <w:r w:rsidR="00172C1E">
        <w:rPr>
          <w:lang w:eastAsia="ja-JP"/>
        </w:rPr>
        <w:t>;</w:t>
      </w:r>
      <w:proofErr w:type="gramEnd"/>
    </w:p>
    <w:p w14:paraId="27EB323B" w14:textId="465D07BC" w:rsidR="008A1785" w:rsidRDefault="008A1785" w:rsidP="00172C1E">
      <w:pPr>
        <w:pStyle w:val="ListBullet"/>
        <w:rPr>
          <w:lang w:eastAsia="ja-JP"/>
        </w:rPr>
      </w:pPr>
      <w:r>
        <w:rPr>
          <w:lang w:eastAsia="ja-JP"/>
        </w:rPr>
        <w:t>one unrelated food allergy post-Dose 1 (‘worsening of allergic reaction to Nutella’)</w:t>
      </w:r>
      <w:r w:rsidR="00172C1E">
        <w:rPr>
          <w:lang w:eastAsia="ja-JP"/>
        </w:rPr>
        <w:t>;</w:t>
      </w:r>
      <w:r w:rsidR="00E611D7">
        <w:rPr>
          <w:rStyle w:val="FootnoteReference"/>
          <w:lang w:eastAsia="ja-JP"/>
        </w:rPr>
        <w:footnoteReference w:id="39"/>
      </w:r>
      <w:r w:rsidR="00172C1E">
        <w:rPr>
          <w:lang w:eastAsia="ja-JP"/>
        </w:rPr>
        <w:t xml:space="preserve"> and</w:t>
      </w:r>
    </w:p>
    <w:p w14:paraId="04F2D834" w14:textId="77777777" w:rsidR="008A1785" w:rsidRDefault="008A1785" w:rsidP="00172C1E">
      <w:pPr>
        <w:pStyle w:val="ListBullet"/>
        <w:rPr>
          <w:lang w:eastAsia="ja-JP"/>
        </w:rPr>
      </w:pPr>
      <w:r>
        <w:rPr>
          <w:lang w:eastAsia="ja-JP"/>
        </w:rPr>
        <w:t xml:space="preserve">three unrelated </w:t>
      </w:r>
      <w:r w:rsidR="00172C1E">
        <w:rPr>
          <w:lang w:eastAsia="ja-JP"/>
        </w:rPr>
        <w:t>serious adverse events</w:t>
      </w:r>
      <w:r>
        <w:rPr>
          <w:lang w:eastAsia="ja-JP"/>
        </w:rPr>
        <w:t xml:space="preserve"> in the </w:t>
      </w:r>
      <w:proofErr w:type="spellStart"/>
      <w:r w:rsidR="00172C1E">
        <w:rPr>
          <w:lang w:eastAsia="ja-JP"/>
        </w:rPr>
        <w:t>Comirnaty</w:t>
      </w:r>
      <w:proofErr w:type="spellEnd"/>
      <w:r w:rsidR="00172C1E">
        <w:rPr>
          <w:lang w:eastAsia="ja-JP"/>
        </w:rPr>
        <w:t xml:space="preserve"> vaccine</w:t>
      </w:r>
      <w:r>
        <w:rPr>
          <w:lang w:eastAsia="ja-JP"/>
        </w:rPr>
        <w:t xml:space="preserve"> group (discussed below).</w:t>
      </w:r>
    </w:p>
    <w:p w14:paraId="735D0367" w14:textId="77777777" w:rsidR="008A1785" w:rsidRDefault="008A1785" w:rsidP="00172C1E">
      <w:pPr>
        <w:pStyle w:val="Heading6"/>
        <w:rPr>
          <w:lang w:eastAsia="ja-JP"/>
        </w:rPr>
      </w:pPr>
      <w:r>
        <w:rPr>
          <w:lang w:eastAsia="ja-JP"/>
        </w:rPr>
        <w:t>Deaths</w:t>
      </w:r>
    </w:p>
    <w:p w14:paraId="52586F51" w14:textId="77777777" w:rsidR="008A1785" w:rsidRDefault="00172C1E" w:rsidP="008A1785">
      <w:pPr>
        <w:rPr>
          <w:lang w:eastAsia="ja-JP"/>
        </w:rPr>
      </w:pPr>
      <w:r>
        <w:rPr>
          <w:lang w:eastAsia="ja-JP"/>
        </w:rPr>
        <w:t xml:space="preserve">There were no deaths in either the vaccine-group, </w:t>
      </w:r>
      <w:proofErr w:type="gramStart"/>
      <w:r>
        <w:rPr>
          <w:lang w:eastAsia="ja-JP"/>
        </w:rPr>
        <w:t>nor</w:t>
      </w:r>
      <w:proofErr w:type="gramEnd"/>
      <w:r>
        <w:rPr>
          <w:lang w:eastAsia="ja-JP"/>
        </w:rPr>
        <w:t xml:space="preserve"> the placebo group.</w:t>
      </w:r>
    </w:p>
    <w:p w14:paraId="25B35BA8" w14:textId="77777777" w:rsidR="008A1785" w:rsidRDefault="008A1785" w:rsidP="00172C1E">
      <w:pPr>
        <w:pStyle w:val="Heading6"/>
        <w:rPr>
          <w:lang w:eastAsia="ja-JP"/>
        </w:rPr>
      </w:pPr>
      <w:r>
        <w:rPr>
          <w:lang w:eastAsia="ja-JP"/>
        </w:rPr>
        <w:t>Serious adverse events</w:t>
      </w:r>
    </w:p>
    <w:p w14:paraId="6CCFFEB7" w14:textId="101052B4" w:rsidR="008A1785" w:rsidRDefault="008A1785" w:rsidP="008A1785">
      <w:pPr>
        <w:rPr>
          <w:lang w:eastAsia="ja-JP"/>
        </w:rPr>
      </w:pPr>
      <w:r>
        <w:rPr>
          <w:lang w:eastAsia="ja-JP"/>
        </w:rPr>
        <w:t xml:space="preserve">There were 3 </w:t>
      </w:r>
      <w:r w:rsidR="00172C1E">
        <w:rPr>
          <w:lang w:eastAsia="ja-JP"/>
        </w:rPr>
        <w:t>serious adverse events</w:t>
      </w:r>
      <w:r>
        <w:rPr>
          <w:lang w:eastAsia="ja-JP"/>
        </w:rPr>
        <w:t xml:space="preserve">, all in the </w:t>
      </w:r>
      <w:proofErr w:type="spellStart"/>
      <w:r w:rsidR="00172C1E">
        <w:rPr>
          <w:lang w:eastAsia="ja-JP"/>
        </w:rPr>
        <w:t>Comirnaty</w:t>
      </w:r>
      <w:proofErr w:type="spellEnd"/>
      <w:r w:rsidR="00172C1E">
        <w:rPr>
          <w:lang w:eastAsia="ja-JP"/>
        </w:rPr>
        <w:t xml:space="preserve"> vaccine group and all assessed by the i</w:t>
      </w:r>
      <w:r>
        <w:rPr>
          <w:lang w:eastAsia="ja-JP"/>
        </w:rPr>
        <w:t>nvestigator as unrel</w:t>
      </w:r>
      <w:r w:rsidR="00172C1E">
        <w:rPr>
          <w:lang w:eastAsia="ja-JP"/>
        </w:rPr>
        <w:t xml:space="preserve">ated to study intervention. These events </w:t>
      </w:r>
      <w:proofErr w:type="gramStart"/>
      <w:r w:rsidR="00172C1E">
        <w:rPr>
          <w:lang w:eastAsia="ja-JP"/>
        </w:rPr>
        <w:t>were,</w:t>
      </w:r>
      <w:proofErr w:type="gramEnd"/>
      <w:r w:rsidR="00172C1E">
        <w:rPr>
          <w:lang w:eastAsia="ja-JP"/>
        </w:rPr>
        <w:t xml:space="preserve"> one case each of infective arthritis; </w:t>
      </w:r>
      <w:r>
        <w:rPr>
          <w:lang w:eastAsia="ja-JP"/>
        </w:rPr>
        <w:t>ingestion o</w:t>
      </w:r>
      <w:r w:rsidR="00172C1E">
        <w:rPr>
          <w:lang w:eastAsia="ja-JP"/>
        </w:rPr>
        <w:t>f a foreign body (coin); and</w:t>
      </w:r>
      <w:r>
        <w:rPr>
          <w:lang w:eastAsia="ja-JP"/>
        </w:rPr>
        <w:t xml:space="preserve"> epiphyseal fracture.</w:t>
      </w:r>
    </w:p>
    <w:p w14:paraId="026BA5A6" w14:textId="77777777" w:rsidR="008A1785" w:rsidRDefault="008A1785" w:rsidP="00172C1E">
      <w:pPr>
        <w:pStyle w:val="Heading6"/>
        <w:rPr>
          <w:lang w:eastAsia="ja-JP"/>
        </w:rPr>
      </w:pPr>
      <w:r>
        <w:rPr>
          <w:lang w:eastAsia="ja-JP"/>
        </w:rPr>
        <w:t>Adverse events leading to withdrawal</w:t>
      </w:r>
    </w:p>
    <w:p w14:paraId="76BE8BD2" w14:textId="77777777" w:rsidR="008A1785" w:rsidRDefault="008A1785" w:rsidP="008A1785">
      <w:pPr>
        <w:rPr>
          <w:lang w:eastAsia="ja-JP"/>
        </w:rPr>
      </w:pPr>
      <w:r>
        <w:rPr>
          <w:lang w:eastAsia="ja-JP"/>
        </w:rPr>
        <w:t xml:space="preserve">There was </w:t>
      </w:r>
      <w:r w:rsidR="00172C1E">
        <w:rPr>
          <w:lang w:eastAsia="ja-JP"/>
        </w:rPr>
        <w:t xml:space="preserve">one adverse event </w:t>
      </w:r>
      <w:r>
        <w:rPr>
          <w:lang w:eastAsia="ja-JP"/>
        </w:rPr>
        <w:t xml:space="preserve">leading to withdrawal, which occurred in the </w:t>
      </w:r>
      <w:proofErr w:type="spellStart"/>
      <w:r w:rsidR="00172C1E">
        <w:rPr>
          <w:lang w:eastAsia="ja-JP"/>
        </w:rPr>
        <w:t>Comirnaty</w:t>
      </w:r>
      <w:proofErr w:type="spellEnd"/>
      <w:r w:rsidR="00172C1E">
        <w:rPr>
          <w:lang w:eastAsia="ja-JP"/>
        </w:rPr>
        <w:t xml:space="preserve"> vaccine group. A</w:t>
      </w:r>
      <w:r>
        <w:rPr>
          <w:lang w:eastAsia="ja-JP"/>
        </w:rPr>
        <w:t xml:space="preserve"> </w:t>
      </w:r>
      <w:proofErr w:type="gramStart"/>
      <w:r>
        <w:rPr>
          <w:lang w:eastAsia="ja-JP"/>
        </w:rPr>
        <w:t>5 year-old</w:t>
      </w:r>
      <w:proofErr w:type="gramEnd"/>
      <w:r>
        <w:rPr>
          <w:lang w:eastAsia="ja-JP"/>
        </w:rPr>
        <w:t xml:space="preserve"> female participant experienced severe pyrexia (temperature </w:t>
      </w:r>
      <w:r w:rsidR="00172C1E">
        <w:rPr>
          <w:lang w:eastAsia="ja-JP"/>
        </w:rPr>
        <w:t xml:space="preserve">of </w:t>
      </w:r>
      <w:r>
        <w:rPr>
          <w:lang w:eastAsia="ja-JP"/>
        </w:rPr>
        <w:t>40.1°C) with onset</w:t>
      </w:r>
      <w:r w:rsidR="00172C1E">
        <w:rPr>
          <w:lang w:eastAsia="ja-JP"/>
        </w:rPr>
        <w:t xml:space="preserve"> 2 days post-Dose 1, which the study i</w:t>
      </w:r>
      <w:r>
        <w:rPr>
          <w:lang w:eastAsia="ja-JP"/>
        </w:rPr>
        <w:t>nvestigator considered related to s</w:t>
      </w:r>
      <w:r w:rsidR="00172C1E">
        <w:rPr>
          <w:lang w:eastAsia="ja-JP"/>
        </w:rPr>
        <w:t>tudy intervention. It resolved one</w:t>
      </w:r>
      <w:r>
        <w:rPr>
          <w:lang w:eastAsia="ja-JP"/>
        </w:rPr>
        <w:t xml:space="preserve"> day after onset.</w:t>
      </w:r>
    </w:p>
    <w:p w14:paraId="0706F22D" w14:textId="190D7B6C" w:rsidR="008A1785" w:rsidRDefault="008A1785" w:rsidP="008A1785">
      <w:pPr>
        <w:rPr>
          <w:lang w:eastAsia="ja-JP"/>
        </w:rPr>
      </w:pPr>
      <w:r>
        <w:rPr>
          <w:lang w:eastAsia="ja-JP"/>
        </w:rPr>
        <w:t xml:space="preserve">This participant had an associated </w:t>
      </w:r>
      <w:r w:rsidR="00172C1E">
        <w:rPr>
          <w:lang w:eastAsia="ja-JP"/>
        </w:rPr>
        <w:t>adverse event</w:t>
      </w:r>
      <w:r>
        <w:rPr>
          <w:lang w:eastAsia="ja-JP"/>
        </w:rPr>
        <w:t xml:space="preserve"> of severe neutropenia (‘worsening from baseline’, from </w:t>
      </w:r>
      <w:r w:rsidR="007D5E17">
        <w:rPr>
          <w:lang w:eastAsia="ja-JP"/>
        </w:rPr>
        <w:t xml:space="preserve">a neutrophil count of </w:t>
      </w:r>
      <w:r>
        <w:rPr>
          <w:lang w:eastAsia="ja-JP"/>
        </w:rPr>
        <w:t xml:space="preserve">0.48 x 109/L to 0.02 x 109/L) with onset 3 days post-Dose 1, also considered related, which had resolved by the data </w:t>
      </w:r>
      <w:proofErr w:type="spellStart"/>
      <w:r w:rsidR="005D1794">
        <w:rPr>
          <w:lang w:eastAsia="ja-JP"/>
        </w:rPr>
        <w:t>cut off</w:t>
      </w:r>
      <w:proofErr w:type="spellEnd"/>
      <w:r>
        <w:rPr>
          <w:lang w:eastAsia="ja-JP"/>
        </w:rPr>
        <w:t xml:space="preserve"> date. There was </w:t>
      </w:r>
      <w:proofErr w:type="gramStart"/>
      <w:r>
        <w:rPr>
          <w:lang w:eastAsia="ja-JP"/>
        </w:rPr>
        <w:t>a past history</w:t>
      </w:r>
      <w:proofErr w:type="gramEnd"/>
      <w:r>
        <w:rPr>
          <w:lang w:eastAsia="ja-JP"/>
        </w:rPr>
        <w:t xml:space="preserve"> of benign transient neutropenia of unknown aetiology</w:t>
      </w:r>
      <w:r w:rsidR="00172C1E">
        <w:rPr>
          <w:lang w:eastAsia="ja-JP"/>
        </w:rPr>
        <w:t xml:space="preserve"> in this participant, diagnosed in March 2021.</w:t>
      </w:r>
    </w:p>
    <w:p w14:paraId="30856EB5" w14:textId="77777777" w:rsidR="008A1785" w:rsidRDefault="008A1785" w:rsidP="008A1785">
      <w:pPr>
        <w:rPr>
          <w:lang w:eastAsia="ja-JP"/>
        </w:rPr>
      </w:pPr>
      <w:r>
        <w:rPr>
          <w:lang w:eastAsia="ja-JP"/>
        </w:rPr>
        <w:t xml:space="preserve">Subsequently, the participant developed bleeding gums </w:t>
      </w:r>
      <w:r w:rsidR="00172C1E">
        <w:rPr>
          <w:lang w:eastAsia="ja-JP"/>
        </w:rPr>
        <w:t>approximately 12 days post</w:t>
      </w:r>
      <w:r w:rsidR="00172C1E">
        <w:rPr>
          <w:lang w:eastAsia="ja-JP"/>
        </w:rPr>
        <w:noBreakHyphen/>
        <w:t>Dose 1. At Visit 2 (on D</w:t>
      </w:r>
      <w:r>
        <w:rPr>
          <w:lang w:eastAsia="ja-JP"/>
        </w:rPr>
        <w:t>ay 23</w:t>
      </w:r>
      <w:r w:rsidR="00172C1E">
        <w:rPr>
          <w:lang w:eastAsia="ja-JP"/>
        </w:rPr>
        <w:t>)</w:t>
      </w:r>
      <w:r>
        <w:rPr>
          <w:lang w:eastAsia="ja-JP"/>
        </w:rPr>
        <w:t>, the participant had improved, and the neutrophil count had risen to 0.07 x 109/L. A decision was made to discontinue the participant from vaccination and she did not receive Dose 2; however, remains in the study for safety follow-up.</w:t>
      </w:r>
    </w:p>
    <w:p w14:paraId="09F4DEBD" w14:textId="77777777" w:rsidR="008A1785" w:rsidRDefault="008A1785" w:rsidP="007D5E17">
      <w:pPr>
        <w:pStyle w:val="Heading6"/>
        <w:rPr>
          <w:lang w:eastAsia="ja-JP"/>
        </w:rPr>
      </w:pPr>
      <w:r>
        <w:rPr>
          <w:lang w:eastAsia="ja-JP"/>
        </w:rPr>
        <w:t>Adverse events of clinical interest</w:t>
      </w:r>
    </w:p>
    <w:p w14:paraId="1211A8FE" w14:textId="1A77AC54" w:rsidR="008A1785" w:rsidRDefault="008A1785" w:rsidP="008A1785">
      <w:pPr>
        <w:rPr>
          <w:lang w:eastAsia="ja-JP"/>
        </w:rPr>
      </w:pPr>
      <w:r>
        <w:rPr>
          <w:lang w:eastAsia="ja-JP"/>
        </w:rPr>
        <w:t xml:space="preserve">There were no cases of myocarditis, pericarditis, anaphylaxis, Bell’s palsy, convulsions, encephalitis, meningitis, neuritis, peripheral neuropathy, demyelination, thrombocytopenia, thromboembolism, intravascular coagulation events, autoimmunity, acute respiratory distress syndrome, pregnancy, Kawasaki disease or MIS-C through the data </w:t>
      </w:r>
      <w:proofErr w:type="spellStart"/>
      <w:r w:rsidR="005D1794">
        <w:rPr>
          <w:lang w:eastAsia="ja-JP"/>
        </w:rPr>
        <w:t>cut off</w:t>
      </w:r>
      <w:proofErr w:type="spellEnd"/>
      <w:r>
        <w:rPr>
          <w:lang w:eastAsia="ja-JP"/>
        </w:rPr>
        <w:t xml:space="preserve"> date of 8</w:t>
      </w:r>
      <w:r w:rsidR="007D5E17">
        <w:rPr>
          <w:lang w:eastAsia="ja-JP"/>
        </w:rPr>
        <w:t xml:space="preserve"> October </w:t>
      </w:r>
      <w:r>
        <w:rPr>
          <w:lang w:eastAsia="ja-JP"/>
        </w:rPr>
        <w:t>2021.</w:t>
      </w:r>
    </w:p>
    <w:p w14:paraId="4A8CD1D1" w14:textId="77777777" w:rsidR="008A1785" w:rsidRDefault="008A1785" w:rsidP="007D5E17">
      <w:pPr>
        <w:pStyle w:val="Heading6"/>
        <w:rPr>
          <w:lang w:eastAsia="ja-JP"/>
        </w:rPr>
      </w:pPr>
      <w:r>
        <w:rPr>
          <w:lang w:eastAsia="ja-JP"/>
        </w:rPr>
        <w:t xml:space="preserve">Hypersensitivity-related </w:t>
      </w:r>
      <w:r w:rsidR="007D5E17">
        <w:rPr>
          <w:lang w:eastAsia="ja-JP"/>
        </w:rPr>
        <w:t>adverse events</w:t>
      </w:r>
    </w:p>
    <w:p w14:paraId="175A2BF3" w14:textId="77777777" w:rsidR="008A1785" w:rsidRDefault="008A1785" w:rsidP="008A1785">
      <w:pPr>
        <w:rPr>
          <w:lang w:eastAsia="ja-JP"/>
        </w:rPr>
      </w:pPr>
      <w:r>
        <w:rPr>
          <w:lang w:eastAsia="ja-JP"/>
        </w:rPr>
        <w:t xml:space="preserve">Other </w:t>
      </w:r>
      <w:r w:rsidR="007D5E17">
        <w:rPr>
          <w:lang w:eastAsia="ja-JP"/>
        </w:rPr>
        <w:t xml:space="preserve">adverse events </w:t>
      </w:r>
      <w:r>
        <w:rPr>
          <w:lang w:eastAsia="ja-JP"/>
        </w:rPr>
        <w:t>of clinical interest related to potential hypersensitivity are summarised below:</w:t>
      </w:r>
    </w:p>
    <w:p w14:paraId="7954C7C4" w14:textId="77777777" w:rsidR="007D5E17" w:rsidRDefault="008A1785" w:rsidP="008A1785">
      <w:pPr>
        <w:pStyle w:val="ListBullet"/>
        <w:rPr>
          <w:lang w:eastAsia="ja-JP"/>
        </w:rPr>
      </w:pPr>
      <w:r>
        <w:rPr>
          <w:lang w:eastAsia="ja-JP"/>
        </w:rPr>
        <w:t xml:space="preserve">A previously healthy participant in the </w:t>
      </w:r>
      <w:proofErr w:type="spellStart"/>
      <w:r w:rsidR="007D5E17">
        <w:rPr>
          <w:lang w:eastAsia="ja-JP"/>
        </w:rPr>
        <w:t>Comirnaty</w:t>
      </w:r>
      <w:proofErr w:type="spellEnd"/>
      <w:r w:rsidR="007D5E17">
        <w:rPr>
          <w:lang w:eastAsia="ja-JP"/>
        </w:rPr>
        <w:t xml:space="preserve"> (vaccine)</w:t>
      </w:r>
      <w:r>
        <w:rPr>
          <w:lang w:eastAsia="ja-JP"/>
        </w:rPr>
        <w:t xml:space="preserve"> group had a related </w:t>
      </w:r>
      <w:r w:rsidR="007D5E17">
        <w:rPr>
          <w:lang w:eastAsia="ja-JP"/>
        </w:rPr>
        <w:t>adverse event</w:t>
      </w:r>
      <w:r>
        <w:rPr>
          <w:lang w:eastAsia="ja-JP"/>
        </w:rPr>
        <w:t xml:space="preserve"> of Type IV hypersensitivity reaction diagnosed by a dermatologist that involved a rash on the forehead, </w:t>
      </w:r>
      <w:proofErr w:type="gramStart"/>
      <w:r>
        <w:rPr>
          <w:lang w:eastAsia="ja-JP"/>
        </w:rPr>
        <w:t>earlobe</w:t>
      </w:r>
      <w:proofErr w:type="gramEnd"/>
      <w:r>
        <w:rPr>
          <w:lang w:eastAsia="ja-JP"/>
        </w:rPr>
        <w:t xml:space="preserve"> and right forearm 3 days post-Dose 1. There were no other recognised triggers. This was managed with corticosteroid and </w:t>
      </w:r>
      <w:proofErr w:type="gramStart"/>
      <w:r>
        <w:rPr>
          <w:lang w:eastAsia="ja-JP"/>
        </w:rPr>
        <w:t>anti-histamine</w:t>
      </w:r>
      <w:proofErr w:type="gramEnd"/>
      <w:r>
        <w:rPr>
          <w:lang w:eastAsia="ja-JP"/>
        </w:rPr>
        <w:t xml:space="preserve"> creams and resolved within 18 days of onset, without sequalae. The participant received Dose 2 without issue.</w:t>
      </w:r>
    </w:p>
    <w:p w14:paraId="448096C6" w14:textId="77777777" w:rsidR="008A1785" w:rsidRDefault="008A1785" w:rsidP="008A1785">
      <w:pPr>
        <w:pStyle w:val="ListBullet"/>
        <w:rPr>
          <w:lang w:eastAsia="ja-JP"/>
        </w:rPr>
      </w:pPr>
      <w:r>
        <w:rPr>
          <w:lang w:eastAsia="ja-JP"/>
        </w:rPr>
        <w:t xml:space="preserve">A participant in the </w:t>
      </w:r>
      <w:proofErr w:type="spellStart"/>
      <w:r w:rsidR="007D5E17">
        <w:rPr>
          <w:lang w:eastAsia="ja-JP"/>
        </w:rPr>
        <w:t>Comirnaty</w:t>
      </w:r>
      <w:proofErr w:type="spellEnd"/>
      <w:r w:rsidR="007D5E17">
        <w:rPr>
          <w:lang w:eastAsia="ja-JP"/>
        </w:rPr>
        <w:t xml:space="preserve"> (vaccine)</w:t>
      </w:r>
      <w:r>
        <w:rPr>
          <w:lang w:eastAsia="ja-JP"/>
        </w:rPr>
        <w:t xml:space="preserve"> group with a prior allergy history (hypersensitivity with mild rash to a vaccine, contact dermatitis and seasonal allergies) experienced </w:t>
      </w:r>
      <w:r w:rsidR="007D5E17">
        <w:rPr>
          <w:lang w:eastAsia="ja-JP"/>
        </w:rPr>
        <w:t>moderate angioedema involving ‘</w:t>
      </w:r>
      <w:r>
        <w:rPr>
          <w:lang w:eastAsia="ja-JP"/>
        </w:rPr>
        <w:t xml:space="preserve">perioral and periorbital </w:t>
      </w:r>
      <w:r>
        <w:rPr>
          <w:lang w:eastAsia="ja-JP"/>
        </w:rPr>
        <w:lastRenderedPageBreak/>
        <w:t xml:space="preserve">angioedema due to allergic reaction’ and concurrent urticaria reported as ‘hives of the face and back caused due to allergic reaction’, both with onset of 2 days after Dose 2, and was reported as resolved 2 days after onset.’ No other triggers were recognised although the participant had a prior history of past allergy (hypersensitivity with mild rash) to human papilloma virus </w:t>
      </w:r>
      <w:r w:rsidR="007D5E17">
        <w:rPr>
          <w:lang w:eastAsia="ja-JP"/>
        </w:rPr>
        <w:t xml:space="preserve">(HPV) </w:t>
      </w:r>
      <w:r>
        <w:rPr>
          <w:lang w:eastAsia="ja-JP"/>
        </w:rPr>
        <w:t>vaccine in</w:t>
      </w:r>
      <w:r w:rsidR="007D5E17">
        <w:rPr>
          <w:lang w:eastAsia="ja-JP"/>
        </w:rPr>
        <w:t xml:space="preserve"> the</w:t>
      </w:r>
      <w:r>
        <w:rPr>
          <w:lang w:eastAsia="ja-JP"/>
        </w:rPr>
        <w:t xml:space="preserve"> year 2020.</w:t>
      </w:r>
    </w:p>
    <w:p w14:paraId="14250B6A" w14:textId="77777777" w:rsidR="008A1785" w:rsidRDefault="008A1785" w:rsidP="007D5E17">
      <w:pPr>
        <w:pStyle w:val="ListBullet"/>
        <w:rPr>
          <w:lang w:eastAsia="ja-JP"/>
        </w:rPr>
      </w:pPr>
      <w:r>
        <w:rPr>
          <w:lang w:eastAsia="ja-JP"/>
        </w:rPr>
        <w:t xml:space="preserve">A previously health participant in the </w:t>
      </w:r>
      <w:proofErr w:type="spellStart"/>
      <w:r w:rsidR="007D5E17">
        <w:rPr>
          <w:lang w:eastAsia="ja-JP"/>
        </w:rPr>
        <w:t>Comirnaty</w:t>
      </w:r>
      <w:proofErr w:type="spellEnd"/>
      <w:r w:rsidR="007D5E17">
        <w:rPr>
          <w:lang w:eastAsia="ja-JP"/>
        </w:rPr>
        <w:t xml:space="preserve"> (vaccine)</w:t>
      </w:r>
      <w:r>
        <w:rPr>
          <w:lang w:eastAsia="ja-JP"/>
        </w:rPr>
        <w:t xml:space="preserve"> group experienced mild urticaria (‘itchy’, ‘bilateral on hands and forearms’) with onset at 6 days post-Dose 1 and resolved within 2 days. This followed an </w:t>
      </w:r>
      <w:r w:rsidR="007D5E17">
        <w:rPr>
          <w:lang w:eastAsia="ja-JP"/>
        </w:rPr>
        <w:t>adverse event</w:t>
      </w:r>
      <w:r>
        <w:rPr>
          <w:lang w:eastAsia="ja-JP"/>
        </w:rPr>
        <w:t xml:space="preserve"> of mild injection site erythema at 3 days post-Dose 1. No other triggers were recognised. The participant received Dose 2 without issue.</w:t>
      </w:r>
    </w:p>
    <w:p w14:paraId="6C33A10B" w14:textId="349D17E2" w:rsidR="008A1785" w:rsidRDefault="008A1785" w:rsidP="008A1785">
      <w:pPr>
        <w:rPr>
          <w:lang w:eastAsia="ja-JP"/>
        </w:rPr>
      </w:pPr>
      <w:r>
        <w:rPr>
          <w:lang w:eastAsia="ja-JP"/>
        </w:rPr>
        <w:t xml:space="preserve">Overall, 9 participants were identified with hypersensitivity events in the </w:t>
      </w:r>
      <w:proofErr w:type="spellStart"/>
      <w:r w:rsidR="007D5E17">
        <w:rPr>
          <w:lang w:eastAsia="ja-JP"/>
        </w:rPr>
        <w:t>Comirnaty</w:t>
      </w:r>
      <w:proofErr w:type="spellEnd"/>
      <w:r w:rsidR="007D5E17">
        <w:rPr>
          <w:lang w:eastAsia="ja-JP"/>
        </w:rPr>
        <w:t xml:space="preserve"> (vaccine)</w:t>
      </w:r>
      <w:r>
        <w:rPr>
          <w:lang w:eastAsia="ja-JP"/>
        </w:rPr>
        <w:t xml:space="preserve"> group, including those described above. One other case of urticaria occurring in the </w:t>
      </w:r>
      <w:proofErr w:type="spellStart"/>
      <w:r w:rsidR="007D5E17">
        <w:rPr>
          <w:lang w:eastAsia="ja-JP"/>
        </w:rPr>
        <w:t>Comirnaty</w:t>
      </w:r>
      <w:proofErr w:type="spellEnd"/>
      <w:r w:rsidR="007D5E17">
        <w:rPr>
          <w:lang w:eastAsia="ja-JP"/>
        </w:rPr>
        <w:t xml:space="preserve"> (vaccine)</w:t>
      </w:r>
      <w:r>
        <w:rPr>
          <w:lang w:eastAsia="ja-JP"/>
        </w:rPr>
        <w:t xml:space="preserve"> group was assessed as unrelated (no furthe</w:t>
      </w:r>
      <w:r w:rsidR="007D5E17">
        <w:rPr>
          <w:lang w:eastAsia="ja-JP"/>
        </w:rPr>
        <w:t>r details were provided by the s</w:t>
      </w:r>
      <w:r>
        <w:rPr>
          <w:lang w:eastAsia="ja-JP"/>
        </w:rPr>
        <w:t xml:space="preserve">ponsor). There were also unrelated cases of allergic conjunctivitis, </w:t>
      </w:r>
      <w:r w:rsidR="007D5E17">
        <w:rPr>
          <w:lang w:eastAsia="ja-JP"/>
        </w:rPr>
        <w:t xml:space="preserve">and </w:t>
      </w:r>
      <w:r>
        <w:rPr>
          <w:lang w:eastAsia="ja-JP"/>
        </w:rPr>
        <w:t>contact dermatitis (</w:t>
      </w:r>
      <w:r w:rsidR="007D5E17">
        <w:rPr>
          <w:lang w:eastAsia="ja-JP"/>
        </w:rPr>
        <w:t xml:space="preserve">due to contact with </w:t>
      </w:r>
      <w:r>
        <w:rPr>
          <w:lang w:eastAsia="ja-JP"/>
        </w:rPr>
        <w:t>poison ivy</w:t>
      </w:r>
      <w:r w:rsidR="007D5E17">
        <w:rPr>
          <w:lang w:eastAsia="ja-JP"/>
        </w:rPr>
        <w:t xml:space="preserve"> (Genus: </w:t>
      </w:r>
      <w:r w:rsidR="007D5E17" w:rsidRPr="007D5E17">
        <w:rPr>
          <w:i/>
          <w:lang w:eastAsia="ja-JP"/>
        </w:rPr>
        <w:t>Toxicodendron</w:t>
      </w:r>
      <w:r>
        <w:rPr>
          <w:lang w:eastAsia="ja-JP"/>
        </w:rPr>
        <w:t>)</w:t>
      </w:r>
      <w:r w:rsidR="00E611D7">
        <w:rPr>
          <w:lang w:eastAsia="ja-JP"/>
        </w:rPr>
        <w:t>)</w:t>
      </w:r>
      <w:r>
        <w:rPr>
          <w:lang w:eastAsia="ja-JP"/>
        </w:rPr>
        <w:t>.</w:t>
      </w:r>
    </w:p>
    <w:p w14:paraId="13B62466" w14:textId="77777777" w:rsidR="008A1785" w:rsidRDefault="008A1785" w:rsidP="008A1785">
      <w:pPr>
        <w:rPr>
          <w:lang w:eastAsia="ja-JP"/>
        </w:rPr>
      </w:pPr>
      <w:r>
        <w:rPr>
          <w:lang w:eastAsia="ja-JP"/>
        </w:rPr>
        <w:t xml:space="preserve">Rashes were reported in 6 participants in the </w:t>
      </w:r>
      <w:proofErr w:type="spellStart"/>
      <w:r w:rsidR="007D5E17">
        <w:rPr>
          <w:lang w:eastAsia="ja-JP"/>
        </w:rPr>
        <w:t>Comirnaty</w:t>
      </w:r>
      <w:proofErr w:type="spellEnd"/>
      <w:r w:rsidR="007D5E17">
        <w:rPr>
          <w:lang w:eastAsia="ja-JP"/>
        </w:rPr>
        <w:t xml:space="preserve"> (vaccine)</w:t>
      </w:r>
      <w:r>
        <w:rPr>
          <w:lang w:eastAsia="ja-JP"/>
        </w:rPr>
        <w:t xml:space="preserve"> group. Those considered related to </w:t>
      </w:r>
      <w:proofErr w:type="spellStart"/>
      <w:r w:rsidR="007D5E17">
        <w:rPr>
          <w:lang w:eastAsia="ja-JP"/>
        </w:rPr>
        <w:t>Comirnaty</w:t>
      </w:r>
      <w:proofErr w:type="spellEnd"/>
      <w:r w:rsidR="007D5E17">
        <w:rPr>
          <w:lang w:eastAsia="ja-JP"/>
        </w:rPr>
        <w:t xml:space="preserve"> (vaccine)</w:t>
      </w:r>
      <w:r>
        <w:rPr>
          <w:lang w:eastAsia="ja-JP"/>
        </w:rPr>
        <w:t xml:space="preserve"> were all mild or moderate </w:t>
      </w:r>
      <w:r w:rsidR="007D5E17">
        <w:rPr>
          <w:lang w:eastAsia="ja-JP"/>
        </w:rPr>
        <w:t xml:space="preserve">in severity </w:t>
      </w:r>
      <w:r>
        <w:rPr>
          <w:lang w:eastAsia="ja-JP"/>
        </w:rPr>
        <w:t>and included</w:t>
      </w:r>
      <w:r w:rsidR="007D5E17">
        <w:rPr>
          <w:lang w:eastAsia="ja-JP"/>
        </w:rPr>
        <w:t xml:space="preserve"> one participant each with </w:t>
      </w:r>
      <w:r>
        <w:rPr>
          <w:lang w:eastAsia="ja-JP"/>
        </w:rPr>
        <w:t>rash maculo-papular</w:t>
      </w:r>
      <w:r w:rsidR="007D5E17">
        <w:rPr>
          <w:lang w:eastAsia="ja-JP"/>
        </w:rPr>
        <w:t>;</w:t>
      </w:r>
      <w:r>
        <w:rPr>
          <w:lang w:eastAsia="ja-JP"/>
        </w:rPr>
        <w:t xml:space="preserve"> rash macular</w:t>
      </w:r>
      <w:r w:rsidR="007D5E17">
        <w:rPr>
          <w:lang w:eastAsia="ja-JP"/>
        </w:rPr>
        <w:t xml:space="preserve">; </w:t>
      </w:r>
      <w:r>
        <w:rPr>
          <w:lang w:eastAsia="ja-JP"/>
        </w:rPr>
        <w:t xml:space="preserve">rash </w:t>
      </w:r>
      <w:r w:rsidR="007D5E17">
        <w:rPr>
          <w:lang w:eastAsia="ja-JP"/>
        </w:rPr>
        <w:t>popular;</w:t>
      </w:r>
      <w:r>
        <w:rPr>
          <w:lang w:eastAsia="ja-JP"/>
        </w:rPr>
        <w:t xml:space="preserve"> and rash</w:t>
      </w:r>
      <w:r w:rsidR="007D5E17">
        <w:rPr>
          <w:lang w:eastAsia="ja-JP"/>
        </w:rPr>
        <w:t>.</w:t>
      </w:r>
    </w:p>
    <w:p w14:paraId="4D9F2B34" w14:textId="77777777" w:rsidR="008A1785" w:rsidRDefault="008A1785" w:rsidP="008A1785">
      <w:pPr>
        <w:rPr>
          <w:lang w:eastAsia="ja-JP"/>
        </w:rPr>
      </w:pPr>
      <w:r>
        <w:rPr>
          <w:lang w:eastAsia="ja-JP"/>
        </w:rPr>
        <w:t>Rash was also reported in 4 par</w:t>
      </w:r>
      <w:r w:rsidR="007D5E17">
        <w:rPr>
          <w:lang w:eastAsia="ja-JP"/>
        </w:rPr>
        <w:t>ticipants in the placebo group, one each with injection site rash; rash; rash macular;</w:t>
      </w:r>
      <w:r>
        <w:rPr>
          <w:lang w:eastAsia="ja-JP"/>
        </w:rPr>
        <w:t xml:space="preserve"> </w:t>
      </w:r>
      <w:r w:rsidR="007D5E17">
        <w:rPr>
          <w:lang w:eastAsia="ja-JP"/>
        </w:rPr>
        <w:t>and rash maculo-papular</w:t>
      </w:r>
      <w:r>
        <w:rPr>
          <w:lang w:eastAsia="ja-JP"/>
        </w:rPr>
        <w:t>, all of which were mild or moderate</w:t>
      </w:r>
      <w:r w:rsidR="00C86F2B">
        <w:rPr>
          <w:lang w:eastAsia="ja-JP"/>
        </w:rPr>
        <w:t xml:space="preserve"> in severity</w:t>
      </w:r>
      <w:r>
        <w:rPr>
          <w:lang w:eastAsia="ja-JP"/>
        </w:rPr>
        <w:t>, typically occurring within 1 to 3 days post-Dose 1, with one participant reporting a rash again post-Dose 2.</w:t>
      </w:r>
    </w:p>
    <w:p w14:paraId="6E495509" w14:textId="77777777" w:rsidR="00C86F2B" w:rsidRDefault="00C86F2B" w:rsidP="008A1785">
      <w:pPr>
        <w:rPr>
          <w:lang w:eastAsia="ja-JP"/>
        </w:rPr>
      </w:pPr>
      <w:r>
        <w:rPr>
          <w:lang w:eastAsia="ja-JP"/>
        </w:rPr>
        <w:t>The sponsor concluded that:</w:t>
      </w:r>
    </w:p>
    <w:p w14:paraId="0E5030BC" w14:textId="77777777" w:rsidR="008A1785" w:rsidRPr="00C86F2B" w:rsidRDefault="008A1785" w:rsidP="00C86F2B">
      <w:pPr>
        <w:ind w:left="720"/>
        <w:rPr>
          <w:i/>
          <w:lang w:eastAsia="ja-JP"/>
        </w:rPr>
      </w:pPr>
      <w:r w:rsidRPr="00C86F2B">
        <w:rPr>
          <w:i/>
          <w:lang w:eastAsia="ja-JP"/>
        </w:rPr>
        <w:t>‘Overall, the pattern of events in the hypersensitivity analysis within the skin and subcutaneous tissue disorders SOC (including rashes) reported in children 5 to &lt;</w:t>
      </w:r>
      <w:r w:rsidR="00C86F2B" w:rsidRPr="00C86F2B">
        <w:rPr>
          <w:i/>
          <w:lang w:eastAsia="ja-JP"/>
        </w:rPr>
        <w:t> </w:t>
      </w:r>
      <w:r w:rsidR="00C86F2B">
        <w:rPr>
          <w:i/>
          <w:lang w:eastAsia="ja-JP"/>
        </w:rPr>
        <w:t xml:space="preserve">12 [of] </w:t>
      </w:r>
      <w:r w:rsidR="00C86F2B" w:rsidRPr="00C86F2B">
        <w:rPr>
          <w:i/>
          <w:lang w:eastAsia="ja-JP"/>
        </w:rPr>
        <w:t>y</w:t>
      </w:r>
      <w:r w:rsidRPr="00C86F2B">
        <w:rPr>
          <w:i/>
          <w:lang w:eastAsia="ja-JP"/>
        </w:rPr>
        <w:t>ears age in the safety expansion subset of Study C4591007 was consistent with that obser</w:t>
      </w:r>
      <w:r w:rsidR="00C86F2B" w:rsidRPr="00C86F2B">
        <w:rPr>
          <w:i/>
          <w:lang w:eastAsia="ja-JP"/>
        </w:rPr>
        <w:t>ved in prior analyses of Phase II/III</w:t>
      </w:r>
      <w:r w:rsidRPr="00C86F2B">
        <w:rPr>
          <w:i/>
          <w:lang w:eastAsia="ja-JP"/>
        </w:rPr>
        <w:t xml:space="preserve"> participants in the initially enrolled 5 to &lt;</w:t>
      </w:r>
      <w:r w:rsidR="00C86F2B" w:rsidRPr="00C86F2B">
        <w:rPr>
          <w:i/>
          <w:lang w:eastAsia="ja-JP"/>
        </w:rPr>
        <w:t xml:space="preserve"> 12 y</w:t>
      </w:r>
      <w:r w:rsidRPr="00C86F2B">
        <w:rPr>
          <w:i/>
          <w:lang w:eastAsia="ja-JP"/>
        </w:rPr>
        <w:t xml:space="preserve">ears </w:t>
      </w:r>
      <w:r w:rsidR="00C86F2B">
        <w:rPr>
          <w:i/>
          <w:lang w:eastAsia="ja-JP"/>
        </w:rPr>
        <w:t xml:space="preserve">[of] </w:t>
      </w:r>
      <w:r w:rsidRPr="00C86F2B">
        <w:rPr>
          <w:i/>
          <w:lang w:eastAsia="ja-JP"/>
        </w:rPr>
        <w:t>age group in Study C4591007, and higher than obser</w:t>
      </w:r>
      <w:r w:rsidR="00C86F2B" w:rsidRPr="00C86F2B">
        <w:rPr>
          <w:i/>
          <w:lang w:eastAsia="ja-JP"/>
        </w:rPr>
        <w:t>ved in prior analyses of Phase II/III</w:t>
      </w:r>
      <w:r w:rsidRPr="00C86F2B">
        <w:rPr>
          <w:i/>
          <w:lang w:eastAsia="ja-JP"/>
        </w:rPr>
        <w:t xml:space="preserve"> participants ≥</w:t>
      </w:r>
      <w:r w:rsidR="00C86F2B" w:rsidRPr="00C86F2B">
        <w:rPr>
          <w:i/>
          <w:lang w:eastAsia="ja-JP"/>
        </w:rPr>
        <w:t xml:space="preserve"> 12 y</w:t>
      </w:r>
      <w:r w:rsidRPr="00C86F2B">
        <w:rPr>
          <w:i/>
          <w:lang w:eastAsia="ja-JP"/>
        </w:rPr>
        <w:t>ears</w:t>
      </w:r>
      <w:r w:rsidR="00C86F2B">
        <w:rPr>
          <w:i/>
          <w:lang w:eastAsia="ja-JP"/>
        </w:rPr>
        <w:t xml:space="preserve"> [of]</w:t>
      </w:r>
      <w:r w:rsidRPr="00C86F2B">
        <w:rPr>
          <w:i/>
          <w:lang w:eastAsia="ja-JP"/>
        </w:rPr>
        <w:t xml:space="preserve"> age in Study C4591001.’</w:t>
      </w:r>
    </w:p>
    <w:p w14:paraId="356A5684" w14:textId="77777777" w:rsidR="008A1785" w:rsidRDefault="008A1785" w:rsidP="00C86F2B">
      <w:pPr>
        <w:pStyle w:val="Heading6"/>
        <w:rPr>
          <w:lang w:eastAsia="ja-JP"/>
        </w:rPr>
      </w:pPr>
      <w:r>
        <w:rPr>
          <w:lang w:eastAsia="ja-JP"/>
        </w:rPr>
        <w:t>Henoch Schoenlein purpura</w:t>
      </w:r>
    </w:p>
    <w:p w14:paraId="4B85E4F6" w14:textId="1D715A73" w:rsidR="008A1785" w:rsidRPr="000B263A" w:rsidRDefault="008A1785" w:rsidP="000B263A">
      <w:r w:rsidRPr="000B263A">
        <w:t xml:space="preserve">One previously health participant in the </w:t>
      </w:r>
      <w:proofErr w:type="spellStart"/>
      <w:r w:rsidR="00C86F2B" w:rsidRPr="000B263A">
        <w:t>Comirnaty</w:t>
      </w:r>
      <w:proofErr w:type="spellEnd"/>
      <w:r w:rsidR="00C86F2B" w:rsidRPr="000B263A">
        <w:t xml:space="preserve"> (vaccine)</w:t>
      </w:r>
      <w:r w:rsidRPr="000B263A">
        <w:t xml:space="preserve"> group experienced </w:t>
      </w:r>
      <w:r w:rsidR="00C86F2B" w:rsidRPr="000B263A">
        <w:t xml:space="preserve">Henoch Schoenlein purpura </w:t>
      </w:r>
      <w:r w:rsidRPr="000B263A">
        <w:t xml:space="preserve">as a non-serious unrelated event occurring 21 days post-Dose 1 and reported as ongoing at the data </w:t>
      </w:r>
      <w:proofErr w:type="spellStart"/>
      <w:r w:rsidR="005D1794" w:rsidRPr="000B263A">
        <w:t>cut off</w:t>
      </w:r>
      <w:proofErr w:type="spellEnd"/>
      <w:r w:rsidRPr="000B263A">
        <w:t xml:space="preserve"> date. No potential triggers were recognised. Treatment was given with steroids and pain medication. The participant had experienced earlier </w:t>
      </w:r>
      <w:r w:rsidR="000B263A" w:rsidRPr="000B263A">
        <w:t xml:space="preserve">adverse </w:t>
      </w:r>
      <w:r w:rsidR="005D1794" w:rsidRPr="000B263A">
        <w:t>events</w:t>
      </w:r>
      <w:r w:rsidRPr="000B263A">
        <w:t xml:space="preserve"> of mild headache with onset 10 days post-Dose 1 that resolved within 2 days, and mild joint swelling of the right ankle with onset at 16 days post-Dose 1 that resolved in 3 days. Visit 2 was delayed due to treatment of the </w:t>
      </w:r>
      <w:r w:rsidR="000B263A" w:rsidRPr="000B263A">
        <w:t>Henoch Schoenlein purpura</w:t>
      </w:r>
      <w:r w:rsidRPr="000B263A">
        <w:t xml:space="preserve"> and Dose 2 had not been administered by the data </w:t>
      </w:r>
      <w:proofErr w:type="spellStart"/>
      <w:r w:rsidR="005D1794" w:rsidRPr="000B263A">
        <w:t>cut off</w:t>
      </w:r>
      <w:proofErr w:type="spellEnd"/>
      <w:r w:rsidRPr="000B263A">
        <w:t xml:space="preserve"> date.</w:t>
      </w:r>
    </w:p>
    <w:p w14:paraId="6AAD977E" w14:textId="77777777" w:rsidR="008A1785" w:rsidRDefault="008A1785" w:rsidP="00C86F2B">
      <w:pPr>
        <w:pStyle w:val="Heading6"/>
        <w:rPr>
          <w:lang w:eastAsia="ja-JP"/>
        </w:rPr>
      </w:pPr>
      <w:r>
        <w:rPr>
          <w:lang w:eastAsia="ja-JP"/>
        </w:rPr>
        <w:t>Lymphadenopathy</w:t>
      </w:r>
    </w:p>
    <w:p w14:paraId="2099ACB8" w14:textId="77777777" w:rsidR="008A1785" w:rsidRDefault="008A1785" w:rsidP="008A1785">
      <w:pPr>
        <w:rPr>
          <w:lang w:eastAsia="ja-JP"/>
        </w:rPr>
      </w:pPr>
      <w:r>
        <w:rPr>
          <w:lang w:eastAsia="ja-JP"/>
        </w:rPr>
        <w:t xml:space="preserve">Lymphadenopathy occurred in 6 (0.4%) participants in the </w:t>
      </w:r>
      <w:proofErr w:type="spellStart"/>
      <w:r w:rsidR="00C86F2B">
        <w:rPr>
          <w:lang w:eastAsia="ja-JP"/>
        </w:rPr>
        <w:t>Comirnaty</w:t>
      </w:r>
      <w:proofErr w:type="spellEnd"/>
      <w:r w:rsidR="00C86F2B">
        <w:rPr>
          <w:lang w:eastAsia="ja-JP"/>
        </w:rPr>
        <w:t xml:space="preserve"> (vaccine)</w:t>
      </w:r>
      <w:r>
        <w:rPr>
          <w:lang w:eastAsia="ja-JP"/>
        </w:rPr>
        <w:t xml:space="preserve"> group and 3 (0.4%) in the placebo group. In the </w:t>
      </w:r>
      <w:proofErr w:type="spellStart"/>
      <w:r w:rsidR="00C86F2B">
        <w:rPr>
          <w:lang w:eastAsia="ja-JP"/>
        </w:rPr>
        <w:t>Comirnaty</w:t>
      </w:r>
      <w:proofErr w:type="spellEnd"/>
      <w:r w:rsidR="00C86F2B">
        <w:rPr>
          <w:lang w:eastAsia="ja-JP"/>
        </w:rPr>
        <w:t xml:space="preserve"> (vaccine)</w:t>
      </w:r>
      <w:r>
        <w:rPr>
          <w:lang w:eastAsia="ja-JP"/>
        </w:rPr>
        <w:t xml:space="preserve"> group, the mean and median times to onse</w:t>
      </w:r>
      <w:r w:rsidR="00C86F2B">
        <w:rPr>
          <w:lang w:eastAsia="ja-JP"/>
        </w:rPr>
        <w:t>t was 11 days post-Dose 1, and one</w:t>
      </w:r>
      <w:r>
        <w:rPr>
          <w:lang w:eastAsia="ja-JP"/>
        </w:rPr>
        <w:t xml:space="preserve"> day post-Dose 2 (</w:t>
      </w:r>
      <w:r w:rsidR="00C86F2B">
        <w:rPr>
          <w:lang w:eastAsia="ja-JP"/>
        </w:rPr>
        <w:t>that is,</w:t>
      </w:r>
      <w:r>
        <w:rPr>
          <w:lang w:eastAsia="ja-JP"/>
        </w:rPr>
        <w:t xml:space="preserve"> the same day as vaccination). The mean and median durations was 3 days and all reported cases were mild.</w:t>
      </w:r>
    </w:p>
    <w:p w14:paraId="4283D08E" w14:textId="77777777" w:rsidR="008A1785" w:rsidRDefault="008A1785" w:rsidP="00C86F2B">
      <w:pPr>
        <w:pStyle w:val="Heading6"/>
        <w:rPr>
          <w:lang w:eastAsia="ja-JP"/>
        </w:rPr>
      </w:pPr>
      <w:r>
        <w:rPr>
          <w:lang w:eastAsia="ja-JP"/>
        </w:rPr>
        <w:t>Other adverse events of clinical interest</w:t>
      </w:r>
    </w:p>
    <w:p w14:paraId="55E4BCE3" w14:textId="77777777" w:rsidR="008A1785" w:rsidRDefault="008A1785" w:rsidP="008A1785">
      <w:pPr>
        <w:rPr>
          <w:lang w:eastAsia="ja-JP"/>
        </w:rPr>
      </w:pPr>
      <w:r>
        <w:rPr>
          <w:lang w:eastAsia="ja-JP"/>
        </w:rPr>
        <w:t xml:space="preserve">Additional </w:t>
      </w:r>
      <w:r w:rsidR="00C86F2B">
        <w:rPr>
          <w:lang w:eastAsia="ja-JP"/>
        </w:rPr>
        <w:t>adverse events</w:t>
      </w:r>
      <w:r>
        <w:rPr>
          <w:lang w:eastAsia="ja-JP"/>
        </w:rPr>
        <w:t xml:space="preserve"> of clinical int</w:t>
      </w:r>
      <w:r w:rsidR="00C86F2B">
        <w:rPr>
          <w:lang w:eastAsia="ja-JP"/>
        </w:rPr>
        <w:t>erest were identified based on s</w:t>
      </w:r>
      <w:r>
        <w:rPr>
          <w:lang w:eastAsia="ja-JP"/>
        </w:rPr>
        <w:t>ponsor safety data review, as summarised below:</w:t>
      </w:r>
    </w:p>
    <w:p w14:paraId="432F407C" w14:textId="77777777" w:rsidR="008A1785" w:rsidRDefault="008A1785" w:rsidP="00C86F2B">
      <w:pPr>
        <w:pStyle w:val="ListBullet"/>
        <w:rPr>
          <w:lang w:eastAsia="ja-JP"/>
        </w:rPr>
      </w:pPr>
      <w:r>
        <w:rPr>
          <w:lang w:eastAsia="ja-JP"/>
        </w:rPr>
        <w:lastRenderedPageBreak/>
        <w:t xml:space="preserve">Two cases of arthralgia, one each in the </w:t>
      </w:r>
      <w:proofErr w:type="spellStart"/>
      <w:r w:rsidR="00C86F2B">
        <w:rPr>
          <w:lang w:eastAsia="ja-JP"/>
        </w:rPr>
        <w:t>Comirnaty</w:t>
      </w:r>
      <w:proofErr w:type="spellEnd"/>
      <w:r w:rsidR="00C86F2B">
        <w:rPr>
          <w:lang w:eastAsia="ja-JP"/>
        </w:rPr>
        <w:t xml:space="preserve"> (vaccine) group</w:t>
      </w:r>
      <w:r>
        <w:rPr>
          <w:lang w:eastAsia="ja-JP"/>
        </w:rPr>
        <w:t xml:space="preserve"> (attributed to a soccer injury) and </w:t>
      </w:r>
      <w:r w:rsidR="00C86F2B">
        <w:rPr>
          <w:lang w:eastAsia="ja-JP"/>
        </w:rPr>
        <w:t>the placebo groups;</w:t>
      </w:r>
      <w:r>
        <w:rPr>
          <w:lang w:eastAsia="ja-JP"/>
        </w:rPr>
        <w:t xml:space="preserve"> both </w:t>
      </w:r>
      <w:r w:rsidR="00C86F2B">
        <w:rPr>
          <w:lang w:eastAsia="ja-JP"/>
        </w:rPr>
        <w:t xml:space="preserve">were </w:t>
      </w:r>
      <w:r>
        <w:rPr>
          <w:lang w:eastAsia="ja-JP"/>
        </w:rPr>
        <w:t>considered unrelated.</w:t>
      </w:r>
    </w:p>
    <w:p w14:paraId="06C99DBB" w14:textId="77777777" w:rsidR="00C86F2B" w:rsidRDefault="008A1785" w:rsidP="008A1785">
      <w:pPr>
        <w:pStyle w:val="ListBullet"/>
        <w:rPr>
          <w:lang w:eastAsia="ja-JP"/>
        </w:rPr>
      </w:pPr>
      <w:r>
        <w:rPr>
          <w:lang w:eastAsia="ja-JP"/>
        </w:rPr>
        <w:t xml:space="preserve">One case of severe infective arthritis in a </w:t>
      </w:r>
      <w:proofErr w:type="spellStart"/>
      <w:r w:rsidR="00C86F2B">
        <w:rPr>
          <w:lang w:eastAsia="ja-JP"/>
        </w:rPr>
        <w:t>Comirnaty</w:t>
      </w:r>
      <w:proofErr w:type="spellEnd"/>
      <w:r w:rsidR="00C86F2B">
        <w:rPr>
          <w:lang w:eastAsia="ja-JP"/>
        </w:rPr>
        <w:t xml:space="preserve"> (vaccine)</w:t>
      </w:r>
      <w:r>
        <w:rPr>
          <w:lang w:eastAsia="ja-JP"/>
        </w:rPr>
        <w:t xml:space="preserve"> recipient, this was one of the </w:t>
      </w:r>
      <w:r w:rsidR="00C86F2B">
        <w:rPr>
          <w:lang w:eastAsia="ja-JP"/>
        </w:rPr>
        <w:t>serious adverse events</w:t>
      </w:r>
      <w:r>
        <w:rPr>
          <w:lang w:eastAsia="ja-JP"/>
        </w:rPr>
        <w:t xml:space="preserve"> (</w:t>
      </w:r>
      <w:r w:rsidR="00C86F2B">
        <w:rPr>
          <w:lang w:eastAsia="ja-JP"/>
        </w:rPr>
        <w:t xml:space="preserve">discussed </w:t>
      </w:r>
      <w:r>
        <w:rPr>
          <w:lang w:eastAsia="ja-JP"/>
        </w:rPr>
        <w:t>above) that were considered unrelated.</w:t>
      </w:r>
    </w:p>
    <w:p w14:paraId="7FB4C9C0" w14:textId="77777777" w:rsidR="008A1785" w:rsidRDefault="008A1785" w:rsidP="008A1785">
      <w:pPr>
        <w:pStyle w:val="ListBullet"/>
        <w:rPr>
          <w:lang w:eastAsia="ja-JP"/>
        </w:rPr>
      </w:pPr>
      <w:r>
        <w:rPr>
          <w:lang w:eastAsia="ja-JP"/>
        </w:rPr>
        <w:t>Chest pain, non-cardiac chest pain</w:t>
      </w:r>
      <w:r w:rsidR="00EC1794">
        <w:rPr>
          <w:lang w:eastAsia="ja-JP"/>
        </w:rPr>
        <w:t>,</w:t>
      </w:r>
      <w:r>
        <w:rPr>
          <w:lang w:eastAsia="ja-JP"/>
        </w:rPr>
        <w:t xml:space="preserve"> or chest discomfort was reported in 3 (0.2%) </w:t>
      </w:r>
      <w:proofErr w:type="spellStart"/>
      <w:r w:rsidR="00C86F2B">
        <w:rPr>
          <w:lang w:eastAsia="ja-JP"/>
        </w:rPr>
        <w:t>Comirnaty</w:t>
      </w:r>
      <w:proofErr w:type="spellEnd"/>
      <w:r w:rsidR="00C86F2B">
        <w:rPr>
          <w:lang w:eastAsia="ja-JP"/>
        </w:rPr>
        <w:t xml:space="preserve"> (vaccine)</w:t>
      </w:r>
      <w:r>
        <w:rPr>
          <w:lang w:eastAsia="ja-JP"/>
        </w:rPr>
        <w:t xml:space="preserve"> recipients and 4 (0.5%) placebo recipients. There was no identified cardiac involvement. In the 2 related events occurring in the </w:t>
      </w:r>
      <w:proofErr w:type="spellStart"/>
      <w:r w:rsidR="00C86F2B">
        <w:rPr>
          <w:lang w:eastAsia="ja-JP"/>
        </w:rPr>
        <w:t>Comirnaty</w:t>
      </w:r>
      <w:proofErr w:type="spellEnd"/>
      <w:r w:rsidR="00C86F2B">
        <w:rPr>
          <w:lang w:eastAsia="ja-JP"/>
        </w:rPr>
        <w:t xml:space="preserve"> (vaccine)</w:t>
      </w:r>
      <w:r>
        <w:rPr>
          <w:lang w:eastAsia="ja-JP"/>
        </w:rPr>
        <w:t xml:space="preserve"> group:</w:t>
      </w:r>
    </w:p>
    <w:p w14:paraId="55ACBB24" w14:textId="77777777" w:rsidR="008A1785" w:rsidRDefault="008A1785" w:rsidP="00C86F2B">
      <w:pPr>
        <w:pStyle w:val="ListBullet2"/>
        <w:rPr>
          <w:lang w:eastAsia="ja-JP"/>
        </w:rPr>
      </w:pPr>
      <w:r>
        <w:rPr>
          <w:lang w:eastAsia="ja-JP"/>
        </w:rPr>
        <w:t xml:space="preserve">A </w:t>
      </w:r>
      <w:proofErr w:type="gramStart"/>
      <w:r>
        <w:rPr>
          <w:lang w:eastAsia="ja-JP"/>
        </w:rPr>
        <w:t>5 year-old</w:t>
      </w:r>
      <w:proofErr w:type="gramEnd"/>
      <w:r>
        <w:rPr>
          <w:lang w:eastAsia="ja-JP"/>
        </w:rPr>
        <w:t xml:space="preserve"> male had mild non-cardiac chest pain within 2 days post-Dose 2 that resolved on the same day. There were no other </w:t>
      </w:r>
      <w:r w:rsidR="00EC1794">
        <w:rPr>
          <w:lang w:eastAsia="ja-JP"/>
        </w:rPr>
        <w:t>adverse events</w:t>
      </w:r>
      <w:r>
        <w:rPr>
          <w:lang w:eastAsia="ja-JP"/>
        </w:rPr>
        <w:t xml:space="preserve"> or recognised triggers.</w:t>
      </w:r>
    </w:p>
    <w:p w14:paraId="5E943F99" w14:textId="77777777" w:rsidR="008A1785" w:rsidRDefault="008A1785" w:rsidP="00C86F2B">
      <w:pPr>
        <w:pStyle w:val="ListBullet2"/>
        <w:rPr>
          <w:lang w:eastAsia="ja-JP"/>
        </w:rPr>
      </w:pPr>
      <w:r>
        <w:rPr>
          <w:lang w:eastAsia="ja-JP"/>
        </w:rPr>
        <w:t xml:space="preserve">A </w:t>
      </w:r>
      <w:proofErr w:type="gramStart"/>
      <w:r>
        <w:rPr>
          <w:lang w:eastAsia="ja-JP"/>
        </w:rPr>
        <w:t>6 year-old</w:t>
      </w:r>
      <w:proofErr w:type="gramEnd"/>
      <w:r>
        <w:rPr>
          <w:lang w:eastAsia="ja-JP"/>
        </w:rPr>
        <w:t xml:space="preserve"> male had mild non-cardiac chest pain with onset 10 days post-Dose 1 that resolved 2 days after onset. There were no other </w:t>
      </w:r>
      <w:r w:rsidR="00EC1794">
        <w:rPr>
          <w:lang w:eastAsia="ja-JP"/>
        </w:rPr>
        <w:t>adverse events</w:t>
      </w:r>
      <w:r>
        <w:rPr>
          <w:lang w:eastAsia="ja-JP"/>
        </w:rPr>
        <w:t xml:space="preserve"> or recognised triggers.</w:t>
      </w:r>
    </w:p>
    <w:p w14:paraId="7858C385" w14:textId="5B633AF4" w:rsidR="008A1785" w:rsidRPr="00FC624D" w:rsidRDefault="008A1785" w:rsidP="00C86F2B">
      <w:pPr>
        <w:pStyle w:val="ListBullet2"/>
        <w:rPr>
          <w:lang w:eastAsia="ja-JP"/>
        </w:rPr>
      </w:pPr>
      <w:r>
        <w:rPr>
          <w:lang w:eastAsia="ja-JP"/>
        </w:rPr>
        <w:t xml:space="preserve">One case of moderate syncope occurred in a </w:t>
      </w:r>
      <w:proofErr w:type="gramStart"/>
      <w:r>
        <w:rPr>
          <w:lang w:eastAsia="ja-JP"/>
        </w:rPr>
        <w:t>7 year-old</w:t>
      </w:r>
      <w:proofErr w:type="gramEnd"/>
      <w:r>
        <w:rPr>
          <w:lang w:eastAsia="ja-JP"/>
        </w:rPr>
        <w:t xml:space="preserve"> male recipient of </w:t>
      </w:r>
      <w:proofErr w:type="spellStart"/>
      <w:r w:rsidR="00EC1794">
        <w:rPr>
          <w:lang w:eastAsia="ja-JP"/>
        </w:rPr>
        <w:t>Comirnaty</w:t>
      </w:r>
      <w:proofErr w:type="spellEnd"/>
      <w:r w:rsidR="00EC1794">
        <w:rPr>
          <w:lang w:eastAsia="ja-JP"/>
        </w:rPr>
        <w:t xml:space="preserve"> (vaccine)</w:t>
      </w:r>
      <w:r>
        <w:rPr>
          <w:lang w:eastAsia="ja-JP"/>
        </w:rPr>
        <w:t xml:space="preserve"> that was thought to be a vasovagal response to nose-blowing with onset 20 days post-Dose 1 and resolving on the same day. There was a past-history of seasonal allergy and frenectomy. There were no other </w:t>
      </w:r>
      <w:r w:rsidR="00EC1794">
        <w:rPr>
          <w:lang w:eastAsia="ja-JP"/>
        </w:rPr>
        <w:t>adverse events</w:t>
      </w:r>
      <w:r>
        <w:rPr>
          <w:lang w:eastAsia="ja-JP"/>
        </w:rPr>
        <w:t xml:space="preserve"> </w:t>
      </w:r>
      <w:r w:rsidR="00EC1794">
        <w:rPr>
          <w:lang w:eastAsia="ja-JP"/>
        </w:rPr>
        <w:t>n</w:t>
      </w:r>
      <w:r>
        <w:rPr>
          <w:lang w:eastAsia="ja-JP"/>
        </w:rPr>
        <w:t xml:space="preserve">or </w:t>
      </w:r>
      <w:r w:rsidR="00EC1794">
        <w:rPr>
          <w:lang w:eastAsia="ja-JP"/>
        </w:rPr>
        <w:t xml:space="preserve">any </w:t>
      </w:r>
      <w:r>
        <w:rPr>
          <w:lang w:eastAsia="ja-JP"/>
        </w:rPr>
        <w:t>recognised triggers. It was considered unrelated</w:t>
      </w:r>
      <w:r w:rsidR="00EC1794">
        <w:rPr>
          <w:lang w:eastAsia="ja-JP"/>
        </w:rPr>
        <w:t xml:space="preserve"> to </w:t>
      </w:r>
      <w:r w:rsidR="005D1794">
        <w:rPr>
          <w:lang w:eastAsia="ja-JP"/>
        </w:rPr>
        <w:t>vaccination.</w:t>
      </w:r>
    </w:p>
    <w:p w14:paraId="4CF0C382" w14:textId="77777777" w:rsidR="008E7846" w:rsidRDefault="00386150" w:rsidP="007B6132">
      <w:pPr>
        <w:pStyle w:val="Heading3"/>
        <w:rPr>
          <w:lang w:eastAsia="en-AU"/>
        </w:rPr>
      </w:pPr>
      <w:bookmarkStart w:id="64" w:name="_Toc90280436"/>
      <w:r>
        <w:rPr>
          <w:lang w:eastAsia="en-AU"/>
        </w:rPr>
        <w:t>Risk m</w:t>
      </w:r>
      <w:r w:rsidR="008E7846">
        <w:rPr>
          <w:lang w:eastAsia="en-AU"/>
        </w:rPr>
        <w:t xml:space="preserve">anagement </w:t>
      </w:r>
      <w:r>
        <w:rPr>
          <w:lang w:eastAsia="en-AU"/>
        </w:rPr>
        <w:t>p</w:t>
      </w:r>
      <w:r w:rsidR="008E7846">
        <w:rPr>
          <w:lang w:eastAsia="en-AU"/>
        </w:rPr>
        <w:t>lan</w:t>
      </w:r>
      <w:bookmarkEnd w:id="45"/>
      <w:bookmarkEnd w:id="64"/>
    </w:p>
    <w:p w14:paraId="514D6572" w14:textId="77777777" w:rsidR="004B1B27" w:rsidRDefault="0052249E" w:rsidP="0052249E">
      <w:pPr>
        <w:rPr>
          <w:snapToGrid w:val="0"/>
        </w:rPr>
      </w:pPr>
      <w:bookmarkStart w:id="65" w:name="_Hlk87864536"/>
      <w:r>
        <w:rPr>
          <w:snapToGrid w:val="0"/>
        </w:rPr>
        <w:t xml:space="preserve">The sponsor </w:t>
      </w:r>
      <w:r w:rsidRPr="00530179">
        <w:rPr>
          <w:snapToGrid w:val="0"/>
        </w:rPr>
        <w:t xml:space="preserve">has applied to extend the indications of </w:t>
      </w:r>
      <w:proofErr w:type="spellStart"/>
      <w:r>
        <w:rPr>
          <w:snapToGrid w:val="0"/>
        </w:rPr>
        <w:t>Comirnaty</w:t>
      </w:r>
      <w:proofErr w:type="spellEnd"/>
      <w:r>
        <w:rPr>
          <w:snapToGrid w:val="0"/>
        </w:rPr>
        <w:t xml:space="preserve"> (</w:t>
      </w:r>
      <w:proofErr w:type="spellStart"/>
      <w:r w:rsidRPr="00530179">
        <w:rPr>
          <w:snapToGrid w:val="0"/>
        </w:rPr>
        <w:t>tozinamer</w:t>
      </w:r>
      <w:r>
        <w:rPr>
          <w:snapToGrid w:val="0"/>
        </w:rPr>
        <w:t>an</w:t>
      </w:r>
      <w:proofErr w:type="spellEnd"/>
      <w:r>
        <w:rPr>
          <w:snapToGrid w:val="0"/>
        </w:rPr>
        <w:t>) COVID</w:t>
      </w:r>
      <w:r>
        <w:rPr>
          <w:snapToGrid w:val="0"/>
        </w:rPr>
        <w:noBreakHyphen/>
        <w:t xml:space="preserve">19 vaccine, formerly known as </w:t>
      </w:r>
      <w:proofErr w:type="spellStart"/>
      <w:r>
        <w:rPr>
          <w:snapToGrid w:val="0"/>
        </w:rPr>
        <w:t>Comirnaty</w:t>
      </w:r>
      <w:proofErr w:type="spellEnd"/>
      <w:r>
        <w:rPr>
          <w:snapToGrid w:val="0"/>
        </w:rPr>
        <w:t xml:space="preserve"> (BNT162b2 (mRNA)) COVID-19 vaccine</w:t>
      </w:r>
      <w:r w:rsidRPr="00530179">
        <w:rPr>
          <w:snapToGrid w:val="0"/>
        </w:rPr>
        <w:t>) through th</w:t>
      </w:r>
      <w:r w:rsidR="004B1B27">
        <w:rPr>
          <w:snapToGrid w:val="0"/>
        </w:rPr>
        <w:t>e Provisional Approval Pathway.</w:t>
      </w:r>
    </w:p>
    <w:p w14:paraId="32DFFCD1" w14:textId="77777777" w:rsidR="004B1B27" w:rsidRDefault="0052249E" w:rsidP="0052249E">
      <w:pPr>
        <w:rPr>
          <w:snapToGrid w:val="0"/>
        </w:rPr>
      </w:pPr>
      <w:r w:rsidRPr="00530179">
        <w:rPr>
          <w:snapToGrid w:val="0"/>
        </w:rPr>
        <w:t xml:space="preserve">Furthermore, this submission seeks approval to introduce a new </w:t>
      </w:r>
      <w:r w:rsidR="004B1B27">
        <w:rPr>
          <w:snapToGrid w:val="0"/>
        </w:rPr>
        <w:t>strength and a new formulation.</w:t>
      </w:r>
    </w:p>
    <w:p w14:paraId="74985E47" w14:textId="77777777" w:rsidR="004B1B27" w:rsidRDefault="0052249E" w:rsidP="0052249E">
      <w:pPr>
        <w:rPr>
          <w:snapToGrid w:val="0"/>
        </w:rPr>
      </w:pPr>
      <w:proofErr w:type="spellStart"/>
      <w:r w:rsidRPr="00530179">
        <w:rPr>
          <w:snapToGrid w:val="0"/>
        </w:rPr>
        <w:t>Comirnaty</w:t>
      </w:r>
      <w:proofErr w:type="spellEnd"/>
      <w:r w:rsidRPr="00530179">
        <w:rPr>
          <w:snapToGrid w:val="0"/>
        </w:rPr>
        <w:t xml:space="preserve"> is currently approved for </w:t>
      </w:r>
      <w:r w:rsidRPr="00530179">
        <w:rPr>
          <w:snapToGrid w:val="0"/>
          <w:kern w:val="2"/>
        </w:rPr>
        <w:t>active immunisation to pr</w:t>
      </w:r>
      <w:r>
        <w:rPr>
          <w:snapToGrid w:val="0"/>
          <w:kern w:val="2"/>
        </w:rPr>
        <w:t>event COVID-19</w:t>
      </w:r>
      <w:r w:rsidRPr="00530179">
        <w:rPr>
          <w:snapToGrid w:val="0"/>
          <w:kern w:val="2"/>
        </w:rPr>
        <w:t xml:space="preserve"> caused by SARS-CoV-</w:t>
      </w:r>
      <w:r w:rsidRPr="00530179">
        <w:rPr>
          <w:snapToGrid w:val="0"/>
        </w:rPr>
        <w:t xml:space="preserve">2, in individuals 12 years of age and for the use as a booster dose for </w:t>
      </w:r>
      <w:r w:rsidR="004B1B27">
        <w:rPr>
          <w:snapToGrid w:val="0"/>
        </w:rPr>
        <w:t>individuals 18 years and older.</w:t>
      </w:r>
    </w:p>
    <w:p w14:paraId="4B8931C2" w14:textId="2B4614E1" w:rsidR="0052249E" w:rsidRPr="00530179" w:rsidRDefault="0052249E" w:rsidP="0052249E">
      <w:pPr>
        <w:rPr>
          <w:snapToGrid w:val="0"/>
        </w:rPr>
      </w:pPr>
      <w:r w:rsidRPr="00530179">
        <w:rPr>
          <w:snapToGrid w:val="0"/>
        </w:rPr>
        <w:t>The current submission seeks to extend the indications to include children aged 5 to &lt;</w:t>
      </w:r>
      <w:r>
        <w:rPr>
          <w:snapToGrid w:val="0"/>
        </w:rPr>
        <w:t> </w:t>
      </w:r>
      <w:r w:rsidR="004B1B27">
        <w:rPr>
          <w:snapToGrid w:val="0"/>
        </w:rPr>
        <w:t>12 </w:t>
      </w:r>
      <w:r w:rsidRPr="00530179">
        <w:rPr>
          <w:snapToGrid w:val="0"/>
        </w:rPr>
        <w:t xml:space="preserve">years, </w:t>
      </w:r>
      <w:r w:rsidRPr="0052249E">
        <w:rPr>
          <w:i/>
          <w:snapToGrid w:val="0"/>
        </w:rPr>
        <w:t>and</w:t>
      </w:r>
      <w:r>
        <w:rPr>
          <w:snapToGrid w:val="0"/>
        </w:rPr>
        <w:t xml:space="preserve"> to </w:t>
      </w:r>
      <w:r w:rsidRPr="00530179">
        <w:rPr>
          <w:snapToGrid w:val="0"/>
        </w:rPr>
        <w:t xml:space="preserve">introduce a </w:t>
      </w:r>
      <w:r w:rsidRPr="00530179">
        <w:rPr>
          <w:snapToGrid w:val="0"/>
          <w:kern w:val="2"/>
        </w:rPr>
        <w:t xml:space="preserve">new drug product formulation in two strengths using a </w:t>
      </w:r>
      <w:r>
        <w:rPr>
          <w:snapToGrid w:val="0"/>
        </w:rPr>
        <w:t>t</w:t>
      </w:r>
      <w:r w:rsidRPr="00530179">
        <w:rPr>
          <w:snapToGrid w:val="0"/>
        </w:rPr>
        <w:t>ris</w:t>
      </w:r>
      <w:r w:rsidR="004B1B27">
        <w:rPr>
          <w:snapToGrid w:val="0"/>
        </w:rPr>
        <w:t> </w:t>
      </w:r>
      <w:r>
        <w:rPr>
          <w:snapToGrid w:val="0"/>
        </w:rPr>
        <w:t>(</w:t>
      </w:r>
      <w:r w:rsidRPr="00530179">
        <w:rPr>
          <w:snapToGrid w:val="0"/>
        </w:rPr>
        <w:t>tromet</w:t>
      </w:r>
      <w:r>
        <w:rPr>
          <w:snapToGrid w:val="0"/>
        </w:rPr>
        <w:t>hamine</w:t>
      </w:r>
      <w:r w:rsidRPr="00530179">
        <w:rPr>
          <w:snapToGrid w:val="0"/>
        </w:rPr>
        <w:t>) buffer instead of</w:t>
      </w:r>
      <w:r>
        <w:rPr>
          <w:snapToGrid w:val="0"/>
        </w:rPr>
        <w:t xml:space="preserve"> phosphate-buffered saline</w:t>
      </w:r>
      <w:r w:rsidR="004B1B27">
        <w:rPr>
          <w:snapToGrid w:val="0"/>
        </w:rPr>
        <w:t>.</w:t>
      </w:r>
    </w:p>
    <w:bookmarkEnd w:id="65"/>
    <w:p w14:paraId="5377B0AC" w14:textId="4AAADB57" w:rsidR="00EB29C0" w:rsidRDefault="0052249E" w:rsidP="0052249E">
      <w:pPr>
        <w:rPr>
          <w:snapToGrid w:val="0"/>
        </w:rPr>
      </w:pPr>
      <w:r w:rsidRPr="00530179">
        <w:rPr>
          <w:snapToGrid w:val="0"/>
        </w:rPr>
        <w:t>The most recentl</w:t>
      </w:r>
      <w:r w:rsidR="00EB29C0">
        <w:rPr>
          <w:snapToGrid w:val="0"/>
        </w:rPr>
        <w:t xml:space="preserve">y evaluated EU-RMP was </w:t>
      </w:r>
      <w:r w:rsidR="004B1B27">
        <w:rPr>
          <w:snapToGrid w:val="0"/>
        </w:rPr>
        <w:t xml:space="preserve">Round 1, </w:t>
      </w:r>
      <w:r w:rsidR="00EB29C0">
        <w:rPr>
          <w:snapToGrid w:val="0"/>
        </w:rPr>
        <w:t>version 3.0;</w:t>
      </w:r>
      <w:r w:rsidRPr="00530179">
        <w:rPr>
          <w:snapToGrid w:val="0"/>
        </w:rPr>
        <w:t xml:space="preserve"> date</w:t>
      </w:r>
      <w:r>
        <w:rPr>
          <w:snapToGrid w:val="0"/>
        </w:rPr>
        <w:t xml:space="preserve">d </w:t>
      </w:r>
      <w:r w:rsidR="00EB29C0">
        <w:rPr>
          <w:snapToGrid w:val="0"/>
        </w:rPr>
        <w:t>13 October</w:t>
      </w:r>
      <w:r>
        <w:rPr>
          <w:snapToGrid w:val="0"/>
        </w:rPr>
        <w:t xml:space="preserve"> 2021; </w:t>
      </w:r>
      <w:r w:rsidR="004B1B27">
        <w:rPr>
          <w:snapToGrid w:val="0"/>
        </w:rPr>
        <w:t xml:space="preserve">with the following </w:t>
      </w:r>
      <w:proofErr w:type="spellStart"/>
      <w:r>
        <w:rPr>
          <w:snapToGrid w:val="0"/>
        </w:rPr>
        <w:t>datalock</w:t>
      </w:r>
      <w:proofErr w:type="spellEnd"/>
      <w:r>
        <w:rPr>
          <w:snapToGrid w:val="0"/>
        </w:rPr>
        <w:t xml:space="preserve"> point</w:t>
      </w:r>
      <w:r w:rsidR="004B1B27">
        <w:rPr>
          <w:snapToGrid w:val="0"/>
        </w:rPr>
        <w:t>s</w:t>
      </w:r>
      <w:r w:rsidRPr="00530179">
        <w:rPr>
          <w:snapToGrid w:val="0"/>
        </w:rPr>
        <w:t xml:space="preserve"> </w:t>
      </w:r>
      <w:bookmarkStart w:id="66" w:name="_Hlk84852625"/>
      <w:r>
        <w:rPr>
          <w:snapToGrid w:val="0"/>
        </w:rPr>
        <w:t>(</w:t>
      </w:r>
      <w:r w:rsidRPr="00530179">
        <w:rPr>
          <w:snapToGrid w:val="0"/>
        </w:rPr>
        <w:t>DLP</w:t>
      </w:r>
      <w:r>
        <w:rPr>
          <w:snapToGrid w:val="0"/>
        </w:rPr>
        <w:t>)</w:t>
      </w:r>
      <w:r w:rsidR="00EB29C0">
        <w:rPr>
          <w:snapToGrid w:val="0"/>
        </w:rPr>
        <w:t>:</w:t>
      </w:r>
    </w:p>
    <w:p w14:paraId="3B69D8DE" w14:textId="53692990" w:rsidR="00EB29C0" w:rsidRDefault="00EB29C0" w:rsidP="00EB29C0">
      <w:pPr>
        <w:pStyle w:val="ListBullet"/>
      </w:pPr>
      <w:r>
        <w:t>5 to under 12 years of age :6 September 2021 (Pfizer Clinical Database); and 18 June 2021 (Pfizer Safety Database)</w:t>
      </w:r>
    </w:p>
    <w:p w14:paraId="6BEA6676" w14:textId="3E71D45F" w:rsidR="00EB29C0" w:rsidRDefault="00EB29C0" w:rsidP="00EB29C0">
      <w:pPr>
        <w:pStyle w:val="ListBullet"/>
      </w:pPr>
      <w:r>
        <w:t>12 to 15 years of age: 13 March 2021 (Pfizer Clinical Database); and 18 June 2021 (Pfizer Safety Database</w:t>
      </w:r>
    </w:p>
    <w:p w14:paraId="6DF54742" w14:textId="55BD6787" w:rsidR="00EB29C0" w:rsidRDefault="00EB29C0" w:rsidP="00EB29C0">
      <w:pPr>
        <w:pStyle w:val="ListBullet"/>
      </w:pPr>
      <w:r>
        <w:t>16 years of age and older: 23 October 2020 (</w:t>
      </w:r>
      <w:proofErr w:type="spellStart"/>
      <w:r>
        <w:t>BioNTech</w:t>
      </w:r>
      <w:proofErr w:type="spellEnd"/>
      <w:r>
        <w:t xml:space="preserve"> Clinical Database); 13 March 2021 (Pfizer Clinical Database); and 18 June 2021 (Pfizer Safety Database)</w:t>
      </w:r>
    </w:p>
    <w:p w14:paraId="2C713DBC" w14:textId="784F02E0" w:rsidR="00EB29C0" w:rsidRPr="004B1B27" w:rsidRDefault="004B1B27" w:rsidP="004B1B27">
      <w:pPr>
        <w:pStyle w:val="Default"/>
        <w:rPr>
          <w:sz w:val="22"/>
          <w:szCs w:val="23"/>
        </w:rPr>
      </w:pPr>
      <w:r w:rsidRPr="004B1B27">
        <w:rPr>
          <w:sz w:val="22"/>
          <w:szCs w:val="23"/>
        </w:rPr>
        <w:t>The most recently evaluated Australian-specific annex was Round 1, version 0.4; dated 11 November 2021.</w:t>
      </w:r>
    </w:p>
    <w:bookmarkEnd w:id="66"/>
    <w:p w14:paraId="166C0FA0" w14:textId="3605525D" w:rsidR="007D53B6" w:rsidRDefault="007D53B6" w:rsidP="007D53B6">
      <w:r>
        <w:lastRenderedPageBreak/>
        <w:t>The summary of safety concerns and their associated risk monitoring and mitigation strat</w:t>
      </w:r>
      <w:r w:rsidR="004B1B27">
        <w:t xml:space="preserve">egies are summarised in </w:t>
      </w:r>
      <w:r w:rsidR="004B1B27">
        <w:rPr>
          <w:color w:val="2B579A"/>
          <w:shd w:val="clear" w:color="auto" w:fill="E6E6E6"/>
        </w:rPr>
        <w:fldChar w:fldCharType="begin"/>
      </w:r>
      <w:r w:rsidR="004B1B27">
        <w:instrText xml:space="preserve"> REF _Ref89705710 \h </w:instrText>
      </w:r>
      <w:r w:rsidR="004B1B27">
        <w:rPr>
          <w:color w:val="2B579A"/>
          <w:shd w:val="clear" w:color="auto" w:fill="E6E6E6"/>
        </w:rPr>
      </w:r>
      <w:r w:rsidR="004B1B27">
        <w:rPr>
          <w:color w:val="2B579A"/>
          <w:shd w:val="clear" w:color="auto" w:fill="E6E6E6"/>
        </w:rPr>
        <w:fldChar w:fldCharType="separate"/>
      </w:r>
      <w:r w:rsidR="00E611D7">
        <w:t xml:space="preserve">Table </w:t>
      </w:r>
      <w:r w:rsidR="00E611D7">
        <w:rPr>
          <w:noProof/>
        </w:rPr>
        <w:t>25</w:t>
      </w:r>
      <w:r w:rsidR="004B1B27">
        <w:rPr>
          <w:color w:val="2B579A"/>
          <w:shd w:val="clear" w:color="auto" w:fill="E6E6E6"/>
        </w:rPr>
        <w:fldChar w:fldCharType="end"/>
      </w:r>
      <w:r>
        <w:t>.</w:t>
      </w:r>
      <w:r>
        <w:rPr>
          <w:rStyle w:val="FootnoteReference"/>
        </w:rPr>
        <w:footnoteReference w:id="40"/>
      </w:r>
    </w:p>
    <w:p w14:paraId="4AA019A2" w14:textId="4F4C8790" w:rsidR="005001FC" w:rsidRDefault="005001FC" w:rsidP="005001FC">
      <w:pPr>
        <w:pStyle w:val="TableTitle"/>
      </w:pPr>
      <w:bookmarkStart w:id="67" w:name="_Ref8970571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611D7">
        <w:rPr>
          <w:noProof/>
        </w:rPr>
        <w:t>25</w:t>
      </w:r>
      <w:r>
        <w:rPr>
          <w:color w:val="2B579A"/>
          <w:shd w:val="clear" w:color="auto" w:fill="E6E6E6"/>
        </w:rPr>
        <w:fldChar w:fldCharType="end"/>
      </w:r>
      <w:r>
        <w:t>: Summary of safety concerns</w:t>
      </w:r>
      <w:bookmarkEnd w:id="67"/>
    </w:p>
    <w:tbl>
      <w:tblPr>
        <w:tblStyle w:val="TableTGAblue"/>
        <w:tblW w:w="5086" w:type="pct"/>
        <w:tblLayout w:type="fixed"/>
        <w:tblLook w:val="04A0" w:firstRow="1" w:lastRow="0" w:firstColumn="1" w:lastColumn="0" w:noHBand="0" w:noVBand="1"/>
      </w:tblPr>
      <w:tblGrid>
        <w:gridCol w:w="1522"/>
        <w:gridCol w:w="2561"/>
        <w:gridCol w:w="992"/>
        <w:gridCol w:w="1220"/>
        <w:gridCol w:w="1080"/>
        <w:gridCol w:w="1255"/>
      </w:tblGrid>
      <w:tr w:rsidR="005001FC" w:rsidRPr="00530179" w14:paraId="61FEA52E" w14:textId="77777777" w:rsidTr="004B1B27">
        <w:trPr>
          <w:cnfStyle w:val="100000000000" w:firstRow="1" w:lastRow="0" w:firstColumn="0" w:lastColumn="0" w:oddVBand="0" w:evenVBand="0" w:oddHBand="0" w:evenHBand="0" w:firstRowFirstColumn="0" w:firstRowLastColumn="0" w:lastRowFirstColumn="0" w:lastRowLastColumn="0"/>
          <w:trHeight w:val="131"/>
        </w:trPr>
        <w:tc>
          <w:tcPr>
            <w:tcW w:w="2364" w:type="pct"/>
            <w:gridSpan w:val="2"/>
            <w:vMerge w:val="restart"/>
          </w:tcPr>
          <w:p w14:paraId="7B0431A4" w14:textId="77777777" w:rsidR="005001FC" w:rsidRPr="00530179" w:rsidRDefault="005001FC" w:rsidP="005001FC">
            <w:pPr>
              <w:pStyle w:val="Tabletext"/>
              <w:ind w:left="0"/>
              <w:rPr>
                <w:b w:val="0"/>
              </w:rPr>
            </w:pPr>
            <w:r w:rsidRPr="00530179">
              <w:t>Summary of safety concerns</w:t>
            </w:r>
          </w:p>
        </w:tc>
        <w:tc>
          <w:tcPr>
            <w:tcW w:w="1282" w:type="pct"/>
            <w:gridSpan w:val="2"/>
          </w:tcPr>
          <w:p w14:paraId="6AF15FF4" w14:textId="77777777" w:rsidR="005001FC" w:rsidRPr="00530179" w:rsidRDefault="005001FC" w:rsidP="005001FC">
            <w:pPr>
              <w:pStyle w:val="Tabletext"/>
              <w:ind w:left="0"/>
              <w:rPr>
                <w:b w:val="0"/>
                <w:sz w:val="18"/>
              </w:rPr>
            </w:pPr>
            <w:r w:rsidRPr="00530179">
              <w:rPr>
                <w:sz w:val="18"/>
              </w:rPr>
              <w:t>Pharmacovigilance</w:t>
            </w:r>
          </w:p>
        </w:tc>
        <w:tc>
          <w:tcPr>
            <w:tcW w:w="1354" w:type="pct"/>
            <w:gridSpan w:val="2"/>
          </w:tcPr>
          <w:p w14:paraId="48FB0BC0" w14:textId="77777777" w:rsidR="005001FC" w:rsidRPr="00530179" w:rsidRDefault="005001FC" w:rsidP="005001FC">
            <w:pPr>
              <w:pStyle w:val="Tabletext"/>
              <w:ind w:left="0"/>
              <w:rPr>
                <w:b w:val="0"/>
                <w:sz w:val="18"/>
              </w:rPr>
            </w:pPr>
            <w:r w:rsidRPr="00530179">
              <w:rPr>
                <w:sz w:val="18"/>
              </w:rPr>
              <w:t>Risk Minimisation</w:t>
            </w:r>
          </w:p>
        </w:tc>
      </w:tr>
      <w:tr w:rsidR="005001FC" w:rsidRPr="00530179" w14:paraId="7C7BF5BE" w14:textId="77777777" w:rsidTr="004B1B27">
        <w:trPr>
          <w:trHeight w:val="150"/>
        </w:trPr>
        <w:tc>
          <w:tcPr>
            <w:tcW w:w="2364" w:type="pct"/>
            <w:gridSpan w:val="2"/>
            <w:vMerge/>
          </w:tcPr>
          <w:p w14:paraId="0113CD27" w14:textId="77777777" w:rsidR="005001FC" w:rsidRPr="00530179" w:rsidRDefault="005001FC" w:rsidP="00F275CC">
            <w:pPr>
              <w:pStyle w:val="Tabletext"/>
              <w:rPr>
                <w:b/>
              </w:rPr>
            </w:pPr>
          </w:p>
        </w:tc>
        <w:tc>
          <w:tcPr>
            <w:tcW w:w="575" w:type="pct"/>
          </w:tcPr>
          <w:p w14:paraId="6FB1F2CF" w14:textId="77777777" w:rsidR="005001FC" w:rsidRPr="00530179" w:rsidRDefault="005001FC" w:rsidP="005001FC">
            <w:pPr>
              <w:pStyle w:val="Tabletext"/>
              <w:ind w:left="0"/>
              <w:rPr>
                <w:sz w:val="18"/>
              </w:rPr>
            </w:pPr>
            <w:r w:rsidRPr="00530179">
              <w:rPr>
                <w:sz w:val="18"/>
              </w:rPr>
              <w:t>Routine</w:t>
            </w:r>
          </w:p>
        </w:tc>
        <w:tc>
          <w:tcPr>
            <w:tcW w:w="707" w:type="pct"/>
          </w:tcPr>
          <w:p w14:paraId="18BCDE66" w14:textId="77777777" w:rsidR="005001FC" w:rsidRPr="00530179" w:rsidRDefault="005001FC" w:rsidP="005001FC">
            <w:pPr>
              <w:pStyle w:val="Tabletext"/>
              <w:ind w:left="0"/>
              <w:rPr>
                <w:sz w:val="18"/>
              </w:rPr>
            </w:pPr>
            <w:r w:rsidRPr="00530179">
              <w:rPr>
                <w:sz w:val="18"/>
              </w:rPr>
              <w:t>Additional</w:t>
            </w:r>
          </w:p>
        </w:tc>
        <w:tc>
          <w:tcPr>
            <w:tcW w:w="626" w:type="pct"/>
          </w:tcPr>
          <w:p w14:paraId="20AC9CFD" w14:textId="77777777" w:rsidR="005001FC" w:rsidRPr="00530179" w:rsidRDefault="005001FC" w:rsidP="005001FC">
            <w:pPr>
              <w:pStyle w:val="Tabletext"/>
              <w:ind w:left="0"/>
              <w:rPr>
                <w:sz w:val="18"/>
              </w:rPr>
            </w:pPr>
            <w:r w:rsidRPr="00530179">
              <w:rPr>
                <w:sz w:val="18"/>
              </w:rPr>
              <w:t>Routine</w:t>
            </w:r>
          </w:p>
        </w:tc>
        <w:tc>
          <w:tcPr>
            <w:tcW w:w="728" w:type="pct"/>
          </w:tcPr>
          <w:p w14:paraId="190F56A7" w14:textId="77777777" w:rsidR="005001FC" w:rsidRPr="00530179" w:rsidRDefault="005001FC" w:rsidP="005001FC">
            <w:pPr>
              <w:pStyle w:val="Tabletext"/>
              <w:ind w:left="0"/>
              <w:rPr>
                <w:sz w:val="18"/>
              </w:rPr>
            </w:pPr>
            <w:r w:rsidRPr="00530179">
              <w:rPr>
                <w:sz w:val="18"/>
              </w:rPr>
              <w:t>Additional</w:t>
            </w:r>
          </w:p>
        </w:tc>
      </w:tr>
      <w:tr w:rsidR="005001FC" w:rsidRPr="00530179" w14:paraId="6E4C459A" w14:textId="77777777" w:rsidTr="004703D5">
        <w:trPr>
          <w:trHeight w:val="137"/>
        </w:trPr>
        <w:tc>
          <w:tcPr>
            <w:tcW w:w="881" w:type="pct"/>
            <w:vMerge w:val="restart"/>
          </w:tcPr>
          <w:p w14:paraId="3A8F7941" w14:textId="77777777" w:rsidR="005001FC" w:rsidRPr="00530179" w:rsidRDefault="005001FC" w:rsidP="005001FC">
            <w:pPr>
              <w:pStyle w:val="Tabletext"/>
              <w:ind w:left="0"/>
              <w:rPr>
                <w:b/>
              </w:rPr>
            </w:pPr>
            <w:r w:rsidRPr="00530179">
              <w:rPr>
                <w:b/>
              </w:rPr>
              <w:t>Important identified risks</w:t>
            </w:r>
          </w:p>
        </w:tc>
        <w:tc>
          <w:tcPr>
            <w:tcW w:w="1484" w:type="pct"/>
          </w:tcPr>
          <w:p w14:paraId="2D2B7693" w14:textId="77777777" w:rsidR="005001FC" w:rsidRPr="00530179" w:rsidRDefault="005001FC" w:rsidP="005001FC">
            <w:pPr>
              <w:pStyle w:val="Tabletext"/>
              <w:ind w:left="0"/>
            </w:pPr>
            <w:r w:rsidRPr="00530179">
              <w:t>Anaphylaxis</w:t>
            </w:r>
          </w:p>
        </w:tc>
        <w:tc>
          <w:tcPr>
            <w:tcW w:w="575" w:type="pct"/>
          </w:tcPr>
          <w:p w14:paraId="7770B593"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vertAlign w:val="superscript"/>
              </w:rPr>
              <w:t>†</w:t>
            </w:r>
          </w:p>
        </w:tc>
        <w:tc>
          <w:tcPr>
            <w:tcW w:w="707" w:type="pct"/>
          </w:tcPr>
          <w:p w14:paraId="39F2AFE1"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2E521EBC"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1F71DD87" w14:textId="77777777" w:rsidR="005001FC" w:rsidRPr="00530179" w:rsidRDefault="005001FC" w:rsidP="00F275CC">
            <w:pPr>
              <w:pStyle w:val="Tabletext"/>
              <w:jc w:val="center"/>
            </w:pPr>
            <w:r w:rsidRPr="00530179">
              <w:t>–</w:t>
            </w:r>
          </w:p>
        </w:tc>
      </w:tr>
      <w:tr w:rsidR="005001FC" w:rsidRPr="00530179" w14:paraId="0E4FF4D3" w14:textId="77777777" w:rsidTr="004703D5">
        <w:trPr>
          <w:trHeight w:val="94"/>
        </w:trPr>
        <w:tc>
          <w:tcPr>
            <w:tcW w:w="881" w:type="pct"/>
            <w:vMerge/>
          </w:tcPr>
          <w:p w14:paraId="7F1722AC" w14:textId="77777777" w:rsidR="005001FC" w:rsidRPr="00530179" w:rsidRDefault="005001FC" w:rsidP="00F275CC">
            <w:pPr>
              <w:pStyle w:val="Tabletext"/>
              <w:rPr>
                <w:b/>
              </w:rPr>
            </w:pPr>
          </w:p>
        </w:tc>
        <w:tc>
          <w:tcPr>
            <w:tcW w:w="1484" w:type="pct"/>
          </w:tcPr>
          <w:p w14:paraId="359A18E5" w14:textId="77777777" w:rsidR="005001FC" w:rsidRPr="00530179" w:rsidRDefault="005001FC" w:rsidP="005001FC">
            <w:pPr>
              <w:pStyle w:val="Tabletext"/>
              <w:ind w:left="0"/>
            </w:pPr>
            <w:r w:rsidRPr="00530179">
              <w:t>Myocarditis and pericarditis</w:t>
            </w:r>
          </w:p>
        </w:tc>
        <w:tc>
          <w:tcPr>
            <w:tcW w:w="575" w:type="pct"/>
          </w:tcPr>
          <w:p w14:paraId="73B9DF22"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3CB2024E"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140F33FE"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264A5FF5" w14:textId="77777777" w:rsidR="005001FC" w:rsidRPr="00530179" w:rsidRDefault="005001FC" w:rsidP="00F275CC">
            <w:pPr>
              <w:pStyle w:val="Tabletext"/>
              <w:jc w:val="center"/>
            </w:pPr>
            <w:r w:rsidRPr="00530179">
              <w:t>–</w:t>
            </w:r>
          </w:p>
        </w:tc>
      </w:tr>
      <w:tr w:rsidR="005001FC" w:rsidRPr="00530179" w14:paraId="5D47CFF5" w14:textId="77777777" w:rsidTr="000B263A">
        <w:trPr>
          <w:cantSplit/>
          <w:trHeight w:val="159"/>
        </w:trPr>
        <w:tc>
          <w:tcPr>
            <w:tcW w:w="881" w:type="pct"/>
          </w:tcPr>
          <w:p w14:paraId="2C700CAF" w14:textId="77777777" w:rsidR="005001FC" w:rsidRPr="00530179" w:rsidRDefault="005001FC" w:rsidP="005001FC">
            <w:pPr>
              <w:pStyle w:val="Tabletext"/>
              <w:ind w:left="0"/>
              <w:rPr>
                <w:b/>
              </w:rPr>
            </w:pPr>
            <w:r w:rsidRPr="00530179">
              <w:rPr>
                <w:b/>
              </w:rPr>
              <w:t>Important potential risks</w:t>
            </w:r>
          </w:p>
        </w:tc>
        <w:tc>
          <w:tcPr>
            <w:tcW w:w="1484" w:type="pct"/>
          </w:tcPr>
          <w:p w14:paraId="61A35ABB" w14:textId="77777777" w:rsidR="005001FC" w:rsidRPr="00530179" w:rsidRDefault="005001FC" w:rsidP="005001FC">
            <w:pPr>
              <w:pStyle w:val="Tabletext"/>
              <w:ind w:left="0"/>
            </w:pPr>
            <w:r w:rsidRPr="00530179">
              <w:t>Vaccine-associated enhanced disease (VAED) including Vaccine-associated enhanced respiratory disease (VAERD)</w:t>
            </w:r>
          </w:p>
        </w:tc>
        <w:tc>
          <w:tcPr>
            <w:tcW w:w="575" w:type="pct"/>
          </w:tcPr>
          <w:p w14:paraId="52DCAADF"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vertAlign w:val="superscript"/>
              </w:rPr>
              <w:t>†</w:t>
            </w:r>
          </w:p>
        </w:tc>
        <w:tc>
          <w:tcPr>
            <w:tcW w:w="707" w:type="pct"/>
          </w:tcPr>
          <w:p w14:paraId="76941F46"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2B80C0B5" w14:textId="77777777" w:rsidR="005001FC" w:rsidRPr="00530179" w:rsidRDefault="005001FC" w:rsidP="00F275CC">
            <w:pPr>
              <w:pStyle w:val="Tabletext"/>
              <w:jc w:val="center"/>
            </w:pPr>
            <w:r w:rsidRPr="00530179">
              <w:t>–</w:t>
            </w:r>
          </w:p>
        </w:tc>
        <w:tc>
          <w:tcPr>
            <w:tcW w:w="728" w:type="pct"/>
          </w:tcPr>
          <w:p w14:paraId="056DB866" w14:textId="77777777" w:rsidR="005001FC" w:rsidRPr="00530179" w:rsidRDefault="005001FC" w:rsidP="00F275CC">
            <w:pPr>
              <w:pStyle w:val="Tabletext"/>
              <w:jc w:val="center"/>
            </w:pPr>
            <w:r w:rsidRPr="00530179">
              <w:t>–</w:t>
            </w:r>
          </w:p>
        </w:tc>
      </w:tr>
      <w:tr w:rsidR="005001FC" w:rsidRPr="00530179" w14:paraId="54AE6040" w14:textId="77777777" w:rsidTr="004703D5">
        <w:trPr>
          <w:trHeight w:val="178"/>
        </w:trPr>
        <w:tc>
          <w:tcPr>
            <w:tcW w:w="881" w:type="pct"/>
            <w:vMerge w:val="restart"/>
          </w:tcPr>
          <w:p w14:paraId="2701DEF8" w14:textId="77777777" w:rsidR="005001FC" w:rsidRPr="00530179" w:rsidRDefault="005001FC" w:rsidP="005001FC">
            <w:pPr>
              <w:pStyle w:val="Tabletext"/>
              <w:ind w:left="0"/>
              <w:rPr>
                <w:b/>
              </w:rPr>
            </w:pPr>
            <w:r w:rsidRPr="00530179">
              <w:rPr>
                <w:b/>
              </w:rPr>
              <w:t>Missing information</w:t>
            </w:r>
          </w:p>
        </w:tc>
        <w:tc>
          <w:tcPr>
            <w:tcW w:w="1484" w:type="pct"/>
          </w:tcPr>
          <w:p w14:paraId="0DD39854" w14:textId="77777777" w:rsidR="005001FC" w:rsidRPr="00530179" w:rsidRDefault="005001FC" w:rsidP="005001FC">
            <w:pPr>
              <w:pStyle w:val="Tabletext"/>
              <w:ind w:left="0"/>
            </w:pPr>
            <w:r w:rsidRPr="00530179">
              <w:t>Use in pregnancy and while breast feeding</w:t>
            </w:r>
          </w:p>
        </w:tc>
        <w:tc>
          <w:tcPr>
            <w:tcW w:w="575" w:type="pct"/>
          </w:tcPr>
          <w:p w14:paraId="098785E4"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2F283839"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3501A59E"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1B3B801C" w14:textId="77777777" w:rsidR="005001FC" w:rsidRPr="00530179" w:rsidRDefault="005001FC" w:rsidP="00F275CC">
            <w:pPr>
              <w:pStyle w:val="Tabletext"/>
              <w:jc w:val="center"/>
            </w:pPr>
            <w:r w:rsidRPr="00530179">
              <w:t>–</w:t>
            </w:r>
          </w:p>
        </w:tc>
      </w:tr>
      <w:tr w:rsidR="005001FC" w:rsidRPr="00530179" w14:paraId="6A341B8F" w14:textId="77777777" w:rsidTr="004703D5">
        <w:trPr>
          <w:trHeight w:val="103"/>
        </w:trPr>
        <w:tc>
          <w:tcPr>
            <w:tcW w:w="881" w:type="pct"/>
            <w:vMerge/>
          </w:tcPr>
          <w:p w14:paraId="40AF6C4A" w14:textId="77777777" w:rsidR="005001FC" w:rsidRPr="00530179" w:rsidRDefault="005001FC" w:rsidP="00F275CC">
            <w:pPr>
              <w:pStyle w:val="Tabletext"/>
            </w:pPr>
          </w:p>
        </w:tc>
        <w:tc>
          <w:tcPr>
            <w:tcW w:w="1484" w:type="pct"/>
          </w:tcPr>
          <w:p w14:paraId="24DA2216" w14:textId="77777777" w:rsidR="005001FC" w:rsidRPr="00530179" w:rsidRDefault="005001FC" w:rsidP="005001FC">
            <w:pPr>
              <w:pStyle w:val="Tabletext"/>
              <w:ind w:left="0"/>
            </w:pPr>
            <w:r w:rsidRPr="00530179">
              <w:t>Use in immunocompromised patients</w:t>
            </w:r>
          </w:p>
        </w:tc>
        <w:tc>
          <w:tcPr>
            <w:tcW w:w="575" w:type="pct"/>
          </w:tcPr>
          <w:p w14:paraId="5F5A593E"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281E82A8"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3587266C"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1CD9CA57" w14:textId="77777777" w:rsidR="005001FC" w:rsidRPr="00530179" w:rsidRDefault="005001FC" w:rsidP="00F275CC">
            <w:pPr>
              <w:pStyle w:val="Tabletext"/>
              <w:jc w:val="center"/>
            </w:pPr>
            <w:r w:rsidRPr="00530179">
              <w:t>–</w:t>
            </w:r>
          </w:p>
        </w:tc>
      </w:tr>
      <w:tr w:rsidR="005001FC" w:rsidRPr="00530179" w14:paraId="52B2046D" w14:textId="77777777" w:rsidTr="004703D5">
        <w:trPr>
          <w:trHeight w:val="103"/>
        </w:trPr>
        <w:tc>
          <w:tcPr>
            <w:tcW w:w="881" w:type="pct"/>
            <w:vMerge/>
          </w:tcPr>
          <w:p w14:paraId="6C122060" w14:textId="77777777" w:rsidR="005001FC" w:rsidRPr="00530179" w:rsidRDefault="005001FC" w:rsidP="00F275CC">
            <w:pPr>
              <w:pStyle w:val="Tabletext"/>
            </w:pPr>
          </w:p>
        </w:tc>
        <w:tc>
          <w:tcPr>
            <w:tcW w:w="1484" w:type="pct"/>
          </w:tcPr>
          <w:p w14:paraId="0E710481" w14:textId="61E7BF3B" w:rsidR="005001FC" w:rsidRPr="00530179" w:rsidRDefault="005001FC" w:rsidP="005001FC">
            <w:pPr>
              <w:pStyle w:val="Tabletext"/>
              <w:ind w:left="0"/>
            </w:pPr>
            <w:r w:rsidRPr="00530179">
              <w:t>Use in frail pat</w:t>
            </w:r>
            <w:r w:rsidR="00D77B0D">
              <w:t>ients with co-morbidities (e.g. </w:t>
            </w:r>
            <w:r w:rsidRPr="00530179">
              <w:t>chronic obstructive pulmonary disease (COPD), diabetes, chronic neurological disease, cardiovascular disorders)</w:t>
            </w:r>
          </w:p>
        </w:tc>
        <w:tc>
          <w:tcPr>
            <w:tcW w:w="575" w:type="pct"/>
          </w:tcPr>
          <w:p w14:paraId="20C685A2"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7B01573D"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7D7CB29F"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33DD7A85" w14:textId="77777777" w:rsidR="005001FC" w:rsidRPr="00530179" w:rsidRDefault="005001FC" w:rsidP="00F275CC">
            <w:pPr>
              <w:pStyle w:val="Tabletext"/>
              <w:jc w:val="center"/>
            </w:pPr>
            <w:r w:rsidRPr="00530179">
              <w:t>–</w:t>
            </w:r>
          </w:p>
        </w:tc>
      </w:tr>
      <w:tr w:rsidR="005001FC" w:rsidRPr="00530179" w14:paraId="0CDCC6FE" w14:textId="77777777" w:rsidTr="004703D5">
        <w:trPr>
          <w:trHeight w:val="103"/>
        </w:trPr>
        <w:tc>
          <w:tcPr>
            <w:tcW w:w="881" w:type="pct"/>
            <w:vMerge/>
          </w:tcPr>
          <w:p w14:paraId="1260A7B6" w14:textId="77777777" w:rsidR="005001FC" w:rsidRPr="00530179" w:rsidRDefault="005001FC" w:rsidP="00F275CC">
            <w:pPr>
              <w:pStyle w:val="Tabletext"/>
            </w:pPr>
          </w:p>
        </w:tc>
        <w:tc>
          <w:tcPr>
            <w:tcW w:w="1484" w:type="pct"/>
          </w:tcPr>
          <w:p w14:paraId="210EA9FD" w14:textId="77777777" w:rsidR="005001FC" w:rsidRPr="00530179" w:rsidRDefault="005001FC" w:rsidP="005001FC">
            <w:pPr>
              <w:pStyle w:val="Tabletext"/>
              <w:ind w:left="0"/>
            </w:pPr>
            <w:r w:rsidRPr="00530179">
              <w:t>Use in patients with autoimmune or inflammatory disorders</w:t>
            </w:r>
          </w:p>
        </w:tc>
        <w:tc>
          <w:tcPr>
            <w:tcW w:w="575" w:type="pct"/>
          </w:tcPr>
          <w:p w14:paraId="4A9C2394"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630DC858"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22CBC12C" w14:textId="77777777" w:rsidR="005001FC" w:rsidRPr="00530179" w:rsidRDefault="005001FC" w:rsidP="00F275CC">
            <w:pPr>
              <w:pStyle w:val="Tabletext"/>
              <w:jc w:val="center"/>
            </w:pPr>
            <w:r w:rsidRPr="00530179">
              <w:t>–</w:t>
            </w:r>
          </w:p>
        </w:tc>
        <w:tc>
          <w:tcPr>
            <w:tcW w:w="728" w:type="pct"/>
          </w:tcPr>
          <w:p w14:paraId="7DBE695B" w14:textId="77777777" w:rsidR="005001FC" w:rsidRPr="00530179" w:rsidRDefault="005001FC" w:rsidP="00F275CC">
            <w:pPr>
              <w:pStyle w:val="Tabletext"/>
              <w:jc w:val="center"/>
            </w:pPr>
            <w:r w:rsidRPr="00530179">
              <w:t>–</w:t>
            </w:r>
          </w:p>
        </w:tc>
      </w:tr>
      <w:tr w:rsidR="005001FC" w:rsidRPr="00530179" w14:paraId="607B2C63" w14:textId="77777777" w:rsidTr="004703D5">
        <w:trPr>
          <w:trHeight w:val="103"/>
        </w:trPr>
        <w:tc>
          <w:tcPr>
            <w:tcW w:w="881" w:type="pct"/>
            <w:vMerge/>
          </w:tcPr>
          <w:p w14:paraId="0CCAA65D" w14:textId="77777777" w:rsidR="005001FC" w:rsidRPr="00530179" w:rsidRDefault="005001FC" w:rsidP="00F275CC">
            <w:pPr>
              <w:pStyle w:val="Tabletext"/>
            </w:pPr>
          </w:p>
        </w:tc>
        <w:tc>
          <w:tcPr>
            <w:tcW w:w="1484" w:type="pct"/>
          </w:tcPr>
          <w:p w14:paraId="555CF814" w14:textId="77777777" w:rsidR="005001FC" w:rsidRPr="00530179" w:rsidRDefault="005001FC" w:rsidP="005001FC">
            <w:pPr>
              <w:pStyle w:val="Tabletext"/>
              <w:ind w:left="0"/>
            </w:pPr>
            <w:r w:rsidRPr="00530179">
              <w:t>Interaction with other vaccines</w:t>
            </w:r>
          </w:p>
        </w:tc>
        <w:tc>
          <w:tcPr>
            <w:tcW w:w="575" w:type="pct"/>
          </w:tcPr>
          <w:p w14:paraId="6AA5FD3E"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7CF11587"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47D3CC5C" w14:textId="77777777" w:rsidR="005001FC" w:rsidRPr="00530179" w:rsidRDefault="005001FC" w:rsidP="00F275CC">
            <w:pPr>
              <w:pStyle w:val="Tabletext"/>
              <w:jc w:val="center"/>
            </w:pPr>
            <w:r w:rsidRPr="00530179">
              <w:rPr>
                <w:rFonts w:ascii="Wingdings" w:eastAsia="Wingdings" w:hAnsi="Wingdings" w:cs="Wingdings"/>
              </w:rPr>
              <w:t></w:t>
            </w:r>
          </w:p>
        </w:tc>
        <w:tc>
          <w:tcPr>
            <w:tcW w:w="728" w:type="pct"/>
          </w:tcPr>
          <w:p w14:paraId="2353CA0D" w14:textId="77777777" w:rsidR="005001FC" w:rsidRPr="00530179" w:rsidRDefault="005001FC" w:rsidP="00F275CC">
            <w:pPr>
              <w:pStyle w:val="Tabletext"/>
              <w:jc w:val="center"/>
            </w:pPr>
            <w:r w:rsidRPr="00530179">
              <w:t>–</w:t>
            </w:r>
          </w:p>
        </w:tc>
      </w:tr>
      <w:tr w:rsidR="005001FC" w:rsidRPr="00530179" w14:paraId="1EA2D873" w14:textId="77777777" w:rsidTr="004703D5">
        <w:trPr>
          <w:trHeight w:val="140"/>
        </w:trPr>
        <w:tc>
          <w:tcPr>
            <w:tcW w:w="881" w:type="pct"/>
            <w:vMerge/>
          </w:tcPr>
          <w:p w14:paraId="7062BFBB" w14:textId="77777777" w:rsidR="005001FC" w:rsidRPr="00530179" w:rsidRDefault="005001FC" w:rsidP="00F275CC">
            <w:pPr>
              <w:pStyle w:val="Tabletext"/>
            </w:pPr>
          </w:p>
        </w:tc>
        <w:tc>
          <w:tcPr>
            <w:tcW w:w="1484" w:type="pct"/>
          </w:tcPr>
          <w:p w14:paraId="17626D1C" w14:textId="77777777" w:rsidR="005001FC" w:rsidRPr="00530179" w:rsidRDefault="005001FC" w:rsidP="005001FC">
            <w:pPr>
              <w:pStyle w:val="Tabletext"/>
              <w:ind w:left="0"/>
            </w:pPr>
            <w:r w:rsidRPr="00530179">
              <w:t>Long term safety data</w:t>
            </w:r>
          </w:p>
        </w:tc>
        <w:tc>
          <w:tcPr>
            <w:tcW w:w="575" w:type="pct"/>
          </w:tcPr>
          <w:p w14:paraId="36008E89" w14:textId="77777777" w:rsidR="005001FC" w:rsidRPr="00530179" w:rsidRDefault="005001FC" w:rsidP="00F275CC">
            <w:pPr>
              <w:pStyle w:val="Tabletext"/>
              <w:jc w:val="center"/>
            </w:pPr>
            <w:r w:rsidRPr="00530179">
              <w:rPr>
                <w:rFonts w:ascii="Wingdings" w:eastAsia="Wingdings" w:hAnsi="Wingdings" w:cs="Wingdings"/>
              </w:rPr>
              <w:t></w:t>
            </w:r>
          </w:p>
        </w:tc>
        <w:tc>
          <w:tcPr>
            <w:tcW w:w="707" w:type="pct"/>
          </w:tcPr>
          <w:p w14:paraId="4E68DC8F" w14:textId="77777777" w:rsidR="005001FC" w:rsidRPr="00530179" w:rsidRDefault="005001FC" w:rsidP="00F275CC">
            <w:pPr>
              <w:pStyle w:val="Tabletext"/>
              <w:jc w:val="center"/>
            </w:pPr>
            <w:r w:rsidRPr="00530179">
              <w:rPr>
                <w:rFonts w:ascii="Wingdings" w:eastAsia="Wingdings" w:hAnsi="Wingdings" w:cs="Wingdings"/>
              </w:rPr>
              <w:t></w:t>
            </w:r>
            <w:r w:rsidRPr="00530179">
              <w:rPr>
                <w:rFonts w:asciiTheme="majorHAnsi" w:hAnsiTheme="majorHAnsi"/>
                <w:szCs w:val="20"/>
              </w:rPr>
              <w:t>*</w:t>
            </w:r>
          </w:p>
        </w:tc>
        <w:tc>
          <w:tcPr>
            <w:tcW w:w="626" w:type="pct"/>
          </w:tcPr>
          <w:p w14:paraId="27E23C08" w14:textId="77777777" w:rsidR="005001FC" w:rsidRPr="00530179" w:rsidRDefault="005001FC" w:rsidP="00F275CC">
            <w:pPr>
              <w:pStyle w:val="Tabletext"/>
              <w:jc w:val="center"/>
            </w:pPr>
            <w:r w:rsidRPr="00530179">
              <w:t>–</w:t>
            </w:r>
          </w:p>
        </w:tc>
        <w:tc>
          <w:tcPr>
            <w:tcW w:w="728" w:type="pct"/>
          </w:tcPr>
          <w:p w14:paraId="2D25CFD5" w14:textId="77777777" w:rsidR="005001FC" w:rsidRPr="00530179" w:rsidRDefault="005001FC" w:rsidP="00F275CC">
            <w:pPr>
              <w:pStyle w:val="Tabletext"/>
              <w:jc w:val="center"/>
            </w:pPr>
            <w:r w:rsidRPr="00530179">
              <w:t>–</w:t>
            </w:r>
          </w:p>
        </w:tc>
      </w:tr>
    </w:tbl>
    <w:p w14:paraId="47F1ABFC" w14:textId="4BDE9033" w:rsidR="004B1B27" w:rsidRDefault="004B1B27" w:rsidP="007D53B6">
      <w:r>
        <w:rPr>
          <w:sz w:val="15"/>
          <w:szCs w:val="15"/>
        </w:rPr>
        <w:t>†</w:t>
      </w:r>
      <w:r w:rsidR="00E611D7">
        <w:rPr>
          <w:sz w:val="15"/>
          <w:szCs w:val="15"/>
        </w:rPr>
        <w:t xml:space="preserve"> </w:t>
      </w:r>
      <w:r>
        <w:rPr>
          <w:sz w:val="18"/>
          <w:szCs w:val="18"/>
        </w:rPr>
        <w:t>Data capture Aid</w:t>
      </w:r>
      <w:r w:rsidR="00E611D7">
        <w:rPr>
          <w:sz w:val="18"/>
          <w:szCs w:val="18"/>
        </w:rPr>
        <w:t>;</w:t>
      </w:r>
      <w:r>
        <w:rPr>
          <w:sz w:val="18"/>
          <w:szCs w:val="18"/>
        </w:rPr>
        <w:t xml:space="preserve"> </w:t>
      </w:r>
      <w:r>
        <w:rPr>
          <w:sz w:val="20"/>
          <w:szCs w:val="20"/>
        </w:rPr>
        <w:t>*</w:t>
      </w:r>
      <w:r w:rsidR="00E611D7">
        <w:rPr>
          <w:sz w:val="20"/>
          <w:szCs w:val="20"/>
        </w:rPr>
        <w:t xml:space="preserve"> </w:t>
      </w:r>
      <w:r>
        <w:rPr>
          <w:sz w:val="18"/>
          <w:szCs w:val="18"/>
        </w:rPr>
        <w:t>Clinical trials</w:t>
      </w:r>
    </w:p>
    <w:p w14:paraId="685684D9" w14:textId="08E9AE86" w:rsidR="005001FC" w:rsidRDefault="004B1B27" w:rsidP="007D53B6">
      <w:r w:rsidRPr="004B1B27">
        <w:lastRenderedPageBreak/>
        <w:t>This summary of safety concerns is the same as the summary that was evaluated for the previous submission PM-2021-04582-1-2</w:t>
      </w:r>
      <w:r>
        <w:t xml:space="preserve"> (</w:t>
      </w:r>
      <w:r w:rsidR="00E611D7">
        <w:t xml:space="preserve">extension of indications: </w:t>
      </w:r>
      <w:r w:rsidR="004703D5">
        <w:rPr>
          <w:i/>
        </w:rPr>
        <w:t>for u</w:t>
      </w:r>
      <w:r w:rsidRPr="004703D5">
        <w:rPr>
          <w:i/>
        </w:rPr>
        <w:t>se in individuals aged 12 to 15 years of age</w:t>
      </w:r>
      <w:r>
        <w:t>)</w:t>
      </w:r>
      <w:r w:rsidRPr="004B1B27">
        <w:t>, except for the addition of ‘Myocarditis and pericarditis’ as an important identified risk into the current safety summary. The changes</w:t>
      </w:r>
      <w:r w:rsidR="004703D5">
        <w:t xml:space="preserve"> </w:t>
      </w:r>
      <w:r w:rsidR="004703D5" w:rsidRPr="004703D5">
        <w:t>proposed by this submission do not warrant changes to the summary of safety concerns from an RMP perspective.</w:t>
      </w:r>
    </w:p>
    <w:p w14:paraId="6AC6D5B1" w14:textId="41573FFE" w:rsidR="004703D5" w:rsidRDefault="004703D5" w:rsidP="007D53B6">
      <w:r>
        <w:t xml:space="preserve">The sponsor proposes routine pharmacovigilance activities, as well as the additional </w:t>
      </w:r>
      <w:r w:rsidR="00D31C46">
        <w:t>pharmacovigilance</w:t>
      </w:r>
      <w:r>
        <w:t xml:space="preserve"> activities of clinical trials and follow up questionnaires.</w:t>
      </w:r>
    </w:p>
    <w:p w14:paraId="2CA7689E" w14:textId="4AFC2019" w:rsidR="004703D5" w:rsidRDefault="004703D5" w:rsidP="004703D5">
      <w:r>
        <w:t>The sponsor proposes routine pharmacovigilance activities, as well as the additional risk minimisation activities of education/training provided by the Department of Health COVID</w:t>
      </w:r>
      <w:r>
        <w:noBreakHyphen/>
        <w:t>19 vaccine rollout programs.</w:t>
      </w:r>
    </w:p>
    <w:p w14:paraId="45683AB8" w14:textId="161F7368" w:rsidR="004703D5" w:rsidRDefault="004703D5" w:rsidP="004703D5">
      <w:r>
        <w:t>The Black Triangle Scheme applies for the provisional registration of this vaccine.</w:t>
      </w:r>
      <w:r>
        <w:rPr>
          <w:rStyle w:val="FootnoteReference"/>
        </w:rPr>
        <w:footnoteReference w:id="41"/>
      </w:r>
    </w:p>
    <w:p w14:paraId="4F9B0292" w14:textId="52CF4F6B" w:rsidR="004703D5" w:rsidRDefault="004703D5" w:rsidP="007D53B6">
      <w:r>
        <w:t>As a provisionally registered product, this medicine will remain in the Black Triangle Scheme for the duration of its provisional registration</w:t>
      </w:r>
      <w:r w:rsidR="00D77B0D">
        <w:t>.</w:t>
      </w:r>
    </w:p>
    <w:p w14:paraId="5A336733" w14:textId="77777777" w:rsidR="008E7846" w:rsidRDefault="00AA0ED0" w:rsidP="008E7846">
      <w:pPr>
        <w:pStyle w:val="Heading3"/>
      </w:pPr>
      <w:bookmarkStart w:id="68" w:name="_Toc247691531"/>
      <w:bookmarkStart w:id="69" w:name="_Toc314842515"/>
      <w:bookmarkStart w:id="70" w:name="_Toc196046505"/>
      <w:bookmarkStart w:id="71" w:name="_Toc196046949"/>
      <w:bookmarkStart w:id="72" w:name="_Toc90280437"/>
      <w:r>
        <w:t>Risk-benefit a</w:t>
      </w:r>
      <w:r w:rsidR="008E7846">
        <w:t>nalysis</w:t>
      </w:r>
      <w:bookmarkEnd w:id="68"/>
      <w:bookmarkEnd w:id="69"/>
      <w:bookmarkEnd w:id="72"/>
    </w:p>
    <w:p w14:paraId="010AFEBA" w14:textId="77777777" w:rsidR="00D23139" w:rsidRDefault="007D53B6" w:rsidP="00D23139">
      <w:pPr>
        <w:pStyle w:val="Heading4"/>
      </w:pPr>
      <w:r>
        <w:t>Delegate’s considerations</w:t>
      </w:r>
    </w:p>
    <w:p w14:paraId="1DDAC7F7" w14:textId="77777777" w:rsidR="00D551D1" w:rsidRDefault="00D551D1" w:rsidP="00D551D1">
      <w:r>
        <w:t xml:space="preserve">The sponsor is proposing extension of indication for </w:t>
      </w:r>
      <w:proofErr w:type="spellStart"/>
      <w:r>
        <w:t>Comirnaty</w:t>
      </w:r>
      <w:proofErr w:type="spellEnd"/>
      <w:r>
        <w:t xml:space="preserve"> </w:t>
      </w:r>
      <w:proofErr w:type="spellStart"/>
      <w:r>
        <w:t>tozinameran</w:t>
      </w:r>
      <w:proofErr w:type="spellEnd"/>
      <w:r>
        <w:t xml:space="preserve"> (mRNA) COVID</w:t>
      </w:r>
      <w:r>
        <w:noBreakHyphen/>
        <w:t xml:space="preserve">19 vaccine to expand the vaccination age range to children of between 5 and </w:t>
      </w:r>
      <w:r w:rsidR="0028039F">
        <w:t>11 </w:t>
      </w:r>
      <w:r>
        <w:t>years of age.</w:t>
      </w:r>
    </w:p>
    <w:p w14:paraId="6D361084" w14:textId="77777777" w:rsidR="00D551D1" w:rsidRDefault="00D551D1" w:rsidP="00D551D1">
      <w:r>
        <w:t>The sponsor is also proposing to use new formulation (using a tris buffer;</w:t>
      </w:r>
      <w:r>
        <w:rPr>
          <w:rStyle w:val="FootnoteReference"/>
        </w:rPr>
        <w:footnoteReference w:id="42"/>
      </w:r>
      <w:r>
        <w:t xml:space="preserve"> replacing the current phosphate-buffered saline) for the </w:t>
      </w:r>
      <w:proofErr w:type="spellStart"/>
      <w:r>
        <w:t>Comirnaty</w:t>
      </w:r>
      <w:proofErr w:type="spellEnd"/>
      <w:r>
        <w:t xml:space="preserve"> vaccine in the proposed age group. However, the pivotal study (Study C4591007) was conducted using the old formulation (that is, using the phosphate-buffered saline formulation).</w:t>
      </w:r>
    </w:p>
    <w:p w14:paraId="4E248FBA" w14:textId="77777777" w:rsidR="00D551D1" w:rsidRDefault="00D551D1" w:rsidP="00D551D1">
      <w:r>
        <w:t>The sponsor has proposed that the new formulation will subsequently replace the currently available formulation in Australia for all age groups. This has resulted in extensive changes in the Product Information, including storage and dilution requirements. This can lead to significant confusion, especially if the current vaccine stock (phosphate-buffered saline formulation) is also being used simultaneously.</w:t>
      </w:r>
    </w:p>
    <w:p w14:paraId="6BAAA6DD" w14:textId="60872869" w:rsidR="00D551D1" w:rsidRDefault="00D551D1" w:rsidP="00D551D1">
      <w:r>
        <w:t xml:space="preserve">Please see the Body of the Overview </w:t>
      </w:r>
      <w:r w:rsidR="000B263A">
        <w:t xml:space="preserve">(that is, the clinical section of this </w:t>
      </w:r>
      <w:proofErr w:type="spellStart"/>
      <w:r w:rsidR="000B263A">
        <w:t>AusPAR</w:t>
      </w:r>
      <w:proofErr w:type="spellEnd"/>
      <w:r w:rsidR="000B263A">
        <w:t xml:space="preserve">) </w:t>
      </w:r>
      <w:r>
        <w:t>for the summ</w:t>
      </w:r>
      <w:r w:rsidR="000B263A">
        <w:t xml:space="preserve">ary of the data submitted for 5 to </w:t>
      </w:r>
      <w:r>
        <w:t>11 years</w:t>
      </w:r>
      <w:r w:rsidR="000B263A">
        <w:t xml:space="preserve"> of</w:t>
      </w:r>
      <w:r>
        <w:t xml:space="preserve"> age group. The limitations of the submitted data is presented at the Discussion section of this overview.</w:t>
      </w:r>
    </w:p>
    <w:p w14:paraId="0CD05364" w14:textId="7B938A4C" w:rsidR="00D551D1" w:rsidRDefault="000B263A" w:rsidP="00D551D1">
      <w:r>
        <w:t>The D</w:t>
      </w:r>
      <w:r w:rsidR="00D551D1">
        <w:t xml:space="preserve">elegate is of the view that there is a favourable benefit-risk balance for the use of this vaccine in the 5 to 11 years of age population and the submitted data has satisfied the regulatory requirement for the extension of provisional registration to individuals to this age group. </w:t>
      </w:r>
    </w:p>
    <w:p w14:paraId="2F1BD468" w14:textId="77777777" w:rsidR="00D551D1" w:rsidRDefault="00D551D1" w:rsidP="00D551D1">
      <w:r>
        <w:t>The pivotal Phase I and Phase II/III Study C4591007 provides the data for vaccine’s dose finding, efficacy, immunogenicity and safety in the 5 to 11 years of age population (this is part of the 6 month to 11 years of age drug development plan).</w:t>
      </w:r>
    </w:p>
    <w:p w14:paraId="59B072A5" w14:textId="77777777" w:rsidR="00D551D1" w:rsidRDefault="00D551D1" w:rsidP="00D551D1">
      <w:r>
        <w:lastRenderedPageBreak/>
        <w:t xml:space="preserve">The vaccine produced overall local and systemic reactogenicity </w:t>
      </w:r>
      <w:proofErr w:type="gramStart"/>
      <w:r>
        <w:t>similar to</w:t>
      </w:r>
      <w:proofErr w:type="gramEnd"/>
      <w:r>
        <w:t xml:space="preserve"> the other age groups. However</w:t>
      </w:r>
      <w:r w:rsidR="008A3164">
        <w:t>, the</w:t>
      </w:r>
      <w:r>
        <w:t xml:space="preserve"> sample size for </w:t>
      </w:r>
      <w:r w:rsidR="008A3164">
        <w:t xml:space="preserve">the 5 to </w:t>
      </w:r>
      <w:r>
        <w:t xml:space="preserve">11 years </w:t>
      </w:r>
      <w:r w:rsidR="008A3164">
        <w:t xml:space="preserve">of </w:t>
      </w:r>
      <w:r>
        <w:t>age group is much smaller in comparison to the adult trial (</w:t>
      </w:r>
      <w:r w:rsidR="008A3164">
        <w:t xml:space="preserve">Study </w:t>
      </w:r>
      <w:r>
        <w:t>C4591001).</w:t>
      </w:r>
    </w:p>
    <w:p w14:paraId="612B0E1D" w14:textId="77777777" w:rsidR="00D551D1" w:rsidRDefault="00D551D1" w:rsidP="00D551D1">
      <w:r>
        <w:t>Rare ca</w:t>
      </w:r>
      <w:r w:rsidR="008A3164">
        <w:t>ses of m</w:t>
      </w:r>
      <w:r>
        <w:t>yocarditis and pericarditis after mRNA vaccines have been reported in the adolescent and young adul</w:t>
      </w:r>
      <w:r w:rsidR="008A3164">
        <w:t xml:space="preserve">t population, mainly during </w:t>
      </w:r>
      <w:r>
        <w:t xml:space="preserve">post market surveillance (highest frequency </w:t>
      </w:r>
      <w:r w:rsidR="008A3164">
        <w:t xml:space="preserve">has been </w:t>
      </w:r>
      <w:r>
        <w:t xml:space="preserve">in males aged </w:t>
      </w:r>
      <w:r w:rsidR="008A3164">
        <w:t xml:space="preserve">between 12 and </w:t>
      </w:r>
      <w:r>
        <w:t xml:space="preserve">29 </w:t>
      </w:r>
      <w:proofErr w:type="gramStart"/>
      <w:r>
        <w:t xml:space="preserve">years, </w:t>
      </w:r>
      <w:r w:rsidR="008A3164">
        <w:t>and</w:t>
      </w:r>
      <w:proofErr w:type="gramEnd"/>
      <w:r w:rsidR="008A3164">
        <w:t xml:space="preserve"> following the second</w:t>
      </w:r>
      <w:r>
        <w:t xml:space="preserve"> dose).</w:t>
      </w:r>
      <w:r w:rsidR="008A3164">
        <w:t xml:space="preserve"> </w:t>
      </w:r>
      <w:r>
        <w:t>This has been discussed with previous (adolescent) submission. No cases of myocarditis/per</w:t>
      </w:r>
      <w:r w:rsidR="008A3164">
        <w:t>icarditis are reported in Study C4591007; h</w:t>
      </w:r>
      <w:r>
        <w:t xml:space="preserve">owever, the safety sample size is very </w:t>
      </w:r>
      <w:proofErr w:type="gramStart"/>
      <w:r>
        <w:t>small</w:t>
      </w:r>
      <w:proofErr w:type="gramEnd"/>
      <w:r>
        <w:t xml:space="preserve"> and the post approval safety reports will be crucial to monitor this.</w:t>
      </w:r>
    </w:p>
    <w:p w14:paraId="4BC95722" w14:textId="77777777" w:rsidR="00D551D1" w:rsidRDefault="00D551D1" w:rsidP="00D551D1">
      <w:r>
        <w:t>Limitations of the current data include:</w:t>
      </w:r>
    </w:p>
    <w:p w14:paraId="0620A313" w14:textId="77777777" w:rsidR="00DB3E4C" w:rsidRDefault="00D551D1" w:rsidP="00D551D1">
      <w:pPr>
        <w:pStyle w:val="ListBullet"/>
      </w:pPr>
      <w:r>
        <w:t>Safety follow up is currently limited to median 2.4 months post Dose 2 in cohort 1 and 2.4 weeks f</w:t>
      </w:r>
      <w:r w:rsidR="00DB3E4C">
        <w:t>or the safety expansion cohort.</w:t>
      </w:r>
    </w:p>
    <w:p w14:paraId="2D1CBCB6" w14:textId="77777777" w:rsidR="00DB3E4C" w:rsidRDefault="00D551D1" w:rsidP="00D551D1">
      <w:pPr>
        <w:pStyle w:val="ListBullet"/>
      </w:pPr>
      <w:r>
        <w:t>Safety sample size is small.</w:t>
      </w:r>
    </w:p>
    <w:p w14:paraId="42805D6C" w14:textId="77777777" w:rsidR="00DB3E4C" w:rsidRDefault="00D551D1" w:rsidP="00D551D1">
      <w:pPr>
        <w:pStyle w:val="ListBullet"/>
      </w:pPr>
      <w:r>
        <w:t>The duration of immune response and vaccine protection is not currently known in the proposed age group.</w:t>
      </w:r>
    </w:p>
    <w:p w14:paraId="518CC0C4" w14:textId="77777777" w:rsidR="00DB3E4C" w:rsidRDefault="00D551D1" w:rsidP="00D551D1">
      <w:pPr>
        <w:pStyle w:val="ListBullet"/>
      </w:pPr>
      <w:r>
        <w:t>Vaccine efficacy against asymptomatic infection and viral transmission are not known for the proposed age group.</w:t>
      </w:r>
    </w:p>
    <w:p w14:paraId="1FCBF273" w14:textId="77777777" w:rsidR="00DB3E4C" w:rsidRDefault="00D551D1" w:rsidP="00D551D1">
      <w:pPr>
        <w:pStyle w:val="ListBullet"/>
      </w:pPr>
      <w:r>
        <w:t>The data in immunocompromised individuals are lacking.</w:t>
      </w:r>
    </w:p>
    <w:p w14:paraId="6E20F80C" w14:textId="77777777" w:rsidR="00D551D1" w:rsidRDefault="00D551D1" w:rsidP="00D551D1">
      <w:pPr>
        <w:pStyle w:val="ListBullet"/>
      </w:pPr>
      <w:r>
        <w:t>Efficacy against the currently circulating variants of concern is not known yet.</w:t>
      </w:r>
    </w:p>
    <w:p w14:paraId="01D8CF23" w14:textId="77777777" w:rsidR="00D551D1" w:rsidRDefault="00D551D1" w:rsidP="00D551D1">
      <w:r>
        <w:t>Pharmacovigilance activities and post-market studies have been proposed to address these limitations (see the RMP evaluation for details</w:t>
      </w:r>
      <w:r w:rsidR="00DB3E4C">
        <w:t>, above</w:t>
      </w:r>
      <w:r>
        <w:t>).</w:t>
      </w:r>
    </w:p>
    <w:p w14:paraId="758F1F0B" w14:textId="77777777" w:rsidR="00D551D1" w:rsidRDefault="00D551D1" w:rsidP="00D551D1">
      <w:r>
        <w:t>The sponsor has also proposed two other variations within the same application:</w:t>
      </w:r>
    </w:p>
    <w:p w14:paraId="0EA6E515" w14:textId="77777777" w:rsidR="00DB3E4C" w:rsidRDefault="00DB3E4C" w:rsidP="00D551D1">
      <w:pPr>
        <w:pStyle w:val="Numberbullet0"/>
      </w:pPr>
      <w:r>
        <w:t xml:space="preserve">Major variation, to make </w:t>
      </w:r>
      <w:r w:rsidR="00D551D1">
        <w:t>change</w:t>
      </w:r>
      <w:r>
        <w:t xml:space="preserve">s in strength and dosage: </w:t>
      </w:r>
      <w:r w:rsidR="00D551D1">
        <w:t>to present 2 new strengths with different fill volumes, to support vaccination of different age groups with dosages of either 30 µg (</w:t>
      </w:r>
      <w:r>
        <w:t xml:space="preserve">for individuals </w:t>
      </w:r>
      <w:r w:rsidR="00D551D1">
        <w:t xml:space="preserve">≥ </w:t>
      </w:r>
      <w:r>
        <w:t>12 years of age</w:t>
      </w:r>
      <w:r w:rsidR="00D551D1">
        <w:t>) or 10 µg (</w:t>
      </w:r>
      <w:r>
        <w:t xml:space="preserve">for individuals between 5 and </w:t>
      </w:r>
      <w:r w:rsidR="00D551D1">
        <w:t xml:space="preserve">11 </w:t>
      </w:r>
      <w:r>
        <w:t>years of age</w:t>
      </w:r>
      <w:r w:rsidR="00D551D1">
        <w:t>)</w:t>
      </w:r>
      <w:r>
        <w:t>.</w:t>
      </w:r>
    </w:p>
    <w:p w14:paraId="33AF1964" w14:textId="77777777" w:rsidR="00D551D1" w:rsidRDefault="00DB3E4C" w:rsidP="00D551D1">
      <w:pPr>
        <w:pStyle w:val="Numberbullet0"/>
      </w:pPr>
      <w:r>
        <w:t xml:space="preserve">A </w:t>
      </w:r>
      <w:r w:rsidR="00D551D1">
        <w:t>change in formu</w:t>
      </w:r>
      <w:r>
        <w:t>lation: t</w:t>
      </w:r>
      <w:r w:rsidR="00D551D1">
        <w:t xml:space="preserve">o change from a </w:t>
      </w:r>
      <w:r>
        <w:t>phosphate-buffered saline/s</w:t>
      </w:r>
      <w:r w:rsidR="00D551D1">
        <w:t>uc</w:t>
      </w:r>
      <w:r>
        <w:t>rose buffered formulation to a tris/s</w:t>
      </w:r>
      <w:r w:rsidR="00D551D1">
        <w:t>ucrose buffered formulation that can be used in all approved age groups.</w:t>
      </w:r>
    </w:p>
    <w:p w14:paraId="5F6DE519" w14:textId="77777777" w:rsidR="005001FC" w:rsidRPr="00530179" w:rsidRDefault="005001FC" w:rsidP="005001FC">
      <w:pPr>
        <w:pStyle w:val="Heading5"/>
        <w:rPr>
          <w:rFonts w:eastAsia="Calibri"/>
        </w:rPr>
      </w:pPr>
      <w:r>
        <w:rPr>
          <w:rFonts w:eastAsia="Calibri"/>
        </w:rPr>
        <w:t>Overview</w:t>
      </w:r>
    </w:p>
    <w:p w14:paraId="15FACCC5" w14:textId="7001074C" w:rsidR="005001FC" w:rsidRPr="005001FC" w:rsidRDefault="005001FC" w:rsidP="005001FC">
      <w:r w:rsidRPr="005001FC">
        <w:t xml:space="preserve">Based on the data provided by the sponsor in the current submission, to support the </w:t>
      </w:r>
      <w:proofErr w:type="spellStart"/>
      <w:r>
        <w:t>Comirnaty</w:t>
      </w:r>
      <w:proofErr w:type="spellEnd"/>
      <w:r>
        <w:t xml:space="preserve"> </w:t>
      </w:r>
      <w:r w:rsidR="0030349A">
        <w:t>(</w:t>
      </w:r>
      <w:proofErr w:type="spellStart"/>
      <w:r w:rsidR="0030349A">
        <w:t>tozinameran</w:t>
      </w:r>
      <w:proofErr w:type="spellEnd"/>
      <w:r w:rsidR="0030349A">
        <w:t xml:space="preserve">) </w:t>
      </w:r>
      <w:r>
        <w:t xml:space="preserve">COVID-19 vaccine </w:t>
      </w:r>
      <w:r w:rsidRPr="005001FC">
        <w:t xml:space="preserve">for use in </w:t>
      </w:r>
      <w:r>
        <w:t xml:space="preserve">the 5 to </w:t>
      </w:r>
      <w:r w:rsidRPr="005001FC">
        <w:t xml:space="preserve">11 years </w:t>
      </w:r>
      <w:r>
        <w:t xml:space="preserve">of </w:t>
      </w:r>
      <w:r w:rsidRPr="005001FC">
        <w:t>age</w:t>
      </w:r>
      <w:r>
        <w:t xml:space="preserve"> group</w:t>
      </w:r>
      <w:r w:rsidRPr="005001FC">
        <w:t>, a robust immunogenicity response was shown in the target age group, without evidence of prior SARS-CoV-2 infection. Immunogenicity response was consis</w:t>
      </w:r>
      <w:r>
        <w:t>tent across relevant subgroups.</w:t>
      </w:r>
    </w:p>
    <w:p w14:paraId="518E6F7E" w14:textId="05358BB0" w:rsidR="005001FC" w:rsidRPr="005001FC" w:rsidRDefault="005001FC" w:rsidP="005001FC">
      <w:r w:rsidRPr="005001FC">
        <w:t xml:space="preserve">Efficacy assessment was a secondary objective and a preliminary efficacy analysis demonstrated a </w:t>
      </w:r>
      <w:r>
        <w:t>vaccine efficacy</w:t>
      </w:r>
      <w:r w:rsidRPr="005001FC">
        <w:t xml:space="preserve"> of 90.7% (95% CI: 67.7%, 98.3%) in the evaluable efficacy population without prior evidence of SARS-CoV-2 infection. </w:t>
      </w:r>
      <w:r>
        <w:t xml:space="preserve">Efficacy among the 5 to </w:t>
      </w:r>
      <w:r w:rsidRPr="005001FC">
        <w:t>11</w:t>
      </w:r>
      <w:r w:rsidR="0030349A">
        <w:t> </w:t>
      </w:r>
      <w:r w:rsidRPr="005001FC">
        <w:t xml:space="preserve">years </w:t>
      </w:r>
      <w:r w:rsidR="0030349A">
        <w:t xml:space="preserve">of </w:t>
      </w:r>
      <w:r w:rsidRPr="005001FC">
        <w:t>age group, from the interim analysis appears comparable to the older age groups.</w:t>
      </w:r>
    </w:p>
    <w:p w14:paraId="60580B04" w14:textId="77777777" w:rsidR="005001FC" w:rsidRPr="005001FC" w:rsidRDefault="005001FC" w:rsidP="005001FC">
      <w:r w:rsidRPr="005001FC">
        <w:t xml:space="preserve">Overall, </w:t>
      </w:r>
      <w:proofErr w:type="spellStart"/>
      <w:r w:rsidRPr="005001FC">
        <w:t>Comirnaty</w:t>
      </w:r>
      <w:proofErr w:type="spellEnd"/>
      <w:r w:rsidRPr="005001FC">
        <w:t xml:space="preserve"> appears safe in children </w:t>
      </w:r>
      <w:r>
        <w:t>aged 5 to</w:t>
      </w:r>
      <w:r w:rsidRPr="005001FC">
        <w:t>11 years, with no major safety related is</w:t>
      </w:r>
      <w:r>
        <w:t>sues reported during the study.</w:t>
      </w:r>
    </w:p>
    <w:p w14:paraId="2CAB74EB" w14:textId="77777777" w:rsidR="005001FC" w:rsidRPr="00530179" w:rsidRDefault="005001FC" w:rsidP="005001FC">
      <w:pPr>
        <w:pStyle w:val="Heading5"/>
      </w:pPr>
      <w:r>
        <w:t>Public health need</w:t>
      </w:r>
    </w:p>
    <w:p w14:paraId="48B11464" w14:textId="77777777" w:rsidR="005001FC" w:rsidRPr="00530179" w:rsidRDefault="005001FC" w:rsidP="004B3F77">
      <w:r w:rsidRPr="00530179">
        <w:t>Australia has had relatively fewer COVID-19 cases in comparison to many other countries; however, intermittent surges of cases are still occurring. These COVID-19 outbreaks cause significant disruption to the normal life.</w:t>
      </w:r>
    </w:p>
    <w:p w14:paraId="4C6822EF" w14:textId="71D22A33" w:rsidR="005001FC" w:rsidRPr="00530179" w:rsidRDefault="005001FC" w:rsidP="004B3F77">
      <w:pPr>
        <w:rPr>
          <w:b/>
        </w:rPr>
      </w:pPr>
      <w:r w:rsidRPr="00530179">
        <w:lastRenderedPageBreak/>
        <w:t>Most children who get COVID-19 have mild symptoms or no symptoms at all. Children with some underlying medical conditions might be at higher risk severe illness, but very few children with COVID-19 get sick enough to need hospitalisation. Fatal outcome in children is very rare.</w:t>
      </w:r>
    </w:p>
    <w:p w14:paraId="52110629" w14:textId="4BAEE1BA" w:rsidR="005001FC" w:rsidRPr="00530179" w:rsidRDefault="005001FC" w:rsidP="004B3F77">
      <w:r w:rsidRPr="00530179">
        <w:t xml:space="preserve">The rates of illness, hospitalisations and death for COVID-19 are lower for children than for older age groups, although children can still catch and transmit the virus. There is emerging evidence that younger children are more likely to transmit COVID-19 than </w:t>
      </w:r>
      <w:r w:rsidR="004B3F77">
        <w:t>compared with</w:t>
      </w:r>
      <w:r w:rsidRPr="00530179">
        <w:t xml:space="preserve"> older children.</w:t>
      </w:r>
      <w:r w:rsidRPr="00530179">
        <w:rPr>
          <w:vertAlign w:val="superscript"/>
        </w:rPr>
        <w:footnoteReference w:id="43"/>
      </w:r>
    </w:p>
    <w:p w14:paraId="72263CD7" w14:textId="5CEA8DC6" w:rsidR="005001FC" w:rsidRPr="00530179" w:rsidRDefault="005001FC" w:rsidP="004B3F77">
      <w:r w:rsidRPr="00530179">
        <w:t xml:space="preserve">As rates of vaccination increase among adolescents and </w:t>
      </w:r>
      <w:r w:rsidR="000B263A">
        <w:t>adults, the proportion of COVID</w:t>
      </w:r>
      <w:r w:rsidR="000B263A">
        <w:noBreakHyphen/>
      </w:r>
      <w:r w:rsidRPr="00530179">
        <w:t>19 cases involving children is likely to rise.</w:t>
      </w:r>
      <w:r w:rsidRPr="00530179">
        <w:rPr>
          <w:b/>
          <w:vertAlign w:val="superscript"/>
        </w:rPr>
        <w:footnoteReference w:id="44"/>
      </w:r>
    </w:p>
    <w:p w14:paraId="3FF8FE2A" w14:textId="74D532C6" w:rsidR="005001FC" w:rsidRPr="00530179" w:rsidRDefault="005001FC" w:rsidP="004B3F77">
      <w:r w:rsidRPr="00530179">
        <w:t>Concerns have been expressed since the beginning of the COVID‐19 pandemic that the numbers of hospitalisations, critical care admissions, and deaths of children with comorbid conditions were high, but the situation is unclear.</w:t>
      </w:r>
      <w:r w:rsidRPr="004B3F77">
        <w:rPr>
          <w:vertAlign w:val="superscript"/>
        </w:rPr>
        <w:footnoteReference w:id="45"/>
      </w:r>
      <w:r w:rsidRPr="004B3F77">
        <w:rPr>
          <w:vertAlign w:val="superscript"/>
        </w:rPr>
        <w:t>,</w:t>
      </w:r>
      <w:r w:rsidRPr="00530179">
        <w:rPr>
          <w:vertAlign w:val="superscript"/>
        </w:rPr>
        <w:footnoteReference w:id="46"/>
      </w:r>
      <w:r w:rsidRPr="00530179">
        <w:t xml:space="preserve"> Of particular concern is the paediatric inflammatory multisystem syndrome </w:t>
      </w:r>
      <w:r w:rsidR="004B3F77">
        <w:t>temporally associated with SARS</w:t>
      </w:r>
      <w:r w:rsidR="004B3F77">
        <w:noBreakHyphen/>
        <w:t>CoV</w:t>
      </w:r>
      <w:r w:rsidR="004B3F77">
        <w:noBreakHyphen/>
      </w:r>
      <w:r w:rsidRPr="00530179">
        <w:t>2 (PIMS‐TS), or multisystem inflammatory syndrome</w:t>
      </w:r>
      <w:r w:rsidR="004B3F77">
        <w:t xml:space="preserve"> (MIS-C);</w:t>
      </w:r>
      <w:r w:rsidRPr="00530179">
        <w:rPr>
          <w:vertAlign w:val="superscript"/>
        </w:rPr>
        <w:footnoteReference w:id="47"/>
      </w:r>
      <w:r w:rsidRPr="00530179">
        <w:t xml:space="preserve"> a complication reported in settings with high rates of community transmission. One of the first large multicentre studies to report this condition described 78 children in the United Kingdom with considerable short-term critical care needs; </w:t>
      </w:r>
      <w:r w:rsidR="0030349A">
        <w:t>2 of these 78</w:t>
      </w:r>
      <w:r w:rsidRPr="00530179">
        <w:t xml:space="preserve"> </w:t>
      </w:r>
      <w:r w:rsidR="0030349A">
        <w:t>children</w:t>
      </w:r>
      <w:r w:rsidRPr="00530179">
        <w:t xml:space="preserve"> died.</w:t>
      </w:r>
      <w:r w:rsidRPr="00530179">
        <w:rPr>
          <w:vertAlign w:val="superscript"/>
        </w:rPr>
        <w:footnoteReference w:id="48"/>
      </w:r>
    </w:p>
    <w:p w14:paraId="4E3B670D" w14:textId="77777777" w:rsidR="005001FC" w:rsidRPr="00530179" w:rsidRDefault="004B3F77" w:rsidP="004B3F77">
      <w:pPr>
        <w:pStyle w:val="Heading5"/>
      </w:pPr>
      <w:r>
        <w:t>Short-term i</w:t>
      </w:r>
      <w:r w:rsidR="005001FC" w:rsidRPr="00530179">
        <w:t>mmunogenicity</w:t>
      </w:r>
      <w:r w:rsidR="00635748">
        <w:t xml:space="preserve">, </w:t>
      </w:r>
      <w:proofErr w:type="gramStart"/>
      <w:r w:rsidR="00635748">
        <w:t>efficacy</w:t>
      </w:r>
      <w:proofErr w:type="gramEnd"/>
      <w:r w:rsidR="005001FC" w:rsidRPr="00530179">
        <w:t xml:space="preserve"> and safety data for provisional registration</w:t>
      </w:r>
    </w:p>
    <w:p w14:paraId="57ED36BD" w14:textId="77777777" w:rsidR="005001FC" w:rsidRPr="00530179" w:rsidRDefault="004B3F77" w:rsidP="004B3F77">
      <w:pPr>
        <w:rPr>
          <w:strike/>
        </w:rPr>
      </w:pPr>
      <w:r>
        <w:t>The sponsor</w:t>
      </w:r>
      <w:r w:rsidR="005001FC" w:rsidRPr="00530179">
        <w:t xml:space="preserve"> has submitted the short-term </w:t>
      </w:r>
      <w:r>
        <w:t>results from the pivotal Phase I and Phase II/III S</w:t>
      </w:r>
      <w:r w:rsidR="005001FC" w:rsidRPr="00530179">
        <w:t xml:space="preserve">tudy C4591007, to support the extension of indication to </w:t>
      </w:r>
      <w:proofErr w:type="spellStart"/>
      <w:r w:rsidRPr="00530179">
        <w:t>Comirnaty</w:t>
      </w:r>
      <w:proofErr w:type="spellEnd"/>
      <w:r w:rsidRPr="00530179">
        <w:t xml:space="preserve"> </w:t>
      </w:r>
      <w:r w:rsidR="005001FC" w:rsidRPr="00530179">
        <w:t>(</w:t>
      </w:r>
      <w:proofErr w:type="spellStart"/>
      <w:r w:rsidR="005001FC" w:rsidRPr="00530179">
        <w:t>tozinameran</w:t>
      </w:r>
      <w:proofErr w:type="spellEnd"/>
      <w:r w:rsidR="005001FC" w:rsidRPr="00530179">
        <w:t>) COVID-1</w:t>
      </w:r>
      <w:r>
        <w:t xml:space="preserve">9 vaccine for use in children in the 5 to </w:t>
      </w:r>
      <w:r w:rsidR="005001FC" w:rsidRPr="00530179">
        <w:t>11 years</w:t>
      </w:r>
      <w:r>
        <w:t xml:space="preserve"> of</w:t>
      </w:r>
      <w:r w:rsidR="005001FC" w:rsidRPr="00530179">
        <w:t xml:space="preserve"> age group. The submitted pivotal study has an overall good study design, including representative study population (in the geographical study location context) and acceptable statistical considerations.</w:t>
      </w:r>
    </w:p>
    <w:p w14:paraId="4259C268" w14:textId="77777777" w:rsidR="004B3F77" w:rsidRDefault="004B3F77" w:rsidP="004B3F77">
      <w:pPr>
        <w:pStyle w:val="Heading6"/>
      </w:pPr>
      <w:r>
        <w:t>Immunogenicity</w:t>
      </w:r>
    </w:p>
    <w:p w14:paraId="0883F025" w14:textId="77777777" w:rsidR="005001FC" w:rsidRPr="00530179" w:rsidRDefault="005001FC" w:rsidP="004B3F77">
      <w:pPr>
        <w:rPr>
          <w:lang w:val="en-GB"/>
        </w:rPr>
      </w:pPr>
      <w:r w:rsidRPr="00530179">
        <w:t xml:space="preserve">The </w:t>
      </w:r>
      <w:r w:rsidRPr="00530179">
        <w:rPr>
          <w:shd w:val="clear" w:color="auto" w:fill="FFFFFF"/>
        </w:rPr>
        <w:t xml:space="preserve">immunogenicity analysis demonstrated that the immune response to </w:t>
      </w:r>
      <w:proofErr w:type="spellStart"/>
      <w:r w:rsidR="004B3F77" w:rsidRPr="00530179">
        <w:t>Comirnaty</w:t>
      </w:r>
      <w:proofErr w:type="spellEnd"/>
      <w:r w:rsidR="004B3F77" w:rsidRPr="00530179">
        <w:t xml:space="preserve"> </w:t>
      </w:r>
      <w:r w:rsidRPr="00530179">
        <w:t>(</w:t>
      </w:r>
      <w:proofErr w:type="spellStart"/>
      <w:r w:rsidRPr="00530179">
        <w:t>tozinameran</w:t>
      </w:r>
      <w:proofErr w:type="spellEnd"/>
      <w:r w:rsidRPr="00530179">
        <w:t xml:space="preserve">) vaccine </w:t>
      </w:r>
      <w:r w:rsidRPr="00530179">
        <w:rPr>
          <w:shd w:val="clear" w:color="auto" w:fill="FFFFFF"/>
        </w:rPr>
        <w:t>in children</w:t>
      </w:r>
      <w:r w:rsidR="004B3F77">
        <w:rPr>
          <w:shd w:val="clear" w:color="auto" w:fill="FFFFFF"/>
        </w:rPr>
        <w:t xml:space="preserve"> between</w:t>
      </w:r>
      <w:r w:rsidRPr="00530179">
        <w:rPr>
          <w:shd w:val="clear" w:color="auto" w:fill="FFFFFF"/>
        </w:rPr>
        <w:t xml:space="preserve"> 5 to 11 </w:t>
      </w:r>
      <w:r w:rsidR="004B3F77">
        <w:rPr>
          <w:shd w:val="clear" w:color="auto" w:fill="FFFFFF"/>
        </w:rPr>
        <w:t>y</w:t>
      </w:r>
      <w:r w:rsidRPr="00530179">
        <w:rPr>
          <w:shd w:val="clear" w:color="auto" w:fill="FFFFFF"/>
        </w:rPr>
        <w:t xml:space="preserve">ears age was non-inferior to </w:t>
      </w:r>
      <w:r w:rsidR="004B3F77">
        <w:rPr>
          <w:shd w:val="clear" w:color="auto" w:fill="FFFFFF"/>
        </w:rPr>
        <w:t xml:space="preserve">that of </w:t>
      </w:r>
      <w:r w:rsidRPr="00530179">
        <w:rPr>
          <w:shd w:val="clear" w:color="auto" w:fill="FFFFFF"/>
        </w:rPr>
        <w:t xml:space="preserve">young adults </w:t>
      </w:r>
      <w:r w:rsidR="004B3F77">
        <w:rPr>
          <w:shd w:val="clear" w:color="auto" w:fill="FFFFFF"/>
        </w:rPr>
        <w:t xml:space="preserve">aged between </w:t>
      </w:r>
      <w:r w:rsidRPr="00530179">
        <w:rPr>
          <w:shd w:val="clear" w:color="auto" w:fill="FFFFFF"/>
        </w:rPr>
        <w:t xml:space="preserve">16 to 25 </w:t>
      </w:r>
      <w:r w:rsidR="004B3F77">
        <w:rPr>
          <w:shd w:val="clear" w:color="auto" w:fill="FFFFFF"/>
        </w:rPr>
        <w:t>y</w:t>
      </w:r>
      <w:r w:rsidRPr="00530179">
        <w:rPr>
          <w:shd w:val="clear" w:color="auto" w:fill="FFFFFF"/>
        </w:rPr>
        <w:t xml:space="preserve">ears of age. </w:t>
      </w:r>
      <w:r w:rsidRPr="00530179">
        <w:rPr>
          <w:lang w:val="en-GB"/>
        </w:rPr>
        <w:t xml:space="preserve">It is to be acknowledged that the neutralising antibody responses were chosen here as an immune biomarker for inferring effectiveness through </w:t>
      </w:r>
      <w:proofErr w:type="spellStart"/>
      <w:r w:rsidRPr="00530179">
        <w:rPr>
          <w:lang w:val="en-GB"/>
        </w:rPr>
        <w:t>immunobridging</w:t>
      </w:r>
      <w:proofErr w:type="spellEnd"/>
      <w:r w:rsidRPr="00530179">
        <w:rPr>
          <w:lang w:val="en-GB"/>
        </w:rPr>
        <w:t>, b</w:t>
      </w:r>
      <w:r w:rsidR="004B3F77">
        <w:rPr>
          <w:lang w:val="en-GB"/>
        </w:rPr>
        <w:t>ut a specific level of neutralis</w:t>
      </w:r>
      <w:r w:rsidRPr="00530179">
        <w:rPr>
          <w:lang w:val="en-GB"/>
        </w:rPr>
        <w:t xml:space="preserve">ing antibodies has not yet been established to correlate with protection, and other aspects of the immune response, </w:t>
      </w:r>
      <w:r w:rsidRPr="00530179">
        <w:rPr>
          <w:bCs/>
          <w:lang w:val="en-GB"/>
        </w:rPr>
        <w:t>such as cellular immunity, were not analysed</w:t>
      </w:r>
      <w:r w:rsidRPr="00530179">
        <w:rPr>
          <w:lang w:val="en-GB"/>
        </w:rPr>
        <w:t>. No data were presented on cellular immunity; however, this is not considered critical in the presence of ava</w:t>
      </w:r>
      <w:r w:rsidR="004B3F77">
        <w:rPr>
          <w:lang w:val="en-GB"/>
        </w:rPr>
        <w:t>ilable secondary efficacy data.</w:t>
      </w:r>
    </w:p>
    <w:p w14:paraId="48A05F2F" w14:textId="77777777" w:rsidR="005001FC" w:rsidRPr="00530179" w:rsidRDefault="005001FC" w:rsidP="004B3F77">
      <w:r w:rsidRPr="00530179">
        <w:rPr>
          <w:lang w:val="en-GB"/>
        </w:rPr>
        <w:t xml:space="preserve">A non-inferiority </w:t>
      </w:r>
      <w:r w:rsidRPr="004B3F77">
        <w:t>analysis</w:t>
      </w:r>
      <w:r w:rsidRPr="00530179">
        <w:rPr>
          <w:lang w:val="en-GB"/>
        </w:rPr>
        <w:t xml:space="preserve"> evaluating SARS-CoV-2 50% neutralising titres and </w:t>
      </w:r>
      <w:proofErr w:type="spellStart"/>
      <w:r w:rsidRPr="00530179">
        <w:rPr>
          <w:lang w:val="en-GB"/>
        </w:rPr>
        <w:t>seroresponse</w:t>
      </w:r>
      <w:proofErr w:type="spellEnd"/>
      <w:r w:rsidRPr="00530179">
        <w:rPr>
          <w:lang w:val="en-GB"/>
        </w:rPr>
        <w:t xml:space="preserve"> rates 7 days after Dose 2 was conducted in </w:t>
      </w:r>
      <w:r w:rsidR="004B3F77" w:rsidRPr="004B3F77">
        <w:t xml:space="preserve">the evaluable immunogenicity population </w:t>
      </w:r>
      <w:r w:rsidRPr="00530179">
        <w:rPr>
          <w:lang w:val="en-GB"/>
        </w:rPr>
        <w:t>subsets of children aged 5 to 11 years (n</w:t>
      </w:r>
      <w:r w:rsidR="004B3F77">
        <w:rPr>
          <w:lang w:val="en-GB"/>
        </w:rPr>
        <w:t xml:space="preserve"> </w:t>
      </w:r>
      <w:r w:rsidRPr="00530179">
        <w:rPr>
          <w:lang w:val="en-GB"/>
        </w:rPr>
        <w:t>=</w:t>
      </w:r>
      <w:r w:rsidR="004B3F77">
        <w:rPr>
          <w:lang w:val="en-GB"/>
        </w:rPr>
        <w:t xml:space="preserve"> 264) in Study </w:t>
      </w:r>
      <w:r w:rsidRPr="00530179">
        <w:t>C4591007</w:t>
      </w:r>
      <w:r w:rsidRPr="00530179">
        <w:rPr>
          <w:b/>
        </w:rPr>
        <w:t xml:space="preserve"> </w:t>
      </w:r>
      <w:r w:rsidRPr="00530179">
        <w:rPr>
          <w:lang w:val="en-GB"/>
        </w:rPr>
        <w:t>and in participants aged 16 through 25 (n</w:t>
      </w:r>
      <w:r w:rsidR="004B3F77">
        <w:rPr>
          <w:lang w:val="en-GB"/>
        </w:rPr>
        <w:t xml:space="preserve"> </w:t>
      </w:r>
      <w:r w:rsidRPr="00530179">
        <w:rPr>
          <w:lang w:val="en-GB"/>
        </w:rPr>
        <w:t>=</w:t>
      </w:r>
      <w:r w:rsidR="004B3F77">
        <w:rPr>
          <w:lang w:val="en-GB"/>
        </w:rPr>
        <w:t xml:space="preserve"> 253) in the adult S</w:t>
      </w:r>
      <w:r w:rsidRPr="00530179">
        <w:rPr>
          <w:lang w:val="en-GB"/>
        </w:rPr>
        <w:t>tudy</w:t>
      </w:r>
      <w:r w:rsidRPr="00530179">
        <w:rPr>
          <w:b/>
        </w:rPr>
        <w:t xml:space="preserve"> </w:t>
      </w:r>
      <w:r w:rsidRPr="00530179">
        <w:t>C4591001</w:t>
      </w:r>
      <w:r w:rsidRPr="00530179">
        <w:rPr>
          <w:lang w:val="en-GB"/>
        </w:rPr>
        <w:t xml:space="preserve">. Subjects had no </w:t>
      </w:r>
      <w:r w:rsidRPr="00530179">
        <w:rPr>
          <w:lang w:val="en-GB"/>
        </w:rPr>
        <w:lastRenderedPageBreak/>
        <w:t>immunologic or virologic evidence o</w:t>
      </w:r>
      <w:r w:rsidR="004B3F77">
        <w:rPr>
          <w:lang w:val="en-GB"/>
        </w:rPr>
        <w:t>f prior SARS-CoV-2 infection a</w:t>
      </w:r>
      <w:r w:rsidR="00635748">
        <w:rPr>
          <w:lang w:val="en-GB"/>
        </w:rPr>
        <w:t xml:space="preserve">t </w:t>
      </w:r>
      <w:r w:rsidR="004B3F77">
        <w:rPr>
          <w:lang w:val="en-GB"/>
        </w:rPr>
        <w:t>B</w:t>
      </w:r>
      <w:r w:rsidRPr="00530179">
        <w:rPr>
          <w:lang w:val="en-GB"/>
        </w:rPr>
        <w:t xml:space="preserve">aseline. </w:t>
      </w:r>
      <w:r w:rsidR="004B3F77">
        <w:t xml:space="preserve">The GMR of subjects aged between 5 and 11 years </w:t>
      </w:r>
      <w:r w:rsidRPr="00530179">
        <w:t xml:space="preserve">relative to those of </w:t>
      </w:r>
      <w:r w:rsidR="004B3F77">
        <w:t xml:space="preserve">between </w:t>
      </w:r>
      <w:proofErr w:type="gramStart"/>
      <w:r w:rsidR="004B3F77">
        <w:t xml:space="preserve">16 and </w:t>
      </w:r>
      <w:r w:rsidRPr="00530179">
        <w:t>25 years</w:t>
      </w:r>
      <w:proofErr w:type="gramEnd"/>
      <w:r w:rsidRPr="00530179">
        <w:t xml:space="preserve"> age was 1.04 (95% CI: 0.93, 1.18</w:t>
      </w:r>
      <w:r w:rsidR="004B3F77">
        <w:t>)</w:t>
      </w:r>
      <w:r w:rsidRPr="00530179">
        <w:t xml:space="preserve">. This met the </w:t>
      </w:r>
      <w:proofErr w:type="spellStart"/>
      <w:r w:rsidRPr="00530179">
        <w:t>immunobridging</w:t>
      </w:r>
      <w:proofErr w:type="spellEnd"/>
      <w:r w:rsidRPr="00530179">
        <w:t xml:space="preserve"> success criteria, with the lower bound of the 95% CI being &gt; 0.67 and the point estimate ≥ 0.8. </w:t>
      </w:r>
      <w:r w:rsidR="004B3F77">
        <w:t>While being non</w:t>
      </w:r>
      <w:r w:rsidR="004B3F77">
        <w:noBreakHyphen/>
      </w:r>
      <w:r w:rsidRPr="00530179">
        <w:t>inferior, the result was not superior</w:t>
      </w:r>
      <w:r w:rsidR="004B3F77">
        <w:t xml:space="preserve"> (lower bound of 95% CI &lt; 1.0).</w:t>
      </w:r>
    </w:p>
    <w:p w14:paraId="4B705A33" w14:textId="77777777" w:rsidR="005001FC" w:rsidRPr="00530179" w:rsidRDefault="005001FC" w:rsidP="005001FC">
      <w:pPr>
        <w:jc w:val="both"/>
        <w:rPr>
          <w:rFonts w:asciiTheme="minorHAnsi" w:eastAsia="Calibri" w:hAnsiTheme="minorHAnsi"/>
          <w:szCs w:val="24"/>
        </w:rPr>
      </w:pPr>
      <w:r w:rsidRPr="00530179">
        <w:rPr>
          <w:rFonts w:asciiTheme="minorHAnsi" w:eastAsia="Calibri" w:hAnsiTheme="minorHAnsi"/>
          <w:szCs w:val="24"/>
        </w:rPr>
        <w:t>The duration of immune persistence is not known, due to the short follow up period.</w:t>
      </w:r>
    </w:p>
    <w:p w14:paraId="30414559" w14:textId="77777777" w:rsidR="004B3F77" w:rsidRDefault="004B3F77" w:rsidP="004B3F77">
      <w:pPr>
        <w:pStyle w:val="Heading6"/>
        <w:rPr>
          <w:rFonts w:eastAsia="Calibri"/>
        </w:rPr>
      </w:pPr>
      <w:r>
        <w:rPr>
          <w:rFonts w:eastAsia="Calibri"/>
        </w:rPr>
        <w:t>Efficacy</w:t>
      </w:r>
    </w:p>
    <w:p w14:paraId="530E339C" w14:textId="242CCFFF" w:rsidR="005001FC" w:rsidRPr="00530179" w:rsidRDefault="005001FC" w:rsidP="004B3F77">
      <w:r w:rsidRPr="00530179">
        <w:t>Efficacy assessment was</w:t>
      </w:r>
      <w:r w:rsidR="004B3F77">
        <w:t xml:space="preserve"> a secondary objective for </w:t>
      </w:r>
      <w:r w:rsidR="004B3F77" w:rsidRPr="004B3F77">
        <w:t>S</w:t>
      </w:r>
      <w:r w:rsidRPr="004B3F77">
        <w:t>tudy</w:t>
      </w:r>
      <w:r w:rsidR="004B3F77">
        <w:t xml:space="preserve"> C4591007 and was case</w:t>
      </w:r>
      <w:r w:rsidR="004B3F77">
        <w:noBreakHyphen/>
      </w:r>
      <w:r w:rsidRPr="00530179">
        <w:t>driven (</w:t>
      </w:r>
      <w:r w:rsidR="004B3F77">
        <w:t>a</w:t>
      </w:r>
      <w:r w:rsidR="0030349A">
        <w:t> </w:t>
      </w:r>
      <w:r w:rsidR="004B3F77">
        <w:t>t</w:t>
      </w:r>
      <w:r w:rsidRPr="00530179">
        <w:t xml:space="preserve">otal </w:t>
      </w:r>
      <w:r w:rsidR="004B3F77">
        <w:t xml:space="preserve">of </w:t>
      </w:r>
      <w:r w:rsidRPr="00530179">
        <w:t>22 cases</w:t>
      </w:r>
      <w:r w:rsidR="00D31C46" w:rsidRPr="00530179">
        <w:t>). The</w:t>
      </w:r>
      <w:r w:rsidRPr="00530179">
        <w:t xml:space="preserve"> sponsor has submitted interim efficacy assessment report, based on 19 cases (data </w:t>
      </w:r>
      <w:r w:rsidR="00D31C46" w:rsidRPr="00530179">
        <w:t xml:space="preserve">cut </w:t>
      </w:r>
      <w:proofErr w:type="gramStart"/>
      <w:r w:rsidR="00D31C46" w:rsidRPr="00530179">
        <w:t>off</w:t>
      </w:r>
      <w:r w:rsidRPr="00530179">
        <w:t xml:space="preserve"> of</w:t>
      </w:r>
      <w:proofErr w:type="gramEnd"/>
      <w:r w:rsidRPr="00530179">
        <w:t xml:space="preserve"> </w:t>
      </w:r>
      <w:r w:rsidR="004B3F77">
        <w:t xml:space="preserve">8 October </w:t>
      </w:r>
      <w:r w:rsidRPr="00530179">
        <w:t>2021). A preliminary efficacy analysis performed</w:t>
      </w:r>
      <w:r w:rsidR="00635748">
        <w:t xml:space="preserve"> on 19 </w:t>
      </w:r>
      <w:r w:rsidRPr="00530179">
        <w:t>cases (</w:t>
      </w:r>
      <w:r w:rsidRPr="00635748">
        <w:t>3</w:t>
      </w:r>
      <w:r w:rsidRPr="00530179">
        <w:t xml:space="preserve"> in the </w:t>
      </w:r>
      <w:proofErr w:type="spellStart"/>
      <w:r w:rsidR="00635748">
        <w:t>Comirnaty</w:t>
      </w:r>
      <w:proofErr w:type="spellEnd"/>
      <w:r w:rsidRPr="00530179">
        <w:t xml:space="preserve"> group and </w:t>
      </w:r>
      <w:r w:rsidRPr="00635748">
        <w:t>16</w:t>
      </w:r>
      <w:r w:rsidRPr="00530179">
        <w:t xml:space="preserve"> in the placebo group), demonstrated a </w:t>
      </w:r>
      <w:r w:rsidR="00635748">
        <w:t>vaccine efficacy</w:t>
      </w:r>
      <w:r w:rsidRPr="00530179">
        <w:t xml:space="preserve"> from at least 7 days after Dose 2 of 90.7% (95% CI: 67.7%, 98.3%) in the evaluable efficacy population </w:t>
      </w:r>
      <w:r w:rsidRPr="00635748">
        <w:t>without</w:t>
      </w:r>
      <w:r w:rsidRPr="00530179">
        <w:t xml:space="preserve"> prior evidence of SARS-CoV-2 infection before or during the</w:t>
      </w:r>
      <w:r w:rsidR="00635748">
        <w:t xml:space="preserve"> vaccination regimen.</w:t>
      </w:r>
    </w:p>
    <w:p w14:paraId="62DEBE10" w14:textId="77777777" w:rsidR="005001FC" w:rsidRPr="00635748" w:rsidRDefault="005001FC" w:rsidP="00635748">
      <w:r w:rsidRPr="00530179">
        <w:t>Protect</w:t>
      </w:r>
      <w:r w:rsidR="00635748">
        <w:t>ion against asymptomatic infecti</w:t>
      </w:r>
      <w:r w:rsidRPr="00530179">
        <w:t>on, or impact on viral transmission offered by the va</w:t>
      </w:r>
      <w:r w:rsidR="00635748">
        <w:t>ccine in children is not known.</w:t>
      </w:r>
    </w:p>
    <w:p w14:paraId="162E5637" w14:textId="77777777" w:rsidR="00635748" w:rsidRPr="00635748" w:rsidRDefault="005001FC" w:rsidP="00635748">
      <w:pPr>
        <w:pStyle w:val="Heading6"/>
      </w:pPr>
      <w:r w:rsidRPr="00635748">
        <w:t>Safety (</w:t>
      </w:r>
      <w:r w:rsidR="00635748">
        <w:t>c</w:t>
      </w:r>
      <w:r w:rsidRPr="00635748">
        <w:t>ohort 1</w:t>
      </w:r>
      <w:r w:rsidR="00635748" w:rsidRPr="00635748">
        <w:t>)</w:t>
      </w:r>
    </w:p>
    <w:p w14:paraId="0AAE2CC3" w14:textId="77777777" w:rsidR="005001FC" w:rsidRPr="00635748" w:rsidRDefault="005001FC" w:rsidP="00635748">
      <w:r w:rsidRPr="00635748">
        <w:t xml:space="preserve">As expected, the vaccine group reported higher incidence of reactogenicity, as compared to placebo. </w:t>
      </w:r>
      <w:r w:rsidR="00635748" w:rsidRPr="00635748">
        <w:t>The m</w:t>
      </w:r>
      <w:r w:rsidRPr="00635748">
        <w:t xml:space="preserve">ajority of these reactogenic </w:t>
      </w:r>
      <w:r w:rsidR="00635748" w:rsidRPr="00635748">
        <w:t>adverse reactions</w:t>
      </w:r>
      <w:r w:rsidRPr="00635748">
        <w:t xml:space="preserve"> were mild to moderate in se</w:t>
      </w:r>
      <w:r w:rsidR="00635748">
        <w:t xml:space="preserve">verity with a median onset of 1 to </w:t>
      </w:r>
      <w:r w:rsidRPr="00635748">
        <w:t>2 days and resolved in 1 to 2 days. The most common solicited adverse reactions after</w:t>
      </w:r>
      <w:r w:rsidR="00635748">
        <w:t xml:space="preserve"> Dose 1 and D</w:t>
      </w:r>
      <w:r w:rsidRPr="00635748">
        <w:t>ose 2 w</w:t>
      </w:r>
      <w:r w:rsidR="00635748">
        <w:t>ere injection site pain (74.1% D</w:t>
      </w:r>
      <w:r w:rsidRPr="00635748">
        <w:t>ose 1</w:t>
      </w:r>
      <w:r w:rsidR="00635748">
        <w:t>, versus</w:t>
      </w:r>
      <w:r w:rsidRPr="00635748">
        <w:t xml:space="preserve"> 71.0% </w:t>
      </w:r>
      <w:r w:rsidR="00635748">
        <w:t>D</w:t>
      </w:r>
      <w:r w:rsidRPr="00635748">
        <w:t>ose 2), fatigue (33.6% v</w:t>
      </w:r>
      <w:r w:rsidR="00635748">
        <w:t>ersu</w:t>
      </w:r>
      <w:r w:rsidRPr="00635748">
        <w:t>s 39.4%), headache (22.4% vs 28.0%), myalgia (9.1% v</w:t>
      </w:r>
      <w:r w:rsidR="00635748">
        <w:t xml:space="preserve">ersus 11.7%), </w:t>
      </w:r>
      <w:r w:rsidRPr="00635748">
        <w:t>chills (4.6% v</w:t>
      </w:r>
      <w:r w:rsidR="00635748">
        <w:t>ersu</w:t>
      </w:r>
      <w:r w:rsidRPr="00635748">
        <w:t>s 9.8%). joint pain (3.3% v</w:t>
      </w:r>
      <w:r w:rsidR="00635748">
        <w:t>ersu</w:t>
      </w:r>
      <w:r w:rsidRPr="00635748">
        <w:t>s 5.2%) and fever (2.5% v</w:t>
      </w:r>
      <w:r w:rsidR="00635748">
        <w:t>ersus 6.5%)</w:t>
      </w:r>
      <w:r w:rsidRPr="00635748">
        <w:t>. Median onset for all systemic reactions was 1 to 4 days after Dose 1 or Dose 2 (most had a median of 2 days post-dose) and all events reso</w:t>
      </w:r>
      <w:r w:rsidR="00635748">
        <w:t>lved with a median duration of one</w:t>
      </w:r>
      <w:r w:rsidRPr="00635748">
        <w:t xml:space="preserve"> day. Overall, the systemic events reported in children </w:t>
      </w:r>
      <w:r w:rsidR="00635748">
        <w:t xml:space="preserve">aged between </w:t>
      </w:r>
      <w:r w:rsidRPr="00635748">
        <w:t>5 to &lt;</w:t>
      </w:r>
      <w:r w:rsidR="00635748">
        <w:t> </w:t>
      </w:r>
      <w:r w:rsidRPr="00635748">
        <w:t xml:space="preserve">12 </w:t>
      </w:r>
      <w:r w:rsidR="00635748">
        <w:t>y</w:t>
      </w:r>
      <w:r w:rsidRPr="00635748">
        <w:t xml:space="preserve">ears </w:t>
      </w:r>
      <w:r w:rsidR="00635748">
        <w:t xml:space="preserve">of </w:t>
      </w:r>
      <w:r w:rsidRPr="00635748">
        <w:t xml:space="preserve">age after each dose was generally comparable to, or less than, that observed in the Phase </w:t>
      </w:r>
      <w:r w:rsidR="00635748">
        <w:t>II/III</w:t>
      </w:r>
      <w:r w:rsidRPr="00635748">
        <w:t xml:space="preserve"> participants ≥</w:t>
      </w:r>
      <w:r w:rsidR="00635748">
        <w:t xml:space="preserve"> </w:t>
      </w:r>
      <w:r w:rsidRPr="00635748">
        <w:t xml:space="preserve">12 </w:t>
      </w:r>
      <w:r w:rsidR="00635748">
        <w:t>y</w:t>
      </w:r>
      <w:r w:rsidRPr="00635748">
        <w:t>ears</w:t>
      </w:r>
      <w:r w:rsidR="00635748">
        <w:t xml:space="preserve"> of</w:t>
      </w:r>
      <w:r w:rsidRPr="00635748">
        <w:t xml:space="preserve"> age in Study C4591001.</w:t>
      </w:r>
    </w:p>
    <w:p w14:paraId="56F7F1D5" w14:textId="77777777" w:rsidR="005001FC" w:rsidRPr="00530179" w:rsidRDefault="005001FC" w:rsidP="00635748">
      <w:pPr>
        <w:rPr>
          <w:lang w:eastAsia="ja-JP"/>
        </w:rPr>
      </w:pPr>
      <w:r w:rsidRPr="00530179">
        <w:rPr>
          <w:lang w:eastAsia="ja-JP"/>
        </w:rPr>
        <w:t xml:space="preserve">There appeared to be an excess of rashes and lymphadenopathy in the </w:t>
      </w:r>
      <w:proofErr w:type="spellStart"/>
      <w:r w:rsidR="00635748">
        <w:rPr>
          <w:lang w:eastAsia="ja-JP"/>
        </w:rPr>
        <w:t>Comirnaty</w:t>
      </w:r>
      <w:proofErr w:type="spellEnd"/>
      <w:r w:rsidRPr="00530179">
        <w:rPr>
          <w:lang w:eastAsia="ja-JP"/>
        </w:rPr>
        <w:t xml:space="preserve"> group compared to placebo recipients. The observed events were of mild to moderate severity. The types of rashes were quite variable rather than of a consistent clinical presentat</w:t>
      </w:r>
      <w:r w:rsidR="00F275CC">
        <w:rPr>
          <w:lang w:eastAsia="ja-JP"/>
        </w:rPr>
        <w:t>ion.</w:t>
      </w:r>
    </w:p>
    <w:p w14:paraId="01054CAD" w14:textId="77777777" w:rsidR="005001FC" w:rsidRPr="00530179" w:rsidRDefault="005001FC" w:rsidP="00F275CC">
      <w:pPr>
        <w:rPr>
          <w:lang w:eastAsia="ja-JP"/>
        </w:rPr>
      </w:pPr>
      <w:r w:rsidRPr="00F275CC">
        <w:t>No</w:t>
      </w:r>
      <w:r w:rsidRPr="00530179">
        <w:rPr>
          <w:lang w:eastAsia="ja-JP"/>
        </w:rPr>
        <w:t xml:space="preserve"> cases of myocarditis or pericarditis were observed, but the participants’ numbers and duration of follow-up was relatively small and post-marketing surveillance will be of critical importance.</w:t>
      </w:r>
    </w:p>
    <w:p w14:paraId="435B4996" w14:textId="77777777" w:rsidR="005001FC" w:rsidRPr="00530179" w:rsidRDefault="005001FC" w:rsidP="00F275CC">
      <w:pPr>
        <w:rPr>
          <w:lang w:eastAsia="ja-JP"/>
        </w:rPr>
      </w:pPr>
      <w:r w:rsidRPr="00530179">
        <w:rPr>
          <w:lang w:eastAsia="ja-JP"/>
        </w:rPr>
        <w:t xml:space="preserve">There were </w:t>
      </w:r>
      <w:r w:rsidRPr="00F275CC">
        <w:t>no</w:t>
      </w:r>
      <w:r w:rsidRPr="00530179">
        <w:rPr>
          <w:lang w:eastAsia="ja-JP"/>
        </w:rPr>
        <w:t xml:space="preserve"> related </w:t>
      </w:r>
      <w:r w:rsidR="00F275CC">
        <w:rPr>
          <w:lang w:eastAsia="ja-JP"/>
        </w:rPr>
        <w:t>serious adverse events</w:t>
      </w:r>
      <w:r w:rsidRPr="00530179">
        <w:rPr>
          <w:lang w:eastAsia="ja-JP"/>
        </w:rPr>
        <w:t>, deaths</w:t>
      </w:r>
      <w:r w:rsidR="00F275CC">
        <w:rPr>
          <w:lang w:eastAsia="ja-JP"/>
        </w:rPr>
        <w:t>, n</w:t>
      </w:r>
      <w:r w:rsidRPr="00530179">
        <w:rPr>
          <w:lang w:eastAsia="ja-JP"/>
        </w:rPr>
        <w:t xml:space="preserve">or immediate </w:t>
      </w:r>
      <w:r w:rsidR="00F275CC">
        <w:rPr>
          <w:lang w:eastAsia="ja-JP"/>
        </w:rPr>
        <w:t>adverse events</w:t>
      </w:r>
      <w:r w:rsidRPr="00530179">
        <w:rPr>
          <w:lang w:eastAsia="ja-JP"/>
        </w:rPr>
        <w:t xml:space="preserve"> involving allergy or anaphylaxis.</w:t>
      </w:r>
    </w:p>
    <w:p w14:paraId="2022D6F0" w14:textId="77777777" w:rsidR="005001FC" w:rsidRPr="00530179" w:rsidRDefault="00F275CC" w:rsidP="00F275CC">
      <w:pPr>
        <w:pStyle w:val="Heading6"/>
        <w:rPr>
          <w:lang w:eastAsia="ja-JP"/>
        </w:rPr>
      </w:pPr>
      <w:r>
        <w:rPr>
          <w:lang w:eastAsia="ja-JP"/>
        </w:rPr>
        <w:t>Safety e</w:t>
      </w:r>
      <w:r w:rsidR="005001FC" w:rsidRPr="00530179">
        <w:rPr>
          <w:lang w:eastAsia="ja-JP"/>
        </w:rPr>
        <w:t>xpansion subset (cohort 2)</w:t>
      </w:r>
    </w:p>
    <w:p w14:paraId="739C7326" w14:textId="77777777" w:rsidR="005001FC" w:rsidRPr="00530179" w:rsidRDefault="005001FC" w:rsidP="00F275CC">
      <w:pPr>
        <w:rPr>
          <w:lang w:eastAsia="ja-JP"/>
        </w:rPr>
      </w:pPr>
      <w:r w:rsidRPr="00530179">
        <w:rPr>
          <w:lang w:eastAsia="ja-JP"/>
        </w:rPr>
        <w:t>Follow</w:t>
      </w:r>
      <w:r w:rsidR="00F275CC">
        <w:rPr>
          <w:lang w:eastAsia="ja-JP"/>
        </w:rPr>
        <w:t xml:space="preserve">ing the initial enrolment, the </w:t>
      </w:r>
      <w:r w:rsidR="00F275CC" w:rsidRPr="00F275CC">
        <w:t>s</w:t>
      </w:r>
      <w:r w:rsidRPr="00F275CC">
        <w:t>ponsor</w:t>
      </w:r>
      <w:r w:rsidRPr="00530179">
        <w:rPr>
          <w:lang w:eastAsia="ja-JP"/>
        </w:rPr>
        <w:t xml:space="preserve"> commenced enrolling an ex</w:t>
      </w:r>
      <w:r w:rsidR="00F275CC">
        <w:rPr>
          <w:lang w:eastAsia="ja-JP"/>
        </w:rPr>
        <w:t>pansion group of an additional around</w:t>
      </w:r>
      <w:r w:rsidRPr="00530179">
        <w:rPr>
          <w:lang w:eastAsia="ja-JP"/>
        </w:rPr>
        <w:t xml:space="preserve"> 2250 participants (n = 1591 for </w:t>
      </w:r>
      <w:proofErr w:type="spellStart"/>
      <w:r w:rsidR="00F275CC">
        <w:rPr>
          <w:lang w:eastAsia="ja-JP"/>
        </w:rPr>
        <w:t>Comirnaty</w:t>
      </w:r>
      <w:proofErr w:type="spellEnd"/>
      <w:r w:rsidR="00F275CC">
        <w:rPr>
          <w:lang w:eastAsia="ja-JP"/>
        </w:rPr>
        <w:t xml:space="preserve"> (vaccine)</w:t>
      </w:r>
      <w:r w:rsidRPr="00530179">
        <w:rPr>
          <w:lang w:eastAsia="ja-JP"/>
        </w:rPr>
        <w:t xml:space="preserve">). Data for solicited </w:t>
      </w:r>
      <w:r w:rsidR="00F275CC">
        <w:rPr>
          <w:lang w:eastAsia="ja-JP"/>
        </w:rPr>
        <w:t>adverse events</w:t>
      </w:r>
      <w:r w:rsidRPr="00530179">
        <w:rPr>
          <w:lang w:eastAsia="ja-JP"/>
        </w:rPr>
        <w:t xml:space="preserve"> were not presented for the safety expansion subset.</w:t>
      </w:r>
    </w:p>
    <w:p w14:paraId="53FA8153" w14:textId="77777777" w:rsidR="005001FC" w:rsidRPr="00530179" w:rsidRDefault="005001FC" w:rsidP="00F275CC">
      <w:pPr>
        <w:rPr>
          <w:lang w:eastAsia="ja-JP"/>
        </w:rPr>
      </w:pPr>
      <w:r w:rsidRPr="00530179">
        <w:rPr>
          <w:lang w:eastAsia="ja-JP"/>
        </w:rPr>
        <w:t xml:space="preserve">The frequency of </w:t>
      </w:r>
      <w:r w:rsidR="00F275CC">
        <w:rPr>
          <w:lang w:eastAsia="ja-JP"/>
        </w:rPr>
        <w:t>adverse events</w:t>
      </w:r>
      <w:r w:rsidRPr="00530179">
        <w:rPr>
          <w:lang w:eastAsia="ja-JP"/>
        </w:rPr>
        <w:t xml:space="preserve"> observed i</w:t>
      </w:r>
      <w:r w:rsidR="00F275CC">
        <w:rPr>
          <w:lang w:eastAsia="ja-JP"/>
        </w:rPr>
        <w:t>n the safety expansion subset (</w:t>
      </w:r>
      <w:r w:rsidR="00F275CC" w:rsidRPr="00F275CC">
        <w:t>c</w:t>
      </w:r>
      <w:r w:rsidRPr="00F275CC">
        <w:t>ohort</w:t>
      </w:r>
      <w:r w:rsidRPr="00530179">
        <w:rPr>
          <w:lang w:eastAsia="ja-JP"/>
        </w:rPr>
        <w:t xml:space="preserve"> 2) was 7.2% in the </w:t>
      </w:r>
      <w:proofErr w:type="spellStart"/>
      <w:r w:rsidR="00F275CC">
        <w:rPr>
          <w:lang w:eastAsia="ja-JP"/>
        </w:rPr>
        <w:t>Comirnaty</w:t>
      </w:r>
      <w:proofErr w:type="spellEnd"/>
      <w:r w:rsidR="00F275CC">
        <w:rPr>
          <w:lang w:eastAsia="ja-JP"/>
        </w:rPr>
        <w:t xml:space="preserve"> (vaccine) group.</w:t>
      </w:r>
    </w:p>
    <w:p w14:paraId="4C402531" w14:textId="77777777" w:rsidR="005001FC" w:rsidRPr="00530179" w:rsidRDefault="005001FC" w:rsidP="00F275CC">
      <w:pPr>
        <w:rPr>
          <w:lang w:eastAsia="ja-JP"/>
        </w:rPr>
      </w:pPr>
      <w:r w:rsidRPr="00530179">
        <w:rPr>
          <w:lang w:eastAsia="ja-JP"/>
        </w:rPr>
        <w:t xml:space="preserve">Overall, 9 participants were </w:t>
      </w:r>
      <w:r w:rsidRPr="00F275CC">
        <w:t>identified</w:t>
      </w:r>
      <w:r w:rsidRPr="00530179">
        <w:rPr>
          <w:lang w:eastAsia="ja-JP"/>
        </w:rPr>
        <w:t xml:space="preserve"> with </w:t>
      </w:r>
      <w:r w:rsidRPr="00F275CC">
        <w:rPr>
          <w:bCs/>
          <w:lang w:eastAsia="ja-JP"/>
        </w:rPr>
        <w:t>hypersensitivity events</w:t>
      </w:r>
      <w:r w:rsidRPr="00530179">
        <w:rPr>
          <w:lang w:eastAsia="ja-JP"/>
        </w:rPr>
        <w:t xml:space="preserve"> in the </w:t>
      </w:r>
      <w:proofErr w:type="spellStart"/>
      <w:r w:rsidR="00F275CC">
        <w:rPr>
          <w:lang w:eastAsia="ja-JP"/>
        </w:rPr>
        <w:t>Comirnaty</w:t>
      </w:r>
      <w:proofErr w:type="spellEnd"/>
      <w:r w:rsidR="00F275CC">
        <w:rPr>
          <w:lang w:eastAsia="ja-JP"/>
        </w:rPr>
        <w:t xml:space="preserve"> (vaccine)</w:t>
      </w:r>
      <w:r w:rsidRPr="00530179">
        <w:rPr>
          <w:lang w:eastAsia="ja-JP"/>
        </w:rPr>
        <w:t xml:space="preserve"> group.</w:t>
      </w:r>
      <w:r w:rsidRPr="00530179">
        <w:rPr>
          <w:b/>
          <w:bCs/>
          <w:lang w:eastAsia="ja-JP"/>
        </w:rPr>
        <w:t xml:space="preserve"> </w:t>
      </w:r>
      <w:r w:rsidRPr="00F275CC">
        <w:rPr>
          <w:bCs/>
          <w:lang w:eastAsia="ja-JP"/>
        </w:rPr>
        <w:t>Lymphadenopathy</w:t>
      </w:r>
      <w:r w:rsidRPr="00530179">
        <w:rPr>
          <w:lang w:eastAsia="ja-JP"/>
        </w:rPr>
        <w:t xml:space="preserve"> occurred in 6 (0.4%) participants.</w:t>
      </w:r>
    </w:p>
    <w:p w14:paraId="53DFB30C" w14:textId="77777777" w:rsidR="005001FC" w:rsidRPr="00530179" w:rsidRDefault="005001FC" w:rsidP="00F275CC">
      <w:pPr>
        <w:rPr>
          <w:lang w:eastAsia="ja-JP"/>
        </w:rPr>
      </w:pPr>
      <w:r w:rsidRPr="00530179">
        <w:rPr>
          <w:lang w:eastAsia="ja-JP"/>
        </w:rPr>
        <w:t xml:space="preserve">There was one </w:t>
      </w:r>
      <w:r w:rsidR="00F275CC">
        <w:rPr>
          <w:lang w:eastAsia="ja-JP"/>
        </w:rPr>
        <w:t>adverse event</w:t>
      </w:r>
      <w:r w:rsidRPr="00530179">
        <w:rPr>
          <w:lang w:eastAsia="ja-JP"/>
        </w:rPr>
        <w:t xml:space="preserve"> leading to withdrawal in the safety expansion subset, a female with severe pyrexia with an associate </w:t>
      </w:r>
      <w:r w:rsidR="00F275CC">
        <w:rPr>
          <w:lang w:eastAsia="ja-JP"/>
        </w:rPr>
        <w:t>adverse event</w:t>
      </w:r>
      <w:r w:rsidRPr="00530179">
        <w:rPr>
          <w:lang w:eastAsia="ja-JP"/>
        </w:rPr>
        <w:t xml:space="preserve"> of severe neutropenia exacerbating previously diagnosed benign transient neutropenia.</w:t>
      </w:r>
    </w:p>
    <w:p w14:paraId="47E4C2ED" w14:textId="70450592" w:rsidR="005001FC" w:rsidRPr="00530179" w:rsidRDefault="005001FC" w:rsidP="00F275CC">
      <w:r w:rsidRPr="00530179">
        <w:lastRenderedPageBreak/>
        <w:t xml:space="preserve">The submitted </w:t>
      </w:r>
      <w:r w:rsidRPr="00F275CC">
        <w:t>safety</w:t>
      </w:r>
      <w:r w:rsidRPr="00530179">
        <w:t xml:space="preserve"> data are short term at this stage (median follow up of approximately 2.4 months for cohort 1 and around 2.4 weeks for cohort 2); however, the data have fulfilled the requirement as set out in the</w:t>
      </w:r>
      <w:r w:rsidRPr="00530179">
        <w:rPr>
          <w:b/>
          <w:bCs/>
        </w:rPr>
        <w:t xml:space="preserve"> </w:t>
      </w:r>
      <w:r w:rsidR="00F275CC">
        <w:rPr>
          <w:bCs/>
        </w:rPr>
        <w:t>‘</w:t>
      </w:r>
      <w:r w:rsidRPr="00530179">
        <w:rPr>
          <w:bCs/>
        </w:rPr>
        <w:t>Access Consortium statemen</w:t>
      </w:r>
      <w:r w:rsidR="00F275CC">
        <w:rPr>
          <w:bCs/>
        </w:rPr>
        <w:t>t on COVID-19 vaccines evidence’</w:t>
      </w:r>
      <w:r w:rsidRPr="00530179">
        <w:t xml:space="preserve"> (published on</w:t>
      </w:r>
      <w:r w:rsidR="00F275CC">
        <w:t xml:space="preserve"> the</w:t>
      </w:r>
      <w:r w:rsidRPr="00530179">
        <w:t xml:space="preserve"> TGA website on 4 December 2020).</w:t>
      </w:r>
      <w:r w:rsidR="0030349A">
        <w:rPr>
          <w:rStyle w:val="FootnoteReference"/>
        </w:rPr>
        <w:footnoteReference w:id="49"/>
      </w:r>
      <w:r w:rsidRPr="00530179">
        <w:t xml:space="preserve"> The statement specified the minimum requirement that trial participants must be followed for a median of at least 2 months after receiving their final vaccine dose. It is acknowledged that most adverse reactions to vaccines occur within 4-6 weeks from vaccination. The</w:t>
      </w:r>
      <w:r w:rsidR="00F275CC">
        <w:t xml:space="preserve"> European Medicines Agency</w:t>
      </w:r>
      <w:r w:rsidRPr="00530179">
        <w:t xml:space="preserve"> </w:t>
      </w:r>
      <w:r w:rsidR="00F275CC">
        <w:t>(</w:t>
      </w:r>
      <w:r w:rsidRPr="00530179">
        <w:t>EMA</w:t>
      </w:r>
      <w:r w:rsidR="00F275CC">
        <w:t>)</w:t>
      </w:r>
      <w:r w:rsidRPr="00530179">
        <w:t xml:space="preserve"> has stated that conditional mark</w:t>
      </w:r>
      <w:r w:rsidR="00F275CC">
        <w:t>eting authorisation for a COVID</w:t>
      </w:r>
      <w:r w:rsidR="00F275CC">
        <w:noBreakHyphen/>
      </w:r>
      <w:r w:rsidRPr="00530179">
        <w:t>19 vaccine could be based on review of at least 6 weeks</w:t>
      </w:r>
      <w:r w:rsidR="00F275CC">
        <w:t xml:space="preserve"> post-vaccination safety data.</w:t>
      </w:r>
      <w:r w:rsidR="00F275CC">
        <w:rPr>
          <w:rStyle w:val="FootnoteReference"/>
        </w:rPr>
        <w:footnoteReference w:id="50"/>
      </w:r>
    </w:p>
    <w:p w14:paraId="2E16E9B2" w14:textId="77777777" w:rsidR="005001FC" w:rsidRPr="00530179" w:rsidRDefault="005001FC" w:rsidP="006973FF">
      <w:r w:rsidRPr="006973FF">
        <w:t>Post</w:t>
      </w:r>
      <w:r w:rsidR="006973FF">
        <w:t>-</w:t>
      </w:r>
      <w:r w:rsidRPr="00530179">
        <w:t>market reports of myocarditis/pericarditis in the younger population have raised</w:t>
      </w:r>
      <w:r w:rsidR="006973FF">
        <w:t xml:space="preserve"> some safety concerns for the 5 to 11 y</w:t>
      </w:r>
      <w:r w:rsidRPr="00530179">
        <w:t xml:space="preserve">ears </w:t>
      </w:r>
      <w:r w:rsidR="006973FF">
        <w:t xml:space="preserve">of </w:t>
      </w:r>
      <w:r w:rsidRPr="00530179">
        <w:t>age group as well. However, no cases of</w:t>
      </w:r>
      <w:r w:rsidR="006973FF">
        <w:t xml:space="preserve"> myocarditis reported in Phase I</w:t>
      </w:r>
      <w:r w:rsidRPr="00530179">
        <w:t xml:space="preserve"> or Phase </w:t>
      </w:r>
      <w:r w:rsidR="006973FF">
        <w:t>II/III of the Study C4591007. Post-</w:t>
      </w:r>
      <w:r w:rsidRPr="00530179">
        <w:t>ap</w:t>
      </w:r>
      <w:r w:rsidR="006973FF">
        <w:t xml:space="preserve">proval monthly safety report (5 to </w:t>
      </w:r>
      <w:r w:rsidRPr="00530179">
        <w:t xml:space="preserve">11 years </w:t>
      </w:r>
      <w:r w:rsidR="006973FF">
        <w:t xml:space="preserve">of </w:t>
      </w:r>
      <w:r w:rsidRPr="00530179">
        <w:t>age) from</w:t>
      </w:r>
      <w:r w:rsidR="006973FF">
        <w:t xml:space="preserve"> the</w:t>
      </w:r>
      <w:r w:rsidRPr="00530179">
        <w:t xml:space="preserve"> USA, is not available at this stage. The study did include 15 children with congenital heart disease and 8 children with cardiovascular diseases, but further details are not available for these children. The sponsor has planned to include another 750 children </w:t>
      </w:r>
      <w:r w:rsidR="006973FF">
        <w:t xml:space="preserve">of </w:t>
      </w:r>
      <w:r w:rsidRPr="00530179">
        <w:t>5 to</w:t>
      </w:r>
      <w:r w:rsidR="006973FF">
        <w:t xml:space="preserve"> &lt; 12 y</w:t>
      </w:r>
      <w:r w:rsidRPr="00530179">
        <w:t xml:space="preserve">ears </w:t>
      </w:r>
      <w:r w:rsidR="006973FF">
        <w:t xml:space="preserve">of </w:t>
      </w:r>
      <w:r w:rsidRPr="00530179">
        <w:t xml:space="preserve">age in a third safety population for </w:t>
      </w:r>
      <w:r w:rsidRPr="006973FF">
        <w:rPr>
          <w:bCs/>
        </w:rPr>
        <w:t>troponin I evaluation</w:t>
      </w:r>
      <w:r w:rsidRPr="00530179">
        <w:t xml:space="preserve"> (</w:t>
      </w:r>
      <w:r w:rsidR="006973FF">
        <w:t>that is,</w:t>
      </w:r>
      <w:r w:rsidRPr="00530179">
        <w:t xml:space="preserve"> as a marker of myocarditis), with enrolment scheduled to have begun in October 2021.</w:t>
      </w:r>
    </w:p>
    <w:p w14:paraId="40102536" w14:textId="77777777" w:rsidR="005001FC" w:rsidRPr="00530179" w:rsidRDefault="005001FC" w:rsidP="006973FF">
      <w:pPr>
        <w:rPr>
          <w:lang w:eastAsia="ja-JP"/>
        </w:rPr>
      </w:pPr>
      <w:r w:rsidRPr="00530179">
        <w:t>The vaccine immunogenicity, safety and efficacy</w:t>
      </w:r>
      <w:r w:rsidRPr="00530179">
        <w:rPr>
          <w:rFonts w:eastAsia="TimesNewRoman,BoldItalic" w:cs="TimesNewRoman,BoldItalic"/>
          <w:bCs/>
          <w:iCs/>
        </w:rPr>
        <w:t xml:space="preserve"> </w:t>
      </w:r>
      <w:r w:rsidRPr="00530179">
        <w:t xml:space="preserve">in the </w:t>
      </w:r>
      <w:r w:rsidRPr="00530179">
        <w:rPr>
          <w:bCs/>
          <w:iCs/>
        </w:rPr>
        <w:t>Aboriginal and Torres Strait Islander population</w:t>
      </w:r>
      <w:r w:rsidRPr="00530179">
        <w:t xml:space="preserve"> was </w:t>
      </w:r>
      <w:r w:rsidRPr="006973FF">
        <w:t>not</w:t>
      </w:r>
      <w:r w:rsidRPr="00530179">
        <w:t xml:space="preserve"> studied. This could be of significance in view of the recent pharmacovigilance reports of myocarditis in younger adults, as the </w:t>
      </w:r>
      <w:r w:rsidRPr="00530179">
        <w:rPr>
          <w:rFonts w:eastAsia="TimesNewRoman,BoldItalic" w:cs="TimesNewRoman,BoldItalic"/>
          <w:bCs/>
          <w:iCs/>
        </w:rPr>
        <w:t>Aboriginal and Torres Strait Islander population has</w:t>
      </w:r>
      <w:r w:rsidRPr="00530179">
        <w:t xml:space="preserve"> a relatively higher background rate of rheumatic heart d</w:t>
      </w:r>
      <w:r w:rsidR="006973FF">
        <w:t>isease.</w:t>
      </w:r>
    </w:p>
    <w:p w14:paraId="46705066" w14:textId="77777777" w:rsidR="005001FC" w:rsidRPr="00530179" w:rsidRDefault="005001FC" w:rsidP="006973FF">
      <w:pPr>
        <w:pStyle w:val="Heading5"/>
      </w:pPr>
      <w:r w:rsidRPr="00530179">
        <w:t>Data limitations</w:t>
      </w:r>
    </w:p>
    <w:p w14:paraId="5DC93357" w14:textId="77777777" w:rsidR="006973FF" w:rsidRDefault="006973FF" w:rsidP="006973FF">
      <w:pPr>
        <w:pStyle w:val="ListBullet"/>
      </w:pPr>
      <w:r>
        <w:t>Data on vaccine efficacy</w:t>
      </w:r>
      <w:r w:rsidR="005001FC" w:rsidRPr="00530179">
        <w:t xml:space="preserve"> to prevent asymptomatic infection are lacking.</w:t>
      </w:r>
    </w:p>
    <w:p w14:paraId="0AC38C17" w14:textId="77777777" w:rsidR="005001FC" w:rsidRPr="006973FF" w:rsidRDefault="006973FF" w:rsidP="006973FF">
      <w:pPr>
        <w:pStyle w:val="ListBullet"/>
      </w:pPr>
      <w:r>
        <w:rPr>
          <w:rFonts w:eastAsia="Calibri"/>
          <w:szCs w:val="24"/>
        </w:rPr>
        <w:t>No data on c</w:t>
      </w:r>
      <w:r w:rsidR="005001FC" w:rsidRPr="006973FF">
        <w:rPr>
          <w:rFonts w:eastAsia="Calibri"/>
          <w:szCs w:val="24"/>
        </w:rPr>
        <w:t xml:space="preserve">o-administration of </w:t>
      </w:r>
      <w:proofErr w:type="spellStart"/>
      <w:r w:rsidRPr="006973FF">
        <w:rPr>
          <w:rFonts w:eastAsia="Calibri"/>
          <w:szCs w:val="24"/>
        </w:rPr>
        <w:t>Comirnaty</w:t>
      </w:r>
      <w:proofErr w:type="spellEnd"/>
      <w:r w:rsidRPr="006973FF">
        <w:rPr>
          <w:rFonts w:eastAsia="Calibri"/>
          <w:szCs w:val="24"/>
        </w:rPr>
        <w:t xml:space="preserve"> </w:t>
      </w:r>
      <w:r w:rsidR="005001FC" w:rsidRPr="006973FF">
        <w:rPr>
          <w:rFonts w:eastAsia="Calibri"/>
          <w:szCs w:val="24"/>
        </w:rPr>
        <w:t>with other vaccines in</w:t>
      </w:r>
      <w:r>
        <w:rPr>
          <w:rFonts w:eastAsia="Calibri"/>
          <w:szCs w:val="24"/>
        </w:rPr>
        <w:t xml:space="preserve"> the 5 to </w:t>
      </w:r>
      <w:r w:rsidR="005001FC" w:rsidRPr="006973FF">
        <w:rPr>
          <w:rFonts w:eastAsia="Calibri"/>
          <w:szCs w:val="24"/>
        </w:rPr>
        <w:t xml:space="preserve">11 years </w:t>
      </w:r>
      <w:r>
        <w:rPr>
          <w:rFonts w:eastAsia="Calibri"/>
          <w:szCs w:val="24"/>
        </w:rPr>
        <w:t xml:space="preserve">of </w:t>
      </w:r>
      <w:r w:rsidR="005001FC" w:rsidRPr="006973FF">
        <w:rPr>
          <w:rFonts w:eastAsia="Calibri"/>
          <w:szCs w:val="24"/>
        </w:rPr>
        <w:t>age group (</w:t>
      </w:r>
      <w:r>
        <w:rPr>
          <w:rFonts w:eastAsia="Calibri"/>
          <w:szCs w:val="24"/>
        </w:rPr>
        <w:t>such as seasonal flu vaccines).</w:t>
      </w:r>
    </w:p>
    <w:p w14:paraId="0AE20F06" w14:textId="77777777" w:rsidR="005001FC" w:rsidRPr="00530179" w:rsidRDefault="005001FC" w:rsidP="006973FF">
      <w:pPr>
        <w:pStyle w:val="ListBullet"/>
      </w:pPr>
      <w:r w:rsidRPr="00530179">
        <w:t xml:space="preserve">There are no data available on the interchangeability of </w:t>
      </w:r>
      <w:proofErr w:type="spellStart"/>
      <w:r w:rsidR="006973FF" w:rsidRPr="00530179">
        <w:t>Comirnaty</w:t>
      </w:r>
      <w:proofErr w:type="spellEnd"/>
      <w:r w:rsidR="006973FF" w:rsidRPr="00530179">
        <w:t xml:space="preserve"> </w:t>
      </w:r>
      <w:r w:rsidR="006973FF">
        <w:t>with other COVID</w:t>
      </w:r>
      <w:r w:rsidR="006973FF">
        <w:noBreakHyphen/>
      </w:r>
      <w:r w:rsidRPr="00530179">
        <w:t>19 vaccines to complete the vaccination series.</w:t>
      </w:r>
    </w:p>
    <w:p w14:paraId="1D67034B" w14:textId="77777777" w:rsidR="005001FC" w:rsidRPr="00530179" w:rsidRDefault="005001FC" w:rsidP="006973FF">
      <w:pPr>
        <w:pStyle w:val="ListBullet"/>
      </w:pPr>
      <w:r w:rsidRPr="00530179">
        <w:t xml:space="preserve">The sponsor has </w:t>
      </w:r>
      <w:r w:rsidRPr="006973FF">
        <w:t>provided</w:t>
      </w:r>
      <w:r w:rsidRPr="00530179">
        <w:t xml:space="preserve"> neutralisation assay data for Delta strain. However, there are no data provided by the sponsor regarding vaccine efficacy against new Variants of concern (VOC). It would be of interest to know the sequences of virus isolated for the 19 patients in the trial group and to compare the isolated strains with the currently circulating strains.</w:t>
      </w:r>
    </w:p>
    <w:p w14:paraId="13F60ADF" w14:textId="77777777" w:rsidR="005001FC" w:rsidRPr="00530179" w:rsidRDefault="005001FC" w:rsidP="006973FF">
      <w:pPr>
        <w:pStyle w:val="ListBullet"/>
      </w:pPr>
      <w:r w:rsidRPr="00530179">
        <w:t xml:space="preserve">Duration of protection of </w:t>
      </w:r>
      <w:proofErr w:type="spellStart"/>
      <w:r w:rsidRPr="00530179">
        <w:t>Comirnaty</w:t>
      </w:r>
      <w:proofErr w:type="spellEnd"/>
      <w:r w:rsidRPr="00530179">
        <w:t xml:space="preserve"> is uncertain due to limited follow-up duration (drop in antibody titres observed in the adolescent and </w:t>
      </w:r>
      <w:r w:rsidR="006973FF">
        <w:t>adult trials, by Month 6, post</w:t>
      </w:r>
      <w:r w:rsidR="006973FF">
        <w:noBreakHyphen/>
        <w:t>D</w:t>
      </w:r>
      <w:r w:rsidRPr="00530179">
        <w:t>ose 2).</w:t>
      </w:r>
    </w:p>
    <w:p w14:paraId="610BD072" w14:textId="77777777" w:rsidR="005001FC" w:rsidRPr="00530179" w:rsidRDefault="005001FC" w:rsidP="006973FF">
      <w:pPr>
        <w:pStyle w:val="ListBullet"/>
      </w:pPr>
      <w:r w:rsidRPr="00530179">
        <w:t>Lack of immunogenicity and safety data in immunocompromised patients or children with background autoimmune disease.</w:t>
      </w:r>
    </w:p>
    <w:p w14:paraId="1D48918A" w14:textId="57482D15" w:rsidR="005001FC" w:rsidRPr="005001FC" w:rsidRDefault="005001FC" w:rsidP="005001FC">
      <w:pPr>
        <w:pStyle w:val="ListBullet"/>
      </w:pPr>
      <w:r w:rsidRPr="006973FF">
        <w:t xml:space="preserve">Short-term safety data may not provide information on rare </w:t>
      </w:r>
      <w:r w:rsidR="006973FF">
        <w:t>adverse events, risk of v</w:t>
      </w:r>
      <w:r w:rsidRPr="006973FF">
        <w:t>accine-associa</w:t>
      </w:r>
      <w:r w:rsidR="006973FF">
        <w:t>ted enhanced disease (VAED) or v</w:t>
      </w:r>
      <w:r w:rsidRPr="006973FF">
        <w:t xml:space="preserve">accine-associated enhanced respiratory disease (VAERD) as the antibodies wane over time, and there may be </w:t>
      </w:r>
      <w:r w:rsidR="006973FF">
        <w:t>adverse events</w:t>
      </w:r>
      <w:r w:rsidRPr="006973FF">
        <w:t xml:space="preserve"> that have a long latency period including </w:t>
      </w:r>
      <w:r w:rsidR="006973FF">
        <w:t>adverse events</w:t>
      </w:r>
      <w:r w:rsidRPr="006973FF">
        <w:t xml:space="preserve"> of special </w:t>
      </w:r>
      <w:r w:rsidRPr="006973FF">
        <w:lastRenderedPageBreak/>
        <w:t xml:space="preserve">interest. Rare </w:t>
      </w:r>
      <w:r w:rsidR="006973FF">
        <w:t>adverse events</w:t>
      </w:r>
      <w:r w:rsidRPr="006973FF">
        <w:t xml:space="preserve"> in</w:t>
      </w:r>
      <w:r w:rsidR="006973FF">
        <w:t xml:space="preserve"> those between 5 to </w:t>
      </w:r>
      <w:r w:rsidRPr="006973FF">
        <w:t xml:space="preserve">11 years </w:t>
      </w:r>
      <w:r w:rsidR="00201E15">
        <w:t xml:space="preserve">of </w:t>
      </w:r>
      <w:r w:rsidRPr="006973FF">
        <w:t>age, like febrile seizures may not be detected in small safety group</w:t>
      </w:r>
      <w:r w:rsidR="00201E15">
        <w:t>s</w:t>
      </w:r>
      <w:r w:rsidRPr="006973FF">
        <w:t>.</w:t>
      </w:r>
    </w:p>
    <w:p w14:paraId="040412BC" w14:textId="77777777" w:rsidR="00D23139" w:rsidRDefault="00D23139" w:rsidP="00D23139">
      <w:pPr>
        <w:pStyle w:val="Heading4"/>
      </w:pPr>
      <w:r w:rsidRPr="00D23139">
        <w:t>Proposed action</w:t>
      </w:r>
    </w:p>
    <w:p w14:paraId="2B4F613B" w14:textId="77777777" w:rsidR="00B82A0B" w:rsidRPr="00530179" w:rsidRDefault="00B82A0B" w:rsidP="00B82A0B">
      <w:r w:rsidRPr="00530179">
        <w:t>Considering the unmet public health need and noting the high short term efficacy with acceptable safety demons</w:t>
      </w:r>
      <w:r>
        <w:t>trated in the submitted study (Phase I and Phase II/III), the D</w:t>
      </w:r>
      <w:r w:rsidRPr="00530179">
        <w:t xml:space="preserve">elegate is of the view that provisional approval of </w:t>
      </w:r>
      <w:proofErr w:type="spellStart"/>
      <w:r w:rsidRPr="00530179">
        <w:t>Comirnaty</w:t>
      </w:r>
      <w:proofErr w:type="spellEnd"/>
      <w:r w:rsidRPr="00530179">
        <w:t xml:space="preserve"> (</w:t>
      </w:r>
      <w:proofErr w:type="spellStart"/>
      <w:r w:rsidRPr="00530179">
        <w:t>tozinameran</w:t>
      </w:r>
      <w:proofErr w:type="spellEnd"/>
      <w:r w:rsidRPr="00530179">
        <w:t xml:space="preserve">) is appropriate for the use of this vaccine in children </w:t>
      </w:r>
      <w:r>
        <w:t xml:space="preserve">between 5 and </w:t>
      </w:r>
      <w:r w:rsidRPr="00530179">
        <w:t xml:space="preserve">11 years of age, to prevent COVID-19 disease caused by SARS-CoV-2 virus. The pivotal study is ongoing for a total of 24 months. The longer-term efficacy and safety data are to be submitted to the TGA for evaluation before a full </w:t>
      </w:r>
      <w:r>
        <w:t>registration can be considered.</w:t>
      </w:r>
    </w:p>
    <w:p w14:paraId="1F51F159" w14:textId="77777777" w:rsidR="00B82A0B" w:rsidRPr="00530179" w:rsidRDefault="00B82A0B" w:rsidP="00B82A0B">
      <w:r>
        <w:t xml:space="preserve">The </w:t>
      </w:r>
      <w:r w:rsidRPr="00B82A0B">
        <w:t>Delegate</w:t>
      </w:r>
      <w:r w:rsidRPr="00530179">
        <w:t xml:space="preserve"> proposes the provisional approval of this vaccine for following therapeutic indication:</w:t>
      </w:r>
    </w:p>
    <w:p w14:paraId="25A49FCD" w14:textId="77777777" w:rsidR="00B82A0B" w:rsidRPr="00B82A0B" w:rsidRDefault="00B82A0B" w:rsidP="00B82A0B">
      <w:pPr>
        <w:ind w:left="720"/>
        <w:rPr>
          <w:i/>
        </w:rPr>
      </w:pPr>
      <w:proofErr w:type="spellStart"/>
      <w:r w:rsidRPr="00B82A0B">
        <w:rPr>
          <w:i/>
        </w:rPr>
        <w:t>Comirnaty</w:t>
      </w:r>
      <w:proofErr w:type="spellEnd"/>
      <w:r w:rsidRPr="00B82A0B">
        <w:rPr>
          <w:i/>
        </w:rPr>
        <w:t xml:space="preserve"> is indicated for active immunisation to </w:t>
      </w:r>
      <w:r>
        <w:rPr>
          <w:i/>
        </w:rPr>
        <w:t>prevent COVID-19 caused by SARS</w:t>
      </w:r>
      <w:r>
        <w:rPr>
          <w:i/>
        </w:rPr>
        <w:noBreakHyphen/>
        <w:t>CoV-2 in individuals 5 y</w:t>
      </w:r>
      <w:r w:rsidRPr="00B82A0B">
        <w:rPr>
          <w:i/>
        </w:rPr>
        <w:t>ears</w:t>
      </w:r>
      <w:r>
        <w:rPr>
          <w:i/>
        </w:rPr>
        <w:t xml:space="preserve"> of</w:t>
      </w:r>
      <w:r w:rsidRPr="00B82A0B">
        <w:rPr>
          <w:i/>
        </w:rPr>
        <w:t xml:space="preserve"> age and older.</w:t>
      </w:r>
    </w:p>
    <w:p w14:paraId="3793455A" w14:textId="77777777" w:rsidR="00B82A0B" w:rsidRPr="00B82A0B" w:rsidRDefault="00B82A0B" w:rsidP="00B82A0B">
      <w:pPr>
        <w:ind w:left="720"/>
        <w:rPr>
          <w:i/>
        </w:rPr>
      </w:pPr>
      <w:r w:rsidRPr="00B82A0B">
        <w:rPr>
          <w:i/>
        </w:rPr>
        <w:t>The use of this vaccine should be in accordance with official recommendations.</w:t>
      </w:r>
    </w:p>
    <w:p w14:paraId="27D86B48" w14:textId="77777777" w:rsidR="00B82A0B" w:rsidRPr="00B82A0B" w:rsidRDefault="00B82A0B" w:rsidP="00B82A0B">
      <w:pPr>
        <w:ind w:left="720"/>
      </w:pPr>
      <w:r w:rsidRPr="00B82A0B">
        <w:rPr>
          <w:i/>
        </w:rPr>
        <w:t xml:space="preserve">The decision has been made on the basis of </w:t>
      </w:r>
      <w:proofErr w:type="gramStart"/>
      <w:r w:rsidRPr="00B82A0B">
        <w:rPr>
          <w:i/>
        </w:rPr>
        <w:t>short term</w:t>
      </w:r>
      <w:proofErr w:type="gramEnd"/>
      <w:r w:rsidRPr="00B82A0B">
        <w:rPr>
          <w:i/>
        </w:rPr>
        <w:t xml:space="preserve"> efficacy and safety data. Continued approval depends on the evidence of </w:t>
      </w:r>
      <w:proofErr w:type="gramStart"/>
      <w:r w:rsidRPr="00B82A0B">
        <w:rPr>
          <w:i/>
        </w:rPr>
        <w:t>longer term</w:t>
      </w:r>
      <w:proofErr w:type="gramEnd"/>
      <w:r w:rsidRPr="00B82A0B">
        <w:rPr>
          <w:i/>
        </w:rPr>
        <w:t xml:space="preserve"> efficacy and safety from the ongoing and post-market assessment.</w:t>
      </w:r>
    </w:p>
    <w:p w14:paraId="34987DFA" w14:textId="77777777" w:rsidR="00456765" w:rsidRDefault="00B82A0B" w:rsidP="00B82A0B">
      <w:pPr>
        <w:jc w:val="both"/>
        <w:rPr>
          <w:rFonts w:cs="Calibri"/>
        </w:rPr>
      </w:pPr>
      <w:r w:rsidRPr="00530179">
        <w:rPr>
          <w:rFonts w:cs="Calibri"/>
        </w:rPr>
        <w:t xml:space="preserve">The </w:t>
      </w:r>
      <w:r>
        <w:rPr>
          <w:rFonts w:cs="Calibri"/>
        </w:rPr>
        <w:t>Advisory Committee on Vaccines’ (</w:t>
      </w:r>
      <w:r>
        <w:rPr>
          <w:rFonts w:eastAsia="Times New Roman" w:cs="Arial"/>
          <w:lang w:val="en" w:eastAsia="en-AU"/>
        </w:rPr>
        <w:t>ACV)</w:t>
      </w:r>
      <w:r w:rsidRPr="00530179">
        <w:rPr>
          <w:rFonts w:eastAsia="Times New Roman" w:cs="Arial"/>
          <w:lang w:val="en" w:eastAsia="en-AU"/>
        </w:rPr>
        <w:t xml:space="preserve"> advice is requested for </w:t>
      </w:r>
      <w:proofErr w:type="gramStart"/>
      <w:r w:rsidRPr="00530179">
        <w:rPr>
          <w:rFonts w:eastAsia="Times New Roman" w:cs="Arial"/>
          <w:lang w:val="en" w:eastAsia="en-AU"/>
        </w:rPr>
        <w:t>a number of</w:t>
      </w:r>
      <w:proofErr w:type="gramEnd"/>
      <w:r w:rsidRPr="00530179">
        <w:rPr>
          <w:rFonts w:eastAsia="Times New Roman" w:cs="Arial"/>
          <w:lang w:val="en" w:eastAsia="en-AU"/>
        </w:rPr>
        <w:t xml:space="preserve"> questions including advice and any comments on</w:t>
      </w:r>
      <w:r>
        <w:rPr>
          <w:rFonts w:eastAsia="Times New Roman" w:cs="Arial"/>
          <w:lang w:val="en" w:eastAsia="en-AU"/>
        </w:rPr>
        <w:t xml:space="preserve"> the wording of the indication. </w:t>
      </w:r>
      <w:r w:rsidRPr="00530179">
        <w:rPr>
          <w:rFonts w:cs="Calibri"/>
        </w:rPr>
        <w:t>This Overview is submitted for the ACV advice. The final decision will be made following the ACV discussion.</w:t>
      </w:r>
    </w:p>
    <w:p w14:paraId="5925AAF9" w14:textId="77777777" w:rsidR="00876A38" w:rsidRDefault="00876A38" w:rsidP="00876A38">
      <w:pPr>
        <w:pStyle w:val="Heading5"/>
        <w:rPr>
          <w:lang w:val="en" w:eastAsia="en-AU"/>
        </w:rPr>
      </w:pPr>
      <w:r>
        <w:rPr>
          <w:lang w:val="en" w:eastAsia="en-AU"/>
        </w:rPr>
        <w:t>Proposed conditions of registration</w:t>
      </w:r>
    </w:p>
    <w:p w14:paraId="151CF36B" w14:textId="7F03A072" w:rsidR="00876A38" w:rsidRPr="007C293F" w:rsidRDefault="00876A38" w:rsidP="007C293F">
      <w:r w:rsidRPr="007C293F">
        <w:t>Terms and condition</w:t>
      </w:r>
      <w:r w:rsidR="007C293F">
        <w:t>s were imposed upon the authoris</w:t>
      </w:r>
      <w:r w:rsidRPr="007C293F">
        <w:t xml:space="preserve">ation with respect to quality, clinical, labelling, and </w:t>
      </w:r>
      <w:r w:rsidR="009853CD">
        <w:t>RMP</w:t>
      </w:r>
      <w:r w:rsidRPr="007C293F">
        <w:t xml:space="preserve"> requirements:</w:t>
      </w:r>
    </w:p>
    <w:p w14:paraId="12B30500" w14:textId="77777777" w:rsidR="00876A38" w:rsidRPr="00530179" w:rsidRDefault="007C293F" w:rsidP="007C293F">
      <w:pPr>
        <w:pStyle w:val="Heading6"/>
        <w:rPr>
          <w:lang w:eastAsia="en-AU"/>
        </w:rPr>
      </w:pPr>
      <w:r>
        <w:rPr>
          <w:lang w:eastAsia="en-AU"/>
        </w:rPr>
        <w:t>Clinical conditions</w:t>
      </w:r>
    </w:p>
    <w:p w14:paraId="78D37C28" w14:textId="77777777" w:rsidR="00876A38" w:rsidRPr="007C293F" w:rsidRDefault="00876A38" w:rsidP="007C293F">
      <w:r w:rsidRPr="007C293F">
        <w:t>The following reports/data will have to be submitted before a definitive authorization can be considered:</w:t>
      </w:r>
    </w:p>
    <w:p w14:paraId="644EFC58" w14:textId="77777777" w:rsidR="00876A38" w:rsidRPr="007C293F" w:rsidRDefault="00876A38" w:rsidP="007C293F">
      <w:pPr>
        <w:pStyle w:val="ListBullet"/>
      </w:pPr>
      <w:r w:rsidRPr="007C293F">
        <w:t>Submit s</w:t>
      </w:r>
      <w:r w:rsidR="00205730">
        <w:t>afety analysis at 6 months post-Dose 2 from Phase I</w:t>
      </w:r>
      <w:r w:rsidRPr="007C293F">
        <w:t xml:space="preserve">, </w:t>
      </w:r>
      <w:r w:rsidR="00205730">
        <w:t xml:space="preserve">and Phase II/III of Study C4591007, </w:t>
      </w:r>
      <w:r w:rsidRPr="007C293F">
        <w:t>when the analysis is available.</w:t>
      </w:r>
    </w:p>
    <w:p w14:paraId="4533B8E0" w14:textId="77777777" w:rsidR="00876A38" w:rsidRPr="007C293F" w:rsidRDefault="00876A38" w:rsidP="007C293F">
      <w:pPr>
        <w:pStyle w:val="ListBullet"/>
      </w:pPr>
      <w:r w:rsidRPr="007C293F">
        <w:t xml:space="preserve">Submit the final clinical study report for Study C4591007 when ready. Please also submit the final report for this study with 24 months follow up duration when it became available. Please also submit final reports for </w:t>
      </w:r>
      <w:r w:rsidR="00205730">
        <w:t>safety expansion set (c</w:t>
      </w:r>
      <w:r w:rsidRPr="007C293F">
        <w:t>ohort 2) and the safety cohort for troponin I evaluation (as a marker of myocarditis).</w:t>
      </w:r>
    </w:p>
    <w:p w14:paraId="6C483B58" w14:textId="77777777" w:rsidR="00876A38" w:rsidRPr="007C293F" w:rsidRDefault="00876A38" w:rsidP="007C293F">
      <w:pPr>
        <w:pStyle w:val="ListBullet"/>
      </w:pPr>
      <w:r w:rsidRPr="007C293F">
        <w:t>Submit the immunogenicity data at 6 months for Study C4591007</w:t>
      </w:r>
    </w:p>
    <w:p w14:paraId="2A19943C" w14:textId="77777777" w:rsidR="00876A38" w:rsidRPr="007C293F" w:rsidRDefault="00876A38" w:rsidP="007C293F">
      <w:pPr>
        <w:pStyle w:val="ListBullet"/>
      </w:pPr>
      <w:r w:rsidRPr="007C293F">
        <w:t>If/</w:t>
      </w:r>
      <w:r w:rsidR="00205730">
        <w:t>w</w:t>
      </w:r>
      <w:r w:rsidRPr="007C293F">
        <w:t>hen available, please provide</w:t>
      </w:r>
      <w:r w:rsidR="00205730">
        <w:t xml:space="preserve"> (for the 5 to </w:t>
      </w:r>
      <w:r w:rsidRPr="007C293F">
        <w:t>11 years age group):</w:t>
      </w:r>
    </w:p>
    <w:p w14:paraId="32587F9D" w14:textId="77777777" w:rsidR="00876A38" w:rsidRPr="007C293F" w:rsidRDefault="00876A38" w:rsidP="00205730">
      <w:pPr>
        <w:pStyle w:val="ListBullet2"/>
      </w:pPr>
      <w:r w:rsidRPr="007C293F">
        <w:t>Further data relating to vaccine efficacy against asymptomatic disease, efficacy against SARS-CoV-2 transmission, vaccine efficacy in immunocompromised subjects, efficacy in subjects with autoimmune conditions, efficacy against variants of concern, and information relating to any planned post-market safety and effectiveness studies should be provided to the TGA to update the Product information.</w:t>
      </w:r>
    </w:p>
    <w:p w14:paraId="08247E42" w14:textId="77777777" w:rsidR="00876A38" w:rsidRPr="007C293F" w:rsidRDefault="00876A38" w:rsidP="007C293F">
      <w:pPr>
        <w:pStyle w:val="ListBullet"/>
      </w:pPr>
      <w:r w:rsidRPr="007C293F">
        <w:t>Please also provide Real world post market global/local efficacy data, when available.</w:t>
      </w:r>
    </w:p>
    <w:p w14:paraId="7B0C63BE" w14:textId="77777777" w:rsidR="00876A38" w:rsidRPr="00205730" w:rsidRDefault="00876A38" w:rsidP="00205730">
      <w:pPr>
        <w:pStyle w:val="ListBullet"/>
      </w:pPr>
      <w:r w:rsidRPr="007C293F">
        <w:t xml:space="preserve">Please provide the monthly post market safety summaries when available </w:t>
      </w:r>
      <w:r w:rsidR="00205730">
        <w:t>as soon as possible.</w:t>
      </w:r>
    </w:p>
    <w:p w14:paraId="255B71F3" w14:textId="77777777" w:rsidR="00876A38" w:rsidRPr="00530179" w:rsidRDefault="00205730" w:rsidP="00205730">
      <w:pPr>
        <w:pStyle w:val="Heading6"/>
        <w:rPr>
          <w:lang w:eastAsia="en-AU"/>
        </w:rPr>
      </w:pPr>
      <w:r>
        <w:rPr>
          <w:lang w:eastAsia="en-AU"/>
        </w:rPr>
        <w:lastRenderedPageBreak/>
        <w:t>RMP conditions</w:t>
      </w:r>
    </w:p>
    <w:p w14:paraId="402F4FEB" w14:textId="77777777" w:rsidR="00876A38" w:rsidRPr="00530179" w:rsidRDefault="00876A38" w:rsidP="00205730">
      <w:pPr>
        <w:rPr>
          <w:lang w:eastAsia="en-AU"/>
        </w:rPr>
      </w:pPr>
      <w:r w:rsidRPr="00530179">
        <w:rPr>
          <w:lang w:eastAsia="en-AU"/>
        </w:rPr>
        <w:t xml:space="preserve">The </w:t>
      </w:r>
      <w:proofErr w:type="spellStart"/>
      <w:r w:rsidRPr="00530179">
        <w:rPr>
          <w:lang w:eastAsia="en-AU"/>
        </w:rPr>
        <w:t>Comirnaty</w:t>
      </w:r>
      <w:proofErr w:type="spellEnd"/>
      <w:r w:rsidRPr="00530179">
        <w:rPr>
          <w:lang w:eastAsia="en-AU"/>
        </w:rPr>
        <w:t xml:space="preserve"> EU-Risk Management Plan (RMP) (version 3.0, dated 13 October 2021, da</w:t>
      </w:r>
      <w:r w:rsidR="00205730">
        <w:rPr>
          <w:lang w:eastAsia="en-AU"/>
        </w:rPr>
        <w:t>ta lock point 6 September 2021(</w:t>
      </w:r>
      <w:r w:rsidRPr="00530179">
        <w:rPr>
          <w:lang w:eastAsia="en-AU"/>
        </w:rPr>
        <w:t>Pfizer Clinical Database</w:t>
      </w:r>
      <w:r w:rsidR="00205730">
        <w:rPr>
          <w:lang w:eastAsia="en-AU"/>
        </w:rPr>
        <w:t>), 18 June 2021 (</w:t>
      </w:r>
      <w:r w:rsidRPr="00530179">
        <w:rPr>
          <w:lang w:eastAsia="en-AU"/>
        </w:rPr>
        <w:t>Pfizer Sa</w:t>
      </w:r>
      <w:r w:rsidR="00205730">
        <w:rPr>
          <w:lang w:eastAsia="en-AU"/>
        </w:rPr>
        <w:t>fety Database), with Australian-specific a</w:t>
      </w:r>
      <w:r w:rsidRPr="00530179">
        <w:rPr>
          <w:lang w:eastAsia="en-AU"/>
        </w:rPr>
        <w:t>nnex (version 0.4, dated 11 November 2021), included with submission PM-2021-05012-1-2, and any subsequent revisions, as agreed with the TGA will be implemented in Australia.</w:t>
      </w:r>
    </w:p>
    <w:p w14:paraId="7219BFA3" w14:textId="77777777" w:rsidR="00876A38" w:rsidRPr="00530179" w:rsidRDefault="00876A38" w:rsidP="00205730">
      <w:pPr>
        <w:rPr>
          <w:lang w:eastAsia="en-AU"/>
        </w:rPr>
      </w:pPr>
      <w:r w:rsidRPr="00530179">
        <w:rPr>
          <w:lang w:eastAsia="en-AU"/>
        </w:rPr>
        <w:t xml:space="preserve">An obligatory component of risk management plans is routine pharmacovigilance. Routine pharmacovigilance </w:t>
      </w:r>
      <w:r w:rsidRPr="00205730">
        <w:t>includes</w:t>
      </w:r>
      <w:r w:rsidRPr="00530179">
        <w:rPr>
          <w:lang w:eastAsia="en-AU"/>
        </w:rPr>
        <w:t xml:space="preserve"> the submission of periodic</w:t>
      </w:r>
      <w:r w:rsidR="00205730">
        <w:rPr>
          <w:lang w:eastAsia="en-AU"/>
        </w:rPr>
        <w:t xml:space="preserve"> safety update reports (PSURs).</w:t>
      </w:r>
    </w:p>
    <w:p w14:paraId="60D9C52D" w14:textId="77777777" w:rsidR="00876A38" w:rsidRPr="00530179" w:rsidRDefault="00876A38" w:rsidP="00205730">
      <w:pPr>
        <w:rPr>
          <w:lang w:eastAsia="en-AU"/>
        </w:rPr>
      </w:pPr>
      <w:r w:rsidRPr="00530179">
        <w:rPr>
          <w:lang w:eastAsia="en-AU"/>
        </w:rPr>
        <w:t xml:space="preserve">Unless agreed separately between the supplier who is the recipient of the approval </w:t>
      </w:r>
      <w:r w:rsidRPr="00205730">
        <w:t>and</w:t>
      </w:r>
      <w:r w:rsidRPr="00530179">
        <w:rPr>
          <w:lang w:eastAsia="en-AU"/>
        </w:rPr>
        <w:t xml:space="preserve">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w:t>
      </w:r>
      <w:r w:rsidR="00205730">
        <w:rPr>
          <w:lang w:eastAsia="en-AU"/>
        </w:rPr>
        <w:t>istration, whichever is longer.</w:t>
      </w:r>
    </w:p>
    <w:p w14:paraId="1D6E3E05" w14:textId="3C240239" w:rsidR="00876A38" w:rsidRPr="00530179" w:rsidRDefault="00876A38" w:rsidP="00205730">
      <w:pPr>
        <w:rPr>
          <w:lang w:eastAsia="en-AU"/>
        </w:rPr>
      </w:pPr>
      <w:r w:rsidRPr="00530179">
        <w:rPr>
          <w:lang w:eastAsia="en-AU"/>
        </w:rPr>
        <w:t xml:space="preserve">The </w:t>
      </w:r>
      <w:r w:rsidRPr="00205730">
        <w:t>reports</w:t>
      </w:r>
      <w:r w:rsidRPr="00530179">
        <w:rPr>
          <w:lang w:eastAsia="en-AU"/>
        </w:rPr>
        <w:t xml:space="preserve"> are to at least meet the requirements for </w:t>
      </w:r>
      <w:r w:rsidR="00201E15">
        <w:rPr>
          <w:lang w:eastAsia="en-AU"/>
        </w:rPr>
        <w:t>Periodic Safety Update Reports (</w:t>
      </w:r>
      <w:r w:rsidRPr="00530179">
        <w:rPr>
          <w:lang w:eastAsia="en-AU"/>
        </w:rPr>
        <w:t>PSUR</w:t>
      </w:r>
      <w:r w:rsidR="00201E15">
        <w:rPr>
          <w:lang w:eastAsia="en-AU"/>
        </w:rPr>
        <w:t>)</w:t>
      </w:r>
      <w:r w:rsidRPr="00530179">
        <w:rPr>
          <w:lang w:eastAsia="en-AU"/>
        </w:rPr>
        <w:t xml:space="preserve">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94E0429" w14:textId="77777777" w:rsidR="00876A38" w:rsidRPr="00205730" w:rsidRDefault="00876A38" w:rsidP="00205730">
      <w:r w:rsidRPr="00205730">
        <w:t>Additional to the routine submission of the routine PSURs, expedited monthly safety summary reports (including safety data for patients in Australia) are to be provided until otherwise specified by the TGA.</w:t>
      </w:r>
    </w:p>
    <w:p w14:paraId="3102512B" w14:textId="77777777" w:rsidR="00876A38" w:rsidRPr="00205730" w:rsidRDefault="00876A38" w:rsidP="00205730">
      <w:proofErr w:type="spellStart"/>
      <w:r w:rsidRPr="00205730">
        <w:t>Comirnaty</w:t>
      </w:r>
      <w:proofErr w:type="spellEnd"/>
      <w:r w:rsidRPr="00205730">
        <w:t xml:space="preserve"> is to be included in the Black Triangle Scheme. The PI and CMI for </w:t>
      </w:r>
      <w:proofErr w:type="spellStart"/>
      <w:r w:rsidRPr="00205730">
        <w:t>Comirnaty</w:t>
      </w:r>
      <w:proofErr w:type="spellEnd"/>
      <w:r w:rsidRPr="00205730">
        <w:t xml:space="preserve"> must include the black triangle symbol and mandatory accompanying text for the products entire period of provisional registration.</w:t>
      </w:r>
    </w:p>
    <w:p w14:paraId="40F0A1E8" w14:textId="77777777" w:rsidR="00876A38" w:rsidRDefault="004C35A3" w:rsidP="00205730">
      <w:pPr>
        <w:pStyle w:val="Heading6"/>
        <w:rPr>
          <w:lang w:eastAsia="en-AU"/>
        </w:rPr>
      </w:pPr>
      <w:r>
        <w:rPr>
          <w:lang w:eastAsia="en-AU"/>
        </w:rPr>
        <w:t>Quality conditions</w:t>
      </w:r>
    </w:p>
    <w:p w14:paraId="6A801F77" w14:textId="7F870CF5" w:rsidR="003C188D" w:rsidRPr="003C188D" w:rsidRDefault="009853CD" w:rsidP="003C188D">
      <w:pPr>
        <w:rPr>
          <w:lang w:eastAsia="en-AU"/>
        </w:rPr>
      </w:pPr>
      <w:r>
        <w:rPr>
          <w:lang w:eastAsia="en-AU"/>
        </w:rPr>
        <w:t>All quality conditions are satisfied.</w:t>
      </w:r>
    </w:p>
    <w:p w14:paraId="5043FE6F" w14:textId="77777777" w:rsidR="007D53B6" w:rsidRDefault="004D1559" w:rsidP="007D53B6">
      <w:pPr>
        <w:pStyle w:val="Heading4"/>
      </w:pPr>
      <w:r>
        <w:t>Question</w:t>
      </w:r>
      <w:r w:rsidR="007D53B6">
        <w:t xml:space="preserve"> for </w:t>
      </w:r>
      <w:r w:rsidR="00744121">
        <w:t xml:space="preserve">the </w:t>
      </w:r>
      <w:r w:rsidR="007D53B6">
        <w:t>sponsor</w:t>
      </w:r>
    </w:p>
    <w:p w14:paraId="5B84B8DF" w14:textId="77777777" w:rsidR="00744121" w:rsidRDefault="00744121" w:rsidP="00744121">
      <w:r>
        <w:t xml:space="preserve">The sponsor provided the following response to </w:t>
      </w:r>
      <w:r w:rsidR="004D1559">
        <w:t>a question</w:t>
      </w:r>
      <w:r>
        <w:t xml:space="preserve"> from the Delegate.</w:t>
      </w:r>
    </w:p>
    <w:p w14:paraId="0DB526F8" w14:textId="77777777" w:rsidR="004D1559" w:rsidRDefault="004D1559" w:rsidP="00744121">
      <w:pPr>
        <w:rPr>
          <w:b/>
          <w:i/>
        </w:rPr>
      </w:pPr>
      <w:r w:rsidRPr="004D1559">
        <w:rPr>
          <w:b/>
          <w:i/>
        </w:rPr>
        <w:t>Question: If available, please provide sequences of virus isolated for the 19 SARS-CoV-2 positive subjects in the trial group.</w:t>
      </w:r>
    </w:p>
    <w:p w14:paraId="79A4B768" w14:textId="77777777" w:rsidR="004D1559" w:rsidRPr="004D1559" w:rsidRDefault="004D1559" w:rsidP="004D1559">
      <w:r>
        <w:t xml:space="preserve">Sponsor’s response: </w:t>
      </w:r>
      <w:r w:rsidRPr="004D1559">
        <w:t>The sequences of virus for these subjects are not currently available.</w:t>
      </w:r>
    </w:p>
    <w:p w14:paraId="3F1CFD47" w14:textId="1EF59FE3" w:rsidR="008E7846" w:rsidRDefault="008E7846" w:rsidP="007D53B6">
      <w:pPr>
        <w:pStyle w:val="Heading4"/>
      </w:pPr>
      <w:r>
        <w:t xml:space="preserve">Advisory Committee </w:t>
      </w:r>
      <w:r w:rsidR="007D53B6">
        <w:t>c</w:t>
      </w:r>
      <w:r>
        <w:t>onsiderations</w:t>
      </w:r>
    </w:p>
    <w:p w14:paraId="562D673B" w14:textId="5003820F" w:rsidR="00744121" w:rsidRDefault="00744121" w:rsidP="00744121">
      <w:pPr>
        <w:rPr>
          <w:bCs/>
        </w:rPr>
      </w:pPr>
      <w:bookmarkStart w:id="73" w:name="_Toc247691532"/>
      <w:bookmarkStart w:id="74" w:name="_Toc314842516"/>
      <w:bookmarkEnd w:id="34"/>
      <w:bookmarkEnd w:id="70"/>
      <w:bookmarkEnd w:id="71"/>
      <w:r w:rsidRPr="00456765">
        <w:rPr>
          <w:bCs/>
        </w:rPr>
        <w:t>The Advisory Committe</w:t>
      </w:r>
      <w:r w:rsidR="004C35A3">
        <w:rPr>
          <w:bCs/>
        </w:rPr>
        <w:t>e on Vaccines</w:t>
      </w:r>
      <w:r w:rsidR="000A41FE">
        <w:rPr>
          <w:rStyle w:val="FootnoteReference"/>
          <w:bCs/>
        </w:rPr>
        <w:footnoteReference w:id="51"/>
      </w:r>
      <w:r w:rsidR="004C35A3">
        <w:rPr>
          <w:bCs/>
        </w:rPr>
        <w:t xml:space="preserve"> (ACV</w:t>
      </w:r>
      <w:r w:rsidRPr="00456765">
        <w:rPr>
          <w:bCs/>
        </w:rPr>
        <w:t>), having considered the evaluations and the Delegate’s overview, as well as the sponsor’s response to these documents, advised the following</w:t>
      </w:r>
      <w:r>
        <w:rPr>
          <w:bCs/>
        </w:rPr>
        <w:t>.</w:t>
      </w:r>
    </w:p>
    <w:p w14:paraId="26DE257E" w14:textId="77777777" w:rsidR="00744121" w:rsidRDefault="00744121" w:rsidP="00201E15">
      <w:pPr>
        <w:pStyle w:val="Heading5"/>
      </w:pPr>
      <w:r>
        <w:t>Specific advice to the Delegate</w:t>
      </w:r>
    </w:p>
    <w:p w14:paraId="6CAA21FB" w14:textId="4832A852" w:rsidR="001D1926" w:rsidRPr="001D1926" w:rsidRDefault="001D1926" w:rsidP="004051DC">
      <w:pPr>
        <w:pStyle w:val="Numberbullet0"/>
        <w:keepNext/>
        <w:numPr>
          <w:ilvl w:val="0"/>
          <w:numId w:val="12"/>
        </w:numPr>
        <w:rPr>
          <w:b/>
        </w:rPr>
      </w:pPr>
      <w:r w:rsidRPr="001D1926">
        <w:rPr>
          <w:b/>
        </w:rPr>
        <w:t xml:space="preserve">Based on the evidence at this point in time, does </w:t>
      </w:r>
      <w:r>
        <w:rPr>
          <w:b/>
        </w:rPr>
        <w:t xml:space="preserve">the </w:t>
      </w:r>
      <w:r w:rsidRPr="001D1926">
        <w:rPr>
          <w:b/>
        </w:rPr>
        <w:t>ACV consider that there is a favourable benefit-risk balance for t</w:t>
      </w:r>
      <w:r>
        <w:rPr>
          <w:b/>
        </w:rPr>
        <w:t xml:space="preserve">he use of this vaccine in the 5 to </w:t>
      </w:r>
      <w:r w:rsidRPr="001D1926">
        <w:rPr>
          <w:b/>
        </w:rPr>
        <w:t>11 years</w:t>
      </w:r>
      <w:r>
        <w:rPr>
          <w:b/>
        </w:rPr>
        <w:t xml:space="preserve"> of </w:t>
      </w:r>
      <w:r>
        <w:rPr>
          <w:b/>
        </w:rPr>
        <w:lastRenderedPageBreak/>
        <w:t>age</w:t>
      </w:r>
      <w:r w:rsidRPr="001D1926">
        <w:rPr>
          <w:b/>
        </w:rPr>
        <w:t xml:space="preserve"> population and the submitted data has satisfied the regulatory requirement for the extension of provisional registration to </w:t>
      </w:r>
      <w:r>
        <w:rPr>
          <w:b/>
        </w:rPr>
        <w:t xml:space="preserve">approve the </w:t>
      </w:r>
      <w:proofErr w:type="spellStart"/>
      <w:r w:rsidRPr="001D1926">
        <w:rPr>
          <w:b/>
        </w:rPr>
        <w:t>Comirnaty</w:t>
      </w:r>
      <w:proofErr w:type="spellEnd"/>
      <w:r w:rsidRPr="001D1926">
        <w:rPr>
          <w:b/>
        </w:rPr>
        <w:t xml:space="preserve"> (</w:t>
      </w:r>
      <w:proofErr w:type="spellStart"/>
      <w:r w:rsidRPr="001D1926">
        <w:rPr>
          <w:b/>
        </w:rPr>
        <w:t>tozinameran</w:t>
      </w:r>
      <w:proofErr w:type="spellEnd"/>
      <w:r w:rsidRPr="001D1926">
        <w:rPr>
          <w:b/>
        </w:rPr>
        <w:t>)</w:t>
      </w:r>
      <w:r>
        <w:rPr>
          <w:b/>
        </w:rPr>
        <w:t xml:space="preserve"> COVID-19 Vaccine</w:t>
      </w:r>
      <w:r w:rsidRPr="001D1926">
        <w:rPr>
          <w:b/>
        </w:rPr>
        <w:t xml:space="preserve"> in this age group? Especially in view of the absence of a confirmed immunogenicity correlate of protection and only </w:t>
      </w:r>
      <w:proofErr w:type="gramStart"/>
      <w:r w:rsidRPr="001D1926">
        <w:rPr>
          <w:b/>
        </w:rPr>
        <w:t>short term</w:t>
      </w:r>
      <w:proofErr w:type="gramEnd"/>
      <w:r w:rsidRPr="001D1926">
        <w:rPr>
          <w:b/>
        </w:rPr>
        <w:t xml:space="preserve"> safety data? </w:t>
      </w:r>
    </w:p>
    <w:p w14:paraId="55E691D8" w14:textId="31FFAA5F" w:rsidR="001D1926" w:rsidRPr="00317100" w:rsidRDefault="001D1926" w:rsidP="00317100">
      <w:r w:rsidRPr="00317100">
        <w:t xml:space="preserve">The ACV agreed there is favourable benefit-risk balance in the 5 to </w:t>
      </w:r>
      <w:proofErr w:type="gramStart"/>
      <w:r w:rsidRPr="00317100">
        <w:t>11 year old</w:t>
      </w:r>
      <w:proofErr w:type="gramEnd"/>
      <w:r w:rsidRPr="00317100">
        <w:t xml:space="preserve"> age group. The ACV noted that there are likely to be both direct and indirect benefits to this age group and the broader community associated with</w:t>
      </w:r>
      <w:r w:rsidR="00317100">
        <w:t xml:space="preserve"> vaccination of this age group.</w:t>
      </w:r>
    </w:p>
    <w:p w14:paraId="0975E875" w14:textId="75D4D332" w:rsidR="001D1926" w:rsidRPr="00317100" w:rsidRDefault="001D1926" w:rsidP="00317100">
      <w:r w:rsidRPr="00317100">
        <w:t>The ACV advised that the available evidence, that demonstrated immunogenicity and efficacy against infection, supports use in the populati</w:t>
      </w:r>
      <w:r w:rsidR="00317100">
        <w:t xml:space="preserve">on aged 5 to </w:t>
      </w:r>
      <w:r w:rsidRPr="00317100">
        <w:t>11 years. The ACV commented there is an observed association between high levels of neutralising antibodies and efficacy although an immunological correlate of protec</w:t>
      </w:r>
      <w:r w:rsidR="00317100">
        <w:t>tion is yet to be well defined.</w:t>
      </w:r>
    </w:p>
    <w:p w14:paraId="33510B32" w14:textId="52E3EC22" w:rsidR="00744121" w:rsidRDefault="001D1926" w:rsidP="001D1926">
      <w:r>
        <w:t>Immunogenicity against the Delta strain was considered by the ACV, and although slightly diminished compared to the original strain, there still appeared to be significant neutralisation antibody activity within this small sub</w:t>
      </w:r>
      <w:r w:rsidR="00317100">
        <w:t>set of 34 participants. Vaccine</w:t>
      </w:r>
      <w:r w:rsidR="00317100">
        <w:noBreakHyphen/>
      </w:r>
      <w:r>
        <w:t>induced immunity against new variants, such as the recently reported Omicron variant, is not yet known.</w:t>
      </w:r>
    </w:p>
    <w:p w14:paraId="4B4D1BAE" w14:textId="1F852EE4" w:rsidR="00317100" w:rsidRPr="00317100" w:rsidRDefault="00317100" w:rsidP="00317100">
      <w:pPr>
        <w:pStyle w:val="Numberbullet0"/>
        <w:rPr>
          <w:b/>
        </w:rPr>
      </w:pPr>
      <w:r w:rsidRPr="00317100">
        <w:rPr>
          <w:b/>
        </w:rPr>
        <w:t>Can the ACV comment on overall Safety in this age group? Please also advise on safety in children, especially in view of the pharmacovigilance reports of myocarditis and pericarditis in adolescents and young adults.</w:t>
      </w:r>
    </w:p>
    <w:p w14:paraId="682BD0BA" w14:textId="371486C3" w:rsidR="00317100" w:rsidRPr="00317100" w:rsidRDefault="00317100" w:rsidP="00317100">
      <w:r w:rsidRPr="00317100">
        <w:t xml:space="preserve">The ACV considered both the clinical trial data and preliminary post-market safety experience in the 5 to </w:t>
      </w:r>
      <w:proofErr w:type="gramStart"/>
      <w:r w:rsidRPr="00317100">
        <w:t>11 year</w:t>
      </w:r>
      <w:proofErr w:type="gramEnd"/>
      <w:r w:rsidRPr="00317100">
        <w:t xml:space="preserve"> age group. The ACV commented that there are no safety signals of note in the </w:t>
      </w:r>
      <w:r>
        <w:t>USA</w:t>
      </w:r>
      <w:r w:rsidRPr="00317100">
        <w:t xml:space="preserve"> </w:t>
      </w:r>
      <w:proofErr w:type="gramStart"/>
      <w:r w:rsidRPr="00317100">
        <w:t>as yet</w:t>
      </w:r>
      <w:proofErr w:type="gramEnd"/>
      <w:r w:rsidRPr="00317100">
        <w:t>, however these data are predominantly based on available inform</w:t>
      </w:r>
      <w:r>
        <w:t>ation following the first dose.</w:t>
      </w:r>
    </w:p>
    <w:p w14:paraId="73F36CB3" w14:textId="28370C0C" w:rsidR="00317100" w:rsidRPr="00317100" w:rsidRDefault="00317100" w:rsidP="00317100">
      <w:r w:rsidRPr="00317100">
        <w:t>While the ACV advised the overall long-term safety data in children are relatively limited, they were of the view that there are sufficient data to make a positive recommendation, noting the considerable safety data in older age groups. The ACV agreed that the reacto</w:t>
      </w:r>
      <w:r>
        <w:t>genicity profile is acceptable.</w:t>
      </w:r>
    </w:p>
    <w:p w14:paraId="5C9DF5E7" w14:textId="1C67065D" w:rsidR="00317100" w:rsidRPr="00317100" w:rsidRDefault="00317100" w:rsidP="00317100">
      <w:r w:rsidRPr="00317100">
        <w:t xml:space="preserve">The ACV noted that there were low rates of </w:t>
      </w:r>
      <w:r>
        <w:t>any serious adverse events</w:t>
      </w:r>
      <w:r w:rsidRPr="00317100">
        <w:t>, a small number of withdra</w:t>
      </w:r>
      <w:r>
        <w:t>wals due to adverse events,</w:t>
      </w:r>
      <w:r w:rsidRPr="00317100">
        <w:t xml:space="preserve"> and no</w:t>
      </w:r>
      <w:r>
        <w:t xml:space="preserve"> deaths in the clinical trial.</w:t>
      </w:r>
    </w:p>
    <w:p w14:paraId="32EF87E5" w14:textId="41DB1413" w:rsidR="00317100" w:rsidRPr="00317100" w:rsidRDefault="00317100" w:rsidP="00317100">
      <w:r w:rsidRPr="00317100">
        <w:t>The ACV noted that no cases of myocarditis were reported in the clinical trial, although the safety population was not powered to detect cases at the rates reported in older age groups. The ACV advised that the risk of myocarditis in this age group is reasonably expected to be lower than in older age groups due to the lower dose. The ACV noted that the rate of vacci</w:t>
      </w:r>
      <w:r>
        <w:t xml:space="preserve">ne-associated myocarditis in 12 to </w:t>
      </w:r>
      <w:proofErr w:type="gramStart"/>
      <w:r w:rsidRPr="00317100">
        <w:t>15 year</w:t>
      </w:r>
      <w:proofErr w:type="gramEnd"/>
      <w:r w:rsidRPr="00317100">
        <w:t xml:space="preserve"> </w:t>
      </w:r>
      <w:proofErr w:type="spellStart"/>
      <w:r w:rsidRPr="00317100">
        <w:t>olds</w:t>
      </w:r>
      <w:proofErr w:type="spellEnd"/>
      <w:r w:rsidRPr="00317100">
        <w:t xml:space="preserve"> appe</w:t>
      </w:r>
      <w:r>
        <w:t xml:space="preserve">ars to be lower than that in 16 to </w:t>
      </w:r>
      <w:r w:rsidRPr="00317100">
        <w:t xml:space="preserve">17 year </w:t>
      </w:r>
      <w:proofErr w:type="spellStart"/>
      <w:r w:rsidRPr="00317100">
        <w:t>olds</w:t>
      </w:r>
      <w:proofErr w:type="spellEnd"/>
      <w:r w:rsidRPr="00317100">
        <w:t>. It was also noted that the background rate of myocarditis</w:t>
      </w:r>
      <w:r>
        <w:t xml:space="preserve"> of any cause is lower in the 5 to </w:t>
      </w:r>
      <w:r w:rsidRPr="00317100">
        <w:t>11 year</w:t>
      </w:r>
      <w:r w:rsidR="009853CD">
        <w:t>s of</w:t>
      </w:r>
      <w:r w:rsidRPr="00317100">
        <w:t xml:space="preserve"> ag</w:t>
      </w:r>
      <w:r w:rsidR="006854F7">
        <w:t>e group than in older children.</w:t>
      </w:r>
    </w:p>
    <w:p w14:paraId="2425168B" w14:textId="5D944A72" w:rsidR="006854F7" w:rsidRPr="006854F7" w:rsidRDefault="00317100" w:rsidP="006854F7">
      <w:r w:rsidRPr="006854F7">
        <w:t>The ACV agreed that is important to monitor this potential rare but clinically important adverse event in the wider population. The ACV expressed significant interest in the</w:t>
      </w:r>
      <w:r w:rsidR="006854F7" w:rsidRPr="006854F7">
        <w:t xml:space="preserve"> anticipated provision by the sponsor of the troponin data from clinical trial participants, as this will assist with increasing the understanding of the </w:t>
      </w:r>
      <w:r w:rsidR="006854F7">
        <w:t>safety profile of this vaccine.</w:t>
      </w:r>
    </w:p>
    <w:p w14:paraId="3DDE9B67" w14:textId="4C60756D" w:rsidR="006854F7" w:rsidRPr="006854F7" w:rsidRDefault="006854F7" w:rsidP="006854F7">
      <w:r w:rsidRPr="006854F7">
        <w:t xml:space="preserve">The ACV discussed the incidence of lymphadenopathy, which was reported at 0.7% in the vaccine group and not reported in the placebo group. </w:t>
      </w:r>
      <w:r>
        <w:t xml:space="preserve">The </w:t>
      </w:r>
      <w:r w:rsidRPr="006854F7">
        <w:t>ACV noted that all cases were mild. The ACV agreed that is important to monitor this potential adverse</w:t>
      </w:r>
      <w:r>
        <w:t xml:space="preserve"> event in the wider population.</w:t>
      </w:r>
    </w:p>
    <w:p w14:paraId="1FFC8E25" w14:textId="5EAFA847" w:rsidR="006854F7" w:rsidRPr="006854F7" w:rsidRDefault="006854F7" w:rsidP="006854F7">
      <w:r w:rsidRPr="006854F7">
        <w:t>The ACV was reassured that further safety data is currently being collected as part of the safety expansion study consisting of 2379 participants. Additionally, data are accumulating from a variety of post-</w:t>
      </w:r>
      <w:r>
        <w:t>marketing surveillance systems.</w:t>
      </w:r>
    </w:p>
    <w:p w14:paraId="36E5DF1C" w14:textId="72C068C9" w:rsidR="006854F7" w:rsidRPr="006854F7" w:rsidRDefault="006854F7" w:rsidP="006854F7">
      <w:pPr>
        <w:pStyle w:val="Numberbullet0"/>
        <w:rPr>
          <w:b/>
        </w:rPr>
      </w:pPr>
      <w:r w:rsidRPr="006854F7">
        <w:rPr>
          <w:b/>
        </w:rPr>
        <w:lastRenderedPageBreak/>
        <w:t>Can the ACV comment on the proposed pharmacovigilance activities? Are any additional risk mitigation strategies required? Especially in view of the risk of febrile seizure in younge</w:t>
      </w:r>
      <w:r>
        <w:rPr>
          <w:b/>
        </w:rPr>
        <w:t xml:space="preserve">st of the proposed age group (5 to </w:t>
      </w:r>
      <w:r w:rsidRPr="006854F7">
        <w:rPr>
          <w:b/>
        </w:rPr>
        <w:t xml:space="preserve">6 years </w:t>
      </w:r>
      <w:r>
        <w:rPr>
          <w:b/>
        </w:rPr>
        <w:t>of age).</w:t>
      </w:r>
    </w:p>
    <w:p w14:paraId="26377985" w14:textId="1B80A6F2" w:rsidR="006854F7" w:rsidRPr="006854F7" w:rsidRDefault="006854F7" w:rsidP="006854F7">
      <w:r w:rsidRPr="006854F7">
        <w:t xml:space="preserve">The ACV reiterated the importance of post-market monitoring for all adverse events, particularly severe adverse events such as myocarditis and pericarditis. The ACV agreed that augmented capabilities for timely investigation, data collation and reporting is important as the program is rolled out to a broader population. This should include long term follow up of clinical outcomes for those who experience serious adverse events following immunisation. </w:t>
      </w:r>
    </w:p>
    <w:p w14:paraId="393D97C4" w14:textId="34AA31B4" w:rsidR="006854F7" w:rsidRPr="006854F7" w:rsidRDefault="006854F7" w:rsidP="006854F7">
      <w:r w:rsidRPr="006854F7">
        <w:t xml:space="preserve">The ACV did not express concern about the risk of febrile seizures in the proposed age group. The ACV noted the risk of febrile seizures is low in the proposed age range, however the risk of fever in select children with underlying medical conditions warrants monitoring. The ACV also noted that there were only rare reported febrile seizure events in US surveillance to date. Specific guidance should be provided to parents to ensure they are aware of potential adverse events following vaccination, what </w:t>
      </w:r>
      <w:proofErr w:type="gramStart"/>
      <w:r w:rsidRPr="006854F7">
        <w:t>signs</w:t>
      </w:r>
      <w:proofErr w:type="gramEnd"/>
      <w:r w:rsidRPr="006854F7">
        <w:t xml:space="preserve"> and symptoms t</w:t>
      </w:r>
      <w:r>
        <w:t>o look for, and how to respond.</w:t>
      </w:r>
    </w:p>
    <w:p w14:paraId="4B24321B" w14:textId="77777777" w:rsidR="006854F7" w:rsidRDefault="006854F7" w:rsidP="006854F7">
      <w:pPr>
        <w:pStyle w:val="Numberbullet0"/>
        <w:rPr>
          <w:b/>
        </w:rPr>
      </w:pPr>
      <w:r w:rsidRPr="006854F7">
        <w:rPr>
          <w:b/>
        </w:rPr>
        <w:t>Does ACV envisage any practical /clinical issues with use of new Tris/</w:t>
      </w:r>
      <w:r>
        <w:rPr>
          <w:b/>
        </w:rPr>
        <w:t xml:space="preserve">Sucrose buffer formulation in the 5 to </w:t>
      </w:r>
      <w:proofErr w:type="gramStart"/>
      <w:r>
        <w:rPr>
          <w:b/>
        </w:rPr>
        <w:t>11 year old</w:t>
      </w:r>
      <w:proofErr w:type="gramEnd"/>
      <w:r>
        <w:rPr>
          <w:b/>
        </w:rPr>
        <w:t xml:space="preserve"> population?</w:t>
      </w:r>
    </w:p>
    <w:p w14:paraId="0AF419BE" w14:textId="4C761987" w:rsidR="006854F7" w:rsidRPr="006854F7" w:rsidRDefault="006854F7" w:rsidP="006854F7">
      <w:pPr>
        <w:pStyle w:val="Numberbullet0"/>
        <w:numPr>
          <w:ilvl w:val="0"/>
          <w:numId w:val="0"/>
        </w:numPr>
        <w:ind w:left="425"/>
        <w:rPr>
          <w:b/>
        </w:rPr>
      </w:pPr>
      <w:r>
        <w:rPr>
          <w:b/>
        </w:rPr>
        <w:t>Of note, both Phase I and P</w:t>
      </w:r>
      <w:r w:rsidRPr="006854F7">
        <w:rPr>
          <w:b/>
        </w:rPr>
        <w:t>hase</w:t>
      </w:r>
      <w:r>
        <w:rPr>
          <w:b/>
        </w:rPr>
        <w:t xml:space="preserve"> II/III</w:t>
      </w:r>
      <w:r w:rsidRPr="006854F7">
        <w:rPr>
          <w:b/>
        </w:rPr>
        <w:t xml:space="preserve"> clinical trials were conducted using old </w:t>
      </w:r>
      <w:r w:rsidR="00201E15">
        <w:rPr>
          <w:b/>
        </w:rPr>
        <w:t>phosphate based saline</w:t>
      </w:r>
      <w:r w:rsidR="00201E15" w:rsidRPr="006854F7">
        <w:rPr>
          <w:b/>
        </w:rPr>
        <w:t xml:space="preserve"> </w:t>
      </w:r>
      <w:r w:rsidRPr="006854F7">
        <w:rPr>
          <w:b/>
        </w:rPr>
        <w:t>buffer formulation and the sponsor is proposing exclusive use of new Tris/sucro</w:t>
      </w:r>
      <w:r>
        <w:rPr>
          <w:b/>
        </w:rPr>
        <w:t xml:space="preserve">se buffer formulation for the 5 to </w:t>
      </w:r>
      <w:r w:rsidRPr="006854F7">
        <w:rPr>
          <w:b/>
        </w:rPr>
        <w:t xml:space="preserve">11 years </w:t>
      </w:r>
      <w:r>
        <w:rPr>
          <w:b/>
        </w:rPr>
        <w:t xml:space="preserve">of </w:t>
      </w:r>
      <w:r w:rsidRPr="006854F7">
        <w:rPr>
          <w:b/>
        </w:rPr>
        <w:t>age</w:t>
      </w:r>
      <w:r>
        <w:rPr>
          <w:b/>
        </w:rPr>
        <w:t xml:space="preserve"> group</w:t>
      </w:r>
      <w:r w:rsidRPr="006854F7">
        <w:rPr>
          <w:b/>
        </w:rPr>
        <w:t xml:space="preserve">. No clinical data is provided, comparing the two formulations. </w:t>
      </w:r>
    </w:p>
    <w:p w14:paraId="4053073A" w14:textId="69BE1B32" w:rsidR="006854F7" w:rsidRDefault="006854F7" w:rsidP="006854F7">
      <w:r>
        <w:t xml:space="preserve">The ACV noted the previous </w:t>
      </w:r>
      <w:r w:rsidR="00201E15">
        <w:t>phosphate based saline</w:t>
      </w:r>
      <w:r>
        <w:t xml:space="preserve"> buffered formulation (purple top) and the new Tris/sucrose buffer formulation for adults and children 12 years and older (grey top) and 5 to </w:t>
      </w:r>
      <w:proofErr w:type="gramStart"/>
      <w:r>
        <w:t>11 year</w:t>
      </w:r>
      <w:proofErr w:type="gramEnd"/>
      <w:r>
        <w:t xml:space="preserve"> paediatric group (orange top).</w:t>
      </w:r>
    </w:p>
    <w:p w14:paraId="4C4908B9" w14:textId="286A2E14" w:rsidR="006854F7" w:rsidRPr="006854F7" w:rsidRDefault="006854F7" w:rsidP="006854F7">
      <w:r w:rsidRPr="006854F7">
        <w:t>The ACV did not express any significant concerns with the lack of clinical data being provided to compare the two formulations. The ACV noted the positive benefits of the Tris/sucrose buffer formulation in relation to the extended fridge shelf life. The ACV noted that Tris buffers are widely used in other vaccines and this change in the buffer is not expected to have any safety implications; this may require specific communication to consume</w:t>
      </w:r>
      <w:r>
        <w:t>rs.</w:t>
      </w:r>
    </w:p>
    <w:p w14:paraId="28E07414" w14:textId="77777777" w:rsidR="006854F7" w:rsidRPr="006854F7" w:rsidRDefault="006854F7" w:rsidP="006854F7">
      <w:r w:rsidRPr="006854F7">
        <w:t xml:space="preserve">The ACV noted that confusion could occur as a result of multiple formulations of the same product being available concurrently and strongly emphasised the importance of having robust guidance, labelling, training, communication and a range of other strategies to clearly convey these changes to both providers and consumers. </w:t>
      </w:r>
    </w:p>
    <w:p w14:paraId="0CE6AFFE" w14:textId="45D1F90F" w:rsidR="00317100" w:rsidRPr="006854F7" w:rsidRDefault="006854F7" w:rsidP="006854F7">
      <w:r w:rsidRPr="006854F7">
        <w:t>The ACV highlighted that such risk mitigation strategies will be important to ensure safe program delivery.</w:t>
      </w:r>
    </w:p>
    <w:p w14:paraId="47274E63" w14:textId="65634B73" w:rsidR="00744121" w:rsidRDefault="00744121" w:rsidP="00744121">
      <w:pPr>
        <w:pStyle w:val="Heading5"/>
      </w:pPr>
      <w:r>
        <w:t>Conclusion</w:t>
      </w:r>
    </w:p>
    <w:p w14:paraId="64D856D1" w14:textId="6BEB52E8" w:rsidR="006854F7" w:rsidRPr="006854F7" w:rsidRDefault="006854F7" w:rsidP="006854F7">
      <w:r w:rsidRPr="006854F7">
        <w:t xml:space="preserve">The ACV considered </w:t>
      </w:r>
      <w:proofErr w:type="spellStart"/>
      <w:r w:rsidRPr="006854F7">
        <w:t>Comirnaty</w:t>
      </w:r>
      <w:proofErr w:type="spellEnd"/>
      <w:r w:rsidRPr="006854F7">
        <w:t xml:space="preserve"> to have an overall positive benefit-risk profile, and therefore supports provisio</w:t>
      </w:r>
      <w:r>
        <w:t>nal approval for the following:</w:t>
      </w:r>
    </w:p>
    <w:p w14:paraId="5A877E4B" w14:textId="4C159AFE" w:rsidR="006854F7" w:rsidRPr="006854F7" w:rsidRDefault="006854F7" w:rsidP="006854F7">
      <w:pPr>
        <w:ind w:left="720"/>
        <w:rPr>
          <w:i/>
        </w:rPr>
      </w:pPr>
      <w:proofErr w:type="spellStart"/>
      <w:r w:rsidRPr="006854F7">
        <w:rPr>
          <w:i/>
        </w:rPr>
        <w:t>Comirnaty</w:t>
      </w:r>
      <w:proofErr w:type="spellEnd"/>
      <w:r w:rsidRPr="006854F7">
        <w:rPr>
          <w:i/>
        </w:rPr>
        <w:t xml:space="preserve"> (</w:t>
      </w:r>
      <w:proofErr w:type="spellStart"/>
      <w:r w:rsidRPr="006854F7">
        <w:rPr>
          <w:i/>
        </w:rPr>
        <w:t>tozinameran</w:t>
      </w:r>
      <w:proofErr w:type="spellEnd"/>
      <w:r w:rsidRPr="006854F7">
        <w:rPr>
          <w:i/>
        </w:rPr>
        <w:t xml:space="preserve">) COVID-19 Vaccine has provisional approval </w:t>
      </w:r>
      <w:r>
        <w:rPr>
          <w:i/>
        </w:rPr>
        <w:t>for the indication below:</w:t>
      </w:r>
    </w:p>
    <w:p w14:paraId="1B04F271" w14:textId="77777777" w:rsidR="006854F7" w:rsidRPr="006854F7" w:rsidRDefault="006854F7" w:rsidP="006854F7">
      <w:pPr>
        <w:ind w:left="720"/>
        <w:rPr>
          <w:i/>
        </w:rPr>
      </w:pPr>
      <w:r w:rsidRPr="006854F7">
        <w:rPr>
          <w:i/>
        </w:rPr>
        <w:t xml:space="preserve">Active immunisation to prevent coronavirus disease 2019 (COVID-19) caused by SARS-CoV-2, in individuals 5 years of age and older. </w:t>
      </w:r>
    </w:p>
    <w:p w14:paraId="27D5A1CF" w14:textId="77777777" w:rsidR="006854F7" w:rsidRPr="006854F7" w:rsidRDefault="006854F7" w:rsidP="006854F7">
      <w:pPr>
        <w:ind w:left="720"/>
        <w:rPr>
          <w:i/>
        </w:rPr>
      </w:pPr>
      <w:r w:rsidRPr="006854F7">
        <w:rPr>
          <w:i/>
        </w:rPr>
        <w:t xml:space="preserve">The use of this vaccine should be in accordance with official recommendations. </w:t>
      </w:r>
    </w:p>
    <w:p w14:paraId="2D525FEF" w14:textId="49AD43FC" w:rsidR="006854F7" w:rsidRPr="006854F7" w:rsidRDefault="006854F7" w:rsidP="006854F7">
      <w:pPr>
        <w:ind w:left="720"/>
        <w:rPr>
          <w:i/>
        </w:rPr>
      </w:pPr>
      <w:r w:rsidRPr="006854F7">
        <w:rPr>
          <w:i/>
        </w:rPr>
        <w:t xml:space="preserve">The decision has been made on the basis of </w:t>
      </w:r>
      <w:proofErr w:type="gramStart"/>
      <w:r w:rsidRPr="006854F7">
        <w:rPr>
          <w:i/>
        </w:rPr>
        <w:t>short term</w:t>
      </w:r>
      <w:proofErr w:type="gramEnd"/>
      <w:r w:rsidRPr="006854F7">
        <w:rPr>
          <w:i/>
        </w:rPr>
        <w:t xml:space="preserve"> efficacy and safety data. Continued approval depends on the evidence of </w:t>
      </w:r>
      <w:proofErr w:type="gramStart"/>
      <w:r w:rsidRPr="006854F7">
        <w:rPr>
          <w:i/>
        </w:rPr>
        <w:t>longer term</w:t>
      </w:r>
      <w:proofErr w:type="gramEnd"/>
      <w:r w:rsidRPr="006854F7">
        <w:rPr>
          <w:i/>
        </w:rPr>
        <w:t xml:space="preserve"> efficacy and safety from ongoing clinical trials and post-market assessment.</w:t>
      </w:r>
    </w:p>
    <w:p w14:paraId="7E6A2EB0" w14:textId="77777777" w:rsidR="008E7846" w:rsidRPr="002E238E" w:rsidRDefault="008E7846" w:rsidP="008E7846">
      <w:pPr>
        <w:pStyle w:val="Heading3"/>
      </w:pPr>
      <w:bookmarkStart w:id="75" w:name="_Toc90280438"/>
      <w:r>
        <w:lastRenderedPageBreak/>
        <w:t>Outcome</w:t>
      </w:r>
      <w:bookmarkEnd w:id="73"/>
      <w:bookmarkEnd w:id="74"/>
      <w:bookmarkEnd w:id="75"/>
    </w:p>
    <w:p w14:paraId="4A8E0595" w14:textId="0D4E1615" w:rsidR="00744121" w:rsidRDefault="00744121" w:rsidP="00744121">
      <w:bookmarkStart w:id="76" w:name="_Toc247691533"/>
      <w:bookmarkStart w:id="77" w:name="_Toc314842517"/>
      <w:r>
        <w:t xml:space="preserve">Based on a review of quality, safety and efficacy, the TGA approved the registration of </w:t>
      </w:r>
      <w:proofErr w:type="spellStart"/>
      <w:r w:rsidR="00C52D98">
        <w:t>Comirnaty</w:t>
      </w:r>
      <w:proofErr w:type="spellEnd"/>
      <w:r w:rsidR="00C52D98">
        <w:t xml:space="preserve"> (</w:t>
      </w:r>
      <w:proofErr w:type="spellStart"/>
      <w:r w:rsidR="00C52D98">
        <w:t>t</w:t>
      </w:r>
      <w:r w:rsidR="00C52D98" w:rsidRPr="00C52D98">
        <w:t>ozinameran</w:t>
      </w:r>
      <w:proofErr w:type="spellEnd"/>
      <w:r w:rsidR="00C52D98" w:rsidRPr="00C52D98">
        <w:t xml:space="preserve"> [mRNA]) COVID-19 vaccine 30 micrograms/0.3 mL</w:t>
      </w:r>
      <w:r w:rsidR="00C52D98">
        <w:t xml:space="preserve"> </w:t>
      </w:r>
      <w:r w:rsidR="00C52D98" w:rsidRPr="00C52D98">
        <w:t>suspension for injection vial</w:t>
      </w:r>
      <w:r w:rsidR="00C52D98">
        <w:t xml:space="preserve"> as a major variation to add a new dose form (suspension for injection, vial) and change of formulation (change of excipients) </w:t>
      </w:r>
      <w:r>
        <w:t xml:space="preserve">indicated </w:t>
      </w:r>
      <w:r w:rsidR="00C52D98">
        <w:t>the following:</w:t>
      </w:r>
    </w:p>
    <w:p w14:paraId="2932DAAE" w14:textId="418989E2" w:rsidR="000A41FE" w:rsidRPr="000A41FE" w:rsidRDefault="00201E15" w:rsidP="000A41FE">
      <w:pPr>
        <w:pStyle w:val="ListBullet"/>
        <w:rPr>
          <w:i/>
          <w:iCs/>
          <w:lang w:eastAsia="ja-JP"/>
        </w:rPr>
      </w:pPr>
      <w:proofErr w:type="spellStart"/>
      <w:r w:rsidRPr="000A41FE">
        <w:rPr>
          <w:i/>
          <w:iCs/>
          <w:lang w:eastAsia="ja-JP"/>
        </w:rPr>
        <w:t>Comirnaty</w:t>
      </w:r>
      <w:proofErr w:type="spellEnd"/>
      <w:r w:rsidRPr="000A41FE">
        <w:rPr>
          <w:i/>
          <w:iCs/>
          <w:lang w:eastAsia="ja-JP"/>
        </w:rPr>
        <w:t xml:space="preserve"> (</w:t>
      </w:r>
      <w:proofErr w:type="spellStart"/>
      <w:r>
        <w:rPr>
          <w:i/>
          <w:iCs/>
          <w:lang w:eastAsia="ja-JP"/>
        </w:rPr>
        <w:t>t</w:t>
      </w:r>
      <w:r w:rsidRPr="000A41FE">
        <w:rPr>
          <w:i/>
          <w:iCs/>
          <w:lang w:eastAsia="ja-JP"/>
        </w:rPr>
        <w:t>ozinameran</w:t>
      </w:r>
      <w:proofErr w:type="spellEnd"/>
      <w:r w:rsidR="000A41FE" w:rsidRPr="000A41FE">
        <w:rPr>
          <w:i/>
          <w:iCs/>
          <w:lang w:eastAsia="ja-JP"/>
        </w:rPr>
        <w:t xml:space="preserve"> [mRNA]) COVID-19 </w:t>
      </w:r>
      <w:r w:rsidRPr="000A41FE">
        <w:rPr>
          <w:i/>
          <w:iCs/>
          <w:lang w:eastAsia="ja-JP"/>
        </w:rPr>
        <w:t>vaccine</w:t>
      </w:r>
      <w:r w:rsidR="000A41FE" w:rsidRPr="000A41FE">
        <w:rPr>
          <w:i/>
          <w:iCs/>
          <w:lang w:eastAsia="ja-JP"/>
        </w:rPr>
        <w:t xml:space="preserve"> 30 micrograms/0.3 mL suspension for injection vial (the </w:t>
      </w:r>
      <w:r w:rsidRPr="000A41FE">
        <w:rPr>
          <w:i/>
          <w:iCs/>
          <w:lang w:eastAsia="ja-JP"/>
        </w:rPr>
        <w:t xml:space="preserve">additional </w:t>
      </w:r>
      <w:proofErr w:type="spellStart"/>
      <w:r>
        <w:rPr>
          <w:i/>
          <w:iCs/>
          <w:lang w:eastAsia="ja-JP"/>
        </w:rPr>
        <w:t>C</w:t>
      </w:r>
      <w:r w:rsidRPr="000A41FE">
        <w:rPr>
          <w:i/>
          <w:iCs/>
          <w:lang w:eastAsia="ja-JP"/>
        </w:rPr>
        <w:t>omirnaty</w:t>
      </w:r>
      <w:proofErr w:type="spellEnd"/>
      <w:r w:rsidRPr="000A41FE">
        <w:rPr>
          <w:i/>
          <w:iCs/>
          <w:lang w:eastAsia="ja-JP"/>
        </w:rPr>
        <w:t xml:space="preserve"> </w:t>
      </w:r>
      <w:r w:rsidR="000A41FE" w:rsidRPr="000A41FE">
        <w:rPr>
          <w:i/>
          <w:iCs/>
          <w:lang w:eastAsia="ja-JP"/>
        </w:rPr>
        <w:t xml:space="preserve">12 years + Medicine) – being a major variation to the </w:t>
      </w:r>
      <w:r>
        <w:rPr>
          <w:i/>
          <w:iCs/>
          <w:lang w:eastAsia="ja-JP"/>
        </w:rPr>
        <w:t>e</w:t>
      </w:r>
      <w:r w:rsidR="000A41FE" w:rsidRPr="000A41FE">
        <w:rPr>
          <w:i/>
          <w:iCs/>
          <w:lang w:eastAsia="ja-JP"/>
        </w:rPr>
        <w:t xml:space="preserve">xisting </w:t>
      </w:r>
      <w:proofErr w:type="spellStart"/>
      <w:r w:rsidRPr="000A41FE">
        <w:rPr>
          <w:i/>
          <w:iCs/>
          <w:lang w:eastAsia="ja-JP"/>
        </w:rPr>
        <w:t>Comirnaty</w:t>
      </w:r>
      <w:proofErr w:type="spellEnd"/>
      <w:r w:rsidRPr="000A41FE">
        <w:rPr>
          <w:i/>
          <w:iCs/>
          <w:lang w:eastAsia="ja-JP"/>
        </w:rPr>
        <w:t xml:space="preserve"> </w:t>
      </w:r>
      <w:r w:rsidR="000A41FE" w:rsidRPr="000A41FE">
        <w:rPr>
          <w:i/>
          <w:iCs/>
          <w:lang w:eastAsia="ja-JP"/>
        </w:rPr>
        <w:t>12+ Medicine to add a new dosage form (suspension for injection vial) and change the formulation (to change excipients); and</w:t>
      </w:r>
    </w:p>
    <w:p w14:paraId="35F497D2" w14:textId="6075F604" w:rsidR="000A41FE" w:rsidRPr="000A41FE" w:rsidRDefault="000A41FE" w:rsidP="000A41FE">
      <w:pPr>
        <w:pStyle w:val="ListBullet"/>
        <w:rPr>
          <w:i/>
          <w:iCs/>
          <w:lang w:eastAsia="ja-JP"/>
        </w:rPr>
      </w:pPr>
      <w:proofErr w:type="spellStart"/>
      <w:r w:rsidRPr="000A41FE">
        <w:rPr>
          <w:i/>
          <w:iCs/>
          <w:lang w:eastAsia="ja-JP"/>
        </w:rPr>
        <w:t>C</w:t>
      </w:r>
      <w:r w:rsidR="00201E15" w:rsidRPr="000A41FE">
        <w:rPr>
          <w:i/>
          <w:iCs/>
          <w:lang w:eastAsia="ja-JP"/>
        </w:rPr>
        <w:t>omirnaty</w:t>
      </w:r>
      <w:proofErr w:type="spellEnd"/>
      <w:r w:rsidR="00201E15" w:rsidRPr="000A41FE">
        <w:rPr>
          <w:i/>
          <w:iCs/>
          <w:lang w:eastAsia="ja-JP"/>
        </w:rPr>
        <w:t xml:space="preserve"> </w:t>
      </w:r>
      <w:r w:rsidRPr="000A41FE">
        <w:rPr>
          <w:i/>
          <w:iCs/>
          <w:lang w:eastAsia="ja-JP"/>
        </w:rPr>
        <w:t>(</w:t>
      </w:r>
      <w:proofErr w:type="spellStart"/>
      <w:r w:rsidR="00201E15">
        <w:rPr>
          <w:i/>
          <w:iCs/>
          <w:lang w:eastAsia="ja-JP"/>
        </w:rPr>
        <w:t>t</w:t>
      </w:r>
      <w:r w:rsidRPr="000A41FE">
        <w:rPr>
          <w:i/>
          <w:iCs/>
          <w:lang w:eastAsia="ja-JP"/>
        </w:rPr>
        <w:t>ozinameran</w:t>
      </w:r>
      <w:proofErr w:type="spellEnd"/>
      <w:r w:rsidRPr="000A41FE">
        <w:rPr>
          <w:i/>
          <w:iCs/>
          <w:lang w:eastAsia="ja-JP"/>
        </w:rPr>
        <w:t xml:space="preserve"> [mRNA]) COVID-19 </w:t>
      </w:r>
      <w:r w:rsidR="00201E15">
        <w:rPr>
          <w:i/>
          <w:iCs/>
          <w:lang w:eastAsia="ja-JP"/>
        </w:rPr>
        <w:t>vaccine</w:t>
      </w:r>
      <w:r w:rsidR="00201E15" w:rsidRPr="000A41FE">
        <w:rPr>
          <w:i/>
          <w:iCs/>
          <w:lang w:eastAsia="ja-JP"/>
        </w:rPr>
        <w:t xml:space="preserve"> </w:t>
      </w:r>
      <w:r w:rsidRPr="000A41FE">
        <w:rPr>
          <w:i/>
          <w:iCs/>
          <w:lang w:eastAsia="ja-JP"/>
        </w:rPr>
        <w:t xml:space="preserve">10 micrograms/0.2 mL concentrated suspension for injection vial (the </w:t>
      </w:r>
      <w:proofErr w:type="spellStart"/>
      <w:r w:rsidR="00201E15">
        <w:rPr>
          <w:i/>
          <w:iCs/>
          <w:lang w:eastAsia="ja-JP"/>
        </w:rPr>
        <w:t>Comirnaty</w:t>
      </w:r>
      <w:proofErr w:type="spellEnd"/>
      <w:r w:rsidR="00201E15" w:rsidRPr="000A41FE">
        <w:rPr>
          <w:i/>
          <w:iCs/>
          <w:lang w:eastAsia="ja-JP"/>
        </w:rPr>
        <w:t xml:space="preserve"> </w:t>
      </w:r>
      <w:r w:rsidRPr="000A41FE">
        <w:rPr>
          <w:i/>
          <w:iCs/>
          <w:lang w:eastAsia="ja-JP"/>
        </w:rPr>
        <w:t>5-11 years Medicine) –being an extension of indications of the Existing COMIRNATY 12+ Medicine to include a new indication for use in individuals aged 5-11 years, combined with a variation to the strength for use in this population (to 10 micrograms/0.2 mL), and a change to the formulation (to change excipients).</w:t>
      </w:r>
    </w:p>
    <w:p w14:paraId="699FD87A" w14:textId="2B27EAB1" w:rsidR="00C52D98" w:rsidRDefault="00C52D98" w:rsidP="00C52D98">
      <w:pPr>
        <w:rPr>
          <w:rFonts w:eastAsia="MS Mincho"/>
          <w:vertAlign w:val="superscript"/>
          <w:lang w:eastAsia="ja-JP"/>
        </w:rPr>
      </w:pPr>
      <w:r>
        <w:rPr>
          <w:rFonts w:eastAsia="MS Mincho"/>
          <w:lang w:eastAsia="ja-JP"/>
        </w:rPr>
        <w:t xml:space="preserve">Note, this submission is also an extension of indications based on widening the patient population from individuals aged 12 years and older to include individuals from 5 years and older. Earlier submissions for the 12 to 15 years of age group; and in individuals aged 16 years and older are covered in their respective </w:t>
      </w:r>
      <w:proofErr w:type="spellStart"/>
      <w:r>
        <w:rPr>
          <w:rFonts w:eastAsia="MS Mincho"/>
          <w:lang w:eastAsia="ja-JP"/>
        </w:rPr>
        <w:t>AusPARs</w:t>
      </w:r>
      <w:proofErr w:type="spellEnd"/>
      <w:r>
        <w:rPr>
          <w:rFonts w:eastAsia="MS Mincho"/>
          <w:lang w:eastAsia="ja-JP"/>
        </w:rPr>
        <w:t>.</w:t>
      </w:r>
      <w:r>
        <w:rPr>
          <w:rStyle w:val="FootnoteReference"/>
          <w:rFonts w:eastAsia="MS Mincho"/>
          <w:lang w:eastAsia="ja-JP"/>
        </w:rPr>
        <w:footnoteReference w:id="52"/>
      </w:r>
      <w:r>
        <w:rPr>
          <w:rFonts w:eastAsia="MS Mincho"/>
          <w:vertAlign w:val="superscript"/>
          <w:lang w:eastAsia="ja-JP"/>
        </w:rPr>
        <w:t>,</w:t>
      </w:r>
      <w:r>
        <w:rPr>
          <w:rStyle w:val="FootnoteReference"/>
          <w:rFonts w:eastAsia="MS Mincho"/>
          <w:lang w:eastAsia="ja-JP"/>
        </w:rPr>
        <w:footnoteReference w:id="53"/>
      </w:r>
    </w:p>
    <w:p w14:paraId="16010B66" w14:textId="728B0009" w:rsidR="00C52D98" w:rsidRPr="00C52D98" w:rsidRDefault="00C52D98" w:rsidP="00C52D98">
      <w:r>
        <w:t xml:space="preserve">Based on a review of quality, safety and efficacy, the TGA approved the registration of </w:t>
      </w:r>
      <w:proofErr w:type="spellStart"/>
      <w:r>
        <w:t>Comirnaty</w:t>
      </w:r>
      <w:proofErr w:type="spellEnd"/>
      <w:r>
        <w:t xml:space="preserve"> (</w:t>
      </w:r>
      <w:proofErr w:type="spellStart"/>
      <w:r>
        <w:t>t</w:t>
      </w:r>
      <w:r w:rsidRPr="00C52D98">
        <w:t>ozinameran</w:t>
      </w:r>
      <w:proofErr w:type="spellEnd"/>
      <w:r w:rsidRPr="00C52D98">
        <w:t xml:space="preserve"> [mRNA]) COVID-19 vaccine</w:t>
      </w:r>
      <w:r>
        <w:t xml:space="preserve"> </w:t>
      </w:r>
      <w:r w:rsidRPr="00C52D98">
        <w:rPr>
          <w:rFonts w:eastAsia="MS Mincho" w:cs="Cambria"/>
          <w:color w:val="000000"/>
          <w:lang w:val="en-GB"/>
        </w:rPr>
        <w:t xml:space="preserve">10 micrograms/0.2mL concentrated suspension for injection vial (the </w:t>
      </w:r>
      <w:proofErr w:type="spellStart"/>
      <w:r w:rsidR="00463D52">
        <w:t>Comirnaty</w:t>
      </w:r>
      <w:proofErr w:type="spellEnd"/>
      <w:r w:rsidR="00463D52">
        <w:t xml:space="preserve"> (</w:t>
      </w:r>
      <w:proofErr w:type="spellStart"/>
      <w:r w:rsidR="00463D52">
        <w:t>t</w:t>
      </w:r>
      <w:r w:rsidR="00463D52" w:rsidRPr="00C52D98">
        <w:t>ozinameran</w:t>
      </w:r>
      <w:proofErr w:type="spellEnd"/>
      <w:r w:rsidR="00463D52" w:rsidRPr="00C52D98">
        <w:t xml:space="preserve"> [mRNA]) COVID-19 vaccine</w:t>
      </w:r>
      <w:r w:rsidR="00463D52">
        <w:t xml:space="preserve"> for the 5 to 11 years old age group</w:t>
      </w:r>
      <w:r w:rsidR="00463D52">
        <w:rPr>
          <w:rFonts w:eastAsia="MS Mincho" w:cs="Cambria"/>
          <w:color w:val="000000"/>
          <w:lang w:val="en-GB"/>
        </w:rPr>
        <w:t xml:space="preserve">), </w:t>
      </w:r>
      <w:r w:rsidRPr="00C52D98">
        <w:rPr>
          <w:rFonts w:eastAsia="MS Mincho" w:cs="Cambria"/>
          <w:color w:val="000000"/>
          <w:lang w:val="en-GB"/>
        </w:rPr>
        <w:t>being an e</w:t>
      </w:r>
      <w:r w:rsidR="00463D52">
        <w:rPr>
          <w:rFonts w:eastAsia="MS Mincho" w:cs="Cambria"/>
          <w:color w:val="000000"/>
          <w:lang w:val="en-GB"/>
        </w:rPr>
        <w:t>xtension of indications of the e</w:t>
      </w:r>
      <w:r w:rsidRPr="00C52D98">
        <w:rPr>
          <w:rFonts w:eastAsia="MS Mincho" w:cs="Cambria"/>
          <w:color w:val="000000"/>
          <w:lang w:val="en-GB"/>
        </w:rPr>
        <w:t xml:space="preserve">xisting </w:t>
      </w:r>
      <w:proofErr w:type="spellStart"/>
      <w:r w:rsidR="00463D52">
        <w:t>Comirnaty</w:t>
      </w:r>
      <w:proofErr w:type="spellEnd"/>
      <w:r w:rsidR="00463D52">
        <w:t xml:space="preserve"> (</w:t>
      </w:r>
      <w:proofErr w:type="spellStart"/>
      <w:r w:rsidR="00463D52">
        <w:t>t</w:t>
      </w:r>
      <w:r w:rsidR="00463D52" w:rsidRPr="00C52D98">
        <w:t>ozinameran</w:t>
      </w:r>
      <w:proofErr w:type="spellEnd"/>
      <w:r w:rsidR="00463D52" w:rsidRPr="00C52D98">
        <w:t xml:space="preserve"> [mRNA]) COVID-19 vaccine</w:t>
      </w:r>
      <w:r w:rsidRPr="00C52D98">
        <w:rPr>
          <w:rFonts w:eastAsia="MS Mincho" w:cs="Cambria"/>
          <w:color w:val="000000"/>
          <w:lang w:val="en-GB"/>
        </w:rPr>
        <w:t xml:space="preserve"> 12+ Medicine to include</w:t>
      </w:r>
      <w:r w:rsidR="00463D52">
        <w:rPr>
          <w:rFonts w:eastAsia="MS Mincho" w:cs="Cambria"/>
          <w:color w:val="000000"/>
          <w:lang w:val="en-GB"/>
        </w:rPr>
        <w:t xml:space="preserve"> </w:t>
      </w:r>
      <w:r w:rsidRPr="00C52D98">
        <w:rPr>
          <w:rFonts w:eastAsia="MS Mincho" w:cs="Cambria"/>
          <w:color w:val="000000"/>
          <w:lang w:val="en-GB"/>
        </w:rPr>
        <w:t>a new indicatio</w:t>
      </w:r>
      <w:r w:rsidR="00463D52">
        <w:rPr>
          <w:rFonts w:eastAsia="MS Mincho" w:cs="Cambria"/>
          <w:color w:val="000000"/>
          <w:lang w:val="en-GB"/>
        </w:rPr>
        <w:t xml:space="preserve">n for use in individuals aged 5 to </w:t>
      </w:r>
      <w:r w:rsidRPr="00C52D98">
        <w:rPr>
          <w:rFonts w:eastAsia="MS Mincho" w:cs="Cambria"/>
          <w:color w:val="000000"/>
          <w:lang w:val="en-GB"/>
        </w:rPr>
        <w:t>11 years, combined with a variation to</w:t>
      </w:r>
      <w:r w:rsidR="00463D52">
        <w:rPr>
          <w:rFonts w:eastAsia="MS Mincho" w:cs="Cambria"/>
          <w:color w:val="000000"/>
          <w:lang w:val="en-GB"/>
        </w:rPr>
        <w:t xml:space="preserve"> </w:t>
      </w:r>
      <w:r w:rsidRPr="00C52D98">
        <w:rPr>
          <w:rFonts w:eastAsia="MS Mincho" w:cs="Cambria"/>
          <w:color w:val="000000"/>
          <w:lang w:val="en-GB"/>
        </w:rPr>
        <w:t>the strength for use in this population (to 10 micrograms/0.2 mL), and a change to</w:t>
      </w:r>
      <w:r w:rsidR="00463D52">
        <w:rPr>
          <w:rFonts w:eastAsia="MS Mincho" w:cs="Cambria"/>
          <w:color w:val="000000"/>
          <w:lang w:val="en-GB"/>
        </w:rPr>
        <w:t xml:space="preserve"> </w:t>
      </w:r>
      <w:r w:rsidRPr="00C52D98">
        <w:rPr>
          <w:rFonts w:eastAsia="MS Mincho" w:cs="Cambria"/>
          <w:color w:val="000000"/>
          <w:lang w:val="en-GB"/>
        </w:rPr>
        <w:t xml:space="preserve">the </w:t>
      </w:r>
      <w:r w:rsidR="00463D52">
        <w:rPr>
          <w:rFonts w:eastAsia="MS Mincho" w:cs="Cambria"/>
          <w:color w:val="000000"/>
          <w:lang w:val="en-GB"/>
        </w:rPr>
        <w:t>formulation (to change excipients).</w:t>
      </w:r>
    </w:p>
    <w:p w14:paraId="2D7B91F3" w14:textId="06D45A22" w:rsidR="007D53B6" w:rsidRDefault="007D53B6" w:rsidP="007D53B6">
      <w:r>
        <w:t xml:space="preserve">As such, the full indications </w:t>
      </w:r>
      <w:proofErr w:type="gramStart"/>
      <w:r>
        <w:t>at this time</w:t>
      </w:r>
      <w:proofErr w:type="gramEnd"/>
      <w:r>
        <w:t xml:space="preserve"> were:</w:t>
      </w:r>
    </w:p>
    <w:p w14:paraId="144E8C7F" w14:textId="77777777" w:rsidR="007B260B" w:rsidRDefault="007B260B" w:rsidP="007B260B">
      <w:pPr>
        <w:ind w:left="720"/>
        <w:rPr>
          <w:i/>
          <w:iCs/>
        </w:rPr>
      </w:pPr>
      <w:r w:rsidRPr="007B260B">
        <w:rPr>
          <w:i/>
          <w:iCs/>
        </w:rPr>
        <w:t xml:space="preserve">Active immunisation to prevent coronavirus disease 2019 (COVID-19) caused by SARS-CoV-2, in individuals 12 years of age and older. </w:t>
      </w:r>
    </w:p>
    <w:p w14:paraId="0D3901F0" w14:textId="77777777" w:rsidR="007B260B" w:rsidRDefault="007B260B" w:rsidP="007B260B">
      <w:pPr>
        <w:ind w:left="720"/>
        <w:rPr>
          <w:i/>
          <w:iCs/>
        </w:rPr>
      </w:pPr>
      <w:r w:rsidRPr="007B260B">
        <w:rPr>
          <w:i/>
          <w:iCs/>
        </w:rPr>
        <w:t xml:space="preserve">This presentation will not be used to treat anyone under 12 years of age. </w:t>
      </w:r>
    </w:p>
    <w:p w14:paraId="6A6F635C" w14:textId="77777777" w:rsidR="007B260B" w:rsidRDefault="007B260B" w:rsidP="007B260B">
      <w:pPr>
        <w:ind w:left="720"/>
        <w:rPr>
          <w:i/>
          <w:iCs/>
        </w:rPr>
      </w:pPr>
      <w:r w:rsidRPr="007B260B">
        <w:rPr>
          <w:i/>
          <w:iCs/>
        </w:rPr>
        <w:t xml:space="preserve">The use of this vaccine should be in accordance with official recommendations. </w:t>
      </w:r>
    </w:p>
    <w:p w14:paraId="1B92786F" w14:textId="5F0C002B" w:rsidR="007B260B" w:rsidRDefault="007B260B" w:rsidP="007B260B">
      <w:pPr>
        <w:ind w:left="720"/>
        <w:rPr>
          <w:i/>
          <w:iCs/>
        </w:rPr>
      </w:pPr>
      <w:r w:rsidRPr="007B260B">
        <w:rPr>
          <w:i/>
          <w:iCs/>
        </w:rPr>
        <w:t xml:space="preserve">The decision has been made on the basis of </w:t>
      </w:r>
      <w:proofErr w:type="gramStart"/>
      <w:r w:rsidRPr="007B260B">
        <w:rPr>
          <w:i/>
          <w:iCs/>
        </w:rPr>
        <w:t>short term</w:t>
      </w:r>
      <w:proofErr w:type="gramEnd"/>
      <w:r w:rsidRPr="007B260B">
        <w:rPr>
          <w:i/>
          <w:iCs/>
        </w:rPr>
        <w:t xml:space="preserve"> efficacy and safety data. Continued approval depends on the evidence of </w:t>
      </w:r>
      <w:proofErr w:type="gramStart"/>
      <w:r w:rsidRPr="007B260B">
        <w:rPr>
          <w:i/>
          <w:iCs/>
        </w:rPr>
        <w:t>longer term</w:t>
      </w:r>
      <w:proofErr w:type="gramEnd"/>
      <w:r w:rsidRPr="007B260B">
        <w:rPr>
          <w:i/>
          <w:iCs/>
        </w:rPr>
        <w:t xml:space="preserve"> efficacy and safety from ongoing clinical trials and post-market assessment.</w:t>
      </w:r>
    </w:p>
    <w:p w14:paraId="1178A36E" w14:textId="77777777" w:rsidR="007B260B" w:rsidRDefault="007B260B" w:rsidP="007B260B">
      <w:pPr>
        <w:ind w:left="720"/>
        <w:rPr>
          <w:i/>
          <w:iCs/>
        </w:rPr>
      </w:pPr>
      <w:r w:rsidRPr="007B260B">
        <w:rPr>
          <w:i/>
          <w:iCs/>
        </w:rPr>
        <w:t xml:space="preserve">Active immunisation to prevent coronavirus disease 2019 (COVID-19) caused by SARS-CoV-2, in individuals 5 years of age and older. </w:t>
      </w:r>
    </w:p>
    <w:p w14:paraId="305BB5DE" w14:textId="77777777" w:rsidR="007B260B" w:rsidRDefault="007B260B" w:rsidP="007B260B">
      <w:pPr>
        <w:ind w:left="720"/>
        <w:rPr>
          <w:i/>
          <w:iCs/>
        </w:rPr>
      </w:pPr>
      <w:r w:rsidRPr="007B260B">
        <w:rPr>
          <w:i/>
          <w:iCs/>
        </w:rPr>
        <w:t xml:space="preserve">The use of this vaccine should be in accordance with official recommendations. </w:t>
      </w:r>
    </w:p>
    <w:p w14:paraId="10DB5777" w14:textId="5C227126" w:rsidR="007B260B" w:rsidRPr="007B260B" w:rsidRDefault="007B260B" w:rsidP="007B260B">
      <w:pPr>
        <w:ind w:left="720"/>
        <w:rPr>
          <w:i/>
          <w:iCs/>
        </w:rPr>
      </w:pPr>
      <w:r w:rsidRPr="007B260B">
        <w:rPr>
          <w:i/>
          <w:iCs/>
        </w:rPr>
        <w:t xml:space="preserve">The decision has been made on the basis of </w:t>
      </w:r>
      <w:proofErr w:type="gramStart"/>
      <w:r w:rsidRPr="007B260B">
        <w:rPr>
          <w:i/>
          <w:iCs/>
        </w:rPr>
        <w:t>short term</w:t>
      </w:r>
      <w:proofErr w:type="gramEnd"/>
      <w:r w:rsidRPr="007B260B">
        <w:rPr>
          <w:i/>
          <w:iCs/>
        </w:rPr>
        <w:t xml:space="preserve"> efficacy and safety data. Continued approval depends on the evidence of </w:t>
      </w:r>
      <w:proofErr w:type="gramStart"/>
      <w:r w:rsidRPr="007B260B">
        <w:rPr>
          <w:i/>
          <w:iCs/>
        </w:rPr>
        <w:t>longer term</w:t>
      </w:r>
      <w:proofErr w:type="gramEnd"/>
      <w:r w:rsidRPr="007B260B">
        <w:rPr>
          <w:i/>
          <w:iCs/>
        </w:rPr>
        <w:t xml:space="preserve"> efficacy and safety from ongoing clinical trials and post-market assessment.</w:t>
      </w:r>
    </w:p>
    <w:p w14:paraId="66471570" w14:textId="77777777" w:rsidR="00D23139" w:rsidRPr="00D23139" w:rsidRDefault="00D23139" w:rsidP="00D23139">
      <w:pPr>
        <w:pStyle w:val="Heading4"/>
      </w:pPr>
      <w:r w:rsidRPr="00D23139">
        <w:lastRenderedPageBreak/>
        <w:t>Specific conditions of registration applying to these goods</w:t>
      </w:r>
    </w:p>
    <w:p w14:paraId="06F027D8" w14:textId="0CCB6487" w:rsidR="00400E86" w:rsidRDefault="00400E86" w:rsidP="00400E86">
      <w:pPr>
        <w:pStyle w:val="Heading5"/>
      </w:pPr>
      <w:r>
        <w:t>Clinical</w:t>
      </w:r>
    </w:p>
    <w:p w14:paraId="6087F124" w14:textId="3AC36ADD" w:rsidR="00400E86" w:rsidRPr="0021275D" w:rsidRDefault="00400E86" w:rsidP="0021275D">
      <w:r>
        <w:t xml:space="preserve">For the </w:t>
      </w:r>
      <w:proofErr w:type="spellStart"/>
      <w:r>
        <w:t>Comirnaty</w:t>
      </w:r>
      <w:proofErr w:type="spellEnd"/>
      <w:r>
        <w:t xml:space="preserve"> 5 to </w:t>
      </w:r>
      <w:r w:rsidR="0021275D">
        <w:t>11 years m</w:t>
      </w:r>
      <w:r>
        <w:t>edicine, the following reports/data must be submitted before a definitive a</w:t>
      </w:r>
      <w:r w:rsidR="0021275D">
        <w:t>uthorization can be considered:</w:t>
      </w:r>
    </w:p>
    <w:p w14:paraId="18948F7C" w14:textId="472C8B48" w:rsidR="0021275D" w:rsidRDefault="00400E86" w:rsidP="0021275D">
      <w:pPr>
        <w:pStyle w:val="ListBullet"/>
      </w:pPr>
      <w:r>
        <w:t>Submit safety analysis at 6</w:t>
      </w:r>
      <w:r w:rsidR="0021275D">
        <w:t xml:space="preserve"> months post Dose 2 from Phase I</w:t>
      </w:r>
      <w:r>
        <w:t xml:space="preserve">, </w:t>
      </w:r>
      <w:r w:rsidR="0021275D">
        <w:t>and II/III s</w:t>
      </w:r>
      <w:r>
        <w:t xml:space="preserve">tudy </w:t>
      </w:r>
      <w:r w:rsidR="0021275D">
        <w:t>when the analysis is available.</w:t>
      </w:r>
    </w:p>
    <w:p w14:paraId="771FD81F" w14:textId="77777777" w:rsidR="0021275D" w:rsidRDefault="00400E86" w:rsidP="0021275D">
      <w:pPr>
        <w:pStyle w:val="ListBullet"/>
      </w:pPr>
      <w:r>
        <w:t>Submit the final clinical study report for Study C4591007 when ready. Please also submit the final report for this study with 24 months follow up duration when it became available. Please also submit final reports for safety expansion set (Cohort 2) and the safety cohort for troponin I evaluatio</w:t>
      </w:r>
      <w:r w:rsidR="0021275D">
        <w:t>n (as a marker of myocarditis).</w:t>
      </w:r>
    </w:p>
    <w:p w14:paraId="2678B17F" w14:textId="77777777" w:rsidR="0021275D" w:rsidRDefault="00400E86" w:rsidP="0021275D">
      <w:pPr>
        <w:pStyle w:val="ListBullet"/>
      </w:pPr>
      <w:r>
        <w:t>Submit the immunogenicity data</w:t>
      </w:r>
      <w:r w:rsidR="0021275D">
        <w:t xml:space="preserve"> at 6 months for Study C4591007</w:t>
      </w:r>
    </w:p>
    <w:p w14:paraId="38C912E2" w14:textId="286BDB2F" w:rsidR="0021275D" w:rsidRDefault="00400E86" w:rsidP="0021275D">
      <w:pPr>
        <w:pStyle w:val="ListBullet"/>
      </w:pPr>
      <w:r>
        <w:t>If/Whe</w:t>
      </w:r>
      <w:r w:rsidR="0021275D">
        <w:t xml:space="preserve">n available, please provide (5 to </w:t>
      </w:r>
      <w:r>
        <w:t>11 years age group):</w:t>
      </w:r>
      <w:r w:rsidR="0021275D">
        <w:t xml:space="preserve"> </w:t>
      </w:r>
      <w:r>
        <w:t xml:space="preserve">Further data relating to vaccine efficacy against asymptomatic disease, efficacy against SARS-CoV-2 transmission, vaccine efficacy in immunocompromised subjects, efficacy in subjects with autoimmune conditions, efficacy against variants of concern, and information relating to any planned post-market safety and effectiveness studies should be provided to the TGA to </w:t>
      </w:r>
      <w:r w:rsidR="0021275D">
        <w:t>update the Product information.</w:t>
      </w:r>
    </w:p>
    <w:p w14:paraId="1465F9D0" w14:textId="77777777" w:rsidR="0021275D" w:rsidRDefault="00400E86" w:rsidP="0021275D">
      <w:pPr>
        <w:pStyle w:val="ListBullet"/>
      </w:pPr>
      <w:r>
        <w:t>Please also provide Real world post market global/local</w:t>
      </w:r>
      <w:r w:rsidR="0021275D">
        <w:t xml:space="preserve"> efficacy data, when available.</w:t>
      </w:r>
    </w:p>
    <w:p w14:paraId="5A3AD5F5" w14:textId="05009D85" w:rsidR="00400E86" w:rsidRDefault="00400E86" w:rsidP="0021275D">
      <w:pPr>
        <w:pStyle w:val="ListBullet"/>
      </w:pPr>
      <w:r>
        <w:t>Please provide the monthly post market safety summaries when available (</w:t>
      </w:r>
      <w:r w:rsidR="0021275D">
        <w:t>as soon as possible).</w:t>
      </w:r>
    </w:p>
    <w:p w14:paraId="03A7AB78" w14:textId="73B43238" w:rsidR="0021275D" w:rsidRDefault="0021275D" w:rsidP="0021275D">
      <w:r>
        <w:t xml:space="preserve">For the additional </w:t>
      </w:r>
      <w:proofErr w:type="spellStart"/>
      <w:r>
        <w:t>Comirnaty</w:t>
      </w:r>
      <w:proofErr w:type="spellEnd"/>
      <w:r>
        <w:t xml:space="preserve"> 12 years and older medicine (new dose form and new formulation), any previously mandated clinical conditions of registration for the Existing </w:t>
      </w:r>
      <w:proofErr w:type="spellStart"/>
      <w:r>
        <w:t>Comirnaty</w:t>
      </w:r>
      <w:proofErr w:type="spellEnd"/>
      <w:r>
        <w:t xml:space="preserve"> 12 years + medicine are applicable to the </w:t>
      </w:r>
      <w:proofErr w:type="spellStart"/>
      <w:r>
        <w:t>Comirnaty</w:t>
      </w:r>
      <w:proofErr w:type="spellEnd"/>
      <w:r>
        <w:t xml:space="preserve"> 12 years + Medicine (new dose form and new formulation).</w:t>
      </w:r>
    </w:p>
    <w:p w14:paraId="33D95B02" w14:textId="576CE465" w:rsidR="0021275D" w:rsidRDefault="0021275D" w:rsidP="0021275D">
      <w:pPr>
        <w:pStyle w:val="Heading5"/>
      </w:pPr>
      <w:r>
        <w:t>Quality</w:t>
      </w:r>
    </w:p>
    <w:p w14:paraId="0782CA2A" w14:textId="034E48A7" w:rsidR="0021275D" w:rsidRDefault="0021275D" w:rsidP="0021275D">
      <w:r>
        <w:t xml:space="preserve">Requested: The </w:t>
      </w:r>
      <w:proofErr w:type="spellStart"/>
      <w:r>
        <w:t>leachables</w:t>
      </w:r>
      <w:proofErr w:type="spellEnd"/>
      <w:r>
        <w:t xml:space="preserve"> study, for the container, to be provided for evaluation once completed.</w:t>
      </w:r>
    </w:p>
    <w:p w14:paraId="6A7F4693" w14:textId="77777777" w:rsidR="0021275D" w:rsidRDefault="0021275D" w:rsidP="0021275D">
      <w:pPr>
        <w:pStyle w:val="Heading6"/>
      </w:pPr>
      <w:r>
        <w:t>Batch Release Testing and Compliance</w:t>
      </w:r>
    </w:p>
    <w:p w14:paraId="2FC35490" w14:textId="5F4A452F" w:rsidR="0021275D" w:rsidRPr="0021275D" w:rsidRDefault="0021275D" w:rsidP="0021275D">
      <w:r w:rsidRPr="0021275D">
        <w:t xml:space="preserve">It is a condition of registration that all independent manufacturing batches of </w:t>
      </w:r>
      <w:proofErr w:type="spellStart"/>
      <w:r w:rsidRPr="0021275D">
        <w:t>Comirnaty</w:t>
      </w:r>
      <w:proofErr w:type="spellEnd"/>
      <w:r w:rsidRPr="0021275D">
        <w:t xml:space="preserve"> (</w:t>
      </w:r>
      <w:proofErr w:type="spellStart"/>
      <w:r w:rsidRPr="0021275D">
        <w:t>tozinameran</w:t>
      </w:r>
      <w:proofErr w:type="spellEnd"/>
      <w:r w:rsidRPr="0021275D">
        <w:t xml:space="preserve">) COVID-19 Vaccine to be supplied in Australia are not released for supply by or on behalf of the Sponsor until the manufacturer’s release data have been assessed by, and you have received notification acknowledging authorisation to release from, the Laboratories Branch, TGA. </w:t>
      </w:r>
    </w:p>
    <w:p w14:paraId="738FE603" w14:textId="2139CED3" w:rsidR="0021275D" w:rsidRPr="0021275D" w:rsidRDefault="0021275D" w:rsidP="0021275D">
      <w:r w:rsidRPr="0021275D">
        <w:t>In</w:t>
      </w:r>
      <w:r>
        <w:t xml:space="preserve"> complying with the above, the s</w:t>
      </w:r>
      <w:r w:rsidRPr="0021275D">
        <w:t xml:space="preserve">ponsor must supply the following for each independent batch of the product imported or proposed to be imported into Australia: </w:t>
      </w:r>
    </w:p>
    <w:p w14:paraId="7277E8CA" w14:textId="1B168440" w:rsidR="0021275D" w:rsidRPr="0021275D" w:rsidRDefault="0021275D" w:rsidP="0021275D">
      <w:pPr>
        <w:pStyle w:val="ListBullet"/>
      </w:pPr>
      <w:r w:rsidRPr="0021275D">
        <w:t>a completed Request for Release Form, available from vaccines@health.gov.au; and</w:t>
      </w:r>
    </w:p>
    <w:p w14:paraId="7D2A7634" w14:textId="6E3799AB" w:rsidR="0021275D" w:rsidRPr="0021275D" w:rsidRDefault="0021275D" w:rsidP="0021275D">
      <w:pPr>
        <w:pStyle w:val="ListBullet"/>
      </w:pPr>
      <w:r w:rsidRPr="0021275D">
        <w:t>complete summary protocols for manufacture and QC, including all steps in production in</w:t>
      </w:r>
      <w:r>
        <w:t xml:space="preserve"> </w:t>
      </w:r>
      <w:r w:rsidRPr="0021275D">
        <w:t>the agreed format; and</w:t>
      </w:r>
    </w:p>
    <w:p w14:paraId="6105AD96" w14:textId="02C9F212" w:rsidR="0021275D" w:rsidRPr="0021275D" w:rsidRDefault="0021275D" w:rsidP="0021275D">
      <w:pPr>
        <w:pStyle w:val="ListBullet"/>
      </w:pPr>
      <w:r w:rsidRPr="0021275D">
        <w:t>if the manufacturing batch has been released in Europe or United Kingdom a copy of the</w:t>
      </w:r>
      <w:r>
        <w:t xml:space="preserve"> </w:t>
      </w:r>
      <w:r w:rsidRPr="0021275D">
        <w:t>EU Official Control Authority Batch Release (OCABR) certificate (or equivalent from the</w:t>
      </w:r>
      <w:r>
        <w:t xml:space="preserve"> </w:t>
      </w:r>
      <w:r w:rsidRPr="0021275D">
        <w:t>UK) must also be provided; and</w:t>
      </w:r>
    </w:p>
    <w:p w14:paraId="31E147B5" w14:textId="52DB0CAB" w:rsidR="0021275D" w:rsidRPr="0021275D" w:rsidRDefault="0021275D" w:rsidP="0021275D">
      <w:pPr>
        <w:pStyle w:val="ListBullet"/>
      </w:pPr>
      <w:r w:rsidRPr="0021275D">
        <w:t>any reagents, reference material and standards required to undertake testing as</w:t>
      </w:r>
      <w:r>
        <w:t xml:space="preserve"> </w:t>
      </w:r>
      <w:r w:rsidRPr="0021275D">
        <w:t>requested by Laboratories Branch, TGA.</w:t>
      </w:r>
    </w:p>
    <w:p w14:paraId="5A557F20" w14:textId="6B65DE82" w:rsidR="0021275D" w:rsidRDefault="0021275D" w:rsidP="0021275D">
      <w:r>
        <w:t>The shipments of reagents to TGA are the responsibility of the Australian sponsor/agent who will be required to facilitate the import and customs clearance process.</w:t>
      </w:r>
    </w:p>
    <w:p w14:paraId="1CFACDA3" w14:textId="1F21034F" w:rsidR="0021275D" w:rsidRPr="0021275D" w:rsidRDefault="0021275D" w:rsidP="0021275D">
      <w:pPr>
        <w:rPr>
          <w:i/>
        </w:rPr>
      </w:pPr>
      <w:r w:rsidRPr="0021275D">
        <w:rPr>
          <w:i/>
        </w:rPr>
        <w:lastRenderedPageBreak/>
        <w:t>A commitment is required by the sponsor not to supply any batches that have a</w:t>
      </w:r>
      <w:r>
        <w:rPr>
          <w:i/>
        </w:rPr>
        <w:t xml:space="preserve"> </w:t>
      </w:r>
      <w:r w:rsidRPr="0021275D">
        <w:rPr>
          <w:i/>
        </w:rPr>
        <w:t>temperature deviation during shipment.</w:t>
      </w:r>
    </w:p>
    <w:p w14:paraId="5CAFA5FA" w14:textId="1C664210" w:rsidR="0021275D" w:rsidRDefault="0021275D" w:rsidP="0021275D">
      <w:pPr>
        <w:pStyle w:val="Heading6"/>
      </w:pPr>
      <w:r>
        <w:t xml:space="preserve">Certified </w:t>
      </w:r>
      <w:r w:rsidR="005867DB">
        <w:t>product details</w:t>
      </w:r>
    </w:p>
    <w:p w14:paraId="126CE90E" w14:textId="2F117CF6" w:rsidR="0021275D" w:rsidRDefault="0021275D" w:rsidP="0021275D">
      <w:r>
        <w:t>An electronic copy of the Certified Product Details (CPD) as described in Guidance 7:</w:t>
      </w:r>
      <w:r w:rsidR="005D1794">
        <w:t xml:space="preserve"> </w:t>
      </w:r>
      <w:r>
        <w:t xml:space="preserve">Certified Product Details of the Australian Regulatory Guidelines for Prescription Medicines (ARGPM) https://www.tga.gov.au/guidance-7-certified-product-detailsshould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https://www.tga.gov.au/form/certified-product-details-cpd-biological-prescription-medicines]. The CPD should be sent as a </w:t>
      </w:r>
      <w:r w:rsidRPr="0021275D">
        <w:rPr>
          <w:bCs/>
          <w:i/>
        </w:rPr>
        <w:t>single bookmarked PDF</w:t>
      </w:r>
      <w:r>
        <w:rPr>
          <w:b/>
          <w:bCs/>
        </w:rPr>
        <w:t xml:space="preserve"> </w:t>
      </w:r>
      <w:r>
        <w:t>document to</w:t>
      </w:r>
      <w:r w:rsidR="00E674A3">
        <w:t>v</w:t>
      </w:r>
      <w:r>
        <w:t>Vaccines@health.gov.au as soon as possible after.</w:t>
      </w:r>
    </w:p>
    <w:p w14:paraId="47BF1185" w14:textId="2BDCD09D" w:rsidR="0021275D" w:rsidRDefault="00E674A3" w:rsidP="00E674A3">
      <w:pPr>
        <w:pStyle w:val="Heading6"/>
      </w:pPr>
      <w:r>
        <w:t>Risk management plan</w:t>
      </w:r>
    </w:p>
    <w:p w14:paraId="0810075E" w14:textId="66EB3ACF" w:rsidR="0021275D" w:rsidRPr="00E674A3" w:rsidRDefault="0021275D" w:rsidP="00E674A3">
      <w:r>
        <w:t xml:space="preserve">The </w:t>
      </w:r>
      <w:proofErr w:type="spellStart"/>
      <w:r>
        <w:t>Comirnaty</w:t>
      </w:r>
      <w:proofErr w:type="spellEnd"/>
      <w:r>
        <w:t xml:space="preserve"> EU-Risk Management Plan (RMP) (version 3.0, dated 13 October 2021, data</w:t>
      </w:r>
      <w:r w:rsidR="00E674A3">
        <w:t xml:space="preserve"> </w:t>
      </w:r>
      <w:r>
        <w:t>lock point 6 September 2021- Pfizer Clinical Database, 18 June 2021 - Pfizer Safety</w:t>
      </w:r>
      <w:r w:rsidR="00E674A3">
        <w:t xml:space="preserve"> </w:t>
      </w:r>
      <w:r>
        <w:t>Database), with Australian Specific Annex (version 0.4, dated 11 November 2021), included with submission PM-2021-05012-1-2, and any subsequent revisions, as agreed with the</w:t>
      </w:r>
      <w:r w:rsidR="00E674A3">
        <w:t xml:space="preserve"> </w:t>
      </w:r>
      <w:r>
        <w:t>TGA will be implemented in Australia.</w:t>
      </w:r>
    </w:p>
    <w:p w14:paraId="69F751C6" w14:textId="50348A4E" w:rsidR="0021275D" w:rsidRPr="00E674A3" w:rsidRDefault="0021275D" w:rsidP="00E674A3">
      <w:r w:rsidRPr="00E674A3">
        <w:t>An obligatory component of risk management plans is routine pharmacovigilance. Routine</w:t>
      </w:r>
      <w:r w:rsidR="00E674A3">
        <w:t xml:space="preserve"> </w:t>
      </w:r>
      <w:r w:rsidRPr="00E674A3">
        <w:t>pharmacovigilance includes the submission of periodic safety update reports (PSURs).</w:t>
      </w:r>
    </w:p>
    <w:p w14:paraId="500914B6" w14:textId="2EDCAEA5" w:rsidR="0021275D" w:rsidRPr="00E674A3" w:rsidRDefault="0021275D" w:rsidP="00E674A3">
      <w:r w:rsidRPr="00E674A3">
        <w:t>Unless agreed separately between the supplier who is the recipient of the approval and the</w:t>
      </w:r>
      <w:r w:rsidR="00E674A3">
        <w:t xml:space="preserve"> </w:t>
      </w:r>
      <w:r w:rsidRPr="00E674A3">
        <w:t>TGA, the first report must be submitted to TGA no later than 15 calendar months after the</w:t>
      </w:r>
      <w:r w:rsidR="00E674A3">
        <w:t xml:space="preserve"> </w:t>
      </w:r>
      <w:r w:rsidRPr="00E674A3">
        <w:t>date of this approval letter. The subsequent reports must be submitted no less frequently</w:t>
      </w:r>
      <w:r w:rsidR="00E674A3">
        <w:t xml:space="preserve"> </w:t>
      </w:r>
      <w:r w:rsidRPr="00E674A3">
        <w:t>than annually from the date of the first submitted report until the period covered by such</w:t>
      </w:r>
      <w:r w:rsidR="00E674A3">
        <w:t xml:space="preserve"> </w:t>
      </w:r>
      <w:r w:rsidRPr="00E674A3">
        <w:t>reports is not less than three years from the date of this approval letter, or the entire period of provisional registration, whichever is longer.</w:t>
      </w:r>
    </w:p>
    <w:p w14:paraId="076C66A8" w14:textId="5CE2D3B3" w:rsidR="0021275D" w:rsidRPr="00E674A3" w:rsidRDefault="0021275D" w:rsidP="00E674A3">
      <w:r w:rsidRPr="00E674A3">
        <w:t>The reports are to at least meet the requirements for PSURs as described in the European</w:t>
      </w:r>
      <w:r w:rsidR="00E674A3">
        <w:t xml:space="preserve"> </w:t>
      </w:r>
      <w:r w:rsidRPr="00E674A3">
        <w:t>Medicines Agency’s Guideline on good pharmacovigilance practices (GVP) Module VII-periodic safety update report (Rev 1), Part VII.B Structures and processes. Note that</w:t>
      </w:r>
      <w:r w:rsidR="00E674A3">
        <w:t xml:space="preserve"> </w:t>
      </w:r>
      <w:r w:rsidRPr="00E674A3">
        <w:t>submission of a PSUR does not constitute an application to vary the registration. Each</w:t>
      </w:r>
      <w:r w:rsidR="00E674A3">
        <w:t xml:space="preserve"> </w:t>
      </w:r>
      <w:r w:rsidRPr="00E674A3">
        <w:t>report must have been prepared within ninety calendar days of the data lock point for that</w:t>
      </w:r>
      <w:r w:rsidR="00E674A3">
        <w:t xml:space="preserve"> </w:t>
      </w:r>
      <w:r w:rsidRPr="00E674A3">
        <w:t>report.</w:t>
      </w:r>
    </w:p>
    <w:p w14:paraId="64AAFB05" w14:textId="12B5AE8C" w:rsidR="0021275D" w:rsidRPr="00E674A3" w:rsidRDefault="0021275D" w:rsidP="00E674A3">
      <w:r w:rsidRPr="00E674A3">
        <w:t>Additional to the routine submission of the routine PSURs, expedited safety summary</w:t>
      </w:r>
      <w:r w:rsidR="00E674A3">
        <w:t xml:space="preserve"> </w:t>
      </w:r>
      <w:r w:rsidRPr="00E674A3">
        <w:t>reports (including safety data for patients in Australia) are to be provided in line with the</w:t>
      </w:r>
      <w:r w:rsidR="00E674A3">
        <w:t xml:space="preserve"> </w:t>
      </w:r>
      <w:r w:rsidRPr="00E674A3">
        <w:t>frequency that these reports are submitted to the EMA, until otherwise specified by the</w:t>
      </w:r>
      <w:r w:rsidR="00E674A3">
        <w:t xml:space="preserve"> </w:t>
      </w:r>
      <w:r w:rsidRPr="00E674A3">
        <w:t>TGA.</w:t>
      </w:r>
    </w:p>
    <w:p w14:paraId="28AFEA6B" w14:textId="13754CA5" w:rsidR="0021275D" w:rsidRPr="00E674A3" w:rsidRDefault="0021275D" w:rsidP="00E674A3">
      <w:r w:rsidRPr="00E674A3">
        <w:t>The medicines are to be included in the Black Triangle Scheme. The PI and CMI for must</w:t>
      </w:r>
      <w:r w:rsidR="00E674A3">
        <w:t xml:space="preserve"> </w:t>
      </w:r>
      <w:r w:rsidRPr="00E674A3">
        <w:t>include the black triangle symbol and mandatory accompanying text for the products entire period of provisional registration.</w:t>
      </w:r>
    </w:p>
    <w:p w14:paraId="50B7A32F" w14:textId="77777777" w:rsidR="008E7846" w:rsidRDefault="00A80B5B" w:rsidP="00D23139">
      <w:pPr>
        <w:pStyle w:val="Heading2"/>
      </w:pPr>
      <w:bookmarkStart w:id="78" w:name="_Toc90280439"/>
      <w:r>
        <w:t xml:space="preserve">Attachment 1. </w:t>
      </w:r>
      <w:r w:rsidR="008E7846">
        <w:t xml:space="preserve">Product </w:t>
      </w:r>
      <w:r w:rsidR="00AA0ED0">
        <w:t>I</w:t>
      </w:r>
      <w:r w:rsidR="008E7846">
        <w:t>nformation</w:t>
      </w:r>
      <w:bookmarkEnd w:id="76"/>
      <w:bookmarkEnd w:id="77"/>
      <w:bookmarkEnd w:id="78"/>
    </w:p>
    <w:p w14:paraId="3811004D" w14:textId="69794DE6" w:rsidR="00744121" w:rsidRDefault="006136D7" w:rsidP="00744121">
      <w:pPr>
        <w:rPr>
          <w:lang w:eastAsia="ja-JP"/>
        </w:rPr>
      </w:pPr>
      <w:r w:rsidRPr="002B3624">
        <w:t xml:space="preserve">The </w:t>
      </w:r>
      <w:r>
        <w:t>PI</w:t>
      </w:r>
      <w:r w:rsidRPr="002B3624">
        <w:t xml:space="preserve"> for </w:t>
      </w:r>
      <w:proofErr w:type="spellStart"/>
      <w:r w:rsidR="00493A22">
        <w:t>Comirnaty</w:t>
      </w:r>
      <w:proofErr w:type="spellEnd"/>
      <w:r w:rsidR="00493A22">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56" w:history="1">
        <w:r w:rsidR="007C6B9B" w:rsidRPr="007C6B9B">
          <w:rPr>
            <w:rStyle w:val="Hyperlink"/>
          </w:rPr>
          <w:t>https://www.tga.gov.au/product-information-pi</w:t>
        </w:r>
      </w:hyperlink>
      <w:r w:rsidR="00493A22">
        <w:t>&gt;.</w:t>
      </w:r>
    </w:p>
    <w:p w14:paraId="7F455F9D" w14:textId="77777777" w:rsidR="00C80137" w:rsidRPr="001D043B" w:rsidRDefault="00C80137" w:rsidP="003A7F6C">
      <w:pPr>
        <w:pStyle w:val="TableTitle"/>
        <w:sectPr w:rsidR="00C80137" w:rsidRPr="001D043B" w:rsidSect="00B452CE">
          <w:headerReference w:type="even" r:id="rId57"/>
          <w:headerReference w:type="default" r:id="rId58"/>
          <w:headerReference w:type="first" r:id="rId59"/>
          <w:footerReference w:type="first" r:id="rId6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6C95175" w14:textId="77777777" w:rsidTr="00A05FA4">
        <w:trPr>
          <w:trHeight w:hRule="exact" w:val="704"/>
        </w:trPr>
        <w:tc>
          <w:tcPr>
            <w:tcW w:w="9175" w:type="dxa"/>
          </w:tcPr>
          <w:p w14:paraId="2371FB7B" w14:textId="77777777" w:rsidR="001C32CD" w:rsidRPr="00487162" w:rsidRDefault="001C32CD" w:rsidP="00A05FA4">
            <w:pPr>
              <w:pStyle w:val="TGASignoff"/>
            </w:pPr>
            <w:r w:rsidRPr="00487162">
              <w:lastRenderedPageBreak/>
              <w:t>Therapeutic Goods Administration</w:t>
            </w:r>
          </w:p>
        </w:tc>
      </w:tr>
      <w:tr w:rsidR="001C32CD" w:rsidRPr="004C239D" w14:paraId="367A6DA6" w14:textId="77777777" w:rsidTr="00A05FA4">
        <w:trPr>
          <w:trHeight w:val="1221"/>
        </w:trPr>
        <w:tc>
          <w:tcPr>
            <w:tcW w:w="9175" w:type="dxa"/>
            <w:tcMar>
              <w:top w:w="28" w:type="dxa"/>
            </w:tcMar>
          </w:tcPr>
          <w:p w14:paraId="5446E30C" w14:textId="77777777" w:rsidR="001C32CD" w:rsidRPr="00487162" w:rsidRDefault="001C32CD" w:rsidP="00A05FA4">
            <w:pPr>
              <w:pStyle w:val="Address"/>
            </w:pPr>
            <w:r w:rsidRPr="00487162">
              <w:t>PO Box 100 Woden ACT 2606 Australia</w:t>
            </w:r>
          </w:p>
          <w:p w14:paraId="3E8132A1" w14:textId="77777777" w:rsidR="001C32CD" w:rsidRPr="00487162" w:rsidRDefault="001C32CD" w:rsidP="00A05FA4">
            <w:pPr>
              <w:pStyle w:val="Address"/>
            </w:pPr>
            <w:r w:rsidRPr="00487162">
              <w:t xml:space="preserve">Email: </w:t>
            </w:r>
            <w:hyperlink r:id="rId61"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D801A35" w14:textId="77777777" w:rsidR="001C32CD" w:rsidRPr="004C239D" w:rsidRDefault="002F03CB" w:rsidP="00A05FA4">
            <w:pPr>
              <w:pStyle w:val="Address"/>
              <w:spacing w:line="260" w:lineRule="atLeast"/>
              <w:rPr>
                <w:b/>
                <w:color w:val="0000FF"/>
                <w:u w:val="single"/>
              </w:rPr>
            </w:pPr>
            <w:hyperlink r:id="rId62" w:history="1">
              <w:r w:rsidR="007C6B9B" w:rsidRPr="007C6B9B">
                <w:rPr>
                  <w:rStyle w:val="Hyperlink"/>
                  <w:b/>
                </w:rPr>
                <w:t>https://www.tga.gov.au</w:t>
              </w:r>
            </w:hyperlink>
          </w:p>
        </w:tc>
      </w:tr>
    </w:tbl>
    <w:p w14:paraId="11CD3FAA" w14:textId="77777777" w:rsidR="00774E1D" w:rsidRPr="008A5E0B" w:rsidRDefault="00774E1D" w:rsidP="004C239D"/>
    <w:sectPr w:rsidR="00774E1D" w:rsidRPr="008A5E0B" w:rsidSect="001C32CD">
      <w:headerReference w:type="even" r:id="rId63"/>
      <w:headerReference w:type="default" r:id="rId64"/>
      <w:footerReference w:type="default" r:id="rId65"/>
      <w:headerReference w:type="first" r:id="rId66"/>
      <w:footerReference w:type="first" r:id="rId6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F691B" w14:textId="77777777" w:rsidR="002F03CB" w:rsidRDefault="002F03CB" w:rsidP="00C40A36">
      <w:pPr>
        <w:spacing w:after="0"/>
      </w:pPr>
      <w:r>
        <w:separator/>
      </w:r>
    </w:p>
  </w:endnote>
  <w:endnote w:type="continuationSeparator" w:id="0">
    <w:p w14:paraId="50B6EA38" w14:textId="77777777" w:rsidR="002F03CB" w:rsidRDefault="002F03CB" w:rsidP="00C40A36">
      <w:pPr>
        <w:spacing w:after="0"/>
      </w:pPr>
      <w:r>
        <w:continuationSeparator/>
      </w:r>
    </w:p>
  </w:endnote>
  <w:endnote w:type="continuationNotice" w:id="1">
    <w:p w14:paraId="1C0B3DF8" w14:textId="77777777" w:rsidR="002F03CB" w:rsidRDefault="002F03C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imesNewRoman,BoldItalic">
    <w:altName w:val="MS Gothic"/>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41E6" w14:textId="77777777" w:rsidR="002F03CB" w:rsidRDefault="002F0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03CB" w:rsidRPr="00487162" w14:paraId="53C6BF19" w14:textId="77777777" w:rsidTr="00DB750B">
      <w:trPr>
        <w:trHeight w:val="269"/>
      </w:trPr>
      <w:tc>
        <w:tcPr>
          <w:tcW w:w="7371" w:type="dxa"/>
          <w:tcMar>
            <w:top w:w="142" w:type="dxa"/>
            <w:bottom w:w="0" w:type="dxa"/>
          </w:tcMar>
        </w:tcPr>
        <w:p w14:paraId="44816803" w14:textId="7F1ED53A" w:rsidR="002F03CB" w:rsidRPr="00487162" w:rsidRDefault="002F03CB" w:rsidP="00AD11A2">
          <w:pPr>
            <w:pStyle w:val="Footer"/>
          </w:pPr>
          <w:proofErr w:type="spellStart"/>
          <w:r w:rsidRPr="00487162">
            <w:t>AusPA</w:t>
          </w:r>
          <w:r>
            <w:t>R</w:t>
          </w:r>
          <w:proofErr w:type="spellEnd"/>
          <w:r>
            <w:t xml:space="preserve"> - </w:t>
          </w:r>
          <w:proofErr w:type="spellStart"/>
          <w:r>
            <w:t>Comirnaty</w:t>
          </w:r>
          <w:proofErr w:type="spellEnd"/>
          <w:r>
            <w:t xml:space="preserve"> – </w:t>
          </w:r>
          <w:proofErr w:type="spellStart"/>
          <w:r>
            <w:t>tozinameran</w:t>
          </w:r>
          <w:proofErr w:type="spellEnd"/>
          <w:r w:rsidRPr="00460036">
            <w:t xml:space="preserve"> </w:t>
          </w:r>
          <w:r>
            <w:t>– Pfizer Australia Pty Ltd PM-2021-05012-1-2</w:t>
          </w:r>
          <w:r>
            <w:br/>
          </w:r>
          <w:r w:rsidRPr="00487162">
            <w:t xml:space="preserve">Draft </w:t>
          </w:r>
          <w:r>
            <w:t>V1.0 7 December 2021</w:t>
          </w:r>
        </w:p>
      </w:tc>
      <w:tc>
        <w:tcPr>
          <w:tcW w:w="1490" w:type="dxa"/>
          <w:tcMar>
            <w:top w:w="142" w:type="dxa"/>
            <w:bottom w:w="0" w:type="dxa"/>
          </w:tcMar>
        </w:tcPr>
        <w:p w14:paraId="33801588" w14:textId="59C165D2" w:rsidR="002F03CB" w:rsidRPr="00487162" w:rsidRDefault="002F03CB" w:rsidP="00DB750B">
          <w:pPr>
            <w:pStyle w:val="Footer"/>
            <w:jc w:val="right"/>
          </w:pPr>
          <w:r w:rsidRPr="00487162">
            <w:t xml:space="preserve">Page </w:t>
          </w:r>
          <w:r w:rsidRPr="00AC1D93">
            <w:rPr>
              <w:shd w:val="clear" w:color="auto" w:fill="FFFFFF" w:themeFill="background1"/>
            </w:rPr>
            <w:fldChar w:fldCharType="begin"/>
          </w:r>
          <w:r w:rsidRPr="00AC1D93">
            <w:rPr>
              <w:shd w:val="clear" w:color="auto" w:fill="FFFFFF" w:themeFill="background1"/>
            </w:rPr>
            <w:instrText xml:space="preserve"> PAGE  \* Arabic </w:instrText>
          </w:r>
          <w:r w:rsidRPr="00AC1D93">
            <w:rPr>
              <w:shd w:val="clear" w:color="auto" w:fill="FFFFFF" w:themeFill="background1"/>
            </w:rPr>
            <w:fldChar w:fldCharType="separate"/>
          </w:r>
          <w:r w:rsidRPr="00AC1D93">
            <w:rPr>
              <w:noProof/>
              <w:shd w:val="clear" w:color="auto" w:fill="FFFFFF" w:themeFill="background1"/>
            </w:rPr>
            <w:t>72</w:t>
          </w:r>
          <w:r w:rsidRPr="00AC1D93">
            <w:rPr>
              <w:shd w:val="clear" w:color="auto" w:fill="FFFFFF" w:themeFill="background1"/>
            </w:rPr>
            <w:fldChar w:fldCharType="end"/>
          </w:r>
          <w:r w:rsidRPr="00487162">
            <w:t xml:space="preserve"> of </w:t>
          </w:r>
          <w:r w:rsidRPr="00AC1D93">
            <w:rPr>
              <w:color w:val="2B579A"/>
            </w:rPr>
            <w:fldChar w:fldCharType="begin"/>
          </w:r>
          <w:r w:rsidRPr="00AC1D93">
            <w:instrText>NUMPAGES  \* Arabic</w:instrText>
          </w:r>
          <w:r w:rsidRPr="00AC1D93">
            <w:rPr>
              <w:color w:val="2B579A"/>
            </w:rPr>
            <w:fldChar w:fldCharType="separate"/>
          </w:r>
          <w:r w:rsidRPr="00AC1D93">
            <w:rPr>
              <w:noProof/>
            </w:rPr>
            <w:t>74</w:t>
          </w:r>
          <w:r w:rsidRPr="00AC1D93">
            <w:rPr>
              <w:color w:val="2B579A"/>
            </w:rPr>
            <w:fldChar w:fldCharType="end"/>
          </w:r>
        </w:p>
      </w:tc>
    </w:tr>
  </w:tbl>
  <w:p w14:paraId="0A9E00DF" w14:textId="77777777" w:rsidR="002F03CB" w:rsidRDefault="002F03C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C3DD2" w14:textId="77777777" w:rsidR="002F03CB" w:rsidRDefault="002F03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03CB" w:rsidRPr="00487162" w14:paraId="7D7A7C02" w14:textId="77777777" w:rsidTr="00E45619">
      <w:trPr>
        <w:trHeight w:val="269"/>
      </w:trPr>
      <w:tc>
        <w:tcPr>
          <w:tcW w:w="4519" w:type="dxa"/>
          <w:tcBorders>
            <w:top w:val="single" w:sz="4" w:space="0" w:color="auto"/>
          </w:tcBorders>
          <w:tcMar>
            <w:top w:w="142" w:type="dxa"/>
            <w:bottom w:w="0" w:type="dxa"/>
          </w:tcMar>
        </w:tcPr>
        <w:p w14:paraId="6133155C" w14:textId="77777777" w:rsidR="002F03CB" w:rsidRPr="00487162" w:rsidRDefault="002F03CB" w:rsidP="00FE1DEE">
          <w:pPr>
            <w:pStyle w:val="Footer"/>
          </w:pPr>
          <w:r w:rsidRPr="00487162">
            <w:t>Document title, Part #, Section # - Section title</w:t>
          </w:r>
        </w:p>
        <w:p w14:paraId="7FC74FA5" w14:textId="77777777" w:rsidR="002F03CB" w:rsidRPr="00487162" w:rsidRDefault="002F03CB" w:rsidP="00FE1DEE">
          <w:pPr>
            <w:pStyle w:val="Footer"/>
          </w:pPr>
          <w:r w:rsidRPr="00487162">
            <w:t>V1.0 October 2010</w:t>
          </w:r>
        </w:p>
      </w:tc>
      <w:tc>
        <w:tcPr>
          <w:tcW w:w="4342" w:type="dxa"/>
          <w:tcBorders>
            <w:top w:val="single" w:sz="4" w:space="0" w:color="auto"/>
          </w:tcBorders>
          <w:tcMar>
            <w:top w:w="142" w:type="dxa"/>
            <w:bottom w:w="0" w:type="dxa"/>
          </w:tcMar>
        </w:tcPr>
        <w:p w14:paraId="1C477C5B" w14:textId="77777777" w:rsidR="002F03CB" w:rsidRPr="00487162" w:rsidRDefault="002F03CB"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noProof/>
              <w:color w:val="2B579A"/>
              <w:shd w:val="clear" w:color="auto" w:fill="E6E6E6"/>
            </w:rPr>
            <w:fldChar w:fldCharType="end"/>
          </w:r>
          <w:r w:rsidRPr="00487162">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w:t>
          </w:r>
          <w:r>
            <w:rPr>
              <w:color w:val="2B579A"/>
              <w:shd w:val="clear" w:color="auto" w:fill="E6E6E6"/>
            </w:rPr>
            <w:fldChar w:fldCharType="end"/>
          </w:r>
        </w:p>
      </w:tc>
    </w:tr>
  </w:tbl>
  <w:p w14:paraId="5EF44778" w14:textId="77777777" w:rsidR="002F03CB" w:rsidRDefault="002F03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72334" w14:textId="77777777" w:rsidR="002F03CB" w:rsidRPr="001C32CD" w:rsidRDefault="002F03C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03CB" w14:paraId="44D2DBFE" w14:textId="77777777" w:rsidTr="0010601F">
      <w:trPr>
        <w:trHeight w:val="108"/>
      </w:trPr>
      <w:tc>
        <w:tcPr>
          <w:tcW w:w="8875" w:type="dxa"/>
          <w:gridSpan w:val="2"/>
          <w:tcBorders>
            <w:bottom w:val="single" w:sz="4" w:space="0" w:color="auto"/>
          </w:tcBorders>
          <w:tcMar>
            <w:right w:w="284" w:type="dxa"/>
          </w:tcMar>
        </w:tcPr>
        <w:p w14:paraId="531F93D6" w14:textId="77777777" w:rsidR="002F03CB" w:rsidRDefault="002F03CB" w:rsidP="006E08B3">
          <w:pPr>
            <w:pStyle w:val="Heading3"/>
          </w:pPr>
          <w:r>
            <w:t>Copyright</w:t>
          </w:r>
        </w:p>
        <w:p w14:paraId="7D775234" w14:textId="77777777" w:rsidR="002F03CB" w:rsidRDefault="002F03CB" w:rsidP="006E08B3">
          <w:r>
            <w:rPr>
              <w:rFonts w:cs="Arial"/>
            </w:rPr>
            <w:t>©</w:t>
          </w:r>
          <w:r>
            <w:t xml:space="preserve"> Commonwealth of Australia [add year]</w:t>
          </w:r>
        </w:p>
        <w:p w14:paraId="65999072" w14:textId="77777777" w:rsidR="002F03CB" w:rsidRDefault="002F03CB" w:rsidP="006E08B3"/>
        <w:p w14:paraId="4F47537C" w14:textId="77777777" w:rsidR="002F03CB" w:rsidRDefault="002F03C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E5A8F5D" w14:textId="77777777" w:rsidR="002F03CB" w:rsidRDefault="002F03CB" w:rsidP="006E08B3"/>
        <w:p w14:paraId="733AE263" w14:textId="77777777" w:rsidR="002F03CB" w:rsidRDefault="002F03CB" w:rsidP="006E08B3">
          <w:pPr>
            <w:pStyle w:val="Heading3"/>
          </w:pPr>
          <w:r>
            <w:t>Confidentiality</w:t>
          </w:r>
        </w:p>
        <w:p w14:paraId="350BD6B1" w14:textId="77777777" w:rsidR="002F03CB" w:rsidRDefault="002F03C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2381F57" w14:textId="77777777" w:rsidR="002F03CB" w:rsidRDefault="002F03CB" w:rsidP="006E08B3"/>
        <w:p w14:paraId="5E171AAE" w14:textId="77777777" w:rsidR="002F03CB" w:rsidRDefault="002F03CB" w:rsidP="006E08B3">
          <w:r>
            <w:t>For submission made by individuals, all personal details, other than your name, will be removed from your submission before it is published on the TGA’s Internet site.</w:t>
          </w:r>
        </w:p>
        <w:p w14:paraId="37676964" w14:textId="77777777" w:rsidR="002F03CB" w:rsidRDefault="002F03CB" w:rsidP="006E08B3"/>
        <w:p w14:paraId="1542F58D" w14:textId="77777777" w:rsidR="002F03CB" w:rsidRDefault="002F03C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F03CB" w14:paraId="291675D5" w14:textId="77777777" w:rsidTr="0010601F">
      <w:trPr>
        <w:trHeight w:val="417"/>
      </w:trPr>
      <w:tc>
        <w:tcPr>
          <w:tcW w:w="4519" w:type="dxa"/>
          <w:tcBorders>
            <w:top w:val="single" w:sz="4" w:space="0" w:color="auto"/>
          </w:tcBorders>
          <w:tcMar>
            <w:top w:w="142" w:type="dxa"/>
            <w:bottom w:w="0" w:type="dxa"/>
          </w:tcMar>
        </w:tcPr>
        <w:p w14:paraId="684E7AD5" w14:textId="77777777" w:rsidR="002F03CB" w:rsidRDefault="002F03CB" w:rsidP="006E08B3">
          <w:r>
            <w:t>Document title, Part #, Section # - Section title</w:t>
          </w:r>
        </w:p>
        <w:p w14:paraId="25CB3C3C" w14:textId="77777777" w:rsidR="002F03CB" w:rsidRDefault="002F03CB" w:rsidP="006E08B3">
          <w:r>
            <w:t>V1.0 October 2010</w:t>
          </w:r>
        </w:p>
      </w:tc>
      <w:tc>
        <w:tcPr>
          <w:tcW w:w="4356" w:type="dxa"/>
          <w:tcBorders>
            <w:top w:val="single" w:sz="4" w:space="0" w:color="auto"/>
          </w:tcBorders>
          <w:tcMar>
            <w:top w:w="142" w:type="dxa"/>
            <w:bottom w:w="0" w:type="dxa"/>
          </w:tcMar>
        </w:tcPr>
        <w:p w14:paraId="00D29122" w14:textId="77777777" w:rsidR="002F03CB" w:rsidRDefault="002F03CB"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r>
            <w:t xml:space="preserve"> of </w:t>
          </w:r>
          <w:r>
            <w:rPr>
              <w:color w:val="2B579A"/>
              <w:shd w:val="clear" w:color="auto" w:fill="E6E6E6"/>
            </w:rPr>
            <w:fldChar w:fldCharType="begin"/>
          </w:r>
          <w:r>
            <w:instrText>NUMPAGES  \* Arabic</w:instrText>
          </w:r>
          <w:r>
            <w:rPr>
              <w:color w:val="2B579A"/>
              <w:shd w:val="clear" w:color="auto" w:fill="E6E6E6"/>
            </w:rPr>
            <w:fldChar w:fldCharType="separate"/>
          </w:r>
          <w:r>
            <w:rPr>
              <w:noProof/>
            </w:rPr>
            <w:t>2</w:t>
          </w:r>
          <w:r>
            <w:rPr>
              <w:color w:val="2B579A"/>
              <w:shd w:val="clear" w:color="auto" w:fill="E6E6E6"/>
            </w:rPr>
            <w:fldChar w:fldCharType="end"/>
          </w:r>
          <w:r>
            <w:t xml:space="preserve">  </w:t>
          </w:r>
        </w:p>
      </w:tc>
    </w:tr>
  </w:tbl>
  <w:p w14:paraId="5DB333DC" w14:textId="77777777" w:rsidR="002F03CB" w:rsidRDefault="002F0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27D97" w14:textId="77777777" w:rsidR="002F03CB" w:rsidRDefault="002F03CB" w:rsidP="00C40A36">
      <w:pPr>
        <w:spacing w:after="0"/>
      </w:pPr>
      <w:r>
        <w:separator/>
      </w:r>
    </w:p>
  </w:footnote>
  <w:footnote w:type="continuationSeparator" w:id="0">
    <w:p w14:paraId="5AA98B77" w14:textId="77777777" w:rsidR="002F03CB" w:rsidRDefault="002F03CB" w:rsidP="00C40A36">
      <w:pPr>
        <w:spacing w:after="0"/>
      </w:pPr>
      <w:r>
        <w:continuationSeparator/>
      </w:r>
    </w:p>
  </w:footnote>
  <w:footnote w:type="continuationNotice" w:id="1">
    <w:p w14:paraId="15FA170A" w14:textId="77777777" w:rsidR="002F03CB" w:rsidRDefault="002F03CB">
      <w:pPr>
        <w:spacing w:before="0" w:after="0" w:line="240" w:lineRule="auto"/>
      </w:pPr>
    </w:p>
  </w:footnote>
  <w:footnote w:id="2">
    <w:p w14:paraId="700907C9" w14:textId="2DC66598" w:rsidR="002F03CB" w:rsidRPr="005F6462" w:rsidRDefault="002F03CB">
      <w:pPr>
        <w:pStyle w:val="FootnoteText"/>
        <w:rPr>
          <w:lang w:val="en-GB"/>
        </w:rPr>
      </w:pPr>
      <w:r>
        <w:rPr>
          <w:rStyle w:val="FootnoteReference"/>
        </w:rPr>
        <w:footnoteRef/>
      </w:r>
      <w:r>
        <w:t xml:space="preserve"> </w:t>
      </w:r>
      <w:r w:rsidRPr="009426DE">
        <w:rPr>
          <w:b/>
        </w:rPr>
        <w:t>Tozinameran</w:t>
      </w:r>
      <w:r>
        <w:t>, the active ingredient in the Comirnaty</w:t>
      </w:r>
      <w:r w:rsidRPr="005F6462">
        <w:t xml:space="preserve"> COVID-19 Vaccine</w:t>
      </w:r>
      <w:r>
        <w:t xml:space="preserve"> was previously registered in Australia and overseas by the provisional drug name </w:t>
      </w:r>
      <w:r w:rsidRPr="009426DE">
        <w:rPr>
          <w:b/>
        </w:rPr>
        <w:t>BNT162b2</w:t>
      </w:r>
      <w:r>
        <w:t>. Both the International non-proprietary name (INN) and the Australian Approved Name (AAN) is accepted as being tozinameran, and it is therefore referred to as Comirnaty (tozinameran) COVID-19 Vaccine throughout this AusPAR. This is in contrast to the use of BNT162b2 as the name of the active ingredient in earlier AusPARs. The change is in name only; the composition of the active ingredient is unchanged in any way.</w:t>
      </w:r>
    </w:p>
  </w:footnote>
  <w:footnote w:id="3">
    <w:p w14:paraId="272E5A04" w14:textId="77777777" w:rsidR="002F03CB" w:rsidRDefault="002F03C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4">
    <w:p w14:paraId="16EDE327" w14:textId="1B5D1005" w:rsidR="002F03CB" w:rsidRPr="0015659E" w:rsidRDefault="002F03CB">
      <w:pPr>
        <w:pStyle w:val="FootnoteText"/>
        <w:rPr>
          <w:lang w:val="en-GB"/>
        </w:rPr>
      </w:pPr>
      <w:r>
        <w:rPr>
          <w:rStyle w:val="FootnoteReference"/>
        </w:rPr>
        <w:footnoteRef/>
      </w:r>
      <w:r>
        <w:t xml:space="preserve"> Australian Public Assessment Report (</w:t>
      </w:r>
      <w:r>
        <w:t xml:space="preserve">AusPAR) for BNT162b2 (mRNA) </w:t>
      </w:r>
      <w:r w:rsidRPr="0015659E">
        <w:t>Comirnaty</w:t>
      </w:r>
      <w:r>
        <w:t xml:space="preserve"> Pfizer Australia Pty Ltd </w:t>
      </w:r>
      <w:r w:rsidRPr="0015659E">
        <w:t>PM-2020-05461-1-2</w:t>
      </w:r>
      <w:r>
        <w:t xml:space="preserve">. Approved: 25 January 2021; published online: 25 January 2021. Available at: </w:t>
      </w:r>
      <w:hyperlink r:id="rId1" w:history="1">
        <w:r>
          <w:rPr>
            <w:rStyle w:val="Hyperlink"/>
          </w:rPr>
          <w:t>AusPAR: BNT162b2 (mRNA) - Comirnaty | Therapeutic Goods Administration (TGA)</w:t>
        </w:r>
      </w:hyperlink>
    </w:p>
  </w:footnote>
  <w:footnote w:id="5">
    <w:p w14:paraId="663A8DEE" w14:textId="554251C5" w:rsidR="002F03CB" w:rsidRPr="0015659E" w:rsidRDefault="002F03CB">
      <w:pPr>
        <w:pStyle w:val="FootnoteText"/>
        <w:rPr>
          <w:lang w:val="en-GB"/>
        </w:rPr>
      </w:pPr>
      <w:r>
        <w:rPr>
          <w:rStyle w:val="FootnoteReference"/>
        </w:rPr>
        <w:footnoteRef/>
      </w:r>
      <w:r>
        <w:t xml:space="preserve"> Australian Public Assessment Report (</w:t>
      </w:r>
      <w:r>
        <w:t xml:space="preserve">AusPAR) for BNT162b2 (mRNA) </w:t>
      </w:r>
      <w:r w:rsidRPr="0015659E">
        <w:t>Comirnaty</w:t>
      </w:r>
      <w:r>
        <w:t xml:space="preserve"> Pfizer Australia Pty Ltd </w:t>
      </w:r>
      <w:r w:rsidRPr="00AB64A5">
        <w:t>PM-2021-02187-1-2</w:t>
      </w:r>
      <w:r>
        <w:t xml:space="preserve">. Approved: 22 July 2021; published online: 23 July 2021. Available at: </w:t>
      </w:r>
      <w:hyperlink r:id="rId2" w:history="1">
        <w:r>
          <w:rPr>
            <w:rStyle w:val="Hyperlink"/>
          </w:rPr>
          <w:t>AusPAR: BNT162b2 (mRNA) | Therapeutic Goods Administration (TGA)</w:t>
        </w:r>
      </w:hyperlink>
    </w:p>
  </w:footnote>
  <w:footnote w:id="6">
    <w:p w14:paraId="384007C5" w14:textId="77777777" w:rsidR="002F03CB" w:rsidRPr="00A14D5C" w:rsidRDefault="002F03CB">
      <w:pPr>
        <w:pStyle w:val="FootnoteText"/>
        <w:rPr>
          <w:lang w:val="en-US"/>
        </w:rPr>
      </w:pPr>
      <w:r>
        <w:rPr>
          <w:rStyle w:val="FootnoteReference"/>
        </w:rPr>
        <w:footnoteRef/>
      </w:r>
      <w:r>
        <w:t xml:space="preserve"> Zhu, N. </w:t>
      </w:r>
      <w:r w:rsidRPr="00153388">
        <w:t>et al. A Novel Coronavirus from Patients with Pneumonia in China, 2019</w:t>
      </w:r>
      <w:r>
        <w:t>,</w:t>
      </w:r>
      <w:r w:rsidRPr="00153388">
        <w:t xml:space="preserve"> </w:t>
      </w:r>
      <w:r w:rsidRPr="00AA00FD">
        <w:rPr>
          <w:i/>
          <w:iCs/>
        </w:rPr>
        <w:t>N. Engl. J. Med</w:t>
      </w:r>
      <w:r>
        <w:t>,</w:t>
      </w:r>
      <w:r w:rsidRPr="00153388">
        <w:rPr>
          <w:i/>
          <w:iCs/>
        </w:rPr>
        <w:t xml:space="preserve"> </w:t>
      </w:r>
      <w:r w:rsidRPr="00153388">
        <w:t>2020;</w:t>
      </w:r>
      <w:r>
        <w:t xml:space="preserve"> </w:t>
      </w:r>
      <w:r w:rsidRPr="00153388">
        <w:t>382(8):</w:t>
      </w:r>
      <w:r>
        <w:t xml:space="preserve"> 727-733.</w:t>
      </w:r>
    </w:p>
  </w:footnote>
  <w:footnote w:id="7">
    <w:p w14:paraId="0B76F2E0" w14:textId="258A6135" w:rsidR="002F03CB" w:rsidRPr="00A14D5C" w:rsidRDefault="002F03CB">
      <w:pPr>
        <w:pStyle w:val="FootnoteText"/>
        <w:rPr>
          <w:lang w:val="en-US"/>
        </w:rPr>
      </w:pPr>
      <w:r>
        <w:rPr>
          <w:rStyle w:val="FootnoteReference"/>
        </w:rPr>
        <w:footnoteRef/>
      </w:r>
      <w:r>
        <w:t xml:space="preserve"> World Health Organization (WHO; </w:t>
      </w:r>
      <w:r w:rsidRPr="00255565">
        <w:t xml:space="preserve">2020) </w:t>
      </w:r>
      <w:hyperlink r:id="rId3" w:history="1">
        <w:r w:rsidRPr="0087281D">
          <w:t>WHO Director-General Speeches</w:t>
        </w:r>
      </w:hyperlink>
      <w:r w:rsidRPr="0087281D">
        <w:t xml:space="preserve">: </w:t>
      </w:r>
      <w:r w:rsidRPr="009317B9">
        <w:t xml:space="preserve">WHO Director-General's Opening Remarks </w:t>
      </w:r>
      <w:r>
        <w:t>a</w:t>
      </w:r>
      <w:r w:rsidRPr="009317B9">
        <w:t xml:space="preserve">t </w:t>
      </w:r>
      <w:r>
        <w:t>t</w:t>
      </w:r>
      <w:r w:rsidRPr="009317B9">
        <w:t xml:space="preserve">he Media Briefing on COVID-19 </w:t>
      </w:r>
      <w:r>
        <w:t>(</w:t>
      </w:r>
      <w:r w:rsidRPr="009317B9">
        <w:t>11 March 2020</w:t>
      </w:r>
      <w:r>
        <w:t xml:space="preserve">). </w:t>
      </w:r>
      <w:r w:rsidRPr="0044577A">
        <w:rPr>
          <w:color w:val="000000" w:themeColor="text1"/>
        </w:rPr>
        <w:t>Available from the WHO website.</w:t>
      </w:r>
    </w:p>
  </w:footnote>
  <w:footnote w:id="8">
    <w:p w14:paraId="6D503AD6" w14:textId="77777777" w:rsidR="002F03CB" w:rsidRDefault="002F03CB" w:rsidP="007F1FB8">
      <w:pPr>
        <w:pStyle w:val="FootnoteText"/>
      </w:pPr>
      <w:r w:rsidRPr="0044577A">
        <w:rPr>
          <w:rStyle w:val="FootnoteReference"/>
          <w:color w:val="000000" w:themeColor="text1"/>
        </w:rPr>
        <w:footnoteRef/>
      </w:r>
      <w:r w:rsidRPr="0044577A">
        <w:rPr>
          <w:color w:val="000000" w:themeColor="text1"/>
        </w:rPr>
        <w:t xml:space="preserve"> World Health Organization</w:t>
      </w:r>
      <w:r>
        <w:rPr>
          <w:color w:val="000000" w:themeColor="text1"/>
        </w:rPr>
        <w:t xml:space="preserve"> (WHO)</w:t>
      </w:r>
      <w:r w:rsidRPr="0044577A">
        <w:rPr>
          <w:color w:val="000000" w:themeColor="text1"/>
        </w:rPr>
        <w:t xml:space="preserve">, Coronavirus Disease (COVID-19) Dashboard. </w:t>
      </w:r>
      <w:r>
        <w:t>Available from the WHO website.</w:t>
      </w:r>
    </w:p>
  </w:footnote>
  <w:footnote w:id="9">
    <w:p w14:paraId="39EE1E2D" w14:textId="77777777" w:rsidR="002F03CB" w:rsidRDefault="002F03CB" w:rsidP="007F1FB8">
      <w:pPr>
        <w:pStyle w:val="FootnoteText"/>
      </w:pPr>
      <w:r>
        <w:rPr>
          <w:rStyle w:val="FootnoteReference"/>
        </w:rPr>
        <w:footnoteRef/>
      </w:r>
      <w:r>
        <w:t xml:space="preserve"> Australian Government, Department of Health (last updated 28 October 2021) Coronavirus (COVID-19) Case Numbers and Statistics.</w:t>
      </w:r>
    </w:p>
    <w:p w14:paraId="7F0876B1" w14:textId="77777777" w:rsidR="002F03CB" w:rsidRDefault="002F03CB" w:rsidP="007F1FB8">
      <w:pPr>
        <w:pStyle w:val="FootnoteText"/>
      </w:pPr>
      <w:r>
        <w:t>Available at: </w:t>
      </w:r>
      <w:hyperlink r:id="rId4" w:history="1">
        <w:r w:rsidRPr="00C14804">
          <w:rPr>
            <w:rStyle w:val="Hyperlink"/>
          </w:rPr>
          <w:t>https://www.health.gov.au/news/health-alerts/novel-coronavirus-2019-ncov-health-alert/coronavirus-covid-19-case-numbers-and-statistics</w:t>
        </w:r>
      </w:hyperlink>
      <w:r>
        <w:t>.</w:t>
      </w:r>
    </w:p>
  </w:footnote>
  <w:footnote w:id="10">
    <w:p w14:paraId="02BE560C" w14:textId="77777777" w:rsidR="002F03CB" w:rsidRPr="007F1FB8" w:rsidRDefault="002F03CB">
      <w:pPr>
        <w:pStyle w:val="FootnoteText"/>
        <w:rPr>
          <w:lang w:val="en-US"/>
        </w:rPr>
      </w:pPr>
      <w:r>
        <w:rPr>
          <w:rStyle w:val="FootnoteReference"/>
        </w:rPr>
        <w:footnoteRef/>
      </w:r>
      <w:r>
        <w:t xml:space="preserve"> McIntosh, K. </w:t>
      </w:r>
      <w:r w:rsidRPr="000B1829">
        <w:rPr>
          <w:color w:val="000000" w:themeColor="text1"/>
        </w:rPr>
        <w:t xml:space="preserve">Coronavirus Disease 2019 (COVID-19): Clinical Features, In: </w:t>
      </w:r>
      <w:r w:rsidRPr="000B1829">
        <w:rPr>
          <w:i/>
          <w:color w:val="000000" w:themeColor="text1"/>
        </w:rPr>
        <w:t>UpToDate</w:t>
      </w:r>
      <w:r>
        <w:rPr>
          <w:color w:val="000000" w:themeColor="text1"/>
        </w:rPr>
        <w:t>, Waltham, MA</w:t>
      </w:r>
      <w:r w:rsidRPr="000B1829">
        <w:rPr>
          <w:color w:val="000000" w:themeColor="text1"/>
        </w:rPr>
        <w:t xml:space="preserve">. </w:t>
      </w:r>
      <w:r>
        <w:t xml:space="preserve">Available from the </w:t>
      </w:r>
      <w:r w:rsidRPr="00F52D1E">
        <w:rPr>
          <w:i/>
        </w:rPr>
        <w:t>UpToDate</w:t>
      </w:r>
      <w:r>
        <w:t xml:space="preserve"> website.</w:t>
      </w:r>
    </w:p>
  </w:footnote>
  <w:footnote w:id="11">
    <w:p w14:paraId="5AF7B3A5" w14:textId="77777777" w:rsidR="002F03CB" w:rsidRPr="00A55DCE" w:rsidRDefault="002F03CB">
      <w:pPr>
        <w:pStyle w:val="FootnoteText"/>
        <w:rPr>
          <w:lang w:val="en-US"/>
        </w:rPr>
      </w:pPr>
      <w:r>
        <w:rPr>
          <w:rStyle w:val="FootnoteReference"/>
        </w:rPr>
        <w:footnoteRef/>
      </w:r>
      <w:r>
        <w:t xml:space="preserve"> </w:t>
      </w:r>
      <w:r>
        <w:t>Comirnaty</w:t>
      </w:r>
      <w:r w:rsidRPr="00B4694F">
        <w:t xml:space="preserve"> was first registered on the ARTG on 25</w:t>
      </w:r>
      <w:r>
        <w:t xml:space="preserve"> January </w:t>
      </w:r>
      <w:r w:rsidRPr="00B4694F">
        <w:t xml:space="preserve">2021 (ARTG number: </w:t>
      </w:r>
      <w:r>
        <w:t>346290</w:t>
      </w:r>
      <w:r w:rsidRPr="00B4694F">
        <w:t>).</w:t>
      </w:r>
    </w:p>
  </w:footnote>
  <w:footnote w:id="12">
    <w:p w14:paraId="6BB39E01" w14:textId="77777777" w:rsidR="002F03CB" w:rsidRPr="00A55DCE" w:rsidRDefault="002F03CB">
      <w:pPr>
        <w:pStyle w:val="FootnoteText"/>
      </w:pPr>
      <w:r>
        <w:rPr>
          <w:rStyle w:val="FootnoteReference"/>
        </w:rPr>
        <w:footnoteRef/>
      </w:r>
      <w:r>
        <w:t xml:space="preserve"> </w:t>
      </w:r>
      <w:r>
        <w:t>AusPAR for Comirnaty (</w:t>
      </w:r>
      <w:r w:rsidRPr="00CB4E2F">
        <w:t>BNT162b2 (mRNA)</w:t>
      </w:r>
      <w:r>
        <w:t xml:space="preserve">) new biological entity, published on 25 January 2021. Available at: </w:t>
      </w:r>
      <w:hyperlink r:id="rId5" w:history="1">
        <w:r w:rsidRPr="00AD11B1">
          <w:rPr>
            <w:rStyle w:val="Hyperlink"/>
          </w:rPr>
          <w:t>https://www.tga.gov.au/auspar/auspar-bnt162b2-mrna-comirnaty</w:t>
        </w:r>
      </w:hyperlink>
      <w:r>
        <w:rPr>
          <w:rStyle w:val="Hyperlink"/>
        </w:rPr>
        <w:t>.</w:t>
      </w:r>
    </w:p>
  </w:footnote>
  <w:footnote w:id="13">
    <w:p w14:paraId="64C16DC5" w14:textId="77777777" w:rsidR="002F03CB" w:rsidRPr="00A55DCE" w:rsidRDefault="002F03CB">
      <w:pPr>
        <w:pStyle w:val="FootnoteText"/>
      </w:pPr>
      <w:r>
        <w:rPr>
          <w:rStyle w:val="FootnoteReference"/>
        </w:rPr>
        <w:footnoteRef/>
      </w:r>
      <w:r>
        <w:t xml:space="preserve"> </w:t>
      </w:r>
      <w:r>
        <w:t>AusPAR for Comirnaty (</w:t>
      </w:r>
      <w:r w:rsidRPr="00CB4E2F">
        <w:t>BNT162b2 (mRNA)</w:t>
      </w:r>
      <w:r>
        <w:t>) e</w:t>
      </w:r>
      <w:r w:rsidRPr="00D86E36">
        <w:t>xtension of indications</w:t>
      </w:r>
      <w:r>
        <w:t xml:space="preserve">, published on </w:t>
      </w:r>
      <w:r w:rsidRPr="00D86E36">
        <w:t>23 July 2021</w:t>
      </w:r>
      <w:r>
        <w:t xml:space="preserve">. Available at: </w:t>
      </w:r>
      <w:hyperlink r:id="rId6" w:history="1">
        <w:r w:rsidRPr="00AD11B1">
          <w:rPr>
            <w:rStyle w:val="Hyperlink"/>
          </w:rPr>
          <w:t>https://www.tga.gov.au/auspar/auspar-bnt162b2-mrna</w:t>
        </w:r>
      </w:hyperlink>
      <w:r>
        <w:rPr>
          <w:rStyle w:val="Hyperlink"/>
        </w:rPr>
        <w:t>.</w:t>
      </w:r>
    </w:p>
  </w:footnote>
  <w:footnote w:id="14">
    <w:p w14:paraId="6B9CFD80" w14:textId="77777777" w:rsidR="002F03CB" w:rsidRPr="00A55DCE" w:rsidRDefault="002F03CB">
      <w:pPr>
        <w:pStyle w:val="FootnoteText"/>
        <w:rPr>
          <w:lang w:val="en-US"/>
        </w:rPr>
      </w:pPr>
      <w:r>
        <w:rPr>
          <w:rStyle w:val="FootnoteReference"/>
        </w:rPr>
        <w:footnoteRef/>
      </w:r>
      <w:r>
        <w:t xml:space="preserve"> </w:t>
      </w:r>
      <w:r w:rsidRPr="00582A8E">
        <w:t>Spikevax</w:t>
      </w:r>
      <w:r w:rsidRPr="00B4694F">
        <w:t xml:space="preserve"> was first registered on the ARTG on </w:t>
      </w:r>
      <w:r w:rsidRPr="00582A8E">
        <w:t>9</w:t>
      </w:r>
      <w:r>
        <w:t xml:space="preserve"> August </w:t>
      </w:r>
      <w:r w:rsidRPr="00582A8E">
        <w:t>2021</w:t>
      </w:r>
      <w:r w:rsidRPr="00B4694F">
        <w:t xml:space="preserve"> (ARTG</w:t>
      </w:r>
      <w:r>
        <w:t xml:space="preserve"> </w:t>
      </w:r>
      <w:r w:rsidRPr="00B4694F">
        <w:t>number:</w:t>
      </w:r>
      <w:r>
        <w:t xml:space="preserve"> </w:t>
      </w:r>
      <w:r w:rsidRPr="00582A8E">
        <w:t>370599</w:t>
      </w:r>
      <w:r w:rsidRPr="00B4694F">
        <w:t>).</w:t>
      </w:r>
    </w:p>
  </w:footnote>
  <w:footnote w:id="15">
    <w:p w14:paraId="00B5F6AA" w14:textId="77777777" w:rsidR="002F03CB" w:rsidRPr="00222F35" w:rsidRDefault="002F03CB">
      <w:pPr>
        <w:pStyle w:val="FootnoteText"/>
      </w:pPr>
      <w:r>
        <w:rPr>
          <w:rStyle w:val="FootnoteReference"/>
        </w:rPr>
        <w:footnoteRef/>
      </w:r>
      <w:r>
        <w:t xml:space="preserve"> </w:t>
      </w:r>
      <w:r>
        <w:t xml:space="preserve">AusPAR for </w:t>
      </w:r>
      <w:r w:rsidRPr="00582A8E">
        <w:t>Spikevax</w:t>
      </w:r>
      <w:r>
        <w:t xml:space="preserve"> (e</w:t>
      </w:r>
      <w:r w:rsidRPr="005B2EA7">
        <w:t>lasomeran</w:t>
      </w:r>
      <w:r>
        <w:t xml:space="preserve">) new biological entity, adult indication, published on </w:t>
      </w:r>
      <w:r w:rsidRPr="005B2EA7">
        <w:t>9 August 2021</w:t>
      </w:r>
      <w:r>
        <w:t xml:space="preserve">. Available at: </w:t>
      </w:r>
      <w:hyperlink r:id="rId7" w:history="1">
        <w:r w:rsidRPr="00AD11B1">
          <w:rPr>
            <w:rStyle w:val="Hyperlink"/>
          </w:rPr>
          <w:t>https://www.tga.gov.au/auspar/auspar-elasomeran</w:t>
        </w:r>
      </w:hyperlink>
      <w:r>
        <w:rPr>
          <w:rStyle w:val="Hyperlink"/>
        </w:rPr>
        <w:t>.</w:t>
      </w:r>
    </w:p>
  </w:footnote>
  <w:footnote w:id="16">
    <w:p w14:paraId="5FC47F3E" w14:textId="77777777" w:rsidR="002F03CB" w:rsidRPr="00222F35" w:rsidRDefault="002F03CB">
      <w:pPr>
        <w:pStyle w:val="FootnoteText"/>
      </w:pPr>
      <w:r>
        <w:rPr>
          <w:rStyle w:val="FootnoteReference"/>
        </w:rPr>
        <w:footnoteRef/>
      </w:r>
      <w:r>
        <w:t xml:space="preserve"> </w:t>
      </w:r>
      <w:r>
        <w:t xml:space="preserve">AusPAR for </w:t>
      </w:r>
      <w:r w:rsidRPr="00582A8E">
        <w:t>Spikevax</w:t>
      </w:r>
      <w:r>
        <w:t xml:space="preserve"> (e</w:t>
      </w:r>
      <w:r w:rsidRPr="005B2EA7">
        <w:t>lasomeran</w:t>
      </w:r>
      <w:r>
        <w:t xml:space="preserve">) new biological entity, paediatric indication, published on </w:t>
      </w:r>
      <w:r w:rsidRPr="00FB3F47">
        <w:t>4 September 2021</w:t>
      </w:r>
      <w:r>
        <w:t>. Available at:</w:t>
      </w:r>
      <w:r w:rsidRPr="00FB3F47">
        <w:t xml:space="preserve"> </w:t>
      </w:r>
      <w:hyperlink r:id="rId8" w:history="1">
        <w:r w:rsidRPr="00DA27E3">
          <w:rPr>
            <w:rStyle w:val="Hyperlink"/>
          </w:rPr>
          <w:t>https://www.tga.gov.au/auspar/auspar-elasomeran-0</w:t>
        </w:r>
      </w:hyperlink>
      <w:r>
        <w:rPr>
          <w:rStyle w:val="Hyperlink"/>
        </w:rPr>
        <w:t>.</w:t>
      </w:r>
    </w:p>
  </w:footnote>
  <w:footnote w:id="17">
    <w:p w14:paraId="1052632A" w14:textId="77777777" w:rsidR="002F03CB" w:rsidRPr="00E17E7A" w:rsidRDefault="002F03CB">
      <w:pPr>
        <w:pStyle w:val="FootnoteText"/>
      </w:pPr>
      <w:r>
        <w:rPr>
          <w:rStyle w:val="FootnoteReference"/>
        </w:rPr>
        <w:footnoteRef/>
      </w:r>
      <w:r>
        <w:t xml:space="preserve"> COVID-19 Vaccine Janssen </w:t>
      </w:r>
      <w:r w:rsidRPr="00B4694F">
        <w:t xml:space="preserve">was first registered on the ARTG on </w:t>
      </w:r>
      <w:r>
        <w:t xml:space="preserve">25 June </w:t>
      </w:r>
      <w:r w:rsidRPr="00021741">
        <w:t>2021</w:t>
      </w:r>
      <w:r w:rsidRPr="00B4694F">
        <w:t xml:space="preserve"> (ARTG number: </w:t>
      </w:r>
      <w:r>
        <w:t>350150</w:t>
      </w:r>
      <w:r w:rsidRPr="00B4694F">
        <w:t>).</w:t>
      </w:r>
    </w:p>
  </w:footnote>
  <w:footnote w:id="18">
    <w:p w14:paraId="43B307F1" w14:textId="77777777" w:rsidR="002F03CB" w:rsidRPr="00E17E7A" w:rsidRDefault="002F03CB">
      <w:pPr>
        <w:pStyle w:val="FootnoteText"/>
      </w:pPr>
      <w:r>
        <w:rPr>
          <w:rStyle w:val="FootnoteReference"/>
        </w:rPr>
        <w:footnoteRef/>
      </w:r>
      <w:r>
        <w:t xml:space="preserve"> </w:t>
      </w:r>
      <w:r>
        <w:t xml:space="preserve">AusPAR for </w:t>
      </w:r>
      <w:r w:rsidRPr="008B7930">
        <w:t>COVID-19 Vaccine Janssen</w:t>
      </w:r>
      <w:r>
        <w:t xml:space="preserve"> (</w:t>
      </w:r>
      <w:r w:rsidRPr="008B7930">
        <w:t>Ad26.COV</w:t>
      </w:r>
      <w:r w:rsidRPr="008B7930">
        <w:t>2.S</w:t>
      </w:r>
      <w:r>
        <w:t xml:space="preserve">) new biological entity, published on 25 June 2021. Available at: </w:t>
      </w:r>
      <w:hyperlink r:id="rId9" w:history="1">
        <w:r w:rsidRPr="00AD11B1">
          <w:rPr>
            <w:rStyle w:val="Hyperlink"/>
          </w:rPr>
          <w:t>https://www.tga.gov.au/auspar/auspar-ad26cov2s</w:t>
        </w:r>
      </w:hyperlink>
      <w:r>
        <w:rPr>
          <w:rStyle w:val="Hyperlink"/>
        </w:rPr>
        <w:t>.</w:t>
      </w:r>
    </w:p>
  </w:footnote>
  <w:footnote w:id="19">
    <w:p w14:paraId="46447F8B" w14:textId="77777777" w:rsidR="002F03CB" w:rsidRPr="00E17E7A" w:rsidRDefault="002F03CB">
      <w:pPr>
        <w:pStyle w:val="FootnoteText"/>
      </w:pPr>
      <w:r>
        <w:rPr>
          <w:rStyle w:val="FootnoteReference"/>
        </w:rPr>
        <w:footnoteRef/>
      </w:r>
      <w:r>
        <w:t xml:space="preserve"> </w:t>
      </w:r>
      <w:r w:rsidRPr="00B4694F">
        <w:t>COVID-19 Vaccine AstraZeneca was first registered on the ARTG on 16</w:t>
      </w:r>
      <w:r>
        <w:t xml:space="preserve"> February </w:t>
      </w:r>
      <w:r w:rsidRPr="00B4694F">
        <w:t>2021 (ARTG</w:t>
      </w:r>
      <w:r>
        <w:t> </w:t>
      </w:r>
      <w:r w:rsidRPr="00B4694F">
        <w:t>number:</w:t>
      </w:r>
      <w:r>
        <w:t> </w:t>
      </w:r>
      <w:r w:rsidRPr="00B4694F">
        <w:t>349072).</w:t>
      </w:r>
    </w:p>
  </w:footnote>
  <w:footnote w:id="20">
    <w:p w14:paraId="4CDDCCEA" w14:textId="77777777" w:rsidR="002F03CB" w:rsidRPr="00E17E7A" w:rsidRDefault="002F03CB">
      <w:pPr>
        <w:pStyle w:val="FootnoteText"/>
      </w:pPr>
      <w:r>
        <w:rPr>
          <w:rStyle w:val="FootnoteReference"/>
        </w:rPr>
        <w:footnoteRef/>
      </w:r>
      <w:r>
        <w:t xml:space="preserve"> </w:t>
      </w:r>
      <w:r>
        <w:t xml:space="preserve">AusPAR for </w:t>
      </w:r>
      <w:r w:rsidRPr="008B7930">
        <w:t>COVID-19 Vaccine AstraZeneca</w:t>
      </w:r>
      <w:r>
        <w:t xml:space="preserve"> (</w:t>
      </w:r>
      <w:r w:rsidRPr="008B7930">
        <w:t>ChAdOx1-S</w:t>
      </w:r>
      <w:r>
        <w:t xml:space="preserve">) new biological entity, published on 16 February 2021. Available at: </w:t>
      </w:r>
      <w:hyperlink r:id="rId10" w:history="1">
        <w:r w:rsidRPr="002E142D">
          <w:rPr>
            <w:rStyle w:val="Hyperlink"/>
          </w:rPr>
          <w:t>https://www.tga.gov.au/auspar/auspar-chadox1-s</w:t>
        </w:r>
      </w:hyperlink>
      <w:r>
        <w:rPr>
          <w:rStyle w:val="Hyperlink"/>
        </w:rPr>
        <w:t>.</w:t>
      </w:r>
    </w:p>
  </w:footnote>
  <w:footnote w:id="21">
    <w:p w14:paraId="7BE73E26" w14:textId="4D15B806" w:rsidR="002F03CB" w:rsidRPr="00D15B9E" w:rsidRDefault="002F03CB">
      <w:pPr>
        <w:pStyle w:val="FootnoteText"/>
        <w:rPr>
          <w:lang w:val="en-GB"/>
        </w:rPr>
      </w:pPr>
      <w:r>
        <w:rPr>
          <w:rStyle w:val="FootnoteReference"/>
        </w:rPr>
        <w:footnoteRef/>
      </w:r>
      <w:r>
        <w:t xml:space="preserve"> </w:t>
      </w:r>
      <w:r>
        <w:rPr>
          <w:lang w:val="en-GB"/>
        </w:rPr>
        <w:t xml:space="preserve">Department of Health, Initiatives and Programs: Approved COVID-19 vaccines. Australian Government, Department of Health, Canberra. Available at: </w:t>
      </w:r>
      <w:hyperlink r:id="rId11" w:history="1">
        <w:r w:rsidRPr="009445DF">
          <w:rPr>
            <w:rStyle w:val="Hyperlink"/>
          </w:rPr>
          <w:t>https://www.health.gov.au/initiatives-and-programs/covid-19-vaccines/approved-vaccines</w:t>
        </w:r>
      </w:hyperlink>
      <w:r>
        <w:rPr>
          <w:lang w:val="en-GB"/>
        </w:rPr>
        <w:t>.</w:t>
      </w:r>
    </w:p>
  </w:footnote>
  <w:footnote w:id="22">
    <w:p w14:paraId="740B098B" w14:textId="77777777" w:rsidR="002F03CB" w:rsidRPr="00206408" w:rsidRDefault="002F03CB">
      <w:pPr>
        <w:pStyle w:val="FootnoteText"/>
        <w:rPr>
          <w:lang w:val="en-US"/>
        </w:rPr>
      </w:pPr>
      <w:r>
        <w:rPr>
          <w:rStyle w:val="FootnoteReference"/>
        </w:rPr>
        <w:footnoteRef/>
      </w:r>
      <w:r>
        <w:t xml:space="preserve"> </w:t>
      </w:r>
      <w:r>
        <w:rPr>
          <w:lang w:val="en-US"/>
        </w:rPr>
        <w:t xml:space="preserve">Xuvudy (sotrovimab) </w:t>
      </w:r>
      <w:r w:rsidRPr="00B4694F">
        <w:t>was first registered on the ARTG on</w:t>
      </w:r>
      <w:r>
        <w:t xml:space="preserve"> 20 August 2021, (ARTG number: 364110).</w:t>
      </w:r>
    </w:p>
  </w:footnote>
  <w:footnote w:id="23">
    <w:p w14:paraId="6679FFD9" w14:textId="77777777" w:rsidR="002F03CB" w:rsidRPr="00206408" w:rsidRDefault="002F03CB">
      <w:pPr>
        <w:pStyle w:val="FootnoteText"/>
        <w:rPr>
          <w:lang w:val="en-US"/>
        </w:rPr>
      </w:pPr>
      <w:r>
        <w:rPr>
          <w:rStyle w:val="FootnoteReference"/>
        </w:rPr>
        <w:footnoteRef/>
      </w:r>
      <w:r>
        <w:t xml:space="preserve"> </w:t>
      </w:r>
      <w:r>
        <w:rPr>
          <w:lang w:val="en-US"/>
        </w:rPr>
        <w:t xml:space="preserve">AusPAR for Xevudy (sotrovimab) is available at </w:t>
      </w:r>
      <w:r w:rsidRPr="00206408">
        <w:rPr>
          <w:lang w:val="en-US"/>
        </w:rPr>
        <w:t>https://www.tga.gov.au/auspar/auspar-sotrovimab</w:t>
      </w:r>
    </w:p>
  </w:footnote>
  <w:footnote w:id="24">
    <w:p w14:paraId="71590677" w14:textId="07C18C64" w:rsidR="002F03CB" w:rsidRPr="00F921C2" w:rsidRDefault="002F03CB">
      <w:pPr>
        <w:pStyle w:val="FootnoteText"/>
        <w:rPr>
          <w:lang w:val="en-US"/>
        </w:rPr>
      </w:pPr>
      <w:r>
        <w:rPr>
          <w:rStyle w:val="FootnoteReference"/>
        </w:rPr>
        <w:footnoteRef/>
      </w:r>
      <w:r>
        <w:t xml:space="preserve"> Ronapreve (</w:t>
      </w:r>
      <w:r>
        <w:t>casivirimab/imdevimab) was first registered on the ARTG on 18 October 2021 (ARTG number</w:t>
      </w:r>
      <w:r w:rsidRPr="00F921C2">
        <w:t>:</w:t>
      </w:r>
      <w:r>
        <w:t> </w:t>
      </w:r>
      <w:r w:rsidRPr="00F921C2">
        <w:t>374310</w:t>
      </w:r>
      <w:r>
        <w:t>)</w:t>
      </w:r>
    </w:p>
  </w:footnote>
  <w:footnote w:id="25">
    <w:p w14:paraId="7F59ECE0" w14:textId="77777777" w:rsidR="002F03CB" w:rsidRPr="00F921C2" w:rsidRDefault="002F03CB">
      <w:pPr>
        <w:pStyle w:val="FootnoteText"/>
        <w:rPr>
          <w:lang w:val="en-US"/>
        </w:rPr>
      </w:pPr>
      <w:r>
        <w:rPr>
          <w:rStyle w:val="FootnoteReference"/>
        </w:rPr>
        <w:footnoteRef/>
      </w:r>
      <w:r>
        <w:t xml:space="preserve"> </w:t>
      </w:r>
      <w:r>
        <w:t xml:space="preserve">AusPAR for Ronapreve (casirivimab/imdevimab) is available at: </w:t>
      </w:r>
      <w:r w:rsidRPr="00F921C2">
        <w:t>https://www.tga.gov.au/auspar/auspar-casirivimabimdevimab</w:t>
      </w:r>
    </w:p>
  </w:footnote>
  <w:footnote w:id="26">
    <w:p w14:paraId="37E15213" w14:textId="7D1D2B4F" w:rsidR="002F03CB" w:rsidRPr="00F921C2" w:rsidRDefault="002F03CB" w:rsidP="009D031C">
      <w:pPr>
        <w:pStyle w:val="FootnoteText"/>
        <w:rPr>
          <w:lang w:val="en-US"/>
        </w:rPr>
      </w:pPr>
      <w:r>
        <w:rPr>
          <w:rStyle w:val="FootnoteReference"/>
        </w:rPr>
        <w:footnoteRef/>
      </w:r>
      <w:r>
        <w:t xml:space="preserve"> Ronapreve (</w:t>
      </w:r>
      <w:r>
        <w:t>casivirimab/imdevimab) was first registered on the ARTG on 18 October 2021 (ARTG number: </w:t>
      </w:r>
      <w:r w:rsidRPr="00F921C2">
        <w:t>373839).</w:t>
      </w:r>
    </w:p>
  </w:footnote>
  <w:footnote w:id="27">
    <w:p w14:paraId="5A1670C0" w14:textId="77777777" w:rsidR="002F03CB" w:rsidRPr="00206408" w:rsidRDefault="002F03CB">
      <w:pPr>
        <w:pStyle w:val="FootnoteText"/>
        <w:rPr>
          <w:lang w:val="en-US"/>
        </w:rPr>
      </w:pPr>
      <w:r>
        <w:rPr>
          <w:rStyle w:val="FootnoteReference"/>
        </w:rPr>
        <w:footnoteRef/>
      </w:r>
      <w:r>
        <w:t xml:space="preserve"> </w:t>
      </w:r>
      <w:r>
        <w:t xml:space="preserve">Velkury (remdesivir) received registration on the ARTG on 10 July 2020 (ARTG number: </w:t>
      </w:r>
      <w:r w:rsidRPr="00206408">
        <w:t>338419).</w:t>
      </w:r>
    </w:p>
  </w:footnote>
  <w:footnote w:id="28">
    <w:p w14:paraId="7510FF6E" w14:textId="79B33CC3" w:rsidR="002F03CB" w:rsidRPr="00206408" w:rsidRDefault="002F03CB">
      <w:pPr>
        <w:pStyle w:val="FootnoteText"/>
        <w:rPr>
          <w:lang w:val="en-US"/>
        </w:rPr>
      </w:pPr>
      <w:r>
        <w:rPr>
          <w:rStyle w:val="FootnoteReference"/>
        </w:rPr>
        <w:footnoteRef/>
      </w:r>
      <w:r>
        <w:t xml:space="preserve"> </w:t>
      </w:r>
      <w:r>
        <w:rPr>
          <w:lang w:val="en-US"/>
        </w:rPr>
        <w:t xml:space="preserve">AusPAR Velkury remdesivir is available at: </w:t>
      </w:r>
      <w:hyperlink r:id="rId12" w:history="1">
        <w:r w:rsidRPr="00CE06EF">
          <w:rPr>
            <w:rStyle w:val="Hyperlink"/>
            <w:lang w:val="en-US"/>
          </w:rPr>
          <w:t>https://www.tga.gov.au/auspar/auspar-remdesivir</w:t>
        </w:r>
      </w:hyperlink>
      <w:r>
        <w:rPr>
          <w:lang w:val="en-US"/>
        </w:rPr>
        <w:t xml:space="preserve"> </w:t>
      </w:r>
    </w:p>
  </w:footnote>
  <w:footnote w:id="29">
    <w:p w14:paraId="0754958D" w14:textId="77777777" w:rsidR="002F03CB" w:rsidRDefault="002F03CB" w:rsidP="008B5622">
      <w:pPr>
        <w:pStyle w:val="FootnoteText"/>
      </w:pPr>
      <w:r>
        <w:rPr>
          <w:rStyle w:val="FootnoteReference"/>
        </w:rPr>
        <w:footnoteRef/>
      </w:r>
      <w:r>
        <w:t xml:space="preserve"> The </w:t>
      </w:r>
      <w:r w:rsidRPr="008B5622">
        <w:rPr>
          <w:b/>
        </w:rPr>
        <w:t>provisional approval pathway</w:t>
      </w:r>
      <w:r>
        <w:t xml:space="preserve"> allows sponsors to apply for provisional registration on the ARTG. It provides access to certain promising new medicines where the public health benefit of immediate or early availability of the medicine outweighs the risk inherent in the fact that additional data are still required.</w:t>
      </w:r>
    </w:p>
    <w:p w14:paraId="52F9FADE" w14:textId="77777777" w:rsidR="002F03CB" w:rsidRPr="008B5622" w:rsidRDefault="002F03CB" w:rsidP="008B5622">
      <w:pPr>
        <w:pStyle w:val="FootnoteText"/>
        <w:rPr>
          <w:lang w:val="en-US"/>
        </w:rPr>
      </w:pPr>
      <w:r>
        <w:t>Specific eligibility criteria for the provisional approval pathway are set out in regulations 10K and 10L of the Therapeutic Goods Regulations 1990 (the Regulations). This pathway is for certain medicines that are to treat or prevent life threatening or seriously debilitating conditions. The medicine is considered eligible if there are preliminary clinical data demonstrating that the medicine is likely to provide a major therapeutic advance and the applicant (who made the application under subsection 22C (1) of the Act) can provide sufficient evidence of a plan to submit comprehensive clinical data on the safety and efficacy of the medicine before the end of the 6 year period following provisional registration.</w:t>
      </w:r>
    </w:p>
  </w:footnote>
  <w:footnote w:id="30">
    <w:p w14:paraId="7686FBE7" w14:textId="29E30E2B" w:rsidR="002F03CB" w:rsidRPr="004051DC" w:rsidRDefault="002F03CB">
      <w:pPr>
        <w:pStyle w:val="FootnoteText"/>
        <w:rPr>
          <w:lang w:val="en-GB"/>
        </w:rPr>
      </w:pPr>
      <w:r>
        <w:rPr>
          <w:rStyle w:val="FootnoteReference"/>
        </w:rPr>
        <w:footnoteRef/>
      </w:r>
      <w:r>
        <w:t xml:space="preserve"> </w:t>
      </w:r>
      <w:r w:rsidRPr="003A3EA9">
        <w:t>An Emergency Use Authorization (EUA) in the United States</w:t>
      </w:r>
      <w:r>
        <w:t xml:space="preserve"> of America is an authoris</w:t>
      </w:r>
      <w:r w:rsidRPr="003A3EA9">
        <w:t xml:space="preserve">ation granted to the Food and Drug Administration (FDA) under sections of the </w:t>
      </w:r>
      <w:r>
        <w:t xml:space="preserve">US </w:t>
      </w:r>
      <w:r w:rsidRPr="003A3EA9">
        <w:t>Federal Food, Drug, and Cosmetic Act</w:t>
      </w:r>
      <w:r>
        <w:t>,</w:t>
      </w:r>
      <w:r w:rsidRPr="003A3EA9">
        <w:t xml:space="preserve"> to allow the use of a drug prior to approval.</w:t>
      </w:r>
    </w:p>
  </w:footnote>
  <w:footnote w:id="31">
    <w:p w14:paraId="5B19FCC6" w14:textId="77777777" w:rsidR="002F03CB" w:rsidRPr="00461A9D" w:rsidRDefault="002F03CB">
      <w:pPr>
        <w:pStyle w:val="FootnoteText"/>
        <w:rPr>
          <w:lang w:val="en-US"/>
        </w:rPr>
      </w:pPr>
      <w:r>
        <w:rPr>
          <w:rStyle w:val="FootnoteReference"/>
        </w:rPr>
        <w:footnoteRef/>
      </w:r>
      <w:r>
        <w:t xml:space="preserve"> </w:t>
      </w:r>
      <w:r w:rsidRPr="00461A9D">
        <w:t xml:space="preserve">The </w:t>
      </w:r>
      <w:r>
        <w:t xml:space="preserve">ACCESS Consortium are a like-minded group of medicine regulators, incorporating </w:t>
      </w:r>
      <w:r w:rsidRPr="00461A9D">
        <w:t xml:space="preserve">Australia, Canada, Singapore, </w:t>
      </w:r>
      <w:r w:rsidRPr="00461A9D">
        <w:t>Swit</w:t>
      </w:r>
      <w:r>
        <w:t>zerland and the United Kingdom.</w:t>
      </w:r>
    </w:p>
  </w:footnote>
  <w:footnote w:id="32">
    <w:p w14:paraId="0F0327E0" w14:textId="77777777" w:rsidR="002F03CB" w:rsidRPr="00461A9D" w:rsidRDefault="002F03CB">
      <w:pPr>
        <w:pStyle w:val="FootnoteText"/>
        <w:rPr>
          <w:lang w:val="en-US"/>
        </w:rPr>
      </w:pPr>
      <w:r>
        <w:rPr>
          <w:rStyle w:val="FootnoteReference"/>
        </w:rPr>
        <w:footnoteRef/>
      </w:r>
      <w:r>
        <w:t xml:space="preserve"> Published online 4 December 2020. Statement available at: </w:t>
      </w:r>
      <w:r w:rsidRPr="00461A9D">
        <w:t>https://www.tga.gov.au/access-consortium-statement-covid-19-vaccines-evidence</w:t>
      </w:r>
    </w:p>
  </w:footnote>
  <w:footnote w:id="33">
    <w:p w14:paraId="071D7E17" w14:textId="77777777" w:rsidR="002F03CB" w:rsidRPr="004245F8" w:rsidRDefault="002F03CB">
      <w:pPr>
        <w:pStyle w:val="FootnoteText"/>
        <w:rPr>
          <w:lang w:val="en-US"/>
        </w:rPr>
      </w:pPr>
      <w:r>
        <w:rPr>
          <w:rStyle w:val="FootnoteReference"/>
        </w:rPr>
        <w:footnoteRef/>
      </w:r>
      <w:r>
        <w:t xml:space="preserve"> Adopted (TGA) 6 January </w:t>
      </w:r>
      <w:r>
        <w:t>01 2009. First published: 18 October 2006; last updated: 18 October 2006.</w:t>
      </w:r>
    </w:p>
  </w:footnote>
  <w:footnote w:id="34">
    <w:p w14:paraId="117AF74C" w14:textId="77777777" w:rsidR="002F03CB" w:rsidRPr="004245F8" w:rsidRDefault="002F03CB">
      <w:pPr>
        <w:pStyle w:val="FootnoteText"/>
        <w:rPr>
          <w:lang w:val="en-US"/>
        </w:rPr>
      </w:pPr>
      <w:r>
        <w:rPr>
          <w:rStyle w:val="FootnoteReference"/>
        </w:rPr>
        <w:footnoteRef/>
      </w:r>
      <w:r>
        <w:t xml:space="preserve"> </w:t>
      </w:r>
      <w:r>
        <w:rPr>
          <w:lang w:val="en-US"/>
        </w:rPr>
        <w:t>First published: 19 November 2020.</w:t>
      </w:r>
    </w:p>
  </w:footnote>
  <w:footnote w:id="35">
    <w:p w14:paraId="356DE844" w14:textId="77777777" w:rsidR="002F03CB" w:rsidRPr="004245F8" w:rsidRDefault="002F03CB">
      <w:pPr>
        <w:pStyle w:val="FootnoteText"/>
        <w:rPr>
          <w:lang w:val="en-US"/>
        </w:rPr>
      </w:pPr>
      <w:r>
        <w:rPr>
          <w:rStyle w:val="FootnoteReference"/>
        </w:rPr>
        <w:footnoteRef/>
      </w:r>
      <w:r>
        <w:t xml:space="preserve"> Guidance for Industry document; issued by US FDA </w:t>
      </w:r>
      <w:r w:rsidRPr="004245F8">
        <w:t>Center for Biologics Evaluation and Research</w:t>
      </w:r>
      <w:r>
        <w:t xml:space="preserve"> (CBER); issued: 30 June 2020.</w:t>
      </w:r>
    </w:p>
  </w:footnote>
  <w:footnote w:id="36">
    <w:p w14:paraId="54744162" w14:textId="77777777" w:rsidR="002F03CB" w:rsidRPr="00CD25DC" w:rsidRDefault="002F03CB">
      <w:pPr>
        <w:pStyle w:val="FootnoteText"/>
        <w:rPr>
          <w:lang w:val="en-US"/>
        </w:rPr>
      </w:pPr>
      <w:r>
        <w:rPr>
          <w:rStyle w:val="FootnoteReference"/>
        </w:rPr>
        <w:footnoteRef/>
      </w:r>
      <w:r>
        <w:t xml:space="preserve"> Guidance for Industry document; issued by US FDA </w:t>
      </w:r>
      <w:r w:rsidRPr="004245F8">
        <w:t>Center for Biologics Evaluation and Research</w:t>
      </w:r>
      <w:r>
        <w:t xml:space="preserve"> (CBER); issued: 25 May 2020.</w:t>
      </w:r>
    </w:p>
  </w:footnote>
  <w:footnote w:id="37">
    <w:p w14:paraId="0AFD2DCA" w14:textId="77777777" w:rsidR="002F03CB" w:rsidRPr="00CD25DC" w:rsidRDefault="002F03CB">
      <w:pPr>
        <w:pStyle w:val="FootnoteText"/>
        <w:rPr>
          <w:lang w:val="en-US"/>
        </w:rPr>
      </w:pPr>
      <w:r>
        <w:rPr>
          <w:rStyle w:val="FootnoteReference"/>
        </w:rPr>
        <w:footnoteRef/>
      </w:r>
      <w:r>
        <w:t xml:space="preserve"> Guidance for Industry document; issued by US FDA </w:t>
      </w:r>
      <w:r w:rsidRPr="004245F8">
        <w:t>Center for Biologics Evaluation and Research</w:t>
      </w:r>
      <w:r>
        <w:t xml:space="preserve"> (CBER) and </w:t>
      </w:r>
      <w:r w:rsidRPr="00CD25DC">
        <w:t>Center for Drug Evaluation and Research</w:t>
      </w:r>
      <w:r>
        <w:t xml:space="preserve"> (CDER); issued: May 2020; last updated: 22 February 2021.</w:t>
      </w:r>
    </w:p>
  </w:footnote>
  <w:footnote w:id="38">
    <w:p w14:paraId="2DD2420D" w14:textId="77777777" w:rsidR="002F03CB" w:rsidRPr="00FC624D" w:rsidRDefault="002F03CB">
      <w:pPr>
        <w:pStyle w:val="FootnoteText"/>
        <w:rPr>
          <w:lang w:val="en-US"/>
        </w:rPr>
      </w:pPr>
      <w:r>
        <w:rPr>
          <w:rStyle w:val="FootnoteReference"/>
        </w:rPr>
        <w:footnoteRef/>
      </w:r>
      <w:r>
        <w:t xml:space="preserve"> Targeted medical events/medical events of special i</w:t>
      </w:r>
      <w:r w:rsidRPr="00FC624D">
        <w:t xml:space="preserve">nterest (MESI), are adverse events that </w:t>
      </w:r>
      <w:r>
        <w:t>are considered to be potentially (but not necessarily) associated with either a particular drug or a group (class) of similar drugs;</w:t>
      </w:r>
      <w:r w:rsidRPr="00FC624D">
        <w:t xml:space="preserve"> or</w:t>
      </w:r>
      <w:r>
        <w:t xml:space="preserve"> potentially associated with a specific patient population.</w:t>
      </w:r>
    </w:p>
  </w:footnote>
  <w:footnote w:id="39">
    <w:p w14:paraId="79FE7FAD" w14:textId="4BBE594E" w:rsidR="002F03CB" w:rsidRPr="004051DC" w:rsidRDefault="002F03CB">
      <w:pPr>
        <w:pStyle w:val="FootnoteText"/>
        <w:rPr>
          <w:lang w:val="en-GB"/>
        </w:rPr>
      </w:pPr>
      <w:r>
        <w:rPr>
          <w:rStyle w:val="FootnoteReference"/>
        </w:rPr>
        <w:footnoteRef/>
      </w:r>
      <w:r>
        <w:t xml:space="preserve"> </w:t>
      </w:r>
      <w:r>
        <w:rPr>
          <w:lang w:val="en-GB"/>
        </w:rPr>
        <w:t xml:space="preserve">Hazelnut and cocoa based sugar and palm </w:t>
      </w:r>
      <w:r>
        <w:rPr>
          <w:lang w:val="en-GB"/>
        </w:rPr>
        <w:t>oil based spread</w:t>
      </w:r>
    </w:p>
  </w:footnote>
  <w:footnote w:id="40">
    <w:p w14:paraId="763CB1E1" w14:textId="77777777" w:rsidR="002F03CB" w:rsidRDefault="002F03CB"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180F7AE" w14:textId="77777777" w:rsidR="002F03CB" w:rsidRDefault="002F03CB" w:rsidP="007D53B6">
      <w:pPr>
        <w:pStyle w:val="FootnoteText"/>
      </w:pPr>
      <w:r w:rsidRPr="007D53B6">
        <w:rPr>
          <w:i/>
        </w:rPr>
        <w:t>Routine pharmacovigilance</w:t>
      </w:r>
      <w:r>
        <w:t xml:space="preserve"> practices involve the following activities:</w:t>
      </w:r>
    </w:p>
    <w:p w14:paraId="1BAA9A44" w14:textId="77777777" w:rsidR="002F03CB" w:rsidRDefault="002F03CB" w:rsidP="00635748">
      <w:pPr>
        <w:pStyle w:val="FootnoteText"/>
        <w:numPr>
          <w:ilvl w:val="0"/>
          <w:numId w:val="6"/>
        </w:numPr>
        <w:ind w:left="284" w:hanging="284"/>
      </w:pPr>
      <w:r>
        <w:t xml:space="preserve">All suspected adverse reactions that are reported to the personnel of the company are collected and collated in an accessible </w:t>
      </w:r>
      <w:r>
        <w:t>manner;</w:t>
      </w:r>
    </w:p>
    <w:p w14:paraId="7AECE430" w14:textId="77777777" w:rsidR="002F03CB" w:rsidRDefault="002F03CB" w:rsidP="00635748">
      <w:pPr>
        <w:pStyle w:val="FootnoteText"/>
        <w:numPr>
          <w:ilvl w:val="0"/>
          <w:numId w:val="6"/>
        </w:numPr>
        <w:ind w:left="284" w:hanging="284"/>
      </w:pPr>
      <w:r>
        <w:t>Reporting to regulatory authorities;</w:t>
      </w:r>
    </w:p>
    <w:p w14:paraId="6CFAFC32" w14:textId="77777777" w:rsidR="002F03CB" w:rsidRDefault="002F03CB" w:rsidP="00635748">
      <w:pPr>
        <w:pStyle w:val="FootnoteText"/>
        <w:numPr>
          <w:ilvl w:val="0"/>
          <w:numId w:val="6"/>
        </w:numPr>
        <w:ind w:left="284" w:hanging="284"/>
      </w:pPr>
      <w:r>
        <w:t>Continuous monitoring of the safety profiles of approved products including signal detection and updating of labelling;</w:t>
      </w:r>
    </w:p>
    <w:p w14:paraId="73AA069E" w14:textId="77777777" w:rsidR="002F03CB" w:rsidRDefault="002F03CB" w:rsidP="00635748">
      <w:pPr>
        <w:pStyle w:val="FootnoteText"/>
        <w:numPr>
          <w:ilvl w:val="0"/>
          <w:numId w:val="6"/>
        </w:numPr>
        <w:ind w:left="284" w:hanging="284"/>
      </w:pPr>
      <w:r>
        <w:t>Submission of PSURs;</w:t>
      </w:r>
    </w:p>
    <w:p w14:paraId="5CCCD05C" w14:textId="77777777" w:rsidR="002F03CB" w:rsidRDefault="002F03CB" w:rsidP="00635748">
      <w:pPr>
        <w:pStyle w:val="FootnoteText"/>
        <w:numPr>
          <w:ilvl w:val="0"/>
          <w:numId w:val="6"/>
        </w:numPr>
        <w:ind w:left="284" w:hanging="284"/>
      </w:pPr>
      <w:r>
        <w:t>Meeting other local regulatory agency requirements.</w:t>
      </w:r>
    </w:p>
  </w:footnote>
  <w:footnote w:id="41">
    <w:p w14:paraId="4E03FA81" w14:textId="3AD01274" w:rsidR="002F03CB" w:rsidRPr="00D77B0D" w:rsidRDefault="002F03CB">
      <w:pPr>
        <w:pStyle w:val="FootnoteText"/>
      </w:pPr>
      <w:r>
        <w:rPr>
          <w:rStyle w:val="FootnoteReference"/>
        </w:rPr>
        <w:footnoteRef/>
      </w:r>
      <w:r>
        <w:t xml:space="preserve"> </w:t>
      </w:r>
      <w:r w:rsidRPr="004703D5">
        <w:t>As a provisionally registered product, this medicine will remain in the Black Triangle Scheme for the duration of its provisional registration</w:t>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w:t>
      </w:r>
      <w:r>
        <w:t xml:space="preserve">ote that there are known safety </w:t>
      </w:r>
      <w:r w:rsidRPr="00460036">
        <w:t>problems, just that the TGA is encouraging adverse event reporting to help us build up the full picture of a medicine's safety profile.</w:t>
      </w:r>
    </w:p>
  </w:footnote>
  <w:footnote w:id="42">
    <w:p w14:paraId="38624817" w14:textId="77777777" w:rsidR="002F03CB" w:rsidRPr="00D551D1" w:rsidRDefault="002F03CB">
      <w:pPr>
        <w:pStyle w:val="FootnoteText"/>
        <w:rPr>
          <w:lang w:val="en-US"/>
        </w:rPr>
      </w:pPr>
      <w:r>
        <w:rPr>
          <w:rStyle w:val="FootnoteReference"/>
        </w:rPr>
        <w:footnoteRef/>
      </w:r>
      <w:r>
        <w:t xml:space="preserve"> </w:t>
      </w:r>
      <w:r w:rsidRPr="00D551D1">
        <w:t>Tris, or tris(hydr</w:t>
      </w:r>
      <w:r>
        <w:t>oxymethyl)aminomethane, is also</w:t>
      </w:r>
      <w:r w:rsidRPr="00D551D1">
        <w:t xml:space="preserve"> known during medi</w:t>
      </w:r>
      <w:r>
        <w:t>cal use as tromethamine or THAM.</w:t>
      </w:r>
    </w:p>
  </w:footnote>
  <w:footnote w:id="43">
    <w:p w14:paraId="693B4115" w14:textId="77777777" w:rsidR="002F03CB" w:rsidRDefault="002F03CB" w:rsidP="005001FC">
      <w:pPr>
        <w:pStyle w:val="FootnoteText"/>
        <w:jc w:val="both"/>
      </w:pPr>
      <w:r>
        <w:rPr>
          <w:rStyle w:val="FootnoteReference"/>
        </w:rPr>
        <w:footnoteRef/>
      </w:r>
      <w:r w:rsidRPr="00195A5D">
        <w:rPr>
          <w:sz w:val="16"/>
          <w:szCs w:val="16"/>
        </w:rPr>
        <w:t>https://jamanetwork.com/journals/jamapediatrics/fullarticle/2783022?guestAccessKey=52a9e0cf-bc64-4ec0-a945-49fd1373950f&amp;utm_source=For_The_Media&amp;utm_medium=referral&amp;utm_campaign=ftm_links&amp;utm_content=tfl&amp;utm_term=081621</w:t>
      </w:r>
    </w:p>
  </w:footnote>
  <w:footnote w:id="44">
    <w:p w14:paraId="213CAC48" w14:textId="77777777" w:rsidR="002F03CB" w:rsidRDefault="002F03CB" w:rsidP="005001FC">
      <w:pPr>
        <w:pStyle w:val="FootnoteText"/>
      </w:pPr>
      <w:r w:rsidRPr="00EB32C2">
        <w:rPr>
          <w:rStyle w:val="FootnoteReference"/>
          <w:sz w:val="16"/>
        </w:rPr>
        <w:footnoteRef/>
      </w:r>
      <w:r w:rsidRPr="00EB32C2">
        <w:rPr>
          <w:sz w:val="16"/>
        </w:rPr>
        <w:t xml:space="preserve"> https://www.vu.edu.au/mitchell-institute/early-learning/covid-19-early-childhood-education-care</w:t>
      </w:r>
    </w:p>
  </w:footnote>
  <w:footnote w:id="45">
    <w:p w14:paraId="2FA9FDFB" w14:textId="77777777" w:rsidR="002F03CB" w:rsidRPr="00042317" w:rsidRDefault="002F03CB" w:rsidP="005001FC">
      <w:pPr>
        <w:pStyle w:val="FootnoteText"/>
        <w:jc w:val="both"/>
        <w:rPr>
          <w:sz w:val="16"/>
          <w:szCs w:val="16"/>
        </w:rPr>
      </w:pPr>
      <w:r>
        <w:rPr>
          <w:rStyle w:val="FootnoteReference"/>
        </w:rPr>
        <w:footnoteRef/>
      </w:r>
      <w:r>
        <w:t xml:space="preserve"> </w:t>
      </w:r>
      <w:r w:rsidRPr="00042317">
        <w:rPr>
          <w:sz w:val="16"/>
          <w:szCs w:val="16"/>
        </w:rPr>
        <w:t>Shekerdemian LS, Mahmood NR, Wolfe KK, et al; International COVID‐19 PICU Collaborative. Characteristics and outcomes of children with coronavirus disease 2019 (COVID‐19) infection admitted to US and Canadian pediatric intensive care units. </w:t>
      </w:r>
      <w:r w:rsidRPr="00042317">
        <w:rPr>
          <w:i/>
          <w:iCs/>
          <w:sz w:val="16"/>
          <w:szCs w:val="16"/>
        </w:rPr>
        <w:t>JAMA Pediatr</w:t>
      </w:r>
      <w:r w:rsidRPr="00042317">
        <w:rPr>
          <w:sz w:val="16"/>
          <w:szCs w:val="16"/>
        </w:rPr>
        <w:t> 2020; 40: e137–e145.</w:t>
      </w:r>
    </w:p>
  </w:footnote>
  <w:footnote w:id="46">
    <w:p w14:paraId="27814606" w14:textId="77777777" w:rsidR="002F03CB" w:rsidRDefault="002F03CB" w:rsidP="005001FC">
      <w:pPr>
        <w:pStyle w:val="FootnoteText"/>
      </w:pPr>
      <w:r>
        <w:rPr>
          <w:rStyle w:val="FootnoteReference"/>
        </w:rPr>
        <w:footnoteRef/>
      </w:r>
      <w:r>
        <w:t xml:space="preserve"> </w:t>
      </w:r>
      <w:r w:rsidRPr="00042317">
        <w:rPr>
          <w:sz w:val="16"/>
          <w:szCs w:val="16"/>
        </w:rPr>
        <w:t>Alfraij A, Bin Alamir AA, Al‐Otaibi AM, et al. Characteristics and outcomes of coronavirus disease 2019 (COVID‐19) in critically ill pediatric patients admitted to the intensive care unit: a multicenter retrospective cohort study. </w:t>
      </w:r>
      <w:r w:rsidRPr="00042317">
        <w:rPr>
          <w:i/>
          <w:iCs/>
          <w:sz w:val="16"/>
          <w:szCs w:val="16"/>
        </w:rPr>
        <w:t>J Infect Public Health</w:t>
      </w:r>
      <w:r w:rsidRPr="00042317">
        <w:rPr>
          <w:sz w:val="16"/>
          <w:szCs w:val="16"/>
        </w:rPr>
        <w:t> 2020; 14: 193–200.</w:t>
      </w:r>
    </w:p>
  </w:footnote>
  <w:footnote w:id="47">
    <w:p w14:paraId="256824BB" w14:textId="77777777" w:rsidR="002F03CB" w:rsidRDefault="002F03CB" w:rsidP="005001FC">
      <w:pPr>
        <w:pStyle w:val="FootnoteText"/>
      </w:pPr>
      <w:r>
        <w:rPr>
          <w:rStyle w:val="FootnoteReference"/>
        </w:rPr>
        <w:footnoteRef/>
      </w:r>
      <w:r>
        <w:t xml:space="preserve"> </w:t>
      </w:r>
      <w:r w:rsidRPr="00042317">
        <w:rPr>
          <w:sz w:val="16"/>
          <w:szCs w:val="16"/>
        </w:rPr>
        <w:t>Jiang L, Tang K, Levin M, et al. COVID‐19 and multisystem inflammatory syndrome in children and adolescents. </w:t>
      </w:r>
      <w:r w:rsidRPr="00042317">
        <w:rPr>
          <w:i/>
          <w:iCs/>
          <w:sz w:val="16"/>
          <w:szCs w:val="16"/>
        </w:rPr>
        <w:t>Lancet Infect Dis</w:t>
      </w:r>
      <w:r w:rsidRPr="00042317">
        <w:rPr>
          <w:sz w:val="16"/>
          <w:szCs w:val="16"/>
        </w:rPr>
        <w:t> 2020; 20: e276–e288.</w:t>
      </w:r>
    </w:p>
  </w:footnote>
  <w:footnote w:id="48">
    <w:p w14:paraId="2755D787" w14:textId="77777777" w:rsidR="002F03CB" w:rsidRPr="00042317" w:rsidRDefault="002F03CB" w:rsidP="005001FC">
      <w:pPr>
        <w:pStyle w:val="FootnoteText"/>
        <w:rPr>
          <w:sz w:val="16"/>
          <w:szCs w:val="16"/>
        </w:rPr>
      </w:pPr>
      <w:r>
        <w:rPr>
          <w:rStyle w:val="FootnoteReference"/>
        </w:rPr>
        <w:footnoteRef/>
      </w:r>
      <w:r>
        <w:t xml:space="preserve"> </w:t>
      </w:r>
      <w:r w:rsidRPr="00042317">
        <w:rPr>
          <w:sz w:val="16"/>
          <w:szCs w:val="16"/>
        </w:rPr>
        <w:t xml:space="preserve">Davies P, Evans C, </w:t>
      </w:r>
      <w:r w:rsidRPr="00042317">
        <w:rPr>
          <w:sz w:val="16"/>
          <w:szCs w:val="16"/>
        </w:rPr>
        <w:t>Kanthimathinathan HK, et al. Intensive care admissions of children with paediatric inflammatory multisystem syndrome temporally associated with SARS‐CoV‐2 (PIMS‐TS) in the UK: a multicentre observational study. </w:t>
      </w:r>
      <w:r w:rsidRPr="00042317">
        <w:rPr>
          <w:i/>
          <w:iCs/>
          <w:sz w:val="16"/>
          <w:szCs w:val="16"/>
        </w:rPr>
        <w:t>Lancet Child Adolesc Health</w:t>
      </w:r>
      <w:r w:rsidRPr="00042317">
        <w:rPr>
          <w:sz w:val="16"/>
          <w:szCs w:val="16"/>
        </w:rPr>
        <w:t> 2020; 4: 669–677.</w:t>
      </w:r>
    </w:p>
  </w:footnote>
  <w:footnote w:id="49">
    <w:p w14:paraId="22F3965F" w14:textId="4CC46AD9" w:rsidR="002F03CB" w:rsidRPr="004051DC" w:rsidRDefault="002F03CB">
      <w:pPr>
        <w:pStyle w:val="FootnoteText"/>
        <w:rPr>
          <w:lang w:val="en-GB"/>
        </w:rPr>
      </w:pPr>
      <w:r>
        <w:rPr>
          <w:rStyle w:val="FootnoteReference"/>
        </w:rPr>
        <w:footnoteRef/>
      </w:r>
      <w:r>
        <w:t xml:space="preserve"> </w:t>
      </w:r>
      <w:r w:rsidRPr="005D0637">
        <w:t>Access Consortium statement on COVID-19 vaccines evidence | Therapeutic Goods Administration (TGA)</w:t>
      </w:r>
      <w:r>
        <w:t>. Available at: https://ww</w:t>
      </w:r>
      <w:r w:rsidRPr="00201E15">
        <w:t>w.tga.gov.au/access-consortium-statement-covid-19-vaccines-evidence</w:t>
      </w:r>
    </w:p>
  </w:footnote>
  <w:footnote w:id="50">
    <w:p w14:paraId="233A155C" w14:textId="73590BD6" w:rsidR="002F03CB" w:rsidRPr="00F275CC" w:rsidRDefault="002F03CB">
      <w:pPr>
        <w:pStyle w:val="FootnoteText"/>
        <w:rPr>
          <w:lang w:val="en-US"/>
        </w:rPr>
      </w:pPr>
      <w:r>
        <w:rPr>
          <w:rStyle w:val="FootnoteReference"/>
        </w:rPr>
        <w:footnoteRef/>
      </w:r>
      <w:r>
        <w:t xml:space="preserve"> European Medicines Agency: Considerations on COVID-19 vaccine approval; available at: </w:t>
      </w:r>
      <w:r w:rsidRPr="00F275CC">
        <w:t>https://www.ema.europa.eu/en/documents/other/ema-considerations-covid-19-vaccine-approval_en.pdf</w:t>
      </w:r>
    </w:p>
  </w:footnote>
  <w:footnote w:id="51">
    <w:p w14:paraId="31A154F0" w14:textId="29079D62" w:rsidR="002F03CB" w:rsidRDefault="002F03CB">
      <w:pPr>
        <w:pStyle w:val="FootnoteText"/>
      </w:pPr>
      <w:r>
        <w:rPr>
          <w:rStyle w:val="FootnoteReference"/>
        </w:rPr>
        <w:footnoteRef/>
      </w:r>
      <w:r>
        <w:t xml:space="preserve"> The ACV provides independent medical and scientific advice to the Minister for Health and the TGA on issues relating to the safety, quality and efficacy of medicines supplied in Australia including issues relating to </w:t>
      </w:r>
      <w:r>
        <w:t xml:space="preserve">pre market and post-market functions for medicines. Further information can be found here: </w:t>
      </w:r>
      <w:hyperlink r:id="rId13" w:history="1">
        <w:r w:rsidRPr="00B3631C">
          <w:rPr>
            <w:rStyle w:val="Hyperlink"/>
          </w:rPr>
          <w:t>https://www.tga.gov.au/committee/advisory-committee-vaccines-acv</w:t>
        </w:r>
      </w:hyperlink>
      <w:r>
        <w:t xml:space="preserve">. </w:t>
      </w:r>
    </w:p>
  </w:footnote>
  <w:footnote w:id="52">
    <w:p w14:paraId="10FA672E" w14:textId="77777777" w:rsidR="002F03CB" w:rsidRPr="0015659E" w:rsidRDefault="002F03CB" w:rsidP="00C52D98">
      <w:pPr>
        <w:pStyle w:val="FootnoteText"/>
        <w:rPr>
          <w:lang w:val="en-GB"/>
        </w:rPr>
      </w:pPr>
      <w:r>
        <w:rPr>
          <w:rStyle w:val="FootnoteReference"/>
        </w:rPr>
        <w:footnoteRef/>
      </w:r>
      <w:r>
        <w:t xml:space="preserve"> Australian Public Assessment Report (</w:t>
      </w:r>
      <w:r>
        <w:t xml:space="preserve">AusPAR) for BNT162b2 (mRNA) </w:t>
      </w:r>
      <w:r w:rsidRPr="0015659E">
        <w:t>Comirnaty</w:t>
      </w:r>
      <w:r>
        <w:t xml:space="preserve"> Pfizer Australia Pty Ltd </w:t>
      </w:r>
      <w:r w:rsidRPr="0015659E">
        <w:t>PM-2020-05461-1-2</w:t>
      </w:r>
      <w:r>
        <w:t xml:space="preserve">. Approved: 25 January 2021; published online: 25 January 2021. Available at: </w:t>
      </w:r>
      <w:hyperlink r:id="rId14" w:history="1">
        <w:r>
          <w:rPr>
            <w:rStyle w:val="Hyperlink"/>
          </w:rPr>
          <w:t>AusPAR: BNT162b2 (mRNA) - Comirnaty | Therapeutic Goods Administration (TGA)</w:t>
        </w:r>
      </w:hyperlink>
    </w:p>
  </w:footnote>
  <w:footnote w:id="53">
    <w:p w14:paraId="71550F06" w14:textId="77777777" w:rsidR="002F03CB" w:rsidRPr="0015659E" w:rsidRDefault="002F03CB" w:rsidP="00C52D98">
      <w:pPr>
        <w:pStyle w:val="FootnoteText"/>
        <w:rPr>
          <w:lang w:val="en-GB"/>
        </w:rPr>
      </w:pPr>
      <w:r>
        <w:rPr>
          <w:rStyle w:val="FootnoteReference"/>
        </w:rPr>
        <w:footnoteRef/>
      </w:r>
      <w:r>
        <w:t xml:space="preserve"> Australian Public Assessment Report (</w:t>
      </w:r>
      <w:r>
        <w:t xml:space="preserve">AusPAR) for BNT162b2 (mRNA) </w:t>
      </w:r>
      <w:r w:rsidRPr="0015659E">
        <w:t>Comirnaty</w:t>
      </w:r>
      <w:r>
        <w:t xml:space="preserve"> Pfizer Australia Pty Ltd </w:t>
      </w:r>
      <w:r w:rsidRPr="00AB64A5">
        <w:t>PM-2021-02187-1-2</w:t>
      </w:r>
      <w:r>
        <w:t xml:space="preserve">. Approved: 22 July 2021; published online: 23 July 2021. Available at: </w:t>
      </w:r>
      <w:hyperlink r:id="rId15" w:history="1">
        <w:r>
          <w:rPr>
            <w:rStyle w:val="Hyperlink"/>
          </w:rPr>
          <w:t>AusPAR: BNT162b2 (mRNA) | Therapeutic Goods Administration (TGA)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674A" w14:textId="77777777" w:rsidR="002F03CB" w:rsidRDefault="002F0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3B86A" w14:textId="77777777" w:rsidR="002F03CB" w:rsidRDefault="002F03C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E1F4" w14:textId="77777777" w:rsidR="002F03CB" w:rsidRDefault="002F03CB">
    <w:pPr>
      <w:rPr>
        <w:noProof/>
        <w:lang w:eastAsia="en-AU"/>
      </w:rPr>
    </w:pPr>
    <w:r w:rsidRPr="00347824">
      <w:rPr>
        <w:noProof/>
        <w:color w:val="2B579A"/>
        <w:shd w:val="clear" w:color="auto" w:fill="E6E6E6"/>
        <w:lang w:val="en-GB" w:eastAsia="en-GB"/>
      </w:rPr>
      <w:drawing>
        <wp:anchor distT="0" distB="0" distL="114300" distR="114300" simplePos="0" relativeHeight="251658240" behindDoc="1" locked="0" layoutInCell="1" allowOverlap="1" wp14:anchorId="30E2872B" wp14:editId="7D685914">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5443499" w14:textId="77777777" w:rsidR="002F03CB" w:rsidRDefault="002F03CB"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E40B1" w14:textId="77777777" w:rsidR="002F03CB" w:rsidRDefault="002F03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52E4A" w14:textId="77777777" w:rsidR="002F03CB" w:rsidRDefault="002F03C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7767" w14:textId="77777777" w:rsidR="002F03CB" w:rsidRDefault="002F03C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774F5" w14:textId="77777777" w:rsidR="002F03CB" w:rsidRDefault="002F03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D4681" w14:textId="77777777" w:rsidR="002F03CB" w:rsidRDefault="002F03C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08C6C" w14:textId="77777777" w:rsidR="002F03CB" w:rsidRDefault="002F03CB" w:rsidP="006E08B3">
    <w:r>
      <w:t>Therapeutic Goods Administration</w:t>
    </w:r>
  </w:p>
  <w:p w14:paraId="7908049D" w14:textId="77777777" w:rsidR="002F03CB" w:rsidRDefault="002F03C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5AE85B3"/>
    <w:multiLevelType w:val="hybridMultilevel"/>
    <w:tmpl w:val="EE51AC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31DB7A5"/>
    <w:multiLevelType w:val="hybridMultilevel"/>
    <w:tmpl w:val="C8FA42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8F13E9"/>
    <w:multiLevelType w:val="multilevel"/>
    <w:tmpl w:val="0EB81E22"/>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63937EC"/>
    <w:multiLevelType w:val="hybridMultilevel"/>
    <w:tmpl w:val="A796B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9F86501"/>
    <w:multiLevelType w:val="hybridMultilevel"/>
    <w:tmpl w:val="463CD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E4A2BD3"/>
    <w:multiLevelType w:val="hybridMultilevel"/>
    <w:tmpl w:val="0F3E1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05C74A0"/>
    <w:multiLevelType w:val="hybridMultilevel"/>
    <w:tmpl w:val="DA521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7"/>
  </w:num>
  <w:num w:numId="7">
    <w:abstractNumId w:val="5"/>
  </w:num>
  <w:num w:numId="8">
    <w:abstractNumId w:val="6"/>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2NzU1MDYxtDQ0NzFX0lEKTi0uzszPAykwrAUAT3+5aiwAAAA="/>
  </w:docVars>
  <w:rsids>
    <w:rsidRoot w:val="009E05BD"/>
    <w:rsid w:val="00002031"/>
    <w:rsid w:val="00004734"/>
    <w:rsid w:val="00006B22"/>
    <w:rsid w:val="00006FAB"/>
    <w:rsid w:val="0001276A"/>
    <w:rsid w:val="000246AE"/>
    <w:rsid w:val="00025C67"/>
    <w:rsid w:val="00044772"/>
    <w:rsid w:val="0004541C"/>
    <w:rsid w:val="0005559E"/>
    <w:rsid w:val="000604D6"/>
    <w:rsid w:val="000734D8"/>
    <w:rsid w:val="00076318"/>
    <w:rsid w:val="00077775"/>
    <w:rsid w:val="00090471"/>
    <w:rsid w:val="00096AA7"/>
    <w:rsid w:val="000A3AED"/>
    <w:rsid w:val="000A41FE"/>
    <w:rsid w:val="000B263A"/>
    <w:rsid w:val="000B3532"/>
    <w:rsid w:val="000B3727"/>
    <w:rsid w:val="000B3A75"/>
    <w:rsid w:val="000C00C2"/>
    <w:rsid w:val="000C690F"/>
    <w:rsid w:val="000D1295"/>
    <w:rsid w:val="000D391B"/>
    <w:rsid w:val="000D3D6D"/>
    <w:rsid w:val="000D4FC7"/>
    <w:rsid w:val="000D7A86"/>
    <w:rsid w:val="000E6196"/>
    <w:rsid w:val="000F3DDD"/>
    <w:rsid w:val="000F4869"/>
    <w:rsid w:val="000F5B42"/>
    <w:rsid w:val="000F6E6F"/>
    <w:rsid w:val="0010601F"/>
    <w:rsid w:val="0010788A"/>
    <w:rsid w:val="00107A31"/>
    <w:rsid w:val="00110EA5"/>
    <w:rsid w:val="00112F56"/>
    <w:rsid w:val="00122C2E"/>
    <w:rsid w:val="00124ACD"/>
    <w:rsid w:val="00125318"/>
    <w:rsid w:val="001305A2"/>
    <w:rsid w:val="00133238"/>
    <w:rsid w:val="00133A1B"/>
    <w:rsid w:val="001354FE"/>
    <w:rsid w:val="0014197B"/>
    <w:rsid w:val="001447CD"/>
    <w:rsid w:val="00145662"/>
    <w:rsid w:val="001513E5"/>
    <w:rsid w:val="001516B1"/>
    <w:rsid w:val="00154EBB"/>
    <w:rsid w:val="00156316"/>
    <w:rsid w:val="0015659E"/>
    <w:rsid w:val="00161181"/>
    <w:rsid w:val="00162D14"/>
    <w:rsid w:val="00163780"/>
    <w:rsid w:val="00164386"/>
    <w:rsid w:val="00165389"/>
    <w:rsid w:val="0016617C"/>
    <w:rsid w:val="00172C1E"/>
    <w:rsid w:val="0017693F"/>
    <w:rsid w:val="0018110E"/>
    <w:rsid w:val="00181684"/>
    <w:rsid w:val="001843C6"/>
    <w:rsid w:val="001850E0"/>
    <w:rsid w:val="00185CF8"/>
    <w:rsid w:val="001908ED"/>
    <w:rsid w:val="001A03AF"/>
    <w:rsid w:val="001A095E"/>
    <w:rsid w:val="001A2158"/>
    <w:rsid w:val="001A525F"/>
    <w:rsid w:val="001B09F9"/>
    <w:rsid w:val="001B1A12"/>
    <w:rsid w:val="001B5C90"/>
    <w:rsid w:val="001B6448"/>
    <w:rsid w:val="001C32CD"/>
    <w:rsid w:val="001C33A9"/>
    <w:rsid w:val="001D1926"/>
    <w:rsid w:val="001D2984"/>
    <w:rsid w:val="001D7560"/>
    <w:rsid w:val="001E07CF"/>
    <w:rsid w:val="001E59F1"/>
    <w:rsid w:val="001F1011"/>
    <w:rsid w:val="001F2CEE"/>
    <w:rsid w:val="001F49EB"/>
    <w:rsid w:val="001F6CBA"/>
    <w:rsid w:val="00201D4E"/>
    <w:rsid w:val="00201E15"/>
    <w:rsid w:val="00203DA0"/>
    <w:rsid w:val="00205730"/>
    <w:rsid w:val="00206408"/>
    <w:rsid w:val="002076C9"/>
    <w:rsid w:val="0021275D"/>
    <w:rsid w:val="00212FDF"/>
    <w:rsid w:val="00220B8A"/>
    <w:rsid w:val="00222F35"/>
    <w:rsid w:val="002249FE"/>
    <w:rsid w:val="002257F3"/>
    <w:rsid w:val="00226797"/>
    <w:rsid w:val="002313B9"/>
    <w:rsid w:val="00233456"/>
    <w:rsid w:val="002339A5"/>
    <w:rsid w:val="00235B07"/>
    <w:rsid w:val="00250271"/>
    <w:rsid w:val="002528EE"/>
    <w:rsid w:val="00257848"/>
    <w:rsid w:val="002578E8"/>
    <w:rsid w:val="0027084A"/>
    <w:rsid w:val="00274325"/>
    <w:rsid w:val="00280265"/>
    <w:rsid w:val="0028039F"/>
    <w:rsid w:val="00281713"/>
    <w:rsid w:val="00286434"/>
    <w:rsid w:val="00286C59"/>
    <w:rsid w:val="00291957"/>
    <w:rsid w:val="002942D1"/>
    <w:rsid w:val="0029501A"/>
    <w:rsid w:val="002954CF"/>
    <w:rsid w:val="002A07C8"/>
    <w:rsid w:val="002A3721"/>
    <w:rsid w:val="002A66C5"/>
    <w:rsid w:val="002B1638"/>
    <w:rsid w:val="002B3624"/>
    <w:rsid w:val="002D0952"/>
    <w:rsid w:val="002D48F5"/>
    <w:rsid w:val="002E40B3"/>
    <w:rsid w:val="002E4C9A"/>
    <w:rsid w:val="002F03CB"/>
    <w:rsid w:val="002F11F8"/>
    <w:rsid w:val="002F3F56"/>
    <w:rsid w:val="002F44B5"/>
    <w:rsid w:val="002F5122"/>
    <w:rsid w:val="0030349A"/>
    <w:rsid w:val="00311AC0"/>
    <w:rsid w:val="00312826"/>
    <w:rsid w:val="003140E3"/>
    <w:rsid w:val="00317100"/>
    <w:rsid w:val="003176FC"/>
    <w:rsid w:val="00317D77"/>
    <w:rsid w:val="00321F1F"/>
    <w:rsid w:val="00324E45"/>
    <w:rsid w:val="0032583B"/>
    <w:rsid w:val="00327883"/>
    <w:rsid w:val="00331954"/>
    <w:rsid w:val="003351C6"/>
    <w:rsid w:val="00335269"/>
    <w:rsid w:val="003353C6"/>
    <w:rsid w:val="00335504"/>
    <w:rsid w:val="00340C18"/>
    <w:rsid w:val="003442FD"/>
    <w:rsid w:val="00344A41"/>
    <w:rsid w:val="00347824"/>
    <w:rsid w:val="00347B78"/>
    <w:rsid w:val="00350567"/>
    <w:rsid w:val="00351A75"/>
    <w:rsid w:val="00352171"/>
    <w:rsid w:val="003521E8"/>
    <w:rsid w:val="00352F31"/>
    <w:rsid w:val="003532E9"/>
    <w:rsid w:val="00370CE3"/>
    <w:rsid w:val="003728F3"/>
    <w:rsid w:val="003735BC"/>
    <w:rsid w:val="00373F30"/>
    <w:rsid w:val="00374068"/>
    <w:rsid w:val="0037496E"/>
    <w:rsid w:val="00382ABB"/>
    <w:rsid w:val="00383221"/>
    <w:rsid w:val="00386150"/>
    <w:rsid w:val="003874CE"/>
    <w:rsid w:val="00390900"/>
    <w:rsid w:val="00397386"/>
    <w:rsid w:val="003A23B5"/>
    <w:rsid w:val="003A3EA9"/>
    <w:rsid w:val="003A7F6C"/>
    <w:rsid w:val="003B0706"/>
    <w:rsid w:val="003B4D60"/>
    <w:rsid w:val="003B7E39"/>
    <w:rsid w:val="003C188D"/>
    <w:rsid w:val="003C58DC"/>
    <w:rsid w:val="003C66D1"/>
    <w:rsid w:val="003D1E62"/>
    <w:rsid w:val="003E0B99"/>
    <w:rsid w:val="003E2486"/>
    <w:rsid w:val="003E3208"/>
    <w:rsid w:val="003F0B04"/>
    <w:rsid w:val="003F6BBF"/>
    <w:rsid w:val="003F7D35"/>
    <w:rsid w:val="00400E86"/>
    <w:rsid w:val="0040134E"/>
    <w:rsid w:val="004051DC"/>
    <w:rsid w:val="004245F8"/>
    <w:rsid w:val="0042716E"/>
    <w:rsid w:val="004334C7"/>
    <w:rsid w:val="00440A2D"/>
    <w:rsid w:val="00441C3F"/>
    <w:rsid w:val="00444D1A"/>
    <w:rsid w:val="0045186A"/>
    <w:rsid w:val="00451F34"/>
    <w:rsid w:val="004564A7"/>
    <w:rsid w:val="00456765"/>
    <w:rsid w:val="00460036"/>
    <w:rsid w:val="004617BF"/>
    <w:rsid w:val="00461A9D"/>
    <w:rsid w:val="00463658"/>
    <w:rsid w:val="004637A0"/>
    <w:rsid w:val="00463D52"/>
    <w:rsid w:val="004703D5"/>
    <w:rsid w:val="004722CC"/>
    <w:rsid w:val="00476FDD"/>
    <w:rsid w:val="00490483"/>
    <w:rsid w:val="004936E4"/>
    <w:rsid w:val="00493A22"/>
    <w:rsid w:val="004945E2"/>
    <w:rsid w:val="00494E60"/>
    <w:rsid w:val="00497487"/>
    <w:rsid w:val="004A2771"/>
    <w:rsid w:val="004A6189"/>
    <w:rsid w:val="004A7390"/>
    <w:rsid w:val="004B1B27"/>
    <w:rsid w:val="004B3F77"/>
    <w:rsid w:val="004B7B76"/>
    <w:rsid w:val="004C239D"/>
    <w:rsid w:val="004C2DCA"/>
    <w:rsid w:val="004C35A3"/>
    <w:rsid w:val="004C4FBE"/>
    <w:rsid w:val="004C61D2"/>
    <w:rsid w:val="004D1559"/>
    <w:rsid w:val="004D6ECC"/>
    <w:rsid w:val="004F0C4A"/>
    <w:rsid w:val="004F0F38"/>
    <w:rsid w:val="004F47D6"/>
    <w:rsid w:val="004F4B75"/>
    <w:rsid w:val="005001FC"/>
    <w:rsid w:val="00500337"/>
    <w:rsid w:val="00501921"/>
    <w:rsid w:val="00510CAE"/>
    <w:rsid w:val="00521A35"/>
    <w:rsid w:val="0052249E"/>
    <w:rsid w:val="005252B2"/>
    <w:rsid w:val="00530354"/>
    <w:rsid w:val="0053625B"/>
    <w:rsid w:val="005434C6"/>
    <w:rsid w:val="00543B39"/>
    <w:rsid w:val="00546154"/>
    <w:rsid w:val="005476D2"/>
    <w:rsid w:val="00550096"/>
    <w:rsid w:val="00552B8B"/>
    <w:rsid w:val="00555280"/>
    <w:rsid w:val="00557FF9"/>
    <w:rsid w:val="00562327"/>
    <w:rsid w:val="005647A8"/>
    <w:rsid w:val="00565726"/>
    <w:rsid w:val="005711D5"/>
    <w:rsid w:val="00575C88"/>
    <w:rsid w:val="00576378"/>
    <w:rsid w:val="00577130"/>
    <w:rsid w:val="00577945"/>
    <w:rsid w:val="00577E38"/>
    <w:rsid w:val="00585322"/>
    <w:rsid w:val="005857C6"/>
    <w:rsid w:val="005867DB"/>
    <w:rsid w:val="00592F6E"/>
    <w:rsid w:val="00593868"/>
    <w:rsid w:val="00593AD1"/>
    <w:rsid w:val="005A68B6"/>
    <w:rsid w:val="005C5570"/>
    <w:rsid w:val="005C5B66"/>
    <w:rsid w:val="005C79A4"/>
    <w:rsid w:val="005D0637"/>
    <w:rsid w:val="005D1794"/>
    <w:rsid w:val="005D5442"/>
    <w:rsid w:val="005F6462"/>
    <w:rsid w:val="00603F32"/>
    <w:rsid w:val="00605AD4"/>
    <w:rsid w:val="006134EC"/>
    <w:rsid w:val="006136D7"/>
    <w:rsid w:val="006158EA"/>
    <w:rsid w:val="00625A6E"/>
    <w:rsid w:val="00632398"/>
    <w:rsid w:val="006341DE"/>
    <w:rsid w:val="00635748"/>
    <w:rsid w:val="00637B39"/>
    <w:rsid w:val="00640FC3"/>
    <w:rsid w:val="00642020"/>
    <w:rsid w:val="006430EE"/>
    <w:rsid w:val="0065337B"/>
    <w:rsid w:val="0065419D"/>
    <w:rsid w:val="006603BC"/>
    <w:rsid w:val="006604D8"/>
    <w:rsid w:val="006616F0"/>
    <w:rsid w:val="00664A5B"/>
    <w:rsid w:val="0066735C"/>
    <w:rsid w:val="006763D2"/>
    <w:rsid w:val="00680C08"/>
    <w:rsid w:val="006854F7"/>
    <w:rsid w:val="006916A0"/>
    <w:rsid w:val="006931B1"/>
    <w:rsid w:val="006973FF"/>
    <w:rsid w:val="006A15C0"/>
    <w:rsid w:val="006A58A8"/>
    <w:rsid w:val="006C3E2A"/>
    <w:rsid w:val="006C642F"/>
    <w:rsid w:val="006D03E5"/>
    <w:rsid w:val="006D5D3E"/>
    <w:rsid w:val="006E08B3"/>
    <w:rsid w:val="006F17AC"/>
    <w:rsid w:val="006F25B8"/>
    <w:rsid w:val="006F4856"/>
    <w:rsid w:val="006F572E"/>
    <w:rsid w:val="007046D6"/>
    <w:rsid w:val="00705DB0"/>
    <w:rsid w:val="00711639"/>
    <w:rsid w:val="00711A74"/>
    <w:rsid w:val="00714C4C"/>
    <w:rsid w:val="00721BD4"/>
    <w:rsid w:val="00722B57"/>
    <w:rsid w:val="00722FB4"/>
    <w:rsid w:val="00730F8A"/>
    <w:rsid w:val="007357D4"/>
    <w:rsid w:val="00735A8C"/>
    <w:rsid w:val="00735AB8"/>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0A47"/>
    <w:rsid w:val="007A46F5"/>
    <w:rsid w:val="007A6505"/>
    <w:rsid w:val="007B260B"/>
    <w:rsid w:val="007B6132"/>
    <w:rsid w:val="007B6E9F"/>
    <w:rsid w:val="007C1216"/>
    <w:rsid w:val="007C1AF7"/>
    <w:rsid w:val="007C293F"/>
    <w:rsid w:val="007C6B9B"/>
    <w:rsid w:val="007D53B6"/>
    <w:rsid w:val="007D5E17"/>
    <w:rsid w:val="007D64DC"/>
    <w:rsid w:val="007E29DB"/>
    <w:rsid w:val="007F1892"/>
    <w:rsid w:val="007F1FB8"/>
    <w:rsid w:val="00805D27"/>
    <w:rsid w:val="00806DCB"/>
    <w:rsid w:val="00821776"/>
    <w:rsid w:val="008321F5"/>
    <w:rsid w:val="00832369"/>
    <w:rsid w:val="00834660"/>
    <w:rsid w:val="00836BC2"/>
    <w:rsid w:val="00844663"/>
    <w:rsid w:val="0085156D"/>
    <w:rsid w:val="008521E6"/>
    <w:rsid w:val="00852B28"/>
    <w:rsid w:val="0085641B"/>
    <w:rsid w:val="00857136"/>
    <w:rsid w:val="00866CEE"/>
    <w:rsid w:val="00875A6B"/>
    <w:rsid w:val="0087649C"/>
    <w:rsid w:val="00876A38"/>
    <w:rsid w:val="008842AD"/>
    <w:rsid w:val="00885B11"/>
    <w:rsid w:val="00886D15"/>
    <w:rsid w:val="00887BE1"/>
    <w:rsid w:val="00887DD8"/>
    <w:rsid w:val="00891BA9"/>
    <w:rsid w:val="00895062"/>
    <w:rsid w:val="00896018"/>
    <w:rsid w:val="008960DD"/>
    <w:rsid w:val="0089635C"/>
    <w:rsid w:val="008A1785"/>
    <w:rsid w:val="008A2B9D"/>
    <w:rsid w:val="008A3164"/>
    <w:rsid w:val="008A3D9F"/>
    <w:rsid w:val="008A5E0B"/>
    <w:rsid w:val="008A6D59"/>
    <w:rsid w:val="008B3DDF"/>
    <w:rsid w:val="008B4B03"/>
    <w:rsid w:val="008B5252"/>
    <w:rsid w:val="008B5622"/>
    <w:rsid w:val="008B596F"/>
    <w:rsid w:val="008C159F"/>
    <w:rsid w:val="008C1623"/>
    <w:rsid w:val="008C1850"/>
    <w:rsid w:val="008C1A39"/>
    <w:rsid w:val="008C51A9"/>
    <w:rsid w:val="008D3387"/>
    <w:rsid w:val="008E7846"/>
    <w:rsid w:val="008F02E5"/>
    <w:rsid w:val="008F1CCC"/>
    <w:rsid w:val="008F2967"/>
    <w:rsid w:val="008F6943"/>
    <w:rsid w:val="00902A21"/>
    <w:rsid w:val="0091523F"/>
    <w:rsid w:val="00917237"/>
    <w:rsid w:val="00920330"/>
    <w:rsid w:val="0092177B"/>
    <w:rsid w:val="009219D7"/>
    <w:rsid w:val="00922D53"/>
    <w:rsid w:val="00923B70"/>
    <w:rsid w:val="00924482"/>
    <w:rsid w:val="00926760"/>
    <w:rsid w:val="00930237"/>
    <w:rsid w:val="00937C17"/>
    <w:rsid w:val="00940A89"/>
    <w:rsid w:val="00941F77"/>
    <w:rsid w:val="009426DE"/>
    <w:rsid w:val="00943F81"/>
    <w:rsid w:val="00946EA5"/>
    <w:rsid w:val="00960520"/>
    <w:rsid w:val="00963C08"/>
    <w:rsid w:val="00970622"/>
    <w:rsid w:val="009752A5"/>
    <w:rsid w:val="00984C9E"/>
    <w:rsid w:val="009853CD"/>
    <w:rsid w:val="0098585A"/>
    <w:rsid w:val="009A4CED"/>
    <w:rsid w:val="009A690D"/>
    <w:rsid w:val="009B1D12"/>
    <w:rsid w:val="009B416B"/>
    <w:rsid w:val="009C4BD5"/>
    <w:rsid w:val="009D031C"/>
    <w:rsid w:val="009D32DA"/>
    <w:rsid w:val="009D7B77"/>
    <w:rsid w:val="009E05BD"/>
    <w:rsid w:val="009E0BB0"/>
    <w:rsid w:val="009E3FBB"/>
    <w:rsid w:val="009E5B6A"/>
    <w:rsid w:val="009F7353"/>
    <w:rsid w:val="00A04F85"/>
    <w:rsid w:val="00A05FA4"/>
    <w:rsid w:val="00A07701"/>
    <w:rsid w:val="00A102E4"/>
    <w:rsid w:val="00A1219C"/>
    <w:rsid w:val="00A12C42"/>
    <w:rsid w:val="00A14D5C"/>
    <w:rsid w:val="00A14DF7"/>
    <w:rsid w:val="00A22D57"/>
    <w:rsid w:val="00A26B4B"/>
    <w:rsid w:val="00A3246D"/>
    <w:rsid w:val="00A36FA7"/>
    <w:rsid w:val="00A44DDB"/>
    <w:rsid w:val="00A475B7"/>
    <w:rsid w:val="00A47AF7"/>
    <w:rsid w:val="00A47C3E"/>
    <w:rsid w:val="00A50226"/>
    <w:rsid w:val="00A53D95"/>
    <w:rsid w:val="00A55DCE"/>
    <w:rsid w:val="00A60BAD"/>
    <w:rsid w:val="00A62FD0"/>
    <w:rsid w:val="00A666D7"/>
    <w:rsid w:val="00A76B17"/>
    <w:rsid w:val="00A77751"/>
    <w:rsid w:val="00A77F87"/>
    <w:rsid w:val="00A80B5B"/>
    <w:rsid w:val="00A84E36"/>
    <w:rsid w:val="00A92A5D"/>
    <w:rsid w:val="00A964D1"/>
    <w:rsid w:val="00AA0ED0"/>
    <w:rsid w:val="00AB64A5"/>
    <w:rsid w:val="00AB70B5"/>
    <w:rsid w:val="00AC1D93"/>
    <w:rsid w:val="00AC2ACA"/>
    <w:rsid w:val="00AC2B40"/>
    <w:rsid w:val="00AC2BB2"/>
    <w:rsid w:val="00AC2C3C"/>
    <w:rsid w:val="00AC5069"/>
    <w:rsid w:val="00AC512D"/>
    <w:rsid w:val="00AD0083"/>
    <w:rsid w:val="00AD11A2"/>
    <w:rsid w:val="00AD1609"/>
    <w:rsid w:val="00AD3935"/>
    <w:rsid w:val="00AD54C1"/>
    <w:rsid w:val="00AE00F7"/>
    <w:rsid w:val="00AE58A5"/>
    <w:rsid w:val="00AE65EB"/>
    <w:rsid w:val="00AE67A7"/>
    <w:rsid w:val="00AF1D94"/>
    <w:rsid w:val="00AF2E1B"/>
    <w:rsid w:val="00AF60C5"/>
    <w:rsid w:val="00B009C6"/>
    <w:rsid w:val="00B01548"/>
    <w:rsid w:val="00B130C5"/>
    <w:rsid w:val="00B13EBD"/>
    <w:rsid w:val="00B16867"/>
    <w:rsid w:val="00B21D29"/>
    <w:rsid w:val="00B25034"/>
    <w:rsid w:val="00B314B7"/>
    <w:rsid w:val="00B323F7"/>
    <w:rsid w:val="00B33588"/>
    <w:rsid w:val="00B33863"/>
    <w:rsid w:val="00B37D17"/>
    <w:rsid w:val="00B4175E"/>
    <w:rsid w:val="00B41980"/>
    <w:rsid w:val="00B41C85"/>
    <w:rsid w:val="00B452CE"/>
    <w:rsid w:val="00B46DE3"/>
    <w:rsid w:val="00B54C25"/>
    <w:rsid w:val="00B75F4E"/>
    <w:rsid w:val="00B76B91"/>
    <w:rsid w:val="00B77EB1"/>
    <w:rsid w:val="00B811C6"/>
    <w:rsid w:val="00B82A0B"/>
    <w:rsid w:val="00B83631"/>
    <w:rsid w:val="00B855B0"/>
    <w:rsid w:val="00B9002A"/>
    <w:rsid w:val="00B92E08"/>
    <w:rsid w:val="00BA6D19"/>
    <w:rsid w:val="00BA7D7A"/>
    <w:rsid w:val="00BB642D"/>
    <w:rsid w:val="00BC622A"/>
    <w:rsid w:val="00BD1F85"/>
    <w:rsid w:val="00BE0A78"/>
    <w:rsid w:val="00BE1529"/>
    <w:rsid w:val="00BE709A"/>
    <w:rsid w:val="00BE79F0"/>
    <w:rsid w:val="00BE7A35"/>
    <w:rsid w:val="00BF046D"/>
    <w:rsid w:val="00BF1190"/>
    <w:rsid w:val="00BF3774"/>
    <w:rsid w:val="00BF5D04"/>
    <w:rsid w:val="00C009AA"/>
    <w:rsid w:val="00C1164D"/>
    <w:rsid w:val="00C16861"/>
    <w:rsid w:val="00C22C55"/>
    <w:rsid w:val="00C30531"/>
    <w:rsid w:val="00C346AB"/>
    <w:rsid w:val="00C3718F"/>
    <w:rsid w:val="00C404A6"/>
    <w:rsid w:val="00C40A36"/>
    <w:rsid w:val="00C44419"/>
    <w:rsid w:val="00C45E7B"/>
    <w:rsid w:val="00C471B1"/>
    <w:rsid w:val="00C525A2"/>
    <w:rsid w:val="00C52D98"/>
    <w:rsid w:val="00C52E24"/>
    <w:rsid w:val="00C6316B"/>
    <w:rsid w:val="00C634A9"/>
    <w:rsid w:val="00C64586"/>
    <w:rsid w:val="00C651EC"/>
    <w:rsid w:val="00C70A36"/>
    <w:rsid w:val="00C70D53"/>
    <w:rsid w:val="00C73D0B"/>
    <w:rsid w:val="00C74F5C"/>
    <w:rsid w:val="00C75526"/>
    <w:rsid w:val="00C772FF"/>
    <w:rsid w:val="00C80137"/>
    <w:rsid w:val="00C801AF"/>
    <w:rsid w:val="00C80256"/>
    <w:rsid w:val="00C846D8"/>
    <w:rsid w:val="00C86F2B"/>
    <w:rsid w:val="00C94CD4"/>
    <w:rsid w:val="00C962C1"/>
    <w:rsid w:val="00C9747E"/>
    <w:rsid w:val="00CB6BC0"/>
    <w:rsid w:val="00CC0B15"/>
    <w:rsid w:val="00CC1B7C"/>
    <w:rsid w:val="00CC727F"/>
    <w:rsid w:val="00CD2094"/>
    <w:rsid w:val="00CD25DC"/>
    <w:rsid w:val="00CF15C3"/>
    <w:rsid w:val="00CF2B6F"/>
    <w:rsid w:val="00CF2F3E"/>
    <w:rsid w:val="00CF38FB"/>
    <w:rsid w:val="00CF4251"/>
    <w:rsid w:val="00CF58B6"/>
    <w:rsid w:val="00CF5DAD"/>
    <w:rsid w:val="00D0048A"/>
    <w:rsid w:val="00D0062D"/>
    <w:rsid w:val="00D0132E"/>
    <w:rsid w:val="00D017ED"/>
    <w:rsid w:val="00D040D3"/>
    <w:rsid w:val="00D04C65"/>
    <w:rsid w:val="00D153D8"/>
    <w:rsid w:val="00D15B9E"/>
    <w:rsid w:val="00D16CBC"/>
    <w:rsid w:val="00D201D2"/>
    <w:rsid w:val="00D224FE"/>
    <w:rsid w:val="00D23139"/>
    <w:rsid w:val="00D23FB0"/>
    <w:rsid w:val="00D241D2"/>
    <w:rsid w:val="00D31C46"/>
    <w:rsid w:val="00D322F6"/>
    <w:rsid w:val="00D425BB"/>
    <w:rsid w:val="00D453FA"/>
    <w:rsid w:val="00D551D1"/>
    <w:rsid w:val="00D6224A"/>
    <w:rsid w:val="00D6493E"/>
    <w:rsid w:val="00D7041B"/>
    <w:rsid w:val="00D7195D"/>
    <w:rsid w:val="00D7301E"/>
    <w:rsid w:val="00D74B0C"/>
    <w:rsid w:val="00D77B0D"/>
    <w:rsid w:val="00D83AE1"/>
    <w:rsid w:val="00D855D4"/>
    <w:rsid w:val="00D902C9"/>
    <w:rsid w:val="00D93466"/>
    <w:rsid w:val="00DA1124"/>
    <w:rsid w:val="00DA64CB"/>
    <w:rsid w:val="00DB06B8"/>
    <w:rsid w:val="00DB3E4C"/>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17E7A"/>
    <w:rsid w:val="00E20571"/>
    <w:rsid w:val="00E235F7"/>
    <w:rsid w:val="00E23659"/>
    <w:rsid w:val="00E239D4"/>
    <w:rsid w:val="00E26130"/>
    <w:rsid w:val="00E277CE"/>
    <w:rsid w:val="00E33567"/>
    <w:rsid w:val="00E33D42"/>
    <w:rsid w:val="00E40B22"/>
    <w:rsid w:val="00E44ED1"/>
    <w:rsid w:val="00E45619"/>
    <w:rsid w:val="00E4588F"/>
    <w:rsid w:val="00E46DA3"/>
    <w:rsid w:val="00E4719A"/>
    <w:rsid w:val="00E51BB1"/>
    <w:rsid w:val="00E55CB0"/>
    <w:rsid w:val="00E611D7"/>
    <w:rsid w:val="00E624A5"/>
    <w:rsid w:val="00E63C6E"/>
    <w:rsid w:val="00E64403"/>
    <w:rsid w:val="00E64BA4"/>
    <w:rsid w:val="00E674A3"/>
    <w:rsid w:val="00E705F7"/>
    <w:rsid w:val="00E7344E"/>
    <w:rsid w:val="00E82665"/>
    <w:rsid w:val="00E83B83"/>
    <w:rsid w:val="00EB0798"/>
    <w:rsid w:val="00EB22A0"/>
    <w:rsid w:val="00EB29C0"/>
    <w:rsid w:val="00EB40AD"/>
    <w:rsid w:val="00EB4D3E"/>
    <w:rsid w:val="00EB586E"/>
    <w:rsid w:val="00EB5FC8"/>
    <w:rsid w:val="00EC1794"/>
    <w:rsid w:val="00EC463D"/>
    <w:rsid w:val="00EC7A85"/>
    <w:rsid w:val="00ED2922"/>
    <w:rsid w:val="00ED3CAD"/>
    <w:rsid w:val="00ED5A41"/>
    <w:rsid w:val="00ED70F4"/>
    <w:rsid w:val="00EE1DE8"/>
    <w:rsid w:val="00EE27C2"/>
    <w:rsid w:val="00EF4BAD"/>
    <w:rsid w:val="00EF59DC"/>
    <w:rsid w:val="00F033EC"/>
    <w:rsid w:val="00F04F68"/>
    <w:rsid w:val="00F12670"/>
    <w:rsid w:val="00F14B27"/>
    <w:rsid w:val="00F17A4C"/>
    <w:rsid w:val="00F275CC"/>
    <w:rsid w:val="00F3148D"/>
    <w:rsid w:val="00F325C5"/>
    <w:rsid w:val="00F32FE0"/>
    <w:rsid w:val="00F35298"/>
    <w:rsid w:val="00F47333"/>
    <w:rsid w:val="00F47E37"/>
    <w:rsid w:val="00F53C07"/>
    <w:rsid w:val="00F54B65"/>
    <w:rsid w:val="00F602A7"/>
    <w:rsid w:val="00F63DBF"/>
    <w:rsid w:val="00F640B6"/>
    <w:rsid w:val="00F6606E"/>
    <w:rsid w:val="00F66DF2"/>
    <w:rsid w:val="00F80E40"/>
    <w:rsid w:val="00F848D9"/>
    <w:rsid w:val="00F921C2"/>
    <w:rsid w:val="00FA1DD0"/>
    <w:rsid w:val="00FA5069"/>
    <w:rsid w:val="00FA5B82"/>
    <w:rsid w:val="00FA639E"/>
    <w:rsid w:val="00FB369D"/>
    <w:rsid w:val="00FC1FCA"/>
    <w:rsid w:val="00FC25E4"/>
    <w:rsid w:val="00FC4EF7"/>
    <w:rsid w:val="00FC624D"/>
    <w:rsid w:val="00FD0824"/>
    <w:rsid w:val="00FD119B"/>
    <w:rsid w:val="00FD1EDC"/>
    <w:rsid w:val="00FD3F93"/>
    <w:rsid w:val="00FD7E1C"/>
    <w:rsid w:val="00FE1DEE"/>
    <w:rsid w:val="00FE25B4"/>
    <w:rsid w:val="00FF2126"/>
    <w:rsid w:val="00FF5755"/>
    <w:rsid w:val="00FF69BE"/>
    <w:rsid w:val="00FF7B93"/>
    <w:rsid w:val="01E00A9E"/>
    <w:rsid w:val="19839679"/>
    <w:rsid w:val="3BFF1392"/>
    <w:rsid w:val="40773FBF"/>
    <w:rsid w:val="413C26F9"/>
    <w:rsid w:val="4F2F190E"/>
    <w:rsid w:val="52ADC947"/>
    <w:rsid w:val="6063CFD1"/>
    <w:rsid w:val="6FD83F21"/>
    <w:rsid w:val="7EADC31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87EF31"/>
  <w15:docId w15:val="{BF951B2D-078A-4CDB-B2D4-CC365526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C1D93"/>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qFormat/>
    <w:rsid w:val="00D16CBC"/>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5001FC"/>
    <w:rPr>
      <w:rFonts w:ascii="Cambria" w:eastAsia="Cambria" w:hAnsi="Cambria" w:cs="Times New Roman"/>
      <w:sz w:val="19"/>
    </w:rPr>
  </w:style>
  <w:style w:type="paragraph" w:customStyle="1" w:styleId="Default">
    <w:name w:val="Default"/>
    <w:rsid w:val="00EB29C0"/>
    <w:pPr>
      <w:autoSpaceDE w:val="0"/>
      <w:autoSpaceDN w:val="0"/>
      <w:adjustRightInd w:val="0"/>
      <w:spacing w:after="0" w:line="240" w:lineRule="auto"/>
    </w:pPr>
    <w:rPr>
      <w:rFonts w:ascii="Cambria" w:hAnsi="Cambria" w:cs="Cambria"/>
      <w:color w:val="000000"/>
      <w:sz w:val="24"/>
      <w:szCs w:val="24"/>
      <w:lang w:val="en-GB"/>
    </w:rPr>
  </w:style>
  <w:style w:type="character" w:customStyle="1" w:styleId="UnresolvedMention2">
    <w:name w:val="Unresolved Mention2"/>
    <w:basedOn w:val="DefaultParagraphFont"/>
    <w:uiPriority w:val="99"/>
    <w:semiHidden/>
    <w:unhideWhenUsed/>
    <w:rsid w:val="000A41FE"/>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E705F7"/>
  </w:style>
  <w:style w:type="character" w:customStyle="1" w:styleId="eop">
    <w:name w:val="eop"/>
    <w:basedOn w:val="DefaultParagraphFont"/>
    <w:rsid w:val="00E705F7"/>
  </w:style>
  <w:style w:type="character" w:styleId="UnresolvedMention">
    <w:name w:val="Unresolved Mention"/>
    <w:basedOn w:val="DefaultParagraphFont"/>
    <w:uiPriority w:val="99"/>
    <w:semiHidden/>
    <w:unhideWhenUsed/>
    <w:rsid w:val="008C1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48886">
      <w:bodyDiv w:val="1"/>
      <w:marLeft w:val="0"/>
      <w:marRight w:val="0"/>
      <w:marTop w:val="0"/>
      <w:marBottom w:val="0"/>
      <w:divBdr>
        <w:top w:val="none" w:sz="0" w:space="0" w:color="auto"/>
        <w:left w:val="none" w:sz="0" w:space="0" w:color="auto"/>
        <w:bottom w:val="none" w:sz="0" w:space="0" w:color="auto"/>
        <w:right w:val="none" w:sz="0" w:space="0" w:color="auto"/>
      </w:divBdr>
    </w:div>
    <w:div w:id="163023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4.xml"/><Relationship Id="rId61"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image" Target="media/image2.png"/><Relationship Id="rId31" Type="http://schemas.microsoft.com/office/2007/relationships/hdphoto" Target="media/hdphoto1.wdp"/><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tga.gov.au/product-information-pi"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header" Target="header6.xml"/><Relationship Id="rId67" Type="http://schemas.openxmlformats.org/officeDocument/2006/relationships/footer" Target="footer6.xml"/><Relationship Id="rId20" Type="http://schemas.openxmlformats.org/officeDocument/2006/relationships/hyperlink" Target="https://www.tga.gov.au/product-information-pi" TargetMode="External"/><Relationship Id="rId41" Type="http://schemas.openxmlformats.org/officeDocument/2006/relationships/image" Target="media/image22.emf"/><Relationship Id="rId54" Type="http://schemas.microsoft.com/office/2007/relationships/hdphoto" Target="media/hdphoto2.wdp"/><Relationship Id="rId62"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elasomeran-0" TargetMode="External"/><Relationship Id="rId13" Type="http://schemas.openxmlformats.org/officeDocument/2006/relationships/hyperlink" Target="https://www.tga.gov.au/committee/advisory-committee-vaccines-acv" TargetMode="External"/><Relationship Id="rId3" Type="http://schemas.openxmlformats.org/officeDocument/2006/relationships/hyperlink" Target="https://www.who.int/feeds/entity/dg/speeches/en/rss.xml" TargetMode="External"/><Relationship Id="rId7" Type="http://schemas.openxmlformats.org/officeDocument/2006/relationships/hyperlink" Target="https://www.tga.gov.au/auspar/auspar-elasomeran" TargetMode="External"/><Relationship Id="rId12" Type="http://schemas.openxmlformats.org/officeDocument/2006/relationships/hyperlink" Target="https://www.tga.gov.au/auspar/auspar-remdesivir" TargetMode="External"/><Relationship Id="rId2" Type="http://schemas.openxmlformats.org/officeDocument/2006/relationships/hyperlink" Target="https://www.tga.gov.au/auspar/auspar-bnt162b2-mrna" TargetMode="External"/><Relationship Id="rId1" Type="http://schemas.openxmlformats.org/officeDocument/2006/relationships/hyperlink" Target="https://www.tga.gov.au/auspar/auspar-bnt162b2-mrna-comirnaty" TargetMode="External"/><Relationship Id="rId6" Type="http://schemas.openxmlformats.org/officeDocument/2006/relationships/hyperlink" Target="https://www.tga.gov.au/auspar/auspar-bnt162b2-mrna" TargetMode="External"/><Relationship Id="rId11" Type="http://schemas.openxmlformats.org/officeDocument/2006/relationships/hyperlink" Target="https://www.health.gov.au/initiatives-and-programs/covid-19-vaccines/approved-vaccines" TargetMode="External"/><Relationship Id="rId5" Type="http://schemas.openxmlformats.org/officeDocument/2006/relationships/hyperlink" Target="https://www.tga.gov.au/auspar/auspar-bnt162b2-mrna-comirnaty" TargetMode="External"/><Relationship Id="rId15" Type="http://schemas.openxmlformats.org/officeDocument/2006/relationships/hyperlink" Target="https://www.tga.gov.au/auspar/auspar-bnt162b2-mrna" TargetMode="External"/><Relationship Id="rId10" Type="http://schemas.openxmlformats.org/officeDocument/2006/relationships/hyperlink" Target="https://www.tga.gov.au/auspar/auspar-chadox1-s" TargetMode="External"/><Relationship Id="rId4" Type="http://schemas.openxmlformats.org/officeDocument/2006/relationships/hyperlink" Target="https://www.health.gov.au/news/health-alerts/novel-coronavirus-2019-ncov-health-alert/coronavirus-covid-19-case-numbers-and-statistics" TargetMode="External"/><Relationship Id="rId9" Type="http://schemas.openxmlformats.org/officeDocument/2006/relationships/hyperlink" Target="https://www.tga.gov.au/auspar/auspar-ad26cov2s" TargetMode="External"/><Relationship Id="rId14" Type="http://schemas.openxmlformats.org/officeDocument/2006/relationships/hyperlink" Target="https://www.tga.gov.au/auspar/auspar-bnt162b2-mrna-comirna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76E9A616C9014894ADC1AF340B7D4C" ma:contentTypeVersion="13" ma:contentTypeDescription="Create a new document." ma:contentTypeScope="" ma:versionID="15942bcae6c0c5fee607273b410e2574">
  <xsd:schema xmlns:xsd="http://www.w3.org/2001/XMLSchema" xmlns:xs="http://www.w3.org/2001/XMLSchema" xmlns:p="http://schemas.microsoft.com/office/2006/metadata/properties" xmlns:ns2="cf24135a-ed9f-4c56-87a8-ffd087299a6b" xmlns:ns3="6e35fb27-3c44-452f-ad1b-c8e1e77a3948" targetNamespace="http://schemas.microsoft.com/office/2006/metadata/properties" ma:root="true" ma:fieldsID="e8a83429f75224b46800f82eb9a5d5fc" ns2:_="" ns3:_="">
    <xsd:import namespace="cf24135a-ed9f-4c56-87a8-ffd087299a6b"/>
    <xsd:import namespace="6e35fb27-3c44-452f-ad1b-c8e1e77a39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4135a-ed9f-4c56-87a8-ffd087299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5fb27-3c44-452f-ad1b-c8e1e77a39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f24135a-ed9f-4c56-87a8-ffd087299a6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9FDF4D-AC4C-4F6A-AB67-B172DB100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4135a-ed9f-4c56-87a8-ffd087299a6b"/>
    <ds:schemaRef ds:uri="6e35fb27-3c44-452f-ad1b-c8e1e77a3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93AB7F-DB33-4679-ABE4-78E9E1B0A6C4}">
  <ds:schemaRefs>
    <ds:schemaRef ds:uri="http://schemas.microsoft.com/office/2006/metadata/properties"/>
    <ds:schemaRef ds:uri="http://schemas.microsoft.com/office/infopath/2007/PartnerControls"/>
    <ds:schemaRef ds:uri="cf24135a-ed9f-4c56-87a8-ffd087299a6b"/>
  </ds:schemaRefs>
</ds:datastoreItem>
</file>

<file path=customXml/itemProps3.xml><?xml version="1.0" encoding="utf-8"?>
<ds:datastoreItem xmlns:ds="http://schemas.openxmlformats.org/officeDocument/2006/customXml" ds:itemID="{724C27BA-B026-41FD-AF74-E172CD915CE8}">
  <ds:schemaRefs>
    <ds:schemaRef ds:uri="http://schemas.openxmlformats.org/officeDocument/2006/bibliography"/>
  </ds:schemaRefs>
</ds:datastoreItem>
</file>

<file path=customXml/itemProps4.xml><?xml version="1.0" encoding="utf-8"?>
<ds:datastoreItem xmlns:ds="http://schemas.openxmlformats.org/officeDocument/2006/customXml" ds:itemID="{27C171AF-BFD5-4F65-8E99-FF52AD047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71</Pages>
  <Words>21555</Words>
  <Characters>116399</Characters>
  <Application>Microsoft Office Word</Application>
  <DocSecurity>0</DocSecurity>
  <Lines>2282</Lines>
  <Paragraphs>1112</Paragraphs>
  <ScaleCrop>false</ScaleCrop>
  <HeadingPairs>
    <vt:vector size="2" baseType="variant">
      <vt:variant>
        <vt:lpstr>Title</vt:lpstr>
      </vt:variant>
      <vt:variant>
        <vt:i4>1</vt:i4>
      </vt:variant>
    </vt:vector>
  </HeadingPairs>
  <TitlesOfParts>
    <vt:vector size="1" baseType="lpstr">
      <vt:lpstr>Australian public assessment report for Tozinameran (mRNA Covid 19 vaccine)</vt:lpstr>
    </vt:vector>
  </TitlesOfParts>
  <Company>Department of Health Therapeutic Goods Administration</Company>
  <LinksUpToDate>false</LinksUpToDate>
  <CharactersWithSpaces>136842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Tozinameran (mRNA Covid 19 vaccine)</dc:title>
  <dc:subject>prescription medicines</dc:subject>
  <dc:creator>Therapeutic Goods Administration</dc:creator>
  <cp:keywords/>
  <cp:lastPrinted>2019-08-14T07:30:00Z</cp:lastPrinted>
  <dcterms:created xsi:type="dcterms:W3CDTF">2021-12-12T21:40:00Z</dcterms:created>
  <dcterms:modified xsi:type="dcterms:W3CDTF">2021-12-12T23:15:00Z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0x0101000676E9A616C9014894ADC1AF340B7D4C</vt:lpwstr>
  </property>
</Properties>
</file>