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744731D4" w14:textId="77777777" w:rsidTr="00BF1190">
        <w:trPr>
          <w:trHeight w:val="1863"/>
        </w:trPr>
        <w:tc>
          <w:tcPr>
            <w:tcW w:w="3652" w:type="dxa"/>
            <w:tcBorders>
              <w:top w:val="nil"/>
              <w:left w:val="nil"/>
              <w:bottom w:val="nil"/>
              <w:right w:val="nil"/>
            </w:tcBorders>
          </w:tcPr>
          <w:p w14:paraId="394702E7" w14:textId="0593B34A" w:rsidR="008E7846" w:rsidRPr="00096AA7" w:rsidRDefault="00227798" w:rsidP="00096AA7">
            <w:pPr>
              <w:rPr>
                <w:rFonts w:ascii="Arial" w:hAnsi="Arial" w:cs="Arial"/>
                <w:b/>
                <w:color w:val="002C47"/>
                <w:sz w:val="36"/>
                <w:szCs w:val="36"/>
              </w:rPr>
            </w:pPr>
            <w:r>
              <w:rPr>
                <w:rFonts w:ascii="Arial" w:hAnsi="Arial" w:cs="Arial"/>
                <w:b/>
                <w:color w:val="002C47"/>
                <w:sz w:val="36"/>
                <w:szCs w:val="36"/>
              </w:rPr>
              <w:t>April</w:t>
            </w:r>
            <w:r w:rsidR="003F6AF8">
              <w:rPr>
                <w:rFonts w:ascii="Arial" w:hAnsi="Arial" w:cs="Arial"/>
                <w:b/>
                <w:color w:val="002C47"/>
                <w:sz w:val="36"/>
                <w:szCs w:val="36"/>
              </w:rPr>
              <w:t xml:space="preserve"> 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3F6AF8" w14:paraId="097B422A" w14:textId="77777777" w:rsidTr="0032583B">
        <w:trPr>
          <w:trHeight w:val="868"/>
        </w:trPr>
        <w:tc>
          <w:tcPr>
            <w:tcW w:w="9079" w:type="dxa"/>
          </w:tcPr>
          <w:p w14:paraId="6A4F9104" w14:textId="30BD3C47" w:rsidR="0032583B" w:rsidRPr="003F6AF8" w:rsidRDefault="0032583B" w:rsidP="00B33D69">
            <w:pPr>
              <w:pStyle w:val="Title"/>
              <w:rPr>
                <w:color w:val="FFFFFF" w:themeColor="background1"/>
              </w:rPr>
            </w:pPr>
            <w:r w:rsidRPr="003F6AF8">
              <w:rPr>
                <w:color w:val="FFFFFF" w:themeColor="background1"/>
              </w:rPr>
              <w:t xml:space="preserve">Australian Public Assessment Report for </w:t>
            </w:r>
            <w:proofErr w:type="spellStart"/>
            <w:r w:rsidR="003F6AF8" w:rsidRPr="003F6AF8">
              <w:rPr>
                <w:color w:val="FFFFFF" w:themeColor="background1"/>
              </w:rPr>
              <w:t>Tozinameran</w:t>
            </w:r>
            <w:proofErr w:type="spellEnd"/>
            <w:r w:rsidR="00B33D69">
              <w:rPr>
                <w:rStyle w:val="FootnoteReference"/>
                <w:color w:val="FFFFFF" w:themeColor="background1"/>
              </w:rPr>
              <w:footnoteReference w:id="1"/>
            </w:r>
          </w:p>
        </w:tc>
      </w:tr>
      <w:tr w:rsidR="0032583B" w:rsidRPr="00B64760" w14:paraId="71A03D56" w14:textId="77777777" w:rsidTr="0032583B">
        <w:tc>
          <w:tcPr>
            <w:tcW w:w="9079" w:type="dxa"/>
          </w:tcPr>
          <w:p w14:paraId="58A5F476" w14:textId="38EE05A0" w:rsidR="0032583B" w:rsidRPr="003F6AF8" w:rsidRDefault="0032583B" w:rsidP="00460036">
            <w:pPr>
              <w:pStyle w:val="Subtitle"/>
              <w:rPr>
                <w:color w:val="FFFFFF" w:themeColor="background1"/>
              </w:rPr>
            </w:pPr>
            <w:r w:rsidRPr="003F6AF8">
              <w:rPr>
                <w:color w:val="FFFFFF" w:themeColor="background1"/>
              </w:rPr>
              <w:t xml:space="preserve">Proprietary Product Name: </w:t>
            </w:r>
            <w:proofErr w:type="spellStart"/>
            <w:r w:rsidR="003F6AF8" w:rsidRPr="003F6AF8">
              <w:rPr>
                <w:color w:val="FFFFFF" w:themeColor="background1"/>
              </w:rPr>
              <w:t>Comirnaty</w:t>
            </w:r>
            <w:proofErr w:type="spellEnd"/>
          </w:p>
        </w:tc>
      </w:tr>
      <w:tr w:rsidR="0032583B" w:rsidRPr="00B64760" w14:paraId="52B41BB7" w14:textId="77777777" w:rsidTr="0032583B">
        <w:trPr>
          <w:trHeight w:val="486"/>
        </w:trPr>
        <w:tc>
          <w:tcPr>
            <w:tcW w:w="9079" w:type="dxa"/>
          </w:tcPr>
          <w:p w14:paraId="2B5E10B8" w14:textId="1E5AA8DD" w:rsidR="0032583B" w:rsidRPr="00C477A4" w:rsidRDefault="00460036" w:rsidP="00C477A4">
            <w:pPr>
              <w:ind w:firstLine="179"/>
              <w:rPr>
                <w:rFonts w:asciiTheme="majorHAnsi" w:hAnsiTheme="majorHAnsi" w:cstheme="majorHAnsi"/>
                <w:color w:val="FFFFFF" w:themeColor="background1"/>
              </w:rPr>
            </w:pPr>
            <w:r w:rsidRPr="00C477A4">
              <w:rPr>
                <w:rFonts w:asciiTheme="majorHAnsi" w:hAnsiTheme="majorHAnsi" w:cstheme="majorHAnsi"/>
                <w:color w:val="FFFFFF" w:themeColor="background1"/>
                <w:sz w:val="40"/>
                <w:szCs w:val="40"/>
              </w:rPr>
              <w:t xml:space="preserve">Sponsor: </w:t>
            </w:r>
            <w:r w:rsidR="003F6AF8" w:rsidRPr="00C477A4">
              <w:rPr>
                <w:rFonts w:asciiTheme="majorHAnsi" w:hAnsiTheme="majorHAnsi" w:cstheme="majorHAnsi"/>
                <w:color w:val="FFFFFF" w:themeColor="background1"/>
                <w:sz w:val="40"/>
                <w:szCs w:val="40"/>
              </w:rPr>
              <w:t>Pfizer Australia Pty Ltd</w:t>
            </w:r>
          </w:p>
        </w:tc>
      </w:tr>
    </w:tbl>
    <w:p w14:paraId="62981026" w14:textId="77777777" w:rsidR="008E7846" w:rsidRPr="0085156D" w:rsidRDefault="008E7846" w:rsidP="0085156D">
      <w:r w:rsidRPr="0085156D">
        <w:br w:type="page"/>
      </w:r>
    </w:p>
    <w:p w14:paraId="7EB06562" w14:textId="77777777" w:rsidR="008E7846" w:rsidRPr="001F6CBA" w:rsidRDefault="008E7846" w:rsidP="008E7846">
      <w:pPr>
        <w:pStyle w:val="NonTOCHeading2"/>
      </w:pPr>
      <w:r w:rsidRPr="001F6CBA">
        <w:lastRenderedPageBreak/>
        <w:t>About the Therapeutic Goods Administration (TGA)</w:t>
      </w:r>
    </w:p>
    <w:p w14:paraId="502E49CD"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1AD21837"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w:t>
      </w:r>
      <w:proofErr w:type="gramStart"/>
      <w:r w:rsidR="008E7846">
        <w:t>safety</w:t>
      </w:r>
      <w:proofErr w:type="gramEnd"/>
      <w:r w:rsidR="008E7846">
        <w:t xml:space="preserve"> and efficacy (performance) when necessary.</w:t>
      </w:r>
    </w:p>
    <w:p w14:paraId="08F7A830"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1FFBE160"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1D01F299" w14:textId="1797C5BF"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6EC49F70" w14:textId="77777777" w:rsidR="008E7846" w:rsidRDefault="008E7846" w:rsidP="00875A6B">
      <w:pPr>
        <w:pStyle w:val="NonTOCHeading2"/>
      </w:pPr>
      <w:r>
        <w:t xml:space="preserve">About </w:t>
      </w:r>
      <w:proofErr w:type="spellStart"/>
      <w:r>
        <w:t>AusPARs</w:t>
      </w:r>
      <w:proofErr w:type="spellEnd"/>
    </w:p>
    <w:p w14:paraId="08256CF3" w14:textId="77777777" w:rsidR="008E7846" w:rsidRDefault="008E7846" w:rsidP="008E7846">
      <w:pPr>
        <w:pStyle w:val="ListBullet"/>
        <w:numPr>
          <w:ilvl w:val="0"/>
          <w:numId w:val="3"/>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14:paraId="1ED15110" w14:textId="77777777" w:rsidR="008E7846" w:rsidRDefault="008E7846" w:rsidP="008E7846">
      <w:pPr>
        <w:pStyle w:val="ListBullet"/>
        <w:numPr>
          <w:ilvl w:val="0"/>
          <w:numId w:val="3"/>
        </w:numPr>
        <w:ind w:left="357" w:hanging="357"/>
      </w:pPr>
      <w:proofErr w:type="spellStart"/>
      <w:r>
        <w:t>AusPARs</w:t>
      </w:r>
      <w:proofErr w:type="spellEnd"/>
      <w:r>
        <w:t xml:space="preserve"> are prepared and published by the TGA.</w:t>
      </w:r>
    </w:p>
    <w:p w14:paraId="5F1FA1C9" w14:textId="6ED2F9A6" w:rsidR="008E7846" w:rsidRDefault="008E7846" w:rsidP="008E7846">
      <w:pPr>
        <w:pStyle w:val="ListBullet"/>
        <w:numPr>
          <w:ilvl w:val="0"/>
          <w:numId w:val="3"/>
        </w:numPr>
        <w:ind w:left="357" w:hanging="357"/>
      </w:pPr>
      <w:r>
        <w:t xml:space="preserve">An </w:t>
      </w:r>
      <w:proofErr w:type="spellStart"/>
      <w:r>
        <w:t>AusPAR</w:t>
      </w:r>
      <w:proofErr w:type="spellEnd"/>
      <w:r>
        <w:t xml:space="preserve"> is prepared for submissions that relate to new chemical entities, generic medicines, major </w:t>
      </w:r>
      <w:proofErr w:type="gramStart"/>
      <w:r>
        <w:t>variations</w:t>
      </w:r>
      <w:proofErr w:type="gramEnd"/>
      <w:r>
        <w:t xml:space="preserve"> and extensions of indications.</w:t>
      </w:r>
    </w:p>
    <w:p w14:paraId="5B8E8717" w14:textId="77777777" w:rsidR="008E7846" w:rsidRDefault="008E7846" w:rsidP="008E7846">
      <w:pPr>
        <w:pStyle w:val="ListBullet"/>
        <w:numPr>
          <w:ilvl w:val="0"/>
          <w:numId w:val="3"/>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14:paraId="05E16CDA" w14:textId="77777777" w:rsidR="00B452CE" w:rsidRDefault="008E7846" w:rsidP="00FF5755">
      <w:pPr>
        <w:pStyle w:val="ListBullet"/>
        <w:numPr>
          <w:ilvl w:val="0"/>
          <w:numId w:val="3"/>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14:paraId="3419A576" w14:textId="77777777" w:rsidR="00924482" w:rsidRPr="00DF1D7F" w:rsidRDefault="00924482" w:rsidP="00F54B65">
      <w:pPr>
        <w:pStyle w:val="LegalSubheading"/>
        <w:spacing w:before="3120"/>
      </w:pPr>
      <w:r w:rsidRPr="00DF1D7F">
        <w:t>Copyright</w:t>
      </w:r>
    </w:p>
    <w:p w14:paraId="56ED7788" w14:textId="3489FEC3"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0351EB">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proofErr w:type="gramStart"/>
      <w:r w:rsidRPr="00191B3B">
        <w:rPr>
          <w:rFonts w:cs="Arial"/>
          <w:lang w:val="en-GB"/>
        </w:rPr>
        <w:t>reserved</w:t>
      </w:r>
      <w:proofErr w:type="gramEnd"/>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6F0F8A2C"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234BE28" w14:textId="77777777" w:rsidR="0089635C" w:rsidRPr="0089635C" w:rsidRDefault="0089635C" w:rsidP="0010788A">
          <w:pPr>
            <w:pStyle w:val="Contents"/>
          </w:pPr>
          <w:r w:rsidRPr="0010788A">
            <w:t>Contents</w:t>
          </w:r>
        </w:p>
        <w:p w14:paraId="34C273FE" w14:textId="5C835DB8" w:rsidR="003F70B9"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100655251" w:history="1">
            <w:r w:rsidR="003F70B9" w:rsidRPr="00D07CE6">
              <w:rPr>
                <w:rStyle w:val="Hyperlink"/>
                <w:noProof/>
              </w:rPr>
              <w:t>List of abbreviations</w:t>
            </w:r>
            <w:r w:rsidR="003F70B9">
              <w:rPr>
                <w:noProof/>
                <w:webHidden/>
              </w:rPr>
              <w:tab/>
            </w:r>
            <w:r w:rsidR="003F70B9">
              <w:rPr>
                <w:noProof/>
                <w:webHidden/>
              </w:rPr>
              <w:fldChar w:fldCharType="begin"/>
            </w:r>
            <w:r w:rsidR="003F70B9">
              <w:rPr>
                <w:noProof/>
                <w:webHidden/>
              </w:rPr>
              <w:instrText xml:space="preserve"> PAGEREF _Toc100655251 \h </w:instrText>
            </w:r>
            <w:r w:rsidR="003F70B9">
              <w:rPr>
                <w:noProof/>
                <w:webHidden/>
              </w:rPr>
            </w:r>
            <w:r w:rsidR="003F70B9">
              <w:rPr>
                <w:noProof/>
                <w:webHidden/>
              </w:rPr>
              <w:fldChar w:fldCharType="separate"/>
            </w:r>
            <w:r w:rsidR="003F70B9">
              <w:rPr>
                <w:noProof/>
                <w:webHidden/>
              </w:rPr>
              <w:t>4</w:t>
            </w:r>
            <w:r w:rsidR="003F70B9">
              <w:rPr>
                <w:noProof/>
                <w:webHidden/>
              </w:rPr>
              <w:fldChar w:fldCharType="end"/>
            </w:r>
          </w:hyperlink>
        </w:p>
        <w:p w14:paraId="22E8B41D" w14:textId="7C14A087" w:rsidR="003F70B9" w:rsidRDefault="003F70B9">
          <w:pPr>
            <w:pStyle w:val="TOC1"/>
            <w:rPr>
              <w:rFonts w:asciiTheme="minorHAnsi" w:eastAsiaTheme="minorEastAsia" w:hAnsiTheme="minorHAnsi" w:cstheme="minorBidi"/>
              <w:b w:val="0"/>
              <w:noProof/>
              <w:sz w:val="22"/>
              <w:lang w:eastAsia="en-AU"/>
            </w:rPr>
          </w:pPr>
          <w:hyperlink w:anchor="_Toc100655252" w:history="1">
            <w:r w:rsidRPr="00D07CE6">
              <w:rPr>
                <w:rStyle w:val="Hyperlink"/>
                <w:noProof/>
              </w:rPr>
              <w:t>I. Introduction to product submission</w:t>
            </w:r>
            <w:r>
              <w:rPr>
                <w:noProof/>
                <w:webHidden/>
              </w:rPr>
              <w:tab/>
            </w:r>
            <w:r>
              <w:rPr>
                <w:noProof/>
                <w:webHidden/>
              </w:rPr>
              <w:fldChar w:fldCharType="begin"/>
            </w:r>
            <w:r>
              <w:rPr>
                <w:noProof/>
                <w:webHidden/>
              </w:rPr>
              <w:instrText xml:space="preserve"> PAGEREF _Toc100655252 \h </w:instrText>
            </w:r>
            <w:r>
              <w:rPr>
                <w:noProof/>
                <w:webHidden/>
              </w:rPr>
            </w:r>
            <w:r>
              <w:rPr>
                <w:noProof/>
                <w:webHidden/>
              </w:rPr>
              <w:fldChar w:fldCharType="separate"/>
            </w:r>
            <w:r>
              <w:rPr>
                <w:noProof/>
                <w:webHidden/>
              </w:rPr>
              <w:t>5</w:t>
            </w:r>
            <w:r>
              <w:rPr>
                <w:noProof/>
                <w:webHidden/>
              </w:rPr>
              <w:fldChar w:fldCharType="end"/>
            </w:r>
          </w:hyperlink>
        </w:p>
        <w:p w14:paraId="54527208" w14:textId="7719938C" w:rsidR="003F70B9" w:rsidRDefault="003F70B9">
          <w:pPr>
            <w:pStyle w:val="TOC2"/>
            <w:rPr>
              <w:rFonts w:asciiTheme="minorHAnsi" w:eastAsiaTheme="minorEastAsia" w:hAnsiTheme="minorHAnsi" w:cstheme="minorBidi"/>
              <w:b w:val="0"/>
              <w:noProof/>
              <w:sz w:val="22"/>
              <w:lang w:eastAsia="en-AU"/>
            </w:rPr>
          </w:pPr>
          <w:hyperlink w:anchor="_Toc100655253" w:history="1">
            <w:r w:rsidRPr="00D07CE6">
              <w:rPr>
                <w:rStyle w:val="Hyperlink"/>
                <w:noProof/>
                <w:lang w:eastAsia="en-AU"/>
              </w:rPr>
              <w:t>Submission details</w:t>
            </w:r>
            <w:r>
              <w:rPr>
                <w:noProof/>
                <w:webHidden/>
              </w:rPr>
              <w:tab/>
            </w:r>
            <w:r>
              <w:rPr>
                <w:noProof/>
                <w:webHidden/>
              </w:rPr>
              <w:fldChar w:fldCharType="begin"/>
            </w:r>
            <w:r>
              <w:rPr>
                <w:noProof/>
                <w:webHidden/>
              </w:rPr>
              <w:instrText xml:space="preserve"> PAGEREF _Toc100655253 \h </w:instrText>
            </w:r>
            <w:r>
              <w:rPr>
                <w:noProof/>
                <w:webHidden/>
              </w:rPr>
            </w:r>
            <w:r>
              <w:rPr>
                <w:noProof/>
                <w:webHidden/>
              </w:rPr>
              <w:fldChar w:fldCharType="separate"/>
            </w:r>
            <w:r>
              <w:rPr>
                <w:noProof/>
                <w:webHidden/>
              </w:rPr>
              <w:t>5</w:t>
            </w:r>
            <w:r>
              <w:rPr>
                <w:noProof/>
                <w:webHidden/>
              </w:rPr>
              <w:fldChar w:fldCharType="end"/>
            </w:r>
          </w:hyperlink>
        </w:p>
        <w:p w14:paraId="79ED9144" w14:textId="441232A6" w:rsidR="003F70B9" w:rsidRDefault="003F70B9">
          <w:pPr>
            <w:pStyle w:val="TOC2"/>
            <w:rPr>
              <w:rFonts w:asciiTheme="minorHAnsi" w:eastAsiaTheme="minorEastAsia" w:hAnsiTheme="minorHAnsi" w:cstheme="minorBidi"/>
              <w:b w:val="0"/>
              <w:noProof/>
              <w:sz w:val="22"/>
              <w:lang w:eastAsia="en-AU"/>
            </w:rPr>
          </w:pPr>
          <w:hyperlink w:anchor="_Toc100655254" w:history="1">
            <w:r w:rsidRPr="00D07CE6">
              <w:rPr>
                <w:rStyle w:val="Hyperlink"/>
                <w:noProof/>
              </w:rPr>
              <w:t>Product background</w:t>
            </w:r>
            <w:r>
              <w:rPr>
                <w:noProof/>
                <w:webHidden/>
              </w:rPr>
              <w:tab/>
            </w:r>
            <w:r>
              <w:rPr>
                <w:noProof/>
                <w:webHidden/>
              </w:rPr>
              <w:fldChar w:fldCharType="begin"/>
            </w:r>
            <w:r>
              <w:rPr>
                <w:noProof/>
                <w:webHidden/>
              </w:rPr>
              <w:instrText xml:space="preserve"> PAGEREF _Toc100655254 \h </w:instrText>
            </w:r>
            <w:r>
              <w:rPr>
                <w:noProof/>
                <w:webHidden/>
              </w:rPr>
            </w:r>
            <w:r>
              <w:rPr>
                <w:noProof/>
                <w:webHidden/>
              </w:rPr>
              <w:fldChar w:fldCharType="separate"/>
            </w:r>
            <w:r>
              <w:rPr>
                <w:noProof/>
                <w:webHidden/>
              </w:rPr>
              <w:t>7</w:t>
            </w:r>
            <w:r>
              <w:rPr>
                <w:noProof/>
                <w:webHidden/>
              </w:rPr>
              <w:fldChar w:fldCharType="end"/>
            </w:r>
          </w:hyperlink>
        </w:p>
        <w:p w14:paraId="29EAE147" w14:textId="6B8FB0F9" w:rsidR="003F70B9" w:rsidRDefault="003F70B9">
          <w:pPr>
            <w:pStyle w:val="TOC2"/>
            <w:rPr>
              <w:rFonts w:asciiTheme="minorHAnsi" w:eastAsiaTheme="minorEastAsia" w:hAnsiTheme="minorHAnsi" w:cstheme="minorBidi"/>
              <w:b w:val="0"/>
              <w:noProof/>
              <w:sz w:val="22"/>
              <w:lang w:eastAsia="en-AU"/>
            </w:rPr>
          </w:pPr>
          <w:hyperlink w:anchor="_Toc100655255" w:history="1">
            <w:r w:rsidRPr="00D07CE6">
              <w:rPr>
                <w:rStyle w:val="Hyperlink"/>
                <w:noProof/>
              </w:rPr>
              <w:t>Regulatory status</w:t>
            </w:r>
            <w:r>
              <w:rPr>
                <w:noProof/>
                <w:webHidden/>
              </w:rPr>
              <w:tab/>
            </w:r>
            <w:r>
              <w:rPr>
                <w:noProof/>
                <w:webHidden/>
              </w:rPr>
              <w:fldChar w:fldCharType="begin"/>
            </w:r>
            <w:r>
              <w:rPr>
                <w:noProof/>
                <w:webHidden/>
              </w:rPr>
              <w:instrText xml:space="preserve"> PAGEREF _Toc100655255 \h </w:instrText>
            </w:r>
            <w:r>
              <w:rPr>
                <w:noProof/>
                <w:webHidden/>
              </w:rPr>
            </w:r>
            <w:r>
              <w:rPr>
                <w:noProof/>
                <w:webHidden/>
              </w:rPr>
              <w:fldChar w:fldCharType="separate"/>
            </w:r>
            <w:r>
              <w:rPr>
                <w:noProof/>
                <w:webHidden/>
              </w:rPr>
              <w:t>8</w:t>
            </w:r>
            <w:r>
              <w:rPr>
                <w:noProof/>
                <w:webHidden/>
              </w:rPr>
              <w:fldChar w:fldCharType="end"/>
            </w:r>
          </w:hyperlink>
        </w:p>
        <w:p w14:paraId="32D13922" w14:textId="4688214D" w:rsidR="003F70B9" w:rsidRDefault="003F70B9">
          <w:pPr>
            <w:pStyle w:val="TOC2"/>
            <w:rPr>
              <w:rFonts w:asciiTheme="minorHAnsi" w:eastAsiaTheme="minorEastAsia" w:hAnsiTheme="minorHAnsi" w:cstheme="minorBidi"/>
              <w:b w:val="0"/>
              <w:noProof/>
              <w:sz w:val="22"/>
              <w:lang w:eastAsia="en-AU"/>
            </w:rPr>
          </w:pPr>
          <w:hyperlink w:anchor="_Toc100655256" w:history="1">
            <w:r w:rsidRPr="00D07CE6">
              <w:rPr>
                <w:rStyle w:val="Hyperlink"/>
                <w:noProof/>
              </w:rPr>
              <w:t>Product Information</w:t>
            </w:r>
            <w:r>
              <w:rPr>
                <w:noProof/>
                <w:webHidden/>
              </w:rPr>
              <w:tab/>
            </w:r>
            <w:r>
              <w:rPr>
                <w:noProof/>
                <w:webHidden/>
              </w:rPr>
              <w:fldChar w:fldCharType="begin"/>
            </w:r>
            <w:r>
              <w:rPr>
                <w:noProof/>
                <w:webHidden/>
              </w:rPr>
              <w:instrText xml:space="preserve"> PAGEREF _Toc100655256 \h </w:instrText>
            </w:r>
            <w:r>
              <w:rPr>
                <w:noProof/>
                <w:webHidden/>
              </w:rPr>
            </w:r>
            <w:r>
              <w:rPr>
                <w:noProof/>
                <w:webHidden/>
              </w:rPr>
              <w:fldChar w:fldCharType="separate"/>
            </w:r>
            <w:r>
              <w:rPr>
                <w:noProof/>
                <w:webHidden/>
              </w:rPr>
              <w:t>9</w:t>
            </w:r>
            <w:r>
              <w:rPr>
                <w:noProof/>
                <w:webHidden/>
              </w:rPr>
              <w:fldChar w:fldCharType="end"/>
            </w:r>
          </w:hyperlink>
        </w:p>
        <w:p w14:paraId="1F89AD1D" w14:textId="6D1C00FA" w:rsidR="003F70B9" w:rsidRDefault="003F70B9">
          <w:pPr>
            <w:pStyle w:val="TOC1"/>
            <w:rPr>
              <w:rFonts w:asciiTheme="minorHAnsi" w:eastAsiaTheme="minorEastAsia" w:hAnsiTheme="minorHAnsi" w:cstheme="minorBidi"/>
              <w:b w:val="0"/>
              <w:noProof/>
              <w:sz w:val="22"/>
              <w:lang w:eastAsia="en-AU"/>
            </w:rPr>
          </w:pPr>
          <w:hyperlink w:anchor="_Toc100655257" w:history="1">
            <w:r w:rsidRPr="00D07CE6">
              <w:rPr>
                <w:rStyle w:val="Hyperlink"/>
                <w:noProof/>
              </w:rPr>
              <w:t>II. Registration timeline</w:t>
            </w:r>
            <w:r>
              <w:rPr>
                <w:noProof/>
                <w:webHidden/>
              </w:rPr>
              <w:tab/>
            </w:r>
            <w:r>
              <w:rPr>
                <w:noProof/>
                <w:webHidden/>
              </w:rPr>
              <w:fldChar w:fldCharType="begin"/>
            </w:r>
            <w:r>
              <w:rPr>
                <w:noProof/>
                <w:webHidden/>
              </w:rPr>
              <w:instrText xml:space="preserve"> PAGEREF _Toc100655257 \h </w:instrText>
            </w:r>
            <w:r>
              <w:rPr>
                <w:noProof/>
                <w:webHidden/>
              </w:rPr>
            </w:r>
            <w:r>
              <w:rPr>
                <w:noProof/>
                <w:webHidden/>
              </w:rPr>
              <w:fldChar w:fldCharType="separate"/>
            </w:r>
            <w:r>
              <w:rPr>
                <w:noProof/>
                <w:webHidden/>
              </w:rPr>
              <w:t>10</w:t>
            </w:r>
            <w:r>
              <w:rPr>
                <w:noProof/>
                <w:webHidden/>
              </w:rPr>
              <w:fldChar w:fldCharType="end"/>
            </w:r>
          </w:hyperlink>
        </w:p>
        <w:p w14:paraId="7FC2EA41" w14:textId="282D16E8" w:rsidR="003F70B9" w:rsidRDefault="003F70B9">
          <w:pPr>
            <w:pStyle w:val="TOC1"/>
            <w:rPr>
              <w:rFonts w:asciiTheme="minorHAnsi" w:eastAsiaTheme="minorEastAsia" w:hAnsiTheme="minorHAnsi" w:cstheme="minorBidi"/>
              <w:b w:val="0"/>
              <w:noProof/>
              <w:sz w:val="22"/>
              <w:lang w:eastAsia="en-AU"/>
            </w:rPr>
          </w:pPr>
          <w:hyperlink w:anchor="_Toc100655258" w:history="1">
            <w:r w:rsidRPr="00D07CE6">
              <w:rPr>
                <w:rStyle w:val="Hyperlink"/>
                <w:noProof/>
              </w:rPr>
              <w:t>III. Submission overview and risk/benefit assessment</w:t>
            </w:r>
            <w:r>
              <w:rPr>
                <w:noProof/>
                <w:webHidden/>
              </w:rPr>
              <w:tab/>
            </w:r>
            <w:r>
              <w:rPr>
                <w:noProof/>
                <w:webHidden/>
              </w:rPr>
              <w:fldChar w:fldCharType="begin"/>
            </w:r>
            <w:r>
              <w:rPr>
                <w:noProof/>
                <w:webHidden/>
              </w:rPr>
              <w:instrText xml:space="preserve"> PAGEREF _Toc100655258 \h </w:instrText>
            </w:r>
            <w:r>
              <w:rPr>
                <w:noProof/>
                <w:webHidden/>
              </w:rPr>
            </w:r>
            <w:r>
              <w:rPr>
                <w:noProof/>
                <w:webHidden/>
              </w:rPr>
              <w:fldChar w:fldCharType="separate"/>
            </w:r>
            <w:r>
              <w:rPr>
                <w:noProof/>
                <w:webHidden/>
              </w:rPr>
              <w:t>10</w:t>
            </w:r>
            <w:r>
              <w:rPr>
                <w:noProof/>
                <w:webHidden/>
              </w:rPr>
              <w:fldChar w:fldCharType="end"/>
            </w:r>
          </w:hyperlink>
        </w:p>
        <w:p w14:paraId="73A1ACB5" w14:textId="0E579D7D" w:rsidR="003F70B9" w:rsidRDefault="003F70B9">
          <w:pPr>
            <w:pStyle w:val="TOC2"/>
            <w:rPr>
              <w:rFonts w:asciiTheme="minorHAnsi" w:eastAsiaTheme="minorEastAsia" w:hAnsiTheme="minorHAnsi" w:cstheme="minorBidi"/>
              <w:b w:val="0"/>
              <w:noProof/>
              <w:sz w:val="22"/>
              <w:lang w:eastAsia="en-AU"/>
            </w:rPr>
          </w:pPr>
          <w:hyperlink w:anchor="_Toc100655259" w:history="1">
            <w:r w:rsidRPr="00D07CE6">
              <w:rPr>
                <w:rStyle w:val="Hyperlink"/>
                <w:noProof/>
              </w:rPr>
              <w:t>Quality</w:t>
            </w:r>
            <w:r>
              <w:rPr>
                <w:noProof/>
                <w:webHidden/>
              </w:rPr>
              <w:tab/>
            </w:r>
            <w:r>
              <w:rPr>
                <w:noProof/>
                <w:webHidden/>
              </w:rPr>
              <w:fldChar w:fldCharType="begin"/>
            </w:r>
            <w:r>
              <w:rPr>
                <w:noProof/>
                <w:webHidden/>
              </w:rPr>
              <w:instrText xml:space="preserve"> PAGEREF _Toc100655259 \h </w:instrText>
            </w:r>
            <w:r>
              <w:rPr>
                <w:noProof/>
                <w:webHidden/>
              </w:rPr>
            </w:r>
            <w:r>
              <w:rPr>
                <w:noProof/>
                <w:webHidden/>
              </w:rPr>
              <w:fldChar w:fldCharType="separate"/>
            </w:r>
            <w:r>
              <w:rPr>
                <w:noProof/>
                <w:webHidden/>
              </w:rPr>
              <w:t>10</w:t>
            </w:r>
            <w:r>
              <w:rPr>
                <w:noProof/>
                <w:webHidden/>
              </w:rPr>
              <w:fldChar w:fldCharType="end"/>
            </w:r>
          </w:hyperlink>
        </w:p>
        <w:p w14:paraId="1C6B8794" w14:textId="73F7B4E0" w:rsidR="003F70B9" w:rsidRDefault="003F70B9">
          <w:pPr>
            <w:pStyle w:val="TOC2"/>
            <w:rPr>
              <w:rFonts w:asciiTheme="minorHAnsi" w:eastAsiaTheme="minorEastAsia" w:hAnsiTheme="minorHAnsi" w:cstheme="minorBidi"/>
              <w:b w:val="0"/>
              <w:noProof/>
              <w:sz w:val="22"/>
              <w:lang w:eastAsia="en-AU"/>
            </w:rPr>
          </w:pPr>
          <w:hyperlink w:anchor="_Toc100655260" w:history="1">
            <w:r w:rsidRPr="00D07CE6">
              <w:rPr>
                <w:rStyle w:val="Hyperlink"/>
                <w:noProof/>
              </w:rPr>
              <w:t>Nonclinical</w:t>
            </w:r>
            <w:r>
              <w:rPr>
                <w:noProof/>
                <w:webHidden/>
              </w:rPr>
              <w:tab/>
            </w:r>
            <w:r>
              <w:rPr>
                <w:noProof/>
                <w:webHidden/>
              </w:rPr>
              <w:fldChar w:fldCharType="begin"/>
            </w:r>
            <w:r>
              <w:rPr>
                <w:noProof/>
                <w:webHidden/>
              </w:rPr>
              <w:instrText xml:space="preserve"> PAGEREF _Toc100655260 \h </w:instrText>
            </w:r>
            <w:r>
              <w:rPr>
                <w:noProof/>
                <w:webHidden/>
              </w:rPr>
            </w:r>
            <w:r>
              <w:rPr>
                <w:noProof/>
                <w:webHidden/>
              </w:rPr>
              <w:fldChar w:fldCharType="separate"/>
            </w:r>
            <w:r>
              <w:rPr>
                <w:noProof/>
                <w:webHidden/>
              </w:rPr>
              <w:t>11</w:t>
            </w:r>
            <w:r>
              <w:rPr>
                <w:noProof/>
                <w:webHidden/>
              </w:rPr>
              <w:fldChar w:fldCharType="end"/>
            </w:r>
          </w:hyperlink>
        </w:p>
        <w:p w14:paraId="643CFAED" w14:textId="3832AE7B" w:rsidR="003F70B9" w:rsidRDefault="003F70B9">
          <w:pPr>
            <w:pStyle w:val="TOC2"/>
            <w:rPr>
              <w:rFonts w:asciiTheme="minorHAnsi" w:eastAsiaTheme="minorEastAsia" w:hAnsiTheme="minorHAnsi" w:cstheme="minorBidi"/>
              <w:b w:val="0"/>
              <w:noProof/>
              <w:sz w:val="22"/>
              <w:lang w:eastAsia="en-AU"/>
            </w:rPr>
          </w:pPr>
          <w:hyperlink w:anchor="_Toc100655261" w:history="1">
            <w:r w:rsidRPr="00D07CE6">
              <w:rPr>
                <w:rStyle w:val="Hyperlink"/>
                <w:noProof/>
              </w:rPr>
              <w:t>Clinical</w:t>
            </w:r>
            <w:r>
              <w:rPr>
                <w:noProof/>
                <w:webHidden/>
              </w:rPr>
              <w:tab/>
            </w:r>
            <w:r>
              <w:rPr>
                <w:noProof/>
                <w:webHidden/>
              </w:rPr>
              <w:fldChar w:fldCharType="begin"/>
            </w:r>
            <w:r>
              <w:rPr>
                <w:noProof/>
                <w:webHidden/>
              </w:rPr>
              <w:instrText xml:space="preserve"> PAGEREF _Toc100655261 \h </w:instrText>
            </w:r>
            <w:r>
              <w:rPr>
                <w:noProof/>
                <w:webHidden/>
              </w:rPr>
            </w:r>
            <w:r>
              <w:rPr>
                <w:noProof/>
                <w:webHidden/>
              </w:rPr>
              <w:fldChar w:fldCharType="separate"/>
            </w:r>
            <w:r>
              <w:rPr>
                <w:noProof/>
                <w:webHidden/>
              </w:rPr>
              <w:t>11</w:t>
            </w:r>
            <w:r>
              <w:rPr>
                <w:noProof/>
                <w:webHidden/>
              </w:rPr>
              <w:fldChar w:fldCharType="end"/>
            </w:r>
          </w:hyperlink>
        </w:p>
        <w:p w14:paraId="12733EDA" w14:textId="77BA6BF9" w:rsidR="003F70B9" w:rsidRDefault="003F70B9">
          <w:pPr>
            <w:pStyle w:val="TOC2"/>
            <w:rPr>
              <w:rFonts w:asciiTheme="minorHAnsi" w:eastAsiaTheme="minorEastAsia" w:hAnsiTheme="minorHAnsi" w:cstheme="minorBidi"/>
              <w:b w:val="0"/>
              <w:noProof/>
              <w:sz w:val="22"/>
              <w:lang w:eastAsia="en-AU"/>
            </w:rPr>
          </w:pPr>
          <w:hyperlink w:anchor="_Toc100655262" w:history="1">
            <w:r w:rsidRPr="00D07CE6">
              <w:rPr>
                <w:rStyle w:val="Hyperlink"/>
                <w:noProof/>
                <w:lang w:eastAsia="en-AU"/>
              </w:rPr>
              <w:t>Risk management plan</w:t>
            </w:r>
            <w:r>
              <w:rPr>
                <w:noProof/>
                <w:webHidden/>
              </w:rPr>
              <w:tab/>
            </w:r>
            <w:r>
              <w:rPr>
                <w:noProof/>
                <w:webHidden/>
              </w:rPr>
              <w:fldChar w:fldCharType="begin"/>
            </w:r>
            <w:r>
              <w:rPr>
                <w:noProof/>
                <w:webHidden/>
              </w:rPr>
              <w:instrText xml:space="preserve"> PAGEREF _Toc100655262 \h </w:instrText>
            </w:r>
            <w:r>
              <w:rPr>
                <w:noProof/>
                <w:webHidden/>
              </w:rPr>
            </w:r>
            <w:r>
              <w:rPr>
                <w:noProof/>
                <w:webHidden/>
              </w:rPr>
              <w:fldChar w:fldCharType="separate"/>
            </w:r>
            <w:r>
              <w:rPr>
                <w:noProof/>
                <w:webHidden/>
              </w:rPr>
              <w:t>18</w:t>
            </w:r>
            <w:r>
              <w:rPr>
                <w:noProof/>
                <w:webHidden/>
              </w:rPr>
              <w:fldChar w:fldCharType="end"/>
            </w:r>
          </w:hyperlink>
        </w:p>
        <w:p w14:paraId="6A3EE21F" w14:textId="7F150C3D" w:rsidR="003F70B9" w:rsidRDefault="003F70B9">
          <w:pPr>
            <w:pStyle w:val="TOC2"/>
            <w:rPr>
              <w:rFonts w:asciiTheme="minorHAnsi" w:eastAsiaTheme="minorEastAsia" w:hAnsiTheme="minorHAnsi" w:cstheme="minorBidi"/>
              <w:b w:val="0"/>
              <w:noProof/>
              <w:sz w:val="22"/>
              <w:lang w:eastAsia="en-AU"/>
            </w:rPr>
          </w:pPr>
          <w:hyperlink w:anchor="_Toc100655263" w:history="1">
            <w:r w:rsidRPr="00D07CE6">
              <w:rPr>
                <w:rStyle w:val="Hyperlink"/>
                <w:noProof/>
              </w:rPr>
              <w:t>Risk-benefit analysis</w:t>
            </w:r>
            <w:r>
              <w:rPr>
                <w:noProof/>
                <w:webHidden/>
              </w:rPr>
              <w:tab/>
            </w:r>
            <w:r>
              <w:rPr>
                <w:noProof/>
                <w:webHidden/>
              </w:rPr>
              <w:fldChar w:fldCharType="begin"/>
            </w:r>
            <w:r>
              <w:rPr>
                <w:noProof/>
                <w:webHidden/>
              </w:rPr>
              <w:instrText xml:space="preserve"> PAGEREF _Toc100655263 \h </w:instrText>
            </w:r>
            <w:r>
              <w:rPr>
                <w:noProof/>
                <w:webHidden/>
              </w:rPr>
            </w:r>
            <w:r>
              <w:rPr>
                <w:noProof/>
                <w:webHidden/>
              </w:rPr>
              <w:fldChar w:fldCharType="separate"/>
            </w:r>
            <w:r>
              <w:rPr>
                <w:noProof/>
                <w:webHidden/>
              </w:rPr>
              <w:t>19</w:t>
            </w:r>
            <w:r>
              <w:rPr>
                <w:noProof/>
                <w:webHidden/>
              </w:rPr>
              <w:fldChar w:fldCharType="end"/>
            </w:r>
          </w:hyperlink>
        </w:p>
        <w:p w14:paraId="0975B08F" w14:textId="119497C6" w:rsidR="003F70B9" w:rsidRDefault="003F70B9">
          <w:pPr>
            <w:pStyle w:val="TOC2"/>
            <w:rPr>
              <w:rFonts w:asciiTheme="minorHAnsi" w:eastAsiaTheme="minorEastAsia" w:hAnsiTheme="minorHAnsi" w:cstheme="minorBidi"/>
              <w:b w:val="0"/>
              <w:noProof/>
              <w:sz w:val="22"/>
              <w:lang w:eastAsia="en-AU"/>
            </w:rPr>
          </w:pPr>
          <w:hyperlink w:anchor="_Toc100655264" w:history="1">
            <w:r w:rsidRPr="00D07CE6">
              <w:rPr>
                <w:rStyle w:val="Hyperlink"/>
                <w:noProof/>
              </w:rPr>
              <w:t>Outcome</w:t>
            </w:r>
            <w:r>
              <w:rPr>
                <w:noProof/>
                <w:webHidden/>
              </w:rPr>
              <w:tab/>
            </w:r>
            <w:r>
              <w:rPr>
                <w:noProof/>
                <w:webHidden/>
              </w:rPr>
              <w:fldChar w:fldCharType="begin"/>
            </w:r>
            <w:r>
              <w:rPr>
                <w:noProof/>
                <w:webHidden/>
              </w:rPr>
              <w:instrText xml:space="preserve"> PAGEREF _Toc100655264 \h </w:instrText>
            </w:r>
            <w:r>
              <w:rPr>
                <w:noProof/>
                <w:webHidden/>
              </w:rPr>
            </w:r>
            <w:r>
              <w:rPr>
                <w:noProof/>
                <w:webHidden/>
              </w:rPr>
              <w:fldChar w:fldCharType="separate"/>
            </w:r>
            <w:r>
              <w:rPr>
                <w:noProof/>
                <w:webHidden/>
              </w:rPr>
              <w:t>22</w:t>
            </w:r>
            <w:r>
              <w:rPr>
                <w:noProof/>
                <w:webHidden/>
              </w:rPr>
              <w:fldChar w:fldCharType="end"/>
            </w:r>
          </w:hyperlink>
        </w:p>
        <w:p w14:paraId="030303A4" w14:textId="5F11CFCF" w:rsidR="003F70B9" w:rsidRDefault="003F70B9">
          <w:pPr>
            <w:pStyle w:val="TOC1"/>
            <w:rPr>
              <w:rFonts w:asciiTheme="minorHAnsi" w:eastAsiaTheme="minorEastAsia" w:hAnsiTheme="minorHAnsi" w:cstheme="minorBidi"/>
              <w:b w:val="0"/>
              <w:noProof/>
              <w:sz w:val="22"/>
              <w:lang w:eastAsia="en-AU"/>
            </w:rPr>
          </w:pPr>
          <w:hyperlink w:anchor="_Toc100655265" w:history="1">
            <w:r w:rsidRPr="00D07CE6">
              <w:rPr>
                <w:rStyle w:val="Hyperlink"/>
                <w:noProof/>
              </w:rPr>
              <w:t>Attachment 1. Product Information</w:t>
            </w:r>
            <w:r>
              <w:rPr>
                <w:noProof/>
                <w:webHidden/>
              </w:rPr>
              <w:tab/>
            </w:r>
            <w:r>
              <w:rPr>
                <w:noProof/>
                <w:webHidden/>
              </w:rPr>
              <w:fldChar w:fldCharType="begin"/>
            </w:r>
            <w:r>
              <w:rPr>
                <w:noProof/>
                <w:webHidden/>
              </w:rPr>
              <w:instrText xml:space="preserve"> PAGEREF _Toc100655265 \h </w:instrText>
            </w:r>
            <w:r>
              <w:rPr>
                <w:noProof/>
                <w:webHidden/>
              </w:rPr>
            </w:r>
            <w:r>
              <w:rPr>
                <w:noProof/>
                <w:webHidden/>
              </w:rPr>
              <w:fldChar w:fldCharType="separate"/>
            </w:r>
            <w:r>
              <w:rPr>
                <w:noProof/>
                <w:webHidden/>
              </w:rPr>
              <w:t>25</w:t>
            </w:r>
            <w:r>
              <w:rPr>
                <w:noProof/>
                <w:webHidden/>
              </w:rPr>
              <w:fldChar w:fldCharType="end"/>
            </w:r>
          </w:hyperlink>
        </w:p>
        <w:p w14:paraId="2494FAE4" w14:textId="25AF6C11" w:rsidR="003A7F6C" w:rsidRPr="00B811C6" w:rsidRDefault="00C525A2" w:rsidP="00B811C6">
          <w:pPr>
            <w:pStyle w:val="TOC2"/>
          </w:pPr>
          <w:r>
            <w:fldChar w:fldCharType="end"/>
          </w:r>
        </w:p>
      </w:sdtContent>
    </w:sdt>
    <w:bookmarkStart w:id="2" w:name="_Toc314842482" w:displacedByCustomXml="prev"/>
    <w:p w14:paraId="0269D3F9" w14:textId="77777777" w:rsidR="00FD119B" w:rsidRDefault="00FD119B">
      <w:pPr>
        <w:spacing w:before="0" w:after="200" w:line="0" w:lineRule="auto"/>
      </w:pPr>
      <w:r>
        <w:br w:type="page"/>
      </w:r>
    </w:p>
    <w:p w14:paraId="30F5B473" w14:textId="18F73440" w:rsidR="00FD119B" w:rsidRDefault="0050674B" w:rsidP="004F0C4A">
      <w:pPr>
        <w:pStyle w:val="Heading2"/>
      </w:pPr>
      <w:bookmarkStart w:id="3" w:name="_Toc351716269"/>
      <w:bookmarkStart w:id="4" w:name="_Toc351718881"/>
      <w:bookmarkStart w:id="5" w:name="_Toc355338616"/>
      <w:bookmarkStart w:id="6" w:name="_Toc356306144"/>
      <w:bookmarkStart w:id="7" w:name="_Toc100655251"/>
      <w:r>
        <w:lastRenderedPageBreak/>
        <w:t>List of</w:t>
      </w:r>
      <w:r w:rsidRPr="00FD119B">
        <w:t xml:space="preserve"> </w:t>
      </w:r>
      <w:r w:rsidR="00FD119B" w:rsidRPr="00FD119B">
        <w:t>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796"/>
        <w:gridCol w:w="6698"/>
      </w:tblGrid>
      <w:tr w:rsidR="002E56D9" w:rsidRPr="00FD119B" w14:paraId="7911178B" w14:textId="77777777" w:rsidTr="003F6AF8">
        <w:trPr>
          <w:cnfStyle w:val="100000000000" w:firstRow="1" w:lastRow="0" w:firstColumn="0" w:lastColumn="0" w:oddVBand="0" w:evenVBand="0" w:oddHBand="0" w:evenHBand="0" w:firstRowFirstColumn="0" w:firstRowLastColumn="0" w:lastRowFirstColumn="0" w:lastRowLastColumn="0"/>
        </w:trPr>
        <w:tc>
          <w:tcPr>
            <w:tcW w:w="1796" w:type="dxa"/>
            <w:tcBorders>
              <w:top w:val="single" w:sz="4" w:space="0" w:color="auto"/>
              <w:left w:val="single" w:sz="4" w:space="0" w:color="auto"/>
              <w:bottom w:val="single" w:sz="4" w:space="0" w:color="auto"/>
              <w:right w:val="single" w:sz="4" w:space="0" w:color="auto"/>
            </w:tcBorders>
          </w:tcPr>
          <w:p w14:paraId="2D6C8FA2" w14:textId="77777777" w:rsidR="002E56D9" w:rsidRPr="00FD119B" w:rsidRDefault="002E56D9" w:rsidP="002E56D9">
            <w:pPr>
              <w:keepNext w:val="0"/>
              <w:ind w:left="0" w:right="0"/>
              <w:rPr>
                <w:szCs w:val="22"/>
                <w:lang w:eastAsia="en-US"/>
              </w:rPr>
            </w:pPr>
            <w:r w:rsidRPr="00FD119B">
              <w:rPr>
                <w:szCs w:val="22"/>
                <w:lang w:eastAsia="en-US"/>
              </w:rPr>
              <w:t>Abbreviation</w:t>
            </w:r>
          </w:p>
        </w:tc>
        <w:tc>
          <w:tcPr>
            <w:tcW w:w="6698" w:type="dxa"/>
            <w:tcBorders>
              <w:top w:val="single" w:sz="4" w:space="0" w:color="auto"/>
              <w:left w:val="single" w:sz="4" w:space="0" w:color="auto"/>
              <w:bottom w:val="single" w:sz="4" w:space="0" w:color="auto"/>
              <w:right w:val="single" w:sz="4" w:space="0" w:color="auto"/>
            </w:tcBorders>
          </w:tcPr>
          <w:p w14:paraId="38CF0574" w14:textId="77777777" w:rsidR="002E56D9" w:rsidRPr="00FD119B" w:rsidRDefault="002E56D9" w:rsidP="002E56D9">
            <w:pPr>
              <w:keepNext w:val="0"/>
              <w:ind w:left="0" w:right="0"/>
              <w:rPr>
                <w:szCs w:val="22"/>
                <w:lang w:eastAsia="en-US"/>
              </w:rPr>
            </w:pPr>
            <w:r w:rsidRPr="00FD119B">
              <w:rPr>
                <w:szCs w:val="22"/>
                <w:lang w:eastAsia="en-US"/>
              </w:rPr>
              <w:t>Meaning</w:t>
            </w:r>
          </w:p>
        </w:tc>
      </w:tr>
      <w:tr w:rsidR="002E56D9" w:rsidRPr="00FD119B" w14:paraId="4D92A0F6" w14:textId="77777777" w:rsidTr="003F6AF8">
        <w:tc>
          <w:tcPr>
            <w:tcW w:w="1796" w:type="dxa"/>
            <w:tcBorders>
              <w:top w:val="single" w:sz="4" w:space="0" w:color="auto"/>
            </w:tcBorders>
          </w:tcPr>
          <w:p w14:paraId="1FC1189F" w14:textId="77777777" w:rsidR="002E56D9" w:rsidRPr="00FD119B" w:rsidRDefault="002E56D9" w:rsidP="002E56D9">
            <w:pPr>
              <w:ind w:left="0" w:right="0"/>
            </w:pPr>
            <w:r>
              <w:t>ACV</w:t>
            </w:r>
          </w:p>
        </w:tc>
        <w:tc>
          <w:tcPr>
            <w:tcW w:w="6698" w:type="dxa"/>
            <w:tcBorders>
              <w:top w:val="single" w:sz="4" w:space="0" w:color="auto"/>
            </w:tcBorders>
          </w:tcPr>
          <w:p w14:paraId="4DDA5F9B" w14:textId="77777777" w:rsidR="002E56D9" w:rsidRPr="00FD119B" w:rsidRDefault="002E56D9" w:rsidP="002E56D9">
            <w:pPr>
              <w:ind w:left="0" w:right="0"/>
            </w:pPr>
            <w:r>
              <w:t>Advisory Committee on Vaccines</w:t>
            </w:r>
          </w:p>
        </w:tc>
      </w:tr>
      <w:tr w:rsidR="002E56D9" w14:paraId="6C7EE9E7" w14:textId="77777777" w:rsidTr="003F6AF8">
        <w:tc>
          <w:tcPr>
            <w:tcW w:w="1796" w:type="dxa"/>
          </w:tcPr>
          <w:p w14:paraId="0D35ED8A" w14:textId="77777777" w:rsidR="002E56D9" w:rsidRDefault="002E56D9" w:rsidP="002E56D9">
            <w:pPr>
              <w:ind w:left="0"/>
            </w:pPr>
            <w:r>
              <w:t>AE</w:t>
            </w:r>
          </w:p>
        </w:tc>
        <w:tc>
          <w:tcPr>
            <w:tcW w:w="6698" w:type="dxa"/>
          </w:tcPr>
          <w:p w14:paraId="68E67762" w14:textId="77777777" w:rsidR="002E56D9" w:rsidRDefault="002E56D9" w:rsidP="002E56D9">
            <w:pPr>
              <w:ind w:left="0"/>
              <w:rPr>
                <w:lang w:eastAsia="ja-JP"/>
              </w:rPr>
            </w:pPr>
            <w:r>
              <w:t>Adverse event</w:t>
            </w:r>
          </w:p>
        </w:tc>
      </w:tr>
      <w:tr w:rsidR="002E56D9" w:rsidRPr="00FD119B" w14:paraId="7AAD0F66" w14:textId="77777777" w:rsidTr="003F6AF8">
        <w:tc>
          <w:tcPr>
            <w:tcW w:w="1796" w:type="dxa"/>
          </w:tcPr>
          <w:p w14:paraId="5BDF6D0A" w14:textId="77777777" w:rsidR="002E56D9" w:rsidRPr="00FD119B" w:rsidRDefault="002E56D9" w:rsidP="002E56D9">
            <w:pPr>
              <w:ind w:left="0" w:right="0"/>
            </w:pPr>
            <w:r>
              <w:t>ARTG</w:t>
            </w:r>
          </w:p>
        </w:tc>
        <w:tc>
          <w:tcPr>
            <w:tcW w:w="6698" w:type="dxa"/>
          </w:tcPr>
          <w:p w14:paraId="2566FAB7" w14:textId="77777777" w:rsidR="002E56D9" w:rsidRPr="00FD119B" w:rsidRDefault="002E56D9" w:rsidP="002E56D9">
            <w:pPr>
              <w:ind w:left="0" w:right="0"/>
            </w:pPr>
            <w:r w:rsidRPr="00460036">
              <w:t>Australian Register of Therapeutic Goods</w:t>
            </w:r>
          </w:p>
        </w:tc>
      </w:tr>
      <w:tr w:rsidR="002E56D9" w14:paraId="51AE5CF1" w14:textId="77777777" w:rsidTr="003F6AF8">
        <w:tc>
          <w:tcPr>
            <w:tcW w:w="1796" w:type="dxa"/>
          </w:tcPr>
          <w:p w14:paraId="5C34C2D9" w14:textId="77777777" w:rsidR="002E56D9" w:rsidRDefault="002E56D9" w:rsidP="002E56D9">
            <w:pPr>
              <w:ind w:left="0"/>
              <w:rPr>
                <w:lang w:eastAsia="ja-JP"/>
              </w:rPr>
            </w:pPr>
            <w:r w:rsidRPr="00653472">
              <w:t>ASA</w:t>
            </w:r>
          </w:p>
        </w:tc>
        <w:tc>
          <w:tcPr>
            <w:tcW w:w="6698" w:type="dxa"/>
          </w:tcPr>
          <w:p w14:paraId="6F23F657" w14:textId="77777777" w:rsidR="002E56D9" w:rsidRDefault="002E56D9" w:rsidP="002E56D9">
            <w:pPr>
              <w:ind w:left="0"/>
              <w:rPr>
                <w:lang w:eastAsia="ja-JP"/>
              </w:rPr>
            </w:pPr>
            <w:r>
              <w:t>Australian specific annex</w:t>
            </w:r>
          </w:p>
        </w:tc>
      </w:tr>
      <w:tr w:rsidR="002E56D9" w14:paraId="719F6105" w14:textId="77777777" w:rsidTr="003F6AF8">
        <w:tc>
          <w:tcPr>
            <w:tcW w:w="1796" w:type="dxa"/>
          </w:tcPr>
          <w:p w14:paraId="293074C6" w14:textId="77777777" w:rsidR="002E56D9" w:rsidRPr="00653472" w:rsidRDefault="002E56D9" w:rsidP="002E56D9">
            <w:pPr>
              <w:ind w:left="0"/>
            </w:pPr>
            <w:proofErr w:type="spellStart"/>
            <w:r>
              <w:t>AusPAR</w:t>
            </w:r>
            <w:proofErr w:type="spellEnd"/>
          </w:p>
        </w:tc>
        <w:tc>
          <w:tcPr>
            <w:tcW w:w="6698" w:type="dxa"/>
          </w:tcPr>
          <w:p w14:paraId="42FCA6FF" w14:textId="77777777" w:rsidR="002E56D9" w:rsidRDefault="002E56D9" w:rsidP="002E56D9">
            <w:pPr>
              <w:ind w:left="0"/>
            </w:pPr>
            <w:r>
              <w:t>Australian Public Assessment Report</w:t>
            </w:r>
          </w:p>
        </w:tc>
      </w:tr>
      <w:tr w:rsidR="002E56D9" w14:paraId="6749E769" w14:textId="77777777" w:rsidTr="003F6AF8">
        <w:tc>
          <w:tcPr>
            <w:tcW w:w="1796" w:type="dxa"/>
          </w:tcPr>
          <w:p w14:paraId="601020D8" w14:textId="77777777" w:rsidR="002E56D9" w:rsidRDefault="002E56D9" w:rsidP="002E56D9">
            <w:pPr>
              <w:ind w:left="0"/>
            </w:pPr>
            <w:r w:rsidRPr="00EA0385">
              <w:rPr>
                <w:lang w:eastAsia="ja-JP"/>
              </w:rPr>
              <w:t>CDC</w:t>
            </w:r>
          </w:p>
        </w:tc>
        <w:tc>
          <w:tcPr>
            <w:tcW w:w="6698" w:type="dxa"/>
          </w:tcPr>
          <w:p w14:paraId="65C8E6C4" w14:textId="43E4A9A5" w:rsidR="002E56D9" w:rsidRDefault="002E56D9" w:rsidP="002E56D9">
            <w:pPr>
              <w:ind w:left="0"/>
              <w:rPr>
                <w:lang w:eastAsia="ja-JP"/>
              </w:rPr>
            </w:pPr>
            <w:proofErr w:type="spellStart"/>
            <w:r w:rsidRPr="00EA0385">
              <w:rPr>
                <w:lang w:eastAsia="ja-JP"/>
              </w:rPr>
              <w:t>Centers</w:t>
            </w:r>
            <w:proofErr w:type="spellEnd"/>
            <w:r w:rsidRPr="00EA0385">
              <w:rPr>
                <w:lang w:eastAsia="ja-JP"/>
              </w:rPr>
              <w:t xml:space="preserve"> for </w:t>
            </w:r>
            <w:r>
              <w:rPr>
                <w:lang w:eastAsia="ja-JP"/>
              </w:rPr>
              <w:t>Disease Control and Prevention</w:t>
            </w:r>
            <w:r w:rsidR="00B33D69">
              <w:rPr>
                <w:lang w:eastAsia="ja-JP"/>
              </w:rPr>
              <w:t xml:space="preserve"> (United States of America)</w:t>
            </w:r>
          </w:p>
        </w:tc>
      </w:tr>
      <w:tr w:rsidR="002E56D9" w14:paraId="137BAB0C" w14:textId="77777777" w:rsidTr="003F6AF8">
        <w:tc>
          <w:tcPr>
            <w:tcW w:w="1796" w:type="dxa"/>
          </w:tcPr>
          <w:p w14:paraId="40F0AB16" w14:textId="77777777" w:rsidR="002E56D9" w:rsidRDefault="002E56D9" w:rsidP="002E56D9">
            <w:pPr>
              <w:ind w:left="0"/>
            </w:pPr>
            <w:r>
              <w:t>CMI</w:t>
            </w:r>
          </w:p>
        </w:tc>
        <w:tc>
          <w:tcPr>
            <w:tcW w:w="6698" w:type="dxa"/>
          </w:tcPr>
          <w:p w14:paraId="6BE035C5" w14:textId="77777777" w:rsidR="002E56D9" w:rsidRDefault="002E56D9" w:rsidP="002E56D9">
            <w:pPr>
              <w:ind w:left="0"/>
            </w:pPr>
            <w:r>
              <w:t>Consumer Medicines Information</w:t>
            </w:r>
          </w:p>
        </w:tc>
      </w:tr>
      <w:tr w:rsidR="002E56D9" w14:paraId="61AE12DA" w14:textId="77777777" w:rsidTr="003F6AF8">
        <w:tc>
          <w:tcPr>
            <w:tcW w:w="1796" w:type="dxa"/>
          </w:tcPr>
          <w:p w14:paraId="3252D036" w14:textId="77777777" w:rsidR="002E56D9" w:rsidRDefault="002E56D9" w:rsidP="002E56D9">
            <w:pPr>
              <w:ind w:left="0"/>
              <w:rPr>
                <w:lang w:eastAsia="ja-JP"/>
              </w:rPr>
            </w:pPr>
            <w:r w:rsidRPr="00D72330">
              <w:t>DLP</w:t>
            </w:r>
          </w:p>
        </w:tc>
        <w:tc>
          <w:tcPr>
            <w:tcW w:w="6698" w:type="dxa"/>
          </w:tcPr>
          <w:p w14:paraId="2E0A716C" w14:textId="77777777" w:rsidR="002E56D9" w:rsidRDefault="002E56D9" w:rsidP="002E56D9">
            <w:pPr>
              <w:ind w:left="0"/>
              <w:rPr>
                <w:lang w:eastAsia="ja-JP"/>
              </w:rPr>
            </w:pPr>
            <w:r>
              <w:t>Data lock point</w:t>
            </w:r>
          </w:p>
        </w:tc>
      </w:tr>
      <w:tr w:rsidR="002E56D9" w14:paraId="226EE3CC" w14:textId="77777777" w:rsidTr="003F6AF8">
        <w:tc>
          <w:tcPr>
            <w:tcW w:w="1796" w:type="dxa"/>
          </w:tcPr>
          <w:p w14:paraId="5CC5C836" w14:textId="77777777" w:rsidR="002E56D9" w:rsidRDefault="002E56D9" w:rsidP="002E56D9">
            <w:pPr>
              <w:ind w:left="0"/>
            </w:pPr>
            <w:r>
              <w:t>EMA</w:t>
            </w:r>
          </w:p>
        </w:tc>
        <w:tc>
          <w:tcPr>
            <w:tcW w:w="6698" w:type="dxa"/>
          </w:tcPr>
          <w:p w14:paraId="2A9EA00D" w14:textId="77777777" w:rsidR="002E56D9" w:rsidRDefault="002E56D9" w:rsidP="002E56D9">
            <w:pPr>
              <w:ind w:left="0"/>
              <w:rPr>
                <w:lang w:eastAsia="ja-JP"/>
              </w:rPr>
            </w:pPr>
            <w:r>
              <w:rPr>
                <w:lang w:eastAsia="ja-JP"/>
              </w:rPr>
              <w:t>European Medicines Agency (European Union)</w:t>
            </w:r>
          </w:p>
        </w:tc>
      </w:tr>
      <w:tr w:rsidR="002E56D9" w14:paraId="63F7B2B0" w14:textId="77777777" w:rsidTr="003F6AF8">
        <w:tc>
          <w:tcPr>
            <w:tcW w:w="1796" w:type="dxa"/>
          </w:tcPr>
          <w:p w14:paraId="1325D11E" w14:textId="77777777" w:rsidR="002E56D9" w:rsidRDefault="002E56D9" w:rsidP="002E56D9">
            <w:pPr>
              <w:ind w:left="0"/>
            </w:pPr>
            <w:r w:rsidRPr="00B4411F">
              <w:rPr>
                <w:lang w:eastAsia="ja-JP"/>
              </w:rPr>
              <w:t>EU</w:t>
            </w:r>
          </w:p>
        </w:tc>
        <w:tc>
          <w:tcPr>
            <w:tcW w:w="6698" w:type="dxa"/>
          </w:tcPr>
          <w:p w14:paraId="2CD434BB" w14:textId="77777777" w:rsidR="002E56D9" w:rsidRDefault="002E56D9" w:rsidP="002E56D9">
            <w:pPr>
              <w:ind w:left="0"/>
              <w:rPr>
                <w:lang w:eastAsia="ja-JP"/>
              </w:rPr>
            </w:pPr>
            <w:r>
              <w:rPr>
                <w:lang w:eastAsia="ja-JP"/>
              </w:rPr>
              <w:t>European Union</w:t>
            </w:r>
          </w:p>
        </w:tc>
      </w:tr>
      <w:tr w:rsidR="002E56D9" w14:paraId="0F31503D" w14:textId="77777777" w:rsidTr="003F6AF8">
        <w:tc>
          <w:tcPr>
            <w:tcW w:w="1796" w:type="dxa"/>
          </w:tcPr>
          <w:p w14:paraId="308EF217" w14:textId="77777777" w:rsidR="002E56D9" w:rsidRDefault="002E56D9" w:rsidP="002E56D9">
            <w:pPr>
              <w:ind w:left="0"/>
            </w:pPr>
            <w:r>
              <w:t>EUA</w:t>
            </w:r>
          </w:p>
        </w:tc>
        <w:tc>
          <w:tcPr>
            <w:tcW w:w="6698" w:type="dxa"/>
          </w:tcPr>
          <w:p w14:paraId="76EA2243" w14:textId="19AAAB4D" w:rsidR="002E56D9" w:rsidRDefault="002E56D9" w:rsidP="002E56D9">
            <w:pPr>
              <w:ind w:left="0"/>
              <w:rPr>
                <w:lang w:eastAsia="ja-JP"/>
              </w:rPr>
            </w:pPr>
            <w:r>
              <w:t>Emergency Use Authorization (United States</w:t>
            </w:r>
            <w:r w:rsidR="00B33D69">
              <w:t xml:space="preserve"> of America</w:t>
            </w:r>
            <w:r>
              <w:t>)</w:t>
            </w:r>
          </w:p>
        </w:tc>
      </w:tr>
      <w:tr w:rsidR="002E56D9" w14:paraId="1D78E384" w14:textId="77777777" w:rsidTr="003F6AF8">
        <w:tc>
          <w:tcPr>
            <w:tcW w:w="1796" w:type="dxa"/>
          </w:tcPr>
          <w:p w14:paraId="71DFFD36" w14:textId="77777777" w:rsidR="002E56D9" w:rsidRDefault="002E56D9" w:rsidP="002E56D9">
            <w:pPr>
              <w:ind w:left="0"/>
            </w:pPr>
            <w:r>
              <w:t>FDA</w:t>
            </w:r>
          </w:p>
        </w:tc>
        <w:tc>
          <w:tcPr>
            <w:tcW w:w="6698" w:type="dxa"/>
          </w:tcPr>
          <w:p w14:paraId="390204A4" w14:textId="1A43AA66" w:rsidR="002E56D9" w:rsidRDefault="002E56D9" w:rsidP="002E56D9">
            <w:pPr>
              <w:ind w:left="0"/>
              <w:rPr>
                <w:lang w:eastAsia="ja-JP"/>
              </w:rPr>
            </w:pPr>
            <w:r>
              <w:t>Food and Drug Administration (United States</w:t>
            </w:r>
            <w:r w:rsidR="00B33D69">
              <w:t xml:space="preserve"> of America</w:t>
            </w:r>
            <w:r>
              <w:t>)</w:t>
            </w:r>
          </w:p>
        </w:tc>
      </w:tr>
      <w:tr w:rsidR="002E56D9" w14:paraId="20B94592" w14:textId="77777777" w:rsidTr="003F6AF8">
        <w:tc>
          <w:tcPr>
            <w:tcW w:w="1796" w:type="dxa"/>
          </w:tcPr>
          <w:p w14:paraId="08D7CC95" w14:textId="77777777" w:rsidR="002E56D9" w:rsidRDefault="002E56D9" w:rsidP="002E56D9">
            <w:pPr>
              <w:ind w:left="0"/>
            </w:pPr>
            <w:r>
              <w:t>IM</w:t>
            </w:r>
          </w:p>
        </w:tc>
        <w:tc>
          <w:tcPr>
            <w:tcW w:w="6698" w:type="dxa"/>
          </w:tcPr>
          <w:p w14:paraId="59D0221B" w14:textId="77777777" w:rsidR="002E56D9" w:rsidRDefault="002E56D9" w:rsidP="002E56D9">
            <w:pPr>
              <w:ind w:left="0"/>
              <w:rPr>
                <w:lang w:eastAsia="ja-JP"/>
              </w:rPr>
            </w:pPr>
            <w:r>
              <w:t>Intramuscular</w:t>
            </w:r>
          </w:p>
        </w:tc>
      </w:tr>
      <w:tr w:rsidR="002E56D9" w14:paraId="75E3E9DC" w14:textId="77777777" w:rsidTr="003F6AF8">
        <w:tc>
          <w:tcPr>
            <w:tcW w:w="1796" w:type="dxa"/>
          </w:tcPr>
          <w:p w14:paraId="7EAEAAC2" w14:textId="77777777" w:rsidR="002E56D9" w:rsidRDefault="002E56D9" w:rsidP="002E56D9">
            <w:pPr>
              <w:ind w:left="0"/>
            </w:pPr>
            <w:r>
              <w:t>LNP</w:t>
            </w:r>
          </w:p>
        </w:tc>
        <w:tc>
          <w:tcPr>
            <w:tcW w:w="6698" w:type="dxa"/>
          </w:tcPr>
          <w:p w14:paraId="0DD9C193" w14:textId="77777777" w:rsidR="002E56D9" w:rsidRDefault="002E56D9" w:rsidP="002E56D9">
            <w:pPr>
              <w:ind w:left="0"/>
              <w:rPr>
                <w:lang w:eastAsia="ja-JP"/>
              </w:rPr>
            </w:pPr>
            <w:r>
              <w:t>Lipid nanoparticle</w:t>
            </w:r>
          </w:p>
        </w:tc>
      </w:tr>
      <w:tr w:rsidR="0071146A" w14:paraId="3EB302F8" w14:textId="77777777" w:rsidTr="003F6AF8">
        <w:tc>
          <w:tcPr>
            <w:tcW w:w="1796" w:type="dxa"/>
          </w:tcPr>
          <w:p w14:paraId="4D9E2C3C" w14:textId="401CA342" w:rsidR="0071146A" w:rsidRDefault="0071146A" w:rsidP="002341E9">
            <w:pPr>
              <w:ind w:left="0"/>
            </w:pPr>
            <w:r>
              <w:t>mRNA</w:t>
            </w:r>
          </w:p>
        </w:tc>
        <w:tc>
          <w:tcPr>
            <w:tcW w:w="6698" w:type="dxa"/>
          </w:tcPr>
          <w:p w14:paraId="4813E7DE" w14:textId="01603C56" w:rsidR="0071146A" w:rsidRDefault="0071146A" w:rsidP="002341E9">
            <w:pPr>
              <w:ind w:left="0"/>
            </w:pPr>
            <w:r>
              <w:t>Messenger ribonucleic acid</w:t>
            </w:r>
          </w:p>
        </w:tc>
      </w:tr>
      <w:tr w:rsidR="002E56D9" w14:paraId="1989F9BD" w14:textId="77777777" w:rsidTr="003F6AF8">
        <w:tc>
          <w:tcPr>
            <w:tcW w:w="1796" w:type="dxa"/>
          </w:tcPr>
          <w:p w14:paraId="72E4AE54" w14:textId="77777777" w:rsidR="002E56D9" w:rsidRDefault="002E56D9" w:rsidP="002E56D9">
            <w:pPr>
              <w:ind w:left="0"/>
            </w:pPr>
            <w:r>
              <w:t>PI</w:t>
            </w:r>
          </w:p>
        </w:tc>
        <w:tc>
          <w:tcPr>
            <w:tcW w:w="6698" w:type="dxa"/>
          </w:tcPr>
          <w:p w14:paraId="4A00BE1B" w14:textId="77777777" w:rsidR="002E56D9" w:rsidRDefault="002E56D9" w:rsidP="002E56D9">
            <w:pPr>
              <w:ind w:left="0"/>
              <w:rPr>
                <w:lang w:eastAsia="ja-JP"/>
              </w:rPr>
            </w:pPr>
            <w:r>
              <w:rPr>
                <w:lang w:eastAsia="ja-JP"/>
              </w:rPr>
              <w:t>Product Information</w:t>
            </w:r>
          </w:p>
        </w:tc>
      </w:tr>
      <w:tr w:rsidR="002E56D9" w14:paraId="0D078ED2" w14:textId="77777777" w:rsidTr="003F6AF8">
        <w:tc>
          <w:tcPr>
            <w:tcW w:w="1796" w:type="dxa"/>
          </w:tcPr>
          <w:p w14:paraId="22267FE9" w14:textId="77777777" w:rsidR="002E56D9" w:rsidRDefault="002E56D9" w:rsidP="002E56D9">
            <w:pPr>
              <w:ind w:left="0"/>
            </w:pPr>
            <w:r>
              <w:rPr>
                <w:lang w:eastAsia="ja-JP"/>
              </w:rPr>
              <w:t>RMP</w:t>
            </w:r>
          </w:p>
        </w:tc>
        <w:tc>
          <w:tcPr>
            <w:tcW w:w="6698" w:type="dxa"/>
          </w:tcPr>
          <w:p w14:paraId="3A05D6A0" w14:textId="77777777" w:rsidR="002E56D9" w:rsidRDefault="002E56D9" w:rsidP="002E56D9">
            <w:pPr>
              <w:ind w:left="0"/>
            </w:pPr>
            <w:r>
              <w:rPr>
                <w:lang w:eastAsia="ja-JP"/>
              </w:rPr>
              <w:t>Risk management plan</w:t>
            </w:r>
          </w:p>
        </w:tc>
      </w:tr>
      <w:tr w:rsidR="002E56D9" w14:paraId="605D7678" w14:textId="77777777" w:rsidTr="003F6AF8">
        <w:tc>
          <w:tcPr>
            <w:tcW w:w="1796" w:type="dxa"/>
          </w:tcPr>
          <w:p w14:paraId="0228D845" w14:textId="77777777" w:rsidR="002E56D9" w:rsidRDefault="002E56D9" w:rsidP="002E56D9">
            <w:pPr>
              <w:ind w:left="0"/>
            </w:pPr>
            <w:r>
              <w:t>SAE</w:t>
            </w:r>
          </w:p>
        </w:tc>
        <w:tc>
          <w:tcPr>
            <w:tcW w:w="6698" w:type="dxa"/>
          </w:tcPr>
          <w:p w14:paraId="73FD8829" w14:textId="77777777" w:rsidR="002E56D9" w:rsidRDefault="002E56D9" w:rsidP="002E56D9">
            <w:pPr>
              <w:ind w:left="0"/>
              <w:rPr>
                <w:lang w:eastAsia="ja-JP"/>
              </w:rPr>
            </w:pPr>
            <w:r>
              <w:t>Serious adverse event</w:t>
            </w:r>
          </w:p>
        </w:tc>
      </w:tr>
      <w:tr w:rsidR="002E56D9" w14:paraId="2041E470" w14:textId="77777777" w:rsidTr="003F6AF8">
        <w:tc>
          <w:tcPr>
            <w:tcW w:w="1796" w:type="dxa"/>
          </w:tcPr>
          <w:p w14:paraId="7C96C7CF" w14:textId="77777777" w:rsidR="002E56D9" w:rsidRDefault="002E56D9" w:rsidP="002E56D9">
            <w:pPr>
              <w:ind w:left="0"/>
            </w:pPr>
            <w:r>
              <w:t>SARS-CoV-2</w:t>
            </w:r>
          </w:p>
        </w:tc>
        <w:tc>
          <w:tcPr>
            <w:tcW w:w="6698" w:type="dxa"/>
          </w:tcPr>
          <w:p w14:paraId="3F7C57D2" w14:textId="77777777" w:rsidR="002E56D9" w:rsidRDefault="002E56D9" w:rsidP="002E56D9">
            <w:pPr>
              <w:ind w:left="0"/>
              <w:rPr>
                <w:lang w:eastAsia="ja-JP"/>
              </w:rPr>
            </w:pPr>
            <w:r>
              <w:rPr>
                <w:lang w:eastAsia="ja-JP"/>
              </w:rPr>
              <w:t>Severe acute respiratory syndrome coronavirus 2</w:t>
            </w:r>
          </w:p>
        </w:tc>
      </w:tr>
      <w:tr w:rsidR="002E56D9" w14:paraId="3C4DE603" w14:textId="77777777" w:rsidTr="003F6AF8">
        <w:tc>
          <w:tcPr>
            <w:tcW w:w="1796" w:type="dxa"/>
          </w:tcPr>
          <w:p w14:paraId="1C31DEED" w14:textId="77777777" w:rsidR="002E56D9" w:rsidRDefault="002E56D9" w:rsidP="002E56D9">
            <w:pPr>
              <w:ind w:left="0"/>
            </w:pPr>
            <w:r>
              <w:t>TGA</w:t>
            </w:r>
          </w:p>
        </w:tc>
        <w:tc>
          <w:tcPr>
            <w:tcW w:w="6698" w:type="dxa"/>
          </w:tcPr>
          <w:p w14:paraId="4041EDD5" w14:textId="77777777" w:rsidR="002E56D9" w:rsidRDefault="002E56D9" w:rsidP="002E56D9">
            <w:pPr>
              <w:ind w:left="0"/>
            </w:pPr>
            <w:r>
              <w:t>Therapeutic Goods Administration</w:t>
            </w:r>
          </w:p>
        </w:tc>
      </w:tr>
      <w:tr w:rsidR="002E56D9" w14:paraId="49B28179" w14:textId="77777777" w:rsidTr="003F6AF8">
        <w:tc>
          <w:tcPr>
            <w:tcW w:w="1796" w:type="dxa"/>
          </w:tcPr>
          <w:p w14:paraId="3105035A" w14:textId="0082C96A" w:rsidR="002E56D9" w:rsidRDefault="002E56D9" w:rsidP="002E56D9">
            <w:pPr>
              <w:ind w:left="0"/>
            </w:pPr>
            <w:r>
              <w:t>US</w:t>
            </w:r>
            <w:r w:rsidR="00B33D69">
              <w:t>(A)</w:t>
            </w:r>
          </w:p>
        </w:tc>
        <w:tc>
          <w:tcPr>
            <w:tcW w:w="6698" w:type="dxa"/>
          </w:tcPr>
          <w:p w14:paraId="285E6E19" w14:textId="05080632" w:rsidR="002E56D9" w:rsidRDefault="002E56D9" w:rsidP="002E56D9">
            <w:pPr>
              <w:ind w:left="0"/>
              <w:rPr>
                <w:lang w:eastAsia="ja-JP"/>
              </w:rPr>
            </w:pPr>
            <w:r>
              <w:rPr>
                <w:lang w:eastAsia="ja-JP"/>
              </w:rPr>
              <w:t>United States</w:t>
            </w:r>
            <w:r w:rsidR="00B33D69">
              <w:rPr>
                <w:lang w:eastAsia="ja-JP"/>
              </w:rPr>
              <w:t xml:space="preserve"> of America</w:t>
            </w:r>
          </w:p>
        </w:tc>
      </w:tr>
      <w:tr w:rsidR="002E56D9" w14:paraId="599E77F1" w14:textId="77777777" w:rsidTr="003F6AF8">
        <w:tc>
          <w:tcPr>
            <w:tcW w:w="1796" w:type="dxa"/>
          </w:tcPr>
          <w:p w14:paraId="07B26CBA" w14:textId="77777777" w:rsidR="002E56D9" w:rsidRDefault="002E56D9" w:rsidP="002E56D9">
            <w:pPr>
              <w:ind w:left="0"/>
            </w:pPr>
            <w:r>
              <w:t>VE</w:t>
            </w:r>
          </w:p>
        </w:tc>
        <w:tc>
          <w:tcPr>
            <w:tcW w:w="6698" w:type="dxa"/>
          </w:tcPr>
          <w:p w14:paraId="6301DD95" w14:textId="77777777" w:rsidR="002E56D9" w:rsidRDefault="002E56D9" w:rsidP="002E56D9">
            <w:pPr>
              <w:ind w:left="0"/>
              <w:rPr>
                <w:lang w:eastAsia="ja-JP"/>
              </w:rPr>
            </w:pPr>
            <w:r>
              <w:t>Vaccine efficacy</w:t>
            </w:r>
          </w:p>
        </w:tc>
      </w:tr>
    </w:tbl>
    <w:p w14:paraId="4FA97427" w14:textId="77777777" w:rsidR="00FD119B" w:rsidRPr="00FD119B" w:rsidRDefault="00FD119B" w:rsidP="00FD119B">
      <w:pPr>
        <w:spacing w:before="0" w:after="200" w:line="0" w:lineRule="auto"/>
        <w:rPr>
          <w:b/>
          <w:i/>
          <w:sz w:val="24"/>
          <w:szCs w:val="24"/>
        </w:rPr>
      </w:pPr>
      <w:r w:rsidRPr="00FD119B">
        <w:rPr>
          <w:b/>
          <w:i/>
          <w:sz w:val="24"/>
          <w:szCs w:val="24"/>
        </w:rPr>
        <w:br w:type="page"/>
      </w:r>
    </w:p>
    <w:p w14:paraId="680B3262" w14:textId="77777777" w:rsidR="008E7846" w:rsidRDefault="00F53C07" w:rsidP="008E7846">
      <w:pPr>
        <w:pStyle w:val="Heading2"/>
      </w:pPr>
      <w:bookmarkStart w:id="8" w:name="_Toc100655252"/>
      <w:r>
        <w:lastRenderedPageBreak/>
        <w:t>I.</w:t>
      </w:r>
      <w:r w:rsidR="008E7846">
        <w:t xml:space="preserve"> Introduction to product submission</w:t>
      </w:r>
      <w:bookmarkEnd w:id="2"/>
      <w:bookmarkEnd w:id="0"/>
      <w:bookmarkEnd w:id="8"/>
    </w:p>
    <w:p w14:paraId="1098BD09" w14:textId="77777777" w:rsidR="008E7846" w:rsidRDefault="008E7846" w:rsidP="008E7846">
      <w:pPr>
        <w:pStyle w:val="Heading3"/>
        <w:rPr>
          <w:lang w:eastAsia="en-AU"/>
        </w:rPr>
      </w:pPr>
      <w:bookmarkStart w:id="9" w:name="_Toc247691502"/>
      <w:bookmarkStart w:id="10" w:name="_Toc314842483"/>
      <w:bookmarkStart w:id="11" w:name="_Toc100655253"/>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4DA41EC3" w14:textId="77777777" w:rsidTr="003735BC">
        <w:tc>
          <w:tcPr>
            <w:tcW w:w="2907" w:type="dxa"/>
          </w:tcPr>
          <w:p w14:paraId="4E98B72B"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53B7CF9A" w14:textId="6119D1A4" w:rsidR="008E7846" w:rsidRPr="003D1E62" w:rsidRDefault="003829FB" w:rsidP="003829FB">
            <w:r>
              <w:rPr>
                <w:shd w:val="clear" w:color="auto" w:fill="FFFFFF"/>
              </w:rPr>
              <w:t>Major variation (change of dose regimen)</w:t>
            </w:r>
          </w:p>
        </w:tc>
      </w:tr>
      <w:tr w:rsidR="00460036" w:rsidRPr="003D1E62" w14:paraId="2C9D720E" w14:textId="77777777" w:rsidTr="003735BC">
        <w:tc>
          <w:tcPr>
            <w:tcW w:w="2907" w:type="dxa"/>
          </w:tcPr>
          <w:p w14:paraId="2C3CF42F" w14:textId="66BE4848" w:rsidR="00460036" w:rsidRPr="003D1E62" w:rsidRDefault="00460036" w:rsidP="003D1E62">
            <w:pPr>
              <w:rPr>
                <w:i/>
              </w:rPr>
            </w:pPr>
            <w:r w:rsidRPr="00460036">
              <w:rPr>
                <w:i/>
              </w:rPr>
              <w:t>Product name:</w:t>
            </w:r>
          </w:p>
        </w:tc>
        <w:tc>
          <w:tcPr>
            <w:tcW w:w="6307" w:type="dxa"/>
          </w:tcPr>
          <w:p w14:paraId="397084A5" w14:textId="3689630C" w:rsidR="00460036" w:rsidRPr="003D1E62" w:rsidRDefault="008815D4" w:rsidP="001B5C90">
            <w:proofErr w:type="spellStart"/>
            <w:r>
              <w:t>Comirnaty</w:t>
            </w:r>
            <w:proofErr w:type="spellEnd"/>
          </w:p>
        </w:tc>
      </w:tr>
      <w:tr w:rsidR="00460036" w:rsidRPr="003D1E62" w14:paraId="54BA47B4" w14:textId="77777777" w:rsidTr="003735BC">
        <w:tc>
          <w:tcPr>
            <w:tcW w:w="2907" w:type="dxa"/>
          </w:tcPr>
          <w:p w14:paraId="2F2D3AD5" w14:textId="2CE7DFDA" w:rsidR="00460036" w:rsidRPr="003D1E62" w:rsidRDefault="00460036" w:rsidP="003D1E62">
            <w:pPr>
              <w:rPr>
                <w:i/>
              </w:rPr>
            </w:pPr>
            <w:r w:rsidRPr="00460036">
              <w:rPr>
                <w:i/>
              </w:rPr>
              <w:t>Active ingredient:</w:t>
            </w:r>
          </w:p>
        </w:tc>
        <w:tc>
          <w:tcPr>
            <w:tcW w:w="6307" w:type="dxa"/>
          </w:tcPr>
          <w:p w14:paraId="7536DC9C" w14:textId="10AFB7C4" w:rsidR="00460036" w:rsidRPr="003D1E62" w:rsidRDefault="008815D4" w:rsidP="001B5C90">
            <w:proofErr w:type="spellStart"/>
            <w:r>
              <w:t>Tozinameran</w:t>
            </w:r>
            <w:proofErr w:type="spellEnd"/>
            <w:r>
              <w:t xml:space="preserve"> (formerly BNT162b2 </w:t>
            </w:r>
            <w:r w:rsidR="00B33D69">
              <w:t>(</w:t>
            </w:r>
            <w:r>
              <w:t>mRNA</w:t>
            </w:r>
            <w:r w:rsidR="00B33D69">
              <w:t>)</w:t>
            </w:r>
            <w:r>
              <w:t>)</w:t>
            </w:r>
          </w:p>
        </w:tc>
      </w:tr>
      <w:tr w:rsidR="008E7846" w:rsidRPr="003D1E62" w14:paraId="5F7AF1C4" w14:textId="77777777" w:rsidTr="003735BC">
        <w:tc>
          <w:tcPr>
            <w:tcW w:w="2907" w:type="dxa"/>
          </w:tcPr>
          <w:p w14:paraId="095DA820" w14:textId="77777777" w:rsidR="008E7846" w:rsidRPr="00C06435" w:rsidRDefault="008E7846" w:rsidP="003D1E62">
            <w:r w:rsidRPr="00C06435">
              <w:rPr>
                <w:i/>
              </w:rPr>
              <w:t>Decision</w:t>
            </w:r>
            <w:r w:rsidRPr="00C06435">
              <w:t>:</w:t>
            </w:r>
          </w:p>
        </w:tc>
        <w:tc>
          <w:tcPr>
            <w:tcW w:w="6307" w:type="dxa"/>
          </w:tcPr>
          <w:p w14:paraId="69077E08" w14:textId="5E68A1FA" w:rsidR="008E7846" w:rsidRPr="00C06435" w:rsidRDefault="00460036" w:rsidP="001B5C90">
            <w:r w:rsidRPr="00C06435">
              <w:t>Approved for provisional registration</w:t>
            </w:r>
          </w:p>
        </w:tc>
      </w:tr>
      <w:tr w:rsidR="008E7846" w:rsidRPr="003D1E62" w14:paraId="250F4547" w14:textId="77777777" w:rsidTr="00C06435">
        <w:tc>
          <w:tcPr>
            <w:tcW w:w="2907" w:type="dxa"/>
            <w:shd w:val="clear" w:color="auto" w:fill="auto"/>
          </w:tcPr>
          <w:p w14:paraId="0A99C585" w14:textId="77777777" w:rsidR="008E7846" w:rsidRPr="00C06435" w:rsidRDefault="008E7846" w:rsidP="001B5C90">
            <w:pPr>
              <w:rPr>
                <w:i/>
              </w:rPr>
            </w:pPr>
            <w:r w:rsidRPr="00C06435">
              <w:rPr>
                <w:i/>
              </w:rPr>
              <w:t xml:space="preserve">Date of </w:t>
            </w:r>
            <w:r w:rsidR="001B5C90" w:rsidRPr="00C06435">
              <w:rPr>
                <w:i/>
              </w:rPr>
              <w:t>d</w:t>
            </w:r>
            <w:r w:rsidRPr="00C06435">
              <w:rPr>
                <w:i/>
              </w:rPr>
              <w:t>ecision:</w:t>
            </w:r>
          </w:p>
        </w:tc>
        <w:tc>
          <w:tcPr>
            <w:tcW w:w="6307" w:type="dxa"/>
            <w:shd w:val="clear" w:color="auto" w:fill="auto"/>
          </w:tcPr>
          <w:p w14:paraId="483B4693" w14:textId="27144BCB" w:rsidR="008E7846" w:rsidRPr="00C06435" w:rsidRDefault="00C06435" w:rsidP="001B5C90">
            <w:r w:rsidRPr="00C06435">
              <w:t>7 April 2022</w:t>
            </w:r>
          </w:p>
        </w:tc>
      </w:tr>
      <w:tr w:rsidR="00ED2922" w:rsidRPr="003D1E62" w14:paraId="06D68CD9" w14:textId="77777777" w:rsidTr="003735BC">
        <w:tc>
          <w:tcPr>
            <w:tcW w:w="2907" w:type="dxa"/>
          </w:tcPr>
          <w:p w14:paraId="55E18065" w14:textId="77777777" w:rsidR="00ED2922" w:rsidRPr="00441C3F" w:rsidRDefault="00ED2922" w:rsidP="001B5C90">
            <w:pPr>
              <w:rPr>
                <w:i/>
              </w:rPr>
            </w:pPr>
            <w:r w:rsidRPr="00441C3F">
              <w:rPr>
                <w:i/>
              </w:rPr>
              <w:t>Date of entry onto ARTG</w:t>
            </w:r>
            <w:r w:rsidR="00500337">
              <w:rPr>
                <w:i/>
              </w:rPr>
              <w:t>:</w:t>
            </w:r>
          </w:p>
        </w:tc>
        <w:tc>
          <w:tcPr>
            <w:tcW w:w="6307" w:type="dxa"/>
          </w:tcPr>
          <w:p w14:paraId="47078718" w14:textId="606DDF98" w:rsidR="00ED2922" w:rsidRPr="009D38C4" w:rsidRDefault="009D38C4" w:rsidP="00D153D8">
            <w:pPr>
              <w:rPr>
                <w:iCs/>
                <w:highlight w:val="yellow"/>
              </w:rPr>
            </w:pPr>
            <w:r w:rsidRPr="009D38C4">
              <w:rPr>
                <w:iCs/>
              </w:rPr>
              <w:t>8 April 2022</w:t>
            </w:r>
          </w:p>
        </w:tc>
      </w:tr>
      <w:tr w:rsidR="00500337" w:rsidRPr="003D1E62" w14:paraId="5C2250D5" w14:textId="77777777" w:rsidTr="003735BC">
        <w:tc>
          <w:tcPr>
            <w:tcW w:w="2907" w:type="dxa"/>
          </w:tcPr>
          <w:p w14:paraId="6FE60E3C" w14:textId="0E93981E" w:rsidR="00500337" w:rsidRPr="00441C3F" w:rsidRDefault="00500337" w:rsidP="001B5C90">
            <w:pPr>
              <w:rPr>
                <w:i/>
              </w:rPr>
            </w:pPr>
            <w:r>
              <w:rPr>
                <w:i/>
              </w:rPr>
              <w:t>ARTG numbers:</w:t>
            </w:r>
          </w:p>
        </w:tc>
        <w:tc>
          <w:tcPr>
            <w:tcW w:w="6307" w:type="dxa"/>
          </w:tcPr>
          <w:p w14:paraId="67BD16D8" w14:textId="4F3F7550" w:rsidR="009E5A83" w:rsidRPr="00F6514D" w:rsidRDefault="00F6514D" w:rsidP="00EC463D">
            <w:r w:rsidRPr="00F6514D">
              <w:rPr>
                <w:lang w:val="en-US"/>
              </w:rPr>
              <w:t>346290</w:t>
            </w:r>
            <w:r w:rsidR="0071146A">
              <w:rPr>
                <w:lang w:val="en-US"/>
              </w:rPr>
              <w:t xml:space="preserve">, </w:t>
            </w:r>
            <w:r w:rsidR="009E5A83">
              <w:rPr>
                <w:lang w:val="en-US"/>
              </w:rPr>
              <w:t>377110</w:t>
            </w:r>
          </w:p>
        </w:tc>
      </w:tr>
      <w:tr w:rsidR="003735BC" w:rsidRPr="003D1E62" w14:paraId="3194106C" w14:textId="77777777" w:rsidTr="003735BC">
        <w:tc>
          <w:tcPr>
            <w:tcW w:w="2907" w:type="dxa"/>
          </w:tcPr>
          <w:p w14:paraId="2B83D897"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2"/>
            </w:r>
          </w:p>
        </w:tc>
        <w:tc>
          <w:tcPr>
            <w:tcW w:w="6307" w:type="dxa"/>
          </w:tcPr>
          <w:p w14:paraId="7C18F131" w14:textId="0B534D60" w:rsidR="003735BC" w:rsidRPr="002E56D9" w:rsidRDefault="003735BC" w:rsidP="003735BC">
            <w:r w:rsidRPr="002E56D9">
              <w:t>Yes</w:t>
            </w:r>
          </w:p>
          <w:p w14:paraId="5F0A84C3" w14:textId="15CC02B1" w:rsidR="003735BC" w:rsidRPr="00487162" w:rsidRDefault="003735BC" w:rsidP="003735BC">
            <w:r w:rsidRPr="002E56D9">
              <w:t>As a provisionally registered product, this medicine will remain in the Black Triangle Scheme for the duration of its provisional registration</w:t>
            </w:r>
            <w:r w:rsidR="000168B4" w:rsidRPr="002E56D9">
              <w:t>.</w:t>
            </w:r>
          </w:p>
        </w:tc>
      </w:tr>
      <w:tr w:rsidR="008E7846" w:rsidRPr="00487162" w14:paraId="034B22E0" w14:textId="77777777" w:rsidTr="00BF1190">
        <w:tc>
          <w:tcPr>
            <w:tcW w:w="2907" w:type="dxa"/>
          </w:tcPr>
          <w:p w14:paraId="6D900746"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5DE67B01" w14:textId="77777777" w:rsidR="008E7846" w:rsidRDefault="008815D4" w:rsidP="00E45619">
            <w:r>
              <w:t>Pfizer Australia Pty Ltd</w:t>
            </w:r>
          </w:p>
          <w:p w14:paraId="4ADB9AD5" w14:textId="77777777" w:rsidR="009E5A83" w:rsidRDefault="009E5A83" w:rsidP="000143DD">
            <w:r>
              <w:t>Level 17</w:t>
            </w:r>
          </w:p>
          <w:p w14:paraId="6E3B87AC" w14:textId="4474AB47" w:rsidR="000143DD" w:rsidRDefault="000143DD" w:rsidP="000143DD">
            <w:r>
              <w:t>151 Clarence Street</w:t>
            </w:r>
          </w:p>
          <w:p w14:paraId="4974075C" w14:textId="7CD0B0F1" w:rsidR="000143DD" w:rsidRPr="00487162" w:rsidRDefault="000143DD" w:rsidP="000143DD">
            <w:r>
              <w:t>Sydney NSW 2000</w:t>
            </w:r>
          </w:p>
        </w:tc>
      </w:tr>
      <w:tr w:rsidR="008E7846" w:rsidRPr="00487162" w14:paraId="72B2F317" w14:textId="77777777" w:rsidTr="00BF1190">
        <w:tc>
          <w:tcPr>
            <w:tcW w:w="2907" w:type="dxa"/>
          </w:tcPr>
          <w:p w14:paraId="7485A5AB" w14:textId="01F0564A" w:rsidR="008E7846" w:rsidRPr="00487162" w:rsidRDefault="001B5C90" w:rsidP="00E45619">
            <w:pPr>
              <w:rPr>
                <w:i/>
              </w:rPr>
            </w:pPr>
            <w:r>
              <w:rPr>
                <w:i/>
              </w:rPr>
              <w:t>Dose forms:</w:t>
            </w:r>
          </w:p>
        </w:tc>
        <w:tc>
          <w:tcPr>
            <w:tcW w:w="6307" w:type="dxa"/>
          </w:tcPr>
          <w:p w14:paraId="4B753ED9" w14:textId="7C2B0D13" w:rsidR="008E7846" w:rsidRDefault="000143DD" w:rsidP="00E45619">
            <w:r>
              <w:t>Concentrated suspension for injection</w:t>
            </w:r>
            <w:r w:rsidR="0071146A">
              <w:t>;</w:t>
            </w:r>
            <w:r w:rsidR="00F22080">
              <w:t xml:space="preserve"> and</w:t>
            </w:r>
          </w:p>
          <w:p w14:paraId="4631771A" w14:textId="31D0B6DC" w:rsidR="009E5A83" w:rsidRPr="00487162" w:rsidRDefault="009E5A83" w:rsidP="00E45619">
            <w:r>
              <w:t>Suspension for injection</w:t>
            </w:r>
          </w:p>
        </w:tc>
      </w:tr>
      <w:tr w:rsidR="008E7846" w:rsidRPr="00487162" w14:paraId="60C7D34D" w14:textId="77777777" w:rsidTr="00BF1190">
        <w:tc>
          <w:tcPr>
            <w:tcW w:w="2907" w:type="dxa"/>
          </w:tcPr>
          <w:p w14:paraId="5624A09B" w14:textId="1AA19AF3" w:rsidR="008E7846" w:rsidRPr="00487162" w:rsidRDefault="008E7846" w:rsidP="00E45619">
            <w:pPr>
              <w:rPr>
                <w:i/>
              </w:rPr>
            </w:pPr>
            <w:r w:rsidRPr="00487162">
              <w:rPr>
                <w:i/>
              </w:rPr>
              <w:t>Strength:</w:t>
            </w:r>
          </w:p>
        </w:tc>
        <w:tc>
          <w:tcPr>
            <w:tcW w:w="6307" w:type="dxa"/>
          </w:tcPr>
          <w:p w14:paraId="56323FD6" w14:textId="6DFFEABC" w:rsidR="008E7846" w:rsidRPr="00487162" w:rsidRDefault="000143DD" w:rsidP="00E45619">
            <w:r>
              <w:t>30 µg/0.3 mL</w:t>
            </w:r>
          </w:p>
        </w:tc>
      </w:tr>
      <w:tr w:rsidR="008E7846" w:rsidRPr="00487162" w14:paraId="640F6948" w14:textId="77777777" w:rsidTr="00BF1190">
        <w:tc>
          <w:tcPr>
            <w:tcW w:w="2907" w:type="dxa"/>
          </w:tcPr>
          <w:p w14:paraId="6D0213A7" w14:textId="44C22F39" w:rsidR="008E7846" w:rsidRPr="00487162" w:rsidRDefault="008E7846" w:rsidP="00E45619">
            <w:pPr>
              <w:rPr>
                <w:i/>
              </w:rPr>
            </w:pPr>
            <w:r w:rsidRPr="00487162">
              <w:rPr>
                <w:i/>
              </w:rPr>
              <w:t>Container:</w:t>
            </w:r>
          </w:p>
        </w:tc>
        <w:tc>
          <w:tcPr>
            <w:tcW w:w="6307" w:type="dxa"/>
          </w:tcPr>
          <w:p w14:paraId="03B8CFFA" w14:textId="2AAAF34A" w:rsidR="008E7846" w:rsidRPr="00487162" w:rsidRDefault="000143DD" w:rsidP="00E45619">
            <w:r>
              <w:t>Multi dose vial</w:t>
            </w:r>
          </w:p>
        </w:tc>
      </w:tr>
      <w:tr w:rsidR="008E7846" w:rsidRPr="00487162" w14:paraId="50B38E87" w14:textId="77777777" w:rsidTr="00BF1190">
        <w:tc>
          <w:tcPr>
            <w:tcW w:w="2907" w:type="dxa"/>
          </w:tcPr>
          <w:p w14:paraId="3E46E997" w14:textId="2E8B85FB" w:rsidR="008E7846" w:rsidRPr="00C06435" w:rsidRDefault="008E7846" w:rsidP="00E45619">
            <w:pPr>
              <w:rPr>
                <w:i/>
              </w:rPr>
            </w:pPr>
            <w:r w:rsidRPr="00C06435">
              <w:rPr>
                <w:i/>
              </w:rPr>
              <w:t>Pack size:</w:t>
            </w:r>
          </w:p>
        </w:tc>
        <w:tc>
          <w:tcPr>
            <w:tcW w:w="6307" w:type="dxa"/>
          </w:tcPr>
          <w:p w14:paraId="417C180D" w14:textId="2B62CC07" w:rsidR="008E7846" w:rsidRPr="00C06435" w:rsidRDefault="00C06435" w:rsidP="00E45619">
            <w:r w:rsidRPr="00C06435">
              <w:t>195 vials</w:t>
            </w:r>
          </w:p>
        </w:tc>
      </w:tr>
      <w:tr w:rsidR="008E7846" w:rsidRPr="00487162" w14:paraId="6294FD61" w14:textId="77777777" w:rsidTr="00BF1190">
        <w:tc>
          <w:tcPr>
            <w:tcW w:w="2907" w:type="dxa"/>
          </w:tcPr>
          <w:p w14:paraId="136FA8C9"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10FA6207" w14:textId="6EC83E99" w:rsidR="00FF42B2" w:rsidRPr="00FF42B2" w:rsidRDefault="00FF42B2" w:rsidP="00FF42B2">
            <w:pPr>
              <w:rPr>
                <w:rFonts w:eastAsia="MS Mincho"/>
                <w:i/>
                <w:iCs/>
                <w:lang w:eastAsia="ja-JP"/>
              </w:rPr>
            </w:pPr>
            <w:r w:rsidRPr="00FF42B2">
              <w:rPr>
                <w:rFonts w:eastAsia="MS Mincho"/>
                <w:i/>
                <w:iCs/>
                <w:lang w:eastAsia="ja-JP"/>
              </w:rPr>
              <w:t>Active immunisation to prevent coronavirus disease 2019 (COVID-19) caused by SARS-CoV-2, in individuals 12 years of age and older.</w:t>
            </w:r>
          </w:p>
          <w:p w14:paraId="1C92B454" w14:textId="77777777" w:rsidR="008E7846" w:rsidRDefault="00FF42B2" w:rsidP="00FF42B2">
            <w:pPr>
              <w:rPr>
                <w:rFonts w:eastAsia="MS Mincho"/>
                <w:i/>
                <w:iCs/>
                <w:lang w:eastAsia="ja-JP"/>
              </w:rPr>
            </w:pPr>
            <w:r w:rsidRPr="00FF42B2">
              <w:rPr>
                <w:rFonts w:eastAsia="MS Mincho"/>
                <w:i/>
                <w:iCs/>
                <w:lang w:eastAsia="ja-JP"/>
              </w:rPr>
              <w:t>The use of this vaccine should be in accordance with official recommendations</w:t>
            </w:r>
            <w:r>
              <w:rPr>
                <w:rFonts w:eastAsia="MS Mincho"/>
                <w:i/>
                <w:iCs/>
                <w:lang w:eastAsia="ja-JP"/>
              </w:rPr>
              <w:t>.</w:t>
            </w:r>
          </w:p>
          <w:p w14:paraId="3DAAF565" w14:textId="77E4A9A1" w:rsidR="00FF42B2" w:rsidRPr="00FF42B2" w:rsidRDefault="00FF42B2" w:rsidP="00FF42B2">
            <w:pPr>
              <w:rPr>
                <w:rFonts w:eastAsia="MS Mincho"/>
                <w:i/>
                <w:iCs/>
                <w:lang w:eastAsia="ja-JP"/>
              </w:rPr>
            </w:pPr>
            <w:r w:rsidRPr="00FF42B2">
              <w:rPr>
                <w:rFonts w:eastAsia="MS Mincho"/>
                <w:i/>
                <w:iCs/>
                <w:lang w:eastAsia="ja-JP"/>
              </w:rPr>
              <w:t xml:space="preserve">The decision has been made on the basis of </w:t>
            </w:r>
            <w:proofErr w:type="gramStart"/>
            <w:r w:rsidRPr="00FF42B2">
              <w:rPr>
                <w:rFonts w:eastAsia="MS Mincho"/>
                <w:i/>
                <w:iCs/>
                <w:lang w:eastAsia="ja-JP"/>
              </w:rPr>
              <w:t>short term</w:t>
            </w:r>
            <w:proofErr w:type="gramEnd"/>
            <w:r w:rsidRPr="00FF42B2">
              <w:rPr>
                <w:rFonts w:eastAsia="MS Mincho"/>
                <w:i/>
                <w:iCs/>
                <w:lang w:eastAsia="ja-JP"/>
              </w:rPr>
              <w:t xml:space="preserve"> efficacy and safety data. Continued</w:t>
            </w:r>
            <w:r>
              <w:rPr>
                <w:rFonts w:eastAsia="MS Mincho"/>
                <w:i/>
                <w:iCs/>
                <w:lang w:eastAsia="ja-JP"/>
              </w:rPr>
              <w:t xml:space="preserve"> </w:t>
            </w:r>
            <w:r w:rsidRPr="00FF42B2">
              <w:rPr>
                <w:rFonts w:eastAsia="MS Mincho"/>
                <w:i/>
                <w:iCs/>
                <w:lang w:eastAsia="ja-JP"/>
              </w:rPr>
              <w:t xml:space="preserve">approval depends on the evidence of </w:t>
            </w:r>
            <w:proofErr w:type="gramStart"/>
            <w:r w:rsidRPr="00FF42B2">
              <w:rPr>
                <w:rFonts w:eastAsia="MS Mincho"/>
                <w:i/>
                <w:iCs/>
                <w:lang w:eastAsia="ja-JP"/>
              </w:rPr>
              <w:t xml:space="preserve">longer </w:t>
            </w:r>
            <w:r w:rsidRPr="00FF42B2">
              <w:rPr>
                <w:rFonts w:eastAsia="MS Mincho"/>
                <w:i/>
                <w:iCs/>
                <w:lang w:eastAsia="ja-JP"/>
              </w:rPr>
              <w:lastRenderedPageBreak/>
              <w:t>term</w:t>
            </w:r>
            <w:proofErr w:type="gramEnd"/>
            <w:r w:rsidRPr="00FF42B2">
              <w:rPr>
                <w:rFonts w:eastAsia="MS Mincho"/>
                <w:i/>
                <w:iCs/>
                <w:lang w:eastAsia="ja-JP"/>
              </w:rPr>
              <w:t xml:space="preserve"> efficacy and safety from ongoing clinical</w:t>
            </w:r>
            <w:r>
              <w:rPr>
                <w:rFonts w:eastAsia="MS Mincho"/>
                <w:i/>
                <w:iCs/>
                <w:lang w:eastAsia="ja-JP"/>
              </w:rPr>
              <w:t xml:space="preserve"> </w:t>
            </w:r>
            <w:r w:rsidRPr="00FF42B2">
              <w:rPr>
                <w:rFonts w:eastAsia="MS Mincho"/>
                <w:i/>
                <w:iCs/>
                <w:lang w:eastAsia="ja-JP"/>
              </w:rPr>
              <w:t>trials and post-market assessment.</w:t>
            </w:r>
          </w:p>
        </w:tc>
      </w:tr>
      <w:tr w:rsidR="008E7846" w:rsidRPr="00487162" w14:paraId="79A7CED9" w14:textId="77777777" w:rsidTr="00BF1190">
        <w:tc>
          <w:tcPr>
            <w:tcW w:w="2907" w:type="dxa"/>
          </w:tcPr>
          <w:p w14:paraId="08C95C57" w14:textId="689A7A77" w:rsidR="008E7846" w:rsidRPr="00487162" w:rsidRDefault="008E7846" w:rsidP="00E45619">
            <w:pPr>
              <w:rPr>
                <w:i/>
              </w:rPr>
            </w:pPr>
            <w:r w:rsidRPr="00487162">
              <w:rPr>
                <w:i/>
              </w:rPr>
              <w:lastRenderedPageBreak/>
              <w:t>Route of administration:</w:t>
            </w:r>
          </w:p>
        </w:tc>
        <w:tc>
          <w:tcPr>
            <w:tcW w:w="6307" w:type="dxa"/>
          </w:tcPr>
          <w:p w14:paraId="2FE830E0" w14:textId="11F6E1D4" w:rsidR="008E7846" w:rsidRPr="00487162" w:rsidRDefault="00F6514D" w:rsidP="00E45619">
            <w:r>
              <w:t>Intramuscular</w:t>
            </w:r>
          </w:p>
        </w:tc>
      </w:tr>
      <w:tr w:rsidR="00C06435" w:rsidRPr="00487162" w14:paraId="4E8D019B" w14:textId="77777777" w:rsidTr="00BF1190">
        <w:tc>
          <w:tcPr>
            <w:tcW w:w="2907" w:type="dxa"/>
          </w:tcPr>
          <w:p w14:paraId="35B753FE" w14:textId="77777777" w:rsidR="00C06435" w:rsidRPr="00E71EE7" w:rsidRDefault="00C06435" w:rsidP="00C06435">
            <w:pPr>
              <w:rPr>
                <w:i/>
              </w:rPr>
            </w:pPr>
            <w:bookmarkStart w:id="12" w:name="_Hlk100307611"/>
            <w:r w:rsidRPr="00E71EE7">
              <w:rPr>
                <w:i/>
              </w:rPr>
              <w:t>Dosage:</w:t>
            </w:r>
          </w:p>
        </w:tc>
        <w:tc>
          <w:tcPr>
            <w:tcW w:w="6307" w:type="dxa"/>
          </w:tcPr>
          <w:p w14:paraId="7F66C01B" w14:textId="77777777" w:rsidR="00C06435" w:rsidRPr="00E71EE7" w:rsidRDefault="00C06435" w:rsidP="00C06435">
            <w:pPr>
              <w:rPr>
                <w:i/>
                <w:iCs/>
                <w:lang w:eastAsia="ja-JP"/>
              </w:rPr>
            </w:pPr>
            <w:r w:rsidRPr="00E71EE7">
              <w:rPr>
                <w:i/>
                <w:iCs/>
                <w:lang w:eastAsia="ja-JP"/>
              </w:rPr>
              <w:t>Individuals 12 years of age and older</w:t>
            </w:r>
          </w:p>
          <w:p w14:paraId="182C069A" w14:textId="486F85FE" w:rsidR="00C06435" w:rsidRPr="00E71EE7" w:rsidRDefault="00C06435" w:rsidP="00C06435">
            <w:pPr>
              <w:rPr>
                <w:lang w:eastAsia="ja-JP"/>
              </w:rPr>
            </w:pPr>
            <w:proofErr w:type="spellStart"/>
            <w:r w:rsidRPr="00E71EE7">
              <w:rPr>
                <w:lang w:eastAsia="ja-JP"/>
              </w:rPr>
              <w:t>Comirnaty</w:t>
            </w:r>
            <w:proofErr w:type="spellEnd"/>
            <w:r w:rsidRPr="00E71EE7">
              <w:rPr>
                <w:lang w:eastAsia="ja-JP"/>
              </w:rPr>
              <w:t xml:space="preserve"> is administered intramuscularly after dilution as a primary course of </w:t>
            </w:r>
            <w:r w:rsidR="00E71EE7" w:rsidRPr="00E71EE7">
              <w:rPr>
                <w:lang w:eastAsia="ja-JP"/>
              </w:rPr>
              <w:t>two</w:t>
            </w:r>
            <w:r w:rsidRPr="00E71EE7">
              <w:rPr>
                <w:lang w:eastAsia="ja-JP"/>
              </w:rPr>
              <w:t xml:space="preserve"> doses at least 21 days apart. See dosing instructions below.</w:t>
            </w:r>
          </w:p>
          <w:p w14:paraId="6C060A06" w14:textId="77777777" w:rsidR="00C06435" w:rsidRPr="00E71EE7" w:rsidRDefault="00C06435" w:rsidP="00C06435">
            <w:pPr>
              <w:rPr>
                <w:i/>
                <w:iCs/>
                <w:lang w:eastAsia="ja-JP"/>
              </w:rPr>
            </w:pPr>
            <w:r w:rsidRPr="00E71EE7">
              <w:rPr>
                <w:i/>
                <w:iCs/>
                <w:lang w:eastAsia="ja-JP"/>
              </w:rPr>
              <w:t>Booster dose in individuals 12 years of age and older</w:t>
            </w:r>
          </w:p>
          <w:p w14:paraId="39EABAAE" w14:textId="301CB7E0" w:rsidR="00C06435" w:rsidRPr="00E71EE7" w:rsidRDefault="00C06435" w:rsidP="00C06435">
            <w:pPr>
              <w:rPr>
                <w:lang w:eastAsia="ja-JP"/>
              </w:rPr>
            </w:pPr>
            <w:r w:rsidRPr="00E71EE7">
              <w:rPr>
                <w:lang w:eastAsia="ja-JP"/>
              </w:rPr>
              <w:t xml:space="preserve">A booster dose of </w:t>
            </w:r>
            <w:proofErr w:type="spellStart"/>
            <w:r w:rsidRPr="00E71EE7">
              <w:rPr>
                <w:lang w:eastAsia="ja-JP"/>
              </w:rPr>
              <w:t>Comirnaty</w:t>
            </w:r>
            <w:proofErr w:type="spellEnd"/>
            <w:r w:rsidRPr="00E71EE7">
              <w:rPr>
                <w:lang w:eastAsia="ja-JP"/>
              </w:rPr>
              <w:t xml:space="preserve"> may be administered intramuscularly at least 6 months after the completion of a COVID-19 vaccine primary series in individuals 12 years of age and older.</w:t>
            </w:r>
          </w:p>
          <w:p w14:paraId="5ED9E182" w14:textId="3C5EC481" w:rsidR="00C06435" w:rsidRPr="00E71EE7" w:rsidRDefault="00C06435" w:rsidP="00C06435">
            <w:pPr>
              <w:rPr>
                <w:lang w:eastAsia="ja-JP"/>
              </w:rPr>
            </w:pPr>
            <w:r w:rsidRPr="00E71EE7">
              <w:rPr>
                <w:lang w:eastAsia="ja-JP"/>
              </w:rPr>
              <w:t xml:space="preserve">The decision when and for whom to implement a booster dose of </w:t>
            </w:r>
            <w:proofErr w:type="spellStart"/>
            <w:r w:rsidRPr="00E71EE7">
              <w:rPr>
                <w:lang w:eastAsia="ja-JP"/>
              </w:rPr>
              <w:t>Comirnaty</w:t>
            </w:r>
            <w:proofErr w:type="spellEnd"/>
            <w:r w:rsidRPr="00E71EE7">
              <w:rPr>
                <w:lang w:eastAsia="ja-JP"/>
              </w:rPr>
              <w:t xml:space="preserve"> should be made based on available vaccine safety and effectiveness data (see sections 4.4 Special warnings and precautions for use and 5.1 Pharmacodynamic properties), in accordance with official recommendations.</w:t>
            </w:r>
          </w:p>
          <w:p w14:paraId="67AD11EA" w14:textId="77777777" w:rsidR="00C06435" w:rsidRPr="00E71EE7" w:rsidRDefault="00C06435" w:rsidP="00C06435">
            <w:pPr>
              <w:rPr>
                <w:i/>
                <w:iCs/>
                <w:lang w:eastAsia="ja-JP"/>
              </w:rPr>
            </w:pPr>
            <w:r w:rsidRPr="00E71EE7">
              <w:rPr>
                <w:i/>
                <w:iCs/>
                <w:lang w:eastAsia="ja-JP"/>
              </w:rPr>
              <w:t>Interchangeability</w:t>
            </w:r>
          </w:p>
          <w:p w14:paraId="3C4616C9" w14:textId="51DD3527" w:rsidR="00C06435" w:rsidRPr="00E71EE7" w:rsidRDefault="00C06435" w:rsidP="00C06435">
            <w:pPr>
              <w:rPr>
                <w:lang w:eastAsia="ja-JP"/>
              </w:rPr>
            </w:pPr>
            <w:r w:rsidRPr="00E71EE7">
              <w:rPr>
                <w:lang w:eastAsia="ja-JP"/>
              </w:rPr>
              <w:t xml:space="preserve">There are limited data on the interchangeability of </w:t>
            </w:r>
            <w:proofErr w:type="spellStart"/>
            <w:r w:rsidRPr="00E71EE7">
              <w:rPr>
                <w:lang w:eastAsia="ja-JP"/>
              </w:rPr>
              <w:t>Comirnaty</w:t>
            </w:r>
            <w:proofErr w:type="spellEnd"/>
            <w:r w:rsidRPr="00E71EE7">
              <w:rPr>
                <w:lang w:eastAsia="ja-JP"/>
              </w:rPr>
              <w:t xml:space="preserve"> with other COVID-19 vaccines to complete the primary vaccination course or the booster dose. Individuals who have received 1 dose of </w:t>
            </w:r>
            <w:proofErr w:type="spellStart"/>
            <w:r w:rsidRPr="00E71EE7">
              <w:rPr>
                <w:lang w:eastAsia="ja-JP"/>
              </w:rPr>
              <w:t>Comirnaty</w:t>
            </w:r>
            <w:proofErr w:type="spellEnd"/>
            <w:r w:rsidRPr="00E71EE7">
              <w:rPr>
                <w:lang w:eastAsia="ja-JP"/>
              </w:rPr>
              <w:t xml:space="preserve"> should preferably receive a second dose of </w:t>
            </w:r>
            <w:proofErr w:type="spellStart"/>
            <w:r w:rsidRPr="00E71EE7">
              <w:rPr>
                <w:lang w:eastAsia="ja-JP"/>
              </w:rPr>
              <w:t>Comirnaty</w:t>
            </w:r>
            <w:proofErr w:type="spellEnd"/>
            <w:r w:rsidRPr="00E71EE7">
              <w:rPr>
                <w:lang w:eastAsia="ja-JP"/>
              </w:rPr>
              <w:t xml:space="preserve"> to complete the primary vaccination course and for any additional doses.</w:t>
            </w:r>
          </w:p>
          <w:p w14:paraId="67E4EEB0" w14:textId="77777777" w:rsidR="00C06435" w:rsidRPr="00E71EE7" w:rsidRDefault="00C06435" w:rsidP="00C06435">
            <w:pPr>
              <w:rPr>
                <w:i/>
                <w:iCs/>
                <w:lang w:eastAsia="ja-JP"/>
              </w:rPr>
            </w:pPr>
            <w:r w:rsidRPr="00E71EE7">
              <w:rPr>
                <w:i/>
                <w:iCs/>
                <w:lang w:eastAsia="ja-JP"/>
              </w:rPr>
              <w:t>Severely immunocompromised aged 12 years and older</w:t>
            </w:r>
          </w:p>
          <w:p w14:paraId="1E57C7CC" w14:textId="577E17A2" w:rsidR="00C06435" w:rsidRPr="00E71EE7" w:rsidRDefault="00C06435" w:rsidP="00C06435">
            <w:pPr>
              <w:rPr>
                <w:lang w:eastAsia="ja-JP"/>
              </w:rPr>
            </w:pPr>
            <w:r w:rsidRPr="00E71EE7">
              <w:rPr>
                <w:lang w:eastAsia="ja-JP"/>
              </w:rPr>
              <w:t>In accordance with official recommendations, a third dose may be given, as part of the primary series, at least 28 days after the second dose to individuals who are severely immunocompromised (see section 4.4 Special warnings and precautions for use).</w:t>
            </w:r>
          </w:p>
          <w:p w14:paraId="2898A92A" w14:textId="77777777" w:rsidR="00C06435" w:rsidRPr="00E71EE7" w:rsidRDefault="00C06435" w:rsidP="00C06435">
            <w:pPr>
              <w:rPr>
                <w:i/>
                <w:iCs/>
                <w:lang w:eastAsia="ja-JP"/>
              </w:rPr>
            </w:pPr>
            <w:r w:rsidRPr="00E71EE7">
              <w:rPr>
                <w:i/>
                <w:iCs/>
                <w:lang w:eastAsia="ja-JP"/>
              </w:rPr>
              <w:t>Elderly population</w:t>
            </w:r>
          </w:p>
          <w:p w14:paraId="7BDFAA16" w14:textId="039E71C0" w:rsidR="00C06435" w:rsidRPr="00E71EE7" w:rsidRDefault="00C06435" w:rsidP="00C06435">
            <w:r w:rsidRPr="00E71EE7">
              <w:rPr>
                <w:lang w:eastAsia="ja-JP"/>
              </w:rPr>
              <w:t>No dosage adjustment is required in elderly individuals ≥ 65 years of age.</w:t>
            </w:r>
          </w:p>
        </w:tc>
      </w:tr>
      <w:bookmarkEnd w:id="12"/>
      <w:tr w:rsidR="00C06435" w:rsidRPr="00487162" w14:paraId="26AF0A95" w14:textId="77777777" w:rsidTr="00BF1190">
        <w:tc>
          <w:tcPr>
            <w:tcW w:w="2907" w:type="dxa"/>
          </w:tcPr>
          <w:p w14:paraId="12837BA4" w14:textId="77777777" w:rsidR="00C06435" w:rsidRPr="00487162" w:rsidRDefault="00C06435" w:rsidP="00C06435">
            <w:pPr>
              <w:rPr>
                <w:i/>
              </w:rPr>
            </w:pPr>
            <w:r w:rsidRPr="00460036">
              <w:rPr>
                <w:i/>
              </w:rPr>
              <w:t>Pregnancy category</w:t>
            </w:r>
            <w:r>
              <w:rPr>
                <w:i/>
              </w:rPr>
              <w:t>:</w:t>
            </w:r>
          </w:p>
        </w:tc>
        <w:tc>
          <w:tcPr>
            <w:tcW w:w="6307" w:type="dxa"/>
          </w:tcPr>
          <w:p w14:paraId="67BC638D" w14:textId="77777777" w:rsidR="00C06435" w:rsidRDefault="00C06435" w:rsidP="00C06435">
            <w:r>
              <w:t>B1</w:t>
            </w:r>
          </w:p>
          <w:p w14:paraId="4143FFD9" w14:textId="77777777" w:rsidR="00C06435" w:rsidRDefault="00C06435" w:rsidP="00C06435">
            <w:r>
              <w:t xml:space="preserve">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w:t>
            </w:r>
          </w:p>
          <w:p w14:paraId="68BB09B0" w14:textId="77777777" w:rsidR="00C06435" w:rsidRDefault="00C06435" w:rsidP="00C06435">
            <w:r>
              <w:t xml:space="preserve">Studies in animals have not shown evidence of an increased occurrence of </w:t>
            </w:r>
            <w:proofErr w:type="spellStart"/>
            <w:r>
              <w:t>fetal</w:t>
            </w:r>
            <w:proofErr w:type="spellEnd"/>
            <w:r>
              <w:t xml:space="preserve"> damage.</w:t>
            </w:r>
          </w:p>
          <w:p w14:paraId="2DE43416" w14:textId="5CFF94D9" w:rsidR="00C06435" w:rsidRPr="00487162" w:rsidRDefault="00C06435" w:rsidP="00C06435">
            <w:r>
              <w:t xml:space="preserve">The use of any medicine during pregnancy requires careful consideration of both risks and benefits by the treating health professional. This must not be used as the sole basis of decision making in the use of medicines during pregnancy. The TGA does </w:t>
            </w:r>
            <w:r>
              <w:lastRenderedPageBreak/>
              <w:t>not provide advice on the use of medicines in pregnancy for specific cases. More information is available from obstetric drug information services in your State or Territory.</w:t>
            </w:r>
          </w:p>
        </w:tc>
      </w:tr>
    </w:tbl>
    <w:p w14:paraId="2435C0C2" w14:textId="77777777" w:rsidR="008E7846" w:rsidRDefault="008E7846" w:rsidP="008E7846">
      <w:pPr>
        <w:pStyle w:val="Heading3"/>
      </w:pPr>
      <w:bookmarkStart w:id="13" w:name="_Toc247691503"/>
      <w:bookmarkStart w:id="14" w:name="_Toc314842484"/>
      <w:bookmarkStart w:id="15" w:name="_Toc100655254"/>
      <w:r>
        <w:lastRenderedPageBreak/>
        <w:t>Product background</w:t>
      </w:r>
      <w:bookmarkEnd w:id="13"/>
      <w:bookmarkEnd w:id="14"/>
      <w:bookmarkEnd w:id="15"/>
    </w:p>
    <w:p w14:paraId="081F92E0" w14:textId="4FEFBAF1" w:rsidR="008815D4" w:rsidRDefault="00250271" w:rsidP="008815D4">
      <w:r w:rsidRPr="00250271">
        <w:t xml:space="preserve">This </w:t>
      </w:r>
      <w:proofErr w:type="spellStart"/>
      <w:r w:rsidRPr="00250271">
        <w:t>AusPAR</w:t>
      </w:r>
      <w:proofErr w:type="spellEnd"/>
      <w:r w:rsidRPr="00250271">
        <w:t xml:space="preserve"> describes the application by </w:t>
      </w:r>
      <w:r w:rsidR="008815D4">
        <w:t>Pfizer Australia Pty Ltd</w:t>
      </w:r>
      <w:r w:rsidR="008815D4" w:rsidRPr="00250271">
        <w:t xml:space="preserve"> </w:t>
      </w:r>
      <w:r w:rsidRPr="00250271">
        <w:t xml:space="preserve">(the sponsor) to register </w:t>
      </w:r>
      <w:r w:rsidR="002E56D9">
        <w:t xml:space="preserve">a </w:t>
      </w:r>
      <w:r w:rsidR="00BE7102">
        <w:t xml:space="preserve">change in the </w:t>
      </w:r>
      <w:r w:rsidR="002E56D9">
        <w:t xml:space="preserve">dosage </w:t>
      </w:r>
      <w:r w:rsidR="00BE7102">
        <w:t>regimen</w:t>
      </w:r>
      <w:r w:rsidR="002E56D9">
        <w:t xml:space="preserve"> for </w:t>
      </w:r>
      <w:proofErr w:type="spellStart"/>
      <w:r w:rsidR="008815D4">
        <w:t>Comirnaty</w:t>
      </w:r>
      <w:proofErr w:type="spellEnd"/>
      <w:r w:rsidR="008815D4" w:rsidRPr="00250271">
        <w:t xml:space="preserve"> </w:t>
      </w:r>
      <w:r w:rsidRPr="00250271">
        <w:t>(</w:t>
      </w:r>
      <w:proofErr w:type="spellStart"/>
      <w:r w:rsidR="003B229F">
        <w:t>t</w:t>
      </w:r>
      <w:r w:rsidR="008815D4">
        <w:t>ozinameran</w:t>
      </w:r>
      <w:proofErr w:type="spellEnd"/>
      <w:r w:rsidR="003829FB">
        <w:t xml:space="preserve">; </w:t>
      </w:r>
      <w:r w:rsidR="008815D4">
        <w:t xml:space="preserve">formerly BNT162b2 </w:t>
      </w:r>
      <w:r w:rsidR="0071146A">
        <w:t>(</w:t>
      </w:r>
      <w:r w:rsidR="008815D4">
        <w:t>mRNA</w:t>
      </w:r>
      <w:r w:rsidR="0071146A">
        <w:t>)</w:t>
      </w:r>
      <w:r w:rsidR="008815D4">
        <w:t xml:space="preserve">); 30 </w:t>
      </w:r>
      <w:r w:rsidR="00467A66">
        <w:t>µg</w:t>
      </w:r>
      <w:r w:rsidR="009E5A83">
        <w:t>/0.3 mL</w:t>
      </w:r>
      <w:r w:rsidR="00467A66">
        <w:t xml:space="preserve"> </w:t>
      </w:r>
      <w:r w:rsidR="008815D4">
        <w:t xml:space="preserve">of BNT162b2 </w:t>
      </w:r>
      <w:r w:rsidR="0071146A">
        <w:t>(</w:t>
      </w:r>
      <w:r w:rsidR="008815D4">
        <w:t>mRNA</w:t>
      </w:r>
      <w:r w:rsidR="0071146A">
        <w:t>)</w:t>
      </w:r>
      <w:r w:rsidR="00535A3B">
        <w:t xml:space="preserve"> </w:t>
      </w:r>
      <w:r w:rsidR="008815D4">
        <w:t xml:space="preserve">(embedded in lipid nanoparticles) injection </w:t>
      </w:r>
      <w:r w:rsidR="008815D4">
        <w:rPr>
          <w:iCs/>
        </w:rPr>
        <w:t xml:space="preserve">for the </w:t>
      </w:r>
      <w:proofErr w:type="gramStart"/>
      <w:r w:rsidR="008815D4">
        <w:rPr>
          <w:iCs/>
        </w:rPr>
        <w:t>12</w:t>
      </w:r>
      <w:r w:rsidR="003B229F">
        <w:rPr>
          <w:iCs/>
        </w:rPr>
        <w:t xml:space="preserve"> to </w:t>
      </w:r>
      <w:r w:rsidR="008815D4">
        <w:rPr>
          <w:iCs/>
        </w:rPr>
        <w:t>15 year</w:t>
      </w:r>
      <w:proofErr w:type="gramEnd"/>
      <w:r w:rsidR="008815D4">
        <w:rPr>
          <w:iCs/>
        </w:rPr>
        <w:t xml:space="preserve"> age group: </w:t>
      </w:r>
      <w:r w:rsidR="002E56D9">
        <w:rPr>
          <w:iCs/>
        </w:rPr>
        <w:t>It is proposed that a</w:t>
      </w:r>
      <w:r w:rsidR="008815D4">
        <w:rPr>
          <w:iCs/>
        </w:rPr>
        <w:t xml:space="preserve"> booster dose of </w:t>
      </w:r>
      <w:proofErr w:type="spellStart"/>
      <w:r w:rsidR="002E56D9">
        <w:rPr>
          <w:iCs/>
        </w:rPr>
        <w:t>Comirnaty</w:t>
      </w:r>
      <w:proofErr w:type="spellEnd"/>
      <w:r w:rsidR="002E56D9">
        <w:rPr>
          <w:iCs/>
        </w:rPr>
        <w:t xml:space="preserve"> </w:t>
      </w:r>
      <w:r w:rsidR="008815D4">
        <w:rPr>
          <w:iCs/>
        </w:rPr>
        <w:t xml:space="preserve">may be administered intramuscularly </w:t>
      </w:r>
      <w:r w:rsidR="00467A66">
        <w:rPr>
          <w:iCs/>
        </w:rPr>
        <w:t xml:space="preserve">(IM) </w:t>
      </w:r>
      <w:r w:rsidR="008815D4">
        <w:rPr>
          <w:iCs/>
        </w:rPr>
        <w:t>at least 6 months after the second dose in individuals 12 years of age and older.</w:t>
      </w:r>
      <w:r w:rsidR="00D9276E">
        <w:rPr>
          <w:iCs/>
        </w:rPr>
        <w:t xml:space="preserve"> </w:t>
      </w:r>
      <w:r w:rsidR="002E56D9" w:rsidRPr="0034543A">
        <w:rPr>
          <w:iCs/>
        </w:rPr>
        <w:t xml:space="preserve">The sponsor has also proposed </w:t>
      </w:r>
      <w:r w:rsidR="00641A33" w:rsidRPr="0034543A">
        <w:rPr>
          <w:iCs/>
        </w:rPr>
        <w:t xml:space="preserve">amendments to the current </w:t>
      </w:r>
      <w:r w:rsidR="00467A66" w:rsidRPr="0034543A">
        <w:rPr>
          <w:iCs/>
        </w:rPr>
        <w:t>Product Information (</w:t>
      </w:r>
      <w:r w:rsidR="008815D4" w:rsidRPr="0034543A">
        <w:rPr>
          <w:iCs/>
        </w:rPr>
        <w:t>PI</w:t>
      </w:r>
      <w:r w:rsidR="00467A66" w:rsidRPr="0034543A">
        <w:rPr>
          <w:iCs/>
        </w:rPr>
        <w:t>)</w:t>
      </w:r>
      <w:r w:rsidR="008815D4" w:rsidRPr="0034543A">
        <w:rPr>
          <w:iCs/>
        </w:rPr>
        <w:t xml:space="preserve"> including Study C4591001</w:t>
      </w:r>
      <w:r w:rsidR="003B229F">
        <w:rPr>
          <w:iCs/>
        </w:rPr>
        <w:t xml:space="preserve">, a </w:t>
      </w:r>
      <w:proofErr w:type="gramStart"/>
      <w:r w:rsidR="008815D4" w:rsidRPr="0034543A">
        <w:rPr>
          <w:iCs/>
        </w:rPr>
        <w:t xml:space="preserve">6 </w:t>
      </w:r>
      <w:r w:rsidR="00535A3B" w:rsidRPr="0034543A">
        <w:rPr>
          <w:iCs/>
        </w:rPr>
        <w:t>month</w:t>
      </w:r>
      <w:proofErr w:type="gramEnd"/>
      <w:r w:rsidR="008815D4" w:rsidRPr="0034543A">
        <w:rPr>
          <w:iCs/>
        </w:rPr>
        <w:t xml:space="preserve"> post-</w:t>
      </w:r>
      <w:r w:rsidR="00467A66" w:rsidRPr="0034543A">
        <w:rPr>
          <w:iCs/>
        </w:rPr>
        <w:t>D</w:t>
      </w:r>
      <w:r w:rsidR="008815D4" w:rsidRPr="0034543A">
        <w:rPr>
          <w:iCs/>
        </w:rPr>
        <w:t>ose 2 analysis for 12</w:t>
      </w:r>
      <w:r w:rsidR="0071146A">
        <w:rPr>
          <w:iCs/>
        </w:rPr>
        <w:t> </w:t>
      </w:r>
      <w:r w:rsidR="00F85C01">
        <w:rPr>
          <w:iCs/>
        </w:rPr>
        <w:t xml:space="preserve">to </w:t>
      </w:r>
      <w:r w:rsidR="008815D4" w:rsidRPr="0034543A">
        <w:rPr>
          <w:iCs/>
        </w:rPr>
        <w:t>15 years age group.</w:t>
      </w:r>
    </w:p>
    <w:p w14:paraId="15C36042" w14:textId="4169320B" w:rsidR="0012137B" w:rsidRPr="00641A33" w:rsidRDefault="000143DD" w:rsidP="000143DD">
      <w:r w:rsidRPr="0012137B">
        <w:rPr>
          <w:lang w:eastAsia="ja-JP"/>
        </w:rPr>
        <w:t>Coronavirus disease 2019 (</w:t>
      </w:r>
      <w:r w:rsidRPr="0012137B">
        <w:t xml:space="preserve">COVID-19) is an infectious disease caused by the novel coronavirus, </w:t>
      </w:r>
      <w:r w:rsidRPr="0012137B">
        <w:rPr>
          <w:lang w:eastAsia="ja-JP"/>
        </w:rPr>
        <w:t>severe acute respiratory syndrome coronavirus 2 (</w:t>
      </w:r>
      <w:r w:rsidRPr="0012137B">
        <w:t>SARS-CoV-2), that was first identified in late 2019.</w:t>
      </w:r>
      <w:r w:rsidRPr="0012137B">
        <w:rPr>
          <w:rStyle w:val="FootnoteReference"/>
          <w:lang w:eastAsia="ja-JP"/>
        </w:rPr>
        <w:footnoteReference w:id="3"/>
      </w:r>
      <w:r w:rsidRPr="0012137B">
        <w:t xml:space="preserve"> It is predominantly a respiratory illness that can affect other organs.</w:t>
      </w:r>
      <w:r w:rsidRPr="0012137B">
        <w:rPr>
          <w:rStyle w:val="FootnoteReference"/>
        </w:rPr>
        <w:footnoteReference w:id="4"/>
      </w:r>
      <w:r w:rsidRPr="0012137B">
        <w:t xml:space="preserve"> People infected with COVID-19 can present with a wide range of symptoms, from mild symptoms to severe illness.</w:t>
      </w:r>
      <w:bookmarkStart w:id="16" w:name="_Ref61529222"/>
      <w:r w:rsidRPr="0012137B">
        <w:rPr>
          <w:rStyle w:val="FootnoteReference"/>
        </w:rPr>
        <w:footnoteReference w:id="5"/>
      </w:r>
      <w:bookmarkEnd w:id="16"/>
      <w:r w:rsidRPr="0012137B">
        <w:t xml:space="preserve"> Following exposure to the virus, symptoms may appear within 2 to 14 days, and may include any or a combination of the following: fever or chills, cough, fatigue, shortness of breath, headache, muscle or body aches, sore throat, new loss of taste or smell, congestion or runny nose, nausea or vomiting, and diarrhoea.</w:t>
      </w:r>
      <w:r w:rsidRPr="0012137B">
        <w:fldChar w:fldCharType="begin"/>
      </w:r>
      <w:r w:rsidRPr="0012137B">
        <w:instrText xml:space="preserve"> NOTEREF _Ref61529222 \f \h  \* MERGEFORMAT </w:instrText>
      </w:r>
      <w:r w:rsidRPr="0012137B">
        <w:fldChar w:fldCharType="separate"/>
      </w:r>
      <w:r w:rsidR="009D38C4" w:rsidRPr="009D38C4">
        <w:rPr>
          <w:rStyle w:val="FootnoteReference"/>
        </w:rPr>
        <w:t>5</w:t>
      </w:r>
      <w:r w:rsidRPr="0012137B">
        <w:fldChar w:fldCharType="end"/>
      </w:r>
      <w:r w:rsidRPr="0012137B">
        <w:t xml:space="preserve"> Infections caused by SARS-CoV-2, and the resulting disease, COVID-19, have spread globally. </w:t>
      </w:r>
      <w:r w:rsidRPr="00641A33">
        <w:t>On 11 March 2020, the World Health Organization (WHO) declared the COVID-19 outbreak to be a pandemic.</w:t>
      </w:r>
      <w:r w:rsidRPr="00641A33">
        <w:rPr>
          <w:rStyle w:val="FootnoteReference"/>
          <w:lang w:eastAsia="ja-JP"/>
        </w:rPr>
        <w:footnoteReference w:id="6"/>
      </w:r>
      <w:r w:rsidRPr="00641A33">
        <w:t xml:space="preserve"> </w:t>
      </w:r>
    </w:p>
    <w:p w14:paraId="060D0021" w14:textId="3AE387E4" w:rsidR="000143DD" w:rsidRPr="00641A33" w:rsidRDefault="000143DD" w:rsidP="000143DD">
      <w:r w:rsidRPr="00641A33">
        <w:t>As of 2</w:t>
      </w:r>
      <w:r w:rsidR="00641A33" w:rsidRPr="00641A33">
        <w:t>5</w:t>
      </w:r>
      <w:r w:rsidRPr="00641A33">
        <w:t xml:space="preserve"> </w:t>
      </w:r>
      <w:r w:rsidR="00467A66" w:rsidRPr="00641A33">
        <w:t>March</w:t>
      </w:r>
      <w:r w:rsidRPr="00641A33">
        <w:t xml:space="preserve"> 202</w:t>
      </w:r>
      <w:r w:rsidR="00467A66" w:rsidRPr="00641A33">
        <w:t>2</w:t>
      </w:r>
      <w:r w:rsidRPr="00641A33">
        <w:t xml:space="preserve">, there have been more than </w:t>
      </w:r>
      <w:r w:rsidR="00467A66" w:rsidRPr="00641A33">
        <w:t>475</w:t>
      </w:r>
      <w:r w:rsidRPr="00641A33">
        <w:t xml:space="preserve"> million confirmed cases of COVID</w:t>
      </w:r>
      <w:r w:rsidR="0071146A">
        <w:noBreakHyphen/>
      </w:r>
      <w:r w:rsidRPr="00641A33">
        <w:t xml:space="preserve">19, and over </w:t>
      </w:r>
      <w:r w:rsidR="00467A66" w:rsidRPr="00641A33">
        <w:t>6</w:t>
      </w:r>
      <w:r w:rsidRPr="00641A33">
        <w:t xml:space="preserve"> million deaths globally since the pandemic began.</w:t>
      </w:r>
      <w:r w:rsidRPr="00641A33">
        <w:rPr>
          <w:rStyle w:val="FootnoteReference"/>
        </w:rPr>
        <w:footnoteReference w:id="7"/>
      </w:r>
    </w:p>
    <w:p w14:paraId="095D8029" w14:textId="079C7176" w:rsidR="0012137B" w:rsidRPr="0012137B" w:rsidRDefault="000143DD" w:rsidP="000143DD">
      <w:pPr>
        <w:rPr>
          <w:lang w:eastAsia="ja-JP"/>
        </w:rPr>
      </w:pPr>
      <w:r w:rsidRPr="0012137B">
        <w:rPr>
          <w:lang w:eastAsia="ja-JP"/>
        </w:rPr>
        <w:t>Immunisation with a safe and effective COVID-19 vaccine is a critical component of the public health strategy to reduce COVID-19-related illnesses, hospitalisations, and deaths, and to help restore societal functioning.</w:t>
      </w:r>
    </w:p>
    <w:p w14:paraId="6900EEFA" w14:textId="6705FA93" w:rsidR="000143DD" w:rsidRPr="00B17C93" w:rsidRDefault="000143DD" w:rsidP="000143DD">
      <w:proofErr w:type="spellStart"/>
      <w:r w:rsidRPr="0012137B">
        <w:t>Comirnaty</w:t>
      </w:r>
      <w:proofErr w:type="spellEnd"/>
      <w:r w:rsidRPr="0012137B">
        <w:t xml:space="preserve"> comprises a nucleoside-modified messenger </w:t>
      </w:r>
      <w:r w:rsidR="0071146A">
        <w:t>ribonucleic acid</w:t>
      </w:r>
      <w:r w:rsidRPr="0012137B">
        <w:t xml:space="preserve"> (mRNA) encoding the viral spike </w:t>
      </w:r>
      <w:r w:rsidRPr="00B17C93">
        <w:t>glycoprotein (S) of SARS-CoV-2.</w:t>
      </w:r>
      <w:r w:rsidRPr="00B17C93">
        <w:rPr>
          <w:rStyle w:val="FootnoteReference"/>
        </w:rPr>
        <w:footnoteReference w:id="8"/>
      </w:r>
      <w:r w:rsidRPr="00B17C93">
        <w:t xml:space="preserve"> The </w:t>
      </w:r>
      <w:r w:rsidR="0071146A">
        <w:t>modified m</w:t>
      </w:r>
      <w:r w:rsidRPr="00B17C93">
        <w:t>RNA is encapsulated in lipid nanoparticles (LNPs), enabl</w:t>
      </w:r>
      <w:r w:rsidR="00BE7102">
        <w:t>ing</w:t>
      </w:r>
      <w:r w:rsidRPr="00B17C93">
        <w:t xml:space="preserve"> entry into host cells, expression of the S protein, and elicitation of both antibody and cellular immune responses.</w:t>
      </w:r>
      <w:r w:rsidR="00B17C93" w:rsidRPr="00B17C93">
        <w:t xml:space="preserve"> In this way, the body is trained to fight the virus, building up memory of the pathogen </w:t>
      </w:r>
      <w:proofErr w:type="gramStart"/>
      <w:r w:rsidR="00B17C93" w:rsidRPr="00B17C93">
        <w:t>so as to</w:t>
      </w:r>
      <w:proofErr w:type="gramEnd"/>
      <w:r w:rsidR="00B17C93" w:rsidRPr="00B17C93">
        <w:t xml:space="preserve"> rapidly fight it if exposed </w:t>
      </w:r>
      <w:r w:rsidR="00BE7102">
        <w:t xml:space="preserve">to the virus </w:t>
      </w:r>
      <w:r w:rsidR="003B229F">
        <w:t xml:space="preserve">again </w:t>
      </w:r>
      <w:r w:rsidR="00B17C93" w:rsidRPr="00B17C93">
        <w:t>in the future.</w:t>
      </w:r>
    </w:p>
    <w:p w14:paraId="0DA62738" w14:textId="77777777" w:rsidR="008E7846" w:rsidRPr="003F31A2" w:rsidRDefault="00386150" w:rsidP="008E7846">
      <w:pPr>
        <w:pStyle w:val="Heading3"/>
      </w:pPr>
      <w:bookmarkStart w:id="17" w:name="_Toc314842485"/>
      <w:bookmarkStart w:id="18" w:name="_Toc247691504"/>
      <w:bookmarkStart w:id="19" w:name="_Toc100655255"/>
      <w:r>
        <w:lastRenderedPageBreak/>
        <w:t>Regulatory s</w:t>
      </w:r>
      <w:r w:rsidR="008E7846">
        <w:t>tatus</w:t>
      </w:r>
      <w:bookmarkEnd w:id="17"/>
      <w:bookmarkEnd w:id="18"/>
      <w:bookmarkEnd w:id="19"/>
    </w:p>
    <w:p w14:paraId="7B86DB0A" w14:textId="2BB5160E" w:rsidR="009942C0" w:rsidRDefault="009942C0" w:rsidP="009942C0">
      <w:bookmarkStart w:id="20" w:name="_Toc247691505"/>
      <w:bookmarkStart w:id="21" w:name="_Toc314842486"/>
      <w:r w:rsidRPr="0012137B">
        <w:t>The provisional determination for the Pfizer-BioNTech COVID-19 vaccine</w:t>
      </w:r>
      <w:r>
        <w:t xml:space="preserve"> </w:t>
      </w:r>
      <w:proofErr w:type="spellStart"/>
      <w:r>
        <w:t>Comirnaty</w:t>
      </w:r>
      <w:proofErr w:type="spellEnd"/>
      <w:r w:rsidRPr="0012137B">
        <w:t xml:space="preserve"> was granted by </w:t>
      </w:r>
      <w:r>
        <w:t xml:space="preserve">the </w:t>
      </w:r>
      <w:r w:rsidRPr="0012137B">
        <w:t xml:space="preserve">TGA on 14 October 2020. </w:t>
      </w:r>
    </w:p>
    <w:p w14:paraId="04BC5A93" w14:textId="592822BE" w:rsidR="00F6514D" w:rsidRPr="00F6514D" w:rsidRDefault="00006FAB" w:rsidP="00F6514D">
      <w:pPr>
        <w:rPr>
          <w:lang w:val="en-US"/>
        </w:rPr>
      </w:pPr>
      <w:r w:rsidRPr="00F6514D">
        <w:t>The product received initial registration on the Australian Register of Therapeutic Goods (ARTG) o</w:t>
      </w:r>
      <w:r w:rsidR="00F6514D" w:rsidRPr="00F6514D">
        <w:t xml:space="preserve">n </w:t>
      </w:r>
      <w:r w:rsidR="00F6514D" w:rsidRPr="00F6514D">
        <w:rPr>
          <w:lang w:val="en-US"/>
        </w:rPr>
        <w:t>25 January 2021 (AUST R 346290) with provisional registration</w:t>
      </w:r>
      <w:r w:rsidR="009942C0">
        <w:rPr>
          <w:lang w:val="en-US"/>
        </w:rPr>
        <w:t xml:space="preserve"> for the following indication:</w:t>
      </w:r>
      <w:r w:rsidR="00F6514D" w:rsidRPr="00F6514D">
        <w:rPr>
          <w:lang w:val="en-US"/>
        </w:rPr>
        <w:t xml:space="preserve"> </w:t>
      </w:r>
    </w:p>
    <w:p w14:paraId="72C2FD4D" w14:textId="6B6AC67F" w:rsidR="00F6514D" w:rsidRPr="00F6514D" w:rsidRDefault="00F6514D" w:rsidP="00F6514D">
      <w:pPr>
        <w:ind w:left="720"/>
        <w:rPr>
          <w:i/>
          <w:iCs/>
        </w:rPr>
      </w:pPr>
      <w:proofErr w:type="spellStart"/>
      <w:r w:rsidRPr="00F6514D">
        <w:rPr>
          <w:i/>
          <w:iCs/>
          <w:lang w:val="en-US"/>
        </w:rPr>
        <w:t>Comirnaty</w:t>
      </w:r>
      <w:proofErr w:type="spellEnd"/>
      <w:r w:rsidRPr="00F6514D">
        <w:rPr>
          <w:i/>
          <w:iCs/>
          <w:lang w:val="en-US"/>
        </w:rPr>
        <w:t xml:space="preserve"> is indicated for active </w:t>
      </w:r>
      <w:proofErr w:type="spellStart"/>
      <w:r w:rsidRPr="00F6514D">
        <w:rPr>
          <w:i/>
          <w:iCs/>
          <w:lang w:val="en-US"/>
        </w:rPr>
        <w:t>immunisation</w:t>
      </w:r>
      <w:proofErr w:type="spellEnd"/>
      <w:r w:rsidRPr="00F6514D">
        <w:rPr>
          <w:i/>
          <w:iCs/>
          <w:lang w:val="en-US"/>
        </w:rPr>
        <w:t xml:space="preserve"> to prevent COVID-19 caused by SARS</w:t>
      </w:r>
      <w:r w:rsidR="00F060D3">
        <w:rPr>
          <w:i/>
          <w:iCs/>
          <w:lang w:val="en-US"/>
        </w:rPr>
        <w:noBreakHyphen/>
      </w:r>
      <w:r w:rsidRPr="00F6514D">
        <w:rPr>
          <w:i/>
          <w:iCs/>
          <w:lang w:val="en-US"/>
        </w:rPr>
        <w:t>CoV-2 virus, in individuals 5 years of age and older.</w:t>
      </w:r>
    </w:p>
    <w:p w14:paraId="66DF5F10" w14:textId="77777777" w:rsidR="009942C0" w:rsidRDefault="009942C0" w:rsidP="00F6514D">
      <w:r w:rsidRPr="0012137B">
        <w:t>The provisional approval pathway allows sponsors to apply for provisional registration on the ARTG.</w:t>
      </w:r>
      <w:bookmarkStart w:id="22" w:name="_Ref61929068"/>
      <w:r w:rsidRPr="0012137B">
        <w:rPr>
          <w:rStyle w:val="FootnoteReference"/>
        </w:rPr>
        <w:footnoteReference w:id="9"/>
      </w:r>
      <w:bookmarkEnd w:id="22"/>
    </w:p>
    <w:p w14:paraId="1122180D" w14:textId="7227AA93" w:rsidR="00F6514D" w:rsidRDefault="00F6514D" w:rsidP="00F6514D">
      <w:pPr>
        <w:rPr>
          <w:lang w:val="en-US"/>
        </w:rPr>
      </w:pPr>
      <w:r>
        <w:rPr>
          <w:lang w:val="en-US"/>
        </w:rPr>
        <w:t>On 26 October 2021 a ‘booster’ dose (a third dose of vaccine) administered approximately 6 months following the primary series (the first 2 doses) to individuals 18 years of age and older was approved by TGA.</w:t>
      </w:r>
    </w:p>
    <w:p w14:paraId="3D7C6C6F" w14:textId="6C1A59BD" w:rsidR="00F6514D" w:rsidRDefault="00F6514D" w:rsidP="00F6514D">
      <w:pPr>
        <w:rPr>
          <w:lang w:val="en-US"/>
        </w:rPr>
      </w:pPr>
      <w:r>
        <w:rPr>
          <w:lang w:val="en-US"/>
        </w:rPr>
        <w:t xml:space="preserve">In January 2022 a booster dose of </w:t>
      </w:r>
      <w:proofErr w:type="spellStart"/>
      <w:r w:rsidR="009942C0">
        <w:rPr>
          <w:lang w:val="en-US"/>
        </w:rPr>
        <w:t>Comirnaty</w:t>
      </w:r>
      <w:proofErr w:type="spellEnd"/>
      <w:r w:rsidR="009942C0">
        <w:rPr>
          <w:lang w:val="en-US"/>
        </w:rPr>
        <w:t xml:space="preserve"> </w:t>
      </w:r>
      <w:r>
        <w:rPr>
          <w:lang w:val="en-US"/>
        </w:rPr>
        <w:t>was approved in individuals 16 years of age and older.</w:t>
      </w:r>
    </w:p>
    <w:p w14:paraId="6958A2BB" w14:textId="77777777" w:rsidR="00F6514D" w:rsidRDefault="00F6514D" w:rsidP="00F6514D">
      <w:pPr>
        <w:pStyle w:val="Heading4"/>
        <w:rPr>
          <w:lang w:val="en-US"/>
        </w:rPr>
      </w:pPr>
      <w:r>
        <w:rPr>
          <w:lang w:val="en-US"/>
        </w:rPr>
        <w:t>International regulatory status</w:t>
      </w:r>
    </w:p>
    <w:p w14:paraId="64ACBEF6" w14:textId="3EC88C41" w:rsidR="00DE5B19" w:rsidRDefault="00DE5B19" w:rsidP="00DE5B19">
      <w:r>
        <w:t xml:space="preserve">At the time the TGA considered this application, a similar application had been approved </w:t>
      </w:r>
      <w:r w:rsidR="009942C0">
        <w:t xml:space="preserve">in the </w:t>
      </w:r>
      <w:r w:rsidR="00F060D3">
        <w:t>United States of America (</w:t>
      </w:r>
      <w:r w:rsidR="009942C0">
        <w:t>USA</w:t>
      </w:r>
      <w:r w:rsidR="00F060D3">
        <w:t>)</w:t>
      </w:r>
      <w:r>
        <w:t xml:space="preserve"> </w:t>
      </w:r>
      <w:r w:rsidR="009942C0">
        <w:t>and in the European Union (EU)</w:t>
      </w:r>
      <w:r>
        <w:t>.</w:t>
      </w:r>
    </w:p>
    <w:p w14:paraId="0867D9EC" w14:textId="18E25C88" w:rsidR="00F6514D" w:rsidRDefault="00F6514D" w:rsidP="00F6514D">
      <w:pPr>
        <w:rPr>
          <w:lang w:val="en-US"/>
        </w:rPr>
      </w:pPr>
      <w:r>
        <w:rPr>
          <w:lang w:val="en-US"/>
        </w:rPr>
        <w:t xml:space="preserve">On 03 January 2022, the </w:t>
      </w:r>
      <w:r w:rsidR="00F060D3">
        <w:rPr>
          <w:lang w:val="en-US"/>
        </w:rPr>
        <w:t>United States (</w:t>
      </w:r>
      <w:r>
        <w:rPr>
          <w:lang w:val="en-US"/>
        </w:rPr>
        <w:t>US</w:t>
      </w:r>
      <w:r w:rsidR="00F060D3">
        <w:rPr>
          <w:lang w:val="en-US"/>
        </w:rPr>
        <w:t>) Food and Drug Administration</w:t>
      </w:r>
      <w:r>
        <w:rPr>
          <w:lang w:val="en-US"/>
        </w:rPr>
        <w:t xml:space="preserve"> </w:t>
      </w:r>
      <w:r w:rsidR="00F060D3">
        <w:rPr>
          <w:lang w:val="en-US"/>
        </w:rPr>
        <w:t>(</w:t>
      </w:r>
      <w:r>
        <w:rPr>
          <w:lang w:val="en-US"/>
        </w:rPr>
        <w:t>FDA</w:t>
      </w:r>
      <w:r w:rsidR="00F060D3">
        <w:rPr>
          <w:lang w:val="en-US"/>
        </w:rPr>
        <w:t>)</w:t>
      </w:r>
      <w:r>
        <w:rPr>
          <w:lang w:val="en-US"/>
        </w:rPr>
        <w:t xml:space="preserve"> extended the Emergency Use Authorization </w:t>
      </w:r>
      <w:r w:rsidR="00D9276E">
        <w:rPr>
          <w:lang w:val="en-US"/>
        </w:rPr>
        <w:t xml:space="preserve">(EUA) </w:t>
      </w:r>
      <w:r>
        <w:rPr>
          <w:lang w:val="en-US"/>
        </w:rPr>
        <w:t xml:space="preserve">for </w:t>
      </w:r>
      <w:r w:rsidR="00F060D3">
        <w:rPr>
          <w:lang w:val="en-US"/>
        </w:rPr>
        <w:t xml:space="preserve">the </w:t>
      </w:r>
      <w:r>
        <w:rPr>
          <w:lang w:val="en-US"/>
        </w:rPr>
        <w:t xml:space="preserve">Pfizer BioNTech COVID-19 </w:t>
      </w:r>
      <w:r w:rsidR="00F060D3">
        <w:rPr>
          <w:lang w:val="en-US"/>
        </w:rPr>
        <w:t>v</w:t>
      </w:r>
      <w:r>
        <w:rPr>
          <w:lang w:val="en-US"/>
        </w:rPr>
        <w:t xml:space="preserve">accine </w:t>
      </w:r>
      <w:r w:rsidR="00F060D3">
        <w:rPr>
          <w:lang w:val="en-US"/>
        </w:rPr>
        <w:t>(</w:t>
      </w:r>
      <w:proofErr w:type="spellStart"/>
      <w:r w:rsidR="00F060D3">
        <w:rPr>
          <w:lang w:val="en-US"/>
        </w:rPr>
        <w:t>Comirnaty</w:t>
      </w:r>
      <w:proofErr w:type="spellEnd"/>
      <w:r w:rsidR="00F060D3">
        <w:rPr>
          <w:lang w:val="en-US"/>
        </w:rPr>
        <w:t xml:space="preserve">) </w:t>
      </w:r>
      <w:r>
        <w:rPr>
          <w:lang w:val="en-US"/>
        </w:rPr>
        <w:t>allow</w:t>
      </w:r>
      <w:r w:rsidR="00F060D3">
        <w:rPr>
          <w:lang w:val="en-US"/>
        </w:rPr>
        <w:t>ing</w:t>
      </w:r>
      <w:r>
        <w:rPr>
          <w:lang w:val="en-US"/>
        </w:rPr>
        <w:t xml:space="preserve"> administration of a single booster dose to individuals 12 through 15 years of age who have completed a primary series with </w:t>
      </w:r>
      <w:r w:rsidR="00F060D3">
        <w:rPr>
          <w:lang w:val="en-US"/>
        </w:rPr>
        <w:t xml:space="preserve">the </w:t>
      </w:r>
      <w:r>
        <w:rPr>
          <w:lang w:val="en-US"/>
        </w:rPr>
        <w:t>Pfizer-BioNTech COVID-19 vaccine. The FDA review was based on data not generated by Pfizer or BioNTech.</w:t>
      </w:r>
    </w:p>
    <w:p w14:paraId="131FDB20" w14:textId="7BC0F451" w:rsidR="00F6514D" w:rsidRDefault="00F6514D" w:rsidP="00F6514D">
      <w:pPr>
        <w:rPr>
          <w:lang w:val="en-US"/>
        </w:rPr>
      </w:pPr>
      <w:r>
        <w:rPr>
          <w:lang w:val="en-US"/>
        </w:rPr>
        <w:t xml:space="preserve">The current submission was prepared for </w:t>
      </w:r>
      <w:r w:rsidR="009942C0">
        <w:rPr>
          <w:lang w:val="en-US"/>
        </w:rPr>
        <w:t>submission to the European Medicines Agency (</w:t>
      </w:r>
      <w:r>
        <w:rPr>
          <w:lang w:val="en-US"/>
        </w:rPr>
        <w:t>EMA</w:t>
      </w:r>
      <w:r w:rsidR="009942C0">
        <w:rPr>
          <w:lang w:val="en-US"/>
        </w:rPr>
        <w:t>)</w:t>
      </w:r>
      <w:r>
        <w:rPr>
          <w:lang w:val="en-US"/>
        </w:rPr>
        <w:t xml:space="preserve"> to support lowering the age for the booster dose of </w:t>
      </w:r>
      <w:proofErr w:type="spellStart"/>
      <w:r w:rsidR="009942C0">
        <w:rPr>
          <w:lang w:val="en-US"/>
        </w:rPr>
        <w:t>Comirnaty</w:t>
      </w:r>
      <w:proofErr w:type="spellEnd"/>
      <w:r w:rsidR="009942C0">
        <w:rPr>
          <w:lang w:val="en-US"/>
        </w:rPr>
        <w:t xml:space="preserve"> </w:t>
      </w:r>
      <w:r>
        <w:rPr>
          <w:lang w:val="en-US"/>
        </w:rPr>
        <w:t>in individuals from 18 years of age</w:t>
      </w:r>
      <w:r w:rsidR="00495DF6">
        <w:rPr>
          <w:lang w:val="en-US"/>
        </w:rPr>
        <w:t>,</w:t>
      </w:r>
      <w:r>
        <w:rPr>
          <w:lang w:val="en-US"/>
        </w:rPr>
        <w:t xml:space="preserve"> to 12 years of age and older. On 24 February 2022 the EMA announced it had recommended </w:t>
      </w:r>
      <w:proofErr w:type="spellStart"/>
      <w:r>
        <w:rPr>
          <w:lang w:val="en-US"/>
        </w:rPr>
        <w:t>authorisation</w:t>
      </w:r>
      <w:proofErr w:type="spellEnd"/>
      <w:r>
        <w:rPr>
          <w:lang w:val="en-US"/>
        </w:rPr>
        <w:t xml:space="preserve"> of booster doses of </w:t>
      </w:r>
      <w:proofErr w:type="spellStart"/>
      <w:r>
        <w:rPr>
          <w:lang w:val="en-US"/>
        </w:rPr>
        <w:t>Comirnaty</w:t>
      </w:r>
      <w:proofErr w:type="spellEnd"/>
      <w:r>
        <w:rPr>
          <w:lang w:val="en-US"/>
        </w:rPr>
        <w:t xml:space="preserve"> from 12 years of age.</w:t>
      </w:r>
    </w:p>
    <w:p w14:paraId="57343151" w14:textId="10F43924" w:rsidR="00C105CF" w:rsidRPr="00C105CF" w:rsidRDefault="00C105CF" w:rsidP="000168B4">
      <w:r>
        <w:fldChar w:fldCharType="begin"/>
      </w:r>
      <w:r>
        <w:instrText xml:space="preserve"> REF _Ref97628173 \h </w:instrText>
      </w:r>
      <w:r>
        <w:fldChar w:fldCharType="separate"/>
      </w:r>
      <w:r w:rsidR="009D38C4">
        <w:t xml:space="preserve">Table </w:t>
      </w:r>
      <w:r w:rsidR="009D38C4">
        <w:rPr>
          <w:noProof/>
        </w:rPr>
        <w:t>1</w:t>
      </w:r>
      <w:r>
        <w:fldChar w:fldCharType="end"/>
      </w:r>
      <w:r>
        <w:t xml:space="preserve">, </w:t>
      </w:r>
      <w:r w:rsidRPr="00C105CF">
        <w:t xml:space="preserve">shown below, summarises these applications and provides the </w:t>
      </w:r>
      <w:r w:rsidR="009942C0">
        <w:t xml:space="preserve">approved </w:t>
      </w:r>
      <w:r w:rsidRPr="00C105CF">
        <w:t xml:space="preserve">indications </w:t>
      </w:r>
      <w:proofErr w:type="gramStart"/>
      <w:r w:rsidRPr="00C105CF">
        <w:t>where</w:t>
      </w:r>
      <w:proofErr w:type="gramEnd"/>
      <w:r w:rsidRPr="00C105CF">
        <w:t xml:space="preserve"> approved</w:t>
      </w:r>
      <w:r w:rsidR="00BE7102">
        <w:t xml:space="preserve"> by other regulatory agencies</w:t>
      </w:r>
      <w:r w:rsidRPr="00C105CF">
        <w:t>.</w:t>
      </w:r>
    </w:p>
    <w:p w14:paraId="3C5882A4" w14:textId="7292EBB5" w:rsidR="00F0146F" w:rsidRPr="00F0146F" w:rsidRDefault="00F0146F" w:rsidP="00311A32">
      <w:pPr>
        <w:pStyle w:val="TableTitle"/>
      </w:pPr>
      <w:bookmarkStart w:id="23" w:name="_Ref97628173"/>
      <w:bookmarkStart w:id="24" w:name="_Ref97628153"/>
      <w:r>
        <w:t xml:space="preserve">Table </w:t>
      </w:r>
      <w:r w:rsidR="002C6FB8">
        <w:fldChar w:fldCharType="begin"/>
      </w:r>
      <w:r w:rsidR="002C6FB8">
        <w:instrText xml:space="preserve"> SEQ Table \* ARABIC </w:instrText>
      </w:r>
      <w:r w:rsidR="002C6FB8">
        <w:fldChar w:fldCharType="separate"/>
      </w:r>
      <w:r w:rsidR="009D38C4">
        <w:rPr>
          <w:noProof/>
        </w:rPr>
        <w:t>1</w:t>
      </w:r>
      <w:r w:rsidR="002C6FB8">
        <w:rPr>
          <w:noProof/>
        </w:rPr>
        <w:fldChar w:fldCharType="end"/>
      </w:r>
      <w:bookmarkEnd w:id="23"/>
      <w:r>
        <w:t>: International regulatory status</w:t>
      </w:r>
      <w:bookmarkEnd w:id="24"/>
    </w:p>
    <w:tbl>
      <w:tblPr>
        <w:tblStyle w:val="TableTGAblue"/>
        <w:tblW w:w="8784" w:type="dxa"/>
        <w:tblLayout w:type="fixed"/>
        <w:tblLook w:val="04A0" w:firstRow="1" w:lastRow="0" w:firstColumn="1" w:lastColumn="0" w:noHBand="0" w:noVBand="1"/>
      </w:tblPr>
      <w:tblGrid>
        <w:gridCol w:w="1838"/>
        <w:gridCol w:w="4394"/>
        <w:gridCol w:w="2552"/>
      </w:tblGrid>
      <w:tr w:rsidR="00D9276E" w14:paraId="1241FD59" w14:textId="77777777" w:rsidTr="00D9276E">
        <w:trPr>
          <w:cnfStyle w:val="100000000000" w:firstRow="1" w:lastRow="0" w:firstColumn="0" w:lastColumn="0" w:oddVBand="0" w:evenVBand="0" w:oddHBand="0" w:evenHBand="0" w:firstRowFirstColumn="0" w:firstRowLastColumn="0" w:lastRowFirstColumn="0" w:lastRowLastColumn="0"/>
        </w:trPr>
        <w:tc>
          <w:tcPr>
            <w:tcW w:w="1838" w:type="dxa"/>
            <w:tcBorders>
              <w:top w:val="single" w:sz="4" w:space="0" w:color="auto"/>
              <w:left w:val="single" w:sz="4" w:space="0" w:color="auto"/>
              <w:bottom w:val="single" w:sz="4" w:space="0" w:color="auto"/>
              <w:right w:val="single" w:sz="4" w:space="0" w:color="auto"/>
            </w:tcBorders>
          </w:tcPr>
          <w:p w14:paraId="2A989D87" w14:textId="77777777" w:rsidR="00D9276E" w:rsidRPr="00B17C93" w:rsidRDefault="00D9276E" w:rsidP="002341E9">
            <w:pPr>
              <w:ind w:left="72" w:right="72"/>
              <w:rPr>
                <w:sz w:val="20"/>
                <w:szCs w:val="20"/>
              </w:rPr>
            </w:pPr>
            <w:r w:rsidRPr="00B17C93">
              <w:rPr>
                <w:sz w:val="20"/>
                <w:szCs w:val="20"/>
              </w:rPr>
              <w:t>Region</w:t>
            </w:r>
          </w:p>
        </w:tc>
        <w:tc>
          <w:tcPr>
            <w:tcW w:w="4394" w:type="dxa"/>
            <w:tcBorders>
              <w:top w:val="single" w:sz="4" w:space="0" w:color="auto"/>
              <w:left w:val="single" w:sz="4" w:space="0" w:color="auto"/>
              <w:bottom w:val="single" w:sz="4" w:space="0" w:color="auto"/>
              <w:right w:val="single" w:sz="4" w:space="0" w:color="auto"/>
            </w:tcBorders>
          </w:tcPr>
          <w:p w14:paraId="3BE0169D" w14:textId="49EA11F5" w:rsidR="00D9276E" w:rsidRPr="00B17C93" w:rsidRDefault="00D9276E" w:rsidP="002341E9">
            <w:pPr>
              <w:ind w:left="72" w:right="72"/>
              <w:rPr>
                <w:sz w:val="20"/>
                <w:szCs w:val="20"/>
              </w:rPr>
            </w:pPr>
            <w:r w:rsidRPr="00B17C93">
              <w:rPr>
                <w:sz w:val="20"/>
                <w:szCs w:val="20"/>
              </w:rPr>
              <w:t>Submission</w:t>
            </w:r>
          </w:p>
        </w:tc>
        <w:tc>
          <w:tcPr>
            <w:tcW w:w="2552" w:type="dxa"/>
            <w:tcBorders>
              <w:top w:val="single" w:sz="4" w:space="0" w:color="auto"/>
              <w:left w:val="single" w:sz="4" w:space="0" w:color="auto"/>
              <w:bottom w:val="single" w:sz="4" w:space="0" w:color="auto"/>
              <w:right w:val="single" w:sz="4" w:space="0" w:color="auto"/>
            </w:tcBorders>
          </w:tcPr>
          <w:p w14:paraId="1ED06552" w14:textId="77777777" w:rsidR="00D9276E" w:rsidRPr="00B17C93" w:rsidRDefault="00D9276E" w:rsidP="002341E9">
            <w:pPr>
              <w:ind w:left="72" w:right="72"/>
              <w:rPr>
                <w:sz w:val="20"/>
                <w:szCs w:val="20"/>
              </w:rPr>
            </w:pPr>
            <w:r w:rsidRPr="00B17C93">
              <w:rPr>
                <w:sz w:val="20"/>
                <w:szCs w:val="20"/>
              </w:rPr>
              <w:t>Status</w:t>
            </w:r>
          </w:p>
        </w:tc>
      </w:tr>
      <w:tr w:rsidR="00D9276E" w14:paraId="35932D2B" w14:textId="77777777" w:rsidTr="00D9276E">
        <w:tc>
          <w:tcPr>
            <w:tcW w:w="1838" w:type="dxa"/>
            <w:vMerge w:val="restart"/>
            <w:tcBorders>
              <w:top w:val="single" w:sz="4" w:space="0" w:color="auto"/>
            </w:tcBorders>
          </w:tcPr>
          <w:p w14:paraId="08A1076B" w14:textId="595D6835" w:rsidR="00D9276E" w:rsidRPr="00E71EE7" w:rsidRDefault="00D9276E" w:rsidP="002341E9">
            <w:pPr>
              <w:ind w:left="72" w:right="72"/>
              <w:rPr>
                <w:sz w:val="20"/>
                <w:szCs w:val="20"/>
              </w:rPr>
            </w:pPr>
            <w:r w:rsidRPr="00E71EE7">
              <w:rPr>
                <w:sz w:val="20"/>
                <w:szCs w:val="20"/>
              </w:rPr>
              <w:t>USA</w:t>
            </w:r>
          </w:p>
        </w:tc>
        <w:tc>
          <w:tcPr>
            <w:tcW w:w="4394" w:type="dxa"/>
            <w:tcBorders>
              <w:top w:val="single" w:sz="4" w:space="0" w:color="auto"/>
            </w:tcBorders>
          </w:tcPr>
          <w:p w14:paraId="24A63D4F" w14:textId="3F048FDE" w:rsidR="00D9276E" w:rsidRPr="00B17C93" w:rsidRDefault="00D9276E" w:rsidP="002341E9">
            <w:pPr>
              <w:ind w:left="72" w:right="72"/>
              <w:rPr>
                <w:sz w:val="20"/>
                <w:szCs w:val="20"/>
              </w:rPr>
            </w:pPr>
            <w:r w:rsidRPr="00B17C93">
              <w:rPr>
                <w:sz w:val="20"/>
                <w:szCs w:val="20"/>
              </w:rPr>
              <w:t>Lower the age limit for the booster dose to 12</w:t>
            </w:r>
            <w:r w:rsidR="00577CC9">
              <w:rPr>
                <w:sz w:val="20"/>
                <w:szCs w:val="20"/>
              </w:rPr>
              <w:t> </w:t>
            </w:r>
            <w:r w:rsidRPr="00B17C93">
              <w:rPr>
                <w:sz w:val="20"/>
                <w:szCs w:val="20"/>
              </w:rPr>
              <w:t>years (based on real world evidence collected by the Ministry of Health of Israel)</w:t>
            </w:r>
          </w:p>
        </w:tc>
        <w:tc>
          <w:tcPr>
            <w:tcW w:w="2552" w:type="dxa"/>
            <w:tcBorders>
              <w:top w:val="single" w:sz="4" w:space="0" w:color="auto"/>
            </w:tcBorders>
          </w:tcPr>
          <w:p w14:paraId="188AC456" w14:textId="7BD8F890" w:rsidR="00D9276E" w:rsidRPr="00B17C93" w:rsidRDefault="00D9276E" w:rsidP="002341E9">
            <w:pPr>
              <w:ind w:left="72" w:right="72"/>
              <w:rPr>
                <w:sz w:val="20"/>
                <w:szCs w:val="20"/>
              </w:rPr>
            </w:pPr>
            <w:r w:rsidRPr="00B17C93">
              <w:rPr>
                <w:sz w:val="20"/>
                <w:szCs w:val="20"/>
              </w:rPr>
              <w:t>Approv</w:t>
            </w:r>
            <w:r w:rsidR="00F060D3">
              <w:rPr>
                <w:sz w:val="20"/>
                <w:szCs w:val="20"/>
              </w:rPr>
              <w:t xml:space="preserve">ed: </w:t>
            </w:r>
            <w:r w:rsidRPr="00B17C93">
              <w:rPr>
                <w:sz w:val="20"/>
                <w:szCs w:val="20"/>
              </w:rPr>
              <w:t>3</w:t>
            </w:r>
            <w:r w:rsidR="00F060D3">
              <w:rPr>
                <w:sz w:val="20"/>
                <w:szCs w:val="20"/>
              </w:rPr>
              <w:t> </w:t>
            </w:r>
            <w:r w:rsidRPr="00B17C93">
              <w:rPr>
                <w:sz w:val="20"/>
                <w:szCs w:val="20"/>
              </w:rPr>
              <w:t>January</w:t>
            </w:r>
            <w:r w:rsidR="00F060D3">
              <w:rPr>
                <w:sz w:val="20"/>
                <w:szCs w:val="20"/>
              </w:rPr>
              <w:t> </w:t>
            </w:r>
            <w:r w:rsidRPr="00B17C93">
              <w:rPr>
                <w:sz w:val="20"/>
                <w:szCs w:val="20"/>
              </w:rPr>
              <w:t>2022 (EUA)</w:t>
            </w:r>
          </w:p>
        </w:tc>
      </w:tr>
      <w:tr w:rsidR="00D9276E" w14:paraId="1B21727E" w14:textId="77777777" w:rsidTr="00D9276E">
        <w:tc>
          <w:tcPr>
            <w:tcW w:w="1838" w:type="dxa"/>
            <w:vMerge/>
          </w:tcPr>
          <w:p w14:paraId="6A38A1E9" w14:textId="77777777" w:rsidR="00D9276E" w:rsidRPr="00E71EE7" w:rsidRDefault="00D9276E" w:rsidP="002341E9">
            <w:pPr>
              <w:ind w:left="72" w:right="72"/>
              <w:rPr>
                <w:sz w:val="20"/>
                <w:szCs w:val="20"/>
              </w:rPr>
            </w:pPr>
          </w:p>
        </w:tc>
        <w:tc>
          <w:tcPr>
            <w:tcW w:w="4394" w:type="dxa"/>
          </w:tcPr>
          <w:p w14:paraId="19A858F0" w14:textId="0EAD8399" w:rsidR="00D9276E" w:rsidRPr="00B17C93" w:rsidRDefault="00D9276E" w:rsidP="002341E9">
            <w:pPr>
              <w:ind w:left="72" w:right="72"/>
              <w:rPr>
                <w:sz w:val="20"/>
                <w:szCs w:val="20"/>
              </w:rPr>
            </w:pPr>
            <w:r w:rsidRPr="00B17C93">
              <w:rPr>
                <w:sz w:val="20"/>
                <w:szCs w:val="20"/>
              </w:rPr>
              <w:t>Addition of 6 months post-Dose 2 follow-up safety and efficacy information for adolescents 12</w:t>
            </w:r>
            <w:r w:rsidR="00F060D3">
              <w:rPr>
                <w:sz w:val="20"/>
                <w:szCs w:val="20"/>
              </w:rPr>
              <w:t xml:space="preserve"> to </w:t>
            </w:r>
            <w:r w:rsidRPr="00B17C93">
              <w:rPr>
                <w:sz w:val="20"/>
                <w:szCs w:val="20"/>
              </w:rPr>
              <w:t xml:space="preserve">15 years of age (based on updated interim results of </w:t>
            </w:r>
            <w:r w:rsidR="00F060D3">
              <w:rPr>
                <w:sz w:val="20"/>
                <w:szCs w:val="20"/>
              </w:rPr>
              <w:t>S</w:t>
            </w:r>
            <w:r w:rsidRPr="00B17C93">
              <w:rPr>
                <w:sz w:val="20"/>
                <w:szCs w:val="20"/>
              </w:rPr>
              <w:t>tudy C4591001)</w:t>
            </w:r>
          </w:p>
        </w:tc>
        <w:tc>
          <w:tcPr>
            <w:tcW w:w="2552" w:type="dxa"/>
          </w:tcPr>
          <w:p w14:paraId="6A68BB3D" w14:textId="77777777" w:rsidR="00D9276E" w:rsidRPr="00B17C93" w:rsidRDefault="00D9276E" w:rsidP="002341E9">
            <w:pPr>
              <w:ind w:left="72" w:right="72"/>
              <w:rPr>
                <w:sz w:val="20"/>
                <w:szCs w:val="20"/>
              </w:rPr>
            </w:pPr>
            <w:r w:rsidRPr="00B17C93">
              <w:rPr>
                <w:sz w:val="20"/>
                <w:szCs w:val="20"/>
              </w:rPr>
              <w:t>Under consideration</w:t>
            </w:r>
          </w:p>
        </w:tc>
      </w:tr>
      <w:tr w:rsidR="00D9276E" w14:paraId="1DAF55C9" w14:textId="77777777" w:rsidTr="00D9276E">
        <w:tc>
          <w:tcPr>
            <w:tcW w:w="1838" w:type="dxa"/>
            <w:vMerge w:val="restart"/>
          </w:tcPr>
          <w:p w14:paraId="1F7B4FC9" w14:textId="77777777" w:rsidR="00D9276E" w:rsidRPr="00E71EE7" w:rsidRDefault="00D9276E" w:rsidP="002341E9">
            <w:pPr>
              <w:ind w:left="72" w:right="72"/>
              <w:rPr>
                <w:sz w:val="20"/>
                <w:szCs w:val="20"/>
              </w:rPr>
            </w:pPr>
            <w:r w:rsidRPr="00E71EE7">
              <w:rPr>
                <w:sz w:val="20"/>
                <w:szCs w:val="20"/>
              </w:rPr>
              <w:t>European Union</w:t>
            </w:r>
          </w:p>
          <w:p w14:paraId="4A5E80CF" w14:textId="319E3D14" w:rsidR="00D9276E" w:rsidRPr="00E71EE7" w:rsidRDefault="00D9276E" w:rsidP="002341E9">
            <w:pPr>
              <w:ind w:left="72" w:right="72"/>
              <w:rPr>
                <w:sz w:val="20"/>
                <w:szCs w:val="20"/>
              </w:rPr>
            </w:pPr>
            <w:r w:rsidRPr="00E71EE7">
              <w:rPr>
                <w:sz w:val="20"/>
                <w:szCs w:val="20"/>
              </w:rPr>
              <w:t>(centralised</w:t>
            </w:r>
            <w:r w:rsidR="00F060D3" w:rsidRPr="00E71EE7">
              <w:rPr>
                <w:sz w:val="20"/>
                <w:szCs w:val="20"/>
              </w:rPr>
              <w:t xml:space="preserve"> </w:t>
            </w:r>
            <w:r w:rsidRPr="00E71EE7">
              <w:rPr>
                <w:sz w:val="20"/>
                <w:szCs w:val="20"/>
              </w:rPr>
              <w:t>procedure)</w:t>
            </w:r>
          </w:p>
        </w:tc>
        <w:tc>
          <w:tcPr>
            <w:tcW w:w="4394" w:type="dxa"/>
          </w:tcPr>
          <w:p w14:paraId="26805EAA" w14:textId="1E9A0075" w:rsidR="00D9276E" w:rsidRPr="00B17C93" w:rsidRDefault="00D9276E" w:rsidP="002341E9">
            <w:pPr>
              <w:ind w:left="72" w:right="72"/>
              <w:rPr>
                <w:sz w:val="20"/>
                <w:szCs w:val="20"/>
              </w:rPr>
            </w:pPr>
            <w:r w:rsidRPr="00B17C93">
              <w:rPr>
                <w:sz w:val="20"/>
                <w:szCs w:val="20"/>
              </w:rPr>
              <w:t>Lower the age limit for the booster dose to 12</w:t>
            </w:r>
            <w:r w:rsidR="00577CC9">
              <w:rPr>
                <w:sz w:val="20"/>
                <w:szCs w:val="20"/>
              </w:rPr>
              <w:t> </w:t>
            </w:r>
            <w:r w:rsidRPr="00B17C93">
              <w:rPr>
                <w:sz w:val="20"/>
                <w:szCs w:val="20"/>
              </w:rPr>
              <w:t>years (based on real world evidence collected by the Ministry of Health of Israel)</w:t>
            </w:r>
          </w:p>
        </w:tc>
        <w:tc>
          <w:tcPr>
            <w:tcW w:w="2552" w:type="dxa"/>
          </w:tcPr>
          <w:p w14:paraId="25BC74F4" w14:textId="0A60700F" w:rsidR="00D9276E" w:rsidRPr="00B17C93" w:rsidRDefault="00D9276E" w:rsidP="002341E9">
            <w:pPr>
              <w:ind w:left="72" w:right="72"/>
              <w:rPr>
                <w:sz w:val="20"/>
                <w:szCs w:val="20"/>
              </w:rPr>
            </w:pPr>
            <w:r w:rsidRPr="00B17C93">
              <w:rPr>
                <w:sz w:val="20"/>
                <w:szCs w:val="20"/>
              </w:rPr>
              <w:t>Approved</w:t>
            </w:r>
            <w:r w:rsidR="00F060D3">
              <w:rPr>
                <w:sz w:val="20"/>
                <w:szCs w:val="20"/>
              </w:rPr>
              <w:t>:</w:t>
            </w:r>
            <w:r w:rsidR="00F060D3">
              <w:rPr>
                <w:sz w:val="20"/>
                <w:szCs w:val="20"/>
              </w:rPr>
              <w:br/>
            </w:r>
            <w:r w:rsidRPr="00B17C93">
              <w:rPr>
                <w:sz w:val="20"/>
                <w:szCs w:val="20"/>
              </w:rPr>
              <w:t>(EMA CHMP Opinion</w:t>
            </w:r>
            <w:r w:rsidR="00F060D3">
              <w:rPr>
                <w:sz w:val="20"/>
                <w:szCs w:val="20"/>
              </w:rPr>
              <w:t>:</w:t>
            </w:r>
            <w:r w:rsidRPr="00B17C93">
              <w:rPr>
                <w:sz w:val="20"/>
                <w:szCs w:val="20"/>
              </w:rPr>
              <w:t xml:space="preserve"> 24</w:t>
            </w:r>
            <w:r w:rsidR="00577CC9">
              <w:rPr>
                <w:sz w:val="20"/>
                <w:szCs w:val="20"/>
              </w:rPr>
              <w:t> </w:t>
            </w:r>
            <w:r w:rsidRPr="00B17C93">
              <w:rPr>
                <w:sz w:val="20"/>
                <w:szCs w:val="20"/>
              </w:rPr>
              <w:t>February 2022</w:t>
            </w:r>
            <w:r w:rsidR="00F060D3">
              <w:rPr>
                <w:sz w:val="20"/>
                <w:szCs w:val="20"/>
              </w:rPr>
              <w:t xml:space="preserve">; </w:t>
            </w:r>
            <w:r w:rsidRPr="00B17C93">
              <w:rPr>
                <w:sz w:val="20"/>
                <w:szCs w:val="20"/>
              </w:rPr>
              <w:t>European Commission Decision</w:t>
            </w:r>
            <w:r w:rsidR="00F060D3">
              <w:rPr>
                <w:sz w:val="20"/>
                <w:szCs w:val="20"/>
              </w:rPr>
              <w:t>:</w:t>
            </w:r>
            <w:r w:rsidRPr="00B17C93">
              <w:rPr>
                <w:sz w:val="20"/>
                <w:szCs w:val="20"/>
              </w:rPr>
              <w:t xml:space="preserve"> 28</w:t>
            </w:r>
            <w:r w:rsidR="00F060D3">
              <w:rPr>
                <w:sz w:val="20"/>
                <w:szCs w:val="20"/>
              </w:rPr>
              <w:t> </w:t>
            </w:r>
            <w:r w:rsidRPr="00B17C93">
              <w:rPr>
                <w:sz w:val="20"/>
                <w:szCs w:val="20"/>
              </w:rPr>
              <w:t>February</w:t>
            </w:r>
            <w:r w:rsidR="00F060D3">
              <w:rPr>
                <w:sz w:val="20"/>
                <w:szCs w:val="20"/>
              </w:rPr>
              <w:t> </w:t>
            </w:r>
            <w:r w:rsidRPr="00B17C93">
              <w:rPr>
                <w:sz w:val="20"/>
                <w:szCs w:val="20"/>
              </w:rPr>
              <w:t>2022)</w:t>
            </w:r>
          </w:p>
        </w:tc>
      </w:tr>
      <w:tr w:rsidR="00D9276E" w14:paraId="65A8FAFB" w14:textId="77777777" w:rsidTr="00D9276E">
        <w:tc>
          <w:tcPr>
            <w:tcW w:w="1838" w:type="dxa"/>
            <w:vMerge/>
          </w:tcPr>
          <w:p w14:paraId="3BA0883A" w14:textId="77777777" w:rsidR="00D9276E" w:rsidRPr="00E71EE7" w:rsidRDefault="00D9276E" w:rsidP="002341E9">
            <w:pPr>
              <w:ind w:left="72" w:right="72"/>
              <w:rPr>
                <w:sz w:val="20"/>
                <w:szCs w:val="20"/>
              </w:rPr>
            </w:pPr>
          </w:p>
        </w:tc>
        <w:tc>
          <w:tcPr>
            <w:tcW w:w="4394" w:type="dxa"/>
          </w:tcPr>
          <w:p w14:paraId="1896EA4C" w14:textId="10D265AF" w:rsidR="00D9276E" w:rsidRPr="00B17C93" w:rsidRDefault="00D9276E" w:rsidP="002341E9">
            <w:pPr>
              <w:ind w:left="72" w:right="72"/>
              <w:rPr>
                <w:sz w:val="20"/>
                <w:szCs w:val="20"/>
              </w:rPr>
            </w:pPr>
            <w:r w:rsidRPr="00B17C93">
              <w:rPr>
                <w:sz w:val="20"/>
                <w:szCs w:val="20"/>
              </w:rPr>
              <w:t>Addition of 6 months post-Dose 2 follow-up safety and efficacy information for adolescents 12</w:t>
            </w:r>
            <w:r w:rsidR="00F060D3">
              <w:rPr>
                <w:sz w:val="20"/>
                <w:szCs w:val="20"/>
              </w:rPr>
              <w:t xml:space="preserve"> to </w:t>
            </w:r>
            <w:r w:rsidRPr="00B17C93">
              <w:rPr>
                <w:sz w:val="20"/>
                <w:szCs w:val="20"/>
              </w:rPr>
              <w:t xml:space="preserve">15 years of age (based on updated interim results of </w:t>
            </w:r>
            <w:r w:rsidR="00F060D3">
              <w:rPr>
                <w:sz w:val="20"/>
                <w:szCs w:val="20"/>
              </w:rPr>
              <w:t>S</w:t>
            </w:r>
            <w:r w:rsidRPr="00B17C93">
              <w:rPr>
                <w:sz w:val="20"/>
                <w:szCs w:val="20"/>
              </w:rPr>
              <w:t>tudy C4591001)</w:t>
            </w:r>
          </w:p>
        </w:tc>
        <w:tc>
          <w:tcPr>
            <w:tcW w:w="2552" w:type="dxa"/>
          </w:tcPr>
          <w:p w14:paraId="70A71530" w14:textId="75397BAD" w:rsidR="00D9276E" w:rsidRPr="00B17C93" w:rsidRDefault="00D9276E" w:rsidP="002341E9">
            <w:pPr>
              <w:ind w:left="72" w:right="72"/>
              <w:rPr>
                <w:sz w:val="20"/>
                <w:szCs w:val="20"/>
              </w:rPr>
            </w:pPr>
            <w:r w:rsidRPr="00B17C93">
              <w:rPr>
                <w:sz w:val="20"/>
                <w:szCs w:val="20"/>
              </w:rPr>
              <w:t>Approved</w:t>
            </w:r>
            <w:r w:rsidR="00F060D3">
              <w:rPr>
                <w:sz w:val="20"/>
                <w:szCs w:val="20"/>
              </w:rPr>
              <w:t>:</w:t>
            </w:r>
            <w:r w:rsidR="00F060D3">
              <w:rPr>
                <w:sz w:val="20"/>
                <w:szCs w:val="20"/>
              </w:rPr>
              <w:br/>
            </w:r>
            <w:r w:rsidRPr="00B17C93">
              <w:rPr>
                <w:sz w:val="20"/>
                <w:szCs w:val="20"/>
              </w:rPr>
              <w:t>(EMA CHMP Opinion</w:t>
            </w:r>
            <w:r w:rsidR="00F060D3">
              <w:rPr>
                <w:sz w:val="20"/>
                <w:szCs w:val="20"/>
              </w:rPr>
              <w:t>:</w:t>
            </w:r>
            <w:r w:rsidRPr="00B17C93">
              <w:rPr>
                <w:sz w:val="20"/>
                <w:szCs w:val="20"/>
              </w:rPr>
              <w:t xml:space="preserve"> 2</w:t>
            </w:r>
            <w:r w:rsidR="00577CC9">
              <w:rPr>
                <w:sz w:val="20"/>
                <w:szCs w:val="20"/>
              </w:rPr>
              <w:t>7 </w:t>
            </w:r>
            <w:r w:rsidRPr="00B17C93">
              <w:rPr>
                <w:sz w:val="20"/>
                <w:szCs w:val="20"/>
              </w:rPr>
              <w:t>January 2022</w:t>
            </w:r>
            <w:r w:rsidR="00F060D3">
              <w:rPr>
                <w:sz w:val="20"/>
                <w:szCs w:val="20"/>
              </w:rPr>
              <w:t xml:space="preserve">; </w:t>
            </w:r>
            <w:r w:rsidRPr="00B17C93">
              <w:rPr>
                <w:sz w:val="20"/>
                <w:szCs w:val="20"/>
              </w:rPr>
              <w:t>European Commission Decision</w:t>
            </w:r>
            <w:r w:rsidR="00F060D3">
              <w:rPr>
                <w:sz w:val="20"/>
                <w:szCs w:val="20"/>
              </w:rPr>
              <w:t xml:space="preserve">: </w:t>
            </w:r>
            <w:r w:rsidRPr="00B17C93">
              <w:rPr>
                <w:sz w:val="20"/>
                <w:szCs w:val="20"/>
              </w:rPr>
              <w:t>4</w:t>
            </w:r>
            <w:r w:rsidR="00F060D3">
              <w:rPr>
                <w:sz w:val="20"/>
                <w:szCs w:val="20"/>
              </w:rPr>
              <w:t> </w:t>
            </w:r>
            <w:r w:rsidRPr="00B17C93">
              <w:rPr>
                <w:sz w:val="20"/>
                <w:szCs w:val="20"/>
              </w:rPr>
              <w:t>February</w:t>
            </w:r>
            <w:r w:rsidR="00F060D3">
              <w:rPr>
                <w:sz w:val="20"/>
                <w:szCs w:val="20"/>
              </w:rPr>
              <w:t> </w:t>
            </w:r>
            <w:r w:rsidRPr="00B17C93">
              <w:rPr>
                <w:sz w:val="20"/>
                <w:szCs w:val="20"/>
              </w:rPr>
              <w:t>2022)</w:t>
            </w:r>
          </w:p>
        </w:tc>
      </w:tr>
      <w:tr w:rsidR="00D9276E" w14:paraId="5CEECA0F" w14:textId="77777777" w:rsidTr="00D9276E">
        <w:tc>
          <w:tcPr>
            <w:tcW w:w="1838" w:type="dxa"/>
            <w:vMerge w:val="restart"/>
          </w:tcPr>
          <w:p w14:paraId="0B006C07" w14:textId="745764A9" w:rsidR="00D9276E" w:rsidRPr="00E71EE7" w:rsidRDefault="00D9276E" w:rsidP="002341E9">
            <w:pPr>
              <w:ind w:left="72" w:right="72"/>
              <w:rPr>
                <w:sz w:val="20"/>
                <w:szCs w:val="20"/>
              </w:rPr>
            </w:pPr>
            <w:r w:rsidRPr="00E71EE7">
              <w:rPr>
                <w:sz w:val="20"/>
                <w:szCs w:val="20"/>
              </w:rPr>
              <w:t>New Zealand</w:t>
            </w:r>
          </w:p>
        </w:tc>
        <w:tc>
          <w:tcPr>
            <w:tcW w:w="4394" w:type="dxa"/>
          </w:tcPr>
          <w:p w14:paraId="2A3CEE15" w14:textId="394A9B00" w:rsidR="00D9276E" w:rsidRPr="00B17C93" w:rsidRDefault="00D9276E" w:rsidP="002341E9">
            <w:pPr>
              <w:ind w:left="72" w:right="72"/>
              <w:rPr>
                <w:sz w:val="20"/>
                <w:szCs w:val="20"/>
              </w:rPr>
            </w:pPr>
            <w:r w:rsidRPr="00B17C93">
              <w:rPr>
                <w:sz w:val="20"/>
                <w:szCs w:val="20"/>
              </w:rPr>
              <w:t>Lower the age limit for the booster dose to 12</w:t>
            </w:r>
            <w:r w:rsidR="00577CC9">
              <w:rPr>
                <w:sz w:val="20"/>
                <w:szCs w:val="20"/>
              </w:rPr>
              <w:t> </w:t>
            </w:r>
            <w:r w:rsidRPr="00B17C93">
              <w:rPr>
                <w:sz w:val="20"/>
                <w:szCs w:val="20"/>
              </w:rPr>
              <w:t>years (based on real world evidence collected by the Ministry of Health of Israel)</w:t>
            </w:r>
          </w:p>
        </w:tc>
        <w:tc>
          <w:tcPr>
            <w:tcW w:w="2552" w:type="dxa"/>
          </w:tcPr>
          <w:p w14:paraId="7E86758A" w14:textId="2AD21AEE" w:rsidR="00D9276E" w:rsidRPr="00B17C93" w:rsidRDefault="00BE7102" w:rsidP="002341E9">
            <w:pPr>
              <w:ind w:left="72" w:right="72"/>
              <w:rPr>
                <w:sz w:val="20"/>
                <w:szCs w:val="20"/>
              </w:rPr>
            </w:pPr>
            <w:r w:rsidRPr="00B17C93">
              <w:rPr>
                <w:sz w:val="20"/>
                <w:szCs w:val="20"/>
              </w:rPr>
              <w:t>Under regulatory</w:t>
            </w:r>
            <w:r w:rsidR="00D9276E" w:rsidRPr="00B17C93">
              <w:rPr>
                <w:sz w:val="20"/>
                <w:szCs w:val="20"/>
              </w:rPr>
              <w:t xml:space="preserve"> </w:t>
            </w:r>
            <w:r w:rsidRPr="00B17C93">
              <w:rPr>
                <w:sz w:val="20"/>
                <w:szCs w:val="20"/>
              </w:rPr>
              <w:t>authority review</w:t>
            </w:r>
          </w:p>
        </w:tc>
      </w:tr>
      <w:tr w:rsidR="00D9276E" w14:paraId="0754B77E" w14:textId="77777777" w:rsidTr="00D9276E">
        <w:tc>
          <w:tcPr>
            <w:tcW w:w="1838" w:type="dxa"/>
            <w:vMerge/>
          </w:tcPr>
          <w:p w14:paraId="5AC89140" w14:textId="77777777" w:rsidR="00D9276E" w:rsidRPr="00E71EE7" w:rsidRDefault="00D9276E" w:rsidP="002341E9">
            <w:pPr>
              <w:ind w:left="72" w:right="72"/>
              <w:rPr>
                <w:sz w:val="20"/>
                <w:szCs w:val="20"/>
              </w:rPr>
            </w:pPr>
          </w:p>
        </w:tc>
        <w:tc>
          <w:tcPr>
            <w:tcW w:w="4394" w:type="dxa"/>
          </w:tcPr>
          <w:p w14:paraId="5B7934CA" w14:textId="0D7AC17C" w:rsidR="00D9276E" w:rsidRPr="00B17C93" w:rsidRDefault="00D9276E" w:rsidP="002341E9">
            <w:pPr>
              <w:ind w:left="72" w:right="72"/>
              <w:rPr>
                <w:sz w:val="20"/>
                <w:szCs w:val="20"/>
              </w:rPr>
            </w:pPr>
            <w:r w:rsidRPr="00B17C93">
              <w:rPr>
                <w:sz w:val="20"/>
                <w:szCs w:val="20"/>
              </w:rPr>
              <w:t>Addition of 6 months post-Dose 2 follow-up safety and efficacy information for adolescents 12</w:t>
            </w:r>
            <w:r w:rsidR="00F060D3">
              <w:rPr>
                <w:sz w:val="20"/>
                <w:szCs w:val="20"/>
              </w:rPr>
              <w:t xml:space="preserve"> to </w:t>
            </w:r>
            <w:r w:rsidRPr="00B17C93">
              <w:rPr>
                <w:sz w:val="20"/>
                <w:szCs w:val="20"/>
              </w:rPr>
              <w:t xml:space="preserve">15 years of age (based on updated interim results of </w:t>
            </w:r>
            <w:r w:rsidR="00F060D3">
              <w:rPr>
                <w:sz w:val="20"/>
                <w:szCs w:val="20"/>
              </w:rPr>
              <w:t>S</w:t>
            </w:r>
            <w:r w:rsidRPr="00B17C93">
              <w:rPr>
                <w:sz w:val="20"/>
                <w:szCs w:val="20"/>
              </w:rPr>
              <w:t>tudy C4591001)</w:t>
            </w:r>
          </w:p>
        </w:tc>
        <w:tc>
          <w:tcPr>
            <w:tcW w:w="2552" w:type="dxa"/>
          </w:tcPr>
          <w:p w14:paraId="53EB22D7" w14:textId="3E704DBD" w:rsidR="00D9276E" w:rsidRPr="00B17C93" w:rsidRDefault="00BE7102" w:rsidP="002341E9">
            <w:pPr>
              <w:ind w:left="72" w:right="72"/>
              <w:rPr>
                <w:sz w:val="20"/>
                <w:szCs w:val="20"/>
              </w:rPr>
            </w:pPr>
            <w:r w:rsidRPr="00B17C93">
              <w:rPr>
                <w:sz w:val="20"/>
                <w:szCs w:val="20"/>
              </w:rPr>
              <w:t>Under regulatory</w:t>
            </w:r>
            <w:r w:rsidR="00D9276E" w:rsidRPr="00B17C93">
              <w:rPr>
                <w:sz w:val="20"/>
                <w:szCs w:val="20"/>
              </w:rPr>
              <w:t xml:space="preserve"> </w:t>
            </w:r>
            <w:r w:rsidRPr="00B17C93">
              <w:rPr>
                <w:sz w:val="20"/>
                <w:szCs w:val="20"/>
              </w:rPr>
              <w:t>authority review</w:t>
            </w:r>
          </w:p>
        </w:tc>
      </w:tr>
      <w:tr w:rsidR="00D9276E" w14:paraId="4B1EAA2E" w14:textId="77777777" w:rsidTr="00D9276E">
        <w:tc>
          <w:tcPr>
            <w:tcW w:w="1838" w:type="dxa"/>
            <w:vMerge w:val="restart"/>
          </w:tcPr>
          <w:p w14:paraId="4230CCDF" w14:textId="3B323BE9" w:rsidR="00D9276E" w:rsidRPr="00E71EE7" w:rsidRDefault="00D9276E" w:rsidP="002341E9">
            <w:pPr>
              <w:ind w:left="72" w:right="72"/>
              <w:rPr>
                <w:sz w:val="20"/>
                <w:szCs w:val="20"/>
              </w:rPr>
            </w:pPr>
            <w:r w:rsidRPr="00E71EE7">
              <w:rPr>
                <w:sz w:val="20"/>
                <w:szCs w:val="20"/>
              </w:rPr>
              <w:t>United Kingdom</w:t>
            </w:r>
          </w:p>
        </w:tc>
        <w:tc>
          <w:tcPr>
            <w:tcW w:w="4394" w:type="dxa"/>
          </w:tcPr>
          <w:p w14:paraId="65305EC0" w14:textId="395D76E8" w:rsidR="00D9276E" w:rsidRPr="00B17C93" w:rsidRDefault="00D9276E" w:rsidP="002341E9">
            <w:pPr>
              <w:ind w:left="72" w:right="72"/>
              <w:rPr>
                <w:sz w:val="20"/>
                <w:szCs w:val="20"/>
              </w:rPr>
            </w:pPr>
            <w:r w:rsidRPr="00B17C93">
              <w:rPr>
                <w:sz w:val="20"/>
                <w:szCs w:val="20"/>
              </w:rPr>
              <w:t>Lower the age limit for the booster dose to 12</w:t>
            </w:r>
            <w:r w:rsidR="00577CC9">
              <w:rPr>
                <w:sz w:val="20"/>
                <w:szCs w:val="20"/>
              </w:rPr>
              <w:t> </w:t>
            </w:r>
            <w:r w:rsidRPr="00B17C93">
              <w:rPr>
                <w:sz w:val="20"/>
                <w:szCs w:val="20"/>
              </w:rPr>
              <w:t>years (based on real world evidence collected by the Ministry of Health of Israel)</w:t>
            </w:r>
          </w:p>
        </w:tc>
        <w:tc>
          <w:tcPr>
            <w:tcW w:w="2552" w:type="dxa"/>
          </w:tcPr>
          <w:p w14:paraId="0BAFE07E" w14:textId="568CA40A" w:rsidR="00D9276E" w:rsidRPr="00B17C93" w:rsidRDefault="00BE7102" w:rsidP="002341E9">
            <w:pPr>
              <w:ind w:left="72" w:right="72"/>
              <w:rPr>
                <w:sz w:val="20"/>
                <w:szCs w:val="20"/>
              </w:rPr>
            </w:pPr>
            <w:r w:rsidRPr="00B17C93">
              <w:rPr>
                <w:sz w:val="20"/>
                <w:szCs w:val="20"/>
              </w:rPr>
              <w:t>Under regulatory</w:t>
            </w:r>
            <w:r w:rsidR="00D9276E" w:rsidRPr="00B17C93">
              <w:rPr>
                <w:sz w:val="20"/>
                <w:szCs w:val="20"/>
              </w:rPr>
              <w:t xml:space="preserve"> </w:t>
            </w:r>
            <w:r w:rsidRPr="00B17C93">
              <w:rPr>
                <w:sz w:val="20"/>
                <w:szCs w:val="20"/>
              </w:rPr>
              <w:t>authority review</w:t>
            </w:r>
          </w:p>
        </w:tc>
      </w:tr>
      <w:tr w:rsidR="00D9276E" w14:paraId="0A531F20" w14:textId="77777777" w:rsidTr="00D9276E">
        <w:tc>
          <w:tcPr>
            <w:tcW w:w="1838" w:type="dxa"/>
            <w:vMerge/>
          </w:tcPr>
          <w:p w14:paraId="275D4F1F" w14:textId="77777777" w:rsidR="00D9276E" w:rsidRPr="00E71EE7" w:rsidRDefault="00D9276E" w:rsidP="002341E9">
            <w:pPr>
              <w:ind w:left="72" w:right="72"/>
              <w:rPr>
                <w:sz w:val="20"/>
                <w:szCs w:val="20"/>
              </w:rPr>
            </w:pPr>
          </w:p>
        </w:tc>
        <w:tc>
          <w:tcPr>
            <w:tcW w:w="4394" w:type="dxa"/>
          </w:tcPr>
          <w:p w14:paraId="41B111F5" w14:textId="20E727B9" w:rsidR="00D9276E" w:rsidRPr="00B17C93" w:rsidRDefault="00D9276E" w:rsidP="002341E9">
            <w:pPr>
              <w:ind w:left="72" w:right="72"/>
              <w:rPr>
                <w:sz w:val="20"/>
                <w:szCs w:val="20"/>
              </w:rPr>
            </w:pPr>
            <w:r w:rsidRPr="00B17C93">
              <w:rPr>
                <w:sz w:val="20"/>
                <w:szCs w:val="20"/>
              </w:rPr>
              <w:t>Addition of 6 months post-Dose 2 follow-up safety and efficacy information for adolescents 12</w:t>
            </w:r>
            <w:r w:rsidR="00F060D3">
              <w:rPr>
                <w:sz w:val="20"/>
                <w:szCs w:val="20"/>
              </w:rPr>
              <w:t xml:space="preserve"> to </w:t>
            </w:r>
            <w:r w:rsidRPr="00B17C93">
              <w:rPr>
                <w:sz w:val="20"/>
                <w:szCs w:val="20"/>
              </w:rPr>
              <w:t xml:space="preserve">15 years of age (based on updated interim results of </w:t>
            </w:r>
            <w:r w:rsidR="00F060D3">
              <w:rPr>
                <w:sz w:val="20"/>
                <w:szCs w:val="20"/>
              </w:rPr>
              <w:t>S</w:t>
            </w:r>
            <w:r w:rsidRPr="00B17C93">
              <w:rPr>
                <w:sz w:val="20"/>
                <w:szCs w:val="20"/>
              </w:rPr>
              <w:t>tudy C4591001)</w:t>
            </w:r>
          </w:p>
        </w:tc>
        <w:tc>
          <w:tcPr>
            <w:tcW w:w="2552" w:type="dxa"/>
          </w:tcPr>
          <w:p w14:paraId="410AB899" w14:textId="1070530F" w:rsidR="00D9276E" w:rsidRPr="00B17C93" w:rsidRDefault="00BE7102" w:rsidP="002341E9">
            <w:pPr>
              <w:ind w:left="72" w:right="72"/>
              <w:rPr>
                <w:sz w:val="20"/>
                <w:szCs w:val="20"/>
              </w:rPr>
            </w:pPr>
            <w:r w:rsidRPr="00B17C93">
              <w:rPr>
                <w:sz w:val="20"/>
                <w:szCs w:val="20"/>
              </w:rPr>
              <w:t>Under regulatory</w:t>
            </w:r>
            <w:r w:rsidR="00D9276E" w:rsidRPr="00B17C93">
              <w:rPr>
                <w:sz w:val="20"/>
                <w:szCs w:val="20"/>
              </w:rPr>
              <w:t xml:space="preserve"> </w:t>
            </w:r>
            <w:r w:rsidRPr="00B17C93">
              <w:rPr>
                <w:sz w:val="20"/>
                <w:szCs w:val="20"/>
              </w:rPr>
              <w:t>authority review</w:t>
            </w:r>
          </w:p>
        </w:tc>
      </w:tr>
      <w:tr w:rsidR="00D9276E" w14:paraId="51C1CECC" w14:textId="77777777" w:rsidTr="00D9276E">
        <w:tc>
          <w:tcPr>
            <w:tcW w:w="1838" w:type="dxa"/>
          </w:tcPr>
          <w:p w14:paraId="7A166D34" w14:textId="7C2CF243" w:rsidR="00D9276E" w:rsidRPr="00E71EE7" w:rsidRDefault="00D9276E" w:rsidP="002341E9">
            <w:pPr>
              <w:ind w:left="72" w:right="72"/>
              <w:rPr>
                <w:sz w:val="20"/>
                <w:szCs w:val="20"/>
              </w:rPr>
            </w:pPr>
            <w:r w:rsidRPr="00E71EE7">
              <w:rPr>
                <w:sz w:val="20"/>
                <w:szCs w:val="20"/>
              </w:rPr>
              <w:t>Switzerland</w:t>
            </w:r>
          </w:p>
        </w:tc>
        <w:tc>
          <w:tcPr>
            <w:tcW w:w="4394" w:type="dxa"/>
          </w:tcPr>
          <w:p w14:paraId="496851E3" w14:textId="0EF048B5" w:rsidR="00D9276E" w:rsidRPr="00B17C93" w:rsidRDefault="00D9276E" w:rsidP="002341E9">
            <w:pPr>
              <w:ind w:left="72" w:right="72"/>
              <w:rPr>
                <w:sz w:val="20"/>
                <w:szCs w:val="20"/>
              </w:rPr>
            </w:pPr>
            <w:r w:rsidRPr="00B17C93">
              <w:rPr>
                <w:sz w:val="20"/>
                <w:szCs w:val="20"/>
              </w:rPr>
              <w:t>Addition of 6 months post-Dose 2 follow-up safety and efficacy information for adolescents 12</w:t>
            </w:r>
            <w:r w:rsidR="00F060D3">
              <w:rPr>
                <w:sz w:val="20"/>
                <w:szCs w:val="20"/>
              </w:rPr>
              <w:t xml:space="preserve"> to </w:t>
            </w:r>
            <w:r w:rsidRPr="00B17C93">
              <w:rPr>
                <w:sz w:val="20"/>
                <w:szCs w:val="20"/>
              </w:rPr>
              <w:t xml:space="preserve">15 years of age (based on updated interim results of </w:t>
            </w:r>
            <w:r w:rsidR="00F060D3">
              <w:rPr>
                <w:sz w:val="20"/>
                <w:szCs w:val="20"/>
              </w:rPr>
              <w:t>S</w:t>
            </w:r>
            <w:r w:rsidRPr="00B17C93">
              <w:rPr>
                <w:sz w:val="20"/>
                <w:szCs w:val="20"/>
              </w:rPr>
              <w:t>tudy C4591001)</w:t>
            </w:r>
          </w:p>
        </w:tc>
        <w:tc>
          <w:tcPr>
            <w:tcW w:w="2552" w:type="dxa"/>
          </w:tcPr>
          <w:p w14:paraId="421A3DD1" w14:textId="1E3B80E2" w:rsidR="00D9276E" w:rsidRPr="00B17C93" w:rsidRDefault="00D9276E" w:rsidP="002341E9">
            <w:pPr>
              <w:ind w:left="72" w:right="72"/>
              <w:rPr>
                <w:sz w:val="20"/>
                <w:szCs w:val="20"/>
              </w:rPr>
            </w:pPr>
            <w:r w:rsidRPr="00B17C93">
              <w:rPr>
                <w:sz w:val="20"/>
                <w:szCs w:val="20"/>
              </w:rPr>
              <w:t xml:space="preserve">Under </w:t>
            </w:r>
            <w:r w:rsidR="00BE7102">
              <w:rPr>
                <w:sz w:val="20"/>
                <w:szCs w:val="20"/>
              </w:rPr>
              <w:t>r</w:t>
            </w:r>
            <w:r w:rsidRPr="00B17C93">
              <w:rPr>
                <w:sz w:val="20"/>
                <w:szCs w:val="20"/>
              </w:rPr>
              <w:t xml:space="preserve">egulatory </w:t>
            </w:r>
            <w:r w:rsidR="00BE7102">
              <w:rPr>
                <w:sz w:val="20"/>
                <w:szCs w:val="20"/>
              </w:rPr>
              <w:t>a</w:t>
            </w:r>
            <w:r w:rsidRPr="00B17C93">
              <w:rPr>
                <w:sz w:val="20"/>
                <w:szCs w:val="20"/>
              </w:rPr>
              <w:t>uthority review</w:t>
            </w:r>
          </w:p>
        </w:tc>
      </w:tr>
    </w:tbl>
    <w:p w14:paraId="65F1E92B" w14:textId="59D6E101" w:rsidR="00F060D3" w:rsidRPr="000D4880" w:rsidRDefault="00577CC9" w:rsidP="002341E9">
      <w:pPr>
        <w:pStyle w:val="TableDescription"/>
      </w:pPr>
      <w:r>
        <w:t xml:space="preserve">Abbreviations: CHMP = </w:t>
      </w:r>
      <w:r w:rsidRPr="00577CC9">
        <w:t>Committee for Medicinal Products for Human Use</w:t>
      </w:r>
      <w:r>
        <w:t>; EMA = European Medicines Agency; EUA = Emergency Use Authorization; USA = United States of America</w:t>
      </w:r>
    </w:p>
    <w:p w14:paraId="6D31FB6D" w14:textId="1EBD79AF" w:rsidR="008E7846" w:rsidRDefault="008E7846" w:rsidP="00940A89">
      <w:pPr>
        <w:pStyle w:val="Heading3"/>
      </w:pPr>
      <w:bookmarkStart w:id="25" w:name="_Toc100655256"/>
      <w:r>
        <w:t>Product Information</w:t>
      </w:r>
      <w:bookmarkEnd w:id="20"/>
      <w:bookmarkEnd w:id="21"/>
      <w:bookmarkEnd w:id="25"/>
    </w:p>
    <w:p w14:paraId="31877285" w14:textId="0440DEA4" w:rsidR="00940A89" w:rsidRDefault="006136D7" w:rsidP="00940A89">
      <w:bookmarkStart w:id="26" w:name="_Toc247691506"/>
      <w:bookmarkStart w:id="27" w:name="_Toc314842487"/>
      <w:r w:rsidRPr="00940A89">
        <w:t xml:space="preserve">The Product Information (PI) </w:t>
      </w:r>
      <w:r>
        <w:t xml:space="preserve">approved with the submission which is described in </w:t>
      </w:r>
      <w:r w:rsidRPr="00940A89">
        <w:t xml:space="preserve">this </w:t>
      </w:r>
      <w:proofErr w:type="spellStart"/>
      <w:r w:rsidRPr="00940A89">
        <w:t>AusPAR</w:t>
      </w:r>
      <w:proofErr w:type="spellEnd"/>
      <w:r w:rsidRPr="00940A89">
        <w:t xml:space="preserve"> can be found as Attachment 1.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41201D61" w14:textId="2737A0F3" w:rsidR="00500337" w:rsidRDefault="00500337" w:rsidP="00500337">
      <w:pPr>
        <w:pStyle w:val="Heading2"/>
      </w:pPr>
      <w:bookmarkStart w:id="28" w:name="_Toc504480011"/>
      <w:bookmarkStart w:id="29" w:name="_Toc100655257"/>
      <w:r w:rsidRPr="009D38C4">
        <w:lastRenderedPageBreak/>
        <w:t>II. Registration timeline</w:t>
      </w:r>
      <w:bookmarkEnd w:id="28"/>
      <w:bookmarkEnd w:id="29"/>
    </w:p>
    <w:p w14:paraId="0813F406" w14:textId="6DEED8C7" w:rsidR="00500337" w:rsidRDefault="00500337" w:rsidP="00500337">
      <w:r>
        <w:t xml:space="preserve">The following table captures the key steps and dates for this </w:t>
      </w:r>
      <w:r w:rsidR="00535A3B">
        <w:t>application,</w:t>
      </w:r>
      <w:r>
        <w:t xml:space="preserve"> and which are detailed and discussed in this </w:t>
      </w:r>
      <w:proofErr w:type="spellStart"/>
      <w:r>
        <w:t>AusPAR</w:t>
      </w:r>
      <w:proofErr w:type="spellEnd"/>
      <w:r>
        <w:t>.</w:t>
      </w:r>
    </w:p>
    <w:p w14:paraId="61DC7DFD" w14:textId="6A245BF7" w:rsidR="000351EB" w:rsidRDefault="000351EB" w:rsidP="000351EB">
      <w:r w:rsidRPr="008C1E85">
        <w:t xml:space="preserve">Data were provided as a rolling submission. Under normal circumstances, </w:t>
      </w:r>
      <w:r w:rsidR="005F0EFB">
        <w:t xml:space="preserve">the </w:t>
      </w:r>
      <w:r w:rsidRPr="008C1E85">
        <w:t>TGA's assessment (for both provisional and general registration) begins once all information to support registration is available. As part of the Department of Health's response to the pandemic, the TGA has agreed to accept rolling data for COVID-19 vaccines and treatments, to enable early evaluation of data as it comes to hand.</w:t>
      </w:r>
      <w:r>
        <w:t xml:space="preserve"> </w:t>
      </w:r>
    </w:p>
    <w:tbl>
      <w:tblPr>
        <w:tblStyle w:val="TableTGAblue"/>
        <w:tblW w:w="0" w:type="auto"/>
        <w:tblLook w:val="04A0" w:firstRow="1" w:lastRow="0" w:firstColumn="1" w:lastColumn="0" w:noHBand="0" w:noVBand="1"/>
      </w:tblPr>
      <w:tblGrid>
        <w:gridCol w:w="6374"/>
        <w:gridCol w:w="2120"/>
      </w:tblGrid>
      <w:tr w:rsidR="006C71D3" w14:paraId="0A830B14" w14:textId="77777777" w:rsidTr="003F70B9">
        <w:trPr>
          <w:cnfStyle w:val="100000000000" w:firstRow="1" w:lastRow="0" w:firstColumn="0" w:lastColumn="0" w:oddVBand="0" w:evenVBand="0" w:oddHBand="0" w:evenHBand="0" w:firstRowFirstColumn="0" w:firstRowLastColumn="0" w:lastRowFirstColumn="0" w:lastRowLastColumn="0"/>
          <w:cantSplit/>
        </w:trPr>
        <w:tc>
          <w:tcPr>
            <w:tcW w:w="6374" w:type="dxa"/>
            <w:tcBorders>
              <w:top w:val="single" w:sz="4" w:space="0" w:color="auto"/>
              <w:left w:val="single" w:sz="4" w:space="0" w:color="auto"/>
              <w:bottom w:val="single" w:sz="4" w:space="0" w:color="auto"/>
              <w:right w:val="single" w:sz="4" w:space="0" w:color="auto"/>
            </w:tcBorders>
          </w:tcPr>
          <w:p w14:paraId="6AF1403D" w14:textId="77777777" w:rsidR="006C71D3" w:rsidRDefault="006C71D3" w:rsidP="006C71D3">
            <w:pPr>
              <w:ind w:left="0" w:right="0"/>
            </w:pPr>
            <w:bookmarkStart w:id="30" w:name="_Hlk100311978"/>
            <w:r>
              <w:t>Description</w:t>
            </w:r>
          </w:p>
        </w:tc>
        <w:tc>
          <w:tcPr>
            <w:tcW w:w="2120" w:type="dxa"/>
            <w:tcBorders>
              <w:top w:val="single" w:sz="4" w:space="0" w:color="auto"/>
              <w:left w:val="single" w:sz="4" w:space="0" w:color="auto"/>
              <w:bottom w:val="single" w:sz="4" w:space="0" w:color="auto"/>
              <w:right w:val="single" w:sz="4" w:space="0" w:color="auto"/>
            </w:tcBorders>
          </w:tcPr>
          <w:p w14:paraId="443A4558" w14:textId="77777777" w:rsidR="006C71D3" w:rsidRDefault="006C71D3" w:rsidP="006C71D3">
            <w:pPr>
              <w:ind w:left="0" w:right="0"/>
            </w:pPr>
            <w:r>
              <w:t>Date</w:t>
            </w:r>
          </w:p>
        </w:tc>
      </w:tr>
      <w:tr w:rsidR="006C71D3" w14:paraId="27B11DBB" w14:textId="77777777" w:rsidTr="003F70B9">
        <w:tc>
          <w:tcPr>
            <w:tcW w:w="6374" w:type="dxa"/>
          </w:tcPr>
          <w:p w14:paraId="2E3407F1" w14:textId="77777777" w:rsidR="006C71D3" w:rsidRPr="00641A33" w:rsidRDefault="006C71D3" w:rsidP="006C71D3">
            <w:pPr>
              <w:ind w:left="0" w:right="0"/>
              <w:rPr>
                <w:color w:val="auto"/>
              </w:rPr>
            </w:pPr>
            <w:r w:rsidRPr="00641A33">
              <w:rPr>
                <w:color w:val="auto"/>
              </w:rPr>
              <w:t>Submission dossier accepted and first round evaluation commenced</w:t>
            </w:r>
          </w:p>
        </w:tc>
        <w:tc>
          <w:tcPr>
            <w:tcW w:w="2120" w:type="dxa"/>
          </w:tcPr>
          <w:p w14:paraId="1D2175CE" w14:textId="114AF723" w:rsidR="006C71D3" w:rsidRDefault="001F404A" w:rsidP="006C71D3">
            <w:pPr>
              <w:ind w:left="0" w:right="0"/>
            </w:pPr>
            <w:r>
              <w:t>4 March 2022</w:t>
            </w:r>
          </w:p>
        </w:tc>
      </w:tr>
      <w:tr w:rsidR="006C71D3" w14:paraId="6918A858" w14:textId="77777777" w:rsidTr="003F70B9">
        <w:tc>
          <w:tcPr>
            <w:tcW w:w="6374" w:type="dxa"/>
          </w:tcPr>
          <w:p w14:paraId="50CE43C2" w14:textId="77777777" w:rsidR="006C71D3" w:rsidRPr="00B14CEA" w:rsidRDefault="006C71D3" w:rsidP="006C71D3">
            <w:pPr>
              <w:ind w:left="0" w:right="0"/>
              <w:rPr>
                <w:color w:val="auto"/>
              </w:rPr>
            </w:pPr>
            <w:r w:rsidRPr="00B14CEA">
              <w:rPr>
                <w:color w:val="auto"/>
              </w:rPr>
              <w:t>Evaluation completed</w:t>
            </w:r>
          </w:p>
        </w:tc>
        <w:tc>
          <w:tcPr>
            <w:tcW w:w="2120" w:type="dxa"/>
          </w:tcPr>
          <w:p w14:paraId="140A457E" w14:textId="68572062" w:rsidR="006C71D3" w:rsidRDefault="00B14CEA" w:rsidP="006C71D3">
            <w:pPr>
              <w:ind w:left="0" w:right="0"/>
            </w:pPr>
            <w:r>
              <w:t>10 March 2022</w:t>
            </w:r>
          </w:p>
        </w:tc>
      </w:tr>
      <w:tr w:rsidR="006C71D3" w14:paraId="08A3409B" w14:textId="77777777" w:rsidTr="003F70B9">
        <w:tc>
          <w:tcPr>
            <w:tcW w:w="6374" w:type="dxa"/>
          </w:tcPr>
          <w:p w14:paraId="71FF334C" w14:textId="0539E851" w:rsidR="006C71D3" w:rsidRPr="00641A33" w:rsidRDefault="006C71D3" w:rsidP="006C71D3">
            <w:pPr>
              <w:ind w:left="0" w:right="0"/>
              <w:rPr>
                <w:color w:val="auto"/>
              </w:rPr>
            </w:pPr>
            <w:r w:rsidRPr="00641A33">
              <w:rPr>
                <w:color w:val="auto"/>
              </w:rPr>
              <w:t>Delegate’s Overall benefit-risk assessment and request for Advisory Committee advice</w:t>
            </w:r>
          </w:p>
        </w:tc>
        <w:tc>
          <w:tcPr>
            <w:tcW w:w="2120" w:type="dxa"/>
          </w:tcPr>
          <w:p w14:paraId="665FEA0F" w14:textId="0AEBC9CF" w:rsidR="006C71D3" w:rsidRDefault="001F404A" w:rsidP="006C71D3">
            <w:pPr>
              <w:ind w:left="0" w:right="0"/>
            </w:pPr>
            <w:r>
              <w:t>10 March 2022</w:t>
            </w:r>
          </w:p>
        </w:tc>
      </w:tr>
      <w:tr w:rsidR="006C71D3" w14:paraId="4F209919" w14:textId="77777777" w:rsidTr="003F70B9">
        <w:tc>
          <w:tcPr>
            <w:tcW w:w="6374" w:type="dxa"/>
          </w:tcPr>
          <w:p w14:paraId="79F23726" w14:textId="77777777" w:rsidR="006C71D3" w:rsidRPr="00641A33" w:rsidRDefault="006C71D3" w:rsidP="006C71D3">
            <w:pPr>
              <w:ind w:left="0" w:right="0"/>
              <w:rPr>
                <w:color w:val="auto"/>
              </w:rPr>
            </w:pPr>
            <w:r w:rsidRPr="00641A33">
              <w:rPr>
                <w:color w:val="auto"/>
              </w:rPr>
              <w:t>Sponsor’s pre-Advisory Committee response</w:t>
            </w:r>
          </w:p>
        </w:tc>
        <w:tc>
          <w:tcPr>
            <w:tcW w:w="2120" w:type="dxa"/>
          </w:tcPr>
          <w:p w14:paraId="5C3A9986" w14:textId="0150AE8C" w:rsidR="006C71D3" w:rsidRDefault="00A4775F" w:rsidP="006C71D3">
            <w:pPr>
              <w:ind w:left="0" w:right="0"/>
            </w:pPr>
            <w:r>
              <w:t>15 March 2022</w:t>
            </w:r>
          </w:p>
        </w:tc>
      </w:tr>
      <w:tr w:rsidR="006C71D3" w14:paraId="2108EF99" w14:textId="77777777" w:rsidTr="003F70B9">
        <w:tc>
          <w:tcPr>
            <w:tcW w:w="6374" w:type="dxa"/>
          </w:tcPr>
          <w:p w14:paraId="309E31BE" w14:textId="77777777" w:rsidR="006C71D3" w:rsidRDefault="006C71D3" w:rsidP="006C71D3">
            <w:pPr>
              <w:ind w:left="0" w:right="0"/>
            </w:pPr>
            <w:r>
              <w:t>Advisory Committee meeting</w:t>
            </w:r>
          </w:p>
        </w:tc>
        <w:tc>
          <w:tcPr>
            <w:tcW w:w="2120" w:type="dxa"/>
          </w:tcPr>
          <w:p w14:paraId="3FE721D0" w14:textId="230D94B5" w:rsidR="006C71D3" w:rsidRDefault="001F404A" w:rsidP="006C71D3">
            <w:pPr>
              <w:ind w:left="0" w:right="0"/>
            </w:pPr>
            <w:r>
              <w:t>22 March 2022</w:t>
            </w:r>
          </w:p>
        </w:tc>
      </w:tr>
      <w:tr w:rsidR="006C71D3" w14:paraId="184D1CDF" w14:textId="77777777" w:rsidTr="003F70B9">
        <w:tc>
          <w:tcPr>
            <w:tcW w:w="6374" w:type="dxa"/>
          </w:tcPr>
          <w:p w14:paraId="6EDC7B8C" w14:textId="77777777" w:rsidR="006C71D3" w:rsidRDefault="006C71D3" w:rsidP="006C71D3">
            <w:pPr>
              <w:ind w:left="0" w:right="0"/>
            </w:pPr>
            <w:r>
              <w:t>Registration decision (Outcome)</w:t>
            </w:r>
          </w:p>
        </w:tc>
        <w:tc>
          <w:tcPr>
            <w:tcW w:w="2120" w:type="dxa"/>
          </w:tcPr>
          <w:p w14:paraId="1B7CA831" w14:textId="7E1469B2" w:rsidR="006C71D3" w:rsidRDefault="001F404A" w:rsidP="006C71D3">
            <w:pPr>
              <w:ind w:left="0" w:right="0"/>
            </w:pPr>
            <w:r>
              <w:t>7 April 2022</w:t>
            </w:r>
          </w:p>
        </w:tc>
      </w:tr>
      <w:tr w:rsidR="006C71D3" w14:paraId="646B2DF0" w14:textId="77777777" w:rsidTr="003F70B9">
        <w:tc>
          <w:tcPr>
            <w:tcW w:w="6374" w:type="dxa"/>
          </w:tcPr>
          <w:p w14:paraId="61594BE9" w14:textId="77777777" w:rsidR="006C71D3" w:rsidRDefault="006C71D3" w:rsidP="006C71D3">
            <w:pPr>
              <w:ind w:left="0" w:right="0"/>
            </w:pPr>
            <w:r w:rsidRPr="009D38C4">
              <w:t>Completion of administrative activities and registration on the ARTG</w:t>
            </w:r>
          </w:p>
        </w:tc>
        <w:tc>
          <w:tcPr>
            <w:tcW w:w="2120" w:type="dxa"/>
          </w:tcPr>
          <w:p w14:paraId="39C20CA0" w14:textId="22FC10EC" w:rsidR="006C71D3" w:rsidRDefault="009D38C4" w:rsidP="006C71D3">
            <w:pPr>
              <w:ind w:left="0" w:right="0"/>
            </w:pPr>
            <w:r>
              <w:t>8 April 2022</w:t>
            </w:r>
          </w:p>
        </w:tc>
      </w:tr>
      <w:tr w:rsidR="006C71D3" w14:paraId="4D46AE19" w14:textId="77777777" w:rsidTr="003F70B9">
        <w:tc>
          <w:tcPr>
            <w:tcW w:w="6374" w:type="dxa"/>
          </w:tcPr>
          <w:p w14:paraId="7ECE4BE4" w14:textId="77777777" w:rsidR="006C71D3" w:rsidRDefault="006C71D3" w:rsidP="006C71D3">
            <w:pPr>
              <w:ind w:left="0" w:right="0"/>
            </w:pPr>
            <w:r>
              <w:t>Number of working days from submission dossier acceptance to registration decision*</w:t>
            </w:r>
          </w:p>
        </w:tc>
        <w:tc>
          <w:tcPr>
            <w:tcW w:w="2120" w:type="dxa"/>
          </w:tcPr>
          <w:p w14:paraId="4B4265C2" w14:textId="3F5269EF" w:rsidR="006C71D3" w:rsidRDefault="001F404A" w:rsidP="006C71D3">
            <w:pPr>
              <w:ind w:left="0" w:right="0"/>
            </w:pPr>
            <w:r>
              <w:t>24</w:t>
            </w:r>
          </w:p>
        </w:tc>
      </w:tr>
    </w:tbl>
    <w:bookmarkEnd w:id="30"/>
    <w:p w14:paraId="0BD3054A" w14:textId="53DF02F1" w:rsidR="006C71D3" w:rsidRPr="00DE5B19" w:rsidRDefault="006C71D3" w:rsidP="00500337">
      <w:pPr>
        <w:pStyle w:val="TableDescription"/>
      </w:pPr>
      <w:r w:rsidRPr="00DE5B19">
        <w:t>*Statutory timeframe for standard applications is 255 working days</w:t>
      </w:r>
    </w:p>
    <w:p w14:paraId="31A5A048" w14:textId="77777777" w:rsidR="008E7846" w:rsidRPr="00792A32" w:rsidRDefault="00456765" w:rsidP="008E7846">
      <w:pPr>
        <w:pStyle w:val="Heading2"/>
      </w:pPr>
      <w:bookmarkStart w:id="31" w:name="_Toc196046504"/>
      <w:bookmarkStart w:id="32" w:name="_Toc247691527"/>
      <w:bookmarkStart w:id="33" w:name="_Toc314842510"/>
      <w:bookmarkStart w:id="34" w:name="_Toc163441390"/>
      <w:bookmarkStart w:id="35" w:name="_Toc100655258"/>
      <w:bookmarkEnd w:id="26"/>
      <w:bookmarkEnd w:id="27"/>
      <w:bookmarkEnd w:id="1"/>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31"/>
      <w:bookmarkEnd w:id="32"/>
      <w:bookmarkEnd w:id="33"/>
      <w:bookmarkEnd w:id="35"/>
    </w:p>
    <w:p w14:paraId="3A02C6B2" w14:textId="77777777" w:rsidR="00006FAB" w:rsidRDefault="00006FAB" w:rsidP="00006FAB">
      <w:bookmarkStart w:id="36" w:name="_Toc247691528"/>
      <w:r>
        <w:t>The submission was summarised in the following Delegate’s overview and recommendations.</w:t>
      </w:r>
    </w:p>
    <w:p w14:paraId="5B60034C" w14:textId="77777777" w:rsidR="008E7846" w:rsidRDefault="008E7846" w:rsidP="008E7846">
      <w:pPr>
        <w:pStyle w:val="Heading3"/>
      </w:pPr>
      <w:bookmarkStart w:id="37" w:name="_Toc314842511"/>
      <w:bookmarkStart w:id="38" w:name="_Toc100655259"/>
      <w:r>
        <w:t>Quality</w:t>
      </w:r>
      <w:bookmarkEnd w:id="36"/>
      <w:bookmarkEnd w:id="37"/>
      <w:bookmarkEnd w:id="38"/>
    </w:p>
    <w:p w14:paraId="6C6FF988" w14:textId="3321FC5B" w:rsidR="003B229F" w:rsidRDefault="003B229F" w:rsidP="003B229F">
      <w:r w:rsidRPr="0012137B">
        <w:t>The vaccine is supplied as a white to off white sterile frozen liquid, packaged in a multi dose clear glass vial with a rubber stopper, stored in -60 to -90°C. The vials are packed in cartons containing 195 multi dose vials</w:t>
      </w:r>
      <w:r>
        <w:t>,</w:t>
      </w:r>
      <w:r w:rsidRPr="0012137B">
        <w:t xml:space="preserve"> intended for use over a short time window (calculated from its first use) due to its preservative free composition.</w:t>
      </w:r>
    </w:p>
    <w:p w14:paraId="1A7EF55F" w14:textId="2022918F" w:rsidR="004A5CAD" w:rsidRDefault="00721701" w:rsidP="002341E9">
      <w:pPr>
        <w:pStyle w:val="ListBullet"/>
      </w:pPr>
      <w:proofErr w:type="spellStart"/>
      <w:r>
        <w:t>Comirnaty</w:t>
      </w:r>
      <w:proofErr w:type="spellEnd"/>
      <w:r>
        <w:t xml:space="preserve"> </w:t>
      </w:r>
      <w:r w:rsidR="004A5CAD">
        <w:t xml:space="preserve">Ready </w:t>
      </w:r>
      <w:proofErr w:type="gramStart"/>
      <w:r w:rsidR="004A5CAD">
        <w:t>To</w:t>
      </w:r>
      <w:proofErr w:type="gramEnd"/>
      <w:r w:rsidR="004A5CAD">
        <w:t xml:space="preserve"> Use Multidose (For Age 12 Years and Above, Do Not Dilute): This is a multidose vial with a grey cap. One vial (2.25 mL) contains 6 doses of 0.3 </w:t>
      </w:r>
      <w:proofErr w:type="spellStart"/>
      <w:r w:rsidR="004A5CAD">
        <w:t>mL</w:t>
      </w:r>
      <w:r w:rsidR="00FA499E">
        <w:t>.</w:t>
      </w:r>
      <w:proofErr w:type="spellEnd"/>
      <w:r w:rsidR="004A5CAD">
        <w:t xml:space="preserve"> One</w:t>
      </w:r>
      <w:r w:rsidR="00FA499E">
        <w:t> </w:t>
      </w:r>
      <w:r w:rsidR="004A5CAD">
        <w:t>dose (0.3 mL) contains 30 micrograms of COVID-mRNA Vaccine (embedded in lipid nanoparticles)</w:t>
      </w:r>
      <w:r w:rsidR="0018159B" w:rsidRPr="0018159B">
        <w:t xml:space="preserve"> </w:t>
      </w:r>
      <w:r w:rsidR="0018159B">
        <w:t>(Aust R 377110)</w:t>
      </w:r>
      <w:r w:rsidR="004A5CAD">
        <w:t>.</w:t>
      </w:r>
    </w:p>
    <w:p w14:paraId="6A54FF86" w14:textId="77777777" w:rsidR="0018159B" w:rsidRDefault="0018159B" w:rsidP="002341E9">
      <w:pPr>
        <w:pStyle w:val="ListBullet"/>
      </w:pPr>
      <w:proofErr w:type="spellStart"/>
      <w:r>
        <w:t>Comirnaty</w:t>
      </w:r>
      <w:proofErr w:type="spellEnd"/>
      <w:r>
        <w:t xml:space="preserve"> Dilute </w:t>
      </w:r>
      <w:proofErr w:type="gramStart"/>
      <w:r>
        <w:t>To</w:t>
      </w:r>
      <w:proofErr w:type="gramEnd"/>
      <w:r>
        <w:t xml:space="preserve"> Use Multidose (For Age 12 years and above): This is a multidose vial with purple cap. It must be diluted before use. One vial (0.45 mL) contains 6 doses </w:t>
      </w:r>
      <w:r>
        <w:lastRenderedPageBreak/>
        <w:t>of 0.3 mL after dilution. One dose (0.3 mL) contains 30 micrograms of COVID-mRNA Vaccine (embedded in lipid nanoparticles) (Aust R 346290).</w:t>
      </w:r>
    </w:p>
    <w:p w14:paraId="5D3FC22A" w14:textId="6F86BDFF" w:rsidR="00E45619" w:rsidRDefault="00006FAB" w:rsidP="00006FAB">
      <w:r>
        <w:t>There was no requirement for a quality evaluation in a submission of this type.</w:t>
      </w:r>
      <w:r w:rsidR="00FA499E">
        <w:t xml:space="preserve"> </w:t>
      </w:r>
    </w:p>
    <w:p w14:paraId="63F02B95" w14:textId="7FBAD862" w:rsidR="00F6514D" w:rsidRDefault="00F6514D" w:rsidP="00006FAB">
      <w:r>
        <w:t>A full quality evaluation was conducted at the time this product received initial registration.</w:t>
      </w:r>
    </w:p>
    <w:p w14:paraId="7208B9D8" w14:textId="77777777" w:rsidR="008E7846" w:rsidRDefault="008E7846" w:rsidP="008E7846">
      <w:pPr>
        <w:pStyle w:val="Heading3"/>
      </w:pPr>
      <w:bookmarkStart w:id="39" w:name="_Toc314842512"/>
      <w:bookmarkStart w:id="40" w:name="_Toc100655260"/>
      <w:r>
        <w:t>Nonclinical</w:t>
      </w:r>
      <w:bookmarkEnd w:id="39"/>
      <w:bookmarkEnd w:id="40"/>
    </w:p>
    <w:p w14:paraId="33AD9759" w14:textId="605972BF" w:rsidR="008E7846" w:rsidRDefault="00006FAB" w:rsidP="00006FAB">
      <w:r>
        <w:t>There was no requirement for a nonclinical evaluation in a submission of this type.</w:t>
      </w:r>
    </w:p>
    <w:p w14:paraId="6293F7C1" w14:textId="778B262B" w:rsidR="00F6514D" w:rsidRDefault="00F6514D" w:rsidP="00006FAB">
      <w:r>
        <w:t>A full nonclinical evaluation was conducted at the time this product received initial registration.</w:t>
      </w:r>
    </w:p>
    <w:p w14:paraId="259401BB" w14:textId="77777777" w:rsidR="008E7846" w:rsidRDefault="008E7846" w:rsidP="008E7846">
      <w:pPr>
        <w:pStyle w:val="Heading3"/>
      </w:pPr>
      <w:bookmarkStart w:id="41" w:name="_Toc247691530"/>
      <w:bookmarkStart w:id="42" w:name="_Toc314842513"/>
      <w:bookmarkStart w:id="43" w:name="_Toc100655261"/>
      <w:r>
        <w:t>Clinical</w:t>
      </w:r>
      <w:bookmarkEnd w:id="41"/>
      <w:bookmarkEnd w:id="42"/>
      <w:bookmarkEnd w:id="43"/>
    </w:p>
    <w:p w14:paraId="53D49C74" w14:textId="1A9E6D64" w:rsidR="00DE5B19" w:rsidRPr="009D3365" w:rsidRDefault="00DE5B19" w:rsidP="009D3365">
      <w:bookmarkStart w:id="44" w:name="_Toc314842514"/>
      <w:r w:rsidRPr="009D3365">
        <w:t xml:space="preserve">This submission combines </w:t>
      </w:r>
      <w:r w:rsidR="006750FB" w:rsidRPr="009D3365">
        <w:t>two</w:t>
      </w:r>
      <w:r w:rsidRPr="009D3365">
        <w:t xml:space="preserve"> separate elements</w:t>
      </w:r>
      <w:r w:rsidR="009D3365" w:rsidRPr="009D3365">
        <w:t xml:space="preserve"> of (1) adolescent booster</w:t>
      </w:r>
      <w:r w:rsidR="00FA499E">
        <w:t>;</w:t>
      </w:r>
      <w:r w:rsidR="009D3365" w:rsidRPr="009D3365">
        <w:t xml:space="preserve"> and (2)</w:t>
      </w:r>
      <w:r w:rsidR="00FA499E">
        <w:t> </w:t>
      </w:r>
      <w:r w:rsidR="009D3365" w:rsidRPr="009D3365">
        <w:t xml:space="preserve">adolescent </w:t>
      </w:r>
      <w:proofErr w:type="gramStart"/>
      <w:r w:rsidR="009D3365" w:rsidRPr="009D3365">
        <w:t>6 month</w:t>
      </w:r>
      <w:proofErr w:type="gramEnd"/>
      <w:r w:rsidR="009D3365" w:rsidRPr="009D3365">
        <w:t xml:space="preserve"> data update. These are discussed below.</w:t>
      </w:r>
    </w:p>
    <w:p w14:paraId="06AF6F75" w14:textId="77777777" w:rsidR="0048595B" w:rsidRDefault="00DE5B19" w:rsidP="002341E9">
      <w:pPr>
        <w:pStyle w:val="Heading4"/>
      </w:pPr>
      <w:bookmarkStart w:id="45" w:name="_Hlk92195216"/>
      <w:r w:rsidRPr="009D3365">
        <w:t xml:space="preserve">Adolescent </w:t>
      </w:r>
      <w:r w:rsidR="00F85C01">
        <w:t>b</w:t>
      </w:r>
      <w:r w:rsidRPr="009D3365">
        <w:t xml:space="preserve">ooster </w:t>
      </w:r>
      <w:r w:rsidR="00F85C01">
        <w:t>s</w:t>
      </w:r>
      <w:r w:rsidRPr="009D3365">
        <w:t>ubmission</w:t>
      </w:r>
    </w:p>
    <w:p w14:paraId="1E82F206" w14:textId="59CCCEAB" w:rsidR="00DE5B19" w:rsidRPr="009D3365" w:rsidRDefault="0048595B" w:rsidP="002341E9">
      <w:pPr>
        <w:pStyle w:val="Heading5"/>
      </w:pPr>
      <w:r>
        <w:t>Clinical data</w:t>
      </w:r>
    </w:p>
    <w:p w14:paraId="4B27A88B" w14:textId="41BA455E" w:rsidR="00BE7102" w:rsidRDefault="00DE5B19" w:rsidP="002341E9">
      <w:r w:rsidRPr="009D3365">
        <w:t xml:space="preserve">The </w:t>
      </w:r>
      <w:r w:rsidR="00A222E9" w:rsidRPr="009D3365">
        <w:t>sponsor’s</w:t>
      </w:r>
      <w:r w:rsidRPr="009D3365">
        <w:t xml:space="preserve"> </w:t>
      </w:r>
      <w:r w:rsidR="00E15EC4">
        <w:t>c</w:t>
      </w:r>
      <w:r w:rsidRPr="009D3365">
        <w:t xml:space="preserve">linical </w:t>
      </w:r>
      <w:r w:rsidR="00983504">
        <w:t>o</w:t>
      </w:r>
      <w:r w:rsidRPr="009D3365">
        <w:t>verview referred to safety data from the Israel Ministry of Health. This was referenced to a Corona</w:t>
      </w:r>
      <w:r>
        <w:t xml:space="preserve"> Vaccine Safety Follow-up Report updated as of </w:t>
      </w:r>
      <w:r w:rsidR="00E15EC4">
        <w:t>15 </w:t>
      </w:r>
      <w:r>
        <w:t>December 2021</w:t>
      </w:r>
      <w:r w:rsidR="006F3462">
        <w:t>.</w:t>
      </w:r>
      <w:r w:rsidR="006F3462">
        <w:rPr>
          <w:rStyle w:val="FootnoteReference"/>
          <w:sz w:val="21"/>
          <w:szCs w:val="21"/>
        </w:rPr>
        <w:footnoteReference w:id="10"/>
      </w:r>
    </w:p>
    <w:p w14:paraId="24016D4D" w14:textId="56A9CCEE" w:rsidR="00DE5B19" w:rsidRDefault="00DE5B19" w:rsidP="002341E9">
      <w:r>
        <w:t xml:space="preserve">The number of doses administered by age </w:t>
      </w:r>
      <w:r w:rsidR="00D9276E">
        <w:t xml:space="preserve">as reported by the Israel Ministry of Health </w:t>
      </w:r>
      <w:r>
        <w:t xml:space="preserve">is shown in </w:t>
      </w:r>
      <w:r w:rsidR="006750FB">
        <w:t>F</w:t>
      </w:r>
      <w:r>
        <w:t>igure</w:t>
      </w:r>
      <w:r w:rsidR="006750FB">
        <w:t xml:space="preserve"> 1 below</w:t>
      </w:r>
      <w:r>
        <w:t>.</w:t>
      </w:r>
    </w:p>
    <w:p w14:paraId="7595D5CB" w14:textId="36614357" w:rsidR="006F3462" w:rsidRDefault="006F3462" w:rsidP="00641A33">
      <w:pPr>
        <w:pStyle w:val="FigureTitle"/>
      </w:pPr>
      <w:r>
        <w:t>Figure 1:</w:t>
      </w:r>
      <w:r w:rsidR="00641A33">
        <w:t xml:space="preserve"> Breakdown of vaccine doses </w:t>
      </w:r>
      <w:r w:rsidR="000A3A37">
        <w:t xml:space="preserve">administered </w:t>
      </w:r>
      <w:r w:rsidR="00641A33">
        <w:t>in Israel by age</w:t>
      </w:r>
    </w:p>
    <w:p w14:paraId="3D51F9DA" w14:textId="45925068" w:rsidR="006F3462" w:rsidRDefault="006F3462" w:rsidP="003F70B9">
      <w:pPr>
        <w:rPr>
          <w:sz w:val="21"/>
          <w:szCs w:val="21"/>
        </w:rPr>
      </w:pPr>
      <w:r>
        <w:rPr>
          <w:noProof/>
          <w:lang w:val="en-GB" w:eastAsia="en-GB"/>
        </w:rPr>
        <w:drawing>
          <wp:inline distT="0" distB="0" distL="0" distR="0" wp14:anchorId="19238E9C" wp14:editId="23B75FA0">
            <wp:extent cx="5347698" cy="2081974"/>
            <wp:effectExtent l="0" t="0" r="5715" b="0"/>
            <wp:docPr id="1" name="Picture 1" descr="Figure 1: Breakdown of vaccine doses in Israel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Breakdown of vaccine doses in Israel by age"/>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Lst>
                    </a:blip>
                    <a:srcRect l="2627" r="2894"/>
                    <a:stretch/>
                  </pic:blipFill>
                  <pic:spPr bwMode="auto">
                    <a:xfrm>
                      <a:off x="0" y="0"/>
                      <a:ext cx="5398543" cy="2101769"/>
                    </a:xfrm>
                    <a:prstGeom prst="rect">
                      <a:avLst/>
                    </a:prstGeom>
                    <a:ln>
                      <a:noFill/>
                    </a:ln>
                    <a:extLst>
                      <a:ext uri="{53640926-AAD7-44D8-BBD7-CCE9431645EC}">
                        <a14:shadowObscured xmlns:a14="http://schemas.microsoft.com/office/drawing/2010/main"/>
                      </a:ext>
                    </a:extLst>
                  </pic:spPr>
                </pic:pic>
              </a:graphicData>
            </a:graphic>
          </wp:inline>
        </w:drawing>
      </w:r>
    </w:p>
    <w:p w14:paraId="578121C2" w14:textId="7E1E237C" w:rsidR="006F3462" w:rsidRPr="00641A33" w:rsidRDefault="00FA499E" w:rsidP="00641A33">
      <w:pPr>
        <w:pStyle w:val="FigureDescription"/>
      </w:pPr>
      <w:r>
        <w:t>Adapted f</w:t>
      </w:r>
      <w:r w:rsidR="009D3365">
        <w:t xml:space="preserve">rom </w:t>
      </w:r>
      <w:r w:rsidR="006F3462" w:rsidRPr="00641A33">
        <w:t>Israel Ministry of Health. Corona Vaccine Safety Follow-up</w:t>
      </w:r>
      <w:r>
        <w:t>:</w:t>
      </w:r>
      <w:r w:rsidR="006F3462" w:rsidRPr="00641A33">
        <w:t xml:space="preserve"> 15 December 2021</w:t>
      </w:r>
      <w:r w:rsidR="00641A33" w:rsidRPr="00641A33">
        <w:t xml:space="preserve"> </w:t>
      </w:r>
      <w:r w:rsidR="00E15EC4" w:rsidRPr="002341E9">
        <w:t>https://www.gov.il/BlobFolder/reports/vaccine-efficacy-safety-followup-committee/he/files_publications_corona_vaccine-safty-15122021.pdf</w:t>
      </w:r>
      <w:r w:rsidR="006F3462" w:rsidRPr="00641A33">
        <w:t>.</w:t>
      </w:r>
      <w:r w:rsidR="00641A33" w:rsidRPr="00641A33">
        <w:t xml:space="preserve"> </w:t>
      </w:r>
      <w:r w:rsidR="006F3462" w:rsidRPr="00641A33">
        <w:t>Accessed</w:t>
      </w:r>
      <w:r>
        <w:t>:</w:t>
      </w:r>
      <w:r w:rsidR="006F3462" w:rsidRPr="00641A33">
        <w:t xml:space="preserve"> 29 December 2021.</w:t>
      </w:r>
    </w:p>
    <w:p w14:paraId="3AF82DB1" w14:textId="09059B60" w:rsidR="00DE5B19" w:rsidRDefault="00DE5B19" w:rsidP="002341E9">
      <w:r>
        <w:t xml:space="preserve">In the </w:t>
      </w:r>
      <w:proofErr w:type="gramStart"/>
      <w:r>
        <w:t>12</w:t>
      </w:r>
      <w:r w:rsidR="009D3365">
        <w:t xml:space="preserve"> to </w:t>
      </w:r>
      <w:r>
        <w:t>15 year</w:t>
      </w:r>
      <w:proofErr w:type="gramEnd"/>
      <w:r>
        <w:t xml:space="preserve"> age </w:t>
      </w:r>
      <w:r w:rsidRPr="000D4880">
        <w:t>group</w:t>
      </w:r>
      <w:r w:rsidR="00D9276E">
        <w:t>,</w:t>
      </w:r>
      <w:r>
        <w:t xml:space="preserve"> all administered doses were manufactured by </w:t>
      </w:r>
      <w:r w:rsidR="00612068">
        <w:t>the sponsor</w:t>
      </w:r>
      <w:r>
        <w:t xml:space="preserve">. Adverse event rates were presented for general events, local events, allergic </w:t>
      </w:r>
      <w:proofErr w:type="gramStart"/>
      <w:r>
        <w:t>events</w:t>
      </w:r>
      <w:proofErr w:type="gramEnd"/>
      <w:r>
        <w:t xml:space="preserve"> and </w:t>
      </w:r>
      <w:r>
        <w:lastRenderedPageBreak/>
        <w:t>other significant events by dose. The information is based on reports from vaccinating or attending medical staff</w:t>
      </w:r>
      <w:r w:rsidR="00BF294F">
        <w:t>.</w:t>
      </w:r>
    </w:p>
    <w:p w14:paraId="2DFD1C64" w14:textId="372670AA" w:rsidR="00DE5B19" w:rsidRDefault="00DE5B19" w:rsidP="002341E9">
      <w:r>
        <w:t xml:space="preserve">Based on reports to the </w:t>
      </w:r>
      <w:r w:rsidR="00BF294F">
        <w:t xml:space="preserve">Israel </w:t>
      </w:r>
      <w:r>
        <w:t>Ministry of Health</w:t>
      </w:r>
      <w:r w:rsidR="00612068">
        <w:t>,</w:t>
      </w:r>
      <w:r>
        <w:t xml:space="preserve"> the rate of events by age group is shown in </w:t>
      </w:r>
      <w:r w:rsidR="00BF294F">
        <w:t>F</w:t>
      </w:r>
      <w:r>
        <w:t xml:space="preserve">igure </w:t>
      </w:r>
      <w:r w:rsidR="00BF294F">
        <w:t>2.</w:t>
      </w:r>
    </w:p>
    <w:p w14:paraId="4442134A" w14:textId="58BD0BD6" w:rsidR="007B1456" w:rsidRDefault="007B1456" w:rsidP="00D9276E">
      <w:pPr>
        <w:pStyle w:val="TableTitle"/>
      </w:pPr>
      <w:r>
        <w:t xml:space="preserve">Figure 2: </w:t>
      </w:r>
      <w:r w:rsidRPr="007B1456">
        <w:t xml:space="preserve">Rate of </w:t>
      </w:r>
      <w:r w:rsidR="009C7F3F">
        <w:t>e</w:t>
      </w:r>
      <w:r w:rsidRPr="007B1456">
        <w:t xml:space="preserve">vents </w:t>
      </w:r>
      <w:r w:rsidR="009C7F3F">
        <w:t>r</w:t>
      </w:r>
      <w:r w:rsidRPr="007B1456">
        <w:t xml:space="preserve">eported by </w:t>
      </w:r>
      <w:r w:rsidR="009C7F3F">
        <w:t>a</w:t>
      </w:r>
      <w:r w:rsidRPr="007B1456">
        <w:t xml:space="preserve">ge </w:t>
      </w:r>
      <w:r w:rsidR="009C7F3F">
        <w:t>g</w:t>
      </w:r>
      <w:r w:rsidRPr="007B1456">
        <w:t>roup</w:t>
      </w:r>
      <w:r w:rsidR="009C7F3F">
        <w:t xml:space="preserve"> for</w:t>
      </w:r>
      <w:r w:rsidRPr="007B1456">
        <w:t xml:space="preserve"> </w:t>
      </w:r>
      <w:proofErr w:type="spellStart"/>
      <w:r w:rsidR="00E15EC4">
        <w:t>Comirnaty</w:t>
      </w:r>
      <w:proofErr w:type="spellEnd"/>
      <w:r w:rsidR="00E15EC4" w:rsidRPr="007B1456">
        <w:t xml:space="preserve"> </w:t>
      </w:r>
      <w:r w:rsidR="00E15EC4">
        <w:t>(</w:t>
      </w:r>
      <w:r w:rsidRPr="007B1456">
        <w:t>mRNA</w:t>
      </w:r>
      <w:r w:rsidR="00E15EC4">
        <w:t>) COVID-19</w:t>
      </w:r>
      <w:r w:rsidRPr="007B1456">
        <w:t xml:space="preserve"> vaccine </w:t>
      </w:r>
    </w:p>
    <w:p w14:paraId="28F87ACF" w14:textId="1C9A57C5" w:rsidR="006F3462" w:rsidRDefault="006F3462" w:rsidP="003F70B9">
      <w:pPr>
        <w:rPr>
          <w:sz w:val="21"/>
          <w:szCs w:val="21"/>
        </w:rPr>
      </w:pPr>
      <w:r>
        <w:rPr>
          <w:noProof/>
          <w:lang w:val="en-GB" w:eastAsia="en-GB"/>
        </w:rPr>
        <w:drawing>
          <wp:inline distT="0" distB="0" distL="0" distR="0" wp14:anchorId="04C9E3CF" wp14:editId="16F297F3">
            <wp:extent cx="5803900" cy="2261090"/>
            <wp:effectExtent l="0" t="0" r="6350" b="6350"/>
            <wp:docPr id="3" name="Picture 3" descr="Figure 2: Rate of events reported by age group for Pfizer mRNA vacc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2: Rate of events reported by age group for Pfizer mRNA vaccine "/>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Lst>
                    </a:blip>
                    <a:srcRect l="1720"/>
                    <a:stretch/>
                  </pic:blipFill>
                  <pic:spPr bwMode="auto">
                    <a:xfrm>
                      <a:off x="0" y="0"/>
                      <a:ext cx="5830748" cy="2271549"/>
                    </a:xfrm>
                    <a:prstGeom prst="rect">
                      <a:avLst/>
                    </a:prstGeom>
                    <a:ln>
                      <a:noFill/>
                    </a:ln>
                    <a:extLst>
                      <a:ext uri="{53640926-AAD7-44D8-BBD7-CCE9431645EC}">
                        <a14:shadowObscured xmlns:a14="http://schemas.microsoft.com/office/drawing/2010/main"/>
                      </a:ext>
                    </a:extLst>
                  </pic:spPr>
                </pic:pic>
              </a:graphicData>
            </a:graphic>
          </wp:inline>
        </w:drawing>
      </w:r>
    </w:p>
    <w:p w14:paraId="0E660A66" w14:textId="47A9F4C5" w:rsidR="006F3462" w:rsidRPr="00BF294F" w:rsidRDefault="009D3365" w:rsidP="00BF294F">
      <w:pPr>
        <w:pStyle w:val="FigureDescription"/>
      </w:pPr>
      <w:r>
        <w:t xml:space="preserve">From </w:t>
      </w:r>
      <w:r w:rsidR="006F3462" w:rsidRPr="00BF294F">
        <w:t>Israel Ministry of Health. Corona Vaccine Safety Follow-up. 15 December 2021</w:t>
      </w:r>
      <w:r w:rsidR="00BF294F">
        <w:t xml:space="preserve"> </w:t>
      </w:r>
      <w:hyperlink r:id="rId21" w:history="1">
        <w:r w:rsidR="006F3462" w:rsidRPr="00BF294F">
          <w:rPr>
            <w:rStyle w:val="Hyperlink"/>
            <w:color w:val="auto"/>
            <w:u w:val="none"/>
          </w:rPr>
          <w:t>https://www.gov.il/BlobFolder/reports/vaccine-efficacy-safety-followup-</w:t>
        </w:r>
      </w:hyperlink>
      <w:r w:rsidR="006F3462" w:rsidRPr="00BF294F">
        <w:t>committee/he/files_publications_corona_vaccine-safty-15122021.pdf.Accessed 29 December 2021.</w:t>
      </w:r>
    </w:p>
    <w:p w14:paraId="6825F502" w14:textId="677C0807" w:rsidR="006F3462" w:rsidRPr="003B229F" w:rsidRDefault="00BF294F" w:rsidP="003B229F">
      <w:r w:rsidRPr="003B229F">
        <w:t xml:space="preserve">The Israel Ministry of Health </w:t>
      </w:r>
      <w:r w:rsidR="00612068">
        <w:t>s</w:t>
      </w:r>
      <w:r w:rsidRPr="003B229F">
        <w:t>afety follow up report also provided the following update on other serious adverse events under surveillance (Figure 3).</w:t>
      </w:r>
    </w:p>
    <w:p w14:paraId="728366FD" w14:textId="0FD35833" w:rsidR="00DE5B19" w:rsidRDefault="00BF294F" w:rsidP="00BF294F">
      <w:pPr>
        <w:pStyle w:val="FigureTitle"/>
      </w:pPr>
      <w:r>
        <w:t xml:space="preserve">Figure 3: Other serious adverse events under surveillance </w:t>
      </w:r>
      <w:r w:rsidR="00E15EC4">
        <w:t>for COVID-19 (</w:t>
      </w:r>
      <w:r>
        <w:t>mRNA</w:t>
      </w:r>
      <w:r w:rsidR="00E15EC4">
        <w:t>)</w:t>
      </w:r>
      <w:r>
        <w:t xml:space="preserve"> </w:t>
      </w:r>
      <w:r w:rsidR="00E15EC4">
        <w:t>v</w:t>
      </w:r>
      <w:r>
        <w:t>accine</w:t>
      </w:r>
      <w:r w:rsidR="00E15EC4">
        <w:t>s</w:t>
      </w:r>
      <w:r>
        <w:t xml:space="preserve"> (</w:t>
      </w:r>
      <w:proofErr w:type="spellStart"/>
      <w:r w:rsidR="00E15EC4">
        <w:t>Comirnaty</w:t>
      </w:r>
      <w:proofErr w:type="spellEnd"/>
      <w:r w:rsidR="009D3365">
        <w:t xml:space="preserve"> </w:t>
      </w:r>
      <w:r w:rsidR="00E15EC4">
        <w:t>(</w:t>
      </w:r>
      <w:proofErr w:type="spellStart"/>
      <w:r w:rsidR="00E15EC4">
        <w:t>tozinameran</w:t>
      </w:r>
      <w:proofErr w:type="spellEnd"/>
      <w:r w:rsidR="00E15EC4">
        <w:t xml:space="preserve">) </w:t>
      </w:r>
      <w:r w:rsidR="009D3365">
        <w:t>and</w:t>
      </w:r>
      <w:r>
        <w:t xml:space="preserve"> </w:t>
      </w:r>
      <w:r w:rsidR="00E15EC4">
        <w:t>Spikevax (</w:t>
      </w:r>
      <w:proofErr w:type="spellStart"/>
      <w:r w:rsidR="00E15EC4">
        <w:t>elasomeran</w:t>
      </w:r>
      <w:proofErr w:type="spellEnd"/>
      <w:r w:rsidR="00E15EC4">
        <w:t xml:space="preserve">, </w:t>
      </w:r>
      <w:proofErr w:type="spellStart"/>
      <w:r w:rsidR="00E15EC4">
        <w:t>Moderna</w:t>
      </w:r>
      <w:proofErr w:type="spellEnd"/>
      <w:r>
        <w:t>)</w:t>
      </w:r>
    </w:p>
    <w:p w14:paraId="6BA704C7" w14:textId="77777777" w:rsidR="003F70B9" w:rsidRDefault="00DE5B19" w:rsidP="003F70B9">
      <w:r w:rsidRPr="00BB312B">
        <w:rPr>
          <w:noProof/>
          <w:lang w:val="en-GB" w:eastAsia="en-GB"/>
        </w:rPr>
        <w:drawing>
          <wp:inline distT="0" distB="0" distL="0" distR="0" wp14:anchorId="7D7FDDE5" wp14:editId="6C83621F">
            <wp:extent cx="5282195" cy="2645075"/>
            <wp:effectExtent l="0" t="0" r="0" b="3175"/>
            <wp:docPr id="6" name="Picture 6" descr="Figure3&#10;One or more of the following cases: &#10;• Life-threatening condition (by assessment of the medical staff) or a condition that ended in death. &#10;• Requires hospitalization or prolongation of hospitalization. &#10;• Results in permanent disability. &#10;• A congenital defect diagnosed in the baby of a woman vaccinated during pregnancy. &#10;• Requires urgent medical care (by assessment of the medical staff). &#10;*https://www.fda.gov/safety/reporting-serious-problems-fda/what-serious-adverse-event &#10;An orderly monitoring and assessment process is conducted by a special committee to identify whether there is a link between the reported adverse event and the vaccine. &#10;• The vaccine is given to the entire population over the age of 5, except in specific cases related to a previous reaction to the vaccine or any medical condition. &#10;https://www.health.gov.il/UnitsOffice/HD/PH/epidemiology/td/docs/365_Corona.pdf &#10;&#10;Dose no.  No. of reports of &#10;mild-moderate events  No. of reports of serious events &#10;First  11,103  150 &#10;Second  10,936  226 &#10;Booster  2,605  9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3&#10;One or more of the following cases: &#10;• Life-threatening condition (by assessment of the medical staff) or a condition that ended in death. &#10;• Requires hospitalization or prolongation of hospitalization. &#10;• Results in permanent disability. &#10;• A congenital defect diagnosed in the baby of a woman vaccinated during pregnancy. &#10;• Requires urgent medical care (by assessment of the medical staff). &#10;*https://www.fda.gov/safety/reporting-serious-problems-fda/what-serious-adverse-event &#10;An orderly monitoring and assessment process is conducted by a special committee to identify whether there is a link between the reported adverse event and the vaccine. &#10;• The vaccine is given to the entire population over the age of 5, except in specific cases related to a previous reaction to the vaccine or any medical condition. &#10;https://www.health.gov.il/UnitsOffice/HD/PH/epidemiology/td/docs/365_Corona.pdf &#10;&#10;Dose no.  No. of reports of &#10;mild-moderate events  No. of reports of serious events &#10;First  11,103  150 &#10;Second  10,936  226 &#10;Booster  2,605  92 &#10;"/>
                    <pic:cNvPicPr>
                      <a:picLocks noChangeAspect="1" noChangeArrowheads="1"/>
                    </pic:cNvPicPr>
                  </pic:nvPicPr>
                  <pic:blipFill rotWithShape="1">
                    <a:blip r:embed="rId22" cstate="print">
                      <a:lum bright="-20000" contrast="40000"/>
                      <a:extLst>
                        <a:ext uri="{28A0092B-C50C-407E-A947-70E740481C1C}">
                          <a14:useLocalDpi xmlns:a14="http://schemas.microsoft.com/office/drawing/2010/main" val="0"/>
                        </a:ext>
                      </a:extLst>
                    </a:blip>
                    <a:srcRect l="2881" t="18491" r="4942" b="4285"/>
                    <a:stretch/>
                  </pic:blipFill>
                  <pic:spPr bwMode="auto">
                    <a:xfrm>
                      <a:off x="0" y="0"/>
                      <a:ext cx="5283200" cy="2645578"/>
                    </a:xfrm>
                    <a:prstGeom prst="rect">
                      <a:avLst/>
                    </a:prstGeom>
                    <a:noFill/>
                    <a:ln>
                      <a:noFill/>
                    </a:ln>
                    <a:extLst>
                      <a:ext uri="{53640926-AAD7-44D8-BBD7-CCE9431645EC}">
                        <a14:shadowObscured xmlns:a14="http://schemas.microsoft.com/office/drawing/2010/main"/>
                      </a:ext>
                    </a:extLst>
                  </pic:spPr>
                </pic:pic>
              </a:graphicData>
            </a:graphic>
          </wp:inline>
        </w:drawing>
      </w:r>
    </w:p>
    <w:p w14:paraId="2C3AF060" w14:textId="117C6122" w:rsidR="007B1456" w:rsidRPr="00BF294F" w:rsidRDefault="009D3365" w:rsidP="003F70B9">
      <w:pPr>
        <w:pStyle w:val="FigureDescription"/>
      </w:pPr>
      <w:r>
        <w:t xml:space="preserve">From </w:t>
      </w:r>
      <w:r w:rsidR="007B1456" w:rsidRPr="00BF294F">
        <w:t>Israel Ministry of Health. Corona Vaccine Safety Follow-up. 15 December 2021</w:t>
      </w:r>
      <w:r w:rsidR="007B1456">
        <w:t xml:space="preserve"> </w:t>
      </w:r>
      <w:hyperlink r:id="rId23" w:history="1">
        <w:r w:rsidR="007B1456" w:rsidRPr="00BF294F">
          <w:rPr>
            <w:rStyle w:val="Hyperlink"/>
            <w:color w:val="auto"/>
            <w:u w:val="none"/>
          </w:rPr>
          <w:t>https://www.gov.il/BlobFolder/reports/vaccine-efficacy-safety-followup-</w:t>
        </w:r>
      </w:hyperlink>
      <w:r w:rsidR="007B1456" w:rsidRPr="00BF294F">
        <w:t>committee/he/files_publications_corona_vaccine-safty-15122021.pdf.Accessed 29 December 2021.</w:t>
      </w:r>
    </w:p>
    <w:p w14:paraId="44E61721" w14:textId="03C9FD81" w:rsidR="00DE5B19" w:rsidRDefault="00DE5B19" w:rsidP="007B1456">
      <w:r>
        <w:t xml:space="preserve">Serious adverse events rates by diagnosis were reported for </w:t>
      </w:r>
      <w:r w:rsidR="00E15EC4">
        <w:t xml:space="preserve">people </w:t>
      </w:r>
      <w:r>
        <w:t>age</w:t>
      </w:r>
      <w:r w:rsidR="00E15EC4">
        <w:t>d</w:t>
      </w:r>
      <w:r>
        <w:t xml:space="preserve"> 16</w:t>
      </w:r>
      <w:r w:rsidR="00E15EC4">
        <w:t xml:space="preserve"> to </w:t>
      </w:r>
      <w:r>
        <w:t>59. Adverse</w:t>
      </w:r>
      <w:r w:rsidR="00E15EC4">
        <w:t> </w:t>
      </w:r>
      <w:r>
        <w:t>events shortly after receipt of a vaccine for ages 12</w:t>
      </w:r>
      <w:r w:rsidR="003B229F">
        <w:t xml:space="preserve"> to </w:t>
      </w:r>
      <w:r>
        <w:t xml:space="preserve">15 </w:t>
      </w:r>
      <w:r w:rsidR="00E15EC4">
        <w:t xml:space="preserve">years </w:t>
      </w:r>
      <w:r>
        <w:t>by dose</w:t>
      </w:r>
      <w:r w:rsidR="00BE7102">
        <w:t>,</w:t>
      </w:r>
      <w:r>
        <w:t xml:space="preserve"> </w:t>
      </w:r>
      <w:r w:rsidR="0056476B">
        <w:t xml:space="preserve">reported by the Israel Ministry of Health </w:t>
      </w:r>
      <w:r>
        <w:t>are shown below</w:t>
      </w:r>
      <w:r w:rsidR="007B1456">
        <w:t xml:space="preserve"> in Figure 4</w:t>
      </w:r>
      <w:r>
        <w:t>.</w:t>
      </w:r>
    </w:p>
    <w:p w14:paraId="3A2C5428" w14:textId="770EDD68" w:rsidR="005F3368" w:rsidRDefault="007B1456" w:rsidP="007B1456">
      <w:pPr>
        <w:pStyle w:val="FigureTitle"/>
      </w:pPr>
      <w:r>
        <w:lastRenderedPageBreak/>
        <w:t xml:space="preserve">Figure 4: Reported </w:t>
      </w:r>
      <w:r w:rsidR="004F3B53">
        <w:t xml:space="preserve">adverse </w:t>
      </w:r>
      <w:r>
        <w:t>events in the 12</w:t>
      </w:r>
      <w:r w:rsidR="003B229F">
        <w:t xml:space="preserve"> to </w:t>
      </w:r>
      <w:r>
        <w:t>15 year</w:t>
      </w:r>
      <w:r w:rsidR="00E15EC4">
        <w:t>s</w:t>
      </w:r>
      <w:r>
        <w:t xml:space="preserve"> </w:t>
      </w:r>
      <w:r w:rsidR="00E15EC4">
        <w:t xml:space="preserve">of </w:t>
      </w:r>
      <w:r>
        <w:t>age group</w:t>
      </w:r>
    </w:p>
    <w:p w14:paraId="4DD5D134" w14:textId="3300BE6B" w:rsidR="005F3368" w:rsidRDefault="005F3368" w:rsidP="003F70B9">
      <w:pPr>
        <w:rPr>
          <w:sz w:val="21"/>
          <w:szCs w:val="21"/>
        </w:rPr>
      </w:pPr>
      <w:r>
        <w:rPr>
          <w:noProof/>
          <w:lang w:val="en-GB" w:eastAsia="en-GB"/>
        </w:rPr>
        <w:drawing>
          <wp:inline distT="0" distB="0" distL="0" distR="0" wp14:anchorId="5324C7FC" wp14:editId="6970FB68">
            <wp:extent cx="5527619" cy="2023987"/>
            <wp:effectExtent l="0" t="0" r="0" b="0"/>
            <wp:docPr id="4" name="Picture 4" descr="Figure 4: Reported events in the 12-15 years old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4: Reported events in the 12-15 years old age group"/>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Lst>
                    </a:blip>
                    <a:srcRect l="4586" t="4080" r="2046" b="6630"/>
                    <a:stretch/>
                  </pic:blipFill>
                  <pic:spPr bwMode="auto">
                    <a:xfrm>
                      <a:off x="0" y="0"/>
                      <a:ext cx="5533294" cy="2026065"/>
                    </a:xfrm>
                    <a:prstGeom prst="rect">
                      <a:avLst/>
                    </a:prstGeom>
                    <a:ln>
                      <a:noFill/>
                    </a:ln>
                    <a:extLst>
                      <a:ext uri="{53640926-AAD7-44D8-BBD7-CCE9431645EC}">
                        <a14:shadowObscured xmlns:a14="http://schemas.microsoft.com/office/drawing/2010/main"/>
                      </a:ext>
                    </a:extLst>
                  </pic:spPr>
                </pic:pic>
              </a:graphicData>
            </a:graphic>
          </wp:inline>
        </w:drawing>
      </w:r>
    </w:p>
    <w:p w14:paraId="7810426A" w14:textId="10099D9C" w:rsidR="009D3365" w:rsidRDefault="007B1456" w:rsidP="007B1456">
      <w:pPr>
        <w:pStyle w:val="FigureDescription"/>
      </w:pPr>
      <w:r>
        <w:t>The rate of reports of mild adverse events shortly after the vaccination is lower than observed in the clinical trials. This is probably due to under reporting by the public of mild adverse events that do not require medical monitoring and do not affect life routine.</w:t>
      </w:r>
      <w:r w:rsidR="00D9276E">
        <w:t xml:space="preserve"> </w:t>
      </w:r>
      <w:r w:rsidR="00BE7102">
        <w:t xml:space="preserve"> </w:t>
      </w:r>
      <w:r w:rsidR="009D3365">
        <w:t xml:space="preserve">From </w:t>
      </w:r>
      <w:r w:rsidR="009D3365" w:rsidRPr="00BF294F">
        <w:t>Israel Ministry of Health. Corona Vaccine Safety Follow-up. 15 December 2021</w:t>
      </w:r>
      <w:r w:rsidR="009D3365">
        <w:t xml:space="preserve"> </w:t>
      </w:r>
      <w:hyperlink r:id="rId26" w:history="1">
        <w:r w:rsidR="009D3365" w:rsidRPr="00BF294F">
          <w:rPr>
            <w:rStyle w:val="Hyperlink"/>
            <w:color w:val="auto"/>
            <w:u w:val="none"/>
          </w:rPr>
          <w:t>https://www.gov.il/BlobFolder/reports/vaccine-efficacy-safety-followup-</w:t>
        </w:r>
      </w:hyperlink>
      <w:r w:rsidR="009D3365" w:rsidRPr="00BF294F">
        <w:t>committee/he/files_publications_corona_vaccine-safty-15122021.pdf.Accessed 29 December 2021.</w:t>
      </w:r>
    </w:p>
    <w:p w14:paraId="756B1675" w14:textId="667D19D7" w:rsidR="00DE5B19" w:rsidRDefault="009C7F3F" w:rsidP="0056476B">
      <w:pPr>
        <w:rPr>
          <w:noProof/>
        </w:rPr>
      </w:pPr>
      <w:r>
        <w:rPr>
          <w:noProof/>
        </w:rPr>
        <w:t>The number of cases of myocarditis in ages 12</w:t>
      </w:r>
      <w:r w:rsidR="003B229F">
        <w:rPr>
          <w:noProof/>
        </w:rPr>
        <w:t xml:space="preserve"> to </w:t>
      </w:r>
      <w:r>
        <w:rPr>
          <w:noProof/>
        </w:rPr>
        <w:t xml:space="preserve">15 years </w:t>
      </w:r>
      <w:r w:rsidR="0056476B">
        <w:t xml:space="preserve">reported by the Israel Ministry of Health </w:t>
      </w:r>
      <w:r>
        <w:rPr>
          <w:noProof/>
        </w:rPr>
        <w:t>is described in Figure 5.</w:t>
      </w:r>
    </w:p>
    <w:p w14:paraId="20E835E6" w14:textId="1050CAAE" w:rsidR="009C7F3F" w:rsidRDefault="009C7F3F" w:rsidP="009C7F3F">
      <w:pPr>
        <w:pStyle w:val="FigureTitle"/>
        <w:rPr>
          <w:noProof/>
        </w:rPr>
      </w:pPr>
      <w:r>
        <w:rPr>
          <w:noProof/>
        </w:rPr>
        <w:t>Figure 5: Number of myocarditis cases in the 12</w:t>
      </w:r>
      <w:r w:rsidR="00D9276E">
        <w:rPr>
          <w:noProof/>
        </w:rPr>
        <w:t xml:space="preserve"> to </w:t>
      </w:r>
      <w:r>
        <w:rPr>
          <w:noProof/>
        </w:rPr>
        <w:t xml:space="preserve">15 </w:t>
      </w:r>
      <w:r w:rsidR="00F85C01">
        <w:rPr>
          <w:noProof/>
        </w:rPr>
        <w:t>year</w:t>
      </w:r>
      <w:r w:rsidR="004F3B53">
        <w:rPr>
          <w:noProof/>
        </w:rPr>
        <w:t>s</w:t>
      </w:r>
      <w:r w:rsidR="00F85C01">
        <w:rPr>
          <w:noProof/>
        </w:rPr>
        <w:t xml:space="preserve"> </w:t>
      </w:r>
      <w:r w:rsidR="004F3B53">
        <w:rPr>
          <w:noProof/>
        </w:rPr>
        <w:t>of</w:t>
      </w:r>
      <w:r w:rsidR="00F85C01">
        <w:rPr>
          <w:noProof/>
        </w:rPr>
        <w:t xml:space="preserve"> </w:t>
      </w:r>
      <w:r>
        <w:rPr>
          <w:noProof/>
        </w:rPr>
        <w:t>age group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E15EC4" w14:paraId="24408D34" w14:textId="77777777" w:rsidTr="002341E9">
        <w:trPr>
          <w:trHeight w:val="2333"/>
        </w:trPr>
        <w:tc>
          <w:tcPr>
            <w:tcW w:w="8494" w:type="dxa"/>
          </w:tcPr>
          <w:p w14:paraId="204F7B79" w14:textId="0F2F71CE" w:rsidR="00E15EC4" w:rsidRDefault="00E15EC4" w:rsidP="003F70B9">
            <w:pPr>
              <w:rPr>
                <w:noProof/>
              </w:rPr>
            </w:pPr>
            <w:r w:rsidRPr="002341E9">
              <w:rPr>
                <w:noProof/>
              </w:rPr>
              <w:drawing>
                <wp:anchor distT="0" distB="0" distL="114300" distR="114300" simplePos="0" relativeHeight="251659264" behindDoc="0" locked="0" layoutInCell="1" allowOverlap="1" wp14:anchorId="2A2DAB4D" wp14:editId="7F196096">
                  <wp:simplePos x="0" y="0"/>
                  <wp:positionH relativeFrom="column">
                    <wp:posOffset>-229</wp:posOffset>
                  </wp:positionH>
                  <wp:positionV relativeFrom="paragraph">
                    <wp:posOffset>94031</wp:posOffset>
                  </wp:positionV>
                  <wp:extent cx="3947847" cy="1265174"/>
                  <wp:effectExtent l="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0491"/>
                          <a:stretch/>
                        </pic:blipFill>
                        <pic:spPr bwMode="auto">
                          <a:xfrm>
                            <a:off x="0" y="0"/>
                            <a:ext cx="3948924" cy="1265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C6E84FC" w14:textId="71E18F92" w:rsidR="0056476B" w:rsidRDefault="0056476B">
      <w:pPr>
        <w:pStyle w:val="FigureDescription"/>
      </w:pPr>
      <w:r>
        <w:t xml:space="preserve">From </w:t>
      </w:r>
      <w:r w:rsidRPr="00BF294F">
        <w:t>Israel Ministry of Health. Corona Vaccine Safety Follow-up. 15 December 2021</w:t>
      </w:r>
      <w:r>
        <w:t xml:space="preserve"> </w:t>
      </w:r>
      <w:r w:rsidR="004F3B53" w:rsidRPr="002341E9">
        <w:t>https://www.gov.il/BlobFolder/reports/vaccine-efficacy-safety-followup-committee/he/files_publications_corona_vaccine-safty-15122021.pdf</w:t>
      </w:r>
      <w:r w:rsidRPr="00BF294F">
        <w:t>.</w:t>
      </w:r>
      <w:r w:rsidR="004F3B53">
        <w:t xml:space="preserve"> </w:t>
      </w:r>
      <w:r w:rsidRPr="00BF294F">
        <w:t>Accessed</w:t>
      </w:r>
      <w:r w:rsidR="004F3B53">
        <w:t>: </w:t>
      </w:r>
      <w:r w:rsidRPr="00BF294F">
        <w:t>29</w:t>
      </w:r>
      <w:r w:rsidR="004F3B53">
        <w:t> </w:t>
      </w:r>
      <w:r w:rsidRPr="00BF294F">
        <w:t>December 2021.</w:t>
      </w:r>
    </w:p>
    <w:p w14:paraId="3FA90AF5" w14:textId="4A47F682" w:rsidR="00616E27" w:rsidRDefault="009C7F3F" w:rsidP="0056476B">
      <w:r>
        <w:t>The clinical symptomatology in cases shor</w:t>
      </w:r>
      <w:r w:rsidR="00BE23DA">
        <w:t>tly after vaccine administration</w:t>
      </w:r>
      <w:r w:rsidR="0056476B">
        <w:t xml:space="preserve"> reported by the Israel Ministry of Health</w:t>
      </w:r>
      <w:r w:rsidR="00BE23DA">
        <w:t xml:space="preserve"> is detailed in Figure 6 below.</w:t>
      </w:r>
    </w:p>
    <w:p w14:paraId="43DF9DBB" w14:textId="236266F7" w:rsidR="00BE23DA" w:rsidRDefault="00BE23DA" w:rsidP="00BE23DA">
      <w:pPr>
        <w:pStyle w:val="FigureTitle"/>
        <w:rPr>
          <w:sz w:val="21"/>
          <w:szCs w:val="21"/>
        </w:rPr>
      </w:pPr>
      <w:r>
        <w:rPr>
          <w:sz w:val="21"/>
          <w:szCs w:val="21"/>
        </w:rPr>
        <w:t xml:space="preserve">Figure 6: </w:t>
      </w:r>
      <w:r w:rsidR="0056476B">
        <w:t>C</w:t>
      </w:r>
      <w:r>
        <w:t>linical symptomatology of 13 cases with myocarditis shortly after vaccine</w:t>
      </w:r>
      <w:r w:rsidR="00F85C01">
        <w:t xml:space="preserve"> administration</w:t>
      </w:r>
    </w:p>
    <w:p w14:paraId="545B06DE" w14:textId="77777777" w:rsidR="00DE5B19" w:rsidRDefault="00DE5B19" w:rsidP="003F70B9">
      <w:r w:rsidRPr="00BF1A36">
        <w:rPr>
          <w:noProof/>
          <w:lang w:val="en-GB" w:eastAsia="en-GB"/>
        </w:rPr>
        <w:drawing>
          <wp:inline distT="0" distB="0" distL="0" distR="0" wp14:anchorId="1B66BED7" wp14:editId="559CD64A">
            <wp:extent cx="4185330" cy="1598092"/>
            <wp:effectExtent l="0" t="0" r="5715" b="2540"/>
            <wp:docPr id="10" name="Picture 10" descr="The clinical symptomatology in most cases is mild &#10;• Length of hospitalization - 2-4 days &#10;• No invasive intervention or special drugs to improve heart function were required &#10;• Pulse rate was within the normal range (average - 81.3±17.3) &#10;• There were no arrhythmias &#10;• There was no event of shock &#10;• In eco: Pericardial effusion - 3/13 (23.1%) &#10;&#10;Reduced left ventricular function - 2/13 (15.4%) - function at the lower limit of normal in an echocardiogram, normal function was restored during hospitaliz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clinical symptomatology in most cases is mild &#10;• Length of hospitalization - 2-4 days &#10;• No invasive intervention or special drugs to improve heart function were required &#10;• Pulse rate was within the normal range (average - 81.3±17.3) &#10;• There were no arrhythmias &#10;• There was no event of shock &#10;• In eco: Pericardial effusion - 3/13 (23.1%) &#10;&#10;Reduced left ventricular function - 2/13 (15.4%) - function at the lower limit of normal in an echocardiogram, normal function was restored during hospitalization&#1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655" t="21748" r="3613" b="6899"/>
                    <a:stretch/>
                  </pic:blipFill>
                  <pic:spPr bwMode="auto">
                    <a:xfrm>
                      <a:off x="0" y="0"/>
                      <a:ext cx="4214220" cy="1609123"/>
                    </a:xfrm>
                    <a:prstGeom prst="rect">
                      <a:avLst/>
                    </a:prstGeom>
                    <a:noFill/>
                    <a:ln>
                      <a:noFill/>
                    </a:ln>
                    <a:extLst>
                      <a:ext uri="{53640926-AAD7-44D8-BBD7-CCE9431645EC}">
                        <a14:shadowObscured xmlns:a14="http://schemas.microsoft.com/office/drawing/2010/main"/>
                      </a:ext>
                    </a:extLst>
                  </pic:spPr>
                </pic:pic>
              </a:graphicData>
            </a:graphic>
          </wp:inline>
        </w:drawing>
      </w:r>
    </w:p>
    <w:p w14:paraId="59483F4B" w14:textId="5BF011C2" w:rsidR="0056476B" w:rsidRDefault="0056476B" w:rsidP="0056476B">
      <w:pPr>
        <w:pStyle w:val="FigureDescription"/>
      </w:pPr>
      <w:r>
        <w:lastRenderedPageBreak/>
        <w:t xml:space="preserve">From </w:t>
      </w:r>
      <w:r w:rsidRPr="00BF294F">
        <w:t>Israel Ministry of Health. Corona Vaccine Safety Follow-up. 15 December 2021</w:t>
      </w:r>
      <w:r>
        <w:t xml:space="preserve"> </w:t>
      </w:r>
      <w:hyperlink r:id="rId29" w:history="1">
        <w:r w:rsidRPr="00BF294F">
          <w:rPr>
            <w:rStyle w:val="Hyperlink"/>
            <w:color w:val="auto"/>
            <w:u w:val="none"/>
          </w:rPr>
          <w:t>https://www.gov.il/BlobFolder/reports/vaccine-efficacy-safety-followup-</w:t>
        </w:r>
      </w:hyperlink>
      <w:r w:rsidRPr="00BF294F">
        <w:t>committee/he/files_publications_corona_vaccine-safty-15122021.pdf.Accessed 29 December 2021.</w:t>
      </w:r>
    </w:p>
    <w:p w14:paraId="27B25D55" w14:textId="24D5E1F2" w:rsidR="00BE23DA" w:rsidRDefault="00BE23DA" w:rsidP="0056476B">
      <w:r>
        <w:t>The rate of myocarditis across all age groups</w:t>
      </w:r>
      <w:r w:rsidR="0056476B">
        <w:t xml:space="preserve"> reported by the Israel Ministry of Health </w:t>
      </w:r>
      <w:r>
        <w:t>is shown in Table 1</w:t>
      </w:r>
      <w:r w:rsidR="00BE7102">
        <w:t xml:space="preserve"> below</w:t>
      </w:r>
      <w:r>
        <w:t>.</w:t>
      </w:r>
    </w:p>
    <w:p w14:paraId="43234C43" w14:textId="754DC16E" w:rsidR="00DE5B19" w:rsidRDefault="00BE23DA" w:rsidP="00BE23DA">
      <w:pPr>
        <w:pStyle w:val="TableTitle"/>
      </w:pPr>
      <w:r>
        <w:t xml:space="preserve">Table 1: Myocarditis cases in all age groups </w:t>
      </w:r>
      <w:r w:rsidR="000A3A37">
        <w:t>(</w:t>
      </w:r>
      <w:proofErr w:type="spellStart"/>
      <w:r w:rsidR="004F3B53">
        <w:t>Comirnaty</w:t>
      </w:r>
      <w:proofErr w:type="spellEnd"/>
      <w:r w:rsidR="004F3B53">
        <w:t xml:space="preserve"> (</w:t>
      </w:r>
      <w:r>
        <w:t>mRNA</w:t>
      </w:r>
      <w:r w:rsidR="004F3B53">
        <w:t>) COVID-19</w:t>
      </w:r>
      <w:r>
        <w:t xml:space="preserve"> vaccine</w:t>
      </w:r>
      <w:r w:rsidR="000A3A37">
        <w:t>)</w:t>
      </w:r>
    </w:p>
    <w:p w14:paraId="3B22BA8E" w14:textId="2A8E240B" w:rsidR="00616E27" w:rsidRDefault="00616E27" w:rsidP="003F70B9">
      <w:pPr>
        <w:rPr>
          <w:sz w:val="21"/>
          <w:szCs w:val="21"/>
        </w:rPr>
      </w:pPr>
      <w:r>
        <w:rPr>
          <w:noProof/>
          <w:lang w:val="en-GB" w:eastAsia="en-GB"/>
        </w:rPr>
        <w:drawing>
          <wp:inline distT="0" distB="0" distL="0" distR="0" wp14:anchorId="2A098407" wp14:editId="62B42445">
            <wp:extent cx="5508113" cy="2255178"/>
            <wp:effectExtent l="0" t="0" r="0" b="0"/>
            <wp:docPr id="11" name="Picture 11" descr="Table 1: Myocarditis cases in all age groups Pfizer mRNA vacc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1: Myocarditis cases in all age groups Pfizer mRNA vaccine"/>
                    <pic:cNvPicPr/>
                  </pic:nvPicPr>
                  <pic:blipFill rotWithShape="1">
                    <a:blip r:embed="rId30">
                      <a:extLst>
                        <a:ext uri="{BEBA8EAE-BF5A-486C-A8C5-ECC9F3942E4B}">
                          <a14:imgProps xmlns:a14="http://schemas.microsoft.com/office/drawing/2010/main">
                            <a14:imgLayer r:embed="rId31">
                              <a14:imgEffect>
                                <a14:brightnessContrast contrast="-40000"/>
                              </a14:imgEffect>
                            </a14:imgLayer>
                          </a14:imgProps>
                        </a:ext>
                      </a:extLst>
                    </a:blip>
                    <a:srcRect l="854" r="833"/>
                    <a:stretch/>
                  </pic:blipFill>
                  <pic:spPr bwMode="auto">
                    <a:xfrm>
                      <a:off x="0" y="0"/>
                      <a:ext cx="5536190" cy="2266673"/>
                    </a:xfrm>
                    <a:prstGeom prst="rect">
                      <a:avLst/>
                    </a:prstGeom>
                    <a:ln>
                      <a:noFill/>
                    </a:ln>
                    <a:extLst>
                      <a:ext uri="{53640926-AAD7-44D8-BBD7-CCE9431645EC}">
                        <a14:shadowObscured xmlns:a14="http://schemas.microsoft.com/office/drawing/2010/main"/>
                      </a:ext>
                    </a:extLst>
                  </pic:spPr>
                </pic:pic>
              </a:graphicData>
            </a:graphic>
          </wp:inline>
        </w:drawing>
      </w:r>
    </w:p>
    <w:p w14:paraId="7830CB42" w14:textId="4E6D7609" w:rsidR="00BE23DA" w:rsidRDefault="00BE23DA" w:rsidP="000D4880">
      <w:pPr>
        <w:rPr>
          <w:noProof/>
        </w:rPr>
      </w:pPr>
      <w:r>
        <w:rPr>
          <w:noProof/>
        </w:rPr>
        <w:t xml:space="preserve">Table 2 </w:t>
      </w:r>
      <w:r w:rsidR="006015E2">
        <w:rPr>
          <w:noProof/>
        </w:rPr>
        <w:t>shows a comparison of</w:t>
      </w:r>
      <w:r>
        <w:rPr>
          <w:noProof/>
        </w:rPr>
        <w:t xml:space="preserve"> the rates of myocarditis </w:t>
      </w:r>
      <w:r w:rsidR="006015E2">
        <w:rPr>
          <w:noProof/>
        </w:rPr>
        <w:t xml:space="preserve">shortly after receipt of the vaccine </w:t>
      </w:r>
      <w:r w:rsidR="00BE7102">
        <w:rPr>
          <w:noProof/>
        </w:rPr>
        <w:t>and</w:t>
      </w:r>
      <w:r>
        <w:rPr>
          <w:noProof/>
        </w:rPr>
        <w:t xml:space="preserve"> the rates of </w:t>
      </w:r>
      <w:r w:rsidR="006015E2" w:rsidRPr="002341E9">
        <w:t>severe</w:t>
      </w:r>
      <w:r w:rsidR="006015E2">
        <w:rPr>
          <w:noProof/>
        </w:rPr>
        <w:t xml:space="preserve"> </w:t>
      </w:r>
      <w:r>
        <w:rPr>
          <w:noProof/>
        </w:rPr>
        <w:t>morbidity from COVID-19</w:t>
      </w:r>
      <w:r w:rsidR="0056476B">
        <w:rPr>
          <w:noProof/>
        </w:rPr>
        <w:t xml:space="preserve"> </w:t>
      </w:r>
      <w:r w:rsidR="0056476B">
        <w:t>reported by the Israel Ministry of Health</w:t>
      </w:r>
      <w:r>
        <w:rPr>
          <w:noProof/>
        </w:rPr>
        <w:t>.</w:t>
      </w:r>
    </w:p>
    <w:p w14:paraId="3C318978" w14:textId="4DB3F6BC" w:rsidR="00DE5B19" w:rsidRDefault="00BE23DA" w:rsidP="00BE23DA">
      <w:pPr>
        <w:pStyle w:val="TableTitle"/>
      </w:pPr>
      <w:r>
        <w:rPr>
          <w:noProof/>
        </w:rPr>
        <w:t xml:space="preserve">Table 2: Rates of myocarditis shortly </w:t>
      </w:r>
      <w:r w:rsidR="004F3B53">
        <w:rPr>
          <w:noProof/>
        </w:rPr>
        <w:t>a</w:t>
      </w:r>
      <w:r>
        <w:rPr>
          <w:noProof/>
        </w:rPr>
        <w:t xml:space="preserve">fter receipt of the </w:t>
      </w:r>
      <w:r w:rsidR="004F3B53">
        <w:rPr>
          <w:noProof/>
        </w:rPr>
        <w:t>Comirnaty (mRNA) COVID</w:t>
      </w:r>
      <w:r w:rsidR="004F3B53">
        <w:rPr>
          <w:noProof/>
        </w:rPr>
        <w:noBreakHyphen/>
        <w:t xml:space="preserve">19 </w:t>
      </w:r>
      <w:r>
        <w:rPr>
          <w:noProof/>
        </w:rPr>
        <w:t>vaccine compared to the rates of severe morbidity with COVID-19</w:t>
      </w:r>
    </w:p>
    <w:p w14:paraId="5373A658" w14:textId="6A284D01" w:rsidR="00DE5B19" w:rsidRDefault="003F6AF8" w:rsidP="003F70B9">
      <w:pPr>
        <w:rPr>
          <w:sz w:val="21"/>
          <w:szCs w:val="21"/>
        </w:rPr>
      </w:pPr>
      <w:r>
        <w:rPr>
          <w:noProof/>
          <w:lang w:val="en-GB" w:eastAsia="en-GB"/>
        </w:rPr>
        <w:drawing>
          <wp:inline distT="0" distB="0" distL="0" distR="0" wp14:anchorId="271F098A" wp14:editId="139CFA93">
            <wp:extent cx="4762071" cy="2353036"/>
            <wp:effectExtent l="0" t="0" r="635" b="9525"/>
            <wp:docPr id="14" name="Picture 14" descr="Table 2: Rates of myocarditis shortly fter receipt of the vaccine compared to the rates of severe morbidity with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2: Rates of myocarditis shortly fter receipt of the vaccine compared to the rates of severe morbidity with COVID-19"/>
                    <pic:cNvPicPr/>
                  </pic:nvPicPr>
                  <pic:blipFill>
                    <a:blip r:embed="rId32"/>
                    <a:stretch>
                      <a:fillRect/>
                    </a:stretch>
                  </pic:blipFill>
                  <pic:spPr>
                    <a:xfrm>
                      <a:off x="0" y="0"/>
                      <a:ext cx="4786115" cy="2364917"/>
                    </a:xfrm>
                    <a:prstGeom prst="rect">
                      <a:avLst/>
                    </a:prstGeom>
                  </pic:spPr>
                </pic:pic>
              </a:graphicData>
            </a:graphic>
          </wp:inline>
        </w:drawing>
      </w:r>
    </w:p>
    <w:p w14:paraId="10C0A723" w14:textId="77777777" w:rsidR="006015E2" w:rsidRDefault="00DE5B19" w:rsidP="000D4880">
      <w:pPr>
        <w:pStyle w:val="Heading6"/>
      </w:pPr>
      <w:r>
        <w:t xml:space="preserve">TGA </w:t>
      </w:r>
      <w:r w:rsidR="006015E2">
        <w:t>e</w:t>
      </w:r>
      <w:r w:rsidRPr="00C07CB8">
        <w:t xml:space="preserve">valuation </w:t>
      </w:r>
      <w:r w:rsidR="006015E2">
        <w:t>c</w:t>
      </w:r>
      <w:r w:rsidRPr="00C07CB8">
        <w:t>omment</w:t>
      </w:r>
    </w:p>
    <w:p w14:paraId="62149420" w14:textId="4302A0A8" w:rsidR="0048595B" w:rsidRDefault="00DE5B19" w:rsidP="00DC3E69">
      <w:r w:rsidRPr="000D4880">
        <w:t xml:space="preserve">The </w:t>
      </w:r>
      <w:r w:rsidR="006015E2" w:rsidRPr="00DC3E69">
        <w:t>sponsor’s</w:t>
      </w:r>
      <w:r w:rsidRPr="00DC3E69">
        <w:t xml:space="preserve"> </w:t>
      </w:r>
      <w:r w:rsidR="0048595B">
        <w:t>c</w:t>
      </w:r>
      <w:r w:rsidRPr="00DC3E69">
        <w:t xml:space="preserve">linical </w:t>
      </w:r>
      <w:r w:rsidR="00983504" w:rsidRPr="00DC3E69">
        <w:t>o</w:t>
      </w:r>
      <w:r w:rsidRPr="00D93E3A">
        <w:t>verview includes a statement</w:t>
      </w:r>
      <w:r w:rsidR="0048595B">
        <w:t>:</w:t>
      </w:r>
    </w:p>
    <w:p w14:paraId="45FB30AE" w14:textId="56DA2512" w:rsidR="00F85C01" w:rsidRPr="002341E9" w:rsidRDefault="006015E2" w:rsidP="002341E9">
      <w:pPr>
        <w:ind w:left="720"/>
        <w:rPr>
          <w:i/>
        </w:rPr>
      </w:pPr>
      <w:r w:rsidRPr="002341E9">
        <w:rPr>
          <w:i/>
        </w:rPr>
        <w:t>‘</w:t>
      </w:r>
      <w:r w:rsidR="00DE5B19" w:rsidRPr="002341E9">
        <w:rPr>
          <w:i/>
        </w:rPr>
        <w:t>Safety data from the Israel Ministry of Health showing that after administering a single booster dose to more than 6,000 12- to 15-year-olds, no new safety concerns were identified through 15 December 2021</w:t>
      </w:r>
      <w:r w:rsidRPr="002341E9">
        <w:rPr>
          <w:i/>
        </w:rPr>
        <w:t>’</w:t>
      </w:r>
      <w:r w:rsidR="00DE5B19" w:rsidRPr="002341E9">
        <w:rPr>
          <w:i/>
        </w:rPr>
        <w:t>.</w:t>
      </w:r>
    </w:p>
    <w:p w14:paraId="501DCFFD" w14:textId="6614C5F5" w:rsidR="00DE5B19" w:rsidRPr="000D4880" w:rsidRDefault="00DE5B19" w:rsidP="000D4880">
      <w:r w:rsidRPr="000D4880">
        <w:t>The presented data are consistent with this statement.</w:t>
      </w:r>
    </w:p>
    <w:p w14:paraId="22C0FFE4" w14:textId="084598B8" w:rsidR="00DE5B19" w:rsidRPr="00D93E3A" w:rsidRDefault="00DE5B19" w:rsidP="00DC3E69">
      <w:r w:rsidRPr="00DC3E69">
        <w:t>Myocarditis and pericarditis have been raised as a safety signal, primarily in younger males, and remains a concern for a booster dose as well as for primary vaccination.</w:t>
      </w:r>
      <w:r w:rsidRPr="00D93E3A">
        <w:t xml:space="preserve"> These data do not allow any conclusion on an increased or decreased risk in adolescents.</w:t>
      </w:r>
    </w:p>
    <w:p w14:paraId="0072D403" w14:textId="77777777" w:rsidR="00B17C93" w:rsidRDefault="00B17C93" w:rsidP="00DC3E69">
      <w:pPr>
        <w:pStyle w:val="Heading5"/>
      </w:pPr>
      <w:bookmarkStart w:id="46" w:name="_Hlk97643010"/>
      <w:r>
        <w:lastRenderedPageBreak/>
        <w:t>Booster effectiveness</w:t>
      </w:r>
    </w:p>
    <w:bookmarkEnd w:id="46"/>
    <w:p w14:paraId="59FE18CD" w14:textId="2573B117" w:rsidR="00B17C93" w:rsidRPr="00262492" w:rsidRDefault="00DE5B19" w:rsidP="00B17C93">
      <w:pPr>
        <w:rPr>
          <w:b/>
          <w:bCs/>
        </w:rPr>
      </w:pPr>
      <w:r w:rsidRPr="00C07CB8">
        <w:t>Published data in adults showing that a single booster dose can greatly improve effectiveness against a range of SARS-CoV-2 outcomes compared to after only two doses administered at least five months ago</w:t>
      </w:r>
      <w:r>
        <w:t xml:space="preserve">. </w:t>
      </w:r>
      <w:r w:rsidR="006015E2">
        <w:t>The</w:t>
      </w:r>
      <w:r>
        <w:t xml:space="preserve"> </w:t>
      </w:r>
      <w:r w:rsidR="006015E2">
        <w:t xml:space="preserve">following three </w:t>
      </w:r>
      <w:r>
        <w:t>publications were referenced to support this statement</w:t>
      </w:r>
      <w:r w:rsidR="00B17C93">
        <w:t xml:space="preserve"> in the </w:t>
      </w:r>
      <w:r w:rsidR="0048595B">
        <w:t>s</w:t>
      </w:r>
      <w:r w:rsidR="00B17C93" w:rsidRPr="00B17C93">
        <w:t xml:space="preserve">ponsor’s </w:t>
      </w:r>
      <w:r w:rsidR="0048595B">
        <w:t>c</w:t>
      </w:r>
      <w:r w:rsidR="00B17C93" w:rsidRPr="00B17C93">
        <w:t xml:space="preserve">linical </w:t>
      </w:r>
      <w:r w:rsidR="00983504">
        <w:t>o</w:t>
      </w:r>
      <w:r w:rsidR="00B17C93" w:rsidRPr="00B17C93">
        <w:t>verview</w:t>
      </w:r>
      <w:r w:rsidR="0048595B">
        <w:t>,</w:t>
      </w:r>
      <w:r w:rsidR="00B17C93" w:rsidRPr="00B17C93">
        <w:t xml:space="preserve"> </w:t>
      </w:r>
      <w:r w:rsidR="00983504">
        <w:t xml:space="preserve">and </w:t>
      </w:r>
      <w:r w:rsidR="0048595B">
        <w:t>b</w:t>
      </w:r>
      <w:r w:rsidR="00B17C93" w:rsidRPr="00B17C93">
        <w:t>enefit and risk conclusions</w:t>
      </w:r>
      <w:r w:rsidR="00B17C93">
        <w:rPr>
          <w:b/>
          <w:bCs/>
        </w:rPr>
        <w:t>:</w:t>
      </w:r>
    </w:p>
    <w:p w14:paraId="03CBA49F" w14:textId="625D92E6" w:rsidR="00DE5B19" w:rsidRPr="003F6AF8" w:rsidRDefault="00DE5B19" w:rsidP="003F6AF8">
      <w:pPr>
        <w:pStyle w:val="ListBullet"/>
      </w:pPr>
      <w:proofErr w:type="spellStart"/>
      <w:r w:rsidRPr="003F6AF8">
        <w:t>Arbel</w:t>
      </w:r>
      <w:proofErr w:type="spellEnd"/>
      <w:r w:rsidRPr="003F6AF8">
        <w:t xml:space="preserve"> R et al. BNT162b2 Vaccine Booster and Mortality Due to Covid-19.</w:t>
      </w:r>
      <w:r w:rsidR="0048595B">
        <w:br/>
      </w:r>
      <w:r w:rsidRPr="003F6AF8">
        <w:t xml:space="preserve">N </w:t>
      </w:r>
      <w:proofErr w:type="spellStart"/>
      <w:r w:rsidRPr="003F6AF8">
        <w:t>Engl</w:t>
      </w:r>
      <w:proofErr w:type="spellEnd"/>
      <w:r w:rsidRPr="003F6AF8">
        <w:t xml:space="preserve"> J Med 2021;385:2413-</w:t>
      </w:r>
      <w:r w:rsidR="00F85C01">
        <w:t>24</w:t>
      </w:r>
      <w:r w:rsidRPr="003F6AF8">
        <w:t>20</w:t>
      </w:r>
      <w:r w:rsidR="00F85C01">
        <w:t>.</w:t>
      </w:r>
    </w:p>
    <w:p w14:paraId="6F85E62B" w14:textId="3AD96FB3" w:rsidR="00DE5B19" w:rsidRPr="003F6AF8" w:rsidRDefault="00DE5B19" w:rsidP="003F6AF8">
      <w:pPr>
        <w:pStyle w:val="ListBullet"/>
      </w:pPr>
      <w:r w:rsidRPr="003F6AF8">
        <w:t>Bar‑On YM, et al. Protection against Covid-19 by BNT162b2 Booster across Age Groups.</w:t>
      </w:r>
      <w:r w:rsidR="0048595B">
        <w:br/>
      </w:r>
      <w:r w:rsidRPr="003F6AF8">
        <w:t xml:space="preserve">N </w:t>
      </w:r>
      <w:proofErr w:type="spellStart"/>
      <w:r w:rsidRPr="003F6AF8">
        <w:t>Engl</w:t>
      </w:r>
      <w:proofErr w:type="spellEnd"/>
      <w:r w:rsidRPr="003F6AF8">
        <w:t xml:space="preserve"> J Med 2021;385:2421-</w:t>
      </w:r>
      <w:r w:rsidR="00F85C01">
        <w:t>24</w:t>
      </w:r>
      <w:r w:rsidRPr="003F6AF8">
        <w:t>30</w:t>
      </w:r>
      <w:r w:rsidR="00F85C01">
        <w:t>.</w:t>
      </w:r>
    </w:p>
    <w:p w14:paraId="5F970860" w14:textId="429F0051" w:rsidR="00DE5B19" w:rsidRPr="003F6AF8" w:rsidRDefault="00DE5B19" w:rsidP="003F6AF8">
      <w:pPr>
        <w:pStyle w:val="ListBullet"/>
      </w:pPr>
      <w:proofErr w:type="spellStart"/>
      <w:r w:rsidRPr="003F6AF8">
        <w:t>Barda</w:t>
      </w:r>
      <w:proofErr w:type="spellEnd"/>
      <w:r w:rsidRPr="003F6AF8">
        <w:t xml:space="preserve"> N et al. Effectiveness of a third dose of the BNT162b2 mRNA</w:t>
      </w:r>
      <w:r w:rsidR="0048595B">
        <w:t xml:space="preserve"> </w:t>
      </w:r>
      <w:r w:rsidRPr="003F6AF8">
        <w:t>COVID-19 vaccine for preventing severe outcomes in Israel: an observational study.</w:t>
      </w:r>
      <w:r w:rsidR="0048595B">
        <w:br/>
      </w:r>
      <w:r w:rsidRPr="003F6AF8">
        <w:t>Lancet 2021; 398(10316); 2093-</w:t>
      </w:r>
      <w:r w:rsidR="00F85C01">
        <w:t>20</w:t>
      </w:r>
      <w:r w:rsidRPr="003F6AF8">
        <w:t>100</w:t>
      </w:r>
      <w:r w:rsidR="00F85C01">
        <w:t>.</w:t>
      </w:r>
    </w:p>
    <w:p w14:paraId="67C87F68" w14:textId="7ACF79D4" w:rsidR="00DE5B19" w:rsidRDefault="00DE5B19" w:rsidP="000D4880">
      <w:pPr>
        <w:pStyle w:val="Heading6"/>
      </w:pPr>
      <w:r>
        <w:t xml:space="preserve">TGA </w:t>
      </w:r>
      <w:r w:rsidR="006015E2">
        <w:t>e</w:t>
      </w:r>
      <w:r w:rsidRPr="00852C52">
        <w:t>valuat</w:t>
      </w:r>
      <w:r>
        <w:t>ion</w:t>
      </w:r>
      <w:r w:rsidRPr="00852C52">
        <w:t xml:space="preserve"> comment</w:t>
      </w:r>
    </w:p>
    <w:p w14:paraId="7E532EA0" w14:textId="77777777" w:rsidR="00983504" w:rsidRDefault="00DE5B19" w:rsidP="00DE5B19">
      <w:r>
        <w:t xml:space="preserve">These publications do not report </w:t>
      </w:r>
      <w:r w:rsidRPr="00852C52">
        <w:t xml:space="preserve">data for </w:t>
      </w:r>
      <w:r>
        <w:t>those younger than 18 years.</w:t>
      </w:r>
    </w:p>
    <w:p w14:paraId="11CCB970" w14:textId="5F9A9127" w:rsidR="00DE5B19" w:rsidRDefault="00DE5B19" w:rsidP="00DE5B19">
      <w:r>
        <w:t xml:space="preserve">Efficacy was also demonstrated in an interim report of </w:t>
      </w:r>
      <w:r w:rsidR="0048595B">
        <w:t>c</w:t>
      </w:r>
      <w:r>
        <w:t>linical Study C4591031 from age</w:t>
      </w:r>
      <w:r w:rsidR="0048595B">
        <w:t> </w:t>
      </w:r>
      <w:r>
        <w:t xml:space="preserve">16 and older, which has previously been considered by </w:t>
      </w:r>
      <w:r w:rsidR="009D3365">
        <w:t>the TGA’s Advisory Committee on Vaccines (</w:t>
      </w:r>
      <w:r>
        <w:t>ACV</w:t>
      </w:r>
      <w:r w:rsidR="009D3365">
        <w:t>)</w:t>
      </w:r>
      <w:r>
        <w:t>.</w:t>
      </w:r>
      <w:r w:rsidRPr="00D03325">
        <w:t xml:space="preserve"> </w:t>
      </w:r>
      <w:r w:rsidR="009D3365">
        <w:t>The Delegate</w:t>
      </w:r>
      <w:r>
        <w:t xml:space="preserve"> consider</w:t>
      </w:r>
      <w:r w:rsidR="009D3365">
        <w:t>s</w:t>
      </w:r>
      <w:r>
        <w:t xml:space="preserve"> it is reasonable to </w:t>
      </w:r>
      <w:r w:rsidRPr="00D03325">
        <w:t xml:space="preserve">extrapolate </w:t>
      </w:r>
      <w:r w:rsidR="0048595B">
        <w:t xml:space="preserve">the </w:t>
      </w:r>
      <w:r>
        <w:t xml:space="preserve">efficacy of </w:t>
      </w:r>
      <w:r w:rsidR="0048595B">
        <w:t xml:space="preserve">the </w:t>
      </w:r>
      <w:proofErr w:type="spellStart"/>
      <w:r w:rsidRPr="00D03325">
        <w:t>Comirnaty</w:t>
      </w:r>
      <w:proofErr w:type="spellEnd"/>
      <w:r w:rsidRPr="00D03325">
        <w:t xml:space="preserve"> 30 </w:t>
      </w:r>
      <w:proofErr w:type="spellStart"/>
      <w:r w:rsidRPr="00D03325">
        <w:t>μg</w:t>
      </w:r>
      <w:proofErr w:type="spellEnd"/>
      <w:r w:rsidRPr="00D03325">
        <w:t xml:space="preserve"> booster </w:t>
      </w:r>
      <w:r w:rsidR="0048595B">
        <w:t>to include</w:t>
      </w:r>
      <w:r w:rsidRPr="00D03325">
        <w:t xml:space="preserve"> adolescents</w:t>
      </w:r>
      <w:r>
        <w:t xml:space="preserve"> </w:t>
      </w:r>
      <w:r w:rsidR="0048595B">
        <w:t xml:space="preserve">aged </w:t>
      </w:r>
      <w:r>
        <w:t>12</w:t>
      </w:r>
      <w:r w:rsidR="003B229F">
        <w:t xml:space="preserve"> to </w:t>
      </w:r>
      <w:r>
        <w:t>15 years based on the demonstrated efficacy from age</w:t>
      </w:r>
      <w:r w:rsidR="0048595B">
        <w:t>s</w:t>
      </w:r>
      <w:r>
        <w:t xml:space="preserve"> 16 </w:t>
      </w:r>
      <w:r w:rsidR="0048595B">
        <w:t xml:space="preserve">years </w:t>
      </w:r>
      <w:r>
        <w:t>and older</w:t>
      </w:r>
      <w:r w:rsidRPr="00D03325">
        <w:t>.</w:t>
      </w:r>
    </w:p>
    <w:p w14:paraId="7A3264FA" w14:textId="47BF6EF7" w:rsidR="009D3365" w:rsidRDefault="00DE5B19" w:rsidP="00DE5B19">
      <w:r>
        <w:t xml:space="preserve">The </w:t>
      </w:r>
      <w:r w:rsidR="009D3365">
        <w:t>s</w:t>
      </w:r>
      <w:r>
        <w:t xml:space="preserve">ponsor has identified </w:t>
      </w:r>
      <w:r w:rsidR="009D3365">
        <w:t xml:space="preserve">that </w:t>
      </w:r>
      <w:r>
        <w:t xml:space="preserve">Clinical Study C4591031 </w:t>
      </w:r>
      <w:r w:rsidR="00D9276E">
        <w:t>wa</w:t>
      </w:r>
      <w:r>
        <w:t xml:space="preserve">s designed to evaluate </w:t>
      </w:r>
      <w:bookmarkStart w:id="47" w:name="_Hlk97647987"/>
      <w:proofErr w:type="spellStart"/>
      <w:r w:rsidR="0048595B">
        <w:t>Comirnaty</w:t>
      </w:r>
      <w:proofErr w:type="spellEnd"/>
      <w:r w:rsidR="0048595B">
        <w:t xml:space="preserve"> (</w:t>
      </w:r>
      <w:r>
        <w:t>BNT162b2</w:t>
      </w:r>
      <w:bookmarkEnd w:id="47"/>
      <w:r w:rsidR="0048595B">
        <w:t>)</w:t>
      </w:r>
      <w:r>
        <w:t xml:space="preserve"> boosting strategies in healthy individuals previously vaccinated with </w:t>
      </w:r>
      <w:proofErr w:type="spellStart"/>
      <w:r w:rsidR="0048595B">
        <w:t>Comirnaty</w:t>
      </w:r>
      <w:proofErr w:type="spellEnd"/>
      <w:r w:rsidR="0048595B">
        <w:t xml:space="preserve"> (</w:t>
      </w:r>
      <w:r>
        <w:t>BNT162b2</w:t>
      </w:r>
      <w:r w:rsidR="0048595B">
        <w:t>)</w:t>
      </w:r>
      <w:r w:rsidR="00983504">
        <w:t>.</w:t>
      </w:r>
      <w:r>
        <w:t xml:space="preserve"> </w:t>
      </w:r>
      <w:proofErr w:type="spellStart"/>
      <w:r>
        <w:t>Substudy</w:t>
      </w:r>
      <w:proofErr w:type="spellEnd"/>
      <w:r>
        <w:t xml:space="preserve"> B and </w:t>
      </w:r>
      <w:proofErr w:type="spellStart"/>
      <w:r>
        <w:t>Substudy</w:t>
      </w:r>
      <w:proofErr w:type="spellEnd"/>
      <w:r>
        <w:t xml:space="preserve"> C include evaluation of booster dosing in individuals </w:t>
      </w:r>
      <w:r w:rsidR="0048595B">
        <w:t>≥</w:t>
      </w:r>
      <w:r>
        <w:t xml:space="preserve"> 12 years of age</w:t>
      </w:r>
      <w:r w:rsidR="00F85C01">
        <w:t>:</w:t>
      </w:r>
    </w:p>
    <w:p w14:paraId="454F588D" w14:textId="25CA51E2" w:rsidR="009D3365" w:rsidRDefault="00DE5B19" w:rsidP="002341E9">
      <w:pPr>
        <w:pStyle w:val="ListBullet"/>
      </w:pPr>
      <w:proofErr w:type="spellStart"/>
      <w:r>
        <w:t>Substudy</w:t>
      </w:r>
      <w:proofErr w:type="spellEnd"/>
      <w:r>
        <w:t xml:space="preserve"> B is a randomi</w:t>
      </w:r>
      <w:r w:rsidR="009D3365">
        <w:t>s</w:t>
      </w:r>
      <w:r>
        <w:t xml:space="preserve">ed, placebo-controlled, observer-blind, crossover </w:t>
      </w:r>
      <w:proofErr w:type="spellStart"/>
      <w:r>
        <w:t>substudy</w:t>
      </w:r>
      <w:proofErr w:type="spellEnd"/>
      <w:r>
        <w:t xml:space="preserve"> to evaluate the safety and tolerability of a booster (third) dose of BNT162b2. Participants ≥12 years of age to ≤</w:t>
      </w:r>
      <w:r w:rsidR="0048595B">
        <w:t xml:space="preserve"> </w:t>
      </w:r>
      <w:r>
        <w:t>30 years of age who have completed a 2</w:t>
      </w:r>
      <w:r w:rsidR="009D3365">
        <w:t xml:space="preserve"> </w:t>
      </w:r>
      <w:r>
        <w:t>dose primary series of</w:t>
      </w:r>
      <w:r w:rsidRPr="00205FA1">
        <w:t xml:space="preserve"> BNT162b2</w:t>
      </w:r>
      <w:r>
        <w:t xml:space="preserve"> at least 6 months prior to randomisation will be enrolled.</w:t>
      </w:r>
    </w:p>
    <w:p w14:paraId="75F2AC71" w14:textId="1ACE5B41" w:rsidR="00DE5B19" w:rsidRDefault="00DE5B19" w:rsidP="002341E9">
      <w:pPr>
        <w:pStyle w:val="ListBullet"/>
      </w:pPr>
      <w:proofErr w:type="spellStart"/>
      <w:r>
        <w:t>Substudy</w:t>
      </w:r>
      <w:proofErr w:type="spellEnd"/>
      <w:r>
        <w:t xml:space="preserve"> C is a randomi</w:t>
      </w:r>
      <w:r w:rsidR="009D3365">
        <w:t>s</w:t>
      </w:r>
      <w:r>
        <w:t xml:space="preserve">ed, observer-blinded </w:t>
      </w:r>
      <w:proofErr w:type="spellStart"/>
      <w:r>
        <w:t>substudy</w:t>
      </w:r>
      <w:proofErr w:type="spellEnd"/>
      <w:r>
        <w:t xml:space="preserve"> to evaluate the safety, tolerability, and </w:t>
      </w:r>
      <w:r w:rsidRPr="004F7039">
        <w:t xml:space="preserve">immunogenicity of a booster (third) dose of BNT162b2 at 10 </w:t>
      </w:r>
      <w:proofErr w:type="spellStart"/>
      <w:r w:rsidRPr="004F7039">
        <w:t>μg</w:t>
      </w:r>
      <w:proofErr w:type="spellEnd"/>
      <w:r w:rsidRPr="004F7039">
        <w:t xml:space="preserve"> and at 30 </w:t>
      </w:r>
      <w:proofErr w:type="spellStart"/>
      <w:r w:rsidRPr="004F7039">
        <w:t>μg</w:t>
      </w:r>
      <w:proofErr w:type="spellEnd"/>
      <w:r w:rsidRPr="004F7039">
        <w:t>. Participants ≥</w:t>
      </w:r>
      <w:r w:rsidR="004F7039" w:rsidRPr="004F7039">
        <w:t xml:space="preserve"> </w:t>
      </w:r>
      <w:r w:rsidRPr="004F7039">
        <w:t>12 years of age who have completed a 2</w:t>
      </w:r>
      <w:r w:rsidR="009D3365" w:rsidRPr="004F7039">
        <w:t xml:space="preserve"> </w:t>
      </w:r>
      <w:r w:rsidRPr="004F7039">
        <w:t xml:space="preserve">dose primary series of BNT162b2 at least </w:t>
      </w:r>
      <w:r w:rsidR="004F7039" w:rsidRPr="004F7039">
        <w:t xml:space="preserve">6 </w:t>
      </w:r>
      <w:r w:rsidRPr="004F7039">
        <w:t>months prior</w:t>
      </w:r>
      <w:r>
        <w:t xml:space="preserve"> to randomisation will be enrolled.</w:t>
      </w:r>
    </w:p>
    <w:p w14:paraId="79CE5213" w14:textId="2B5BD325" w:rsidR="00DE5B19" w:rsidRDefault="00DE5B19" w:rsidP="00DE5B19">
      <w:r>
        <w:t xml:space="preserve">The sponsor has targeted </w:t>
      </w:r>
      <w:r w:rsidR="009D3365">
        <w:t>the second quarter of</w:t>
      </w:r>
      <w:r>
        <w:t xml:space="preserve"> 2022 for the availability of data from </w:t>
      </w:r>
      <w:r w:rsidR="00F85C01">
        <w:t xml:space="preserve">the </w:t>
      </w:r>
      <w:proofErr w:type="spellStart"/>
      <w:r w:rsidR="00F85C01">
        <w:t>substudies</w:t>
      </w:r>
      <w:proofErr w:type="spellEnd"/>
      <w:r w:rsidR="00F85C01">
        <w:t xml:space="preserve"> of </w:t>
      </w:r>
      <w:r>
        <w:t>Study C4591031 that will evaluate the booster dose in individuals ≥</w:t>
      </w:r>
      <w:r w:rsidR="0048595B">
        <w:t xml:space="preserve"> </w:t>
      </w:r>
      <w:r>
        <w:t xml:space="preserve">12 years of age. However, following approval in the </w:t>
      </w:r>
      <w:r w:rsidR="009D3365">
        <w:t>USA</w:t>
      </w:r>
      <w:r>
        <w:t xml:space="preserve"> of a booster dose from the age of 12 years under EUA</w:t>
      </w:r>
      <w:r w:rsidR="00983504">
        <w:t xml:space="preserve"> on 3 January 2022</w:t>
      </w:r>
      <w:r w:rsidR="009D3365">
        <w:t>,</w:t>
      </w:r>
      <w:r w:rsidRPr="00520CAE">
        <w:t xml:space="preserve"> there may be challenges in achieving this timeline</w:t>
      </w:r>
      <w:r>
        <w:t>.</w:t>
      </w:r>
    </w:p>
    <w:p w14:paraId="44740EDA" w14:textId="2EBF9BCC" w:rsidR="003B229F" w:rsidRDefault="00B17C93" w:rsidP="0056476B">
      <w:pPr>
        <w:pStyle w:val="Heading5"/>
      </w:pPr>
      <w:r>
        <w:t>Protection against Omicron</w:t>
      </w:r>
      <w:r w:rsidR="003B229F">
        <w:t xml:space="preserve"> variant </w:t>
      </w:r>
      <w:r w:rsidR="003B229F" w:rsidRPr="00DA2CD3">
        <w:t>B.1.1.529</w:t>
      </w:r>
    </w:p>
    <w:p w14:paraId="07B32195" w14:textId="214EBA28" w:rsidR="00DE5B19" w:rsidRPr="00DA2CD3" w:rsidRDefault="00DE5B19" w:rsidP="00DE5B19">
      <w:r w:rsidRPr="00DA2CD3">
        <w:t xml:space="preserve">The recent emergence of the Omicron variant (B.1.1.529) has put further emphasis on the importance of boosting campaigns, as preliminary data suggest that three doses of </w:t>
      </w:r>
      <w:proofErr w:type="spellStart"/>
      <w:r w:rsidR="0048595B">
        <w:t>Comirnaty</w:t>
      </w:r>
      <w:proofErr w:type="spellEnd"/>
      <w:r w:rsidR="0048595B">
        <w:t xml:space="preserve"> (</w:t>
      </w:r>
      <w:r w:rsidRPr="00DA2CD3">
        <w:t>BNT162b2</w:t>
      </w:r>
      <w:r w:rsidR="0048595B">
        <w:t>)</w:t>
      </w:r>
      <w:r w:rsidRPr="00DA2CD3">
        <w:t xml:space="preserve"> are needed to achieve protection against Omicron</w:t>
      </w:r>
      <w:r w:rsidR="004F7039">
        <w:t xml:space="preserve"> </w:t>
      </w:r>
      <w:r w:rsidRPr="00DA2CD3">
        <w:t>induced disease</w:t>
      </w:r>
      <w:r>
        <w:t>. A single reference</w:t>
      </w:r>
      <w:r w:rsidR="004C2708">
        <w:t xml:space="preserve"> was provided by the sponsor to </w:t>
      </w:r>
      <w:r>
        <w:t>support this statement</w:t>
      </w:r>
      <w:r w:rsidR="003B229F">
        <w:t xml:space="preserve"> in the </w:t>
      </w:r>
      <w:r w:rsidR="00983504">
        <w:t>s</w:t>
      </w:r>
      <w:r w:rsidR="003B229F" w:rsidRPr="003B229F">
        <w:t xml:space="preserve">ponsor’s </w:t>
      </w:r>
      <w:r w:rsidR="0048595B">
        <w:t>c</w:t>
      </w:r>
      <w:r w:rsidR="003B229F" w:rsidRPr="003B229F">
        <w:t xml:space="preserve">linical </w:t>
      </w:r>
      <w:r w:rsidR="00983504">
        <w:t>o</w:t>
      </w:r>
      <w:r w:rsidR="003B229F" w:rsidRPr="003B229F">
        <w:t>verview</w:t>
      </w:r>
      <w:r w:rsidR="0048595B">
        <w:t>,</w:t>
      </w:r>
      <w:r w:rsidR="003B229F" w:rsidRPr="003B229F">
        <w:t xml:space="preserve"> </w:t>
      </w:r>
      <w:r w:rsidR="00983504">
        <w:t xml:space="preserve">and </w:t>
      </w:r>
      <w:r w:rsidR="0048595B">
        <w:t>b</w:t>
      </w:r>
      <w:r w:rsidR="003B229F" w:rsidRPr="003B229F">
        <w:t xml:space="preserve">enefit and </w:t>
      </w:r>
      <w:r w:rsidR="00983504">
        <w:t>r</w:t>
      </w:r>
      <w:r w:rsidR="003B229F" w:rsidRPr="003B229F">
        <w:t xml:space="preserve">isks </w:t>
      </w:r>
      <w:r w:rsidR="00983504">
        <w:t>c</w:t>
      </w:r>
      <w:r w:rsidR="003B229F" w:rsidRPr="003B229F">
        <w:t>onclusions</w:t>
      </w:r>
      <w:r w:rsidR="0056476B">
        <w:t>:</w:t>
      </w:r>
    </w:p>
    <w:p w14:paraId="7E1BF3D1" w14:textId="77777777" w:rsidR="00DE5B19" w:rsidRPr="006D4DE7" w:rsidRDefault="00DE5B19" w:rsidP="004C2708">
      <w:pPr>
        <w:pStyle w:val="ListBullet"/>
      </w:pPr>
      <w:r w:rsidRPr="006D4DE7">
        <w:t xml:space="preserve">Andrews N, Stowe J, </w:t>
      </w:r>
      <w:proofErr w:type="spellStart"/>
      <w:r w:rsidRPr="006D4DE7">
        <w:t>Kirsebom</w:t>
      </w:r>
      <w:proofErr w:type="spellEnd"/>
      <w:r w:rsidRPr="006D4DE7">
        <w:t xml:space="preserve"> F, et al. Effectiveness of COVID-19 vaccines against the Omicron (B.1.1.529) variant of concern medRxiv2021 (updated December 14, 2021). Available at: https://doi.org/10.1101/2021.12.14.21267615.</w:t>
      </w:r>
    </w:p>
    <w:p w14:paraId="19AE9698" w14:textId="108C679F" w:rsidR="00DE5B19" w:rsidRPr="00F64CD8" w:rsidRDefault="004F7039" w:rsidP="00F64CD8">
      <w:r w:rsidRPr="00F64CD8">
        <w:lastRenderedPageBreak/>
        <w:t>The Morbidity and Mortality Weekly Report (</w:t>
      </w:r>
      <w:r w:rsidR="00DE5B19" w:rsidRPr="00F64CD8">
        <w:t>MMWR</w:t>
      </w:r>
      <w:r w:rsidRPr="00F64CD8">
        <w:t xml:space="preserve">) </w:t>
      </w:r>
      <w:r w:rsidR="00F64CD8" w:rsidRPr="00F64CD8">
        <w:t>for the first week of</w:t>
      </w:r>
      <w:r w:rsidRPr="00F64CD8">
        <w:t xml:space="preserve"> March 2022</w:t>
      </w:r>
      <w:r w:rsidR="0048595B">
        <w:t>;</w:t>
      </w:r>
      <w:r w:rsidRPr="00F64CD8">
        <w:rPr>
          <w:rStyle w:val="FootnoteReference"/>
          <w:rFonts w:ascii="Lucida Sans" w:hAnsi="Lucida Sans"/>
          <w:color w:val="191919"/>
          <w:sz w:val="20"/>
          <w:szCs w:val="20"/>
        </w:rPr>
        <w:footnoteReference w:id="11"/>
      </w:r>
      <w:r w:rsidRPr="00F64CD8">
        <w:t xml:space="preserve"> </w:t>
      </w:r>
      <w:r w:rsidR="00DE5B19" w:rsidRPr="00F64CD8">
        <w:t xml:space="preserve">reports a recent </w:t>
      </w:r>
      <w:proofErr w:type="spellStart"/>
      <w:r w:rsidR="004605A9" w:rsidRPr="00EA0385">
        <w:rPr>
          <w:lang w:eastAsia="ja-JP"/>
        </w:rPr>
        <w:t>Centers</w:t>
      </w:r>
      <w:proofErr w:type="spellEnd"/>
      <w:r w:rsidR="004605A9" w:rsidRPr="00EA0385">
        <w:rPr>
          <w:lang w:eastAsia="ja-JP"/>
        </w:rPr>
        <w:t xml:space="preserve"> for </w:t>
      </w:r>
      <w:r w:rsidR="004605A9">
        <w:rPr>
          <w:lang w:eastAsia="ja-JP"/>
        </w:rPr>
        <w:t>Disease Control and Prevention</w:t>
      </w:r>
      <w:r w:rsidR="004605A9" w:rsidRPr="00F64CD8">
        <w:t xml:space="preserve"> </w:t>
      </w:r>
      <w:r w:rsidR="004605A9">
        <w:t>(</w:t>
      </w:r>
      <w:r w:rsidR="00DE5B19" w:rsidRPr="00F64CD8">
        <w:t>CDC</w:t>
      </w:r>
      <w:r w:rsidR="004605A9">
        <w:t>)</w:t>
      </w:r>
      <w:r w:rsidR="00DE5B19" w:rsidRPr="00F64CD8">
        <w:t xml:space="preserve"> review</w:t>
      </w:r>
      <w:r w:rsidR="00F85C01">
        <w:t>:</w:t>
      </w:r>
      <w:r w:rsidR="00DE5B19" w:rsidRPr="00F64CD8">
        <w:t xml:space="preserve"> Safety Monitoring of COVID-19 Vaccine Booster Doses among Persons Aged 12-17 Years – United State</w:t>
      </w:r>
      <w:r w:rsidR="0048595B">
        <w:t>s (dated:</w:t>
      </w:r>
      <w:r w:rsidR="00DE5B19" w:rsidRPr="00F64CD8">
        <w:t xml:space="preserve"> </w:t>
      </w:r>
      <w:r w:rsidR="0048595B">
        <w:t xml:space="preserve">9 </w:t>
      </w:r>
      <w:r w:rsidR="00DE5B19" w:rsidRPr="00F64CD8">
        <w:t>December 2021</w:t>
      </w:r>
      <w:r w:rsidR="0048595B">
        <w:t xml:space="preserve"> to 20 </w:t>
      </w:r>
      <w:r w:rsidR="00DE5B19" w:rsidRPr="00F64CD8">
        <w:t>February 2022</w:t>
      </w:r>
      <w:r w:rsidR="0048595B">
        <w:t>)</w:t>
      </w:r>
      <w:r w:rsidR="00DE5B19" w:rsidRPr="00F64CD8">
        <w:t>.</w:t>
      </w:r>
    </w:p>
    <w:p w14:paraId="7E4D5D42" w14:textId="560771B2" w:rsidR="00845DDB" w:rsidRDefault="00DE5B19" w:rsidP="0056476B">
      <w:pPr>
        <w:pStyle w:val="Heading6"/>
      </w:pPr>
      <w:r w:rsidRPr="005A1BFD">
        <w:t xml:space="preserve">TGA </w:t>
      </w:r>
      <w:r w:rsidR="0056476B">
        <w:t>e</w:t>
      </w:r>
      <w:r w:rsidRPr="005A1BFD">
        <w:t xml:space="preserve">valuation </w:t>
      </w:r>
      <w:r w:rsidR="0056476B">
        <w:t>c</w:t>
      </w:r>
      <w:r w:rsidRPr="005A1BFD">
        <w:t>omment</w:t>
      </w:r>
    </w:p>
    <w:p w14:paraId="2316300E" w14:textId="3CA8A8E2" w:rsidR="00DE5B19" w:rsidRDefault="00DE5B19" w:rsidP="00845DDB">
      <w:r>
        <w:t xml:space="preserve">This publication further supports safety in relation to serious adverse events of a </w:t>
      </w:r>
      <w:proofErr w:type="spellStart"/>
      <w:r>
        <w:t>Comirnaty</w:t>
      </w:r>
      <w:proofErr w:type="spellEnd"/>
      <w:r>
        <w:t xml:space="preserve"> </w:t>
      </w:r>
      <w:r w:rsidRPr="005A1BFD">
        <w:t>booster dose</w:t>
      </w:r>
      <w:r>
        <w:t xml:space="preserve"> in approximately 2.8 million US adolescents 12</w:t>
      </w:r>
      <w:r w:rsidR="0056476B">
        <w:t xml:space="preserve"> to </w:t>
      </w:r>
      <w:r>
        <w:t>17 years</w:t>
      </w:r>
      <w:r w:rsidR="0056476B">
        <w:t xml:space="preserve"> old</w:t>
      </w:r>
      <w:r>
        <w:t>.</w:t>
      </w:r>
    </w:p>
    <w:p w14:paraId="253E5CC8" w14:textId="0D7F44CB" w:rsidR="00DE5B19" w:rsidRDefault="00DE5B19" w:rsidP="009D3365">
      <w:pPr>
        <w:pStyle w:val="Heading5"/>
      </w:pPr>
      <w:r w:rsidRPr="00296A26">
        <w:t xml:space="preserve">Adolescent </w:t>
      </w:r>
      <w:r w:rsidR="00F85C01">
        <w:t>b</w:t>
      </w:r>
      <w:r w:rsidRPr="00296A26">
        <w:t xml:space="preserve">ooster </w:t>
      </w:r>
      <w:r w:rsidR="00F85C01">
        <w:t>r</w:t>
      </w:r>
      <w:r w:rsidRPr="00296A26">
        <w:t>ecommendation</w:t>
      </w:r>
    </w:p>
    <w:p w14:paraId="13DA3926" w14:textId="663936F7" w:rsidR="00983504" w:rsidRDefault="00DE5B19" w:rsidP="00845DDB">
      <w:r w:rsidRPr="005A1BFD">
        <w:t xml:space="preserve">The </w:t>
      </w:r>
      <w:r w:rsidR="003B229F">
        <w:t xml:space="preserve">TGA </w:t>
      </w:r>
      <w:r>
        <w:t xml:space="preserve">Delegate considers </w:t>
      </w:r>
      <w:proofErr w:type="spellStart"/>
      <w:r>
        <w:t>postmarketing</w:t>
      </w:r>
      <w:proofErr w:type="spellEnd"/>
      <w:r>
        <w:t xml:space="preserve"> s</w:t>
      </w:r>
      <w:r w:rsidRPr="005A1BFD">
        <w:t>afety data from the Israel Ministry of Health show</w:t>
      </w:r>
      <w:r w:rsidR="00983504">
        <w:t>s</w:t>
      </w:r>
      <w:r>
        <w:t xml:space="preserve"> </w:t>
      </w:r>
      <w:r w:rsidRPr="005A1BFD">
        <w:t xml:space="preserve">that after administering a single booster dose </w:t>
      </w:r>
      <w:r>
        <w:t xml:space="preserve">of </w:t>
      </w:r>
      <w:bookmarkStart w:id="48" w:name="_Hlk97647500"/>
      <w:r w:rsidR="00A52D4F">
        <w:t xml:space="preserve">the </w:t>
      </w:r>
      <w:proofErr w:type="spellStart"/>
      <w:r w:rsidR="00A52D4F">
        <w:t>Comirnaty</w:t>
      </w:r>
      <w:proofErr w:type="spellEnd"/>
      <w:r w:rsidR="00A52D4F">
        <w:t xml:space="preserve"> COVID-19</w:t>
      </w:r>
      <w:r w:rsidRPr="00D03325">
        <w:t xml:space="preserve"> </w:t>
      </w:r>
      <w:bookmarkEnd w:id="48"/>
      <w:r w:rsidR="00A52D4F">
        <w:t>v</w:t>
      </w:r>
      <w:r>
        <w:t xml:space="preserve">accine </w:t>
      </w:r>
      <w:r w:rsidRPr="005A1BFD">
        <w:t xml:space="preserve">to more than 6000 </w:t>
      </w:r>
      <w:proofErr w:type="gramStart"/>
      <w:r w:rsidRPr="005A1BFD">
        <w:t>12 to 15</w:t>
      </w:r>
      <w:r w:rsidR="0056476B">
        <w:t xml:space="preserve"> </w:t>
      </w:r>
      <w:r w:rsidRPr="005A1BFD">
        <w:t>year</w:t>
      </w:r>
      <w:r w:rsidR="00F64CD8">
        <w:t xml:space="preserve"> </w:t>
      </w:r>
      <w:r w:rsidRPr="005A1BFD">
        <w:t>old</w:t>
      </w:r>
      <w:proofErr w:type="gramEnd"/>
      <w:r w:rsidRPr="005A1BFD">
        <w:t xml:space="preserve"> no new safety concerns</w:t>
      </w:r>
      <w:r>
        <w:t xml:space="preserve"> were reported.</w:t>
      </w:r>
      <w:r w:rsidRPr="00856D3B">
        <w:t xml:space="preserve"> The exposure reported from Israel is insufficient for assessment of risk of myocarditis.</w:t>
      </w:r>
    </w:p>
    <w:p w14:paraId="647A3A5F" w14:textId="1E40610F" w:rsidR="00DE5B19" w:rsidRDefault="00983504" w:rsidP="00845DDB">
      <w:r>
        <w:t>T</w:t>
      </w:r>
      <w:r w:rsidR="00DE5B19">
        <w:t xml:space="preserve">he recent published experience from </w:t>
      </w:r>
      <w:r w:rsidR="00A52D4F">
        <w:t xml:space="preserve">the </w:t>
      </w:r>
      <w:r w:rsidR="00DE5B19">
        <w:t>USA supports no new safety concerns in approximately 2.8 million adolescents.</w:t>
      </w:r>
    </w:p>
    <w:p w14:paraId="401E46EC" w14:textId="2D1C5E9C" w:rsidR="00DE5B19" w:rsidRPr="005A1BFD" w:rsidRDefault="00DE5B19" w:rsidP="000D4880">
      <w:pPr>
        <w:rPr>
          <w:rFonts w:ascii="Lucida Sans" w:hAnsi="Lucida Sans"/>
          <w:color w:val="191919"/>
          <w:sz w:val="20"/>
          <w:szCs w:val="20"/>
        </w:rPr>
      </w:pPr>
      <w:r>
        <w:t xml:space="preserve">Three </w:t>
      </w:r>
      <w:r w:rsidRPr="00D03325">
        <w:t xml:space="preserve">publications from Israel </w:t>
      </w:r>
      <w:r>
        <w:t xml:space="preserve">have reported a large </w:t>
      </w:r>
      <w:r w:rsidRPr="00D03325">
        <w:t>improvement of vaccine efficacy</w:t>
      </w:r>
      <w:r>
        <w:t xml:space="preserve"> for </w:t>
      </w:r>
      <w:r w:rsidRPr="00D03325">
        <w:t>3</w:t>
      </w:r>
      <w:r w:rsidR="00A52D4F">
        <w:t> </w:t>
      </w:r>
      <w:r w:rsidRPr="00D03325">
        <w:t>doses compared to 2 doses in adults</w:t>
      </w:r>
      <w:r>
        <w:t xml:space="preserve">. The Delegate considers it is reasonable </w:t>
      </w:r>
      <w:r w:rsidRPr="00205FA1">
        <w:t xml:space="preserve">to extrapolate efficacy of </w:t>
      </w:r>
      <w:proofErr w:type="spellStart"/>
      <w:r>
        <w:t>Comirnaty</w:t>
      </w:r>
      <w:proofErr w:type="spellEnd"/>
      <w:r>
        <w:t xml:space="preserve"> </w:t>
      </w:r>
      <w:r w:rsidRPr="00205FA1">
        <w:t xml:space="preserve">30 </w:t>
      </w:r>
      <w:proofErr w:type="spellStart"/>
      <w:r w:rsidRPr="00205FA1">
        <w:t>μg</w:t>
      </w:r>
      <w:proofErr w:type="spellEnd"/>
      <w:r w:rsidRPr="00205FA1">
        <w:t xml:space="preserve"> booster in adolescents </w:t>
      </w:r>
      <w:r w:rsidR="00A52D4F">
        <w:t xml:space="preserve">aged </w:t>
      </w:r>
      <w:r w:rsidRPr="00205FA1">
        <w:t xml:space="preserve">12 </w:t>
      </w:r>
      <w:r w:rsidR="00A52D4F">
        <w:t xml:space="preserve">to </w:t>
      </w:r>
      <w:r w:rsidRPr="00205FA1">
        <w:t>15 years based on the demonstrated efficacy from</w:t>
      </w:r>
      <w:r w:rsidR="00A52D4F">
        <w:t xml:space="preserve"> those</w:t>
      </w:r>
      <w:r w:rsidRPr="00205FA1">
        <w:t xml:space="preserve"> age</w:t>
      </w:r>
      <w:r w:rsidR="00A52D4F">
        <w:t>d</w:t>
      </w:r>
      <w:r w:rsidRPr="00205FA1">
        <w:t xml:space="preserve"> 16 </w:t>
      </w:r>
      <w:r w:rsidR="00A52D4F">
        <w:t xml:space="preserve">years </w:t>
      </w:r>
      <w:r w:rsidRPr="00205FA1">
        <w:t>and older.</w:t>
      </w:r>
    </w:p>
    <w:p w14:paraId="6493A19A" w14:textId="346649E2" w:rsidR="00DE5B19" w:rsidRPr="006650DD" w:rsidRDefault="00DE5B19" w:rsidP="002341E9">
      <w:pPr>
        <w:pStyle w:val="Heading4"/>
      </w:pPr>
      <w:r w:rsidRPr="006650DD">
        <w:rPr>
          <w:rStyle w:val="Heading4Char"/>
          <w:b/>
          <w:bCs/>
        </w:rPr>
        <w:t xml:space="preserve">Adolescent </w:t>
      </w:r>
      <w:proofErr w:type="gramStart"/>
      <w:r w:rsidR="00A52D4F">
        <w:rPr>
          <w:rStyle w:val="Heading4Char"/>
          <w:b/>
          <w:bCs/>
        </w:rPr>
        <w:t>six</w:t>
      </w:r>
      <w:r w:rsidRPr="006650DD">
        <w:rPr>
          <w:rStyle w:val="Heading4Char"/>
          <w:b/>
          <w:bCs/>
        </w:rPr>
        <w:t xml:space="preserve"> month</w:t>
      </w:r>
      <w:proofErr w:type="gramEnd"/>
      <w:r w:rsidRPr="006650DD">
        <w:rPr>
          <w:rStyle w:val="Heading4Char"/>
          <w:b/>
          <w:bCs/>
        </w:rPr>
        <w:t xml:space="preserve"> </w:t>
      </w:r>
      <w:r w:rsidR="006650DD">
        <w:rPr>
          <w:rStyle w:val="Heading4Char"/>
          <w:b/>
          <w:bCs/>
        </w:rPr>
        <w:t>u</w:t>
      </w:r>
      <w:r w:rsidRPr="006650DD">
        <w:rPr>
          <w:rStyle w:val="Heading4Char"/>
          <w:b/>
          <w:bCs/>
        </w:rPr>
        <w:t>pdate</w:t>
      </w:r>
    </w:p>
    <w:p w14:paraId="0EAB70EF" w14:textId="6711CA4A" w:rsidR="00DE5B19" w:rsidRDefault="00DE5B19" w:rsidP="00845DDB">
      <w:r w:rsidRPr="00EA2FD1">
        <w:t xml:space="preserve">Study C4591001 is an ongoing </w:t>
      </w:r>
      <w:r w:rsidR="006650DD">
        <w:t>P</w:t>
      </w:r>
      <w:r w:rsidRPr="00EA2FD1">
        <w:t xml:space="preserve">hase </w:t>
      </w:r>
      <w:r w:rsidR="006650DD">
        <w:t>I/II/III</w:t>
      </w:r>
      <w:r w:rsidRPr="00EA2FD1">
        <w:t xml:space="preserve"> randomised, multinational, placebo-controlled, observer-blind, dose finding, vaccine candidate</w:t>
      </w:r>
      <w:r w:rsidR="00983504">
        <w:t xml:space="preserve"> </w:t>
      </w:r>
      <w:r w:rsidRPr="00EA2FD1">
        <w:t>selection, and efficacy study in healthy individuals.</w:t>
      </w:r>
      <w:r>
        <w:t xml:space="preserve"> </w:t>
      </w:r>
      <w:r w:rsidRPr="00EA2FD1">
        <w:t xml:space="preserve">Phase </w:t>
      </w:r>
      <w:r w:rsidR="006650DD">
        <w:t>II/III</w:t>
      </w:r>
      <w:r w:rsidRPr="00EA2FD1">
        <w:t xml:space="preserve"> study data</w:t>
      </w:r>
      <w:r>
        <w:t xml:space="preserve"> from a cohort </w:t>
      </w:r>
      <w:r w:rsidR="00A52D4F">
        <w:t xml:space="preserve">of participants of </w:t>
      </w:r>
      <w:r w:rsidRPr="00EA2FD1">
        <w:t>12</w:t>
      </w:r>
      <w:r w:rsidR="006650DD">
        <w:t xml:space="preserve"> to </w:t>
      </w:r>
      <w:r w:rsidRPr="00EA2FD1">
        <w:t>15 years of age</w:t>
      </w:r>
      <w:r>
        <w:t xml:space="preserve"> (termed </w:t>
      </w:r>
      <w:r w:rsidR="004605A9">
        <w:t>‘</w:t>
      </w:r>
      <w:r>
        <w:t>adolescents</w:t>
      </w:r>
      <w:r w:rsidR="00F64CD8">
        <w:t>’</w:t>
      </w:r>
      <w:r>
        <w:t xml:space="preserve">) </w:t>
      </w:r>
      <w:r w:rsidR="004605A9">
        <w:t>have</w:t>
      </w:r>
      <w:r>
        <w:t xml:space="preserve"> previously been evaluated </w:t>
      </w:r>
      <w:r w:rsidR="006650DD">
        <w:t>by the TGA</w:t>
      </w:r>
      <w:r>
        <w:t>.</w:t>
      </w:r>
    </w:p>
    <w:p w14:paraId="53C6B4B9" w14:textId="0301877A" w:rsidR="00DE5B19" w:rsidRDefault="00DE5B19" w:rsidP="00845DDB">
      <w:r>
        <w:t>An</w:t>
      </w:r>
      <w:r w:rsidR="00F64CD8">
        <w:t xml:space="preserve"> interim report</w:t>
      </w:r>
      <w:r w:rsidR="00F64CD8">
        <w:rPr>
          <w:rStyle w:val="FootnoteReference"/>
        </w:rPr>
        <w:footnoteReference w:id="12"/>
      </w:r>
      <w:r>
        <w:t xml:space="preserve"> was provided in this submission to support statements in </w:t>
      </w:r>
      <w:r w:rsidR="006650DD">
        <w:t xml:space="preserve">the PI </w:t>
      </w:r>
      <w:r>
        <w:t>on safety and efficacy.</w:t>
      </w:r>
      <w:r w:rsidR="00C1705E">
        <w:t xml:space="preserve"> </w:t>
      </w:r>
      <w:r>
        <w:t>This interim report for adolescent participants</w:t>
      </w:r>
      <w:r w:rsidR="00A52D4F">
        <w:t xml:space="preserve"> </w:t>
      </w:r>
      <w:r w:rsidR="00227798">
        <w:t>of 12</w:t>
      </w:r>
      <w:r>
        <w:t xml:space="preserve"> to 15 years of age summari</w:t>
      </w:r>
      <w:r w:rsidR="006650DD">
        <w:t>s</w:t>
      </w:r>
      <w:r>
        <w:t xml:space="preserve">es updated descriptive efficacy analyses from 7 days after Dose 2 during blinded </w:t>
      </w:r>
      <w:proofErr w:type="gramStart"/>
      <w:r>
        <w:t>placebo</w:t>
      </w:r>
      <w:r w:rsidR="00983504">
        <w:t xml:space="preserve"> </w:t>
      </w:r>
      <w:r>
        <w:t>controlled</w:t>
      </w:r>
      <w:proofErr w:type="gramEnd"/>
      <w:r>
        <w:t xml:space="preserve"> follow-up and the following safety data, as ordered (based on a data cut</w:t>
      </w:r>
      <w:r w:rsidR="006650DD">
        <w:t>-</w:t>
      </w:r>
      <w:r>
        <w:t>off date of 2 September 2021):</w:t>
      </w:r>
    </w:p>
    <w:p w14:paraId="09100A28" w14:textId="5BD23171" w:rsidR="00DE5B19" w:rsidRDefault="00DE5B19" w:rsidP="00845DDB">
      <w:pPr>
        <w:pStyle w:val="ListBullet"/>
      </w:pPr>
      <w:r>
        <w:t xml:space="preserve">Blinded placebo-controlled follow-up period from Dose 1 to the date of unblinding for </w:t>
      </w:r>
      <w:proofErr w:type="spellStart"/>
      <w:r w:rsidR="00A52D4F">
        <w:t>Comirnaty</w:t>
      </w:r>
      <w:proofErr w:type="spellEnd"/>
      <w:r w:rsidR="00A52D4F">
        <w:t xml:space="preserve"> (</w:t>
      </w:r>
      <w:r>
        <w:t>BNT162b2</w:t>
      </w:r>
      <w:r w:rsidR="00A52D4F">
        <w:t>)</w:t>
      </w:r>
      <w:r>
        <w:t xml:space="preserve"> and placebo participants, including new </w:t>
      </w:r>
      <w:r w:rsidR="006650DD">
        <w:t>adverse events (</w:t>
      </w:r>
      <w:r>
        <w:t>AEs</w:t>
      </w:r>
      <w:r w:rsidR="006650DD">
        <w:t>)</w:t>
      </w:r>
      <w:r>
        <w:t xml:space="preserve"> that were reported after the EUA snapshot date (based on events on or after the data cut</w:t>
      </w:r>
      <w:r w:rsidR="006650DD">
        <w:t>-</w:t>
      </w:r>
      <w:r>
        <w:t>off date of 13 March 2021)</w:t>
      </w:r>
      <w:r w:rsidR="00C1705E">
        <w:t>.</w:t>
      </w:r>
    </w:p>
    <w:p w14:paraId="4762580E" w14:textId="68D719EE" w:rsidR="00DE5B19" w:rsidRDefault="00DE5B19" w:rsidP="00845DDB">
      <w:pPr>
        <w:pStyle w:val="ListBullet"/>
      </w:pPr>
      <w:r>
        <w:t xml:space="preserve">Open-label observational follow-up period of original </w:t>
      </w:r>
      <w:proofErr w:type="spellStart"/>
      <w:r w:rsidR="00A52D4F">
        <w:t>Comirnaty</w:t>
      </w:r>
      <w:proofErr w:type="spellEnd"/>
      <w:r w:rsidR="00A52D4F">
        <w:t xml:space="preserve"> (</w:t>
      </w:r>
      <w:r>
        <w:t>BNT162b2</w:t>
      </w:r>
      <w:r w:rsidR="00A52D4F">
        <w:t>)</w:t>
      </w:r>
      <w:r>
        <w:t xml:space="preserve"> recipients from the date of unblinding to the data cut</w:t>
      </w:r>
      <w:r w:rsidR="006650DD">
        <w:t>-</w:t>
      </w:r>
      <w:r>
        <w:t>off date</w:t>
      </w:r>
      <w:r w:rsidR="00C1705E">
        <w:t>.</w:t>
      </w:r>
    </w:p>
    <w:p w14:paraId="5CDE1589" w14:textId="385CADDE" w:rsidR="00845DDB" w:rsidRDefault="00DE5B19" w:rsidP="002E56D9">
      <w:pPr>
        <w:pStyle w:val="ListBullet"/>
      </w:pPr>
      <w:r>
        <w:t>Cumulative safety from Dose 1 to at least 6 months after Dose 2, inclusive of blinded</w:t>
      </w:r>
      <w:r w:rsidR="00845DDB">
        <w:t xml:space="preserve"> </w:t>
      </w:r>
      <w:r>
        <w:t>data and open-label data for original BNT162b2 recipients, including new AEs that were</w:t>
      </w:r>
      <w:r w:rsidR="00845DDB">
        <w:t xml:space="preserve"> </w:t>
      </w:r>
      <w:r>
        <w:t>reported after the EUA snapshot date</w:t>
      </w:r>
      <w:r w:rsidR="00C1705E">
        <w:t>.</w:t>
      </w:r>
    </w:p>
    <w:p w14:paraId="0A090F8D" w14:textId="78507D29" w:rsidR="00DE5B19" w:rsidRDefault="00DE5B19" w:rsidP="002E56D9">
      <w:pPr>
        <w:pStyle w:val="ListBullet"/>
      </w:pPr>
      <w:r>
        <w:t>Open-label observational follow-up period for original placebo recipients who then</w:t>
      </w:r>
      <w:r w:rsidR="00845DDB">
        <w:t xml:space="preserve"> </w:t>
      </w:r>
      <w:r>
        <w:t xml:space="preserve">received </w:t>
      </w:r>
      <w:proofErr w:type="spellStart"/>
      <w:r w:rsidR="00A52D4F">
        <w:t>Comirnaty</w:t>
      </w:r>
      <w:proofErr w:type="spellEnd"/>
      <w:r w:rsidR="00A52D4F">
        <w:t xml:space="preserve"> (</w:t>
      </w:r>
      <w:r>
        <w:t>BNT162b2</w:t>
      </w:r>
      <w:r w:rsidR="00A52D4F">
        <w:t>)</w:t>
      </w:r>
      <w:r>
        <w:t xml:space="preserve"> from the first dose of </w:t>
      </w:r>
      <w:proofErr w:type="spellStart"/>
      <w:r w:rsidR="00A52D4F">
        <w:t>Comirnaty</w:t>
      </w:r>
      <w:proofErr w:type="spellEnd"/>
      <w:r w:rsidR="00A52D4F">
        <w:t xml:space="preserve"> (</w:t>
      </w:r>
      <w:r>
        <w:t>BNT162b2</w:t>
      </w:r>
      <w:r w:rsidR="00A52D4F">
        <w:t>)</w:t>
      </w:r>
      <w:r>
        <w:t xml:space="preserve"> to the data cut</w:t>
      </w:r>
      <w:r w:rsidR="006650DD">
        <w:t>-</w:t>
      </w:r>
      <w:r>
        <w:t>off date.</w:t>
      </w:r>
    </w:p>
    <w:p w14:paraId="18A63891" w14:textId="78D4BA06" w:rsidR="00DE5B19" w:rsidRPr="00927B8D" w:rsidRDefault="00DE5B19" w:rsidP="006650DD">
      <w:pPr>
        <w:pStyle w:val="Heading5"/>
      </w:pPr>
      <w:r w:rsidRPr="00927B8D">
        <w:lastRenderedPageBreak/>
        <w:t xml:space="preserve">Updated </w:t>
      </w:r>
      <w:r w:rsidR="00F85C01">
        <w:t>e</w:t>
      </w:r>
      <w:r w:rsidRPr="00927B8D">
        <w:t xml:space="preserve">fficacy </w:t>
      </w:r>
      <w:r w:rsidR="00F85C01">
        <w:t>r</w:t>
      </w:r>
      <w:r w:rsidRPr="00927B8D">
        <w:t>esults</w:t>
      </w:r>
    </w:p>
    <w:p w14:paraId="3BD4C9D3" w14:textId="2385D8ED" w:rsidR="00DE5B19" w:rsidRDefault="00DE5B19" w:rsidP="00845DDB">
      <w:pPr>
        <w:pStyle w:val="ListBullet"/>
      </w:pPr>
      <w:r>
        <w:t>In the updated descriptive efficacy analysis (data cut</w:t>
      </w:r>
      <w:r w:rsidR="006650DD">
        <w:t>-</w:t>
      </w:r>
      <w:r>
        <w:t>off date 2 September 2021), among participants in the evaluable efficacy population without evidence of SARS</w:t>
      </w:r>
      <w:r w:rsidR="00A52D4F">
        <w:noBreakHyphen/>
      </w:r>
      <w:r>
        <w:t xml:space="preserve">CoV-2 infection before and during the vaccination regimen, the estimated </w:t>
      </w:r>
      <w:r w:rsidR="006650DD">
        <w:t>vaccine efficacy (</w:t>
      </w:r>
      <w:r>
        <w:t>VE</w:t>
      </w:r>
      <w:r w:rsidR="006650DD">
        <w:t>)</w:t>
      </w:r>
      <w:r>
        <w:t xml:space="preserve"> against confirmed COVID-19 occurring at least 7 days after Dose</w:t>
      </w:r>
      <w:r w:rsidR="00A52D4F">
        <w:t> </w:t>
      </w:r>
      <w:r>
        <w:t xml:space="preserve">2 was 100% (2-sided 95% </w:t>
      </w:r>
      <w:r w:rsidR="006650DD">
        <w:t>confidence interval (</w:t>
      </w:r>
      <w:r>
        <w:t>CI</w:t>
      </w:r>
      <w:r w:rsidR="006650DD">
        <w:t>)</w:t>
      </w:r>
      <w:r>
        <w:t xml:space="preserve">: 86.8%, 100%), with 0 cases in the </w:t>
      </w:r>
      <w:proofErr w:type="spellStart"/>
      <w:r w:rsidR="00A52D4F">
        <w:t>Comirnaty</w:t>
      </w:r>
      <w:proofErr w:type="spellEnd"/>
      <w:r w:rsidR="00A52D4F">
        <w:t xml:space="preserve"> (</w:t>
      </w:r>
      <w:r>
        <w:t>BNT162b2</w:t>
      </w:r>
      <w:r w:rsidR="00A52D4F">
        <w:t>)</w:t>
      </w:r>
      <w:r>
        <w:t xml:space="preserve"> group and 28 cases in the placebo group. Among participants with or without evidence of SARS-CoV-2 infection before and during the vaccination regimen, the estimated VE against confirmed COVID-19 occurring at least 7 days after Dose 2 was 100% (2-sided 95% CI: 87.5%, 100%), with 0 and 30 cases in the BNT162b2 and placebo groups, respectively.</w:t>
      </w:r>
    </w:p>
    <w:p w14:paraId="6D4F7180" w14:textId="77777777" w:rsidR="00DE5B19" w:rsidRDefault="00DE5B19" w:rsidP="00845DDB">
      <w:pPr>
        <w:pStyle w:val="ListBullet"/>
      </w:pPr>
      <w:r>
        <w:t>Among participants without and with or without evidence of SARS-CoV-2 infection before and during the vaccination regimen (evaluable efficacy population), VE against COVID-19 occurring at least 7 days after Dose 2 was evaluated for demographic and risk subgroups, and the estimated VE was 100.0% for all subgroups.</w:t>
      </w:r>
    </w:p>
    <w:p w14:paraId="1BC23124" w14:textId="3EFED43D" w:rsidR="00DE5B19" w:rsidRDefault="00DE5B19" w:rsidP="00845DDB">
      <w:pPr>
        <w:pStyle w:val="ListBullet"/>
      </w:pPr>
      <w:r>
        <w:t xml:space="preserve">From the analysis of all cases of confirmed COVID-19 based on the all-available (modified intention-to-treat) population (regardless of evidence of infection before or during the vaccination regimen), the estimated VE against all cases occurring at any time after Dose 1 was 94.0% (2-sided 95% CI: 81.3%, 98.8%), with 3 cases in the </w:t>
      </w:r>
      <w:proofErr w:type="spellStart"/>
      <w:r w:rsidR="00A52D4F">
        <w:t>Comirnaty</w:t>
      </w:r>
      <w:proofErr w:type="spellEnd"/>
      <w:r w:rsidR="00A52D4F">
        <w:t xml:space="preserve"> (</w:t>
      </w:r>
      <w:r>
        <w:t>BNT162b2</w:t>
      </w:r>
      <w:r w:rsidR="00A52D4F">
        <w:t>)</w:t>
      </w:r>
      <w:r>
        <w:t xml:space="preserve"> group (all occurring within &lt;11 days after Dose 1 and in participants who had baseline SARS-CoV-2 negative status) and 48 cases in the placebo group.</w:t>
      </w:r>
    </w:p>
    <w:p w14:paraId="03E3EC74" w14:textId="60DFBD35" w:rsidR="00DE5B19" w:rsidRDefault="00DE5B19" w:rsidP="00845DDB">
      <w:pPr>
        <w:pStyle w:val="ListBullet"/>
      </w:pPr>
      <w:r>
        <w:t xml:space="preserve">No severe COVID-19 cases (per protocol </w:t>
      </w:r>
      <w:r w:rsidR="00F85C01">
        <w:t xml:space="preserve">(PP) </w:t>
      </w:r>
      <w:r>
        <w:t>definition or</w:t>
      </w:r>
      <w:r w:rsidR="00566825">
        <w:t xml:space="preserve"> </w:t>
      </w:r>
      <w:r>
        <w:t>CDC criteria) were reported in participants 12</w:t>
      </w:r>
      <w:r w:rsidR="00566825">
        <w:t xml:space="preserve"> to </w:t>
      </w:r>
      <w:r>
        <w:t>15 years of age as of the data cut</w:t>
      </w:r>
      <w:r w:rsidR="00566825">
        <w:t>-</w:t>
      </w:r>
      <w:r>
        <w:t xml:space="preserve">off date (2 September 2021). </w:t>
      </w:r>
    </w:p>
    <w:p w14:paraId="59F2BE5C" w14:textId="70CFFEDE" w:rsidR="00DE5B19" w:rsidRDefault="00DE5B19" w:rsidP="00845DDB">
      <w:pPr>
        <w:pStyle w:val="ListBullet"/>
      </w:pPr>
      <w:r>
        <w:t xml:space="preserve">Most variants sequenced were neither </w:t>
      </w:r>
      <w:r w:rsidR="00566825">
        <w:t>variants of interest (</w:t>
      </w:r>
      <w:r>
        <w:t>VOI</w:t>
      </w:r>
      <w:r w:rsidR="00566825">
        <w:t>)</w:t>
      </w:r>
      <w:r>
        <w:t xml:space="preserve"> nor </w:t>
      </w:r>
      <w:r w:rsidR="00566825">
        <w:t>variants of concern (</w:t>
      </w:r>
      <w:r>
        <w:t>VOC</w:t>
      </w:r>
      <w:r w:rsidR="00566825">
        <w:t>)</w:t>
      </w:r>
      <w:r>
        <w:t xml:space="preserve"> except for the B.1.1.7 (Alpha</w:t>
      </w:r>
      <w:r w:rsidR="00A52D4F">
        <w:t xml:space="preserve"> variant</w:t>
      </w:r>
      <w:r>
        <w:t xml:space="preserve">) found in 23.3% of placebo participants. </w:t>
      </w:r>
      <w:proofErr w:type="gramStart"/>
      <w:r>
        <w:t>All of</w:t>
      </w:r>
      <w:proofErr w:type="gramEnd"/>
      <w:r>
        <w:t xml:space="preserve"> the cases in the efficacy analyses occurred between </w:t>
      </w:r>
      <w:r w:rsidR="00A52D4F">
        <w:t>2 </w:t>
      </w:r>
      <w:r>
        <w:t>November</w:t>
      </w:r>
      <w:r w:rsidR="00A52D4F">
        <w:t> </w:t>
      </w:r>
      <w:r>
        <w:t>2020 to 19 May 2021.</w:t>
      </w:r>
    </w:p>
    <w:p w14:paraId="507DAD4E" w14:textId="54093A5C" w:rsidR="00DE5B19" w:rsidRDefault="00DE5B19" w:rsidP="00566825">
      <w:pPr>
        <w:pStyle w:val="Heading5"/>
      </w:pPr>
      <w:r w:rsidRPr="00927B8D">
        <w:t xml:space="preserve">Safety </w:t>
      </w:r>
      <w:r w:rsidR="00F85C01">
        <w:t>r</w:t>
      </w:r>
      <w:r w:rsidRPr="00927B8D">
        <w:t>esults</w:t>
      </w:r>
    </w:p>
    <w:p w14:paraId="6D2FCCDB" w14:textId="76717D5C" w:rsidR="00DE5B19" w:rsidRDefault="00DE5B19" w:rsidP="00845DDB">
      <w:r>
        <w:t xml:space="preserve">The safety population of adolescent participants included 1131 participants in the </w:t>
      </w:r>
      <w:proofErr w:type="spellStart"/>
      <w:r w:rsidR="00A52D4F">
        <w:t>Comirnaty</w:t>
      </w:r>
      <w:proofErr w:type="spellEnd"/>
      <w:r w:rsidR="00A52D4F">
        <w:t xml:space="preserve"> (</w:t>
      </w:r>
      <w:r>
        <w:t>BNT162b2</w:t>
      </w:r>
      <w:r w:rsidR="00A52D4F">
        <w:t>) vaccine</w:t>
      </w:r>
      <w:r w:rsidR="00566825">
        <w:t xml:space="preserve"> </w:t>
      </w:r>
      <w:r>
        <w:t xml:space="preserve">group and 1129 participants in the placebo group. During the blinded placebo-controlled follow-up period, median follow-up time for adolescent participants was 4.4 months. There were 634 (56.1%) and 629 (55.7%) of participants in the </w:t>
      </w:r>
      <w:proofErr w:type="spellStart"/>
      <w:r w:rsidR="00A52D4F">
        <w:t>Comirnaty</w:t>
      </w:r>
      <w:proofErr w:type="spellEnd"/>
      <w:r w:rsidR="00A52D4F">
        <w:t xml:space="preserve"> (</w:t>
      </w:r>
      <w:r>
        <w:t>BNT162b2</w:t>
      </w:r>
      <w:r w:rsidR="00A52D4F">
        <w:t>)</w:t>
      </w:r>
      <w:r>
        <w:t xml:space="preserve"> and placebo groups, respectively, who had follow-up time between ≥</w:t>
      </w:r>
      <w:r w:rsidR="00566825">
        <w:t xml:space="preserve"> </w:t>
      </w:r>
      <w:r>
        <w:t>4 months to &lt;</w:t>
      </w:r>
      <w:r w:rsidR="00566825">
        <w:t xml:space="preserve"> </w:t>
      </w:r>
      <w:r>
        <w:t>6 months after Dose 2.</w:t>
      </w:r>
      <w:r w:rsidRPr="004532FB">
        <w:t xml:space="preserve"> </w:t>
      </w:r>
      <w:r>
        <w:t>From Dose 2 to the cut</w:t>
      </w:r>
      <w:r w:rsidR="00566825">
        <w:t>-</w:t>
      </w:r>
      <w:r>
        <w:t>off date, 740</w:t>
      </w:r>
      <w:r w:rsidR="00A52D4F">
        <w:t> </w:t>
      </w:r>
      <w:r>
        <w:t xml:space="preserve">(65.4%) of participants in the </w:t>
      </w:r>
      <w:bookmarkStart w:id="49" w:name="_Hlk97813306"/>
      <w:proofErr w:type="spellStart"/>
      <w:r w:rsidR="00A52D4F">
        <w:t>Comirnaty</w:t>
      </w:r>
      <w:proofErr w:type="spellEnd"/>
      <w:r w:rsidR="00A52D4F">
        <w:t xml:space="preserve"> (</w:t>
      </w:r>
      <w:r>
        <w:t>BNT162b2</w:t>
      </w:r>
      <w:bookmarkEnd w:id="49"/>
      <w:r w:rsidR="00A52D4F">
        <w:t>)</w:t>
      </w:r>
      <w:r>
        <w:t xml:space="preserve"> group had a total follow-up time between ≥</w:t>
      </w:r>
      <w:r w:rsidR="00566825">
        <w:t xml:space="preserve"> </w:t>
      </w:r>
      <w:r>
        <w:t>8 to &lt;</w:t>
      </w:r>
      <w:r w:rsidR="00566825">
        <w:t xml:space="preserve"> </w:t>
      </w:r>
      <w:r>
        <w:t>10 months, which was composed of blinded and unblinded exposure.</w:t>
      </w:r>
    </w:p>
    <w:p w14:paraId="2141FB7A" w14:textId="19F9B122" w:rsidR="00845DDB" w:rsidRDefault="00DE5B19" w:rsidP="00845DDB">
      <w:r>
        <w:t xml:space="preserve">The long-term AE profile among adolescents reflects </w:t>
      </w:r>
      <w:proofErr w:type="gramStart"/>
      <w:r>
        <w:t>ag</w:t>
      </w:r>
      <w:r w:rsidR="004605A9">
        <w:t xml:space="preserve">e </w:t>
      </w:r>
      <w:r>
        <w:t>appropriate</w:t>
      </w:r>
      <w:proofErr w:type="gramEnd"/>
      <w:r>
        <w:t xml:space="preserve"> events consistent with</w:t>
      </w:r>
      <w:r w:rsidR="00845DDB">
        <w:t xml:space="preserve"> </w:t>
      </w:r>
      <w:r>
        <w:t>the general population, with low incidences of severe and/or related events.</w:t>
      </w:r>
    </w:p>
    <w:p w14:paraId="1C6E88DE" w14:textId="02A28C4C" w:rsidR="00DE5B19" w:rsidRDefault="00DE5B19" w:rsidP="00845DDB">
      <w:r>
        <w:t xml:space="preserve">Lymphadenopathy has been identified as related to </w:t>
      </w:r>
      <w:proofErr w:type="spellStart"/>
      <w:r w:rsidR="00A52D4F">
        <w:t>Comirnaty</w:t>
      </w:r>
      <w:proofErr w:type="spellEnd"/>
      <w:r w:rsidR="00A52D4F">
        <w:t xml:space="preserve"> (</w:t>
      </w:r>
      <w:r>
        <w:t>BNT162b2</w:t>
      </w:r>
      <w:r w:rsidR="00A52D4F">
        <w:t>)</w:t>
      </w:r>
      <w:r>
        <w:t xml:space="preserve"> in study participants ≥</w:t>
      </w:r>
      <w:r w:rsidR="000903AD">
        <w:t xml:space="preserve"> </w:t>
      </w:r>
      <w:r>
        <w:t>16</w:t>
      </w:r>
      <w:r w:rsidR="00845DDB">
        <w:t xml:space="preserve"> </w:t>
      </w:r>
      <w:r>
        <w:t xml:space="preserve">years of age and is also identified as related to </w:t>
      </w:r>
      <w:proofErr w:type="spellStart"/>
      <w:r w:rsidR="00A52D4F">
        <w:t>Comirnaty</w:t>
      </w:r>
      <w:proofErr w:type="spellEnd"/>
      <w:r w:rsidR="00A52D4F">
        <w:t xml:space="preserve"> (</w:t>
      </w:r>
      <w:r>
        <w:t>BNT162b2</w:t>
      </w:r>
      <w:r w:rsidR="00A52D4F">
        <w:t>)</w:t>
      </w:r>
      <w:r>
        <w:t xml:space="preserve"> in adolescents. The incidence of</w:t>
      </w:r>
      <w:r w:rsidR="00845DDB">
        <w:t xml:space="preserve"> </w:t>
      </w:r>
      <w:r w:rsidR="00566825">
        <w:t>severe adverse events (</w:t>
      </w:r>
      <w:r>
        <w:t>SAEs</w:t>
      </w:r>
      <w:r w:rsidR="00566825">
        <w:t>)</w:t>
      </w:r>
      <w:r>
        <w:t xml:space="preserve"> in adolescents was low and similar between the vaccine and placebo groups. Most</w:t>
      </w:r>
      <w:r w:rsidR="00845DDB">
        <w:t xml:space="preserve"> </w:t>
      </w:r>
      <w:r>
        <w:t xml:space="preserve">SAEs, including all SAEs in the </w:t>
      </w:r>
      <w:r w:rsidR="00816D4C">
        <w:t>P</w:t>
      </w:r>
      <w:r>
        <w:t xml:space="preserve">sychiatric disorders </w:t>
      </w:r>
      <w:r w:rsidR="00A52D4F">
        <w:t>S</w:t>
      </w:r>
      <w:r w:rsidR="000903AD">
        <w:t xml:space="preserve">ystem </w:t>
      </w:r>
      <w:r w:rsidR="00A52D4F">
        <w:t>O</w:t>
      </w:r>
      <w:r w:rsidR="000903AD">
        <w:t xml:space="preserve">rgan </w:t>
      </w:r>
      <w:r w:rsidR="00A52D4F">
        <w:t>C</w:t>
      </w:r>
      <w:r w:rsidR="000903AD">
        <w:t>lass (</w:t>
      </w:r>
      <w:r>
        <w:t>SOC</w:t>
      </w:r>
      <w:r w:rsidR="000903AD">
        <w:t>)</w:t>
      </w:r>
      <w:r>
        <w:t>, were assessed by the</w:t>
      </w:r>
      <w:r w:rsidR="00845DDB">
        <w:t xml:space="preserve"> </w:t>
      </w:r>
      <w:r>
        <w:t>investigator as not related to study intervention.</w:t>
      </w:r>
      <w:r w:rsidRPr="004532FB">
        <w:t xml:space="preserve"> </w:t>
      </w:r>
      <w:r>
        <w:t>One (1) participant reported an SAE of</w:t>
      </w:r>
      <w:r w:rsidR="00845DDB">
        <w:t xml:space="preserve"> </w:t>
      </w:r>
      <w:r>
        <w:t xml:space="preserve">myocarditis on Day 3 after second dose of </w:t>
      </w:r>
      <w:proofErr w:type="spellStart"/>
      <w:r w:rsidR="00A52D4F">
        <w:t>Comirnaty</w:t>
      </w:r>
      <w:proofErr w:type="spellEnd"/>
      <w:r w:rsidR="00A52D4F">
        <w:t xml:space="preserve"> (</w:t>
      </w:r>
      <w:r w:rsidRPr="003B7D4D">
        <w:t>BNT162b2</w:t>
      </w:r>
      <w:r w:rsidR="00A52D4F">
        <w:t>)</w:t>
      </w:r>
      <w:r>
        <w:t>.</w:t>
      </w:r>
      <w:r w:rsidRPr="004532FB">
        <w:t xml:space="preserve"> </w:t>
      </w:r>
      <w:r>
        <w:t xml:space="preserve">Only </w:t>
      </w:r>
      <w:r w:rsidR="00A52D4F">
        <w:t>one</w:t>
      </w:r>
      <w:r>
        <w:t xml:space="preserve"> participant was withdrawn from the study because of an AE. No deaths occurred in the adolescent group.</w:t>
      </w:r>
    </w:p>
    <w:p w14:paraId="33079A53" w14:textId="580D47B3" w:rsidR="00DE5B19" w:rsidRDefault="00DE5B19" w:rsidP="00845DDB">
      <w:r>
        <w:t>Review of AEs, SAEs, and events of clinical interest suggested no clear patterns or additional</w:t>
      </w:r>
      <w:r w:rsidR="00845DDB">
        <w:t xml:space="preserve"> </w:t>
      </w:r>
      <w:r>
        <w:t>safety signals or concerns among adolescents.</w:t>
      </w:r>
    </w:p>
    <w:p w14:paraId="451C50E4" w14:textId="30ECFF00" w:rsidR="00DE5B19" w:rsidRDefault="00DE5B19" w:rsidP="00845DDB">
      <w:r>
        <w:lastRenderedPageBreak/>
        <w:t xml:space="preserve">The overall safety conclusions were that the tolerability and safety profile of </w:t>
      </w:r>
      <w:proofErr w:type="spellStart"/>
      <w:r w:rsidR="00A52D4F">
        <w:t>Comirnaty</w:t>
      </w:r>
      <w:proofErr w:type="spellEnd"/>
      <w:r w:rsidR="00A52D4F">
        <w:t xml:space="preserve"> (</w:t>
      </w:r>
      <w:r>
        <w:t>BNT162b2</w:t>
      </w:r>
      <w:r w:rsidR="00A52D4F">
        <w:t>)</w:t>
      </w:r>
      <w:r>
        <w:t xml:space="preserve"> 30</w:t>
      </w:r>
      <w:r w:rsidR="0034543A">
        <w:t> </w:t>
      </w:r>
      <w:proofErr w:type="spellStart"/>
      <w:r>
        <w:t>μg</w:t>
      </w:r>
      <w:proofErr w:type="spellEnd"/>
      <w:r>
        <w:t xml:space="preserve"> in participants 12 through 15 years of age at up to 6 months after Dose</w:t>
      </w:r>
      <w:r w:rsidR="00A52D4F">
        <w:t> </w:t>
      </w:r>
      <w:r>
        <w:t>2 was acceptable throughout the follow-up period (to the data cut</w:t>
      </w:r>
      <w:r w:rsidR="000903AD">
        <w:t>-</w:t>
      </w:r>
      <w:r>
        <w:t>off date) and consistent with results previously reported.</w:t>
      </w:r>
    </w:p>
    <w:p w14:paraId="37062121" w14:textId="4B4A7DC9" w:rsidR="008E7846" w:rsidRDefault="00386150" w:rsidP="007B6132">
      <w:pPr>
        <w:pStyle w:val="Heading3"/>
        <w:rPr>
          <w:lang w:eastAsia="en-AU"/>
        </w:rPr>
      </w:pPr>
      <w:bookmarkStart w:id="50" w:name="_Toc100655262"/>
      <w:bookmarkEnd w:id="45"/>
      <w:r>
        <w:rPr>
          <w:lang w:eastAsia="en-AU"/>
        </w:rPr>
        <w:t>Risk m</w:t>
      </w:r>
      <w:r w:rsidR="008E7846">
        <w:rPr>
          <w:lang w:eastAsia="en-AU"/>
        </w:rPr>
        <w:t xml:space="preserve">anagement </w:t>
      </w:r>
      <w:r>
        <w:rPr>
          <w:lang w:eastAsia="en-AU"/>
        </w:rPr>
        <w:t>p</w:t>
      </w:r>
      <w:r w:rsidR="008E7846">
        <w:rPr>
          <w:lang w:eastAsia="en-AU"/>
        </w:rPr>
        <w:t>lan</w:t>
      </w:r>
      <w:bookmarkEnd w:id="44"/>
      <w:bookmarkEnd w:id="50"/>
    </w:p>
    <w:p w14:paraId="06D50A44" w14:textId="0C391805" w:rsidR="00DE5B19" w:rsidRDefault="000903AD" w:rsidP="00DE5B19">
      <w:bookmarkStart w:id="51" w:name="_Toc12019957"/>
      <w:r>
        <w:t>T</w:t>
      </w:r>
      <w:r w:rsidR="00DE5B19" w:rsidRPr="000B1AFD">
        <w:t>he sponsor provided EU</w:t>
      </w:r>
      <w:r w:rsidR="00A52D4F">
        <w:t>- risk management plan (</w:t>
      </w:r>
      <w:r w:rsidR="00DE5B19" w:rsidRPr="000B1AFD">
        <w:t>RMP</w:t>
      </w:r>
      <w:r w:rsidR="00A52D4F">
        <w:t>)</w:t>
      </w:r>
      <w:r w:rsidR="00DE5B19" w:rsidRPr="000B1AFD">
        <w:t xml:space="preserve"> version 4.1 (date</w:t>
      </w:r>
      <w:r w:rsidR="00F85C01">
        <w:t>d</w:t>
      </w:r>
      <w:r w:rsidR="00DE5B19" w:rsidRPr="000B1AFD">
        <w:t xml:space="preserve"> 2 February 2022</w:t>
      </w:r>
      <w:r w:rsidR="00A52D4F">
        <w:t>)</w:t>
      </w:r>
      <w:r w:rsidR="0034543A">
        <w:rPr>
          <w:rStyle w:val="FootnoteReference"/>
        </w:rPr>
        <w:footnoteReference w:id="13"/>
      </w:r>
      <w:r w:rsidR="00A52D4F">
        <w:t xml:space="preserve"> </w:t>
      </w:r>
      <w:r w:rsidR="000344A9">
        <w:t>with the current submission</w:t>
      </w:r>
      <w:r w:rsidR="00DE5B19" w:rsidRPr="000B1AFD">
        <w:t>. The sponsor stated that the changes made to the EU</w:t>
      </w:r>
      <w:r w:rsidR="00A52D4F">
        <w:noBreakHyphen/>
      </w:r>
      <w:r w:rsidR="00DE5B19" w:rsidRPr="000B1AFD">
        <w:t xml:space="preserve">RMP are not considered to have impact on the </w:t>
      </w:r>
      <w:r w:rsidR="000344A9">
        <w:t>Australian Specific Annex (</w:t>
      </w:r>
      <w:r w:rsidR="00DE5B19" w:rsidRPr="000B1AFD">
        <w:t>ASA</w:t>
      </w:r>
      <w:r w:rsidR="000344A9">
        <w:t>)</w:t>
      </w:r>
      <w:r w:rsidR="00DE5B19" w:rsidRPr="000B1AFD">
        <w:t xml:space="preserve"> version</w:t>
      </w:r>
      <w:r w:rsidR="00A52D4F">
        <w:t> </w:t>
      </w:r>
      <w:r w:rsidR="00DE5B19" w:rsidRPr="000B1AFD">
        <w:t xml:space="preserve">0.4, which was submitted and accepted </w:t>
      </w:r>
      <w:r w:rsidR="000344A9">
        <w:t xml:space="preserve">by the TGA </w:t>
      </w:r>
      <w:r w:rsidR="00DE5B19" w:rsidRPr="000B1AFD">
        <w:t xml:space="preserve">for </w:t>
      </w:r>
      <w:r w:rsidR="000344A9">
        <w:t>the</w:t>
      </w:r>
      <w:r w:rsidR="00DE5B19" w:rsidRPr="000B1AFD">
        <w:t xml:space="preserve"> 5 to &lt;</w:t>
      </w:r>
      <w:r w:rsidR="000344A9">
        <w:t xml:space="preserve"> </w:t>
      </w:r>
      <w:proofErr w:type="gramStart"/>
      <w:r w:rsidR="00DE5B19" w:rsidRPr="000B1AFD">
        <w:t xml:space="preserve">12 year </w:t>
      </w:r>
      <w:r w:rsidR="00F85C01">
        <w:t>old</w:t>
      </w:r>
      <w:proofErr w:type="gramEnd"/>
      <w:r w:rsidR="00F85C01">
        <w:t xml:space="preserve"> </w:t>
      </w:r>
      <w:r w:rsidR="00DE5B19" w:rsidRPr="000B1AFD">
        <w:t>indication. The sponsor considers that the ASA version 0.4 is aligned with the EU</w:t>
      </w:r>
      <w:r w:rsidR="00A52D4F">
        <w:t>-</w:t>
      </w:r>
      <w:r w:rsidR="00DE5B19" w:rsidRPr="000B1AFD">
        <w:t>RMP version 4.1</w:t>
      </w:r>
      <w:r w:rsidR="00DE5B19">
        <w:t>.</w:t>
      </w:r>
    </w:p>
    <w:p w14:paraId="35F78235" w14:textId="6E163D14" w:rsidR="00DE5B19" w:rsidRDefault="00DE5B19" w:rsidP="00DE5B19">
      <w:r w:rsidRPr="000B1AFD">
        <w:t>EU</w:t>
      </w:r>
      <w:r w:rsidR="000D4880">
        <w:noBreakHyphen/>
      </w:r>
      <w:r w:rsidRPr="000B1AFD">
        <w:t>RMP version 4.1 is the latest available and there is no EU</w:t>
      </w:r>
      <w:r w:rsidR="000D4880">
        <w:noBreakHyphen/>
      </w:r>
      <w:r w:rsidRPr="000B1AFD">
        <w:t>RMP version including the booster dose for adolescents (12</w:t>
      </w:r>
      <w:r w:rsidR="000D4880">
        <w:t xml:space="preserve"> to </w:t>
      </w:r>
      <w:r w:rsidRPr="000B1AFD">
        <w:t>15 years of age group) yet. The sponsor committed to provide an updated version of EU</w:t>
      </w:r>
      <w:r w:rsidR="000D4880">
        <w:noBreakHyphen/>
      </w:r>
      <w:r w:rsidRPr="000B1AFD">
        <w:t>RMP when it becomes available.</w:t>
      </w:r>
    </w:p>
    <w:p w14:paraId="734B0B3C" w14:textId="02B04DFE" w:rsidR="00DE5B19" w:rsidRDefault="00DE5B19" w:rsidP="00DE5B19">
      <w:r>
        <w:t xml:space="preserve">The summary of safety concerns is the same as the summary that was evaluated and considered acceptable for the previous </w:t>
      </w:r>
      <w:r w:rsidR="000344A9">
        <w:t xml:space="preserve">TGA </w:t>
      </w:r>
      <w:r>
        <w:t>submission. The changes proposed by the current submission are not expected to change the summary of safety concerns from an RMP perspective.</w:t>
      </w:r>
    </w:p>
    <w:p w14:paraId="20FAF0CA" w14:textId="640B6FCB" w:rsidR="00DE5B19" w:rsidRDefault="00DE5B19" w:rsidP="00DE5B19">
      <w:r>
        <w:t>The pharmacovigilance plan was deemed acceptable during the previous evaluations and continues to be acceptable for the current submission.</w:t>
      </w:r>
    </w:p>
    <w:p w14:paraId="55F42FC0" w14:textId="178D3677" w:rsidR="00DE5B19" w:rsidRDefault="00DE5B19" w:rsidP="00DE5B19">
      <w:r>
        <w:t xml:space="preserve">Only routine risk minimisation measures are currently in place. The </w:t>
      </w:r>
      <w:r w:rsidR="000344A9">
        <w:t>Consumer Medicine Information (</w:t>
      </w:r>
      <w:r>
        <w:t>CMI</w:t>
      </w:r>
      <w:r w:rsidR="000344A9">
        <w:t>)</w:t>
      </w:r>
      <w:r>
        <w:t xml:space="preserve"> has been updated to include the changes proposed by this submission (age of booster recipients changed to 12 years and above). Routine risk minimisation measures as part of RMP were deemed acceptable during the previous evaluations. From an RMP perspective, routine risk minimisation measures are acceptable to address the changes proposed by the current submission.</w:t>
      </w:r>
    </w:p>
    <w:bookmarkEnd w:id="51"/>
    <w:p w14:paraId="6A014C14" w14:textId="2FDD787E" w:rsidR="007D53B6" w:rsidRDefault="007D53B6" w:rsidP="007D53B6">
      <w:r>
        <w:t xml:space="preserve">The summary of safety concerns and their associated risk monitoring and mitigation strategies are summarised in </w:t>
      </w:r>
      <w:r w:rsidR="006F72C0">
        <w:fldChar w:fldCharType="begin"/>
      </w:r>
      <w:r w:rsidR="006F72C0">
        <w:instrText xml:space="preserve"> REF _Ref97629131 \h </w:instrText>
      </w:r>
      <w:r w:rsidR="006F72C0">
        <w:fldChar w:fldCharType="separate"/>
      </w:r>
      <w:r w:rsidR="009D38C4">
        <w:t xml:space="preserve">Table </w:t>
      </w:r>
      <w:r w:rsidR="009D38C4">
        <w:rPr>
          <w:noProof/>
        </w:rPr>
        <w:t>2</w:t>
      </w:r>
      <w:r w:rsidR="006F72C0">
        <w:fldChar w:fldCharType="end"/>
      </w:r>
      <w:r>
        <w:t>.</w:t>
      </w:r>
      <w:r>
        <w:rPr>
          <w:rStyle w:val="FootnoteReference"/>
        </w:rPr>
        <w:footnoteReference w:id="14"/>
      </w:r>
    </w:p>
    <w:p w14:paraId="7EF7974A" w14:textId="235684A3" w:rsidR="006F72C0" w:rsidRDefault="006F72C0" w:rsidP="000168B4">
      <w:pPr>
        <w:pStyle w:val="TableTitle"/>
      </w:pPr>
      <w:bookmarkStart w:id="52" w:name="_Ref97629131"/>
      <w:r>
        <w:lastRenderedPageBreak/>
        <w:t xml:space="preserve">Table </w:t>
      </w:r>
      <w:r w:rsidR="002C6FB8">
        <w:fldChar w:fldCharType="begin"/>
      </w:r>
      <w:r w:rsidR="002C6FB8">
        <w:instrText xml:space="preserve"> SEQ Table \* ARABIC </w:instrText>
      </w:r>
      <w:r w:rsidR="002C6FB8">
        <w:fldChar w:fldCharType="separate"/>
      </w:r>
      <w:r w:rsidR="009D38C4">
        <w:rPr>
          <w:noProof/>
        </w:rPr>
        <w:t>2</w:t>
      </w:r>
      <w:r w:rsidR="002C6FB8">
        <w:rPr>
          <w:noProof/>
        </w:rPr>
        <w:fldChar w:fldCharType="end"/>
      </w:r>
      <w:bookmarkEnd w:id="52"/>
      <w:r>
        <w:t>: Summary of safety concerns</w:t>
      </w:r>
    </w:p>
    <w:tbl>
      <w:tblPr>
        <w:tblStyle w:val="TableTGAblue"/>
        <w:tblW w:w="5000" w:type="pct"/>
        <w:tblLook w:val="04A0" w:firstRow="1" w:lastRow="0" w:firstColumn="1" w:lastColumn="0" w:noHBand="0" w:noVBand="1"/>
      </w:tblPr>
      <w:tblGrid>
        <w:gridCol w:w="1493"/>
        <w:gridCol w:w="2395"/>
        <w:gridCol w:w="1042"/>
        <w:gridCol w:w="1261"/>
        <w:gridCol w:w="1042"/>
        <w:gridCol w:w="1261"/>
      </w:tblGrid>
      <w:tr w:rsidR="00833837" w:rsidRPr="00833837" w14:paraId="2FD74F92" w14:textId="77777777" w:rsidTr="00833837">
        <w:trPr>
          <w:cnfStyle w:val="100000000000" w:firstRow="1" w:lastRow="0" w:firstColumn="0" w:lastColumn="0" w:oddVBand="0" w:evenVBand="0" w:oddHBand="0" w:evenHBand="0" w:firstRowFirstColumn="0" w:firstRowLastColumn="0" w:lastRowFirstColumn="0" w:lastRowLastColumn="0"/>
          <w:trHeight w:val="131"/>
        </w:trPr>
        <w:tc>
          <w:tcPr>
            <w:tcW w:w="2429" w:type="pct"/>
            <w:gridSpan w:val="2"/>
            <w:vMerge w:val="restart"/>
            <w:tcBorders>
              <w:top w:val="single" w:sz="4" w:space="0" w:color="auto"/>
              <w:left w:val="single" w:sz="4" w:space="0" w:color="auto"/>
              <w:bottom w:val="single" w:sz="4" w:space="0" w:color="auto"/>
              <w:right w:val="single" w:sz="4" w:space="0" w:color="auto"/>
            </w:tcBorders>
          </w:tcPr>
          <w:p w14:paraId="49527326" w14:textId="77777777" w:rsidR="00833837" w:rsidRPr="00833837" w:rsidRDefault="00833837" w:rsidP="002B1C95">
            <w:pPr>
              <w:pStyle w:val="Tabletext"/>
              <w:rPr>
                <w:b w:val="0"/>
              </w:rPr>
            </w:pPr>
            <w:r w:rsidRPr="00833837">
              <w:t>Summary of safety concerns</w:t>
            </w:r>
          </w:p>
        </w:tc>
        <w:tc>
          <w:tcPr>
            <w:tcW w:w="1286" w:type="pct"/>
            <w:gridSpan w:val="2"/>
            <w:tcBorders>
              <w:top w:val="single" w:sz="4" w:space="0" w:color="auto"/>
              <w:left w:val="single" w:sz="4" w:space="0" w:color="auto"/>
              <w:bottom w:val="single" w:sz="4" w:space="0" w:color="auto"/>
              <w:right w:val="single" w:sz="4" w:space="0" w:color="auto"/>
            </w:tcBorders>
          </w:tcPr>
          <w:p w14:paraId="7B18490D" w14:textId="77777777" w:rsidR="00833837" w:rsidRPr="00833837" w:rsidRDefault="00833837" w:rsidP="002B1C95">
            <w:pPr>
              <w:pStyle w:val="Tabletext"/>
              <w:rPr>
                <w:b w:val="0"/>
                <w:sz w:val="18"/>
              </w:rPr>
            </w:pPr>
            <w:r w:rsidRPr="00833837">
              <w:rPr>
                <w:sz w:val="18"/>
              </w:rPr>
              <w:t>Pharmacovigilance</w:t>
            </w:r>
          </w:p>
        </w:tc>
        <w:tc>
          <w:tcPr>
            <w:tcW w:w="1286" w:type="pct"/>
            <w:gridSpan w:val="2"/>
            <w:tcBorders>
              <w:top w:val="single" w:sz="4" w:space="0" w:color="auto"/>
              <w:left w:val="single" w:sz="4" w:space="0" w:color="auto"/>
              <w:bottom w:val="single" w:sz="4" w:space="0" w:color="auto"/>
              <w:right w:val="single" w:sz="4" w:space="0" w:color="auto"/>
            </w:tcBorders>
          </w:tcPr>
          <w:p w14:paraId="6DB7662A" w14:textId="77777777" w:rsidR="00833837" w:rsidRPr="00833837" w:rsidRDefault="00833837" w:rsidP="002B1C95">
            <w:pPr>
              <w:pStyle w:val="Tabletext"/>
              <w:rPr>
                <w:b w:val="0"/>
                <w:sz w:val="18"/>
              </w:rPr>
            </w:pPr>
            <w:r w:rsidRPr="00833837">
              <w:rPr>
                <w:sz w:val="18"/>
              </w:rPr>
              <w:t>Risk Minimisation</w:t>
            </w:r>
          </w:p>
        </w:tc>
      </w:tr>
      <w:tr w:rsidR="00833837" w:rsidRPr="00833837" w14:paraId="2B248AB2" w14:textId="77777777" w:rsidTr="00833837">
        <w:trPr>
          <w:trHeight w:val="150"/>
        </w:trPr>
        <w:tc>
          <w:tcPr>
            <w:tcW w:w="2429" w:type="pct"/>
            <w:gridSpan w:val="2"/>
            <w:vMerge/>
            <w:tcBorders>
              <w:top w:val="single" w:sz="4" w:space="0" w:color="auto"/>
              <w:left w:val="single" w:sz="4" w:space="0" w:color="auto"/>
              <w:bottom w:val="single" w:sz="4" w:space="0" w:color="auto"/>
              <w:right w:val="single" w:sz="4" w:space="0" w:color="auto"/>
            </w:tcBorders>
            <w:shd w:val="clear" w:color="auto" w:fill="006DA7"/>
          </w:tcPr>
          <w:p w14:paraId="721466AF" w14:textId="77777777" w:rsidR="00833837" w:rsidRPr="00833837" w:rsidRDefault="00833837" w:rsidP="002B1C95">
            <w:pPr>
              <w:pStyle w:val="Tabletext"/>
              <w:rPr>
                <w:b/>
                <w:color w:val="FFFFFF" w:themeColor="background1"/>
              </w:rPr>
            </w:pPr>
          </w:p>
        </w:tc>
        <w:tc>
          <w:tcPr>
            <w:tcW w:w="584" w:type="pct"/>
            <w:tcBorders>
              <w:top w:val="single" w:sz="4" w:space="0" w:color="auto"/>
              <w:left w:val="single" w:sz="4" w:space="0" w:color="auto"/>
              <w:bottom w:val="single" w:sz="4" w:space="0" w:color="auto"/>
              <w:right w:val="single" w:sz="4" w:space="0" w:color="auto"/>
            </w:tcBorders>
            <w:shd w:val="clear" w:color="auto" w:fill="006DA7"/>
          </w:tcPr>
          <w:p w14:paraId="13B42ED4" w14:textId="77777777" w:rsidR="00833837" w:rsidRPr="00584BEE" w:rsidRDefault="00833837" w:rsidP="00833837">
            <w:pPr>
              <w:pStyle w:val="Tabletext"/>
              <w:ind w:left="0"/>
              <w:rPr>
                <w:b/>
                <w:bCs/>
                <w:color w:val="FFFFFF" w:themeColor="background1"/>
                <w:sz w:val="18"/>
              </w:rPr>
            </w:pPr>
            <w:r w:rsidRPr="00584BEE">
              <w:rPr>
                <w:b/>
                <w:bCs/>
                <w:color w:val="FFFFFF" w:themeColor="background1"/>
                <w:sz w:val="18"/>
              </w:rPr>
              <w:t>Routine</w:t>
            </w:r>
          </w:p>
        </w:tc>
        <w:tc>
          <w:tcPr>
            <w:tcW w:w="702" w:type="pct"/>
            <w:tcBorders>
              <w:top w:val="single" w:sz="4" w:space="0" w:color="auto"/>
              <w:left w:val="single" w:sz="4" w:space="0" w:color="auto"/>
              <w:bottom w:val="single" w:sz="4" w:space="0" w:color="auto"/>
              <w:right w:val="single" w:sz="4" w:space="0" w:color="auto"/>
            </w:tcBorders>
            <w:shd w:val="clear" w:color="auto" w:fill="006DA7"/>
          </w:tcPr>
          <w:p w14:paraId="02753A2F" w14:textId="77777777" w:rsidR="00833837" w:rsidRPr="00584BEE" w:rsidRDefault="00833837" w:rsidP="00833837">
            <w:pPr>
              <w:pStyle w:val="Tabletext"/>
              <w:ind w:left="0"/>
              <w:rPr>
                <w:b/>
                <w:bCs/>
                <w:color w:val="FFFFFF" w:themeColor="background1"/>
                <w:sz w:val="18"/>
              </w:rPr>
            </w:pPr>
            <w:r w:rsidRPr="00584BEE">
              <w:rPr>
                <w:b/>
                <w:bCs/>
                <w:color w:val="FFFFFF" w:themeColor="background1"/>
                <w:sz w:val="18"/>
              </w:rPr>
              <w:t>Additional</w:t>
            </w:r>
          </w:p>
        </w:tc>
        <w:tc>
          <w:tcPr>
            <w:tcW w:w="584" w:type="pct"/>
            <w:tcBorders>
              <w:top w:val="single" w:sz="4" w:space="0" w:color="auto"/>
              <w:left w:val="single" w:sz="4" w:space="0" w:color="auto"/>
              <w:bottom w:val="single" w:sz="4" w:space="0" w:color="auto"/>
              <w:right w:val="single" w:sz="4" w:space="0" w:color="auto"/>
            </w:tcBorders>
            <w:shd w:val="clear" w:color="auto" w:fill="006DA7"/>
          </w:tcPr>
          <w:p w14:paraId="6645D545" w14:textId="77777777" w:rsidR="00833837" w:rsidRPr="00584BEE" w:rsidRDefault="00833837" w:rsidP="00833837">
            <w:pPr>
              <w:pStyle w:val="Tabletext"/>
              <w:ind w:left="0"/>
              <w:rPr>
                <w:b/>
                <w:bCs/>
                <w:color w:val="FFFFFF" w:themeColor="background1"/>
                <w:sz w:val="18"/>
              </w:rPr>
            </w:pPr>
            <w:r w:rsidRPr="00584BEE">
              <w:rPr>
                <w:b/>
                <w:bCs/>
                <w:color w:val="FFFFFF" w:themeColor="background1"/>
                <w:sz w:val="18"/>
              </w:rPr>
              <w:t>Routine</w:t>
            </w:r>
          </w:p>
        </w:tc>
        <w:tc>
          <w:tcPr>
            <w:tcW w:w="702" w:type="pct"/>
            <w:tcBorders>
              <w:top w:val="single" w:sz="4" w:space="0" w:color="auto"/>
              <w:left w:val="single" w:sz="4" w:space="0" w:color="auto"/>
              <w:bottom w:val="single" w:sz="4" w:space="0" w:color="auto"/>
              <w:right w:val="single" w:sz="4" w:space="0" w:color="auto"/>
            </w:tcBorders>
            <w:shd w:val="clear" w:color="auto" w:fill="006DA7"/>
          </w:tcPr>
          <w:p w14:paraId="20139AC0" w14:textId="77777777" w:rsidR="00833837" w:rsidRPr="00584BEE" w:rsidRDefault="00833837" w:rsidP="00833837">
            <w:pPr>
              <w:pStyle w:val="Tabletext"/>
              <w:ind w:left="0"/>
              <w:rPr>
                <w:b/>
                <w:bCs/>
                <w:color w:val="FFFFFF" w:themeColor="background1"/>
                <w:sz w:val="18"/>
              </w:rPr>
            </w:pPr>
            <w:r w:rsidRPr="00584BEE">
              <w:rPr>
                <w:b/>
                <w:bCs/>
                <w:color w:val="FFFFFF" w:themeColor="background1"/>
                <w:sz w:val="18"/>
              </w:rPr>
              <w:t>Additional</w:t>
            </w:r>
          </w:p>
        </w:tc>
      </w:tr>
      <w:tr w:rsidR="00833837" w:rsidRPr="00BF52F4" w14:paraId="2DBB92F2" w14:textId="77777777" w:rsidTr="00833837">
        <w:trPr>
          <w:trHeight w:val="137"/>
        </w:trPr>
        <w:tc>
          <w:tcPr>
            <w:tcW w:w="949" w:type="pct"/>
            <w:vMerge w:val="restart"/>
            <w:tcBorders>
              <w:top w:val="single" w:sz="4" w:space="0" w:color="auto"/>
            </w:tcBorders>
          </w:tcPr>
          <w:p w14:paraId="33E9AB6D" w14:textId="77777777" w:rsidR="00833837" w:rsidRPr="00BF52F4" w:rsidRDefault="00833837" w:rsidP="00584BEE">
            <w:pPr>
              <w:pStyle w:val="Tabletext"/>
              <w:ind w:left="0"/>
              <w:rPr>
                <w:b/>
              </w:rPr>
            </w:pPr>
            <w:r w:rsidRPr="00BF52F4">
              <w:rPr>
                <w:b/>
              </w:rPr>
              <w:t>Important identified risks</w:t>
            </w:r>
          </w:p>
        </w:tc>
        <w:tc>
          <w:tcPr>
            <w:tcW w:w="1480" w:type="pct"/>
            <w:tcBorders>
              <w:top w:val="single" w:sz="4" w:space="0" w:color="auto"/>
            </w:tcBorders>
          </w:tcPr>
          <w:p w14:paraId="2662497E" w14:textId="77777777" w:rsidR="00833837" w:rsidRPr="00BF52F4" w:rsidRDefault="00833837" w:rsidP="002B1C95">
            <w:pPr>
              <w:pStyle w:val="Tabletext"/>
            </w:pPr>
            <w:r>
              <w:t>Anaphylaxis</w:t>
            </w:r>
          </w:p>
        </w:tc>
        <w:tc>
          <w:tcPr>
            <w:tcW w:w="584" w:type="pct"/>
            <w:tcBorders>
              <w:top w:val="single" w:sz="4" w:space="0" w:color="auto"/>
            </w:tcBorders>
          </w:tcPr>
          <w:p w14:paraId="23AA38E6" w14:textId="77777777" w:rsidR="00833837" w:rsidRPr="00BF52F4" w:rsidRDefault="00833837" w:rsidP="002B1C95">
            <w:pPr>
              <w:pStyle w:val="Tabletext"/>
              <w:jc w:val="center"/>
              <w:rPr>
                <w:color w:val="00B050"/>
              </w:rPr>
            </w:pPr>
            <w:r w:rsidRPr="001500B4">
              <w:sym w:font="Wingdings" w:char="F0FC"/>
            </w:r>
            <w:r w:rsidRPr="001500B4">
              <w:rPr>
                <w:rFonts w:asciiTheme="majorHAnsi" w:hAnsiTheme="majorHAnsi"/>
                <w:szCs w:val="20"/>
                <w:vertAlign w:val="superscript"/>
              </w:rPr>
              <w:t>†</w:t>
            </w:r>
          </w:p>
        </w:tc>
        <w:tc>
          <w:tcPr>
            <w:tcW w:w="702" w:type="pct"/>
            <w:tcBorders>
              <w:top w:val="single" w:sz="4" w:space="0" w:color="auto"/>
            </w:tcBorders>
          </w:tcPr>
          <w:p w14:paraId="54558607" w14:textId="77777777" w:rsidR="00833837" w:rsidRPr="00BF52F4" w:rsidRDefault="00833837" w:rsidP="002B1C95">
            <w:pPr>
              <w:pStyle w:val="Tabletext"/>
              <w:jc w:val="center"/>
              <w:rPr>
                <w:color w:val="00B050"/>
              </w:rPr>
            </w:pPr>
            <w:r w:rsidRPr="001500B4">
              <w:sym w:font="Wingdings" w:char="F0FC"/>
            </w:r>
            <w:r w:rsidRPr="001500B4">
              <w:rPr>
                <w:rFonts w:asciiTheme="majorHAnsi" w:hAnsiTheme="majorHAnsi"/>
                <w:szCs w:val="20"/>
              </w:rPr>
              <w:t>*</w:t>
            </w:r>
          </w:p>
        </w:tc>
        <w:tc>
          <w:tcPr>
            <w:tcW w:w="584" w:type="pct"/>
            <w:tcBorders>
              <w:top w:val="single" w:sz="4" w:space="0" w:color="auto"/>
            </w:tcBorders>
          </w:tcPr>
          <w:p w14:paraId="70039667" w14:textId="77777777" w:rsidR="00833837" w:rsidRPr="00BF52F4" w:rsidRDefault="00833837" w:rsidP="002B1C95">
            <w:pPr>
              <w:pStyle w:val="Tabletext"/>
              <w:jc w:val="center"/>
              <w:rPr>
                <w:color w:val="00B050"/>
              </w:rPr>
            </w:pPr>
            <w:r w:rsidRPr="001500B4">
              <w:sym w:font="Wingdings" w:char="F0FC"/>
            </w:r>
          </w:p>
        </w:tc>
        <w:tc>
          <w:tcPr>
            <w:tcW w:w="702" w:type="pct"/>
            <w:tcBorders>
              <w:top w:val="single" w:sz="4" w:space="0" w:color="auto"/>
            </w:tcBorders>
          </w:tcPr>
          <w:p w14:paraId="54ADE1C8" w14:textId="77777777" w:rsidR="00833837" w:rsidRPr="00BF52F4" w:rsidRDefault="00833837" w:rsidP="002B1C95">
            <w:pPr>
              <w:pStyle w:val="Tabletext"/>
              <w:jc w:val="center"/>
              <w:rPr>
                <w:color w:val="00B050"/>
              </w:rPr>
            </w:pPr>
            <w:r w:rsidRPr="001500B4">
              <w:t>–</w:t>
            </w:r>
          </w:p>
        </w:tc>
      </w:tr>
      <w:tr w:rsidR="00833837" w:rsidRPr="00BF52F4" w14:paraId="0EEC364A" w14:textId="77777777" w:rsidTr="00833837">
        <w:trPr>
          <w:trHeight w:val="94"/>
        </w:trPr>
        <w:tc>
          <w:tcPr>
            <w:tcW w:w="949" w:type="pct"/>
            <w:vMerge/>
          </w:tcPr>
          <w:p w14:paraId="100106DD" w14:textId="77777777" w:rsidR="00833837" w:rsidRPr="00BF52F4" w:rsidRDefault="00833837" w:rsidP="002B1C95">
            <w:pPr>
              <w:pStyle w:val="Tabletext"/>
              <w:rPr>
                <w:b/>
              </w:rPr>
            </w:pPr>
          </w:p>
        </w:tc>
        <w:tc>
          <w:tcPr>
            <w:tcW w:w="1480" w:type="pct"/>
          </w:tcPr>
          <w:p w14:paraId="12710190" w14:textId="77777777" w:rsidR="00833837" w:rsidRPr="00BF52F4" w:rsidRDefault="00833837" w:rsidP="002B1C95">
            <w:pPr>
              <w:pStyle w:val="Tabletext"/>
            </w:pPr>
            <w:r>
              <w:t>Myocarditis and pericarditis</w:t>
            </w:r>
          </w:p>
        </w:tc>
        <w:tc>
          <w:tcPr>
            <w:tcW w:w="584" w:type="pct"/>
          </w:tcPr>
          <w:p w14:paraId="1455AA69" w14:textId="77777777" w:rsidR="00833837" w:rsidRPr="00BF52F4" w:rsidRDefault="00833837" w:rsidP="002B1C95">
            <w:pPr>
              <w:pStyle w:val="Tabletext"/>
              <w:jc w:val="center"/>
              <w:rPr>
                <w:color w:val="00B050"/>
              </w:rPr>
            </w:pPr>
            <w:r w:rsidRPr="00265B90">
              <w:sym w:font="Wingdings" w:char="F0FC"/>
            </w:r>
          </w:p>
        </w:tc>
        <w:tc>
          <w:tcPr>
            <w:tcW w:w="702" w:type="pct"/>
          </w:tcPr>
          <w:p w14:paraId="3577415B" w14:textId="77777777" w:rsidR="00833837" w:rsidRPr="00BF52F4" w:rsidRDefault="00833837" w:rsidP="002B1C95">
            <w:pPr>
              <w:pStyle w:val="Tabletext"/>
              <w:jc w:val="center"/>
              <w:rPr>
                <w:color w:val="00B050"/>
              </w:rPr>
            </w:pPr>
            <w:r w:rsidRPr="00265B90">
              <w:sym w:font="Wingdings" w:char="F0FC"/>
            </w:r>
            <w:r w:rsidRPr="00265B90">
              <w:rPr>
                <w:rFonts w:asciiTheme="majorHAnsi" w:hAnsiTheme="majorHAnsi"/>
                <w:szCs w:val="20"/>
              </w:rPr>
              <w:t>*</w:t>
            </w:r>
          </w:p>
        </w:tc>
        <w:tc>
          <w:tcPr>
            <w:tcW w:w="584" w:type="pct"/>
          </w:tcPr>
          <w:p w14:paraId="3B131747" w14:textId="77777777" w:rsidR="00833837" w:rsidRPr="00BF52F4" w:rsidRDefault="00833837" w:rsidP="002B1C95">
            <w:pPr>
              <w:pStyle w:val="Tabletext"/>
              <w:jc w:val="center"/>
              <w:rPr>
                <w:color w:val="00B050"/>
              </w:rPr>
            </w:pPr>
            <w:r w:rsidRPr="00265B90">
              <w:sym w:font="Wingdings" w:char="F0FC"/>
            </w:r>
          </w:p>
        </w:tc>
        <w:tc>
          <w:tcPr>
            <w:tcW w:w="702" w:type="pct"/>
          </w:tcPr>
          <w:p w14:paraId="6670C2C0" w14:textId="77777777" w:rsidR="00833837" w:rsidRPr="00BF52F4" w:rsidRDefault="00833837" w:rsidP="002B1C95">
            <w:pPr>
              <w:pStyle w:val="Tabletext"/>
              <w:jc w:val="center"/>
              <w:rPr>
                <w:color w:val="00B050"/>
              </w:rPr>
            </w:pPr>
            <w:r w:rsidRPr="00265B90">
              <w:t>–</w:t>
            </w:r>
          </w:p>
        </w:tc>
      </w:tr>
      <w:tr w:rsidR="00833837" w:rsidRPr="00BF52F4" w14:paraId="36279558" w14:textId="77777777" w:rsidTr="00833837">
        <w:trPr>
          <w:trHeight w:val="159"/>
        </w:trPr>
        <w:tc>
          <w:tcPr>
            <w:tcW w:w="949" w:type="pct"/>
          </w:tcPr>
          <w:p w14:paraId="16EB7600" w14:textId="77777777" w:rsidR="00833837" w:rsidRPr="00BF52F4" w:rsidRDefault="00833837" w:rsidP="00584BEE">
            <w:pPr>
              <w:pStyle w:val="Tabletext"/>
              <w:ind w:left="0"/>
              <w:rPr>
                <w:b/>
              </w:rPr>
            </w:pPr>
            <w:r w:rsidRPr="00BF52F4">
              <w:rPr>
                <w:b/>
              </w:rPr>
              <w:t>Important potential risks</w:t>
            </w:r>
          </w:p>
        </w:tc>
        <w:tc>
          <w:tcPr>
            <w:tcW w:w="1480" w:type="pct"/>
          </w:tcPr>
          <w:p w14:paraId="621A8B8E" w14:textId="77777777" w:rsidR="00833837" w:rsidRPr="00BF52F4" w:rsidRDefault="00833837" w:rsidP="002B1C95">
            <w:pPr>
              <w:pStyle w:val="Tabletext"/>
            </w:pPr>
            <w:r w:rsidRPr="009222A3">
              <w:t>Vaccine-associated enhanced disease (VAED) including Vaccine-associated enhanced respiratory disease (VAERD)</w:t>
            </w:r>
          </w:p>
        </w:tc>
        <w:tc>
          <w:tcPr>
            <w:tcW w:w="584" w:type="pct"/>
          </w:tcPr>
          <w:p w14:paraId="2F68B136" w14:textId="77777777" w:rsidR="00833837" w:rsidRPr="00BF52F4" w:rsidRDefault="00833837" w:rsidP="002B1C95">
            <w:pPr>
              <w:pStyle w:val="Tabletext"/>
              <w:jc w:val="center"/>
              <w:rPr>
                <w:color w:val="00B050"/>
              </w:rPr>
            </w:pPr>
            <w:r w:rsidRPr="001500B4">
              <w:sym w:font="Wingdings" w:char="F0FC"/>
            </w:r>
            <w:r w:rsidRPr="001500B4">
              <w:rPr>
                <w:rFonts w:asciiTheme="majorHAnsi" w:hAnsiTheme="majorHAnsi"/>
                <w:szCs w:val="20"/>
                <w:vertAlign w:val="superscript"/>
              </w:rPr>
              <w:t>†</w:t>
            </w:r>
          </w:p>
        </w:tc>
        <w:tc>
          <w:tcPr>
            <w:tcW w:w="702" w:type="pct"/>
          </w:tcPr>
          <w:p w14:paraId="5E632A4D" w14:textId="77777777" w:rsidR="00833837" w:rsidRPr="00BF52F4" w:rsidRDefault="00833837" w:rsidP="002B1C95">
            <w:pPr>
              <w:pStyle w:val="Tabletext"/>
              <w:jc w:val="center"/>
              <w:rPr>
                <w:color w:val="00B050"/>
              </w:rPr>
            </w:pPr>
            <w:r w:rsidRPr="001500B4">
              <w:sym w:font="Wingdings" w:char="F0FC"/>
            </w:r>
            <w:r w:rsidRPr="001500B4">
              <w:rPr>
                <w:rFonts w:asciiTheme="majorHAnsi" w:hAnsiTheme="majorHAnsi"/>
                <w:szCs w:val="20"/>
              </w:rPr>
              <w:t>*</w:t>
            </w:r>
          </w:p>
        </w:tc>
        <w:tc>
          <w:tcPr>
            <w:tcW w:w="584" w:type="pct"/>
          </w:tcPr>
          <w:p w14:paraId="1D5AA2F8" w14:textId="77777777" w:rsidR="00833837" w:rsidRPr="00BF52F4" w:rsidRDefault="00833837" w:rsidP="002B1C95">
            <w:pPr>
              <w:pStyle w:val="Tabletext"/>
              <w:jc w:val="center"/>
              <w:rPr>
                <w:color w:val="00B050"/>
              </w:rPr>
            </w:pPr>
            <w:r w:rsidRPr="001500B4">
              <w:t>–</w:t>
            </w:r>
          </w:p>
        </w:tc>
        <w:tc>
          <w:tcPr>
            <w:tcW w:w="702" w:type="pct"/>
          </w:tcPr>
          <w:p w14:paraId="392AB326" w14:textId="77777777" w:rsidR="00833837" w:rsidRPr="00BF52F4" w:rsidRDefault="00833837" w:rsidP="002B1C95">
            <w:pPr>
              <w:pStyle w:val="Tabletext"/>
              <w:jc w:val="center"/>
              <w:rPr>
                <w:color w:val="00B050"/>
              </w:rPr>
            </w:pPr>
            <w:r w:rsidRPr="001500B4">
              <w:t>–</w:t>
            </w:r>
          </w:p>
        </w:tc>
      </w:tr>
      <w:tr w:rsidR="00833837" w:rsidRPr="00BF52F4" w14:paraId="4F24712C" w14:textId="77777777" w:rsidTr="00833837">
        <w:trPr>
          <w:trHeight w:val="178"/>
        </w:trPr>
        <w:tc>
          <w:tcPr>
            <w:tcW w:w="949" w:type="pct"/>
            <w:vMerge w:val="restart"/>
          </w:tcPr>
          <w:p w14:paraId="279910F6" w14:textId="77777777" w:rsidR="00833837" w:rsidRPr="00BF52F4" w:rsidRDefault="00833837" w:rsidP="00584BEE">
            <w:pPr>
              <w:pStyle w:val="Tabletext"/>
              <w:ind w:left="0"/>
              <w:rPr>
                <w:b/>
              </w:rPr>
            </w:pPr>
            <w:r w:rsidRPr="00BF52F4">
              <w:rPr>
                <w:b/>
              </w:rPr>
              <w:t>Missing information</w:t>
            </w:r>
          </w:p>
        </w:tc>
        <w:tc>
          <w:tcPr>
            <w:tcW w:w="1480" w:type="pct"/>
          </w:tcPr>
          <w:p w14:paraId="362C657D" w14:textId="77777777" w:rsidR="00833837" w:rsidRPr="00BF52F4" w:rsidRDefault="00833837" w:rsidP="002B1C95">
            <w:pPr>
              <w:pStyle w:val="Tabletext"/>
            </w:pPr>
            <w:r w:rsidRPr="009222A3">
              <w:t>Use in pregnancy and while breast feeding</w:t>
            </w:r>
          </w:p>
        </w:tc>
        <w:tc>
          <w:tcPr>
            <w:tcW w:w="584" w:type="pct"/>
          </w:tcPr>
          <w:p w14:paraId="603E481F" w14:textId="77777777" w:rsidR="00833837" w:rsidRPr="00BF52F4" w:rsidRDefault="00833837" w:rsidP="002B1C95">
            <w:pPr>
              <w:pStyle w:val="Tabletext"/>
              <w:jc w:val="center"/>
              <w:rPr>
                <w:color w:val="00B050"/>
              </w:rPr>
            </w:pPr>
            <w:r w:rsidRPr="00265B90">
              <w:sym w:font="Wingdings" w:char="F0FC"/>
            </w:r>
          </w:p>
        </w:tc>
        <w:tc>
          <w:tcPr>
            <w:tcW w:w="702" w:type="pct"/>
          </w:tcPr>
          <w:p w14:paraId="5061B3B0" w14:textId="77777777" w:rsidR="00833837" w:rsidRPr="00BF52F4" w:rsidRDefault="00833837" w:rsidP="002B1C95">
            <w:pPr>
              <w:pStyle w:val="Tabletext"/>
              <w:jc w:val="center"/>
              <w:rPr>
                <w:color w:val="00B050"/>
              </w:rPr>
            </w:pPr>
            <w:r w:rsidRPr="00265B90">
              <w:sym w:font="Wingdings" w:char="F0FC"/>
            </w:r>
            <w:r w:rsidRPr="00265B90">
              <w:rPr>
                <w:rFonts w:asciiTheme="majorHAnsi" w:hAnsiTheme="majorHAnsi"/>
                <w:szCs w:val="20"/>
              </w:rPr>
              <w:t>*</w:t>
            </w:r>
          </w:p>
        </w:tc>
        <w:tc>
          <w:tcPr>
            <w:tcW w:w="584" w:type="pct"/>
          </w:tcPr>
          <w:p w14:paraId="4F374C64" w14:textId="77777777" w:rsidR="00833837" w:rsidRPr="00BF52F4" w:rsidRDefault="00833837" w:rsidP="002B1C95">
            <w:pPr>
              <w:pStyle w:val="Tabletext"/>
              <w:jc w:val="center"/>
              <w:rPr>
                <w:color w:val="00B050"/>
              </w:rPr>
            </w:pPr>
            <w:r w:rsidRPr="00265B90">
              <w:sym w:font="Wingdings" w:char="F0FC"/>
            </w:r>
          </w:p>
        </w:tc>
        <w:tc>
          <w:tcPr>
            <w:tcW w:w="702" w:type="pct"/>
          </w:tcPr>
          <w:p w14:paraId="177A6FEC" w14:textId="77777777" w:rsidR="00833837" w:rsidRPr="00BF52F4" w:rsidRDefault="00833837" w:rsidP="002B1C95">
            <w:pPr>
              <w:pStyle w:val="Tabletext"/>
              <w:jc w:val="center"/>
              <w:rPr>
                <w:color w:val="00B050"/>
              </w:rPr>
            </w:pPr>
            <w:r w:rsidRPr="00265B90">
              <w:t>–</w:t>
            </w:r>
          </w:p>
        </w:tc>
      </w:tr>
      <w:tr w:rsidR="00833837" w:rsidRPr="00BF52F4" w14:paraId="0D70EB89" w14:textId="77777777" w:rsidTr="00833837">
        <w:trPr>
          <w:trHeight w:val="103"/>
        </w:trPr>
        <w:tc>
          <w:tcPr>
            <w:tcW w:w="949" w:type="pct"/>
            <w:vMerge/>
          </w:tcPr>
          <w:p w14:paraId="441686EA" w14:textId="77777777" w:rsidR="00833837" w:rsidRPr="00BF52F4" w:rsidRDefault="00833837" w:rsidP="002B1C95">
            <w:pPr>
              <w:pStyle w:val="Tabletext"/>
            </w:pPr>
          </w:p>
        </w:tc>
        <w:tc>
          <w:tcPr>
            <w:tcW w:w="1480" w:type="pct"/>
          </w:tcPr>
          <w:p w14:paraId="2F42A85C" w14:textId="77777777" w:rsidR="00833837" w:rsidRPr="00BF52F4" w:rsidRDefault="00833837" w:rsidP="002B1C95">
            <w:pPr>
              <w:pStyle w:val="Tabletext"/>
            </w:pPr>
            <w:r w:rsidRPr="009222A3">
              <w:t>Use in immunocompromised patients</w:t>
            </w:r>
          </w:p>
        </w:tc>
        <w:tc>
          <w:tcPr>
            <w:tcW w:w="584" w:type="pct"/>
          </w:tcPr>
          <w:p w14:paraId="2B4193BC" w14:textId="77777777" w:rsidR="00833837" w:rsidRPr="00BF52F4" w:rsidRDefault="00833837" w:rsidP="002B1C95">
            <w:pPr>
              <w:pStyle w:val="Tabletext"/>
              <w:jc w:val="center"/>
              <w:rPr>
                <w:color w:val="00B050"/>
              </w:rPr>
            </w:pPr>
            <w:r w:rsidRPr="00265B90">
              <w:sym w:font="Wingdings" w:char="F0FC"/>
            </w:r>
          </w:p>
        </w:tc>
        <w:tc>
          <w:tcPr>
            <w:tcW w:w="702" w:type="pct"/>
          </w:tcPr>
          <w:p w14:paraId="0DCD63A0" w14:textId="77777777" w:rsidR="00833837" w:rsidRPr="00BF52F4" w:rsidRDefault="00833837" w:rsidP="002B1C95">
            <w:pPr>
              <w:pStyle w:val="Tabletext"/>
              <w:jc w:val="center"/>
              <w:rPr>
                <w:color w:val="00B050"/>
              </w:rPr>
            </w:pPr>
            <w:r w:rsidRPr="00265B90">
              <w:sym w:font="Wingdings" w:char="F0FC"/>
            </w:r>
            <w:r w:rsidRPr="00265B90">
              <w:rPr>
                <w:rFonts w:asciiTheme="majorHAnsi" w:hAnsiTheme="majorHAnsi"/>
                <w:szCs w:val="20"/>
              </w:rPr>
              <w:t>*</w:t>
            </w:r>
          </w:p>
        </w:tc>
        <w:tc>
          <w:tcPr>
            <w:tcW w:w="584" w:type="pct"/>
          </w:tcPr>
          <w:p w14:paraId="1B7399D0" w14:textId="77777777" w:rsidR="00833837" w:rsidRPr="00BF52F4" w:rsidRDefault="00833837" w:rsidP="002B1C95">
            <w:pPr>
              <w:pStyle w:val="Tabletext"/>
              <w:jc w:val="center"/>
              <w:rPr>
                <w:color w:val="00B050"/>
              </w:rPr>
            </w:pPr>
            <w:r w:rsidRPr="00265B90">
              <w:sym w:font="Wingdings" w:char="F0FC"/>
            </w:r>
          </w:p>
        </w:tc>
        <w:tc>
          <w:tcPr>
            <w:tcW w:w="702" w:type="pct"/>
          </w:tcPr>
          <w:p w14:paraId="3CE08C3E" w14:textId="77777777" w:rsidR="00833837" w:rsidRPr="00BF52F4" w:rsidRDefault="00833837" w:rsidP="002B1C95">
            <w:pPr>
              <w:pStyle w:val="Tabletext"/>
              <w:jc w:val="center"/>
              <w:rPr>
                <w:color w:val="00B050"/>
              </w:rPr>
            </w:pPr>
            <w:r w:rsidRPr="00265B90">
              <w:t>–</w:t>
            </w:r>
          </w:p>
        </w:tc>
      </w:tr>
      <w:tr w:rsidR="00833837" w:rsidRPr="00BF52F4" w14:paraId="5212894D" w14:textId="77777777" w:rsidTr="00833837">
        <w:trPr>
          <w:trHeight w:val="103"/>
        </w:trPr>
        <w:tc>
          <w:tcPr>
            <w:tcW w:w="949" w:type="pct"/>
            <w:vMerge/>
          </w:tcPr>
          <w:p w14:paraId="4008A569" w14:textId="77777777" w:rsidR="00833837" w:rsidRPr="00BF52F4" w:rsidRDefault="00833837" w:rsidP="002B1C95">
            <w:pPr>
              <w:pStyle w:val="Tabletext"/>
            </w:pPr>
          </w:p>
        </w:tc>
        <w:tc>
          <w:tcPr>
            <w:tcW w:w="1480" w:type="pct"/>
          </w:tcPr>
          <w:p w14:paraId="26BE814A" w14:textId="77777777" w:rsidR="00833837" w:rsidRPr="00BF52F4" w:rsidRDefault="00833837" w:rsidP="002B1C95">
            <w:pPr>
              <w:pStyle w:val="Tabletext"/>
            </w:pPr>
            <w:r w:rsidRPr="009222A3">
              <w:t>Use in frail patients with co-morbidities (</w:t>
            </w:r>
            <w:proofErr w:type="gramStart"/>
            <w:r w:rsidRPr="009222A3">
              <w:t>e.g.</w:t>
            </w:r>
            <w:proofErr w:type="gramEnd"/>
            <w:r w:rsidRPr="009222A3">
              <w:t xml:space="preserve"> chronic obstructive pulmonary disease (COPD), diabetes, chronic neurological disease, cardiovascular disorders)</w:t>
            </w:r>
          </w:p>
        </w:tc>
        <w:tc>
          <w:tcPr>
            <w:tcW w:w="584" w:type="pct"/>
          </w:tcPr>
          <w:p w14:paraId="7572CD0B" w14:textId="77777777" w:rsidR="00833837" w:rsidRPr="00BF52F4" w:rsidRDefault="00833837" w:rsidP="002B1C95">
            <w:pPr>
              <w:pStyle w:val="Tabletext"/>
              <w:jc w:val="center"/>
              <w:rPr>
                <w:color w:val="00B050"/>
              </w:rPr>
            </w:pPr>
            <w:r w:rsidRPr="00265B90">
              <w:sym w:font="Wingdings" w:char="F0FC"/>
            </w:r>
          </w:p>
        </w:tc>
        <w:tc>
          <w:tcPr>
            <w:tcW w:w="702" w:type="pct"/>
          </w:tcPr>
          <w:p w14:paraId="5031250B" w14:textId="77777777" w:rsidR="00833837" w:rsidRPr="00BF52F4" w:rsidRDefault="00833837" w:rsidP="002B1C95">
            <w:pPr>
              <w:pStyle w:val="Tabletext"/>
              <w:jc w:val="center"/>
              <w:rPr>
                <w:color w:val="00B050"/>
              </w:rPr>
            </w:pPr>
            <w:r w:rsidRPr="00265B90">
              <w:sym w:font="Wingdings" w:char="F0FC"/>
            </w:r>
            <w:r w:rsidRPr="00265B90">
              <w:rPr>
                <w:rFonts w:asciiTheme="majorHAnsi" w:hAnsiTheme="majorHAnsi"/>
                <w:szCs w:val="20"/>
              </w:rPr>
              <w:t>*</w:t>
            </w:r>
          </w:p>
        </w:tc>
        <w:tc>
          <w:tcPr>
            <w:tcW w:w="584" w:type="pct"/>
          </w:tcPr>
          <w:p w14:paraId="0866EF31" w14:textId="77777777" w:rsidR="00833837" w:rsidRPr="00BF52F4" w:rsidRDefault="00833837" w:rsidP="002B1C95">
            <w:pPr>
              <w:pStyle w:val="Tabletext"/>
              <w:jc w:val="center"/>
              <w:rPr>
                <w:color w:val="00B050"/>
              </w:rPr>
            </w:pPr>
            <w:r w:rsidRPr="00265B90">
              <w:sym w:font="Wingdings" w:char="F0FC"/>
            </w:r>
          </w:p>
        </w:tc>
        <w:tc>
          <w:tcPr>
            <w:tcW w:w="702" w:type="pct"/>
          </w:tcPr>
          <w:p w14:paraId="6FF2D642" w14:textId="77777777" w:rsidR="00833837" w:rsidRPr="00BF52F4" w:rsidRDefault="00833837" w:rsidP="002B1C95">
            <w:pPr>
              <w:pStyle w:val="Tabletext"/>
              <w:jc w:val="center"/>
              <w:rPr>
                <w:color w:val="00B050"/>
              </w:rPr>
            </w:pPr>
            <w:r w:rsidRPr="00265B90">
              <w:t>–</w:t>
            </w:r>
          </w:p>
        </w:tc>
      </w:tr>
      <w:tr w:rsidR="00833837" w:rsidRPr="00BF52F4" w14:paraId="5ED6E4F5" w14:textId="77777777" w:rsidTr="00833837">
        <w:trPr>
          <w:trHeight w:val="103"/>
        </w:trPr>
        <w:tc>
          <w:tcPr>
            <w:tcW w:w="949" w:type="pct"/>
            <w:vMerge/>
          </w:tcPr>
          <w:p w14:paraId="2C2A3B65" w14:textId="77777777" w:rsidR="00833837" w:rsidRPr="00BF52F4" w:rsidRDefault="00833837" w:rsidP="002B1C95">
            <w:pPr>
              <w:pStyle w:val="Tabletext"/>
            </w:pPr>
          </w:p>
        </w:tc>
        <w:tc>
          <w:tcPr>
            <w:tcW w:w="1480" w:type="pct"/>
          </w:tcPr>
          <w:p w14:paraId="6B356529" w14:textId="77777777" w:rsidR="00833837" w:rsidRPr="00BF52F4" w:rsidRDefault="00833837" w:rsidP="002B1C95">
            <w:pPr>
              <w:pStyle w:val="Tabletext"/>
            </w:pPr>
            <w:r w:rsidRPr="009222A3">
              <w:t>Use in patients with autoimmune or inflammatory disorders</w:t>
            </w:r>
          </w:p>
        </w:tc>
        <w:tc>
          <w:tcPr>
            <w:tcW w:w="584" w:type="pct"/>
          </w:tcPr>
          <w:p w14:paraId="7A76BD11" w14:textId="77777777" w:rsidR="00833837" w:rsidRPr="00BF52F4" w:rsidRDefault="00833837" w:rsidP="002B1C95">
            <w:pPr>
              <w:pStyle w:val="Tabletext"/>
              <w:jc w:val="center"/>
              <w:rPr>
                <w:color w:val="00B050"/>
              </w:rPr>
            </w:pPr>
            <w:r w:rsidRPr="00265B90">
              <w:sym w:font="Wingdings" w:char="F0FC"/>
            </w:r>
          </w:p>
        </w:tc>
        <w:tc>
          <w:tcPr>
            <w:tcW w:w="702" w:type="pct"/>
          </w:tcPr>
          <w:p w14:paraId="38403A06" w14:textId="77777777" w:rsidR="00833837" w:rsidRPr="00BF52F4" w:rsidRDefault="00833837" w:rsidP="002B1C95">
            <w:pPr>
              <w:pStyle w:val="Tabletext"/>
              <w:jc w:val="center"/>
              <w:rPr>
                <w:color w:val="00B050"/>
              </w:rPr>
            </w:pPr>
            <w:r w:rsidRPr="00265B90">
              <w:sym w:font="Wingdings" w:char="F0FC"/>
            </w:r>
            <w:r w:rsidRPr="00265B90">
              <w:rPr>
                <w:rFonts w:asciiTheme="majorHAnsi" w:hAnsiTheme="majorHAnsi"/>
                <w:szCs w:val="20"/>
              </w:rPr>
              <w:t>*</w:t>
            </w:r>
          </w:p>
        </w:tc>
        <w:tc>
          <w:tcPr>
            <w:tcW w:w="584" w:type="pct"/>
          </w:tcPr>
          <w:p w14:paraId="12FED3F8" w14:textId="77777777" w:rsidR="00833837" w:rsidRPr="00BF52F4" w:rsidRDefault="00833837" w:rsidP="002B1C95">
            <w:pPr>
              <w:pStyle w:val="Tabletext"/>
              <w:jc w:val="center"/>
              <w:rPr>
                <w:color w:val="00B050"/>
              </w:rPr>
            </w:pPr>
            <w:r w:rsidRPr="00265B90">
              <w:t>–</w:t>
            </w:r>
          </w:p>
        </w:tc>
        <w:tc>
          <w:tcPr>
            <w:tcW w:w="702" w:type="pct"/>
          </w:tcPr>
          <w:p w14:paraId="55169820" w14:textId="77777777" w:rsidR="00833837" w:rsidRPr="00BF52F4" w:rsidRDefault="00833837" w:rsidP="002B1C95">
            <w:pPr>
              <w:pStyle w:val="Tabletext"/>
              <w:jc w:val="center"/>
              <w:rPr>
                <w:color w:val="00B050"/>
              </w:rPr>
            </w:pPr>
            <w:r w:rsidRPr="00265B90">
              <w:t>–</w:t>
            </w:r>
          </w:p>
        </w:tc>
      </w:tr>
      <w:tr w:rsidR="00833837" w:rsidRPr="00BF52F4" w14:paraId="132874DA" w14:textId="77777777" w:rsidTr="00833837">
        <w:trPr>
          <w:trHeight w:val="103"/>
        </w:trPr>
        <w:tc>
          <w:tcPr>
            <w:tcW w:w="949" w:type="pct"/>
            <w:vMerge/>
          </w:tcPr>
          <w:p w14:paraId="751A62F8" w14:textId="77777777" w:rsidR="00833837" w:rsidRPr="00BF52F4" w:rsidRDefault="00833837" w:rsidP="002B1C95">
            <w:pPr>
              <w:pStyle w:val="Tabletext"/>
            </w:pPr>
          </w:p>
        </w:tc>
        <w:tc>
          <w:tcPr>
            <w:tcW w:w="1480" w:type="pct"/>
          </w:tcPr>
          <w:p w14:paraId="1053A761" w14:textId="77777777" w:rsidR="00833837" w:rsidRPr="00BF52F4" w:rsidRDefault="00833837" w:rsidP="002B1C95">
            <w:pPr>
              <w:pStyle w:val="Tabletext"/>
            </w:pPr>
            <w:r w:rsidRPr="009222A3">
              <w:t>Interaction with other vaccines</w:t>
            </w:r>
          </w:p>
        </w:tc>
        <w:tc>
          <w:tcPr>
            <w:tcW w:w="584" w:type="pct"/>
          </w:tcPr>
          <w:p w14:paraId="7448DB46" w14:textId="77777777" w:rsidR="00833837" w:rsidRPr="00BF52F4" w:rsidRDefault="00833837" w:rsidP="002B1C95">
            <w:pPr>
              <w:pStyle w:val="Tabletext"/>
              <w:jc w:val="center"/>
              <w:rPr>
                <w:color w:val="00B050"/>
              </w:rPr>
            </w:pPr>
            <w:r w:rsidRPr="00265B90">
              <w:sym w:font="Wingdings" w:char="F0FC"/>
            </w:r>
          </w:p>
        </w:tc>
        <w:tc>
          <w:tcPr>
            <w:tcW w:w="702" w:type="pct"/>
          </w:tcPr>
          <w:p w14:paraId="2A10FE9F" w14:textId="77777777" w:rsidR="00833837" w:rsidRPr="00BF52F4" w:rsidRDefault="00833837" w:rsidP="002B1C95">
            <w:pPr>
              <w:pStyle w:val="Tabletext"/>
              <w:jc w:val="center"/>
              <w:rPr>
                <w:color w:val="00B050"/>
              </w:rPr>
            </w:pPr>
            <w:r w:rsidRPr="00265B90">
              <w:sym w:font="Wingdings" w:char="F0FC"/>
            </w:r>
            <w:r w:rsidRPr="00265B90">
              <w:rPr>
                <w:rFonts w:asciiTheme="majorHAnsi" w:hAnsiTheme="majorHAnsi"/>
                <w:szCs w:val="20"/>
              </w:rPr>
              <w:t>*</w:t>
            </w:r>
          </w:p>
        </w:tc>
        <w:tc>
          <w:tcPr>
            <w:tcW w:w="584" w:type="pct"/>
          </w:tcPr>
          <w:p w14:paraId="6904ECB5" w14:textId="77777777" w:rsidR="00833837" w:rsidRPr="00BF52F4" w:rsidRDefault="00833837" w:rsidP="002B1C95">
            <w:pPr>
              <w:pStyle w:val="Tabletext"/>
              <w:jc w:val="center"/>
              <w:rPr>
                <w:color w:val="00B050"/>
              </w:rPr>
            </w:pPr>
            <w:r w:rsidRPr="00265B90">
              <w:sym w:font="Wingdings" w:char="F0FC"/>
            </w:r>
          </w:p>
        </w:tc>
        <w:tc>
          <w:tcPr>
            <w:tcW w:w="702" w:type="pct"/>
          </w:tcPr>
          <w:p w14:paraId="7CF9B883" w14:textId="77777777" w:rsidR="00833837" w:rsidRPr="00BF52F4" w:rsidRDefault="00833837" w:rsidP="002B1C95">
            <w:pPr>
              <w:pStyle w:val="Tabletext"/>
              <w:jc w:val="center"/>
              <w:rPr>
                <w:color w:val="00B050"/>
              </w:rPr>
            </w:pPr>
            <w:r w:rsidRPr="00265B90">
              <w:t>–</w:t>
            </w:r>
          </w:p>
        </w:tc>
      </w:tr>
      <w:tr w:rsidR="00833837" w:rsidRPr="00BF52F4" w14:paraId="73621249" w14:textId="77777777" w:rsidTr="00833837">
        <w:trPr>
          <w:trHeight w:val="140"/>
        </w:trPr>
        <w:tc>
          <w:tcPr>
            <w:tcW w:w="949" w:type="pct"/>
            <w:vMerge/>
          </w:tcPr>
          <w:p w14:paraId="12177B08" w14:textId="77777777" w:rsidR="00833837" w:rsidRPr="00BF52F4" w:rsidRDefault="00833837" w:rsidP="002B1C95">
            <w:pPr>
              <w:pStyle w:val="Tabletext"/>
            </w:pPr>
          </w:p>
        </w:tc>
        <w:tc>
          <w:tcPr>
            <w:tcW w:w="1480" w:type="pct"/>
          </w:tcPr>
          <w:p w14:paraId="29D79F59" w14:textId="77777777" w:rsidR="00833837" w:rsidRPr="00BF52F4" w:rsidRDefault="00833837" w:rsidP="002B1C95">
            <w:pPr>
              <w:pStyle w:val="Tabletext"/>
            </w:pPr>
            <w:r w:rsidRPr="009222A3">
              <w:t>Long term safety data</w:t>
            </w:r>
          </w:p>
        </w:tc>
        <w:tc>
          <w:tcPr>
            <w:tcW w:w="584" w:type="pct"/>
          </w:tcPr>
          <w:p w14:paraId="5008F113" w14:textId="77777777" w:rsidR="00833837" w:rsidRPr="00BF52F4" w:rsidRDefault="00833837" w:rsidP="002B1C95">
            <w:pPr>
              <w:pStyle w:val="Tabletext"/>
              <w:jc w:val="center"/>
              <w:rPr>
                <w:color w:val="00B050"/>
              </w:rPr>
            </w:pPr>
            <w:r w:rsidRPr="00265B90">
              <w:sym w:font="Wingdings" w:char="F0FC"/>
            </w:r>
          </w:p>
        </w:tc>
        <w:tc>
          <w:tcPr>
            <w:tcW w:w="702" w:type="pct"/>
          </w:tcPr>
          <w:p w14:paraId="02153448" w14:textId="77777777" w:rsidR="00833837" w:rsidRPr="00BF52F4" w:rsidRDefault="00833837" w:rsidP="002B1C95">
            <w:pPr>
              <w:pStyle w:val="Tabletext"/>
              <w:jc w:val="center"/>
              <w:rPr>
                <w:color w:val="00B050"/>
              </w:rPr>
            </w:pPr>
            <w:r w:rsidRPr="00265B90">
              <w:sym w:font="Wingdings" w:char="F0FC"/>
            </w:r>
            <w:r w:rsidRPr="00265B90">
              <w:rPr>
                <w:rFonts w:asciiTheme="majorHAnsi" w:hAnsiTheme="majorHAnsi"/>
                <w:szCs w:val="20"/>
              </w:rPr>
              <w:t>*</w:t>
            </w:r>
          </w:p>
        </w:tc>
        <w:tc>
          <w:tcPr>
            <w:tcW w:w="584" w:type="pct"/>
          </w:tcPr>
          <w:p w14:paraId="0283617C" w14:textId="77777777" w:rsidR="00833837" w:rsidRPr="00BF52F4" w:rsidRDefault="00833837" w:rsidP="002B1C95">
            <w:pPr>
              <w:pStyle w:val="Tabletext"/>
              <w:jc w:val="center"/>
              <w:rPr>
                <w:color w:val="00B050"/>
              </w:rPr>
            </w:pPr>
            <w:r w:rsidRPr="00265B90">
              <w:t>–</w:t>
            </w:r>
          </w:p>
        </w:tc>
        <w:tc>
          <w:tcPr>
            <w:tcW w:w="702" w:type="pct"/>
          </w:tcPr>
          <w:p w14:paraId="053F95CA" w14:textId="77777777" w:rsidR="00833837" w:rsidRPr="00BF52F4" w:rsidRDefault="00833837" w:rsidP="002B1C95">
            <w:pPr>
              <w:pStyle w:val="Tabletext"/>
              <w:jc w:val="center"/>
              <w:rPr>
                <w:color w:val="00B050"/>
              </w:rPr>
            </w:pPr>
            <w:r w:rsidRPr="00265B90">
              <w:t>–</w:t>
            </w:r>
          </w:p>
        </w:tc>
      </w:tr>
    </w:tbl>
    <w:p w14:paraId="0FDF017A" w14:textId="6650765E" w:rsidR="00833837" w:rsidRPr="00833837" w:rsidRDefault="00833837" w:rsidP="00833837">
      <w:pPr>
        <w:pStyle w:val="TableDescription"/>
      </w:pPr>
      <w:bookmarkStart w:id="53" w:name="_Toc247691531"/>
      <w:bookmarkStart w:id="54" w:name="_Toc314842515"/>
      <w:bookmarkStart w:id="55" w:name="_Toc196046505"/>
      <w:bookmarkStart w:id="56" w:name="_Toc196046949"/>
      <w:r w:rsidRPr="00833837">
        <w:t>†Data capture Aid (Adverse drug reaction follow-up forms)</w:t>
      </w:r>
      <w:r>
        <w:t xml:space="preserve"> </w:t>
      </w:r>
      <w:r w:rsidRPr="00833837">
        <w:t>*Clinical trial</w:t>
      </w:r>
    </w:p>
    <w:p w14:paraId="7FE61E61" w14:textId="3A98B831" w:rsidR="008E7846" w:rsidRDefault="00AA0ED0" w:rsidP="00833837">
      <w:pPr>
        <w:pStyle w:val="Heading3"/>
      </w:pPr>
      <w:bookmarkStart w:id="57" w:name="_Toc100655263"/>
      <w:r>
        <w:t>Risk-benefit a</w:t>
      </w:r>
      <w:r w:rsidR="008E7846">
        <w:t>nalysis</w:t>
      </w:r>
      <w:bookmarkEnd w:id="53"/>
      <w:bookmarkEnd w:id="54"/>
      <w:bookmarkEnd w:id="57"/>
    </w:p>
    <w:p w14:paraId="3A285DC2" w14:textId="5A258F14" w:rsidR="00D23139" w:rsidRDefault="007D53B6" w:rsidP="00D23139">
      <w:pPr>
        <w:pStyle w:val="Heading4"/>
      </w:pPr>
      <w:r>
        <w:t>Delegate’s considerations</w:t>
      </w:r>
    </w:p>
    <w:p w14:paraId="6DEEE07C" w14:textId="36687E9E" w:rsidR="000168B4" w:rsidRDefault="000168B4" w:rsidP="00DE5B19">
      <w:pPr>
        <w:pStyle w:val="Heading5"/>
      </w:pPr>
      <w:r>
        <w:t>Summary of data</w:t>
      </w:r>
    </w:p>
    <w:p w14:paraId="62EA47C2" w14:textId="0EFFE397" w:rsidR="000344A9" w:rsidRDefault="008815D4" w:rsidP="000D4880">
      <w:r>
        <w:t xml:space="preserve">The lower age of booster was </w:t>
      </w:r>
      <w:r w:rsidRPr="000D4880">
        <w:t>supported</w:t>
      </w:r>
      <w:r>
        <w:t xml:space="preserve"> by </w:t>
      </w:r>
      <w:r w:rsidR="000344A9">
        <w:t>the</w:t>
      </w:r>
      <w:r>
        <w:t xml:space="preserve"> </w:t>
      </w:r>
      <w:r w:rsidR="000344A9">
        <w:t>sponsor’s</w:t>
      </w:r>
      <w:r>
        <w:t xml:space="preserve"> Clinical </w:t>
      </w:r>
      <w:r w:rsidR="00983504">
        <w:t>o</w:t>
      </w:r>
      <w:r>
        <w:t xml:space="preserve">verview </w:t>
      </w:r>
      <w:r w:rsidR="00F85C01">
        <w:t xml:space="preserve">and </w:t>
      </w:r>
      <w:r>
        <w:t>based on</w:t>
      </w:r>
      <w:bookmarkStart w:id="58" w:name="_Hlk97206343"/>
      <w:r w:rsidR="004605A9">
        <w:t>:</w:t>
      </w:r>
    </w:p>
    <w:p w14:paraId="0FE376A1" w14:textId="663208C5" w:rsidR="000344A9" w:rsidRPr="000344A9" w:rsidRDefault="000344A9" w:rsidP="002341E9">
      <w:pPr>
        <w:pStyle w:val="ListBullet"/>
      </w:pPr>
      <w:r w:rsidRPr="000344A9">
        <w:lastRenderedPageBreak/>
        <w:t>S</w:t>
      </w:r>
      <w:r w:rsidR="008815D4" w:rsidRPr="000344A9">
        <w:t xml:space="preserve">afety data from the Israel Ministry of Health showing that after administering a single booster dose to more than 6000 </w:t>
      </w:r>
      <w:proofErr w:type="gramStart"/>
      <w:r w:rsidR="008815D4" w:rsidRPr="000344A9">
        <w:t>12 to 15</w:t>
      </w:r>
      <w:r w:rsidRPr="000344A9">
        <w:t xml:space="preserve"> </w:t>
      </w:r>
      <w:r w:rsidR="008815D4" w:rsidRPr="000344A9">
        <w:t>year</w:t>
      </w:r>
      <w:r w:rsidR="000D4880">
        <w:t xml:space="preserve"> </w:t>
      </w:r>
      <w:proofErr w:type="spellStart"/>
      <w:r w:rsidR="008815D4" w:rsidRPr="000344A9">
        <w:t>olds</w:t>
      </w:r>
      <w:proofErr w:type="spellEnd"/>
      <w:proofErr w:type="gramEnd"/>
      <w:r w:rsidR="008815D4" w:rsidRPr="000344A9">
        <w:t xml:space="preserve">, no new safety concerns were identified through 15 December </w:t>
      </w:r>
      <w:bookmarkEnd w:id="58"/>
      <w:r w:rsidR="00535A3B" w:rsidRPr="000344A9">
        <w:t>2021</w:t>
      </w:r>
      <w:r w:rsidR="00535A3B">
        <w:t>.</w:t>
      </w:r>
    </w:p>
    <w:p w14:paraId="3BBCB92F" w14:textId="5CD07B8F" w:rsidR="000344A9" w:rsidRPr="000344A9" w:rsidRDefault="008815D4" w:rsidP="002341E9">
      <w:pPr>
        <w:pStyle w:val="ListBullet"/>
      </w:pPr>
      <w:r w:rsidRPr="000344A9">
        <w:t>Published data in adults showing that a single booster dose can greatly improve effectiveness against a range of SARS-CoV-2 outcomes compared to after only two doses administered at least five months ago, and</w:t>
      </w:r>
    </w:p>
    <w:p w14:paraId="5133E348" w14:textId="6E45F357" w:rsidR="008815D4" w:rsidRPr="000344A9" w:rsidRDefault="008815D4" w:rsidP="002341E9">
      <w:pPr>
        <w:pStyle w:val="ListBullet"/>
      </w:pPr>
      <w:r w:rsidRPr="000344A9">
        <w:t xml:space="preserve">Emerging evidence suggesting that three doses of vaccine may be especially necessary for preventing </w:t>
      </w:r>
      <w:r w:rsidR="000D4880">
        <w:t>O</w:t>
      </w:r>
      <w:r w:rsidRPr="000344A9">
        <w:t>micron</w:t>
      </w:r>
      <w:r w:rsidR="000D4880">
        <w:t xml:space="preserve"> variant</w:t>
      </w:r>
      <w:r w:rsidR="000D4880">
        <w:noBreakHyphen/>
      </w:r>
      <w:r w:rsidRPr="000344A9">
        <w:t>related disease.</w:t>
      </w:r>
    </w:p>
    <w:p w14:paraId="61CE394E" w14:textId="54CBC3A8" w:rsidR="000168B4" w:rsidRPr="000168B4" w:rsidRDefault="008815D4" w:rsidP="008815D4">
      <w:r>
        <w:rPr>
          <w:rFonts w:asciiTheme="minorHAnsi" w:hAnsiTheme="minorHAnsi" w:cs="Calibri"/>
          <w:iCs/>
        </w:rPr>
        <w:t xml:space="preserve">Other PI changes are supported by </w:t>
      </w:r>
      <w:r w:rsidR="000344A9">
        <w:rPr>
          <w:rFonts w:asciiTheme="minorHAnsi" w:hAnsiTheme="minorHAnsi" w:cs="Calibri"/>
          <w:iCs/>
        </w:rPr>
        <w:t>the sponsor’s</w:t>
      </w:r>
      <w:r w:rsidR="003829FB">
        <w:rPr>
          <w:rFonts w:asciiTheme="minorHAnsi" w:hAnsiTheme="minorHAnsi" w:cs="Calibri"/>
          <w:iCs/>
        </w:rPr>
        <w:t xml:space="preserve"> </w:t>
      </w:r>
      <w:r w:rsidR="000D4880">
        <w:rPr>
          <w:rFonts w:asciiTheme="minorHAnsi" w:hAnsiTheme="minorHAnsi" w:cs="Calibri"/>
          <w:iCs/>
        </w:rPr>
        <w:t>c</w:t>
      </w:r>
      <w:r>
        <w:rPr>
          <w:rFonts w:asciiTheme="minorHAnsi" w:hAnsiTheme="minorHAnsi" w:cs="Calibri"/>
          <w:iCs/>
        </w:rPr>
        <w:t xml:space="preserve">linical overview and </w:t>
      </w:r>
      <w:r w:rsidR="000344A9">
        <w:rPr>
          <w:rFonts w:asciiTheme="minorHAnsi" w:hAnsiTheme="minorHAnsi" w:cs="Calibri"/>
          <w:iCs/>
        </w:rPr>
        <w:t>the interim Study</w:t>
      </w:r>
      <w:r w:rsidR="000D4880">
        <w:rPr>
          <w:rFonts w:asciiTheme="minorHAnsi" w:hAnsiTheme="minorHAnsi" w:cs="Calibri"/>
        </w:rPr>
        <w:t> </w:t>
      </w:r>
      <w:r>
        <w:rPr>
          <w:rFonts w:asciiTheme="minorHAnsi" w:hAnsiTheme="minorHAnsi" w:cs="Calibri"/>
        </w:rPr>
        <w:t>C4591001 clinical study report</w:t>
      </w:r>
      <w:r w:rsidR="003829FB">
        <w:rPr>
          <w:rFonts w:asciiTheme="minorHAnsi" w:hAnsiTheme="minorHAnsi" w:cs="Calibri"/>
        </w:rPr>
        <w:t xml:space="preserve"> including</w:t>
      </w:r>
      <w:r>
        <w:rPr>
          <w:rFonts w:asciiTheme="minorHAnsi" w:hAnsiTheme="minorHAnsi" w:cs="Calibri"/>
        </w:rPr>
        <w:t xml:space="preserve"> 6 months post</w:t>
      </w:r>
      <w:r w:rsidR="000344A9">
        <w:rPr>
          <w:rFonts w:asciiTheme="minorHAnsi" w:hAnsiTheme="minorHAnsi" w:cs="Calibri"/>
        </w:rPr>
        <w:t xml:space="preserve"> D</w:t>
      </w:r>
      <w:r>
        <w:rPr>
          <w:rFonts w:asciiTheme="minorHAnsi" w:hAnsiTheme="minorHAnsi" w:cs="Calibri"/>
        </w:rPr>
        <w:t>ose 2 in adolescents</w:t>
      </w:r>
      <w:r w:rsidR="000344A9">
        <w:rPr>
          <w:rFonts w:asciiTheme="minorHAnsi" w:hAnsiTheme="minorHAnsi" w:cs="Calibri"/>
        </w:rPr>
        <w:t>.</w:t>
      </w:r>
    </w:p>
    <w:p w14:paraId="0D418576" w14:textId="1CEE9C63" w:rsidR="00F6514D" w:rsidRDefault="00F810A4" w:rsidP="00F810A4">
      <w:pPr>
        <w:pStyle w:val="Heading5"/>
      </w:pPr>
      <w:r>
        <w:t>Deficiencies</w:t>
      </w:r>
    </w:p>
    <w:p w14:paraId="69D4CB52" w14:textId="31BBC02A" w:rsidR="00F6514D" w:rsidRDefault="00F6514D" w:rsidP="002341E9">
      <w:pPr>
        <w:pStyle w:val="ListBullet"/>
      </w:pPr>
      <w:r>
        <w:t>This booster recommendation is based on extrapolation of effectiveness data in adults 16 to 55 years of age to the younger cohort of adolescent 12 to 15 years of age.</w:t>
      </w:r>
    </w:p>
    <w:p w14:paraId="584AEB0D" w14:textId="66F73357" w:rsidR="00F6514D" w:rsidRDefault="00F6514D" w:rsidP="002341E9">
      <w:pPr>
        <w:pStyle w:val="ListBullet"/>
      </w:pPr>
      <w:r>
        <w:t>Safety is supported by real world surveillance of adverse events from Israel and USA. The exposure reported from Israel is insufficient for assessment of risk of myocarditis.</w:t>
      </w:r>
    </w:p>
    <w:p w14:paraId="1BEAA4A8" w14:textId="6EB49ED5" w:rsidR="00F6514D" w:rsidRDefault="00F6514D" w:rsidP="00F6514D">
      <w:pPr>
        <w:autoSpaceDE w:val="0"/>
        <w:autoSpaceDN w:val="0"/>
        <w:adjustRightInd w:val="0"/>
        <w:spacing w:before="0" w:after="0" w:line="240" w:lineRule="auto"/>
      </w:pPr>
      <w:r>
        <w:t>The Delegate recommend</w:t>
      </w:r>
      <w:r w:rsidR="003829FB">
        <w:t>ed</w:t>
      </w:r>
      <w:r>
        <w:t xml:space="preserve"> changes under </w:t>
      </w:r>
      <w:r w:rsidR="003829FB">
        <w:t xml:space="preserve">PI </w:t>
      </w:r>
      <w:r>
        <w:t>Section 4.4 Special Warnings, Paediatric use.</w:t>
      </w:r>
    </w:p>
    <w:p w14:paraId="0B42BB46" w14:textId="5188EEE4" w:rsidR="00D23139" w:rsidRDefault="00D23139" w:rsidP="00D23139">
      <w:pPr>
        <w:pStyle w:val="Heading4"/>
      </w:pPr>
      <w:r w:rsidRPr="00D23139">
        <w:t>Proposed action</w:t>
      </w:r>
    </w:p>
    <w:p w14:paraId="1A172AD9" w14:textId="3C7996D0" w:rsidR="00456765" w:rsidRPr="00F810A4" w:rsidRDefault="00F810A4" w:rsidP="008815D4">
      <w:r>
        <w:t xml:space="preserve">The Delegate </w:t>
      </w:r>
      <w:r w:rsidR="008815D4" w:rsidRPr="008815D4">
        <w:t>propose</w:t>
      </w:r>
      <w:r>
        <w:t>d</w:t>
      </w:r>
      <w:r w:rsidR="008815D4" w:rsidRPr="008815D4">
        <w:t xml:space="preserve"> to approve the registration of the product </w:t>
      </w:r>
      <w:proofErr w:type="spellStart"/>
      <w:r w:rsidRPr="008815D4">
        <w:t>Comirnaty</w:t>
      </w:r>
      <w:proofErr w:type="spellEnd"/>
      <w:r w:rsidRPr="008815D4">
        <w:t xml:space="preserve"> </w:t>
      </w:r>
      <w:r w:rsidR="008815D4" w:rsidRPr="008815D4">
        <w:t xml:space="preserve">with a statement </w:t>
      </w:r>
      <w:r w:rsidR="00816D4C">
        <w:t xml:space="preserve">that </w:t>
      </w:r>
      <w:r w:rsidR="008815D4" w:rsidRPr="008815D4">
        <w:t xml:space="preserve">a booster dose of </w:t>
      </w:r>
      <w:proofErr w:type="spellStart"/>
      <w:r w:rsidRPr="008815D4">
        <w:t>Comirnaty</w:t>
      </w:r>
      <w:proofErr w:type="spellEnd"/>
      <w:r w:rsidRPr="008815D4">
        <w:t xml:space="preserve"> </w:t>
      </w:r>
      <w:r w:rsidR="008815D4" w:rsidRPr="008815D4">
        <w:t xml:space="preserve">may be administered </w:t>
      </w:r>
      <w:r>
        <w:t>IM</w:t>
      </w:r>
      <w:r w:rsidR="008815D4" w:rsidRPr="008815D4">
        <w:t xml:space="preserve"> at least 6 months after the </w:t>
      </w:r>
      <w:r w:rsidR="008815D4" w:rsidRPr="00F810A4">
        <w:t>second dose in individuals 12 years of age and older.</w:t>
      </w:r>
    </w:p>
    <w:p w14:paraId="7170F403" w14:textId="3C80D080" w:rsidR="008E7846" w:rsidRDefault="008E7846" w:rsidP="007D53B6">
      <w:pPr>
        <w:pStyle w:val="Heading4"/>
      </w:pPr>
      <w:r w:rsidRPr="00FF7EEB">
        <w:t xml:space="preserve">Advisory Committee </w:t>
      </w:r>
      <w:r w:rsidR="007D53B6" w:rsidRPr="00FF7EEB">
        <w:t>c</w:t>
      </w:r>
      <w:r w:rsidRPr="00FF7EEB">
        <w:t>onsiderations</w:t>
      </w:r>
    </w:p>
    <w:p w14:paraId="154E1DE4" w14:textId="24991EF2" w:rsidR="008E7846" w:rsidRDefault="00456765" w:rsidP="008E7846">
      <w:pPr>
        <w:rPr>
          <w:bCs/>
        </w:rPr>
      </w:pPr>
      <w:r w:rsidRPr="00456765">
        <w:rPr>
          <w:bCs/>
        </w:rPr>
        <w:t>The</w:t>
      </w:r>
      <w:r w:rsidR="00F6514D">
        <w:rPr>
          <w:bCs/>
        </w:rPr>
        <w:t xml:space="preserve"> </w:t>
      </w:r>
      <w:r w:rsidR="007F307C" w:rsidRPr="00456765">
        <w:rPr>
          <w:bCs/>
        </w:rPr>
        <w:t xml:space="preserve">Advisory Committee on </w:t>
      </w:r>
      <w:r w:rsidR="007F307C">
        <w:rPr>
          <w:bCs/>
        </w:rPr>
        <w:t>Vaccines</w:t>
      </w:r>
      <w:r w:rsidR="007F307C" w:rsidRPr="00456765">
        <w:rPr>
          <w:bCs/>
        </w:rPr>
        <w:t xml:space="preserve"> (AC</w:t>
      </w:r>
      <w:r w:rsidR="007F307C">
        <w:rPr>
          <w:bCs/>
        </w:rPr>
        <w:t>V</w:t>
      </w:r>
      <w:r w:rsidR="007F307C" w:rsidRPr="00456765">
        <w:rPr>
          <w:bCs/>
        </w:rPr>
        <w:t>)</w:t>
      </w:r>
      <w:r w:rsidR="007F307C">
        <w:rPr>
          <w:rStyle w:val="FootnoteReference"/>
          <w:bCs/>
        </w:rPr>
        <w:footnoteReference w:id="15"/>
      </w:r>
      <w:r w:rsidRPr="00456765">
        <w:rPr>
          <w:bCs/>
        </w:rPr>
        <w:t>, having considered the evaluations and the Delegate’s overview, as well as the sponsor’s response to these documents, advised the following</w:t>
      </w:r>
      <w:r w:rsidR="00F0146F">
        <w:rPr>
          <w:bCs/>
        </w:rPr>
        <w:t>.</w:t>
      </w:r>
    </w:p>
    <w:p w14:paraId="70DD5E9C" w14:textId="416F5CBA" w:rsidR="00F0146F" w:rsidRDefault="005E16BC" w:rsidP="00311A32">
      <w:pPr>
        <w:pStyle w:val="Heading5"/>
      </w:pPr>
      <w:r>
        <w:t>Specific a</w:t>
      </w:r>
      <w:r w:rsidR="00F0146F">
        <w:t>dvice to the Delegate</w:t>
      </w:r>
    </w:p>
    <w:p w14:paraId="372B3C3E" w14:textId="77777777" w:rsidR="001E5615" w:rsidRDefault="001E5615" w:rsidP="001E5615">
      <w:pPr>
        <w:pStyle w:val="Numberbullet0"/>
        <w:numPr>
          <w:ilvl w:val="0"/>
          <w:numId w:val="45"/>
        </w:numPr>
        <w:rPr>
          <w:b/>
          <w:bCs/>
        </w:rPr>
      </w:pPr>
      <w:r w:rsidRPr="00112306">
        <w:rPr>
          <w:b/>
          <w:bCs/>
        </w:rPr>
        <w:t xml:space="preserve">Does ACV agree that </w:t>
      </w:r>
      <w:r>
        <w:rPr>
          <w:b/>
          <w:bCs/>
        </w:rPr>
        <w:t>a</w:t>
      </w:r>
      <w:r w:rsidRPr="00112306">
        <w:rPr>
          <w:b/>
          <w:bCs/>
        </w:rPr>
        <w:t xml:space="preserve"> booster dose of </w:t>
      </w:r>
      <w:proofErr w:type="spellStart"/>
      <w:r w:rsidRPr="00112306">
        <w:rPr>
          <w:b/>
          <w:bCs/>
        </w:rPr>
        <w:t>C</w:t>
      </w:r>
      <w:r>
        <w:rPr>
          <w:b/>
          <w:bCs/>
        </w:rPr>
        <w:t>omirnaty</w:t>
      </w:r>
      <w:proofErr w:type="spellEnd"/>
      <w:r w:rsidRPr="00112306">
        <w:rPr>
          <w:b/>
          <w:bCs/>
        </w:rPr>
        <w:t xml:space="preserve"> may be administered in individuals 1</w:t>
      </w:r>
      <w:r>
        <w:rPr>
          <w:b/>
          <w:bCs/>
        </w:rPr>
        <w:t>2</w:t>
      </w:r>
      <w:r w:rsidRPr="00112306">
        <w:rPr>
          <w:b/>
          <w:bCs/>
        </w:rPr>
        <w:t xml:space="preserve"> years of age and older</w:t>
      </w:r>
      <w:r>
        <w:rPr>
          <w:b/>
          <w:bCs/>
        </w:rPr>
        <w:t>, based on extrapolation from data in adults 18 to 55 years of age</w:t>
      </w:r>
      <w:r w:rsidRPr="00112306">
        <w:rPr>
          <w:b/>
          <w:bCs/>
        </w:rPr>
        <w:t>?</w:t>
      </w:r>
    </w:p>
    <w:p w14:paraId="10B2DD55" w14:textId="77777777" w:rsidR="001E5615" w:rsidRDefault="001E5615" w:rsidP="001E5615">
      <w:r>
        <w:t>The ACV expressed reservations about the lack of data, a likely very small benefit against severe disease, and limited safety data from the USA and Israel.</w:t>
      </w:r>
    </w:p>
    <w:p w14:paraId="38E1D24E" w14:textId="77777777" w:rsidR="001E5615" w:rsidRDefault="001E5615" w:rsidP="001E5615">
      <w:r>
        <w:t>The risk of myocarditis is hard to quantify, given the sponsor’s reliance on observational Israeli data from only six thousand children. Based on US CDC data, the rate of myocarditis appeared to be lower after the booster dose compared to after second dose.</w:t>
      </w:r>
    </w:p>
    <w:p w14:paraId="4A4DDEAA" w14:textId="77777777" w:rsidR="001E5615" w:rsidRDefault="001E5615" w:rsidP="001E5615">
      <w:r>
        <w:lastRenderedPageBreak/>
        <w:t xml:space="preserve">However, the benefit-risk is likely to be positive for some groups within the </w:t>
      </w:r>
      <w:proofErr w:type="gramStart"/>
      <w:r>
        <w:t>12-15 year</w:t>
      </w:r>
      <w:proofErr w:type="gramEnd"/>
      <w:r>
        <w:t xml:space="preserve"> age group, for example, children at high risk of severe COVID-19 due to underlying medical conditions.</w:t>
      </w:r>
    </w:p>
    <w:p w14:paraId="286401EA" w14:textId="77777777" w:rsidR="001E5615" w:rsidRDefault="001E5615" w:rsidP="001E5615">
      <w:pPr>
        <w:rPr>
          <w:lang w:eastAsia="ja-JP"/>
        </w:rPr>
      </w:pPr>
      <w:r w:rsidRPr="00A175E4">
        <w:rPr>
          <w:lang w:eastAsia="ja-JP"/>
        </w:rPr>
        <w:t xml:space="preserve">The </w:t>
      </w:r>
      <w:r>
        <w:rPr>
          <w:lang w:eastAsia="ja-JP"/>
        </w:rPr>
        <w:t xml:space="preserve">ACV advised that the statement in the approved indication, that </w:t>
      </w:r>
      <w:r w:rsidRPr="00A175E4">
        <w:rPr>
          <w:lang w:eastAsia="ja-JP"/>
        </w:rPr>
        <w:t>use of this vaccine should be in accordance with official recommendations</w:t>
      </w:r>
      <w:r>
        <w:rPr>
          <w:lang w:eastAsia="ja-JP"/>
        </w:rPr>
        <w:t xml:space="preserve">, applies to the use of booster doses as well as the primary series doses. Official recommendations, such as from ATAGI, may reflect changing public health contexts and individual clinical situations (e.g., may favour use only in </w:t>
      </w:r>
      <w:proofErr w:type="gramStart"/>
      <w:r>
        <w:rPr>
          <w:lang w:eastAsia="ja-JP"/>
        </w:rPr>
        <w:t xml:space="preserve">12-15 year </w:t>
      </w:r>
      <w:proofErr w:type="spellStart"/>
      <w:r>
        <w:rPr>
          <w:lang w:eastAsia="ja-JP"/>
        </w:rPr>
        <w:t>olds</w:t>
      </w:r>
      <w:proofErr w:type="spellEnd"/>
      <w:proofErr w:type="gramEnd"/>
      <w:r>
        <w:rPr>
          <w:lang w:eastAsia="ja-JP"/>
        </w:rPr>
        <w:t xml:space="preserve"> at high-risk of severe disease).</w:t>
      </w:r>
    </w:p>
    <w:p w14:paraId="1FAA45E7" w14:textId="77777777" w:rsidR="001E5615" w:rsidRDefault="001E5615" w:rsidP="001E5615">
      <w:r>
        <w:t>The ACV considered that the a</w:t>
      </w:r>
      <w:r w:rsidRPr="00EE12C0">
        <w:t>vailability of booster</w:t>
      </w:r>
      <w:r>
        <w:t xml:space="preserve"> doses may be important in the event of </w:t>
      </w:r>
      <w:r w:rsidRPr="00EE12C0">
        <w:t xml:space="preserve">emergence of more transmissible or severe SARS-CoV-2 </w:t>
      </w:r>
      <w:r>
        <w:t>variants of concern.</w:t>
      </w:r>
    </w:p>
    <w:p w14:paraId="624864DD" w14:textId="77777777" w:rsidR="001E5615" w:rsidRDefault="001E5615" w:rsidP="001E5615">
      <w:r>
        <w:t xml:space="preserve">The ACV </w:t>
      </w:r>
      <w:r w:rsidRPr="00112306">
        <w:t>agree</w:t>
      </w:r>
      <w:r>
        <w:t>d</w:t>
      </w:r>
      <w:r w:rsidRPr="00112306">
        <w:t xml:space="preserve"> that </w:t>
      </w:r>
      <w:r>
        <w:t>a</w:t>
      </w:r>
      <w:r w:rsidRPr="00112306">
        <w:t xml:space="preserve"> booster dose of </w:t>
      </w:r>
      <w:proofErr w:type="spellStart"/>
      <w:r w:rsidRPr="00112306">
        <w:t>C</w:t>
      </w:r>
      <w:r>
        <w:t>omirnaty</w:t>
      </w:r>
      <w:proofErr w:type="spellEnd"/>
      <w:r w:rsidRPr="00112306">
        <w:t xml:space="preserve"> may be administered in individuals 1</w:t>
      </w:r>
      <w:r>
        <w:t>2</w:t>
      </w:r>
      <w:r w:rsidRPr="00112306">
        <w:t xml:space="preserve"> years of age and older</w:t>
      </w:r>
      <w:r>
        <w:t>, based on extrapolation from data in adults 18 to 55 years of age</w:t>
      </w:r>
      <w:r w:rsidRPr="00112306">
        <w:t>?</w:t>
      </w:r>
    </w:p>
    <w:p w14:paraId="0E526A19" w14:textId="77777777" w:rsidR="001E5615" w:rsidRDefault="001E5615" w:rsidP="001E5615">
      <w:pPr>
        <w:pStyle w:val="Numberbullet0"/>
        <w:numPr>
          <w:ilvl w:val="0"/>
          <w:numId w:val="8"/>
        </w:numPr>
        <w:rPr>
          <w:b/>
          <w:bCs/>
        </w:rPr>
      </w:pPr>
      <w:r w:rsidRPr="00112306">
        <w:rPr>
          <w:b/>
          <w:bCs/>
        </w:rPr>
        <w:t xml:space="preserve">Does ACV </w:t>
      </w:r>
      <w:r>
        <w:rPr>
          <w:b/>
          <w:bCs/>
        </w:rPr>
        <w:t>agree with the product information changes proposed by the sponsor?</w:t>
      </w:r>
    </w:p>
    <w:p w14:paraId="0ABD0592" w14:textId="77777777" w:rsidR="001E5615" w:rsidRDefault="001E5615" w:rsidP="001E5615">
      <w:r>
        <w:t>The ACV agreed with the product information changes proposed by the sponsor.</w:t>
      </w:r>
    </w:p>
    <w:p w14:paraId="108B6644" w14:textId="77777777" w:rsidR="001E5615" w:rsidRDefault="001E5615" w:rsidP="001E5615">
      <w:r>
        <w:t>Additional changes should be considered:</w:t>
      </w:r>
    </w:p>
    <w:p w14:paraId="4EDF0955" w14:textId="77777777" w:rsidR="001E5615" w:rsidRDefault="001E5615" w:rsidP="001E5615">
      <w:pPr>
        <w:pStyle w:val="ListBullet"/>
        <w:numPr>
          <w:ilvl w:val="0"/>
          <w:numId w:val="3"/>
        </w:numPr>
      </w:pPr>
      <w:r>
        <w:t xml:space="preserve">articulate that there are </w:t>
      </w:r>
      <w:r w:rsidRPr="008B7D85">
        <w:t xml:space="preserve">key </w:t>
      </w:r>
      <w:r>
        <w:t xml:space="preserve">gaps in the available </w:t>
      </w:r>
      <w:r w:rsidRPr="008B7D85">
        <w:t xml:space="preserve">data and </w:t>
      </w:r>
      <w:r>
        <w:t>there is no</w:t>
      </w:r>
      <w:r w:rsidRPr="008B7D85">
        <w:t xml:space="preserve"> immunogenicity data in this age group</w:t>
      </w:r>
    </w:p>
    <w:p w14:paraId="5D75D86B" w14:textId="77777777" w:rsidR="001E5615" w:rsidRDefault="001E5615" w:rsidP="001E5615">
      <w:pPr>
        <w:pStyle w:val="ListBullet"/>
        <w:numPr>
          <w:ilvl w:val="0"/>
          <w:numId w:val="3"/>
        </w:numPr>
      </w:pPr>
      <w:r>
        <w:t>Section 4.4/General recommendations/Myocarditis and pericarditis: mention potential for myocarditis after booster dose</w:t>
      </w:r>
    </w:p>
    <w:p w14:paraId="0CFC7936" w14:textId="77777777" w:rsidR="001E5615" w:rsidRDefault="001E5615" w:rsidP="001E5615">
      <w:pPr>
        <w:pStyle w:val="ListBullet"/>
        <w:numPr>
          <w:ilvl w:val="0"/>
          <w:numId w:val="3"/>
        </w:numPr>
      </w:pPr>
      <w:r>
        <w:t>Section 4.4/Paediatric use: mention potential for myocarditis</w:t>
      </w:r>
    </w:p>
    <w:p w14:paraId="4CC2B527" w14:textId="77777777" w:rsidR="001E5615" w:rsidRDefault="001E5615" w:rsidP="001E5615">
      <w:pPr>
        <w:pStyle w:val="ListBullet"/>
        <w:numPr>
          <w:ilvl w:val="0"/>
          <w:numId w:val="3"/>
        </w:numPr>
      </w:pPr>
      <w:r w:rsidRPr="008B7D85">
        <w:t>Section 5.1/Clinical trials/ Efficacy and immunogenicity in adolescents 12 to 15 years of age – after 2 doses: specify the dominant SARS-CoV-2 variant at the time of the efficacy study</w:t>
      </w:r>
      <w:r>
        <w:t>.</w:t>
      </w:r>
    </w:p>
    <w:p w14:paraId="64AC7D45" w14:textId="77777777" w:rsidR="001E5615" w:rsidRPr="00112306" w:rsidRDefault="001E5615" w:rsidP="001E5615">
      <w:pPr>
        <w:pStyle w:val="Numberbullet0"/>
        <w:numPr>
          <w:ilvl w:val="0"/>
          <w:numId w:val="8"/>
        </w:numPr>
        <w:rPr>
          <w:b/>
          <w:bCs/>
        </w:rPr>
      </w:pPr>
      <w:r w:rsidRPr="00112306">
        <w:rPr>
          <w:b/>
          <w:bCs/>
        </w:rPr>
        <w:t>The Committee is also requested to provide advice on any other issues that it thinks may be relevant to this decision.</w:t>
      </w:r>
    </w:p>
    <w:p w14:paraId="484EB3AE" w14:textId="77777777" w:rsidR="001E5615" w:rsidRDefault="001E5615" w:rsidP="001E5615">
      <w:r>
        <w:t>The ACV advised that rigorous post-marketing monitoring is required, such as the monthly safety summary reports. This is consistent with the provisional registration status of the vaccine.</w:t>
      </w:r>
    </w:p>
    <w:p w14:paraId="0E4FFE78" w14:textId="77777777" w:rsidR="001E5615" w:rsidRDefault="001E5615" w:rsidP="001E5615">
      <w:r>
        <w:t>The ACV advised that updated data from the Israel and US CDC should be obtained and considered, given the minimal data provided by the sponsor.</w:t>
      </w:r>
    </w:p>
    <w:p w14:paraId="2DE1F66B" w14:textId="77777777" w:rsidR="001E5615" w:rsidRDefault="001E5615" w:rsidP="001E5615">
      <w:r>
        <w:t xml:space="preserve">The ACV noted that </w:t>
      </w:r>
      <w:r w:rsidRPr="008B7D85">
        <w:t xml:space="preserve">communication of </w:t>
      </w:r>
      <w:r>
        <w:t xml:space="preserve">any </w:t>
      </w:r>
      <w:r w:rsidRPr="008B7D85">
        <w:t xml:space="preserve">TGA decision </w:t>
      </w:r>
      <w:r>
        <w:t xml:space="preserve">needed to make </w:t>
      </w:r>
      <w:r w:rsidRPr="008B7D85">
        <w:t xml:space="preserve">clear that registration for use as a booster does not imply </w:t>
      </w:r>
      <w:r>
        <w:t xml:space="preserve">a booster dose </w:t>
      </w:r>
      <w:r w:rsidRPr="008B7D85">
        <w:t xml:space="preserve">is necessary or desirable for use </w:t>
      </w:r>
      <w:r>
        <w:t>across the Australian population aged 12-15 years.</w:t>
      </w:r>
    </w:p>
    <w:p w14:paraId="0A3943F4" w14:textId="114E236C" w:rsidR="00F0146F" w:rsidRDefault="00F0146F" w:rsidP="00311A32">
      <w:pPr>
        <w:pStyle w:val="Heading5"/>
      </w:pPr>
      <w:r>
        <w:t>Conclusion</w:t>
      </w:r>
    </w:p>
    <w:p w14:paraId="42C9A2CB" w14:textId="77777777" w:rsidR="001E5615" w:rsidRDefault="001E5615" w:rsidP="001E5615">
      <w:r w:rsidRPr="007648E1">
        <w:t xml:space="preserve">The ACV </w:t>
      </w:r>
      <w:r>
        <w:t xml:space="preserve">supported </w:t>
      </w:r>
      <w:r w:rsidRPr="007648E1">
        <w:t xml:space="preserve">the approval of changes to the Product Information of </w:t>
      </w:r>
      <w:proofErr w:type="spellStart"/>
      <w:r w:rsidRPr="007648E1">
        <w:t>Comirnaty</w:t>
      </w:r>
      <w:proofErr w:type="spellEnd"/>
      <w:r w:rsidRPr="007648E1">
        <w:t xml:space="preserve"> to include a booster (third) dose for persons 1</w:t>
      </w:r>
      <w:r>
        <w:t>2</w:t>
      </w:r>
      <w:r w:rsidRPr="007648E1">
        <w:t xml:space="preserve"> years and older</w:t>
      </w:r>
      <w:r>
        <w:t>, based on extrapolation from older age groups. This does not imply a booster dose is necessary or desirable for use across the Australian population aged 12-15 years.</w:t>
      </w:r>
    </w:p>
    <w:p w14:paraId="7DB1B3DB" w14:textId="15B5F468" w:rsidR="001E5615" w:rsidRPr="001E5615" w:rsidRDefault="001E5615" w:rsidP="001E5615">
      <w:pPr>
        <w:autoSpaceDE w:val="0"/>
        <w:autoSpaceDN w:val="0"/>
        <w:adjustRightInd w:val="0"/>
        <w:spacing w:after="0"/>
        <w:rPr>
          <w:bCs/>
        </w:rPr>
      </w:pPr>
      <w:r w:rsidRPr="00D17097">
        <w:rPr>
          <w:bCs/>
        </w:rPr>
        <w:t xml:space="preserve">The use and timing of </w:t>
      </w:r>
      <w:proofErr w:type="spellStart"/>
      <w:r>
        <w:rPr>
          <w:bCs/>
        </w:rPr>
        <w:t>Comirnaty</w:t>
      </w:r>
      <w:proofErr w:type="spellEnd"/>
      <w:r w:rsidRPr="00D17097">
        <w:rPr>
          <w:bCs/>
        </w:rPr>
        <w:t xml:space="preserve"> booster in </w:t>
      </w:r>
      <w:proofErr w:type="gramStart"/>
      <w:r w:rsidRPr="00D17097">
        <w:rPr>
          <w:bCs/>
        </w:rPr>
        <w:t>1</w:t>
      </w:r>
      <w:r>
        <w:rPr>
          <w:bCs/>
        </w:rPr>
        <w:t>2</w:t>
      </w:r>
      <w:r w:rsidRPr="00D17097">
        <w:rPr>
          <w:bCs/>
        </w:rPr>
        <w:t>-1</w:t>
      </w:r>
      <w:r>
        <w:rPr>
          <w:bCs/>
        </w:rPr>
        <w:t>5</w:t>
      </w:r>
      <w:r w:rsidRPr="00D17097">
        <w:rPr>
          <w:bCs/>
        </w:rPr>
        <w:t xml:space="preserve"> year </w:t>
      </w:r>
      <w:proofErr w:type="spellStart"/>
      <w:r w:rsidRPr="00D17097">
        <w:rPr>
          <w:bCs/>
        </w:rPr>
        <w:t>olds</w:t>
      </w:r>
      <w:proofErr w:type="spellEnd"/>
      <w:proofErr w:type="gramEnd"/>
      <w:r w:rsidRPr="00D17097">
        <w:rPr>
          <w:bCs/>
        </w:rPr>
        <w:t xml:space="preserve"> should be in accordance with official recommendations.</w:t>
      </w:r>
    </w:p>
    <w:p w14:paraId="284DBAE8" w14:textId="4337DFDA" w:rsidR="008E7846" w:rsidRPr="002E238E" w:rsidRDefault="008E7846" w:rsidP="008E7846">
      <w:pPr>
        <w:pStyle w:val="Heading3"/>
      </w:pPr>
      <w:bookmarkStart w:id="59" w:name="_Toc247691532"/>
      <w:bookmarkStart w:id="60" w:name="_Toc314842516"/>
      <w:bookmarkStart w:id="61" w:name="_Toc100655264"/>
      <w:bookmarkEnd w:id="34"/>
      <w:bookmarkEnd w:id="55"/>
      <w:bookmarkEnd w:id="56"/>
      <w:r w:rsidRPr="00FF7EEB">
        <w:lastRenderedPageBreak/>
        <w:t>Outcome</w:t>
      </w:r>
      <w:bookmarkEnd w:id="59"/>
      <w:bookmarkEnd w:id="60"/>
      <w:bookmarkEnd w:id="61"/>
    </w:p>
    <w:p w14:paraId="7A75A1B2" w14:textId="77777777" w:rsidR="00FF7EEB" w:rsidRDefault="00FF7EEB" w:rsidP="00FF7EEB">
      <w:bookmarkStart w:id="62" w:name="_Toc247691533"/>
      <w:bookmarkStart w:id="63" w:name="_Toc314842517"/>
      <w:r>
        <w:t xml:space="preserve">Based on a review of quality, </w:t>
      </w:r>
      <w:proofErr w:type="gramStart"/>
      <w:r>
        <w:t>safety</w:t>
      </w:r>
      <w:proofErr w:type="gramEnd"/>
      <w:r>
        <w:t xml:space="preserve"> and efficacy, the TGA approved the registration of </w:t>
      </w:r>
      <w:proofErr w:type="spellStart"/>
      <w:r w:rsidRPr="00734955">
        <w:t>Comirnaty</w:t>
      </w:r>
      <w:proofErr w:type="spellEnd"/>
      <w:r w:rsidRPr="00734955">
        <w:t xml:space="preserve"> </w:t>
      </w:r>
      <w:r w:rsidRPr="00250271">
        <w:t>(</w:t>
      </w:r>
      <w:proofErr w:type="spellStart"/>
      <w:r w:rsidRPr="00734955">
        <w:t>tozinameran</w:t>
      </w:r>
      <w:proofErr w:type="spellEnd"/>
      <w:r w:rsidRPr="00250271">
        <w:t xml:space="preserve">) </w:t>
      </w:r>
      <w:r w:rsidRPr="00734955">
        <w:t>30 µg/0.3 mL</w:t>
      </w:r>
      <w:r w:rsidRPr="00250271">
        <w:t xml:space="preserve">, </w:t>
      </w:r>
      <w:r>
        <w:t>s</w:t>
      </w:r>
      <w:r w:rsidRPr="00734955">
        <w:t>uspension for injection</w:t>
      </w:r>
      <w:r>
        <w:t>, m</w:t>
      </w:r>
      <w:r w:rsidRPr="00734955">
        <w:t>ulti-dose vial</w:t>
      </w:r>
      <w:r>
        <w:t xml:space="preserve">, </w:t>
      </w:r>
      <w:r w:rsidRPr="00D7002A">
        <w:t>change in dose regimen to</w:t>
      </w:r>
      <w:r>
        <w:t>:</w:t>
      </w:r>
    </w:p>
    <w:p w14:paraId="0085A15A" w14:textId="77777777" w:rsidR="00FF7EEB" w:rsidRPr="00E71EE7" w:rsidRDefault="00FF7EEB" w:rsidP="00FF7EEB">
      <w:pPr>
        <w:ind w:left="720"/>
        <w:rPr>
          <w:i/>
          <w:iCs/>
          <w:lang w:eastAsia="ja-JP"/>
        </w:rPr>
      </w:pPr>
      <w:r w:rsidRPr="00E71EE7">
        <w:rPr>
          <w:i/>
          <w:iCs/>
          <w:lang w:eastAsia="ja-JP"/>
        </w:rPr>
        <w:t>Individuals 12 years of age and older</w:t>
      </w:r>
    </w:p>
    <w:p w14:paraId="218BB364" w14:textId="77777777" w:rsidR="00FF7EEB" w:rsidRPr="00E71EE7" w:rsidRDefault="00FF7EEB" w:rsidP="00FF7EEB">
      <w:pPr>
        <w:ind w:left="720"/>
        <w:rPr>
          <w:lang w:eastAsia="ja-JP"/>
        </w:rPr>
      </w:pPr>
      <w:proofErr w:type="spellStart"/>
      <w:r w:rsidRPr="00E71EE7">
        <w:rPr>
          <w:lang w:eastAsia="ja-JP"/>
        </w:rPr>
        <w:t>Comirnaty</w:t>
      </w:r>
      <w:proofErr w:type="spellEnd"/>
      <w:r w:rsidRPr="00E71EE7">
        <w:rPr>
          <w:lang w:eastAsia="ja-JP"/>
        </w:rPr>
        <w:t xml:space="preserve"> is administered intramuscularly after dilution as a primary course of two doses at least 21 days apart. See dosing instructions below.</w:t>
      </w:r>
    </w:p>
    <w:p w14:paraId="076DD7ED" w14:textId="77777777" w:rsidR="00FF7EEB" w:rsidRPr="00E71EE7" w:rsidRDefault="00FF7EEB" w:rsidP="00FF7EEB">
      <w:pPr>
        <w:ind w:left="720"/>
        <w:rPr>
          <w:i/>
          <w:iCs/>
          <w:lang w:eastAsia="ja-JP"/>
        </w:rPr>
      </w:pPr>
      <w:r w:rsidRPr="00E71EE7">
        <w:rPr>
          <w:i/>
          <w:iCs/>
          <w:lang w:eastAsia="ja-JP"/>
        </w:rPr>
        <w:t>Booster dose in individuals 12 years of age and older</w:t>
      </w:r>
    </w:p>
    <w:p w14:paraId="1C0160DA" w14:textId="77777777" w:rsidR="00FF7EEB" w:rsidRPr="00E71EE7" w:rsidRDefault="00FF7EEB" w:rsidP="00FF7EEB">
      <w:pPr>
        <w:ind w:left="720"/>
        <w:rPr>
          <w:lang w:eastAsia="ja-JP"/>
        </w:rPr>
      </w:pPr>
      <w:r w:rsidRPr="00E71EE7">
        <w:rPr>
          <w:lang w:eastAsia="ja-JP"/>
        </w:rPr>
        <w:t xml:space="preserve">A booster dose of </w:t>
      </w:r>
      <w:proofErr w:type="spellStart"/>
      <w:r w:rsidRPr="00E71EE7">
        <w:rPr>
          <w:lang w:eastAsia="ja-JP"/>
        </w:rPr>
        <w:t>Comirnaty</w:t>
      </w:r>
      <w:proofErr w:type="spellEnd"/>
      <w:r w:rsidRPr="00E71EE7">
        <w:rPr>
          <w:lang w:eastAsia="ja-JP"/>
        </w:rPr>
        <w:t xml:space="preserve"> may be administered intramuscularly at least 6 months after the completion of a COVID-19 vaccine primary series in individuals 12 years of age and older.</w:t>
      </w:r>
    </w:p>
    <w:p w14:paraId="7BED3A6F" w14:textId="77777777" w:rsidR="00FF7EEB" w:rsidRPr="00E71EE7" w:rsidRDefault="00FF7EEB" w:rsidP="00FF7EEB">
      <w:pPr>
        <w:ind w:left="720"/>
        <w:rPr>
          <w:lang w:eastAsia="ja-JP"/>
        </w:rPr>
      </w:pPr>
      <w:r w:rsidRPr="00E71EE7">
        <w:rPr>
          <w:lang w:eastAsia="ja-JP"/>
        </w:rPr>
        <w:t xml:space="preserve">The decision when and for whom to implement a booster dose of </w:t>
      </w:r>
      <w:proofErr w:type="spellStart"/>
      <w:r w:rsidRPr="00E71EE7">
        <w:rPr>
          <w:lang w:eastAsia="ja-JP"/>
        </w:rPr>
        <w:t>Comirnaty</w:t>
      </w:r>
      <w:proofErr w:type="spellEnd"/>
      <w:r w:rsidRPr="00E71EE7">
        <w:rPr>
          <w:lang w:eastAsia="ja-JP"/>
        </w:rPr>
        <w:t xml:space="preserve"> should be made based on available vaccine safety and effectiveness data (see sections 4.4 Special warnings and precautions for use and 5.1 Pharmacodynamic properties), in accordance with official recommendations.</w:t>
      </w:r>
    </w:p>
    <w:p w14:paraId="56E7B576" w14:textId="77777777" w:rsidR="00FF7EEB" w:rsidRPr="00E71EE7" w:rsidRDefault="00FF7EEB" w:rsidP="00FF7EEB">
      <w:pPr>
        <w:ind w:left="720"/>
        <w:rPr>
          <w:i/>
          <w:iCs/>
          <w:lang w:eastAsia="ja-JP"/>
        </w:rPr>
      </w:pPr>
      <w:r w:rsidRPr="00E71EE7">
        <w:rPr>
          <w:i/>
          <w:iCs/>
          <w:lang w:eastAsia="ja-JP"/>
        </w:rPr>
        <w:t>Interchangeability</w:t>
      </w:r>
    </w:p>
    <w:p w14:paraId="12295F24" w14:textId="77777777" w:rsidR="00FF7EEB" w:rsidRPr="00E71EE7" w:rsidRDefault="00FF7EEB" w:rsidP="00FF7EEB">
      <w:pPr>
        <w:ind w:left="720"/>
        <w:rPr>
          <w:lang w:eastAsia="ja-JP"/>
        </w:rPr>
      </w:pPr>
      <w:r w:rsidRPr="00E71EE7">
        <w:rPr>
          <w:lang w:eastAsia="ja-JP"/>
        </w:rPr>
        <w:t xml:space="preserve">There are limited data on the interchangeability of </w:t>
      </w:r>
      <w:proofErr w:type="spellStart"/>
      <w:r w:rsidRPr="00E71EE7">
        <w:rPr>
          <w:lang w:eastAsia="ja-JP"/>
        </w:rPr>
        <w:t>Comirnaty</w:t>
      </w:r>
      <w:proofErr w:type="spellEnd"/>
      <w:r w:rsidRPr="00E71EE7">
        <w:rPr>
          <w:lang w:eastAsia="ja-JP"/>
        </w:rPr>
        <w:t xml:space="preserve"> with other COVID-19 vaccines to complete the primary vaccination course or the booster dose. Individuals who have received 1 dose of </w:t>
      </w:r>
      <w:proofErr w:type="spellStart"/>
      <w:r w:rsidRPr="00E71EE7">
        <w:rPr>
          <w:lang w:eastAsia="ja-JP"/>
        </w:rPr>
        <w:t>Comirnaty</w:t>
      </w:r>
      <w:proofErr w:type="spellEnd"/>
      <w:r w:rsidRPr="00E71EE7">
        <w:rPr>
          <w:lang w:eastAsia="ja-JP"/>
        </w:rPr>
        <w:t xml:space="preserve"> should preferably receive a second dose of </w:t>
      </w:r>
      <w:proofErr w:type="spellStart"/>
      <w:r w:rsidRPr="00E71EE7">
        <w:rPr>
          <w:lang w:eastAsia="ja-JP"/>
        </w:rPr>
        <w:t>Comirnaty</w:t>
      </w:r>
      <w:proofErr w:type="spellEnd"/>
      <w:r w:rsidRPr="00E71EE7">
        <w:rPr>
          <w:lang w:eastAsia="ja-JP"/>
        </w:rPr>
        <w:t xml:space="preserve"> to complete the primary vaccination course and for any additional doses.</w:t>
      </w:r>
    </w:p>
    <w:p w14:paraId="58339170" w14:textId="77777777" w:rsidR="00FF7EEB" w:rsidRPr="00E71EE7" w:rsidRDefault="00FF7EEB" w:rsidP="00FF7EEB">
      <w:pPr>
        <w:ind w:left="720"/>
        <w:rPr>
          <w:i/>
          <w:iCs/>
          <w:lang w:eastAsia="ja-JP"/>
        </w:rPr>
      </w:pPr>
      <w:r w:rsidRPr="00E71EE7">
        <w:rPr>
          <w:i/>
          <w:iCs/>
          <w:lang w:eastAsia="ja-JP"/>
        </w:rPr>
        <w:t>Severely immunocompromised aged 12 years and older</w:t>
      </w:r>
    </w:p>
    <w:p w14:paraId="4D5F59B7" w14:textId="77777777" w:rsidR="00FF7EEB" w:rsidRPr="00E71EE7" w:rsidRDefault="00FF7EEB" w:rsidP="00FF7EEB">
      <w:pPr>
        <w:ind w:left="720"/>
        <w:rPr>
          <w:lang w:eastAsia="ja-JP"/>
        </w:rPr>
      </w:pPr>
      <w:r w:rsidRPr="00E71EE7">
        <w:rPr>
          <w:lang w:eastAsia="ja-JP"/>
        </w:rPr>
        <w:t>In accordance with official recommendations, a third dose may be given, as part of the primary series, at least 28 days after the second dose to individuals who are severely immunocompromised (see section 4.4 Special warnings and precautions for use).</w:t>
      </w:r>
    </w:p>
    <w:p w14:paraId="5E01AE20" w14:textId="77777777" w:rsidR="00FF7EEB" w:rsidRPr="00E71EE7" w:rsidRDefault="00FF7EEB" w:rsidP="00FF7EEB">
      <w:pPr>
        <w:ind w:left="720"/>
        <w:rPr>
          <w:i/>
          <w:iCs/>
          <w:lang w:eastAsia="ja-JP"/>
        </w:rPr>
      </w:pPr>
      <w:r w:rsidRPr="00E71EE7">
        <w:rPr>
          <w:i/>
          <w:iCs/>
          <w:lang w:eastAsia="ja-JP"/>
        </w:rPr>
        <w:t>Elderly population</w:t>
      </w:r>
    </w:p>
    <w:p w14:paraId="5A05889D" w14:textId="6FFADCCF" w:rsidR="007D53B6" w:rsidRDefault="00FF7EEB" w:rsidP="00FF7EEB">
      <w:pPr>
        <w:ind w:left="720"/>
      </w:pPr>
      <w:r w:rsidRPr="00E71EE7">
        <w:rPr>
          <w:lang w:eastAsia="ja-JP"/>
        </w:rPr>
        <w:t>No dosage adjustment is required in elderly individuals ≥ 65 years of age.</w:t>
      </w:r>
    </w:p>
    <w:p w14:paraId="68C62943" w14:textId="77777777" w:rsidR="00D23139" w:rsidRPr="00D23139" w:rsidRDefault="00D23139" w:rsidP="00D23139">
      <w:pPr>
        <w:pStyle w:val="Heading4"/>
      </w:pPr>
      <w:r w:rsidRPr="00061C69">
        <w:t>Specific conditions of registration applying to these goods</w:t>
      </w:r>
    </w:p>
    <w:p w14:paraId="3EA45A94" w14:textId="790BA8A9" w:rsidR="00D24798" w:rsidRDefault="00D24798" w:rsidP="00D24798">
      <w:r>
        <w:t>[Risk management plan]</w:t>
      </w:r>
    </w:p>
    <w:p w14:paraId="32A03251" w14:textId="77777777" w:rsidR="00D24798" w:rsidRDefault="00D24798" w:rsidP="00D24798">
      <w:pPr>
        <w:pStyle w:val="ListBullet"/>
      </w:pPr>
      <w:proofErr w:type="spellStart"/>
      <w:r>
        <w:t>Comirnaty</w:t>
      </w:r>
      <w:proofErr w:type="spellEnd"/>
      <w:r>
        <w:t xml:space="preserve"> is to be included in the Black Triangle Scheme. The PI and CMI for </w:t>
      </w:r>
      <w:proofErr w:type="spellStart"/>
      <w:r>
        <w:t>Comirnaty</w:t>
      </w:r>
      <w:proofErr w:type="spellEnd"/>
      <w:r>
        <w:t xml:space="preserve"> must include the black triangle symbol and mandatory accompanying text for the products entire period of provisional registration.</w:t>
      </w:r>
    </w:p>
    <w:p w14:paraId="787D93A6" w14:textId="0E6F5DB5" w:rsidR="00D24798" w:rsidRDefault="00D24798" w:rsidP="00D24798">
      <w:pPr>
        <w:pStyle w:val="ListBullet"/>
      </w:pPr>
      <w:r>
        <w:t xml:space="preserve">The </w:t>
      </w:r>
      <w:proofErr w:type="spellStart"/>
      <w:r>
        <w:t>Comirnaty</w:t>
      </w:r>
      <w:proofErr w:type="spellEnd"/>
      <w:r>
        <w:t xml:space="preserve"> EU-Risk Management Plan (RMP) (version 4.1, dated 2 February 2022, data lock point 30 September 2021, for 5 to &lt; 12 years of age: Module SIII - 6 September 2021; Module SVII.3 - 6 September 2021- Pfizer clinical database, 18 June 2021 - Pfizer safety database), with Australian specific annex (version 0.4, dated 11 November 2021), and any subsequent revisions, as agreed with the TGA will be implemented in Australia.</w:t>
      </w:r>
    </w:p>
    <w:p w14:paraId="04963A8C" w14:textId="77777777" w:rsidR="00D24798" w:rsidRDefault="00D24798" w:rsidP="00D24798">
      <w:pPr>
        <w:pStyle w:val="ListBullet"/>
        <w:numPr>
          <w:ilvl w:val="0"/>
          <w:numId w:val="0"/>
        </w:numPr>
        <w:ind w:left="360"/>
      </w:pPr>
      <w:r>
        <w:t>An obligatory component of risk management plans is routine pharmacovigilance. Routine pharmacovigilance includes the submission of periodic safety update reports (PSURs).</w:t>
      </w:r>
    </w:p>
    <w:p w14:paraId="1250CE6D" w14:textId="658DE0CE" w:rsidR="00D24798" w:rsidRDefault="00D24798" w:rsidP="00D24798">
      <w:pPr>
        <w:pStyle w:val="ListBullet"/>
        <w:numPr>
          <w:ilvl w:val="0"/>
          <w:numId w:val="0"/>
        </w:numPr>
        <w:ind w:left="360"/>
      </w:pPr>
      <w:r>
        <w:t xml:space="preserve">Unless agreed separately between the supplier who is the recipient of the approval and the TGA, the first report must be submitted to TGA no later than 15 calendar months after the date of the approval letter. The subsequent reports must be </w:t>
      </w:r>
      <w:r>
        <w:lastRenderedPageBreak/>
        <w:t>submitted no less frequently than annually from the date of the first submitted report until the period covered by such reports is not less than three years from the date of the approval letter, or the entire period of provisional registration, whichever is longer.</w:t>
      </w:r>
    </w:p>
    <w:p w14:paraId="410BDC9A" w14:textId="77777777" w:rsidR="00D24798" w:rsidRDefault="00D24798" w:rsidP="00D24798">
      <w:pPr>
        <w:pStyle w:val="ListBullet"/>
        <w:numPr>
          <w:ilvl w:val="0"/>
          <w:numId w:val="0"/>
        </w:numPr>
        <w:ind w:left="360"/>
      </w:pPr>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7F1AD1D7" w14:textId="77777777" w:rsidR="00D24798" w:rsidRPr="00D24798" w:rsidRDefault="00D24798" w:rsidP="00D24798">
      <w:pPr>
        <w:pStyle w:val="ListBullet"/>
        <w:numPr>
          <w:ilvl w:val="0"/>
          <w:numId w:val="0"/>
        </w:numPr>
        <w:ind w:left="360"/>
      </w:pPr>
      <w:r>
        <w:t>Additional to the routine submission of the routine PSURs, expedited monthly safety summary reports (including safety data for patients in Australia) are to be provided in line with the frequency that these reports are submitted to the EMA, until otherwise specified by the TGA.</w:t>
      </w:r>
    </w:p>
    <w:p w14:paraId="0D972323" w14:textId="13ED07B1" w:rsidR="00E513D9" w:rsidRPr="00D24798" w:rsidRDefault="00FF7EEB" w:rsidP="00E513D9">
      <w:pPr>
        <w:rPr>
          <w:b/>
          <w:bCs/>
        </w:rPr>
      </w:pPr>
      <w:r w:rsidRPr="00D24798">
        <w:rPr>
          <w:b/>
          <w:bCs/>
        </w:rPr>
        <w:t>C</w:t>
      </w:r>
      <w:r w:rsidR="00E513D9" w:rsidRPr="00D24798">
        <w:rPr>
          <w:b/>
          <w:bCs/>
        </w:rPr>
        <w:t>linical</w:t>
      </w:r>
    </w:p>
    <w:p w14:paraId="32726FE9" w14:textId="719BF911" w:rsidR="00FF7EEB" w:rsidRDefault="00FF7EEB" w:rsidP="00E513D9">
      <w:pPr>
        <w:pStyle w:val="ListBullet"/>
      </w:pPr>
      <w:r>
        <w:t xml:space="preserve">Data relating to </w:t>
      </w:r>
      <w:r w:rsidR="00061C69">
        <w:t>b</w:t>
      </w:r>
      <w:r>
        <w:t>ooster dose</w:t>
      </w:r>
    </w:p>
    <w:p w14:paraId="54D78823" w14:textId="6919AA2F" w:rsidR="00FF7EEB" w:rsidRPr="00E513D9" w:rsidRDefault="00FF7EEB" w:rsidP="00E513D9">
      <w:pPr>
        <w:pStyle w:val="ListBullet2"/>
      </w:pPr>
      <w:r>
        <w:t>Submit the clinical study report of NCT04955626 study to Evaluate the Safety and</w:t>
      </w:r>
      <w:r w:rsidR="00E513D9">
        <w:t xml:space="preserve"> </w:t>
      </w:r>
      <w:r w:rsidRPr="00E513D9">
        <w:rPr>
          <w:rFonts w:cs="Cambria"/>
        </w:rPr>
        <w:t>Efficacy of a Booster Dose of BNT162b2 Against COVID-19 in Participants ≥16</w:t>
      </w:r>
      <w:r w:rsidR="00E513D9">
        <w:rPr>
          <w:rFonts w:cs="Cambria"/>
        </w:rPr>
        <w:t xml:space="preserve"> </w:t>
      </w:r>
      <w:r w:rsidRPr="00E513D9">
        <w:rPr>
          <w:rFonts w:cs="Cambria"/>
        </w:rPr>
        <w:t>Years of Age.</w:t>
      </w:r>
    </w:p>
    <w:p w14:paraId="6B8E86D8" w14:textId="0C17C419" w:rsidR="00FF7EEB" w:rsidRDefault="00FF7EEB" w:rsidP="00E513D9">
      <w:pPr>
        <w:pStyle w:val="ListBullet"/>
      </w:pPr>
      <w:r>
        <w:t>Data relating to individuals 12-15 years old</w:t>
      </w:r>
    </w:p>
    <w:p w14:paraId="767EBF25" w14:textId="6A2583D3" w:rsidR="00FF7EEB" w:rsidRPr="00E513D9" w:rsidRDefault="00FF7EEB" w:rsidP="00E513D9">
      <w:pPr>
        <w:pStyle w:val="ListBullet2"/>
      </w:pPr>
      <w:r>
        <w:t>Submit study report of Study C4591001, including data up to 24 months after</w:t>
      </w:r>
      <w:r w:rsidR="00E513D9">
        <w:t xml:space="preserve"> </w:t>
      </w:r>
      <w:r>
        <w:t>Dose 2 in adolescents 12 to 15 years of age, when the data becomes available.</w:t>
      </w:r>
      <w:r w:rsidR="00E513D9">
        <w:t xml:space="preserve"> </w:t>
      </w:r>
      <w:r>
        <w:t>Data relating to individuals 16 years and older</w:t>
      </w:r>
    </w:p>
    <w:p w14:paraId="03DA848D" w14:textId="622EFF5B" w:rsidR="00456765" w:rsidRDefault="00FF7EEB" w:rsidP="00E513D9">
      <w:pPr>
        <w:pStyle w:val="ListBullet2"/>
      </w:pPr>
      <w:r>
        <w:t>Submit safety data in relation to follow-up at 6 months post-Dose 2 for all</w:t>
      </w:r>
      <w:r w:rsidR="00E513D9">
        <w:t xml:space="preserve"> </w:t>
      </w:r>
      <w:r>
        <w:t xml:space="preserve">original </w:t>
      </w:r>
      <w:proofErr w:type="spellStart"/>
      <w:r>
        <w:t>C</w:t>
      </w:r>
      <w:r w:rsidR="00E513D9">
        <w:t>omirnaty</w:t>
      </w:r>
      <w:proofErr w:type="spellEnd"/>
      <w:r>
        <w:t xml:space="preserve"> recipients and at 6 months post-Dose 4 for original</w:t>
      </w:r>
      <w:r w:rsidR="00E513D9">
        <w:t xml:space="preserve"> </w:t>
      </w:r>
      <w:r>
        <w:t xml:space="preserve">placebo recipients subsequently vaccinated with </w:t>
      </w:r>
      <w:proofErr w:type="spellStart"/>
      <w:r>
        <w:t>C</w:t>
      </w:r>
      <w:r w:rsidR="00E513D9">
        <w:t>omirnaty</w:t>
      </w:r>
      <w:proofErr w:type="spellEnd"/>
      <w:r>
        <w:t xml:space="preserve"> (</w:t>
      </w:r>
      <w:r w:rsidR="00E513D9">
        <w:t>[that is]</w:t>
      </w:r>
      <w:r>
        <w:t>, 6 months</w:t>
      </w:r>
      <w:r w:rsidR="00E513D9">
        <w:t xml:space="preserve"> </w:t>
      </w:r>
      <w:r>
        <w:t>following their second dose), when the analysis is available.</w:t>
      </w:r>
    </w:p>
    <w:p w14:paraId="40074224" w14:textId="2B2B1EE6" w:rsidR="00E513D9" w:rsidRDefault="00E513D9" w:rsidP="00E513D9">
      <w:r>
        <w:t>When available, further data relating to vaccine efficacy against asymptomatic disease, vaccine efficacy in immunocompromised subjects, paediatric subjects, pregnant women, lactating mothers, and the information relating to post-market safety and effectiveness studies should be provided to the TGA, as separate submissions, to update the Product Information.</w:t>
      </w:r>
    </w:p>
    <w:p w14:paraId="5AAF931A" w14:textId="2077CC58" w:rsidR="00E513D9" w:rsidRPr="00D24798" w:rsidRDefault="00E513D9" w:rsidP="00E513D9">
      <w:pPr>
        <w:rPr>
          <w:b/>
          <w:bCs/>
        </w:rPr>
      </w:pPr>
      <w:r w:rsidRPr="00D24798">
        <w:rPr>
          <w:b/>
          <w:bCs/>
        </w:rPr>
        <w:t>Quality</w:t>
      </w:r>
    </w:p>
    <w:p w14:paraId="1CAB3B44" w14:textId="77777777" w:rsidR="00E513D9" w:rsidRDefault="00E513D9" w:rsidP="00E513D9">
      <w:pPr>
        <w:pStyle w:val="ListBullet"/>
      </w:pPr>
      <w:r>
        <w:t>Medicine Labels</w:t>
      </w:r>
    </w:p>
    <w:p w14:paraId="6A045E7C" w14:textId="715890C1" w:rsidR="00E513D9" w:rsidRDefault="00E513D9" w:rsidP="00E513D9">
      <w:pPr>
        <w:pStyle w:val="ListBullet2"/>
      </w:pPr>
      <w:r>
        <w:t>a) The Medicines must not be supplied with labels other than the labels that have been determined to be acceptable as part of the provisional registration of the Medicines under section 25, or, as relevant, any amended/additional labels subsequently approved under section 9D of the Act.</w:t>
      </w:r>
    </w:p>
    <w:p w14:paraId="4FA8E0D5" w14:textId="4054C2CA" w:rsidR="00E513D9" w:rsidRDefault="00E513D9" w:rsidP="00E513D9">
      <w:pPr>
        <w:pStyle w:val="ListBullet2"/>
      </w:pPr>
      <w:r>
        <w:t>b) The sponsor will develop Australian-specific labels for the products, that conform with all relevant Australian labelling requirements, and will take all reasonable steps to implement such labelling before the end of the provisional registration period referred to in subsection 29(3) of the Act (being the period of 2 years starting on the day specified in the ARTG certificate of registration) (noting that, consistent with paragraph 28(5)(</w:t>
      </w:r>
      <w:proofErr w:type="spellStart"/>
      <w:r>
        <w:t>aaa</w:t>
      </w:r>
      <w:proofErr w:type="spellEnd"/>
      <w:r>
        <w:t>) of the Act, changes to such matters as labels that have been agreed to as part of an evaluation under section 25 of the Act may only occur following submission under section 9D of a 'variation' application and approval by the TGA).</w:t>
      </w:r>
    </w:p>
    <w:p w14:paraId="304D232A" w14:textId="51334093" w:rsidR="00E513D9" w:rsidRDefault="00E513D9" w:rsidP="00E513D9">
      <w:pPr>
        <w:pStyle w:val="ListBullet2"/>
      </w:pPr>
      <w:r>
        <w:lastRenderedPageBreak/>
        <w:t>c) The sponsor will provide information to the TGA on the proposed strategies and planned timelines for Australian dedicated supplies, as soon as possible, and no later than 24 January 2023.</w:t>
      </w:r>
    </w:p>
    <w:p w14:paraId="31F14A22" w14:textId="77777777" w:rsidR="00E513D9" w:rsidRDefault="00E513D9" w:rsidP="00E513D9">
      <w:pPr>
        <w:pStyle w:val="ListBullet"/>
      </w:pPr>
      <w:r>
        <w:t>Batch Release Testing and Compliance</w:t>
      </w:r>
    </w:p>
    <w:p w14:paraId="4899B31F" w14:textId="6546261F" w:rsidR="00E513D9" w:rsidRDefault="00E513D9" w:rsidP="00E513D9">
      <w:r>
        <w:t xml:space="preserve">It is a condition of registration that all independent manufacturing batches of </w:t>
      </w:r>
      <w:proofErr w:type="spellStart"/>
      <w:r>
        <w:t>Comirnaty</w:t>
      </w:r>
      <w:proofErr w:type="spellEnd"/>
      <w:r>
        <w:t xml:space="preserve"> (BNT162b2 [mRNA]) COVID-19 Vaccine to be supplied in Australia are not released for supply by or on behalf of the sponsor until samples and the manufacturer’s release data have been assessed by, and you have received notification acknowledging authorisation to release from, the Laboratories Branch, TGA.</w:t>
      </w:r>
    </w:p>
    <w:p w14:paraId="131142FA" w14:textId="32A6C1C3" w:rsidR="00E513D9" w:rsidRDefault="00E513D9" w:rsidP="00E513D9">
      <w:r>
        <w:t>In complying with the above, the Sponsor must supply the following for each independent batch of the products imported or proposed to be imported into Australia:</w:t>
      </w:r>
    </w:p>
    <w:p w14:paraId="18433C6D" w14:textId="30BDB741" w:rsidR="00E513D9" w:rsidRDefault="00E513D9" w:rsidP="00E513D9">
      <w:pPr>
        <w:pStyle w:val="ListBullet2"/>
      </w:pPr>
      <w:r>
        <w:t>a completed Request for Release Form, available from vaccines@health.gov.au; and</w:t>
      </w:r>
    </w:p>
    <w:p w14:paraId="399D5957" w14:textId="28151D1C" w:rsidR="00E513D9" w:rsidRDefault="00E513D9" w:rsidP="00E513D9">
      <w:pPr>
        <w:pStyle w:val="ListBullet2"/>
      </w:pPr>
      <w:r>
        <w:t>complete summary protocols for manufacture and QC, including all steps in production in the agreed format; and</w:t>
      </w:r>
    </w:p>
    <w:p w14:paraId="2A74873D" w14:textId="29EC66CC" w:rsidR="00E513D9" w:rsidRDefault="00E513D9" w:rsidP="00E513D9">
      <w:pPr>
        <w:pStyle w:val="ListBullet2"/>
      </w:pPr>
      <w:r>
        <w:t>if the manufacturing batch has been released in Europe or United Kingdom a copy of the EU Official Control Authority Batch Release (OCABR) certificate (or equivalent from the UK) must also be provided; and</w:t>
      </w:r>
    </w:p>
    <w:p w14:paraId="4B5D1CE1" w14:textId="76E2FB09" w:rsidR="00E513D9" w:rsidRDefault="00E513D9" w:rsidP="00E513D9">
      <w:pPr>
        <w:pStyle w:val="ListBullet2"/>
      </w:pPr>
      <w:r>
        <w:t>any reagents, reference material and standards required to undertake testing as requested by Laboratories Branch, TGA.</w:t>
      </w:r>
    </w:p>
    <w:p w14:paraId="3B5745FD" w14:textId="6FD8569A" w:rsidR="00E513D9" w:rsidRDefault="00E513D9" w:rsidP="00E513D9">
      <w:r>
        <w:t>The shipments (including reagents) to TGA are the responsibility of the Australian</w:t>
      </w:r>
      <w:r w:rsidR="0089564A">
        <w:t xml:space="preserve"> s</w:t>
      </w:r>
      <w:r>
        <w:t>ponsor/</w:t>
      </w:r>
      <w:r w:rsidR="0089564A">
        <w:t>a</w:t>
      </w:r>
      <w:r>
        <w:t>gent who will be required to facilitate the import and customs clearance</w:t>
      </w:r>
      <w:r w:rsidR="0089564A">
        <w:t xml:space="preserve"> </w:t>
      </w:r>
      <w:r>
        <w:t>process.</w:t>
      </w:r>
    </w:p>
    <w:p w14:paraId="1E24BE7F" w14:textId="08086ECF" w:rsidR="00E513D9" w:rsidRDefault="00E513D9" w:rsidP="0089564A">
      <w:pPr>
        <w:pStyle w:val="ListBullet"/>
      </w:pPr>
      <w:r>
        <w:t>Certified Product Details</w:t>
      </w:r>
    </w:p>
    <w:p w14:paraId="5C923D80" w14:textId="5E6433B1" w:rsidR="00E513D9" w:rsidRDefault="00E513D9" w:rsidP="00E513D9">
      <w:r>
        <w:t>An electronic copy of the Certified Product Details (CPD) as described in Guidance 7:</w:t>
      </w:r>
      <w:r w:rsidR="0089564A">
        <w:t xml:space="preserve"> </w:t>
      </w:r>
      <w:r>
        <w:t>Certified Product Details of the Australian Regulatory Guidelines for Prescription</w:t>
      </w:r>
      <w:r w:rsidR="0089564A">
        <w:t xml:space="preserve"> </w:t>
      </w:r>
      <w:r>
        <w:t xml:space="preserve">Medicines (ARGPM) </w:t>
      </w:r>
      <w:hyperlink r:id="rId33" w:history="1">
        <w:r w:rsidR="0089564A" w:rsidRPr="0074757E">
          <w:rPr>
            <w:rStyle w:val="Hyperlink"/>
          </w:rPr>
          <w:t>https://www.tga.gov.au/guidance-7-certified-product-details</w:t>
        </w:r>
      </w:hyperlink>
      <w:r w:rsidR="0089564A">
        <w:t xml:space="preserve"> </w:t>
      </w:r>
      <w:r>
        <w:t>should be provided upon registration of the therapeutic good. In addition, an updated</w:t>
      </w:r>
      <w:r w:rsidR="0089564A">
        <w:t xml:space="preserve"> </w:t>
      </w:r>
      <w:r>
        <w:t>CPD, for the above products incorporating the approved changes is to be provided</w:t>
      </w:r>
      <w:r w:rsidR="0089564A">
        <w:t xml:space="preserve"> </w:t>
      </w:r>
      <w:r>
        <w:t>within one month of the date of approval letter. A template for preparation of CPD for</w:t>
      </w:r>
      <w:r w:rsidR="0089564A">
        <w:t xml:space="preserve"> </w:t>
      </w:r>
      <w:r>
        <w:t>biological prescription medicines and Vaccines can be obtained from the TGA website</w:t>
      </w:r>
      <w:r w:rsidR="0089564A">
        <w:t xml:space="preserve"> </w:t>
      </w:r>
      <w:r>
        <w:t>https://www.tga.gov.au/form/certified-product-details-cpd-biological-prescriptionmedicines.</w:t>
      </w:r>
    </w:p>
    <w:p w14:paraId="364117A7" w14:textId="157463D4" w:rsidR="00E513D9" w:rsidRDefault="00E513D9" w:rsidP="00E513D9">
      <w:r>
        <w:t>The CPD should be sent as a single bookmarked PDF document to</w:t>
      </w:r>
      <w:r w:rsidR="0089564A">
        <w:t xml:space="preserve"> </w:t>
      </w:r>
      <w:r>
        <w:t>vaccines@health.gov.au as soon as possible after registration/approval of the product</w:t>
      </w:r>
      <w:r w:rsidR="0089564A">
        <w:t xml:space="preserve"> </w:t>
      </w:r>
      <w:r>
        <w:t>or any subsequent changes as indicated above.</w:t>
      </w:r>
    </w:p>
    <w:p w14:paraId="72391E10" w14:textId="77777777" w:rsidR="0089564A" w:rsidRPr="00D24798" w:rsidRDefault="0089564A" w:rsidP="00D24798">
      <w:pPr>
        <w:pStyle w:val="ListBullet"/>
        <w:numPr>
          <w:ilvl w:val="0"/>
          <w:numId w:val="0"/>
        </w:numPr>
        <w:ind w:left="360" w:hanging="360"/>
        <w:rPr>
          <w:b/>
          <w:bCs/>
        </w:rPr>
      </w:pPr>
      <w:r w:rsidRPr="00D24798">
        <w:rPr>
          <w:b/>
          <w:bCs/>
        </w:rPr>
        <w:t>Post approval commitments</w:t>
      </w:r>
    </w:p>
    <w:p w14:paraId="283D22CA" w14:textId="13A09E7E" w:rsidR="0089564A" w:rsidRDefault="0089564A" w:rsidP="0089564A">
      <w:r>
        <w:t xml:space="preserve">The </w:t>
      </w:r>
      <w:r w:rsidR="00D24798">
        <w:t>s</w:t>
      </w:r>
      <w:r>
        <w:t>ponsor has submitted the list of manufacturing sites along with the</w:t>
      </w:r>
      <w:r w:rsidR="00E604DA">
        <w:t xml:space="preserve"> </w:t>
      </w:r>
      <w:r>
        <w:t xml:space="preserve">responsibilities in the production of the </w:t>
      </w:r>
      <w:proofErr w:type="spellStart"/>
      <w:r>
        <w:t>C</w:t>
      </w:r>
      <w:r w:rsidR="00D24798">
        <w:t>omirnaty</w:t>
      </w:r>
      <w:proofErr w:type="spellEnd"/>
      <w:r w:rsidR="00D24798">
        <w:t xml:space="preserve"> </w:t>
      </w:r>
      <w:r>
        <w:t>(BNT162b2 [mRNA]) COVID-19</w:t>
      </w:r>
      <w:r w:rsidR="00E604DA">
        <w:t xml:space="preserve"> </w:t>
      </w:r>
      <w:r>
        <w:t>Vaccine Drug Substance (DS) and Drug Product (DP) and specified functions.</w:t>
      </w:r>
    </w:p>
    <w:p w14:paraId="2D1F7879" w14:textId="44EC5938" w:rsidR="0089564A" w:rsidRDefault="0089564A" w:rsidP="0089564A">
      <w:r>
        <w:t>The Sponsor must maintain the validity of all manufacturer GMP Clearances for the</w:t>
      </w:r>
      <w:r w:rsidR="00E604DA">
        <w:t xml:space="preserve"> </w:t>
      </w:r>
      <w:r>
        <w:t>duration of product supply to Australia and comply with any conditions of GMP</w:t>
      </w:r>
      <w:r w:rsidR="00E604DA">
        <w:t xml:space="preserve"> </w:t>
      </w:r>
      <w:r>
        <w:t>Clearance.</w:t>
      </w:r>
    </w:p>
    <w:p w14:paraId="04811FFC" w14:textId="77777777" w:rsidR="0089564A" w:rsidRDefault="0089564A" w:rsidP="00D24798">
      <w:pPr>
        <w:pStyle w:val="ListBullet"/>
      </w:pPr>
      <w:r>
        <w:t>Commercial scale batches</w:t>
      </w:r>
    </w:p>
    <w:p w14:paraId="2D268453" w14:textId="19891E1E" w:rsidR="0089564A" w:rsidRPr="00E513D9" w:rsidRDefault="0089564A" w:rsidP="0089564A">
      <w:r>
        <w:t xml:space="preserve">The </w:t>
      </w:r>
      <w:r w:rsidR="00D24798">
        <w:t>s</w:t>
      </w:r>
      <w:r>
        <w:t>ponsor must perform testing of future process-validation batches of the commercial scale</w:t>
      </w:r>
      <w:r w:rsidR="00D24798">
        <w:t xml:space="preserve"> </w:t>
      </w:r>
      <w:r>
        <w:t>finished product according to the comparability testing protocol/plan and provide results for</w:t>
      </w:r>
      <w:r w:rsidR="00D24798">
        <w:t xml:space="preserve"> </w:t>
      </w:r>
      <w:r>
        <w:t>assessment by the TGA when available.</w:t>
      </w:r>
    </w:p>
    <w:p w14:paraId="1869626A" w14:textId="77777777" w:rsidR="008E7846" w:rsidRDefault="00A80B5B" w:rsidP="00D23139">
      <w:pPr>
        <w:pStyle w:val="Heading2"/>
      </w:pPr>
      <w:bookmarkStart w:id="64" w:name="_Toc100655265"/>
      <w:r>
        <w:lastRenderedPageBreak/>
        <w:t xml:space="preserve">Attachment 1. </w:t>
      </w:r>
      <w:r w:rsidR="008E7846">
        <w:t xml:space="preserve">Product </w:t>
      </w:r>
      <w:r w:rsidR="00AA0ED0">
        <w:t>I</w:t>
      </w:r>
      <w:r w:rsidR="008E7846">
        <w:t>nformation</w:t>
      </w:r>
      <w:bookmarkEnd w:id="62"/>
      <w:bookmarkEnd w:id="63"/>
      <w:bookmarkEnd w:id="64"/>
    </w:p>
    <w:p w14:paraId="3B4539C7" w14:textId="0F9DFA75" w:rsidR="00974A2E" w:rsidRPr="009D38C4" w:rsidRDefault="006136D7" w:rsidP="00C80137">
      <w:r w:rsidRPr="002B3624">
        <w:t xml:space="preserve">The </w:t>
      </w:r>
      <w:r>
        <w:t>PI</w:t>
      </w:r>
      <w:r w:rsidRPr="002B3624">
        <w:t xml:space="preserve"> for </w:t>
      </w:r>
      <w:proofErr w:type="spellStart"/>
      <w:r w:rsidR="00845DDB">
        <w:t>Comirna</w:t>
      </w:r>
      <w:r w:rsidR="003B229F">
        <w:t>t</w:t>
      </w:r>
      <w:r w:rsidR="00845DDB">
        <w:t>y</w:t>
      </w:r>
      <w:proofErr w:type="spellEnd"/>
      <w:r w:rsidRPr="002B3624">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 For the most recent </w:t>
      </w:r>
      <w:r>
        <w:t>PI,</w:t>
      </w:r>
      <w:r w:rsidRPr="002B3624">
        <w:t xml:space="preserve"> please refer to the </w:t>
      </w:r>
      <w:r w:rsidRPr="007C6B9B">
        <w:t xml:space="preserve">TGA website at </w:t>
      </w:r>
      <w:r w:rsidR="007C6B9B" w:rsidRPr="007C6B9B">
        <w:t>&lt;</w:t>
      </w:r>
      <w:hyperlink r:id="rId34" w:history="1">
        <w:r w:rsidR="007C6B9B" w:rsidRPr="007C6B9B">
          <w:rPr>
            <w:rStyle w:val="Hyperlink"/>
          </w:rPr>
          <w:t>https://www.tga.gov.au/product-information-pi</w:t>
        </w:r>
      </w:hyperlink>
      <w:r w:rsidR="007C6B9B" w:rsidRPr="007C6B9B">
        <w:t>&gt;.</w:t>
      </w:r>
    </w:p>
    <w:p w14:paraId="7F6BFE38" w14:textId="75C93EC3" w:rsidR="00291957" w:rsidRDefault="008E7846" w:rsidP="00845DDB">
      <w:pPr>
        <w:autoSpaceDE w:val="0"/>
        <w:autoSpaceDN w:val="0"/>
        <w:adjustRightInd w:val="0"/>
        <w:spacing w:after="0"/>
        <w:rPr>
          <w:lang w:eastAsia="ja-JP"/>
        </w:rPr>
      </w:pPr>
      <w:r w:rsidRPr="00C80137">
        <w:rPr>
          <w:b/>
        </w:rPr>
        <w:br w:type="page"/>
      </w:r>
    </w:p>
    <w:p w14:paraId="6D04A872" w14:textId="77777777" w:rsidR="00C80137" w:rsidRPr="001D043B" w:rsidRDefault="00C80137" w:rsidP="003A7F6C">
      <w:pPr>
        <w:pStyle w:val="TableTitle"/>
        <w:sectPr w:rsidR="00C80137" w:rsidRPr="001D043B" w:rsidSect="00B452CE">
          <w:headerReference w:type="even" r:id="rId35"/>
          <w:headerReference w:type="default" r:id="rId36"/>
          <w:headerReference w:type="first" r:id="rId37"/>
          <w:footerReference w:type="first" r:id="rId38"/>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4B2B1BCD" w14:textId="77777777" w:rsidTr="00A05FA4">
        <w:trPr>
          <w:trHeight w:hRule="exact" w:val="704"/>
        </w:trPr>
        <w:tc>
          <w:tcPr>
            <w:tcW w:w="9175" w:type="dxa"/>
          </w:tcPr>
          <w:p w14:paraId="66BF123A" w14:textId="77777777" w:rsidR="001C32CD" w:rsidRPr="00487162" w:rsidRDefault="001C32CD" w:rsidP="00A05FA4">
            <w:pPr>
              <w:pStyle w:val="TGASignoff"/>
            </w:pPr>
            <w:r w:rsidRPr="00487162">
              <w:lastRenderedPageBreak/>
              <w:t>Therapeutic Goods Administration</w:t>
            </w:r>
          </w:p>
        </w:tc>
      </w:tr>
      <w:tr w:rsidR="001C32CD" w:rsidRPr="004C239D" w14:paraId="1F5785DF" w14:textId="77777777" w:rsidTr="00A05FA4">
        <w:trPr>
          <w:trHeight w:val="1221"/>
        </w:trPr>
        <w:tc>
          <w:tcPr>
            <w:tcW w:w="9175" w:type="dxa"/>
            <w:tcMar>
              <w:top w:w="28" w:type="dxa"/>
            </w:tcMar>
          </w:tcPr>
          <w:p w14:paraId="4FD6746B" w14:textId="77777777" w:rsidR="001C32CD" w:rsidRPr="00487162" w:rsidRDefault="001C32CD" w:rsidP="00A05FA4">
            <w:pPr>
              <w:pStyle w:val="Address"/>
            </w:pPr>
            <w:r w:rsidRPr="00487162">
              <w:t>PO Box 100 Woden ACT 2606 Australia</w:t>
            </w:r>
          </w:p>
          <w:p w14:paraId="713D0AC1" w14:textId="4958DFFD" w:rsidR="001C32CD" w:rsidRPr="00487162" w:rsidRDefault="001C32CD" w:rsidP="00A05FA4">
            <w:pPr>
              <w:pStyle w:val="Address"/>
            </w:pPr>
            <w:r w:rsidRPr="00487162">
              <w:t xml:space="preserve">Email: </w:t>
            </w:r>
            <w:hyperlink r:id="rId39"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4DD27ECE" w14:textId="7195C759" w:rsidR="001C32CD" w:rsidRPr="004C239D" w:rsidRDefault="002C6FB8" w:rsidP="00A05FA4">
            <w:pPr>
              <w:pStyle w:val="Address"/>
              <w:spacing w:line="260" w:lineRule="atLeast"/>
              <w:rPr>
                <w:b/>
                <w:color w:val="0000FF"/>
                <w:u w:val="single"/>
              </w:rPr>
            </w:pPr>
            <w:hyperlink r:id="rId40" w:history="1">
              <w:r w:rsidR="007C6B9B" w:rsidRPr="007C6B9B">
                <w:rPr>
                  <w:rStyle w:val="Hyperlink"/>
                  <w:b/>
                </w:rPr>
                <w:t>https://www.tga.gov.au</w:t>
              </w:r>
            </w:hyperlink>
          </w:p>
        </w:tc>
      </w:tr>
    </w:tbl>
    <w:p w14:paraId="7BB7781A" w14:textId="77777777" w:rsidR="00774E1D" w:rsidRPr="008A5E0B" w:rsidRDefault="00774E1D" w:rsidP="004C239D"/>
    <w:sectPr w:rsidR="00774E1D" w:rsidRPr="008A5E0B" w:rsidSect="001C32CD">
      <w:headerReference w:type="even" r:id="rId41"/>
      <w:headerReference w:type="default" r:id="rId42"/>
      <w:footerReference w:type="default" r:id="rId43"/>
      <w:headerReference w:type="first" r:id="rId44"/>
      <w:footerReference w:type="first" r:id="rId45"/>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7EA0B8" w14:textId="77777777" w:rsidR="00CF619B" w:rsidRDefault="00CF619B" w:rsidP="00C40A36">
      <w:pPr>
        <w:spacing w:after="0"/>
      </w:pPr>
      <w:r>
        <w:separator/>
      </w:r>
    </w:p>
  </w:endnote>
  <w:endnote w:type="continuationSeparator" w:id="0">
    <w:p w14:paraId="55BA63A0" w14:textId="77777777" w:rsidR="00CF619B" w:rsidRDefault="00CF619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Lucida Sans">
    <w:panose1 w:val="020B0602040502020204"/>
    <w:charset w:val="00"/>
    <w:family w:val="swiss"/>
    <w:pitch w:val="variable"/>
    <w:sig w:usb0="8100AAF7" w:usb1="0000807B" w:usb2="00000008" w:usb3="00000000" w:csb0="000100FF"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FBD84" w14:textId="77777777" w:rsidR="003F70B9" w:rsidRDefault="003F70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FF7EEB" w:rsidRPr="00487162" w14:paraId="286A4ACD" w14:textId="77777777" w:rsidTr="00DB750B">
      <w:trPr>
        <w:trHeight w:val="269"/>
      </w:trPr>
      <w:tc>
        <w:tcPr>
          <w:tcW w:w="7371" w:type="dxa"/>
          <w:tcMar>
            <w:top w:w="142" w:type="dxa"/>
            <w:bottom w:w="0" w:type="dxa"/>
          </w:tcMar>
        </w:tcPr>
        <w:p w14:paraId="3B700779" w14:textId="0C583757" w:rsidR="00FF7EEB" w:rsidRPr="00487162" w:rsidRDefault="00FF7EEB" w:rsidP="00460036">
          <w:pPr>
            <w:pStyle w:val="Footer"/>
          </w:pPr>
          <w:proofErr w:type="spellStart"/>
          <w:r w:rsidRPr="00487162">
            <w:t>AusPA</w:t>
          </w:r>
          <w:r>
            <w:t>R</w:t>
          </w:r>
          <w:proofErr w:type="spellEnd"/>
          <w:r>
            <w:t xml:space="preserve"> - </w:t>
          </w:r>
          <w:proofErr w:type="spellStart"/>
          <w:r>
            <w:t>Comirnaty</w:t>
          </w:r>
          <w:proofErr w:type="spellEnd"/>
          <w:r>
            <w:t xml:space="preserve"> (</w:t>
          </w:r>
          <w:proofErr w:type="spellStart"/>
          <w:r>
            <w:t>tozinameran</w:t>
          </w:r>
          <w:proofErr w:type="spellEnd"/>
          <w:r>
            <w:t>) Pfizer Australia Pty Ltd PM-2022</w:t>
          </w:r>
          <w:r w:rsidRPr="00487162">
            <w:t>-</w:t>
          </w:r>
          <w:r>
            <w:t>0</w:t>
          </w:r>
          <w:r w:rsidR="00833837">
            <w:t>0</w:t>
          </w:r>
          <w:r>
            <w:t>483</w:t>
          </w:r>
          <w:r w:rsidRPr="00487162">
            <w:t>-</w:t>
          </w:r>
          <w:r>
            <w:t>1</w:t>
          </w:r>
          <w:r w:rsidRPr="00487162">
            <w:t>-</w:t>
          </w:r>
          <w:r>
            <w:t>2</w:t>
          </w:r>
          <w:r>
            <w:br/>
            <w:t>FINAL 8 April 2022</w:t>
          </w:r>
        </w:p>
      </w:tc>
      <w:tc>
        <w:tcPr>
          <w:tcW w:w="1490" w:type="dxa"/>
          <w:tcMar>
            <w:top w:w="142" w:type="dxa"/>
            <w:bottom w:w="0" w:type="dxa"/>
          </w:tcMar>
        </w:tcPr>
        <w:p w14:paraId="53DB8AD7" w14:textId="1A07F025" w:rsidR="00FF7EEB" w:rsidRPr="00487162" w:rsidRDefault="00FF7EEB" w:rsidP="00DB750B">
          <w:pPr>
            <w:pStyle w:val="Footer"/>
            <w:jc w:val="right"/>
          </w:pPr>
          <w:r w:rsidRPr="00487162">
            <w:t xml:space="preserve">Page </w:t>
          </w:r>
          <w:r>
            <w:fldChar w:fldCharType="begin"/>
          </w:r>
          <w:r>
            <w:instrText xml:space="preserve"> PAGE  \* Arabic </w:instrText>
          </w:r>
          <w:r>
            <w:fldChar w:fldCharType="separate"/>
          </w:r>
          <w:r>
            <w:rPr>
              <w:noProof/>
            </w:rPr>
            <w:t>22</w:t>
          </w:r>
          <w:r>
            <w:fldChar w:fldCharType="end"/>
          </w:r>
          <w:r w:rsidRPr="00487162">
            <w:t xml:space="preserve"> of </w:t>
          </w:r>
          <w:r w:rsidR="002C6FB8">
            <w:fldChar w:fldCharType="begin"/>
          </w:r>
          <w:r w:rsidR="002C6FB8">
            <w:instrText xml:space="preserve"> NUMPAGES  \* Arabic </w:instrText>
          </w:r>
          <w:r w:rsidR="002C6FB8">
            <w:fldChar w:fldCharType="separate"/>
          </w:r>
          <w:r>
            <w:rPr>
              <w:noProof/>
            </w:rPr>
            <w:t>23</w:t>
          </w:r>
          <w:r w:rsidR="002C6FB8">
            <w:rPr>
              <w:noProof/>
            </w:rPr>
            <w:fldChar w:fldCharType="end"/>
          </w:r>
        </w:p>
      </w:tc>
    </w:tr>
  </w:tbl>
  <w:p w14:paraId="10C45525" w14:textId="77777777" w:rsidR="00FF7EEB" w:rsidRDefault="00FF7EEB"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6723F" w14:textId="77777777" w:rsidR="003F70B9" w:rsidRDefault="003F70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F7EEB" w:rsidRPr="00487162" w14:paraId="6D8E2684" w14:textId="77777777" w:rsidTr="00E45619">
      <w:trPr>
        <w:trHeight w:val="269"/>
      </w:trPr>
      <w:tc>
        <w:tcPr>
          <w:tcW w:w="4519" w:type="dxa"/>
          <w:tcBorders>
            <w:top w:val="single" w:sz="4" w:space="0" w:color="auto"/>
          </w:tcBorders>
          <w:tcMar>
            <w:top w:w="142" w:type="dxa"/>
            <w:bottom w:w="0" w:type="dxa"/>
          </w:tcMar>
        </w:tcPr>
        <w:p w14:paraId="10D06EEF" w14:textId="77777777" w:rsidR="00FF7EEB" w:rsidRPr="00487162" w:rsidRDefault="00FF7EEB" w:rsidP="00FE1DEE">
          <w:pPr>
            <w:pStyle w:val="Footer"/>
          </w:pPr>
          <w:r w:rsidRPr="00487162">
            <w:t>Document title, Part #, Section # - Section title</w:t>
          </w:r>
        </w:p>
        <w:p w14:paraId="273C78CE" w14:textId="77777777" w:rsidR="00FF7EEB" w:rsidRPr="00487162" w:rsidRDefault="00FF7EEB" w:rsidP="00FE1DEE">
          <w:pPr>
            <w:pStyle w:val="Footer"/>
          </w:pPr>
          <w:r w:rsidRPr="00487162">
            <w:t>V1.0 October 2010</w:t>
          </w:r>
        </w:p>
      </w:tc>
      <w:tc>
        <w:tcPr>
          <w:tcW w:w="4342" w:type="dxa"/>
          <w:tcBorders>
            <w:top w:val="single" w:sz="4" w:space="0" w:color="auto"/>
          </w:tcBorders>
          <w:tcMar>
            <w:top w:w="142" w:type="dxa"/>
            <w:bottom w:w="0" w:type="dxa"/>
          </w:tcMar>
        </w:tcPr>
        <w:p w14:paraId="55F3303B" w14:textId="77777777" w:rsidR="00FF7EEB" w:rsidRPr="00487162" w:rsidRDefault="00FF7EE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2C6FB8">
            <w:fldChar w:fldCharType="begin"/>
          </w:r>
          <w:r w:rsidR="002C6FB8">
            <w:instrText xml:space="preserve"> NUMPAGES  </w:instrText>
          </w:r>
          <w:r w:rsidR="002C6FB8">
            <w:fldChar w:fldCharType="separate"/>
          </w:r>
          <w:r>
            <w:rPr>
              <w:noProof/>
            </w:rPr>
            <w:t>3</w:t>
          </w:r>
          <w:r w:rsidR="002C6FB8">
            <w:rPr>
              <w:noProof/>
            </w:rPr>
            <w:fldChar w:fldCharType="end"/>
          </w:r>
        </w:p>
      </w:tc>
    </w:tr>
  </w:tbl>
  <w:p w14:paraId="0168830E" w14:textId="77777777" w:rsidR="00FF7EEB" w:rsidRDefault="00FF7EE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A51D3" w14:textId="77777777" w:rsidR="00FF7EEB" w:rsidRPr="001C32CD" w:rsidRDefault="00FF7EEB"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F7EEB" w14:paraId="2B7D2562" w14:textId="77777777" w:rsidTr="0010601F">
      <w:trPr>
        <w:trHeight w:val="108"/>
      </w:trPr>
      <w:tc>
        <w:tcPr>
          <w:tcW w:w="8875" w:type="dxa"/>
          <w:gridSpan w:val="2"/>
          <w:tcBorders>
            <w:bottom w:val="single" w:sz="4" w:space="0" w:color="auto"/>
          </w:tcBorders>
          <w:tcMar>
            <w:right w:w="284" w:type="dxa"/>
          </w:tcMar>
        </w:tcPr>
        <w:p w14:paraId="1DB58045" w14:textId="77777777" w:rsidR="00FF7EEB" w:rsidRDefault="00FF7EEB" w:rsidP="006E08B3">
          <w:pPr>
            <w:pStyle w:val="Heading3"/>
          </w:pPr>
          <w:r>
            <w:t>Copyright</w:t>
          </w:r>
        </w:p>
        <w:p w14:paraId="57068E96" w14:textId="77777777" w:rsidR="00FF7EEB" w:rsidRDefault="00FF7EEB" w:rsidP="006E08B3">
          <w:r>
            <w:rPr>
              <w:rFonts w:cs="Arial"/>
            </w:rPr>
            <w:t>©</w:t>
          </w:r>
          <w:r>
            <w:t xml:space="preserve"> Commonwealth of Australia [add year]</w:t>
          </w:r>
        </w:p>
        <w:p w14:paraId="3199012F" w14:textId="77777777" w:rsidR="00FF7EEB" w:rsidRDefault="00FF7EEB" w:rsidP="006E08B3"/>
        <w:p w14:paraId="55CF491B" w14:textId="77777777" w:rsidR="00FF7EEB" w:rsidRDefault="00FF7EE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0C347345" w14:textId="77777777" w:rsidR="00FF7EEB" w:rsidRDefault="00FF7EEB" w:rsidP="006E08B3"/>
        <w:p w14:paraId="5336C51A" w14:textId="77777777" w:rsidR="00FF7EEB" w:rsidRDefault="00FF7EEB" w:rsidP="006E08B3">
          <w:pPr>
            <w:pStyle w:val="Heading3"/>
          </w:pPr>
          <w:r>
            <w:t>Confidentiality</w:t>
          </w:r>
        </w:p>
        <w:p w14:paraId="773468A2" w14:textId="77777777" w:rsidR="00FF7EEB" w:rsidRDefault="00FF7EE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09F0829" w14:textId="77777777" w:rsidR="00FF7EEB" w:rsidRDefault="00FF7EEB" w:rsidP="006E08B3"/>
        <w:p w14:paraId="6008E9BB" w14:textId="77777777" w:rsidR="00FF7EEB" w:rsidRDefault="00FF7EEB" w:rsidP="006E08B3">
          <w:r>
            <w:t>For submission made by individuals, all personal details, other than your name, will be removed from your submission before it is published on the TGA’s Internet site.</w:t>
          </w:r>
        </w:p>
        <w:p w14:paraId="50FB86CC" w14:textId="77777777" w:rsidR="00FF7EEB" w:rsidRDefault="00FF7EEB" w:rsidP="006E08B3"/>
        <w:p w14:paraId="5C6F0E1C" w14:textId="77777777" w:rsidR="00FF7EEB" w:rsidRDefault="00FF7EEB"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FF7EEB" w14:paraId="2E57E37F" w14:textId="77777777" w:rsidTr="0010601F">
      <w:trPr>
        <w:trHeight w:val="417"/>
      </w:trPr>
      <w:tc>
        <w:tcPr>
          <w:tcW w:w="4519" w:type="dxa"/>
          <w:tcBorders>
            <w:top w:val="single" w:sz="4" w:space="0" w:color="auto"/>
          </w:tcBorders>
          <w:tcMar>
            <w:top w:w="142" w:type="dxa"/>
            <w:bottom w:w="0" w:type="dxa"/>
          </w:tcMar>
        </w:tcPr>
        <w:p w14:paraId="7B0FF8F0" w14:textId="77777777" w:rsidR="00FF7EEB" w:rsidRDefault="00FF7EEB" w:rsidP="006E08B3">
          <w:r>
            <w:t>Document title, Part #, Section # - Section title</w:t>
          </w:r>
        </w:p>
        <w:p w14:paraId="2ECE154F" w14:textId="77777777" w:rsidR="00FF7EEB" w:rsidRDefault="00FF7EEB" w:rsidP="006E08B3">
          <w:r>
            <w:t>V1.0 October 2010</w:t>
          </w:r>
        </w:p>
      </w:tc>
      <w:tc>
        <w:tcPr>
          <w:tcW w:w="4356" w:type="dxa"/>
          <w:tcBorders>
            <w:top w:val="single" w:sz="4" w:space="0" w:color="auto"/>
          </w:tcBorders>
          <w:tcMar>
            <w:top w:w="142" w:type="dxa"/>
            <w:bottom w:w="0" w:type="dxa"/>
          </w:tcMar>
        </w:tcPr>
        <w:p w14:paraId="331456EF" w14:textId="77777777" w:rsidR="00FF7EEB" w:rsidRDefault="00FF7EE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2C6FB8">
            <w:fldChar w:fldCharType="begin"/>
          </w:r>
          <w:r w:rsidR="002C6FB8">
            <w:instrText xml:space="preserve"> NUMPAGES  \* Arabic </w:instrText>
          </w:r>
          <w:r w:rsidR="002C6FB8">
            <w:fldChar w:fldCharType="separate"/>
          </w:r>
          <w:r>
            <w:rPr>
              <w:noProof/>
            </w:rPr>
            <w:t>3</w:t>
          </w:r>
          <w:r w:rsidR="002C6FB8">
            <w:rPr>
              <w:noProof/>
            </w:rPr>
            <w:fldChar w:fldCharType="end"/>
          </w:r>
          <w:r>
            <w:t xml:space="preserve">  </w:t>
          </w:r>
        </w:p>
      </w:tc>
    </w:tr>
  </w:tbl>
  <w:p w14:paraId="7CBF3C5A" w14:textId="77777777" w:rsidR="00FF7EEB" w:rsidRDefault="00FF7E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AB65CE" w14:textId="77777777" w:rsidR="00CF619B" w:rsidRDefault="00CF619B" w:rsidP="00C40A36">
      <w:pPr>
        <w:spacing w:after="0"/>
      </w:pPr>
      <w:r>
        <w:separator/>
      </w:r>
    </w:p>
  </w:footnote>
  <w:footnote w:type="continuationSeparator" w:id="0">
    <w:p w14:paraId="7E113148" w14:textId="77777777" w:rsidR="00CF619B" w:rsidRDefault="00CF619B" w:rsidP="00C40A36">
      <w:pPr>
        <w:spacing w:after="0"/>
      </w:pPr>
      <w:r>
        <w:continuationSeparator/>
      </w:r>
    </w:p>
  </w:footnote>
  <w:footnote w:id="1">
    <w:p w14:paraId="3DE6A6E9" w14:textId="3E240FA0" w:rsidR="00FF7EEB" w:rsidRDefault="00FF7EEB">
      <w:pPr>
        <w:pStyle w:val="FootnoteText"/>
      </w:pPr>
      <w:r>
        <w:rPr>
          <w:rStyle w:val="FootnoteReference"/>
        </w:rPr>
        <w:footnoteRef/>
      </w:r>
      <w:r>
        <w:t xml:space="preserve"> Formerly known as </w:t>
      </w:r>
      <w:r w:rsidRPr="00B33D69">
        <w:t>BNT162b2 (mRNA)</w:t>
      </w:r>
      <w:r w:rsidRPr="003F6AF8">
        <w:rPr>
          <w:color w:val="FFFFFF" w:themeColor="background1"/>
        </w:rPr>
        <w:t>T162b2 [mRNA]</w:t>
      </w:r>
      <w:r>
        <w:rPr>
          <w:color w:val="FFFFFF" w:themeColor="background1"/>
        </w:rPr>
        <w:t>.</w:t>
      </w:r>
    </w:p>
  </w:footnote>
  <w:footnote w:id="2">
    <w:p w14:paraId="27B3974A" w14:textId="77777777" w:rsidR="00FF7EEB" w:rsidRDefault="00FF7EEB">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3">
    <w:p w14:paraId="5512524F" w14:textId="77777777" w:rsidR="00FF7EEB" w:rsidRDefault="00FF7EEB" w:rsidP="000143DD">
      <w:pPr>
        <w:pStyle w:val="FootnoteText"/>
      </w:pPr>
      <w:r>
        <w:rPr>
          <w:rStyle w:val="FootnoteReference"/>
        </w:rPr>
        <w:footnoteRef/>
      </w:r>
      <w:r>
        <w:t xml:space="preserve"> Zhu, N. </w:t>
      </w:r>
      <w:r w:rsidRPr="00153388">
        <w:t xml:space="preserve">et al. A Novel Coronavirus from Patients with Pneumonia in China, 2019. </w:t>
      </w:r>
      <w:r w:rsidRPr="00153388">
        <w:rPr>
          <w:i/>
          <w:iCs/>
        </w:rPr>
        <w:t xml:space="preserve">The New England journal of medicine. </w:t>
      </w:r>
      <w:r w:rsidRPr="00153388">
        <w:t>2020;</w:t>
      </w:r>
      <w:r>
        <w:t xml:space="preserve"> </w:t>
      </w:r>
      <w:r w:rsidRPr="00153388">
        <w:t>382(8):</w:t>
      </w:r>
      <w:r>
        <w:t xml:space="preserve"> 727-733.</w:t>
      </w:r>
    </w:p>
  </w:footnote>
  <w:footnote w:id="4">
    <w:p w14:paraId="3AEC90B8" w14:textId="77777777" w:rsidR="00FF7EEB" w:rsidRDefault="00FF7EEB" w:rsidP="000143DD">
      <w:pPr>
        <w:pStyle w:val="FootnoteText"/>
      </w:pPr>
      <w:r>
        <w:rPr>
          <w:rStyle w:val="FootnoteReference"/>
        </w:rPr>
        <w:footnoteRef/>
      </w:r>
      <w:r>
        <w:t xml:space="preserve"> McIntosh, K. </w:t>
      </w:r>
      <w:r w:rsidRPr="009F69D4">
        <w:t>Coronavirus disease 2019 (COVID-19): Clinical features</w:t>
      </w:r>
      <w:r>
        <w:t xml:space="preserve">, </w:t>
      </w:r>
      <w:proofErr w:type="gramStart"/>
      <w:r>
        <w:t>In</w:t>
      </w:r>
      <w:proofErr w:type="gramEnd"/>
      <w:r>
        <w:t xml:space="preserve">: </w:t>
      </w:r>
      <w:r w:rsidRPr="00DB21AA">
        <w:rPr>
          <w:i/>
        </w:rPr>
        <w:t>UpToDate</w:t>
      </w:r>
      <w:r>
        <w:t xml:space="preserve">, Waltham, MA </w:t>
      </w:r>
      <w:r w:rsidRPr="00916677">
        <w:t xml:space="preserve">(Accessed </w:t>
      </w:r>
      <w:r>
        <w:t>on 12 January 2021</w:t>
      </w:r>
      <w:r w:rsidRPr="00916677">
        <w:t>)</w:t>
      </w:r>
      <w:r>
        <w:t xml:space="preserve">. Available from the </w:t>
      </w:r>
      <w:r w:rsidRPr="00F52D1E">
        <w:rPr>
          <w:i/>
        </w:rPr>
        <w:t>UpToDate</w:t>
      </w:r>
      <w:r>
        <w:t xml:space="preserve"> website.</w:t>
      </w:r>
    </w:p>
  </w:footnote>
  <w:footnote w:id="5">
    <w:p w14:paraId="2078AB87" w14:textId="77777777" w:rsidR="00FF7EEB" w:rsidRDefault="00FF7EEB" w:rsidP="000143DD">
      <w:pPr>
        <w:pStyle w:val="FootnoteText"/>
      </w:pPr>
      <w:r>
        <w:rPr>
          <w:rStyle w:val="FootnoteReference"/>
        </w:rPr>
        <w:footnoteRef/>
      </w:r>
      <w:r>
        <w:t xml:space="preserve"> </w:t>
      </w:r>
      <w:r w:rsidRPr="005F44E3">
        <w:t xml:space="preserve">National </w:t>
      </w:r>
      <w:proofErr w:type="spellStart"/>
      <w:r w:rsidRPr="005F44E3">
        <w:t>Center</w:t>
      </w:r>
      <w:proofErr w:type="spellEnd"/>
      <w:r w:rsidRPr="005F44E3">
        <w:t xml:space="preserve"> for Immunization and Respiratory Diseases (NCIRD), Division of Viral Diseases</w:t>
      </w:r>
      <w:r>
        <w:t xml:space="preserve">, </w:t>
      </w:r>
      <w:proofErr w:type="spellStart"/>
      <w:r>
        <w:t>Centers</w:t>
      </w:r>
      <w:proofErr w:type="spellEnd"/>
      <w:r>
        <w:t xml:space="preserve"> for Disease Control and Prevention (CDC; 2020). Symptoms of Coronavirus. Last updated 22 December 2020. Available from the CDC website.</w:t>
      </w:r>
    </w:p>
  </w:footnote>
  <w:footnote w:id="6">
    <w:p w14:paraId="505914DC" w14:textId="77777777" w:rsidR="00FF7EEB" w:rsidRDefault="00FF7EEB" w:rsidP="000143DD">
      <w:pPr>
        <w:pStyle w:val="FootnoteText"/>
      </w:pPr>
      <w:r>
        <w:rPr>
          <w:rStyle w:val="FootnoteReference"/>
        </w:rPr>
        <w:footnoteRef/>
      </w:r>
      <w:r>
        <w:t xml:space="preserve"> World Health Organization (</w:t>
      </w:r>
      <w:r w:rsidRPr="00255565">
        <w:t xml:space="preserve">2020) </w:t>
      </w:r>
      <w:hyperlink r:id="rId1" w:history="1">
        <w:r w:rsidRPr="0087281D">
          <w:t>WHO Director-General speeches</w:t>
        </w:r>
      </w:hyperlink>
      <w:r w:rsidRPr="0087281D">
        <w:t xml:space="preserve">: </w:t>
      </w:r>
      <w:r w:rsidRPr="009317B9">
        <w:t>WHO Director-General's opening remarks at the media briefing on COVID-19 - 11 March 2020</w:t>
      </w:r>
      <w:r w:rsidRPr="0087281D">
        <w:t>.</w:t>
      </w:r>
      <w:r>
        <w:t xml:space="preserve"> Available from the WHO website.</w:t>
      </w:r>
    </w:p>
  </w:footnote>
  <w:footnote w:id="7">
    <w:p w14:paraId="04822C51" w14:textId="7E3DDDAC" w:rsidR="00FF7EEB" w:rsidRDefault="00FF7EEB" w:rsidP="000143DD">
      <w:pPr>
        <w:pStyle w:val="FootnoteText"/>
      </w:pPr>
      <w:r>
        <w:rPr>
          <w:rStyle w:val="FootnoteReference"/>
        </w:rPr>
        <w:footnoteRef/>
      </w:r>
      <w:r>
        <w:t xml:space="preserve"> World Health Organization, Coronavirus disease (COVID-19) dashboard. Accessed 24 January 2021. Available from the WHO website at </w:t>
      </w:r>
      <w:hyperlink r:id="rId2" w:history="1">
        <w:r w:rsidRPr="008C1B3B">
          <w:rPr>
            <w:rStyle w:val="Hyperlink"/>
          </w:rPr>
          <w:t>https://covid19.who.int/</w:t>
        </w:r>
      </w:hyperlink>
    </w:p>
  </w:footnote>
  <w:footnote w:id="8">
    <w:p w14:paraId="10EAE496" w14:textId="77777777" w:rsidR="00FF7EEB" w:rsidRDefault="00FF7EEB" w:rsidP="000143DD">
      <w:pPr>
        <w:pStyle w:val="FootnoteText"/>
      </w:pPr>
      <w:r>
        <w:rPr>
          <w:rStyle w:val="FootnoteReference"/>
        </w:rPr>
        <w:footnoteRef/>
      </w:r>
      <w:r>
        <w:t xml:space="preserve"> Further information regarding mRNA technology in vaccines can be found at </w:t>
      </w:r>
      <w:hyperlink r:id="rId3" w:history="1">
        <w:r w:rsidRPr="004F699A">
          <w:rPr>
            <w:rStyle w:val="Hyperlink"/>
          </w:rPr>
          <w:t>https://www.phgfoundation.org/documents/rna-vaccines-an-introduction-briefing-note.pdf</w:t>
        </w:r>
      </w:hyperlink>
      <w:r>
        <w:t xml:space="preserve"> </w:t>
      </w:r>
    </w:p>
  </w:footnote>
  <w:footnote w:id="9">
    <w:p w14:paraId="7D591914" w14:textId="77777777" w:rsidR="00FF7EEB" w:rsidRDefault="00FF7EEB" w:rsidP="009942C0">
      <w:pPr>
        <w:spacing w:before="0" w:after="0" w:line="240" w:lineRule="auto"/>
        <w:rPr>
          <w:rFonts w:eastAsia="Times New Roman" w:cs="Calibri"/>
          <w:color w:val="000000"/>
          <w:sz w:val="18"/>
          <w:szCs w:val="18"/>
          <w:lang w:eastAsia="en-AU"/>
        </w:rPr>
      </w:pPr>
      <w:r>
        <w:rPr>
          <w:rStyle w:val="FootnoteReference"/>
        </w:rPr>
        <w:footnoteRef/>
      </w:r>
      <w:r>
        <w:t xml:space="preserve"> </w:t>
      </w:r>
      <w:r w:rsidRPr="00DD3F57">
        <w:rPr>
          <w:rFonts w:eastAsia="Times New Roman" w:cs="Calibri"/>
          <w:color w:val="000000"/>
          <w:sz w:val="18"/>
          <w:szCs w:val="18"/>
          <w:lang w:eastAsia="en-AU"/>
        </w:rPr>
        <w:t xml:space="preserve">As part of the </w:t>
      </w:r>
      <w:r w:rsidRPr="00DD3F57">
        <w:rPr>
          <w:rFonts w:eastAsia="Times New Roman" w:cs="Calibri"/>
          <w:b/>
          <w:bCs/>
          <w:color w:val="000000"/>
          <w:sz w:val="18"/>
          <w:szCs w:val="18"/>
          <w:lang w:eastAsia="en-AU"/>
        </w:rPr>
        <w:t>provisional approval pathway</w:t>
      </w:r>
      <w:r w:rsidRPr="00DD3F57">
        <w:rPr>
          <w:rFonts w:eastAsia="Times New Roman" w:cs="Calibri"/>
          <w:color w:val="000000"/>
          <w:sz w:val="18"/>
          <w:szCs w:val="18"/>
          <w:lang w:eastAsia="en-AU"/>
        </w:rPr>
        <w:t xml:space="preserve">, the provisional registration process will allow certain medicines to be provisionally registered in the Australian Register of Therapeutic Goods (ARTG) for a limited duration. These medicines are registered </w:t>
      </w:r>
      <w:proofErr w:type="gramStart"/>
      <w:r w:rsidRPr="00DD3F57">
        <w:rPr>
          <w:rFonts w:eastAsia="Times New Roman" w:cs="Calibri"/>
          <w:color w:val="000000"/>
          <w:sz w:val="18"/>
          <w:szCs w:val="18"/>
          <w:lang w:eastAsia="en-AU"/>
        </w:rPr>
        <w:t>on the basis of</w:t>
      </w:r>
      <w:proofErr w:type="gramEnd"/>
      <w:r w:rsidRPr="00DD3F57">
        <w:rPr>
          <w:rFonts w:eastAsia="Times New Roman" w:cs="Calibri"/>
          <w:color w:val="000000"/>
          <w:sz w:val="18"/>
          <w:szCs w:val="18"/>
          <w:lang w:eastAsia="en-AU"/>
        </w:rPr>
        <w:t xml:space="preserve"> preliminary clinical data, where there is the potential for a substantial benefit to Australian patients. The TGA will re-assess risks related to the absence of evidence through data provided at a later stage, as part of the confirmatory data. Confirmatory data should confirm the relationship between outcomes predicted by the surrogate endpoint, or other preliminary data, and the clinical benefit as demonstrated </w:t>
      </w:r>
      <w:r>
        <w:rPr>
          <w:rFonts w:eastAsia="Times New Roman" w:cs="Calibri"/>
          <w:color w:val="000000"/>
          <w:sz w:val="18"/>
          <w:szCs w:val="18"/>
          <w:lang w:eastAsia="en-AU"/>
        </w:rPr>
        <w:t>by direct clinical outcomes.</w:t>
      </w:r>
    </w:p>
    <w:p w14:paraId="5E24221A" w14:textId="77777777" w:rsidR="00FF7EEB" w:rsidRPr="00DD3F57" w:rsidRDefault="00FF7EEB" w:rsidP="009942C0">
      <w:pPr>
        <w:spacing w:before="0" w:after="0" w:line="240" w:lineRule="auto"/>
        <w:rPr>
          <w:rFonts w:eastAsia="Times New Roman" w:cs="Calibri"/>
          <w:color w:val="000000"/>
          <w:sz w:val="18"/>
          <w:szCs w:val="18"/>
          <w:lang w:eastAsia="en-AU"/>
        </w:rPr>
      </w:pPr>
      <w:r w:rsidRPr="00DD3F57">
        <w:rPr>
          <w:rFonts w:eastAsia="Times New Roman" w:cs="Calibri"/>
          <w:color w:val="000000"/>
          <w:sz w:val="18"/>
          <w:szCs w:val="18"/>
          <w:lang w:eastAsia="en-AU"/>
        </w:rPr>
        <w:t>The sponsor may apply to transition to full registration at any time up until the provisional registration lapse date, once they have completed the obligations outlined for the provisional registration period and complete confirmatory data on safety and efficacy are available.</w:t>
      </w:r>
    </w:p>
  </w:footnote>
  <w:footnote w:id="10">
    <w:p w14:paraId="42B19A3B" w14:textId="26B391A0" w:rsidR="00FF7EEB" w:rsidRPr="007B1456" w:rsidRDefault="00FF7EEB" w:rsidP="006F3462">
      <w:pPr>
        <w:spacing w:before="0" w:after="0" w:line="240" w:lineRule="auto"/>
        <w:rPr>
          <w:rStyle w:val="FootnoteTextChar"/>
        </w:rPr>
      </w:pPr>
      <w:r>
        <w:rPr>
          <w:rStyle w:val="FootnoteReference"/>
        </w:rPr>
        <w:footnoteRef/>
      </w:r>
      <w:r>
        <w:t xml:space="preserve"> </w:t>
      </w:r>
      <w:r w:rsidRPr="007B1456">
        <w:rPr>
          <w:rStyle w:val="FootnoteTextChar"/>
        </w:rPr>
        <w:t xml:space="preserve">Israel Ministry of Health. Corona Vaccine Safety Follow-up. 15 December 2021. Available at: </w:t>
      </w:r>
      <w:hyperlink r:id="rId4" w:history="1">
        <w:r w:rsidRPr="007B1456">
          <w:rPr>
            <w:rStyle w:val="FootnoteTextChar"/>
          </w:rPr>
          <w:t>https://www.gov.il/BlobFolder/reports/vaccine-efficacy-safety-followup- committee/he/files_publications_corona_vaccine-safty-15122021.pdf</w:t>
        </w:r>
      </w:hyperlink>
      <w:r w:rsidRPr="007B1456">
        <w:rPr>
          <w:rStyle w:val="FootnoteTextChar"/>
        </w:rPr>
        <w:t>. Accessed 29 December 2021.</w:t>
      </w:r>
    </w:p>
  </w:footnote>
  <w:footnote w:id="11">
    <w:p w14:paraId="7A2BD626" w14:textId="510853F4" w:rsidR="00FF7EEB" w:rsidRDefault="00FF7EEB">
      <w:pPr>
        <w:pStyle w:val="FootnoteText"/>
      </w:pPr>
      <w:r w:rsidRPr="00F64CD8">
        <w:footnoteRef/>
      </w:r>
      <w:r w:rsidRPr="00F64CD8">
        <w:t xml:space="preserve"> MMWR Weekly March 4, 2022 71(9);347–351. On </w:t>
      </w:r>
      <w:r>
        <w:t xml:space="preserve">1 </w:t>
      </w:r>
      <w:r w:rsidRPr="00F64CD8">
        <w:t xml:space="preserve">March 2022, this report was posted online as an MMWR Early Release. </w:t>
      </w:r>
      <w:proofErr w:type="spellStart"/>
      <w:r w:rsidRPr="00F64CD8">
        <w:t>Hause</w:t>
      </w:r>
      <w:proofErr w:type="spellEnd"/>
      <w:r>
        <w:t xml:space="preserve"> AM</w:t>
      </w:r>
      <w:r w:rsidRPr="00F64CD8">
        <w:t xml:space="preserve">; </w:t>
      </w:r>
      <w:proofErr w:type="spellStart"/>
      <w:r w:rsidRPr="00F64CD8">
        <w:t>Baggs</w:t>
      </w:r>
      <w:proofErr w:type="spellEnd"/>
      <w:r>
        <w:t xml:space="preserve"> J</w:t>
      </w:r>
      <w:r w:rsidRPr="00F64CD8">
        <w:t xml:space="preserve">; Marquez; Winston </w:t>
      </w:r>
      <w:r>
        <w:t xml:space="preserve">P et al, </w:t>
      </w:r>
      <w:r w:rsidRPr="00F64CD8">
        <w:t xml:space="preserve">Safety Monitoring of COVID-19 Vaccine Booster Doses Among Persons Aged 12–17 Years — United States, </w:t>
      </w:r>
      <w:r>
        <w:t xml:space="preserve">9 </w:t>
      </w:r>
      <w:r w:rsidRPr="00F64CD8">
        <w:t>December 9, 2021–</w:t>
      </w:r>
      <w:r>
        <w:t xml:space="preserve">20 </w:t>
      </w:r>
      <w:r w:rsidRPr="00F64CD8">
        <w:t>February 2022</w:t>
      </w:r>
      <w:r>
        <w:t xml:space="preserve">. </w:t>
      </w:r>
    </w:p>
  </w:footnote>
  <w:footnote w:id="12">
    <w:p w14:paraId="538820DF" w14:textId="4E87853E" w:rsidR="00FF7EEB" w:rsidRDefault="00FF7EEB">
      <w:pPr>
        <w:pStyle w:val="FootnoteText"/>
      </w:pPr>
      <w:r>
        <w:rPr>
          <w:rStyle w:val="FootnoteReference"/>
        </w:rPr>
        <w:footnoteRef/>
      </w:r>
      <w:r>
        <w:t xml:space="preserve"> </w:t>
      </w:r>
      <w:r w:rsidRPr="00ED4CAA">
        <w:t>Interim Report – Adolescent 6 Month Update: A Phase 1/2/3, Placebo- Controlled, Randomized, Observer-Blind, Dose-Finding Study to Evaluate the Safety, Tolerability, Immunogenicity, and Efficacy of SARS-COV-2 RNA Vaccine Candidates Against COVID-19 in Healthy Individuals Date of Current Version 12 December 202</w:t>
      </w:r>
      <w:r>
        <w:t>1</w:t>
      </w:r>
    </w:p>
  </w:footnote>
  <w:footnote w:id="13">
    <w:p w14:paraId="7DE8B1C0" w14:textId="7ABA9115" w:rsidR="00FF7EEB" w:rsidRDefault="00FF7EEB">
      <w:pPr>
        <w:pStyle w:val="FootnoteText"/>
      </w:pPr>
      <w:r>
        <w:rPr>
          <w:rStyle w:val="FootnoteReference"/>
        </w:rPr>
        <w:footnoteRef/>
      </w:r>
      <w:r>
        <w:t xml:space="preserve"> </w:t>
      </w:r>
      <w:r w:rsidRPr="00A74CC3">
        <w:rPr>
          <w:sz w:val="19"/>
          <w:szCs w:val="19"/>
        </w:rPr>
        <w:t>D</w:t>
      </w:r>
      <w:r>
        <w:rPr>
          <w:sz w:val="19"/>
          <w:szCs w:val="19"/>
        </w:rPr>
        <w:t xml:space="preserve">ata </w:t>
      </w:r>
      <w:r w:rsidRPr="00A74CC3">
        <w:rPr>
          <w:sz w:val="19"/>
          <w:szCs w:val="19"/>
        </w:rPr>
        <w:t>L</w:t>
      </w:r>
      <w:r>
        <w:rPr>
          <w:sz w:val="19"/>
          <w:szCs w:val="19"/>
        </w:rPr>
        <w:t xml:space="preserve">ock </w:t>
      </w:r>
      <w:r w:rsidRPr="00A74CC3">
        <w:rPr>
          <w:sz w:val="19"/>
          <w:szCs w:val="19"/>
        </w:rPr>
        <w:t>P</w:t>
      </w:r>
      <w:r>
        <w:rPr>
          <w:sz w:val="19"/>
          <w:szCs w:val="19"/>
        </w:rPr>
        <w:t>oint</w:t>
      </w:r>
      <w:r w:rsidRPr="00A74CC3">
        <w:rPr>
          <w:sz w:val="19"/>
          <w:szCs w:val="19"/>
        </w:rPr>
        <w:t xml:space="preserve"> 5 to &lt;12 y</w:t>
      </w:r>
      <w:r>
        <w:rPr>
          <w:sz w:val="19"/>
          <w:szCs w:val="19"/>
        </w:rPr>
        <w:t>ea</w:t>
      </w:r>
      <w:r w:rsidRPr="00A74CC3">
        <w:rPr>
          <w:sz w:val="19"/>
          <w:szCs w:val="19"/>
        </w:rPr>
        <w:t>rs - 06 Sep 2021 (Pfizer clinical database); 18 June 2021 (Pfizer safety database), 12- 15 y</w:t>
      </w:r>
      <w:r>
        <w:rPr>
          <w:sz w:val="19"/>
          <w:szCs w:val="19"/>
        </w:rPr>
        <w:t>ea</w:t>
      </w:r>
      <w:r w:rsidRPr="00A74CC3">
        <w:rPr>
          <w:sz w:val="19"/>
          <w:szCs w:val="19"/>
        </w:rPr>
        <w:t>rs – 30 Sep 2021 (Pfizer Safety Database, for both CT and non-CT datasets), Booster in severely immunocompromised aged 12 -15 y</w:t>
      </w:r>
      <w:r>
        <w:rPr>
          <w:sz w:val="19"/>
          <w:szCs w:val="19"/>
        </w:rPr>
        <w:t>ea</w:t>
      </w:r>
      <w:r w:rsidRPr="00A74CC3">
        <w:rPr>
          <w:sz w:val="19"/>
          <w:szCs w:val="19"/>
        </w:rPr>
        <w:t>rs (30 September 2021 (Pfizer Safety Database, non-CT dataset), 16 y</w:t>
      </w:r>
      <w:r>
        <w:rPr>
          <w:sz w:val="19"/>
          <w:szCs w:val="19"/>
        </w:rPr>
        <w:t>ea</w:t>
      </w:r>
      <w:r w:rsidRPr="00A74CC3">
        <w:rPr>
          <w:sz w:val="19"/>
          <w:szCs w:val="19"/>
        </w:rPr>
        <w:t>rs and older (30 September 2021 (Pfizer Safety Database, for both CT and non-CT datasets), Booster in 16 y</w:t>
      </w:r>
      <w:r>
        <w:rPr>
          <w:sz w:val="19"/>
          <w:szCs w:val="19"/>
        </w:rPr>
        <w:t>ea</w:t>
      </w:r>
      <w:r w:rsidRPr="00A74CC3">
        <w:rPr>
          <w:sz w:val="19"/>
          <w:szCs w:val="19"/>
        </w:rPr>
        <w:t>rs and older a, including immunocompromised (30 September 2021 (Pfizer Safety Database, for both CT and non-CT datasets)</w:t>
      </w:r>
    </w:p>
  </w:footnote>
  <w:footnote w:id="14">
    <w:p w14:paraId="2FBFC2E2" w14:textId="77777777" w:rsidR="00FF7EEB" w:rsidRDefault="00FF7EEB"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6AA41923" w14:textId="77777777" w:rsidR="00FF7EEB" w:rsidRDefault="00FF7EEB" w:rsidP="007D53B6">
      <w:pPr>
        <w:pStyle w:val="FootnoteText"/>
      </w:pPr>
      <w:r w:rsidRPr="007D53B6">
        <w:rPr>
          <w:i/>
        </w:rPr>
        <w:t>Routine pharmacovigilance</w:t>
      </w:r>
      <w:r>
        <w:t xml:space="preserve"> practices involve the following activities:</w:t>
      </w:r>
    </w:p>
    <w:p w14:paraId="34654708" w14:textId="77777777" w:rsidR="00FF7EEB" w:rsidRDefault="00FF7EEB" w:rsidP="007D53B6">
      <w:pPr>
        <w:pStyle w:val="FootnoteText"/>
        <w:numPr>
          <w:ilvl w:val="0"/>
          <w:numId w:val="32"/>
        </w:numPr>
        <w:ind w:left="284" w:hanging="284"/>
      </w:pPr>
      <w:r>
        <w:t xml:space="preserve">All suspected adverse reactions that are reported to the personnel of the company are collected and collated in an accessible </w:t>
      </w:r>
      <w:proofErr w:type="gramStart"/>
      <w:r>
        <w:t>manner;</w:t>
      </w:r>
      <w:proofErr w:type="gramEnd"/>
    </w:p>
    <w:p w14:paraId="2C62C64A" w14:textId="77777777" w:rsidR="00FF7EEB" w:rsidRDefault="00FF7EEB" w:rsidP="007D53B6">
      <w:pPr>
        <w:pStyle w:val="FootnoteText"/>
        <w:numPr>
          <w:ilvl w:val="0"/>
          <w:numId w:val="32"/>
        </w:numPr>
        <w:ind w:left="284" w:hanging="284"/>
      </w:pPr>
      <w:r>
        <w:t xml:space="preserve">Reporting to regulatory </w:t>
      </w:r>
      <w:proofErr w:type="gramStart"/>
      <w:r>
        <w:t>authorities;</w:t>
      </w:r>
      <w:proofErr w:type="gramEnd"/>
    </w:p>
    <w:p w14:paraId="645DCA31" w14:textId="77777777" w:rsidR="00FF7EEB" w:rsidRDefault="00FF7EEB" w:rsidP="007D53B6">
      <w:pPr>
        <w:pStyle w:val="FootnoteText"/>
        <w:numPr>
          <w:ilvl w:val="0"/>
          <w:numId w:val="32"/>
        </w:numPr>
        <w:ind w:left="284" w:hanging="284"/>
      </w:pPr>
      <w:r>
        <w:t xml:space="preserve">Continuous monitoring of the safety profiles of approved products including signal detection and updating of </w:t>
      </w:r>
      <w:proofErr w:type="gramStart"/>
      <w:r>
        <w:t>labelling;</w:t>
      </w:r>
      <w:proofErr w:type="gramEnd"/>
    </w:p>
    <w:p w14:paraId="7D229450" w14:textId="00D4F4C1" w:rsidR="00FF7EEB" w:rsidRDefault="00FF7EEB" w:rsidP="007D53B6">
      <w:pPr>
        <w:pStyle w:val="FootnoteText"/>
        <w:numPr>
          <w:ilvl w:val="0"/>
          <w:numId w:val="32"/>
        </w:numPr>
        <w:ind w:left="284" w:hanging="284"/>
      </w:pPr>
      <w:r>
        <w:t>Submission of Periodic Safety Update Reports (PSURs</w:t>
      </w:r>
      <w:proofErr w:type="gramStart"/>
      <w:r>
        <w:t>);</w:t>
      </w:r>
      <w:proofErr w:type="gramEnd"/>
    </w:p>
    <w:p w14:paraId="32A0AB16" w14:textId="77777777" w:rsidR="00FF7EEB" w:rsidRDefault="00FF7EEB" w:rsidP="007D53B6">
      <w:pPr>
        <w:pStyle w:val="FootnoteText"/>
        <w:numPr>
          <w:ilvl w:val="0"/>
          <w:numId w:val="32"/>
        </w:numPr>
        <w:ind w:left="284" w:hanging="284"/>
      </w:pPr>
      <w:r>
        <w:t>Meeting other local regulatory agency requirements.</w:t>
      </w:r>
    </w:p>
  </w:footnote>
  <w:footnote w:id="15">
    <w:p w14:paraId="72D36E09" w14:textId="77777777" w:rsidR="00FF7EEB" w:rsidRDefault="00FF7EEB" w:rsidP="007F307C">
      <w:pPr>
        <w:pStyle w:val="FootnoteText"/>
      </w:pPr>
      <w:r>
        <w:rPr>
          <w:rStyle w:val="FootnoteReference"/>
        </w:rPr>
        <w:footnoteRef/>
      </w:r>
      <w:r>
        <w:t xml:space="preserve"> The </w:t>
      </w:r>
      <w:r w:rsidRPr="000168B4">
        <w:rPr>
          <w:b/>
          <w:bCs/>
        </w:rPr>
        <w:t>Advisory Committee on Vaccines (ACV)</w:t>
      </w:r>
      <w:r>
        <w:t xml:space="preserve"> provides independent medical and scientific advice to the Minister for Health and the Therapeutic Goods Administration (TGA) on issues relating to the safety, quality and efficacy of vaccines supplied in Australia including issues relating to pre-market assessment, post-market monitoring and safe use in national immunisation programs.</w:t>
      </w:r>
    </w:p>
    <w:p w14:paraId="6010C5BE" w14:textId="77777777" w:rsidR="00FF7EEB" w:rsidRDefault="00FF7EEB" w:rsidP="007F307C">
      <w:pPr>
        <w:pStyle w:val="FootnoteText"/>
      </w:pPr>
      <w:r>
        <w:t>The Committee is established under Regulation 39F of the Therapeutic Goods Regulations 1990 and the members are appointed by the Minister for Health.</w:t>
      </w:r>
    </w:p>
    <w:p w14:paraId="64B08A30" w14:textId="77777777" w:rsidR="00FF7EEB" w:rsidRDefault="00FF7EEB" w:rsidP="007F307C">
      <w:pPr>
        <w:pStyle w:val="FootnoteText"/>
      </w:pPr>
      <w:r>
        <w:t>The ACV was established in January 2017, following consolidation of previous functions of the Advisory Committee on the Safety of Vaccines (ACSOV) and the pre-market functions for vaccines of the Advisory Committee on Prescription Medicines (ACPM).</w:t>
      </w:r>
    </w:p>
    <w:p w14:paraId="751D9D47" w14:textId="496261B8" w:rsidR="00FF7EEB" w:rsidRDefault="00FF7EEB" w:rsidP="007F307C">
      <w:pPr>
        <w:pStyle w:val="FootnoteText"/>
      </w:pPr>
      <w:r>
        <w:t xml:space="preserve">Membership comprises professionals with expertise in specific scientific, </w:t>
      </w:r>
      <w:proofErr w:type="gramStart"/>
      <w:r>
        <w:t>medical</w:t>
      </w:r>
      <w:proofErr w:type="gramEnd"/>
      <w:r>
        <w:t xml:space="preserve"> or clinical fields, or consumer health issues.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7C7B9" w14:textId="77777777" w:rsidR="003F70B9" w:rsidRDefault="003F70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4FD72" w14:textId="77777777" w:rsidR="00FF7EEB" w:rsidRDefault="00FF7EEB"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6DD2C" w14:textId="77777777" w:rsidR="00FF7EEB" w:rsidRDefault="00FF7EEB">
    <w:pPr>
      <w:rPr>
        <w:noProof/>
        <w:lang w:eastAsia="en-AU"/>
      </w:rPr>
    </w:pPr>
    <w:r w:rsidRPr="00347824">
      <w:rPr>
        <w:noProof/>
        <w:lang w:val="en-GB" w:eastAsia="en-GB"/>
      </w:rPr>
      <w:drawing>
        <wp:anchor distT="0" distB="0" distL="114300" distR="114300" simplePos="0" relativeHeight="251659264" behindDoc="1" locked="0" layoutInCell="1" allowOverlap="1" wp14:anchorId="659B9B06" wp14:editId="1D9729D8">
          <wp:simplePos x="0" y="0"/>
          <wp:positionH relativeFrom="column">
            <wp:posOffset>-1089660</wp:posOffset>
          </wp:positionH>
          <wp:positionV relativeFrom="paragraph">
            <wp:posOffset>-585470</wp:posOffset>
          </wp:positionV>
          <wp:extent cx="7572375" cy="10706100"/>
          <wp:effectExtent l="19050" t="0" r="0" b="0"/>
          <wp:wrapNone/>
          <wp:docPr id="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66CFACCF" w14:textId="32375B4F" w:rsidR="00FF7EEB" w:rsidRDefault="00FF7EEB"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D9A9FC" w14:textId="77777777" w:rsidR="00FF7EEB" w:rsidRDefault="00FF7E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967F5" w14:textId="77777777" w:rsidR="00FF7EEB" w:rsidRDefault="00FF7EEB">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E59F8" w14:textId="77777777" w:rsidR="00FF7EEB" w:rsidRDefault="00FF7EEB">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2802A" w14:textId="77777777" w:rsidR="00FF7EEB" w:rsidRDefault="00FF7EE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3B268" w14:textId="77777777" w:rsidR="00FF7EEB" w:rsidRDefault="00FF7EEB"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95361" w14:textId="77777777" w:rsidR="00FF7EEB" w:rsidRDefault="00FF7EEB" w:rsidP="006E08B3">
    <w:r>
      <w:t>Therapeutic Goods Administration</w:t>
    </w:r>
  </w:p>
  <w:p w14:paraId="09605C60" w14:textId="77777777" w:rsidR="00FF7EEB" w:rsidRDefault="00FF7EEB"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5844334"/>
    <w:multiLevelType w:val="hybridMultilevel"/>
    <w:tmpl w:val="CB96DD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E3697E"/>
    <w:multiLevelType w:val="hybridMultilevel"/>
    <w:tmpl w:val="8F08C2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E9108CD"/>
    <w:multiLevelType w:val="hybridMultilevel"/>
    <w:tmpl w:val="91D88E44"/>
    <w:lvl w:ilvl="0" w:tplc="72E09046">
      <w:start w:val="1"/>
      <w:numFmt w:val="bullet"/>
      <w:pStyle w:val="Bulletlis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9"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8F13E9"/>
    <w:multiLevelType w:val="multilevel"/>
    <w:tmpl w:val="4574D410"/>
    <w:styleLink w:val="ListBullets"/>
    <w:lvl w:ilvl="0">
      <w:start w:val="1"/>
      <w:numFmt w:val="bullet"/>
      <w:pStyle w:val="ListBullet"/>
      <w:lvlText w:val="•"/>
      <w:lvlJc w:val="left"/>
      <w:pPr>
        <w:ind w:left="360" w:hanging="360"/>
      </w:pPr>
      <w:rPr>
        <w:rFonts w:ascii="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30BE2EDB"/>
    <w:multiLevelType w:val="hybridMultilevel"/>
    <w:tmpl w:val="6FC2DA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FE48F1"/>
    <w:multiLevelType w:val="hybridMultilevel"/>
    <w:tmpl w:val="0848F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5422E5"/>
    <w:multiLevelType w:val="hybridMultilevel"/>
    <w:tmpl w:val="A46C2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9121D1"/>
    <w:multiLevelType w:val="hybridMultilevel"/>
    <w:tmpl w:val="0D84E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F23431"/>
    <w:multiLevelType w:val="hybridMultilevel"/>
    <w:tmpl w:val="1072485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B160A2A"/>
    <w:multiLevelType w:val="hybridMultilevel"/>
    <w:tmpl w:val="7EBC690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10B735C"/>
    <w:multiLevelType w:val="hybridMultilevel"/>
    <w:tmpl w:val="B2F85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10"/>
  </w:num>
  <w:num w:numId="4">
    <w:abstractNumId w:val="10"/>
  </w:num>
  <w:num w:numId="5">
    <w:abstractNumId w:val="0"/>
  </w:num>
  <w:num w:numId="6">
    <w:abstractNumId w:val="10"/>
  </w:num>
  <w:num w:numId="7">
    <w:abstractNumId w:val="10"/>
  </w:num>
  <w:num w:numId="8">
    <w:abstractNumId w:val="8"/>
  </w:num>
  <w:num w:numId="9">
    <w:abstractNumId w:val="8"/>
  </w:num>
  <w:num w:numId="10">
    <w:abstractNumId w:val="8"/>
  </w:num>
  <w:num w:numId="11">
    <w:abstractNumId w:val="8"/>
  </w:num>
  <w:num w:numId="12">
    <w:abstractNumId w:val="3"/>
    <w:lvlOverride w:ilvl="0">
      <w:lvl w:ilvl="0">
        <w:numFmt w:val="bullet"/>
        <w:lvlText w:val="•"/>
        <w:legacy w:legacy="1" w:legacySpace="0" w:legacyIndent="0"/>
        <w:lvlJc w:val="left"/>
        <w:rPr>
          <w:rFonts w:ascii="Helv" w:hAnsi="Helv" w:hint="default"/>
        </w:rPr>
      </w:lvl>
    </w:lvlOverride>
  </w:num>
  <w:num w:numId="13">
    <w:abstractNumId w:val="10"/>
  </w:num>
  <w:num w:numId="14">
    <w:abstractNumId w:val="10"/>
  </w:num>
  <w:num w:numId="15">
    <w:abstractNumId w:val="10"/>
  </w:num>
  <w:num w:numId="16">
    <w:abstractNumId w:val="8"/>
  </w:num>
  <w:num w:numId="17">
    <w:abstractNumId w:val="8"/>
  </w:num>
  <w:num w:numId="18">
    <w:abstractNumId w:val="8"/>
  </w:num>
  <w:num w:numId="19">
    <w:abstractNumId w:val="10"/>
  </w:num>
  <w:num w:numId="20">
    <w:abstractNumId w:val="10"/>
  </w:num>
  <w:num w:numId="21">
    <w:abstractNumId w:val="10"/>
  </w:num>
  <w:num w:numId="22">
    <w:abstractNumId w:val="8"/>
  </w:num>
  <w:num w:numId="23">
    <w:abstractNumId w:val="8"/>
  </w:num>
  <w:num w:numId="24">
    <w:abstractNumId w:val="8"/>
  </w:num>
  <w:num w:numId="25">
    <w:abstractNumId w:val="8"/>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8"/>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7"/>
  </w:num>
  <w:num w:numId="28">
    <w:abstractNumId w:val="21"/>
  </w:num>
  <w:num w:numId="29">
    <w:abstractNumId w:val="9"/>
  </w:num>
  <w:num w:numId="30">
    <w:abstractNumId w:val="14"/>
  </w:num>
  <w:num w:numId="31">
    <w:abstractNumId w:val="5"/>
  </w:num>
  <w:num w:numId="32">
    <w:abstractNumId w:val="18"/>
  </w:num>
  <w:num w:numId="33">
    <w:abstractNumId w:val="11"/>
  </w:num>
  <w:num w:numId="34">
    <w:abstractNumId w:val="6"/>
  </w:num>
  <w:num w:numId="35">
    <w:abstractNumId w:val="12"/>
  </w:num>
  <w:num w:numId="36">
    <w:abstractNumId w:val="7"/>
  </w:num>
  <w:num w:numId="37">
    <w:abstractNumId w:val="7"/>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20"/>
  </w:num>
  <w:num w:numId="41">
    <w:abstractNumId w:val="4"/>
  </w:num>
  <w:num w:numId="42">
    <w:abstractNumId w:val="15"/>
  </w:num>
  <w:num w:numId="43">
    <w:abstractNumId w:val="13"/>
  </w:num>
  <w:num w:numId="44">
    <w:abstractNumId w:val="13"/>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6" w:nlCheck="1" w:checkStyle="0"/>
  <w:activeWritingStyle w:appName="MSWord" w:lang="en-GB" w:vendorID="64" w:dllVersion="6" w:nlCheck="1" w:checkStyle="0"/>
  <w:activeWritingStyle w:appName="MSWord" w:lang="en-US" w:vendorID="64" w:dllVersion="6" w:nlCheck="1" w:checkStyle="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46F"/>
    <w:rsid w:val="00002031"/>
    <w:rsid w:val="00004734"/>
    <w:rsid w:val="00006B22"/>
    <w:rsid w:val="00006FAB"/>
    <w:rsid w:val="0001276A"/>
    <w:rsid w:val="000143DD"/>
    <w:rsid w:val="000168B4"/>
    <w:rsid w:val="000246AE"/>
    <w:rsid w:val="00025C67"/>
    <w:rsid w:val="000344A9"/>
    <w:rsid w:val="000351EB"/>
    <w:rsid w:val="00044772"/>
    <w:rsid w:val="0004541C"/>
    <w:rsid w:val="0005559E"/>
    <w:rsid w:val="000604D6"/>
    <w:rsid w:val="00061C69"/>
    <w:rsid w:val="000734D8"/>
    <w:rsid w:val="00077775"/>
    <w:rsid w:val="000903AD"/>
    <w:rsid w:val="00090471"/>
    <w:rsid w:val="00096AA7"/>
    <w:rsid w:val="000A3A37"/>
    <w:rsid w:val="000A3AED"/>
    <w:rsid w:val="000B3532"/>
    <w:rsid w:val="000B3A75"/>
    <w:rsid w:val="000C00C2"/>
    <w:rsid w:val="000C3701"/>
    <w:rsid w:val="000C690F"/>
    <w:rsid w:val="000D1295"/>
    <w:rsid w:val="000D391B"/>
    <w:rsid w:val="000D3D6D"/>
    <w:rsid w:val="000D4880"/>
    <w:rsid w:val="000D4FC7"/>
    <w:rsid w:val="000E6196"/>
    <w:rsid w:val="000F4869"/>
    <w:rsid w:val="000F5B42"/>
    <w:rsid w:val="000F6E6F"/>
    <w:rsid w:val="0010601F"/>
    <w:rsid w:val="0010788A"/>
    <w:rsid w:val="00107A31"/>
    <w:rsid w:val="00110EA5"/>
    <w:rsid w:val="00112F56"/>
    <w:rsid w:val="0012137B"/>
    <w:rsid w:val="00124ACD"/>
    <w:rsid w:val="00125318"/>
    <w:rsid w:val="001305A2"/>
    <w:rsid w:val="00133238"/>
    <w:rsid w:val="00133A1B"/>
    <w:rsid w:val="0014197B"/>
    <w:rsid w:val="001447CD"/>
    <w:rsid w:val="001516B1"/>
    <w:rsid w:val="00154EBB"/>
    <w:rsid w:val="00156316"/>
    <w:rsid w:val="00161181"/>
    <w:rsid w:val="00162D14"/>
    <w:rsid w:val="00163780"/>
    <w:rsid w:val="00165389"/>
    <w:rsid w:val="0017693F"/>
    <w:rsid w:val="0018110E"/>
    <w:rsid w:val="0018159B"/>
    <w:rsid w:val="00181684"/>
    <w:rsid w:val="001843C6"/>
    <w:rsid w:val="001850E0"/>
    <w:rsid w:val="00190359"/>
    <w:rsid w:val="001910B5"/>
    <w:rsid w:val="001A03AF"/>
    <w:rsid w:val="001A2158"/>
    <w:rsid w:val="001A525F"/>
    <w:rsid w:val="001B09F9"/>
    <w:rsid w:val="001B5C90"/>
    <w:rsid w:val="001B6448"/>
    <w:rsid w:val="001C32CD"/>
    <w:rsid w:val="001D2984"/>
    <w:rsid w:val="001E07CF"/>
    <w:rsid w:val="001E445A"/>
    <w:rsid w:val="001E5615"/>
    <w:rsid w:val="001E59F1"/>
    <w:rsid w:val="001F2CEE"/>
    <w:rsid w:val="001F404A"/>
    <w:rsid w:val="001F49EB"/>
    <w:rsid w:val="001F6CBA"/>
    <w:rsid w:val="00201D4E"/>
    <w:rsid w:val="002076C9"/>
    <w:rsid w:val="00220B8A"/>
    <w:rsid w:val="002257F3"/>
    <w:rsid w:val="00227798"/>
    <w:rsid w:val="00232DCE"/>
    <w:rsid w:val="00233456"/>
    <w:rsid w:val="002339A5"/>
    <w:rsid w:val="002341E9"/>
    <w:rsid w:val="00250271"/>
    <w:rsid w:val="00257848"/>
    <w:rsid w:val="002578E8"/>
    <w:rsid w:val="0027084A"/>
    <w:rsid w:val="00280265"/>
    <w:rsid w:val="00286434"/>
    <w:rsid w:val="00286C59"/>
    <w:rsid w:val="00291957"/>
    <w:rsid w:val="002942D1"/>
    <w:rsid w:val="0029501A"/>
    <w:rsid w:val="002A3721"/>
    <w:rsid w:val="002B1638"/>
    <w:rsid w:val="002B3624"/>
    <w:rsid w:val="002C6FB8"/>
    <w:rsid w:val="002D0952"/>
    <w:rsid w:val="002E09AB"/>
    <w:rsid w:val="002E34E9"/>
    <w:rsid w:val="002E40B3"/>
    <w:rsid w:val="002E4C9A"/>
    <w:rsid w:val="002E56D9"/>
    <w:rsid w:val="002F11F8"/>
    <w:rsid w:val="002F3F56"/>
    <w:rsid w:val="002F44B5"/>
    <w:rsid w:val="002F5122"/>
    <w:rsid w:val="00311A32"/>
    <w:rsid w:val="00311AC0"/>
    <w:rsid w:val="003176FC"/>
    <w:rsid w:val="0032583B"/>
    <w:rsid w:val="00327883"/>
    <w:rsid w:val="00335504"/>
    <w:rsid w:val="00340C18"/>
    <w:rsid w:val="0034400E"/>
    <w:rsid w:val="003442FD"/>
    <w:rsid w:val="0034543A"/>
    <w:rsid w:val="00347824"/>
    <w:rsid w:val="00350567"/>
    <w:rsid w:val="003521E8"/>
    <w:rsid w:val="00370CE3"/>
    <w:rsid w:val="003728F3"/>
    <w:rsid w:val="003735BC"/>
    <w:rsid w:val="0037496E"/>
    <w:rsid w:val="003829FB"/>
    <w:rsid w:val="00383221"/>
    <w:rsid w:val="00386150"/>
    <w:rsid w:val="003874CE"/>
    <w:rsid w:val="00390900"/>
    <w:rsid w:val="003A69D0"/>
    <w:rsid w:val="003A7F6C"/>
    <w:rsid w:val="003B229F"/>
    <w:rsid w:val="003B4D60"/>
    <w:rsid w:val="003B7E39"/>
    <w:rsid w:val="003C58DC"/>
    <w:rsid w:val="003D1E62"/>
    <w:rsid w:val="003E0B99"/>
    <w:rsid w:val="003E2486"/>
    <w:rsid w:val="003E3208"/>
    <w:rsid w:val="003F0B04"/>
    <w:rsid w:val="003F6AF8"/>
    <w:rsid w:val="003F70B9"/>
    <w:rsid w:val="0040134E"/>
    <w:rsid w:val="004334C7"/>
    <w:rsid w:val="00440A2D"/>
    <w:rsid w:val="00441C3F"/>
    <w:rsid w:val="00444D1A"/>
    <w:rsid w:val="0045186A"/>
    <w:rsid w:val="004564A7"/>
    <w:rsid w:val="00456765"/>
    <w:rsid w:val="00460036"/>
    <w:rsid w:val="004605A9"/>
    <w:rsid w:val="004617BF"/>
    <w:rsid w:val="0046263B"/>
    <w:rsid w:val="00463658"/>
    <w:rsid w:val="004637A0"/>
    <w:rsid w:val="00467A66"/>
    <w:rsid w:val="00470631"/>
    <w:rsid w:val="004722CC"/>
    <w:rsid w:val="0048595B"/>
    <w:rsid w:val="00490483"/>
    <w:rsid w:val="004936E4"/>
    <w:rsid w:val="00494E60"/>
    <w:rsid w:val="00495DF6"/>
    <w:rsid w:val="00497487"/>
    <w:rsid w:val="004A2771"/>
    <w:rsid w:val="004A5CAD"/>
    <w:rsid w:val="004A6189"/>
    <w:rsid w:val="004A7390"/>
    <w:rsid w:val="004B495E"/>
    <w:rsid w:val="004B7B76"/>
    <w:rsid w:val="004C239D"/>
    <w:rsid w:val="004C2708"/>
    <w:rsid w:val="004C2DCA"/>
    <w:rsid w:val="004C4FBE"/>
    <w:rsid w:val="004C61D2"/>
    <w:rsid w:val="004D1ACE"/>
    <w:rsid w:val="004F0C4A"/>
    <w:rsid w:val="004F0F38"/>
    <w:rsid w:val="004F3B53"/>
    <w:rsid w:val="004F47D6"/>
    <w:rsid w:val="004F7039"/>
    <w:rsid w:val="00500337"/>
    <w:rsid w:val="00501921"/>
    <w:rsid w:val="0050674B"/>
    <w:rsid w:val="00530354"/>
    <w:rsid w:val="005309E6"/>
    <w:rsid w:val="00535A3B"/>
    <w:rsid w:val="0053625B"/>
    <w:rsid w:val="005434C6"/>
    <w:rsid w:val="00543B39"/>
    <w:rsid w:val="00546154"/>
    <w:rsid w:val="00550096"/>
    <w:rsid w:val="00555280"/>
    <w:rsid w:val="00557FF9"/>
    <w:rsid w:val="00562327"/>
    <w:rsid w:val="0056476B"/>
    <w:rsid w:val="00566825"/>
    <w:rsid w:val="005711D5"/>
    <w:rsid w:val="00576378"/>
    <w:rsid w:val="00577130"/>
    <w:rsid w:val="00577945"/>
    <w:rsid w:val="00577CC9"/>
    <w:rsid w:val="00577E38"/>
    <w:rsid w:val="00584BEE"/>
    <w:rsid w:val="00585322"/>
    <w:rsid w:val="005857C6"/>
    <w:rsid w:val="00592D5D"/>
    <w:rsid w:val="00592F6E"/>
    <w:rsid w:val="00593AD1"/>
    <w:rsid w:val="005A3FB2"/>
    <w:rsid w:val="005A68B6"/>
    <w:rsid w:val="005C5570"/>
    <w:rsid w:val="005C5B66"/>
    <w:rsid w:val="005C79A4"/>
    <w:rsid w:val="005D5442"/>
    <w:rsid w:val="005E16BC"/>
    <w:rsid w:val="005F0EFB"/>
    <w:rsid w:val="005F3368"/>
    <w:rsid w:val="006015E2"/>
    <w:rsid w:val="00603510"/>
    <w:rsid w:val="00603F32"/>
    <w:rsid w:val="00605AD4"/>
    <w:rsid w:val="00612068"/>
    <w:rsid w:val="006136D7"/>
    <w:rsid w:val="00616E27"/>
    <w:rsid w:val="00625A6E"/>
    <w:rsid w:val="00632398"/>
    <w:rsid w:val="00640FC3"/>
    <w:rsid w:val="00641A33"/>
    <w:rsid w:val="00642020"/>
    <w:rsid w:val="006430EE"/>
    <w:rsid w:val="0065337B"/>
    <w:rsid w:val="0065419D"/>
    <w:rsid w:val="006603BC"/>
    <w:rsid w:val="006604D8"/>
    <w:rsid w:val="00664A5B"/>
    <w:rsid w:val="006650DD"/>
    <w:rsid w:val="0066735C"/>
    <w:rsid w:val="006750FB"/>
    <w:rsid w:val="006763D2"/>
    <w:rsid w:val="00680C08"/>
    <w:rsid w:val="006916A0"/>
    <w:rsid w:val="006931B1"/>
    <w:rsid w:val="006A15C0"/>
    <w:rsid w:val="006A58A8"/>
    <w:rsid w:val="006C3E2A"/>
    <w:rsid w:val="006C642F"/>
    <w:rsid w:val="006C71D3"/>
    <w:rsid w:val="006D03E5"/>
    <w:rsid w:val="006D5D3E"/>
    <w:rsid w:val="006E08B3"/>
    <w:rsid w:val="006E0C15"/>
    <w:rsid w:val="006F17AC"/>
    <w:rsid w:val="006F25B8"/>
    <w:rsid w:val="006F3462"/>
    <w:rsid w:val="006F572E"/>
    <w:rsid w:val="006F72C0"/>
    <w:rsid w:val="007046D6"/>
    <w:rsid w:val="00705DB0"/>
    <w:rsid w:val="0071146A"/>
    <w:rsid w:val="00721701"/>
    <w:rsid w:val="00722B57"/>
    <w:rsid w:val="00730F8A"/>
    <w:rsid w:val="00735A8C"/>
    <w:rsid w:val="0074253D"/>
    <w:rsid w:val="0074429B"/>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A46F5"/>
    <w:rsid w:val="007A6505"/>
    <w:rsid w:val="007B1456"/>
    <w:rsid w:val="007B6132"/>
    <w:rsid w:val="007B6E9F"/>
    <w:rsid w:val="007C1216"/>
    <w:rsid w:val="007C1AF7"/>
    <w:rsid w:val="007C6B9B"/>
    <w:rsid w:val="007D53B6"/>
    <w:rsid w:val="007F307C"/>
    <w:rsid w:val="00805D27"/>
    <w:rsid w:val="00806DCB"/>
    <w:rsid w:val="00816D4C"/>
    <w:rsid w:val="00821776"/>
    <w:rsid w:val="008321F5"/>
    <w:rsid w:val="00832369"/>
    <w:rsid w:val="00833837"/>
    <w:rsid w:val="00834660"/>
    <w:rsid w:val="00836BC2"/>
    <w:rsid w:val="00842814"/>
    <w:rsid w:val="00845DDB"/>
    <w:rsid w:val="0085156D"/>
    <w:rsid w:val="00852B28"/>
    <w:rsid w:val="0085641B"/>
    <w:rsid w:val="00857136"/>
    <w:rsid w:val="00873624"/>
    <w:rsid w:val="00875A6B"/>
    <w:rsid w:val="008815D4"/>
    <w:rsid w:val="00885B11"/>
    <w:rsid w:val="00886D15"/>
    <w:rsid w:val="00887DD8"/>
    <w:rsid w:val="00891BA9"/>
    <w:rsid w:val="0089564A"/>
    <w:rsid w:val="00896018"/>
    <w:rsid w:val="008960DD"/>
    <w:rsid w:val="0089635C"/>
    <w:rsid w:val="008A2B9D"/>
    <w:rsid w:val="008A3D9F"/>
    <w:rsid w:val="008A5E0B"/>
    <w:rsid w:val="008A6D59"/>
    <w:rsid w:val="008B4B03"/>
    <w:rsid w:val="008B596F"/>
    <w:rsid w:val="008C159F"/>
    <w:rsid w:val="008C1623"/>
    <w:rsid w:val="008C1850"/>
    <w:rsid w:val="008C51A9"/>
    <w:rsid w:val="008E7846"/>
    <w:rsid w:val="008F02E5"/>
    <w:rsid w:val="008F1CCC"/>
    <w:rsid w:val="008F2967"/>
    <w:rsid w:val="008F6943"/>
    <w:rsid w:val="00902A21"/>
    <w:rsid w:val="0091523F"/>
    <w:rsid w:val="00920330"/>
    <w:rsid w:val="009219D7"/>
    <w:rsid w:val="00922D53"/>
    <w:rsid w:val="00923B70"/>
    <w:rsid w:val="00924482"/>
    <w:rsid w:val="00930237"/>
    <w:rsid w:val="00937C17"/>
    <w:rsid w:val="00940A89"/>
    <w:rsid w:val="00941F77"/>
    <w:rsid w:val="00946EA5"/>
    <w:rsid w:val="00955A16"/>
    <w:rsid w:val="00960520"/>
    <w:rsid w:val="00963C08"/>
    <w:rsid w:val="009703A4"/>
    <w:rsid w:val="00974A2E"/>
    <w:rsid w:val="009752A5"/>
    <w:rsid w:val="00983504"/>
    <w:rsid w:val="0098585A"/>
    <w:rsid w:val="00987786"/>
    <w:rsid w:val="009942C0"/>
    <w:rsid w:val="009A4CED"/>
    <w:rsid w:val="009A690D"/>
    <w:rsid w:val="009B1D12"/>
    <w:rsid w:val="009B416B"/>
    <w:rsid w:val="009B5835"/>
    <w:rsid w:val="009C4BD5"/>
    <w:rsid w:val="009C7F3F"/>
    <w:rsid w:val="009D3365"/>
    <w:rsid w:val="009D38C4"/>
    <w:rsid w:val="009D7B77"/>
    <w:rsid w:val="009E0BB0"/>
    <w:rsid w:val="009E3FBB"/>
    <w:rsid w:val="009E5A83"/>
    <w:rsid w:val="009F7353"/>
    <w:rsid w:val="00A04F85"/>
    <w:rsid w:val="00A05FA4"/>
    <w:rsid w:val="00A102E4"/>
    <w:rsid w:val="00A1219C"/>
    <w:rsid w:val="00A12C42"/>
    <w:rsid w:val="00A14DF7"/>
    <w:rsid w:val="00A222E9"/>
    <w:rsid w:val="00A22D57"/>
    <w:rsid w:val="00A3246D"/>
    <w:rsid w:val="00A36FA7"/>
    <w:rsid w:val="00A44DDB"/>
    <w:rsid w:val="00A475B7"/>
    <w:rsid w:val="00A4775F"/>
    <w:rsid w:val="00A47AF7"/>
    <w:rsid w:val="00A47C3E"/>
    <w:rsid w:val="00A50226"/>
    <w:rsid w:val="00A52D4F"/>
    <w:rsid w:val="00A60BAD"/>
    <w:rsid w:val="00A77F87"/>
    <w:rsid w:val="00A80B5B"/>
    <w:rsid w:val="00A84E36"/>
    <w:rsid w:val="00A964D1"/>
    <w:rsid w:val="00AA0ED0"/>
    <w:rsid w:val="00AA6C7B"/>
    <w:rsid w:val="00AC2B40"/>
    <w:rsid w:val="00AC2BB2"/>
    <w:rsid w:val="00AC2C3C"/>
    <w:rsid w:val="00AC512D"/>
    <w:rsid w:val="00AD0083"/>
    <w:rsid w:val="00AD3935"/>
    <w:rsid w:val="00AD651F"/>
    <w:rsid w:val="00AE65EB"/>
    <w:rsid w:val="00AE67A7"/>
    <w:rsid w:val="00AF1D94"/>
    <w:rsid w:val="00AF60C5"/>
    <w:rsid w:val="00B009C6"/>
    <w:rsid w:val="00B01548"/>
    <w:rsid w:val="00B130C5"/>
    <w:rsid w:val="00B13EBD"/>
    <w:rsid w:val="00B14CEA"/>
    <w:rsid w:val="00B17C93"/>
    <w:rsid w:val="00B21D29"/>
    <w:rsid w:val="00B25034"/>
    <w:rsid w:val="00B276EB"/>
    <w:rsid w:val="00B33588"/>
    <w:rsid w:val="00B33863"/>
    <w:rsid w:val="00B33D69"/>
    <w:rsid w:val="00B37D17"/>
    <w:rsid w:val="00B4175E"/>
    <w:rsid w:val="00B41C85"/>
    <w:rsid w:val="00B452CE"/>
    <w:rsid w:val="00B54C25"/>
    <w:rsid w:val="00B567D1"/>
    <w:rsid w:val="00B76B91"/>
    <w:rsid w:val="00B77EB1"/>
    <w:rsid w:val="00B811C6"/>
    <w:rsid w:val="00B855B0"/>
    <w:rsid w:val="00B90672"/>
    <w:rsid w:val="00B92E08"/>
    <w:rsid w:val="00B97B25"/>
    <w:rsid w:val="00BA5A58"/>
    <w:rsid w:val="00BC622A"/>
    <w:rsid w:val="00BE0A78"/>
    <w:rsid w:val="00BE23DA"/>
    <w:rsid w:val="00BE7102"/>
    <w:rsid w:val="00BE79F0"/>
    <w:rsid w:val="00BF046D"/>
    <w:rsid w:val="00BF1190"/>
    <w:rsid w:val="00BF294F"/>
    <w:rsid w:val="00BF2D01"/>
    <w:rsid w:val="00BF3774"/>
    <w:rsid w:val="00BF5D04"/>
    <w:rsid w:val="00C009AA"/>
    <w:rsid w:val="00C06435"/>
    <w:rsid w:val="00C105CF"/>
    <w:rsid w:val="00C1164D"/>
    <w:rsid w:val="00C16861"/>
    <w:rsid w:val="00C1705E"/>
    <w:rsid w:val="00C346AB"/>
    <w:rsid w:val="00C404A6"/>
    <w:rsid w:val="00C40A36"/>
    <w:rsid w:val="00C44419"/>
    <w:rsid w:val="00C45E7B"/>
    <w:rsid w:val="00C471B1"/>
    <w:rsid w:val="00C477A4"/>
    <w:rsid w:val="00C525A2"/>
    <w:rsid w:val="00C52E24"/>
    <w:rsid w:val="00C6316B"/>
    <w:rsid w:val="00C634A9"/>
    <w:rsid w:val="00C64586"/>
    <w:rsid w:val="00C70A36"/>
    <w:rsid w:val="00C70D53"/>
    <w:rsid w:val="00C73D0B"/>
    <w:rsid w:val="00C74F5C"/>
    <w:rsid w:val="00C772FF"/>
    <w:rsid w:val="00C80137"/>
    <w:rsid w:val="00C801AF"/>
    <w:rsid w:val="00C80256"/>
    <w:rsid w:val="00C941FC"/>
    <w:rsid w:val="00C94CD4"/>
    <w:rsid w:val="00C9747E"/>
    <w:rsid w:val="00CB6BC0"/>
    <w:rsid w:val="00CC1B7C"/>
    <w:rsid w:val="00CC727F"/>
    <w:rsid w:val="00CF15C3"/>
    <w:rsid w:val="00CF2B6F"/>
    <w:rsid w:val="00CF2F3E"/>
    <w:rsid w:val="00CF58B6"/>
    <w:rsid w:val="00CF5DAD"/>
    <w:rsid w:val="00CF619B"/>
    <w:rsid w:val="00D0062D"/>
    <w:rsid w:val="00D017ED"/>
    <w:rsid w:val="00D040D3"/>
    <w:rsid w:val="00D04C65"/>
    <w:rsid w:val="00D05778"/>
    <w:rsid w:val="00D1281D"/>
    <w:rsid w:val="00D153D8"/>
    <w:rsid w:val="00D201D2"/>
    <w:rsid w:val="00D224FE"/>
    <w:rsid w:val="00D23139"/>
    <w:rsid w:val="00D24798"/>
    <w:rsid w:val="00D425BB"/>
    <w:rsid w:val="00D453FA"/>
    <w:rsid w:val="00D6493E"/>
    <w:rsid w:val="00D7195D"/>
    <w:rsid w:val="00D7301E"/>
    <w:rsid w:val="00D83AE1"/>
    <w:rsid w:val="00D855D4"/>
    <w:rsid w:val="00D902C9"/>
    <w:rsid w:val="00D9276E"/>
    <w:rsid w:val="00D93466"/>
    <w:rsid w:val="00D93E3A"/>
    <w:rsid w:val="00DA1124"/>
    <w:rsid w:val="00DA64CB"/>
    <w:rsid w:val="00DB06B8"/>
    <w:rsid w:val="00DB6124"/>
    <w:rsid w:val="00DB750B"/>
    <w:rsid w:val="00DB75B7"/>
    <w:rsid w:val="00DC0A2F"/>
    <w:rsid w:val="00DC1948"/>
    <w:rsid w:val="00DC3E69"/>
    <w:rsid w:val="00DC6E02"/>
    <w:rsid w:val="00DD28CD"/>
    <w:rsid w:val="00DE02AE"/>
    <w:rsid w:val="00DE39D1"/>
    <w:rsid w:val="00DE5B19"/>
    <w:rsid w:val="00DF1D7F"/>
    <w:rsid w:val="00DF4BE4"/>
    <w:rsid w:val="00E02382"/>
    <w:rsid w:val="00E02FB4"/>
    <w:rsid w:val="00E05760"/>
    <w:rsid w:val="00E13FC7"/>
    <w:rsid w:val="00E15EC4"/>
    <w:rsid w:val="00E20571"/>
    <w:rsid w:val="00E235F7"/>
    <w:rsid w:val="00E23659"/>
    <w:rsid w:val="00E239D4"/>
    <w:rsid w:val="00E26130"/>
    <w:rsid w:val="00E40B22"/>
    <w:rsid w:val="00E4349E"/>
    <w:rsid w:val="00E44ED1"/>
    <w:rsid w:val="00E45619"/>
    <w:rsid w:val="00E4588F"/>
    <w:rsid w:val="00E46DA3"/>
    <w:rsid w:val="00E513D9"/>
    <w:rsid w:val="00E51BB1"/>
    <w:rsid w:val="00E55CB0"/>
    <w:rsid w:val="00E604DA"/>
    <w:rsid w:val="00E624A5"/>
    <w:rsid w:val="00E64BA4"/>
    <w:rsid w:val="00E71EE7"/>
    <w:rsid w:val="00E7344E"/>
    <w:rsid w:val="00E82070"/>
    <w:rsid w:val="00E82665"/>
    <w:rsid w:val="00EB0798"/>
    <w:rsid w:val="00EB40AD"/>
    <w:rsid w:val="00EB586E"/>
    <w:rsid w:val="00EB5FC8"/>
    <w:rsid w:val="00EC463D"/>
    <w:rsid w:val="00EC7A85"/>
    <w:rsid w:val="00ED2922"/>
    <w:rsid w:val="00ED3CAD"/>
    <w:rsid w:val="00ED5A41"/>
    <w:rsid w:val="00EE1DE8"/>
    <w:rsid w:val="00EE27C2"/>
    <w:rsid w:val="00EF4BAD"/>
    <w:rsid w:val="00EF59DC"/>
    <w:rsid w:val="00F0146F"/>
    <w:rsid w:val="00F033EC"/>
    <w:rsid w:val="00F04F68"/>
    <w:rsid w:val="00F060D3"/>
    <w:rsid w:val="00F12670"/>
    <w:rsid w:val="00F14B27"/>
    <w:rsid w:val="00F22080"/>
    <w:rsid w:val="00F2472C"/>
    <w:rsid w:val="00F3148D"/>
    <w:rsid w:val="00F325C5"/>
    <w:rsid w:val="00F32FE0"/>
    <w:rsid w:val="00F35298"/>
    <w:rsid w:val="00F47333"/>
    <w:rsid w:val="00F47E37"/>
    <w:rsid w:val="00F53C07"/>
    <w:rsid w:val="00F54B65"/>
    <w:rsid w:val="00F640B6"/>
    <w:rsid w:val="00F64CD8"/>
    <w:rsid w:val="00F6514D"/>
    <w:rsid w:val="00F66DF2"/>
    <w:rsid w:val="00F75D67"/>
    <w:rsid w:val="00F80E40"/>
    <w:rsid w:val="00F810A4"/>
    <w:rsid w:val="00F848D9"/>
    <w:rsid w:val="00F85C01"/>
    <w:rsid w:val="00FA0E24"/>
    <w:rsid w:val="00FA24D3"/>
    <w:rsid w:val="00FA499E"/>
    <w:rsid w:val="00FA5069"/>
    <w:rsid w:val="00FA5B82"/>
    <w:rsid w:val="00FA639E"/>
    <w:rsid w:val="00FC1FCA"/>
    <w:rsid w:val="00FC25E4"/>
    <w:rsid w:val="00FC4EF7"/>
    <w:rsid w:val="00FD0824"/>
    <w:rsid w:val="00FD119B"/>
    <w:rsid w:val="00FD1EDC"/>
    <w:rsid w:val="00FE1DEE"/>
    <w:rsid w:val="00FF2126"/>
    <w:rsid w:val="00FF42B2"/>
    <w:rsid w:val="00FF5755"/>
    <w:rsid w:val="00FF69BE"/>
    <w:rsid w:val="00FF7B93"/>
    <w:rsid w:val="00FF7EE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493D13"/>
  <w15:docId w15:val="{85A61C5D-29C1-48B0-8840-B20477B95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3F70B9"/>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UnresolvedMention1">
    <w:name w:val="Unresolved Mention1"/>
    <w:basedOn w:val="DefaultParagraphFont"/>
    <w:uiPriority w:val="99"/>
    <w:semiHidden/>
    <w:unhideWhenUsed/>
    <w:rsid w:val="00974A2E"/>
    <w:rPr>
      <w:color w:val="605E5C"/>
      <w:shd w:val="clear" w:color="auto" w:fill="E1DFDD"/>
    </w:rPr>
  </w:style>
  <w:style w:type="paragraph" w:styleId="ListParagraph">
    <w:name w:val="List Paragraph"/>
    <w:basedOn w:val="Normal"/>
    <w:uiPriority w:val="34"/>
    <w:qFormat/>
    <w:rsid w:val="00F6514D"/>
    <w:pPr>
      <w:adjustRightInd w:val="0"/>
      <w:snapToGrid w:val="0"/>
      <w:spacing w:before="180" w:after="180"/>
      <w:ind w:left="720"/>
      <w:contextualSpacing/>
    </w:pPr>
    <w:rPr>
      <w:rFonts w:eastAsia="MS Mincho"/>
      <w:szCs w:val="20"/>
      <w:lang w:eastAsia="ja-JP"/>
    </w:rPr>
  </w:style>
  <w:style w:type="paragraph" w:styleId="NormalWeb">
    <w:name w:val="Normal (Web)"/>
    <w:basedOn w:val="Normal"/>
    <w:uiPriority w:val="99"/>
    <w:unhideWhenUsed/>
    <w:rsid w:val="00DE5B19"/>
    <w:pPr>
      <w:spacing w:before="100" w:beforeAutospacing="1" w:after="100" w:afterAutospacing="1" w:line="240" w:lineRule="auto"/>
    </w:pPr>
    <w:rPr>
      <w:rFonts w:ascii="Times New Roman" w:eastAsia="Times New Roman" w:hAnsi="Times New Roman"/>
      <w:sz w:val="24"/>
      <w:szCs w:val="24"/>
      <w:lang w:eastAsia="en-AU"/>
    </w:rPr>
  </w:style>
  <w:style w:type="character" w:styleId="Strong">
    <w:name w:val="Strong"/>
    <w:basedOn w:val="DefaultParagraphFont"/>
    <w:uiPriority w:val="22"/>
    <w:qFormat/>
    <w:rsid w:val="00DE5B19"/>
    <w:rPr>
      <w:b/>
      <w:bCs/>
    </w:rPr>
  </w:style>
  <w:style w:type="paragraph" w:customStyle="1" w:styleId="Bulletlist">
    <w:name w:val="Bullet list"/>
    <w:basedOn w:val="Normal"/>
    <w:link w:val="BulletlistChar"/>
    <w:qFormat/>
    <w:rsid w:val="00DE5B19"/>
    <w:pPr>
      <w:numPr>
        <w:numId w:val="36"/>
      </w:numPr>
      <w:spacing w:before="0" w:after="180" w:line="252" w:lineRule="auto"/>
      <w:ind w:left="426" w:hanging="284"/>
    </w:pPr>
    <w:rPr>
      <w:rFonts w:eastAsia="Times New Roman"/>
      <w:snapToGrid w:val="0"/>
      <w:kern w:val="2"/>
      <w:sz w:val="23"/>
    </w:rPr>
  </w:style>
  <w:style w:type="character" w:customStyle="1" w:styleId="TabletextChar">
    <w:name w:val="Table text Char"/>
    <w:basedOn w:val="DefaultParagraphFont"/>
    <w:link w:val="Tabletext"/>
    <w:rsid w:val="00DE5B19"/>
    <w:rPr>
      <w:rFonts w:ascii="Cambria" w:eastAsia="Cambria" w:hAnsi="Cambria" w:cs="Times New Roman"/>
      <w:sz w:val="19"/>
    </w:rPr>
  </w:style>
  <w:style w:type="character" w:customStyle="1" w:styleId="BulletlistChar">
    <w:name w:val="Bullet list Char"/>
    <w:basedOn w:val="DefaultParagraphFont"/>
    <w:link w:val="Bulletlist"/>
    <w:rsid w:val="00DE5B19"/>
    <w:rPr>
      <w:rFonts w:ascii="Cambria" w:eastAsia="Times New Roman" w:hAnsi="Cambria" w:cs="Times New Roman"/>
      <w:snapToGrid w:val="0"/>
      <w:kern w:val="2"/>
      <w:sz w:val="23"/>
    </w:rPr>
  </w:style>
  <w:style w:type="paragraph" w:customStyle="1" w:styleId="Default">
    <w:name w:val="Default"/>
    <w:rsid w:val="005F3368"/>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4F7039"/>
    <w:rPr>
      <w:i/>
      <w:iCs/>
    </w:rPr>
  </w:style>
  <w:style w:type="character" w:styleId="UnresolvedMention">
    <w:name w:val="Unresolved Mention"/>
    <w:basedOn w:val="DefaultParagraphFont"/>
    <w:uiPriority w:val="99"/>
    <w:semiHidden/>
    <w:unhideWhenUsed/>
    <w:rsid w:val="008956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136306">
      <w:bodyDiv w:val="1"/>
      <w:marLeft w:val="0"/>
      <w:marRight w:val="0"/>
      <w:marTop w:val="0"/>
      <w:marBottom w:val="0"/>
      <w:divBdr>
        <w:top w:val="none" w:sz="0" w:space="0" w:color="auto"/>
        <w:left w:val="none" w:sz="0" w:space="0" w:color="auto"/>
        <w:bottom w:val="none" w:sz="0" w:space="0" w:color="auto"/>
        <w:right w:val="none" w:sz="0" w:space="0" w:color="auto"/>
      </w:divBdr>
    </w:div>
    <w:div w:id="299190078">
      <w:bodyDiv w:val="1"/>
      <w:marLeft w:val="0"/>
      <w:marRight w:val="0"/>
      <w:marTop w:val="0"/>
      <w:marBottom w:val="0"/>
      <w:divBdr>
        <w:top w:val="none" w:sz="0" w:space="0" w:color="auto"/>
        <w:left w:val="none" w:sz="0" w:space="0" w:color="auto"/>
        <w:bottom w:val="none" w:sz="0" w:space="0" w:color="auto"/>
        <w:right w:val="none" w:sz="0" w:space="0" w:color="auto"/>
      </w:divBdr>
    </w:div>
    <w:div w:id="425227782">
      <w:bodyDiv w:val="1"/>
      <w:marLeft w:val="0"/>
      <w:marRight w:val="0"/>
      <w:marTop w:val="0"/>
      <w:marBottom w:val="0"/>
      <w:divBdr>
        <w:top w:val="none" w:sz="0" w:space="0" w:color="auto"/>
        <w:left w:val="none" w:sz="0" w:space="0" w:color="auto"/>
        <w:bottom w:val="none" w:sz="0" w:space="0" w:color="auto"/>
        <w:right w:val="none" w:sz="0" w:space="0" w:color="auto"/>
      </w:divBdr>
    </w:div>
    <w:div w:id="430785983">
      <w:bodyDiv w:val="1"/>
      <w:marLeft w:val="0"/>
      <w:marRight w:val="0"/>
      <w:marTop w:val="0"/>
      <w:marBottom w:val="0"/>
      <w:divBdr>
        <w:top w:val="none" w:sz="0" w:space="0" w:color="auto"/>
        <w:left w:val="none" w:sz="0" w:space="0" w:color="auto"/>
        <w:bottom w:val="none" w:sz="0" w:space="0" w:color="auto"/>
        <w:right w:val="none" w:sz="0" w:space="0" w:color="auto"/>
      </w:divBdr>
    </w:div>
    <w:div w:id="834034312">
      <w:bodyDiv w:val="1"/>
      <w:marLeft w:val="0"/>
      <w:marRight w:val="0"/>
      <w:marTop w:val="0"/>
      <w:marBottom w:val="0"/>
      <w:divBdr>
        <w:top w:val="none" w:sz="0" w:space="0" w:color="auto"/>
        <w:left w:val="none" w:sz="0" w:space="0" w:color="auto"/>
        <w:bottom w:val="none" w:sz="0" w:space="0" w:color="auto"/>
        <w:right w:val="none" w:sz="0" w:space="0" w:color="auto"/>
      </w:divBdr>
    </w:div>
    <w:div w:id="1007901791">
      <w:bodyDiv w:val="1"/>
      <w:marLeft w:val="0"/>
      <w:marRight w:val="0"/>
      <w:marTop w:val="0"/>
      <w:marBottom w:val="0"/>
      <w:divBdr>
        <w:top w:val="none" w:sz="0" w:space="0" w:color="auto"/>
        <w:left w:val="none" w:sz="0" w:space="0" w:color="auto"/>
        <w:bottom w:val="none" w:sz="0" w:space="0" w:color="auto"/>
        <w:right w:val="none" w:sz="0" w:space="0" w:color="auto"/>
      </w:divBdr>
    </w:div>
    <w:div w:id="1288971239">
      <w:bodyDiv w:val="1"/>
      <w:marLeft w:val="0"/>
      <w:marRight w:val="0"/>
      <w:marTop w:val="0"/>
      <w:marBottom w:val="0"/>
      <w:divBdr>
        <w:top w:val="none" w:sz="0" w:space="0" w:color="auto"/>
        <w:left w:val="none" w:sz="0" w:space="0" w:color="auto"/>
        <w:bottom w:val="none" w:sz="0" w:space="0" w:color="auto"/>
        <w:right w:val="none" w:sz="0" w:space="0" w:color="auto"/>
      </w:divBdr>
    </w:div>
    <w:div w:id="1472819235">
      <w:bodyDiv w:val="1"/>
      <w:marLeft w:val="0"/>
      <w:marRight w:val="0"/>
      <w:marTop w:val="0"/>
      <w:marBottom w:val="0"/>
      <w:divBdr>
        <w:top w:val="none" w:sz="0" w:space="0" w:color="auto"/>
        <w:left w:val="none" w:sz="0" w:space="0" w:color="auto"/>
        <w:bottom w:val="none" w:sz="0" w:space="0" w:color="auto"/>
        <w:right w:val="none" w:sz="0" w:space="0" w:color="auto"/>
      </w:divBdr>
    </w:div>
    <w:div w:id="1498300652">
      <w:bodyDiv w:val="1"/>
      <w:marLeft w:val="0"/>
      <w:marRight w:val="0"/>
      <w:marTop w:val="0"/>
      <w:marBottom w:val="0"/>
      <w:divBdr>
        <w:top w:val="none" w:sz="0" w:space="0" w:color="auto"/>
        <w:left w:val="none" w:sz="0" w:space="0" w:color="auto"/>
        <w:bottom w:val="none" w:sz="0" w:space="0" w:color="auto"/>
        <w:right w:val="none" w:sz="0" w:space="0" w:color="auto"/>
      </w:divBdr>
    </w:div>
    <w:div w:id="1539273533">
      <w:bodyDiv w:val="1"/>
      <w:marLeft w:val="0"/>
      <w:marRight w:val="0"/>
      <w:marTop w:val="0"/>
      <w:marBottom w:val="0"/>
      <w:divBdr>
        <w:top w:val="none" w:sz="0" w:space="0" w:color="auto"/>
        <w:left w:val="none" w:sz="0" w:space="0" w:color="auto"/>
        <w:bottom w:val="none" w:sz="0" w:space="0" w:color="auto"/>
        <w:right w:val="none" w:sz="0" w:space="0" w:color="auto"/>
      </w:divBdr>
      <w:divsChild>
        <w:div w:id="558900682">
          <w:marLeft w:val="0"/>
          <w:marRight w:val="0"/>
          <w:marTop w:val="0"/>
          <w:marBottom w:val="0"/>
          <w:divBdr>
            <w:top w:val="none" w:sz="0" w:space="0" w:color="auto"/>
            <w:left w:val="none" w:sz="0" w:space="0" w:color="auto"/>
            <w:bottom w:val="none" w:sz="0" w:space="0" w:color="auto"/>
            <w:right w:val="none" w:sz="0" w:space="0" w:color="auto"/>
          </w:divBdr>
          <w:divsChild>
            <w:div w:id="203253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12419">
      <w:bodyDiv w:val="1"/>
      <w:marLeft w:val="0"/>
      <w:marRight w:val="0"/>
      <w:marTop w:val="0"/>
      <w:marBottom w:val="0"/>
      <w:divBdr>
        <w:top w:val="none" w:sz="0" w:space="0" w:color="auto"/>
        <w:left w:val="none" w:sz="0" w:space="0" w:color="auto"/>
        <w:bottom w:val="none" w:sz="0" w:space="0" w:color="auto"/>
        <w:right w:val="none" w:sz="0" w:space="0" w:color="auto"/>
      </w:divBdr>
    </w:div>
    <w:div w:id="1605459140">
      <w:bodyDiv w:val="1"/>
      <w:marLeft w:val="0"/>
      <w:marRight w:val="0"/>
      <w:marTop w:val="0"/>
      <w:marBottom w:val="0"/>
      <w:divBdr>
        <w:top w:val="none" w:sz="0" w:space="0" w:color="auto"/>
        <w:left w:val="none" w:sz="0" w:space="0" w:color="auto"/>
        <w:bottom w:val="none" w:sz="0" w:space="0" w:color="auto"/>
        <w:right w:val="none" w:sz="0" w:space="0" w:color="auto"/>
      </w:divBdr>
    </w:div>
    <w:div w:id="1695381751">
      <w:bodyDiv w:val="1"/>
      <w:marLeft w:val="0"/>
      <w:marRight w:val="0"/>
      <w:marTop w:val="0"/>
      <w:marBottom w:val="0"/>
      <w:divBdr>
        <w:top w:val="none" w:sz="0" w:space="0" w:color="auto"/>
        <w:left w:val="none" w:sz="0" w:space="0" w:color="auto"/>
        <w:bottom w:val="none" w:sz="0" w:space="0" w:color="auto"/>
        <w:right w:val="none" w:sz="0" w:space="0" w:color="auto"/>
      </w:divBdr>
    </w:div>
    <w:div w:id="1856143282">
      <w:bodyDiv w:val="1"/>
      <w:marLeft w:val="0"/>
      <w:marRight w:val="0"/>
      <w:marTop w:val="0"/>
      <w:marBottom w:val="0"/>
      <w:divBdr>
        <w:top w:val="none" w:sz="0" w:space="0" w:color="auto"/>
        <w:left w:val="none" w:sz="0" w:space="0" w:color="auto"/>
        <w:bottom w:val="none" w:sz="0" w:space="0" w:color="auto"/>
        <w:right w:val="none" w:sz="0" w:space="0" w:color="auto"/>
      </w:divBdr>
    </w:div>
    <w:div w:id="1871334057">
      <w:bodyDiv w:val="1"/>
      <w:marLeft w:val="0"/>
      <w:marRight w:val="0"/>
      <w:marTop w:val="0"/>
      <w:marBottom w:val="0"/>
      <w:divBdr>
        <w:top w:val="none" w:sz="0" w:space="0" w:color="auto"/>
        <w:left w:val="none" w:sz="0" w:space="0" w:color="auto"/>
        <w:bottom w:val="none" w:sz="0" w:space="0" w:color="auto"/>
        <w:right w:val="none" w:sz="0" w:space="0" w:color="auto"/>
      </w:divBdr>
    </w:div>
    <w:div w:id="1986932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footer" Target="footer2.xml"/><Relationship Id="rId18" Type="http://schemas.microsoft.com/office/2007/relationships/hdphoto" Target="media/hdphoto1.wdp"/><Relationship Id="rId26" Type="http://schemas.openxmlformats.org/officeDocument/2006/relationships/hyperlink" Target="https://urldefense.com/v3/__https:/www.gov.il/BlobFolder/reports/vaccine-efficacy-safety-followup-__;!!H9nueQsQ!sqkkOj4IFjH9I6bzJ6P0Om4HPFD3b_7kcmHEKTOX6rTxMecHzkRFRmSmV-zvQO-4iJU$" TargetMode="External"/><Relationship Id="rId39" Type="http://schemas.openxmlformats.org/officeDocument/2006/relationships/hyperlink" Target="mailto:info@tga.gov.au" TargetMode="External"/><Relationship Id="rId3" Type="http://schemas.openxmlformats.org/officeDocument/2006/relationships/styles" Target="styles.xml"/><Relationship Id="rId21" Type="http://schemas.openxmlformats.org/officeDocument/2006/relationships/hyperlink" Target="https://urldefense.com/v3/__https:/www.gov.il/BlobFolder/reports/vaccine-efficacy-safety-followup-__;!!H9nueQsQ!sqkkOj4IFjH9I6bzJ6P0Om4HPFD3b_7kcmHEKTOX6rTxMecHzkRFRmSmV-zvQO-4iJU$" TargetMode="External"/><Relationship Id="rId34" Type="http://schemas.openxmlformats.org/officeDocument/2006/relationships/hyperlink" Target="https://www.tga.gov.au/product-information-pi" TargetMode="External"/><Relationship Id="rId42" Type="http://schemas.openxmlformats.org/officeDocument/2006/relationships/header" Target="header8.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microsoft.com/office/2007/relationships/hdphoto" Target="media/hdphoto3.wdp"/><Relationship Id="rId33" Type="http://schemas.openxmlformats.org/officeDocument/2006/relationships/hyperlink" Target="https://www.tga.gov.au/guidance-7-certified-product-details" TargetMode="External"/><Relationship Id="rId38" Type="http://schemas.openxmlformats.org/officeDocument/2006/relationships/footer" Target="footer4.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microsoft.com/office/2007/relationships/hdphoto" Target="media/hdphoto2.wdp"/><Relationship Id="rId29" Type="http://schemas.openxmlformats.org/officeDocument/2006/relationships/hyperlink" Target="https://urldefense.com/v3/__https:/www.gov.il/BlobFolder/reports/vaccine-efficacy-safety-followup-__;!!H9nueQsQ!sqkkOj4IFjH9I6bzJ6P0Om4HPFD3b_7kcmHEKTOX6rTxMecHzkRFRmSmV-zvQO-4iJU$" TargetMode="Externa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header" Target="header6.xml"/><Relationship Id="rId40" Type="http://schemas.openxmlformats.org/officeDocument/2006/relationships/hyperlink" Target="https://www.tga.gov.au" TargetMode="Externa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urldefense.com/v3/__https:/www.gov.il/BlobFolder/reports/vaccine-efficacy-safety-followup-__;!!H9nueQsQ!sqkkOj4IFjH9I6bzJ6P0Om4HPFD3b_7kcmHEKTOX6rTxMecHzkRFRmSmV-zvQO-4iJU$" TargetMode="External"/><Relationship Id="rId28" Type="http://schemas.openxmlformats.org/officeDocument/2006/relationships/image" Target="media/image7.emf"/><Relationship Id="rId36"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3.png"/><Relationship Id="rId31" Type="http://schemas.microsoft.com/office/2007/relationships/hdphoto" Target="media/hdphoto4.wdp"/><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header" Target="header4.xml"/><Relationship Id="rId43"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s://www.phgfoundation.org/documents/rna-vaccines-an-introduction-briefing-note.pdf" TargetMode="External"/><Relationship Id="rId2" Type="http://schemas.openxmlformats.org/officeDocument/2006/relationships/hyperlink" Target="https://covid19.who.int/" TargetMode="External"/><Relationship Id="rId1" Type="http://schemas.openxmlformats.org/officeDocument/2006/relationships/hyperlink" Target="https://www.who.int/feeds/entity/dg/speeches/en/rss.xml" TargetMode="External"/><Relationship Id="rId4" Type="http://schemas.openxmlformats.org/officeDocument/2006/relationships/hyperlink" Target="https://www.gov.il/BlobFolder/reports/vaccine-efficacy-safety-followup-%20committee/he/files_publications_corona_vaccine-safty-15122021.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633A4-6B03-4E21-83A5-9C0CB5D8C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7668</Words>
  <Characters>43711</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Therapeutic Goods Administration</Company>
  <LinksUpToDate>false</LinksUpToDate>
  <CharactersWithSpaces>51277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Tozinameran</dc:title>
  <dc:subject>prescription medicines</dc:subject>
  <dc:creator>Therapeutic Goods Administration</dc:creator>
  <cp:keywords/>
  <cp:lastModifiedBy>LACK, Janet</cp:lastModifiedBy>
  <cp:revision>3</cp:revision>
  <cp:lastPrinted>2019-08-14T04:30:00Z</cp:lastPrinted>
  <dcterms:created xsi:type="dcterms:W3CDTF">2022-04-12T01:27:00Z</dcterms:created>
  <dcterms:modified xsi:type="dcterms:W3CDTF">2022-04-12T01:28:00Z</dcterms:modified>
  <cp:category/>
</cp:coreProperties>
</file>