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B91E516" w14:textId="77777777" w:rsidTr="00BF1190">
        <w:trPr>
          <w:trHeight w:val="1863"/>
        </w:trPr>
        <w:tc>
          <w:tcPr>
            <w:tcW w:w="3652" w:type="dxa"/>
            <w:tcBorders>
              <w:top w:val="nil"/>
              <w:left w:val="nil"/>
              <w:bottom w:val="nil"/>
              <w:right w:val="nil"/>
            </w:tcBorders>
          </w:tcPr>
          <w:p w14:paraId="7D1C8E74" w14:textId="6A0C558E" w:rsidR="008E7846" w:rsidRPr="00096AA7" w:rsidRDefault="001977C4" w:rsidP="00096AA7">
            <w:pPr>
              <w:rPr>
                <w:rFonts w:ascii="Arial" w:hAnsi="Arial" w:cs="Arial"/>
                <w:b/>
                <w:color w:val="002C47"/>
                <w:sz w:val="36"/>
                <w:szCs w:val="36"/>
              </w:rPr>
            </w:pPr>
            <w:r>
              <w:rPr>
                <w:rFonts w:ascii="Arial" w:hAnsi="Arial" w:cs="Arial"/>
                <w:b/>
                <w:color w:val="002C47"/>
                <w:sz w:val="36"/>
                <w:szCs w:val="36"/>
              </w:rPr>
              <w:t>January</w:t>
            </w:r>
            <w:r w:rsidR="00C346AB">
              <w:rPr>
                <w:rFonts w:ascii="Arial" w:hAnsi="Arial" w:cs="Arial"/>
                <w:b/>
                <w:color w:val="002C47"/>
                <w:sz w:val="36"/>
                <w:szCs w:val="36"/>
              </w:rPr>
              <w:t xml:space="preserve"> </w:t>
            </w:r>
            <w:r>
              <w:rPr>
                <w:rFonts w:ascii="Arial" w:hAnsi="Arial" w:cs="Arial"/>
                <w:b/>
                <w:color w:val="002C47"/>
                <w:sz w:val="36"/>
                <w:szCs w:val="36"/>
              </w:rPr>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CC6F3CF" w14:textId="77777777" w:rsidTr="0032583B">
        <w:trPr>
          <w:trHeight w:val="868"/>
        </w:trPr>
        <w:tc>
          <w:tcPr>
            <w:tcW w:w="9079" w:type="dxa"/>
          </w:tcPr>
          <w:p w14:paraId="370E5B07" w14:textId="28E0588E"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proofErr w:type="spellStart"/>
            <w:r w:rsidR="001205AF" w:rsidRPr="001205AF">
              <w:rPr>
                <w:color w:val="FFFFFF" w:themeColor="background1"/>
              </w:rPr>
              <w:t>Tozinameran</w:t>
            </w:r>
            <w:proofErr w:type="spellEnd"/>
          </w:p>
        </w:tc>
      </w:tr>
      <w:tr w:rsidR="0032583B" w:rsidRPr="00B64760" w14:paraId="638BE11D" w14:textId="77777777" w:rsidTr="0032583B">
        <w:tc>
          <w:tcPr>
            <w:tcW w:w="9079" w:type="dxa"/>
          </w:tcPr>
          <w:p w14:paraId="378424FD" w14:textId="222A1208" w:rsidR="0032583B" w:rsidRPr="008E7846" w:rsidRDefault="0032583B" w:rsidP="00460036">
            <w:pPr>
              <w:pStyle w:val="Subtitle"/>
              <w:rPr>
                <w:color w:val="FFFFFF" w:themeColor="background1"/>
              </w:rPr>
            </w:pPr>
            <w:r w:rsidRPr="008E7846">
              <w:rPr>
                <w:color w:val="FFFFFF" w:themeColor="background1"/>
              </w:rPr>
              <w:t xml:space="preserve">Proprietary Product Name: </w:t>
            </w:r>
            <w:r w:rsidR="001977C4">
              <w:rPr>
                <w:color w:val="FFFFFF" w:themeColor="background1"/>
              </w:rPr>
              <w:t>Comirnaty</w:t>
            </w:r>
          </w:p>
        </w:tc>
      </w:tr>
      <w:tr w:rsidR="0032583B" w:rsidRPr="00B64760" w14:paraId="4D8B66F5" w14:textId="77777777" w:rsidTr="0032583B">
        <w:trPr>
          <w:trHeight w:val="486"/>
        </w:trPr>
        <w:tc>
          <w:tcPr>
            <w:tcW w:w="9079" w:type="dxa"/>
          </w:tcPr>
          <w:p w14:paraId="08480243" w14:textId="7CC8D9B3" w:rsidR="001977C4" w:rsidRPr="00EA7C67" w:rsidRDefault="00460036" w:rsidP="00EA7C67">
            <w:pPr>
              <w:pStyle w:val="Subtitle"/>
              <w:rPr>
                <w:color w:val="FFFFFF" w:themeColor="background1"/>
              </w:rPr>
            </w:pPr>
            <w:r>
              <w:rPr>
                <w:color w:val="FFFFFF" w:themeColor="background1"/>
              </w:rPr>
              <w:t xml:space="preserve">Sponsor: </w:t>
            </w:r>
            <w:r w:rsidR="001977C4">
              <w:rPr>
                <w:color w:val="FFFFFF" w:themeColor="background1"/>
              </w:rPr>
              <w:t>Pfizer Australia Pty Ltd</w:t>
            </w:r>
          </w:p>
        </w:tc>
      </w:tr>
    </w:tbl>
    <w:p w14:paraId="77F99BB1" w14:textId="77777777" w:rsidR="008E7846" w:rsidRPr="0085156D" w:rsidRDefault="008E7846" w:rsidP="0085156D">
      <w:r w:rsidRPr="0085156D">
        <w:br w:type="page"/>
      </w:r>
    </w:p>
    <w:p w14:paraId="3DD6DB93" w14:textId="77777777" w:rsidR="008E7846" w:rsidRPr="001F6CBA" w:rsidRDefault="008E7846" w:rsidP="008E7846">
      <w:pPr>
        <w:pStyle w:val="NonTOCHeading2"/>
      </w:pPr>
      <w:r w:rsidRPr="001F6CBA">
        <w:lastRenderedPageBreak/>
        <w:t>About the Therapeutic Goods Administration (TGA)</w:t>
      </w:r>
    </w:p>
    <w:p w14:paraId="76B25D0F"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33A8ED4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72A48FB1"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2E2968A5"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5A058CA" w14:textId="14A717A0"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737ADE80" w14:textId="77777777" w:rsidR="008E7846" w:rsidRDefault="008E7846" w:rsidP="00875A6B">
      <w:pPr>
        <w:pStyle w:val="NonTOCHeading2"/>
      </w:pPr>
      <w:r>
        <w:t xml:space="preserve">About </w:t>
      </w:r>
      <w:proofErr w:type="spellStart"/>
      <w:r>
        <w:t>AusPARs</w:t>
      </w:r>
      <w:proofErr w:type="spellEnd"/>
    </w:p>
    <w:p w14:paraId="4BB6B947"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BEEBE79"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510DEE17" w14:textId="77777777" w:rsidR="008E7846" w:rsidRDefault="008E7846" w:rsidP="008E7846">
      <w:pPr>
        <w:pStyle w:val="ListBullet"/>
        <w:numPr>
          <w:ilvl w:val="0"/>
          <w:numId w:val="3"/>
        </w:numPr>
        <w:ind w:left="357" w:hanging="357"/>
      </w:pPr>
      <w:r>
        <w:t xml:space="preserve">An AusPAR is prepared for submissions that relate to new chemical entities, generic medicines, major </w:t>
      </w:r>
      <w:proofErr w:type="gramStart"/>
      <w:r>
        <w:t>variations</w:t>
      </w:r>
      <w:proofErr w:type="gramEnd"/>
      <w:r>
        <w:t xml:space="preserve"> and extensions of indications.</w:t>
      </w:r>
    </w:p>
    <w:p w14:paraId="1E73C2CC"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A04C8CD"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04983F43" w14:textId="77777777" w:rsidR="00924482" w:rsidRPr="00DF1D7F" w:rsidRDefault="00924482" w:rsidP="00F54B65">
      <w:pPr>
        <w:pStyle w:val="LegalSubheading"/>
        <w:spacing w:before="3120"/>
      </w:pPr>
      <w:r w:rsidRPr="00DF1D7F">
        <w:t>Copyright</w:t>
      </w:r>
    </w:p>
    <w:p w14:paraId="5FBF9832" w14:textId="69420381"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1977C4">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543EB278"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4518C8D" w14:textId="77777777" w:rsidR="0089635C" w:rsidRPr="0089635C" w:rsidRDefault="0089635C" w:rsidP="0010788A">
          <w:pPr>
            <w:pStyle w:val="Contents"/>
          </w:pPr>
          <w:r w:rsidRPr="0010788A">
            <w:t>Contents</w:t>
          </w:r>
        </w:p>
        <w:p w14:paraId="0B98EA5A" w14:textId="442572C9" w:rsidR="00EF5616"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95207524" w:history="1">
            <w:r w:rsidR="00EF5616" w:rsidRPr="00B316DC">
              <w:rPr>
                <w:rStyle w:val="Hyperlink"/>
                <w:noProof/>
              </w:rPr>
              <w:t>List of abbreviations</w:t>
            </w:r>
            <w:r w:rsidR="00EF5616">
              <w:rPr>
                <w:noProof/>
                <w:webHidden/>
              </w:rPr>
              <w:tab/>
            </w:r>
            <w:r w:rsidR="00EF5616">
              <w:rPr>
                <w:noProof/>
                <w:webHidden/>
              </w:rPr>
              <w:fldChar w:fldCharType="begin"/>
            </w:r>
            <w:r w:rsidR="00EF5616">
              <w:rPr>
                <w:noProof/>
                <w:webHidden/>
              </w:rPr>
              <w:instrText xml:space="preserve"> PAGEREF _Toc95207524 \h </w:instrText>
            </w:r>
            <w:r w:rsidR="00EF5616">
              <w:rPr>
                <w:noProof/>
                <w:webHidden/>
              </w:rPr>
            </w:r>
            <w:r w:rsidR="00EF5616">
              <w:rPr>
                <w:noProof/>
                <w:webHidden/>
              </w:rPr>
              <w:fldChar w:fldCharType="separate"/>
            </w:r>
            <w:r w:rsidR="00EF5616">
              <w:rPr>
                <w:noProof/>
                <w:webHidden/>
              </w:rPr>
              <w:t>4</w:t>
            </w:r>
            <w:r w:rsidR="00EF5616">
              <w:rPr>
                <w:noProof/>
                <w:webHidden/>
              </w:rPr>
              <w:fldChar w:fldCharType="end"/>
            </w:r>
          </w:hyperlink>
        </w:p>
        <w:p w14:paraId="046330FA" w14:textId="49B98BF5" w:rsidR="00EF5616" w:rsidRDefault="00EF5616">
          <w:pPr>
            <w:pStyle w:val="TOC1"/>
            <w:rPr>
              <w:rFonts w:asciiTheme="minorHAnsi" w:eastAsiaTheme="minorEastAsia" w:hAnsiTheme="minorHAnsi" w:cstheme="minorBidi"/>
              <w:b w:val="0"/>
              <w:noProof/>
              <w:sz w:val="22"/>
              <w:lang w:eastAsia="en-AU"/>
            </w:rPr>
          </w:pPr>
          <w:hyperlink w:anchor="_Toc95207525" w:history="1">
            <w:r w:rsidRPr="00B316DC">
              <w:rPr>
                <w:rStyle w:val="Hyperlink"/>
                <w:noProof/>
              </w:rPr>
              <w:t>I. Introduction to product submission</w:t>
            </w:r>
            <w:r>
              <w:rPr>
                <w:noProof/>
                <w:webHidden/>
              </w:rPr>
              <w:tab/>
            </w:r>
            <w:r>
              <w:rPr>
                <w:noProof/>
                <w:webHidden/>
              </w:rPr>
              <w:fldChar w:fldCharType="begin"/>
            </w:r>
            <w:r>
              <w:rPr>
                <w:noProof/>
                <w:webHidden/>
              </w:rPr>
              <w:instrText xml:space="preserve"> PAGEREF _Toc95207525 \h </w:instrText>
            </w:r>
            <w:r>
              <w:rPr>
                <w:noProof/>
                <w:webHidden/>
              </w:rPr>
            </w:r>
            <w:r>
              <w:rPr>
                <w:noProof/>
                <w:webHidden/>
              </w:rPr>
              <w:fldChar w:fldCharType="separate"/>
            </w:r>
            <w:r>
              <w:rPr>
                <w:noProof/>
                <w:webHidden/>
              </w:rPr>
              <w:t>6</w:t>
            </w:r>
            <w:r>
              <w:rPr>
                <w:noProof/>
                <w:webHidden/>
              </w:rPr>
              <w:fldChar w:fldCharType="end"/>
            </w:r>
          </w:hyperlink>
        </w:p>
        <w:p w14:paraId="6C5A95B9" w14:textId="0B88C151" w:rsidR="00EF5616" w:rsidRDefault="00EF5616">
          <w:pPr>
            <w:pStyle w:val="TOC2"/>
            <w:rPr>
              <w:rFonts w:asciiTheme="minorHAnsi" w:eastAsiaTheme="minorEastAsia" w:hAnsiTheme="minorHAnsi" w:cstheme="minorBidi"/>
              <w:b w:val="0"/>
              <w:noProof/>
              <w:sz w:val="22"/>
              <w:lang w:eastAsia="en-AU"/>
            </w:rPr>
          </w:pPr>
          <w:hyperlink w:anchor="_Toc95207526" w:history="1">
            <w:r w:rsidRPr="00B316DC">
              <w:rPr>
                <w:rStyle w:val="Hyperlink"/>
                <w:noProof/>
                <w:lang w:eastAsia="en-AU"/>
              </w:rPr>
              <w:t>Submission details</w:t>
            </w:r>
            <w:r>
              <w:rPr>
                <w:noProof/>
                <w:webHidden/>
              </w:rPr>
              <w:tab/>
            </w:r>
            <w:r>
              <w:rPr>
                <w:noProof/>
                <w:webHidden/>
              </w:rPr>
              <w:fldChar w:fldCharType="begin"/>
            </w:r>
            <w:r>
              <w:rPr>
                <w:noProof/>
                <w:webHidden/>
              </w:rPr>
              <w:instrText xml:space="preserve"> PAGEREF _Toc95207526 \h </w:instrText>
            </w:r>
            <w:r>
              <w:rPr>
                <w:noProof/>
                <w:webHidden/>
              </w:rPr>
            </w:r>
            <w:r>
              <w:rPr>
                <w:noProof/>
                <w:webHidden/>
              </w:rPr>
              <w:fldChar w:fldCharType="separate"/>
            </w:r>
            <w:r>
              <w:rPr>
                <w:noProof/>
                <w:webHidden/>
              </w:rPr>
              <w:t>6</w:t>
            </w:r>
            <w:r>
              <w:rPr>
                <w:noProof/>
                <w:webHidden/>
              </w:rPr>
              <w:fldChar w:fldCharType="end"/>
            </w:r>
          </w:hyperlink>
        </w:p>
        <w:p w14:paraId="6A2ECF2B" w14:textId="0C29773A" w:rsidR="00EF5616" w:rsidRDefault="00EF5616">
          <w:pPr>
            <w:pStyle w:val="TOC2"/>
            <w:rPr>
              <w:rFonts w:asciiTheme="minorHAnsi" w:eastAsiaTheme="minorEastAsia" w:hAnsiTheme="minorHAnsi" w:cstheme="minorBidi"/>
              <w:b w:val="0"/>
              <w:noProof/>
              <w:sz w:val="22"/>
              <w:lang w:eastAsia="en-AU"/>
            </w:rPr>
          </w:pPr>
          <w:hyperlink w:anchor="_Toc95207527" w:history="1">
            <w:r w:rsidRPr="00B316DC">
              <w:rPr>
                <w:rStyle w:val="Hyperlink"/>
                <w:noProof/>
              </w:rPr>
              <w:t>Product background</w:t>
            </w:r>
            <w:r>
              <w:rPr>
                <w:noProof/>
                <w:webHidden/>
              </w:rPr>
              <w:tab/>
            </w:r>
            <w:r>
              <w:rPr>
                <w:noProof/>
                <w:webHidden/>
              </w:rPr>
              <w:fldChar w:fldCharType="begin"/>
            </w:r>
            <w:r>
              <w:rPr>
                <w:noProof/>
                <w:webHidden/>
              </w:rPr>
              <w:instrText xml:space="preserve"> PAGEREF _Toc95207527 \h </w:instrText>
            </w:r>
            <w:r>
              <w:rPr>
                <w:noProof/>
                <w:webHidden/>
              </w:rPr>
            </w:r>
            <w:r>
              <w:rPr>
                <w:noProof/>
                <w:webHidden/>
              </w:rPr>
              <w:fldChar w:fldCharType="separate"/>
            </w:r>
            <w:r>
              <w:rPr>
                <w:noProof/>
                <w:webHidden/>
              </w:rPr>
              <w:t>8</w:t>
            </w:r>
            <w:r>
              <w:rPr>
                <w:noProof/>
                <w:webHidden/>
              </w:rPr>
              <w:fldChar w:fldCharType="end"/>
            </w:r>
          </w:hyperlink>
        </w:p>
        <w:p w14:paraId="20CE934B" w14:textId="2B6E8659" w:rsidR="00EF5616" w:rsidRDefault="00EF5616">
          <w:pPr>
            <w:pStyle w:val="TOC2"/>
            <w:rPr>
              <w:rFonts w:asciiTheme="minorHAnsi" w:eastAsiaTheme="minorEastAsia" w:hAnsiTheme="minorHAnsi" w:cstheme="minorBidi"/>
              <w:b w:val="0"/>
              <w:noProof/>
              <w:sz w:val="22"/>
              <w:lang w:eastAsia="en-AU"/>
            </w:rPr>
          </w:pPr>
          <w:hyperlink w:anchor="_Toc95207528" w:history="1">
            <w:r w:rsidRPr="00B316DC">
              <w:rPr>
                <w:rStyle w:val="Hyperlink"/>
                <w:noProof/>
              </w:rPr>
              <w:t>Regulatory status</w:t>
            </w:r>
            <w:r>
              <w:rPr>
                <w:noProof/>
                <w:webHidden/>
              </w:rPr>
              <w:tab/>
            </w:r>
            <w:r>
              <w:rPr>
                <w:noProof/>
                <w:webHidden/>
              </w:rPr>
              <w:fldChar w:fldCharType="begin"/>
            </w:r>
            <w:r>
              <w:rPr>
                <w:noProof/>
                <w:webHidden/>
              </w:rPr>
              <w:instrText xml:space="preserve"> PAGEREF _Toc95207528 \h </w:instrText>
            </w:r>
            <w:r>
              <w:rPr>
                <w:noProof/>
                <w:webHidden/>
              </w:rPr>
            </w:r>
            <w:r>
              <w:rPr>
                <w:noProof/>
                <w:webHidden/>
              </w:rPr>
              <w:fldChar w:fldCharType="separate"/>
            </w:r>
            <w:r>
              <w:rPr>
                <w:noProof/>
                <w:webHidden/>
              </w:rPr>
              <w:t>9</w:t>
            </w:r>
            <w:r>
              <w:rPr>
                <w:noProof/>
                <w:webHidden/>
              </w:rPr>
              <w:fldChar w:fldCharType="end"/>
            </w:r>
          </w:hyperlink>
        </w:p>
        <w:p w14:paraId="2FF56296" w14:textId="691E3217" w:rsidR="00EF5616" w:rsidRDefault="00EF5616">
          <w:pPr>
            <w:pStyle w:val="TOC2"/>
            <w:rPr>
              <w:rFonts w:asciiTheme="minorHAnsi" w:eastAsiaTheme="minorEastAsia" w:hAnsiTheme="minorHAnsi" w:cstheme="minorBidi"/>
              <w:b w:val="0"/>
              <w:noProof/>
              <w:sz w:val="22"/>
              <w:lang w:eastAsia="en-AU"/>
            </w:rPr>
          </w:pPr>
          <w:hyperlink w:anchor="_Toc95207529" w:history="1">
            <w:r w:rsidRPr="00B316DC">
              <w:rPr>
                <w:rStyle w:val="Hyperlink"/>
                <w:noProof/>
              </w:rPr>
              <w:t>Product Information</w:t>
            </w:r>
            <w:r>
              <w:rPr>
                <w:noProof/>
                <w:webHidden/>
              </w:rPr>
              <w:tab/>
            </w:r>
            <w:r>
              <w:rPr>
                <w:noProof/>
                <w:webHidden/>
              </w:rPr>
              <w:fldChar w:fldCharType="begin"/>
            </w:r>
            <w:r>
              <w:rPr>
                <w:noProof/>
                <w:webHidden/>
              </w:rPr>
              <w:instrText xml:space="preserve"> PAGEREF _Toc95207529 \h </w:instrText>
            </w:r>
            <w:r>
              <w:rPr>
                <w:noProof/>
                <w:webHidden/>
              </w:rPr>
            </w:r>
            <w:r>
              <w:rPr>
                <w:noProof/>
                <w:webHidden/>
              </w:rPr>
              <w:fldChar w:fldCharType="separate"/>
            </w:r>
            <w:r>
              <w:rPr>
                <w:noProof/>
                <w:webHidden/>
              </w:rPr>
              <w:t>11</w:t>
            </w:r>
            <w:r>
              <w:rPr>
                <w:noProof/>
                <w:webHidden/>
              </w:rPr>
              <w:fldChar w:fldCharType="end"/>
            </w:r>
          </w:hyperlink>
        </w:p>
        <w:p w14:paraId="73D3F320" w14:textId="3A2FFF21" w:rsidR="00EF5616" w:rsidRDefault="00EF5616">
          <w:pPr>
            <w:pStyle w:val="TOC1"/>
            <w:rPr>
              <w:rFonts w:asciiTheme="minorHAnsi" w:eastAsiaTheme="minorEastAsia" w:hAnsiTheme="minorHAnsi" w:cstheme="minorBidi"/>
              <w:b w:val="0"/>
              <w:noProof/>
              <w:sz w:val="22"/>
              <w:lang w:eastAsia="en-AU"/>
            </w:rPr>
          </w:pPr>
          <w:hyperlink w:anchor="_Toc95207530" w:history="1">
            <w:r w:rsidRPr="00B316DC">
              <w:rPr>
                <w:rStyle w:val="Hyperlink"/>
                <w:noProof/>
              </w:rPr>
              <w:t>II. Registration timeline</w:t>
            </w:r>
            <w:r>
              <w:rPr>
                <w:noProof/>
                <w:webHidden/>
              </w:rPr>
              <w:tab/>
            </w:r>
            <w:r>
              <w:rPr>
                <w:noProof/>
                <w:webHidden/>
              </w:rPr>
              <w:fldChar w:fldCharType="begin"/>
            </w:r>
            <w:r>
              <w:rPr>
                <w:noProof/>
                <w:webHidden/>
              </w:rPr>
              <w:instrText xml:space="preserve"> PAGEREF _Toc95207530 \h </w:instrText>
            </w:r>
            <w:r>
              <w:rPr>
                <w:noProof/>
                <w:webHidden/>
              </w:rPr>
            </w:r>
            <w:r>
              <w:rPr>
                <w:noProof/>
                <w:webHidden/>
              </w:rPr>
              <w:fldChar w:fldCharType="separate"/>
            </w:r>
            <w:r>
              <w:rPr>
                <w:noProof/>
                <w:webHidden/>
              </w:rPr>
              <w:t>11</w:t>
            </w:r>
            <w:r>
              <w:rPr>
                <w:noProof/>
                <w:webHidden/>
              </w:rPr>
              <w:fldChar w:fldCharType="end"/>
            </w:r>
          </w:hyperlink>
        </w:p>
        <w:p w14:paraId="2522FC47" w14:textId="59A655EC" w:rsidR="00EF5616" w:rsidRDefault="00EF5616">
          <w:pPr>
            <w:pStyle w:val="TOC1"/>
            <w:rPr>
              <w:rFonts w:asciiTheme="minorHAnsi" w:eastAsiaTheme="minorEastAsia" w:hAnsiTheme="minorHAnsi" w:cstheme="minorBidi"/>
              <w:b w:val="0"/>
              <w:noProof/>
              <w:sz w:val="22"/>
              <w:lang w:eastAsia="en-AU"/>
            </w:rPr>
          </w:pPr>
          <w:hyperlink w:anchor="_Toc95207531" w:history="1">
            <w:r w:rsidRPr="00B316DC">
              <w:rPr>
                <w:rStyle w:val="Hyperlink"/>
                <w:noProof/>
              </w:rPr>
              <w:t>III. Submission overview and risk/benefit assessment</w:t>
            </w:r>
            <w:r>
              <w:rPr>
                <w:noProof/>
                <w:webHidden/>
              </w:rPr>
              <w:tab/>
            </w:r>
            <w:r>
              <w:rPr>
                <w:noProof/>
                <w:webHidden/>
              </w:rPr>
              <w:fldChar w:fldCharType="begin"/>
            </w:r>
            <w:r>
              <w:rPr>
                <w:noProof/>
                <w:webHidden/>
              </w:rPr>
              <w:instrText xml:space="preserve"> PAGEREF _Toc95207531 \h </w:instrText>
            </w:r>
            <w:r>
              <w:rPr>
                <w:noProof/>
                <w:webHidden/>
              </w:rPr>
            </w:r>
            <w:r>
              <w:rPr>
                <w:noProof/>
                <w:webHidden/>
              </w:rPr>
              <w:fldChar w:fldCharType="separate"/>
            </w:r>
            <w:r>
              <w:rPr>
                <w:noProof/>
                <w:webHidden/>
              </w:rPr>
              <w:t>12</w:t>
            </w:r>
            <w:r>
              <w:rPr>
                <w:noProof/>
                <w:webHidden/>
              </w:rPr>
              <w:fldChar w:fldCharType="end"/>
            </w:r>
          </w:hyperlink>
        </w:p>
        <w:p w14:paraId="4A34E7C4" w14:textId="27281687" w:rsidR="00EF5616" w:rsidRDefault="00EF5616">
          <w:pPr>
            <w:pStyle w:val="TOC2"/>
            <w:rPr>
              <w:rFonts w:asciiTheme="minorHAnsi" w:eastAsiaTheme="minorEastAsia" w:hAnsiTheme="minorHAnsi" w:cstheme="minorBidi"/>
              <w:b w:val="0"/>
              <w:noProof/>
              <w:sz w:val="22"/>
              <w:lang w:eastAsia="en-AU"/>
            </w:rPr>
          </w:pPr>
          <w:hyperlink w:anchor="_Toc95207532" w:history="1">
            <w:r w:rsidRPr="00B316DC">
              <w:rPr>
                <w:rStyle w:val="Hyperlink"/>
                <w:noProof/>
              </w:rPr>
              <w:t>Quality</w:t>
            </w:r>
            <w:r>
              <w:rPr>
                <w:noProof/>
                <w:webHidden/>
              </w:rPr>
              <w:tab/>
            </w:r>
            <w:r>
              <w:rPr>
                <w:noProof/>
                <w:webHidden/>
              </w:rPr>
              <w:fldChar w:fldCharType="begin"/>
            </w:r>
            <w:r>
              <w:rPr>
                <w:noProof/>
                <w:webHidden/>
              </w:rPr>
              <w:instrText xml:space="preserve"> PAGEREF _Toc95207532 \h </w:instrText>
            </w:r>
            <w:r>
              <w:rPr>
                <w:noProof/>
                <w:webHidden/>
              </w:rPr>
            </w:r>
            <w:r>
              <w:rPr>
                <w:noProof/>
                <w:webHidden/>
              </w:rPr>
              <w:fldChar w:fldCharType="separate"/>
            </w:r>
            <w:r>
              <w:rPr>
                <w:noProof/>
                <w:webHidden/>
              </w:rPr>
              <w:t>12</w:t>
            </w:r>
            <w:r>
              <w:rPr>
                <w:noProof/>
                <w:webHidden/>
              </w:rPr>
              <w:fldChar w:fldCharType="end"/>
            </w:r>
          </w:hyperlink>
        </w:p>
        <w:p w14:paraId="6AAC17FA" w14:textId="6B0A70A2" w:rsidR="00EF5616" w:rsidRDefault="00EF5616">
          <w:pPr>
            <w:pStyle w:val="TOC2"/>
            <w:rPr>
              <w:rFonts w:asciiTheme="minorHAnsi" w:eastAsiaTheme="minorEastAsia" w:hAnsiTheme="minorHAnsi" w:cstheme="minorBidi"/>
              <w:b w:val="0"/>
              <w:noProof/>
              <w:sz w:val="22"/>
              <w:lang w:eastAsia="en-AU"/>
            </w:rPr>
          </w:pPr>
          <w:hyperlink w:anchor="_Toc95207533" w:history="1">
            <w:r w:rsidRPr="00B316DC">
              <w:rPr>
                <w:rStyle w:val="Hyperlink"/>
                <w:noProof/>
              </w:rPr>
              <w:t>Nonclinical</w:t>
            </w:r>
            <w:r>
              <w:rPr>
                <w:noProof/>
                <w:webHidden/>
              </w:rPr>
              <w:tab/>
            </w:r>
            <w:r>
              <w:rPr>
                <w:noProof/>
                <w:webHidden/>
              </w:rPr>
              <w:fldChar w:fldCharType="begin"/>
            </w:r>
            <w:r>
              <w:rPr>
                <w:noProof/>
                <w:webHidden/>
              </w:rPr>
              <w:instrText xml:space="preserve"> PAGEREF _Toc95207533 \h </w:instrText>
            </w:r>
            <w:r>
              <w:rPr>
                <w:noProof/>
                <w:webHidden/>
              </w:rPr>
            </w:r>
            <w:r>
              <w:rPr>
                <w:noProof/>
                <w:webHidden/>
              </w:rPr>
              <w:fldChar w:fldCharType="separate"/>
            </w:r>
            <w:r>
              <w:rPr>
                <w:noProof/>
                <w:webHidden/>
              </w:rPr>
              <w:t>12</w:t>
            </w:r>
            <w:r>
              <w:rPr>
                <w:noProof/>
                <w:webHidden/>
              </w:rPr>
              <w:fldChar w:fldCharType="end"/>
            </w:r>
          </w:hyperlink>
        </w:p>
        <w:p w14:paraId="6720C07D" w14:textId="264680FF" w:rsidR="00EF5616" w:rsidRDefault="00EF5616">
          <w:pPr>
            <w:pStyle w:val="TOC2"/>
            <w:rPr>
              <w:rFonts w:asciiTheme="minorHAnsi" w:eastAsiaTheme="minorEastAsia" w:hAnsiTheme="minorHAnsi" w:cstheme="minorBidi"/>
              <w:b w:val="0"/>
              <w:noProof/>
              <w:sz w:val="22"/>
              <w:lang w:eastAsia="en-AU"/>
            </w:rPr>
          </w:pPr>
          <w:hyperlink w:anchor="_Toc95207534" w:history="1">
            <w:r w:rsidRPr="00B316DC">
              <w:rPr>
                <w:rStyle w:val="Hyperlink"/>
                <w:noProof/>
              </w:rPr>
              <w:t>Clinical</w:t>
            </w:r>
            <w:r>
              <w:rPr>
                <w:noProof/>
                <w:webHidden/>
              </w:rPr>
              <w:tab/>
            </w:r>
            <w:r>
              <w:rPr>
                <w:noProof/>
                <w:webHidden/>
              </w:rPr>
              <w:fldChar w:fldCharType="begin"/>
            </w:r>
            <w:r>
              <w:rPr>
                <w:noProof/>
                <w:webHidden/>
              </w:rPr>
              <w:instrText xml:space="preserve"> PAGEREF _Toc95207534 \h </w:instrText>
            </w:r>
            <w:r>
              <w:rPr>
                <w:noProof/>
                <w:webHidden/>
              </w:rPr>
            </w:r>
            <w:r>
              <w:rPr>
                <w:noProof/>
                <w:webHidden/>
              </w:rPr>
              <w:fldChar w:fldCharType="separate"/>
            </w:r>
            <w:r>
              <w:rPr>
                <w:noProof/>
                <w:webHidden/>
              </w:rPr>
              <w:t>12</w:t>
            </w:r>
            <w:r>
              <w:rPr>
                <w:noProof/>
                <w:webHidden/>
              </w:rPr>
              <w:fldChar w:fldCharType="end"/>
            </w:r>
          </w:hyperlink>
        </w:p>
        <w:p w14:paraId="6E85601C" w14:textId="1270A100" w:rsidR="00EF5616" w:rsidRDefault="00EF5616">
          <w:pPr>
            <w:pStyle w:val="TOC2"/>
            <w:rPr>
              <w:rFonts w:asciiTheme="minorHAnsi" w:eastAsiaTheme="minorEastAsia" w:hAnsiTheme="minorHAnsi" w:cstheme="minorBidi"/>
              <w:b w:val="0"/>
              <w:noProof/>
              <w:sz w:val="22"/>
              <w:lang w:eastAsia="en-AU"/>
            </w:rPr>
          </w:pPr>
          <w:hyperlink w:anchor="_Toc95207535" w:history="1">
            <w:r w:rsidRPr="00B316DC">
              <w:rPr>
                <w:rStyle w:val="Hyperlink"/>
                <w:noProof/>
                <w:lang w:eastAsia="en-AU"/>
              </w:rPr>
              <w:t>Risk management plan</w:t>
            </w:r>
            <w:r>
              <w:rPr>
                <w:noProof/>
                <w:webHidden/>
              </w:rPr>
              <w:tab/>
            </w:r>
            <w:r>
              <w:rPr>
                <w:noProof/>
                <w:webHidden/>
              </w:rPr>
              <w:fldChar w:fldCharType="begin"/>
            </w:r>
            <w:r>
              <w:rPr>
                <w:noProof/>
                <w:webHidden/>
              </w:rPr>
              <w:instrText xml:space="preserve"> PAGEREF _Toc95207535 \h </w:instrText>
            </w:r>
            <w:r>
              <w:rPr>
                <w:noProof/>
                <w:webHidden/>
              </w:rPr>
            </w:r>
            <w:r>
              <w:rPr>
                <w:noProof/>
                <w:webHidden/>
              </w:rPr>
              <w:fldChar w:fldCharType="separate"/>
            </w:r>
            <w:r>
              <w:rPr>
                <w:noProof/>
                <w:webHidden/>
              </w:rPr>
              <w:t>17</w:t>
            </w:r>
            <w:r>
              <w:rPr>
                <w:noProof/>
                <w:webHidden/>
              </w:rPr>
              <w:fldChar w:fldCharType="end"/>
            </w:r>
          </w:hyperlink>
        </w:p>
        <w:p w14:paraId="0DC5172C" w14:textId="287D29E6" w:rsidR="00EF5616" w:rsidRDefault="00EF5616">
          <w:pPr>
            <w:pStyle w:val="TOC2"/>
            <w:rPr>
              <w:rFonts w:asciiTheme="minorHAnsi" w:eastAsiaTheme="minorEastAsia" w:hAnsiTheme="minorHAnsi" w:cstheme="minorBidi"/>
              <w:b w:val="0"/>
              <w:noProof/>
              <w:sz w:val="22"/>
              <w:lang w:eastAsia="en-AU"/>
            </w:rPr>
          </w:pPr>
          <w:hyperlink w:anchor="_Toc95207536" w:history="1">
            <w:r w:rsidRPr="00B316DC">
              <w:rPr>
                <w:rStyle w:val="Hyperlink"/>
                <w:noProof/>
              </w:rPr>
              <w:t>Risk-benefit analysis</w:t>
            </w:r>
            <w:r>
              <w:rPr>
                <w:noProof/>
                <w:webHidden/>
              </w:rPr>
              <w:tab/>
            </w:r>
            <w:r>
              <w:rPr>
                <w:noProof/>
                <w:webHidden/>
              </w:rPr>
              <w:fldChar w:fldCharType="begin"/>
            </w:r>
            <w:r>
              <w:rPr>
                <w:noProof/>
                <w:webHidden/>
              </w:rPr>
              <w:instrText xml:space="preserve"> PAGEREF _Toc95207536 \h </w:instrText>
            </w:r>
            <w:r>
              <w:rPr>
                <w:noProof/>
                <w:webHidden/>
              </w:rPr>
            </w:r>
            <w:r>
              <w:rPr>
                <w:noProof/>
                <w:webHidden/>
              </w:rPr>
              <w:fldChar w:fldCharType="separate"/>
            </w:r>
            <w:r>
              <w:rPr>
                <w:noProof/>
                <w:webHidden/>
              </w:rPr>
              <w:t>17</w:t>
            </w:r>
            <w:r>
              <w:rPr>
                <w:noProof/>
                <w:webHidden/>
              </w:rPr>
              <w:fldChar w:fldCharType="end"/>
            </w:r>
          </w:hyperlink>
        </w:p>
        <w:p w14:paraId="5D16B658" w14:textId="50869182" w:rsidR="00EF5616" w:rsidRDefault="00EF5616">
          <w:pPr>
            <w:pStyle w:val="TOC2"/>
            <w:rPr>
              <w:rFonts w:asciiTheme="minorHAnsi" w:eastAsiaTheme="minorEastAsia" w:hAnsiTheme="minorHAnsi" w:cstheme="minorBidi"/>
              <w:b w:val="0"/>
              <w:noProof/>
              <w:sz w:val="22"/>
              <w:lang w:eastAsia="en-AU"/>
            </w:rPr>
          </w:pPr>
          <w:hyperlink w:anchor="_Toc95207537" w:history="1">
            <w:r w:rsidRPr="00B316DC">
              <w:rPr>
                <w:rStyle w:val="Hyperlink"/>
                <w:noProof/>
              </w:rPr>
              <w:t>Outcome</w:t>
            </w:r>
            <w:r>
              <w:rPr>
                <w:noProof/>
                <w:webHidden/>
              </w:rPr>
              <w:tab/>
            </w:r>
            <w:r>
              <w:rPr>
                <w:noProof/>
                <w:webHidden/>
              </w:rPr>
              <w:fldChar w:fldCharType="begin"/>
            </w:r>
            <w:r>
              <w:rPr>
                <w:noProof/>
                <w:webHidden/>
              </w:rPr>
              <w:instrText xml:space="preserve"> PAGEREF _Toc95207537 \h </w:instrText>
            </w:r>
            <w:r>
              <w:rPr>
                <w:noProof/>
                <w:webHidden/>
              </w:rPr>
            </w:r>
            <w:r>
              <w:rPr>
                <w:noProof/>
                <w:webHidden/>
              </w:rPr>
              <w:fldChar w:fldCharType="separate"/>
            </w:r>
            <w:r>
              <w:rPr>
                <w:noProof/>
                <w:webHidden/>
              </w:rPr>
              <w:t>20</w:t>
            </w:r>
            <w:r>
              <w:rPr>
                <w:noProof/>
                <w:webHidden/>
              </w:rPr>
              <w:fldChar w:fldCharType="end"/>
            </w:r>
          </w:hyperlink>
        </w:p>
        <w:p w14:paraId="4B5E331F" w14:textId="6D53C1B4" w:rsidR="00EF5616" w:rsidRDefault="00EF5616">
          <w:pPr>
            <w:pStyle w:val="TOC1"/>
            <w:rPr>
              <w:rFonts w:asciiTheme="minorHAnsi" w:eastAsiaTheme="minorEastAsia" w:hAnsiTheme="minorHAnsi" w:cstheme="minorBidi"/>
              <w:b w:val="0"/>
              <w:noProof/>
              <w:sz w:val="22"/>
              <w:lang w:eastAsia="en-AU"/>
            </w:rPr>
          </w:pPr>
          <w:hyperlink w:anchor="_Toc95207538" w:history="1">
            <w:r w:rsidRPr="00B316DC">
              <w:rPr>
                <w:rStyle w:val="Hyperlink"/>
                <w:noProof/>
              </w:rPr>
              <w:t>Attachment 1. Product Information</w:t>
            </w:r>
            <w:r>
              <w:rPr>
                <w:noProof/>
                <w:webHidden/>
              </w:rPr>
              <w:tab/>
            </w:r>
            <w:r>
              <w:rPr>
                <w:noProof/>
                <w:webHidden/>
              </w:rPr>
              <w:fldChar w:fldCharType="begin"/>
            </w:r>
            <w:r>
              <w:rPr>
                <w:noProof/>
                <w:webHidden/>
              </w:rPr>
              <w:instrText xml:space="preserve"> PAGEREF _Toc95207538 \h </w:instrText>
            </w:r>
            <w:r>
              <w:rPr>
                <w:noProof/>
                <w:webHidden/>
              </w:rPr>
            </w:r>
            <w:r>
              <w:rPr>
                <w:noProof/>
                <w:webHidden/>
              </w:rPr>
              <w:fldChar w:fldCharType="separate"/>
            </w:r>
            <w:r>
              <w:rPr>
                <w:noProof/>
                <w:webHidden/>
              </w:rPr>
              <w:t>24</w:t>
            </w:r>
            <w:r>
              <w:rPr>
                <w:noProof/>
                <w:webHidden/>
              </w:rPr>
              <w:fldChar w:fldCharType="end"/>
            </w:r>
          </w:hyperlink>
        </w:p>
        <w:p w14:paraId="4299C54E" w14:textId="77DC0E57" w:rsidR="003A7F6C" w:rsidRPr="00B811C6" w:rsidRDefault="00C525A2" w:rsidP="00B811C6">
          <w:pPr>
            <w:pStyle w:val="TOC2"/>
          </w:pPr>
          <w:r>
            <w:fldChar w:fldCharType="end"/>
          </w:r>
        </w:p>
      </w:sdtContent>
    </w:sdt>
    <w:bookmarkStart w:id="2" w:name="_Toc314842482" w:displacedByCustomXml="prev"/>
    <w:p w14:paraId="20332704" w14:textId="77777777" w:rsidR="00FD119B" w:rsidRDefault="00FD119B">
      <w:pPr>
        <w:spacing w:before="0" w:after="200" w:line="0" w:lineRule="auto"/>
      </w:pPr>
      <w:r>
        <w:br w:type="page"/>
      </w:r>
    </w:p>
    <w:p w14:paraId="656C8A96" w14:textId="77777777" w:rsidR="00FD119B" w:rsidRDefault="00324E45" w:rsidP="004F0C4A">
      <w:pPr>
        <w:pStyle w:val="Heading2"/>
      </w:pPr>
      <w:bookmarkStart w:id="3" w:name="_Toc351716269"/>
      <w:bookmarkStart w:id="4" w:name="_Toc351718881"/>
      <w:bookmarkStart w:id="5" w:name="_Toc355338616"/>
      <w:bookmarkStart w:id="6" w:name="_Toc356306144"/>
      <w:bookmarkStart w:id="7" w:name="_Toc95207524"/>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9"/>
        <w:gridCol w:w="6695"/>
      </w:tblGrid>
      <w:tr w:rsidR="00EB08C6" w:rsidRPr="00FD119B" w14:paraId="2E976B78" w14:textId="77777777" w:rsidTr="00755B32">
        <w:trPr>
          <w:cnfStyle w:val="100000000000" w:firstRow="1" w:lastRow="0" w:firstColumn="0" w:lastColumn="0" w:oddVBand="0" w:evenVBand="0" w:oddHBand="0" w:evenHBand="0" w:firstRowFirstColumn="0" w:firstRowLastColumn="0" w:lastRowFirstColumn="0" w:lastRowLastColumn="0"/>
        </w:trPr>
        <w:tc>
          <w:tcPr>
            <w:tcW w:w="1799" w:type="dxa"/>
            <w:tcBorders>
              <w:top w:val="single" w:sz="4" w:space="0" w:color="auto"/>
              <w:left w:val="single" w:sz="4" w:space="0" w:color="auto"/>
              <w:bottom w:val="single" w:sz="4" w:space="0" w:color="auto"/>
              <w:right w:val="single" w:sz="4" w:space="0" w:color="auto"/>
            </w:tcBorders>
          </w:tcPr>
          <w:p w14:paraId="31B14237" w14:textId="77777777" w:rsidR="00EB08C6" w:rsidRPr="00FD119B" w:rsidRDefault="00EB08C6" w:rsidP="00755B32">
            <w:pPr>
              <w:keepNext w:val="0"/>
              <w:ind w:left="0" w:right="0"/>
              <w:rPr>
                <w:szCs w:val="22"/>
                <w:lang w:eastAsia="en-US"/>
              </w:rPr>
            </w:pPr>
            <w:r w:rsidRPr="00FD119B">
              <w:rPr>
                <w:szCs w:val="22"/>
                <w:lang w:eastAsia="en-US"/>
              </w:rPr>
              <w:t>Abbreviation</w:t>
            </w:r>
          </w:p>
        </w:tc>
        <w:tc>
          <w:tcPr>
            <w:tcW w:w="6695" w:type="dxa"/>
            <w:tcBorders>
              <w:top w:val="single" w:sz="4" w:space="0" w:color="auto"/>
              <w:left w:val="single" w:sz="4" w:space="0" w:color="auto"/>
              <w:bottom w:val="single" w:sz="4" w:space="0" w:color="auto"/>
              <w:right w:val="single" w:sz="4" w:space="0" w:color="auto"/>
            </w:tcBorders>
          </w:tcPr>
          <w:p w14:paraId="7845F365" w14:textId="77777777" w:rsidR="00EB08C6" w:rsidRPr="00FD119B" w:rsidRDefault="00EB08C6" w:rsidP="00755B32">
            <w:pPr>
              <w:keepNext w:val="0"/>
              <w:ind w:left="0" w:right="0"/>
              <w:rPr>
                <w:szCs w:val="22"/>
                <w:lang w:eastAsia="en-US"/>
              </w:rPr>
            </w:pPr>
            <w:r w:rsidRPr="00FD119B">
              <w:rPr>
                <w:szCs w:val="22"/>
                <w:lang w:eastAsia="en-US"/>
              </w:rPr>
              <w:t>Meaning</w:t>
            </w:r>
          </w:p>
        </w:tc>
      </w:tr>
      <w:tr w:rsidR="00EB08C6" w:rsidRPr="00FD119B" w14:paraId="52DEC955" w14:textId="77777777" w:rsidTr="00755B32">
        <w:tc>
          <w:tcPr>
            <w:tcW w:w="1799" w:type="dxa"/>
          </w:tcPr>
          <w:p w14:paraId="0202A527" w14:textId="77777777" w:rsidR="00EB08C6" w:rsidRDefault="00EB08C6" w:rsidP="00755B32">
            <w:r>
              <w:t>ACV</w:t>
            </w:r>
          </w:p>
        </w:tc>
        <w:tc>
          <w:tcPr>
            <w:tcW w:w="6695" w:type="dxa"/>
          </w:tcPr>
          <w:p w14:paraId="3A867261" w14:textId="77777777" w:rsidR="00EB08C6" w:rsidRDefault="00EB08C6" w:rsidP="00755B32">
            <w:r w:rsidRPr="00456765">
              <w:rPr>
                <w:bCs/>
              </w:rPr>
              <w:t xml:space="preserve">Advisory Committee on </w:t>
            </w:r>
            <w:r>
              <w:rPr>
                <w:bCs/>
              </w:rPr>
              <w:t>Vaccines</w:t>
            </w:r>
          </w:p>
        </w:tc>
      </w:tr>
      <w:tr w:rsidR="00EB08C6" w:rsidRPr="00FD119B" w14:paraId="15C42F4A" w14:textId="77777777" w:rsidTr="00755B32">
        <w:tc>
          <w:tcPr>
            <w:tcW w:w="1799" w:type="dxa"/>
          </w:tcPr>
          <w:p w14:paraId="47DEA768" w14:textId="77777777" w:rsidR="00EB08C6" w:rsidRDefault="00EB08C6" w:rsidP="00755B32">
            <w:r>
              <w:t>AE</w:t>
            </w:r>
          </w:p>
        </w:tc>
        <w:tc>
          <w:tcPr>
            <w:tcW w:w="6695" w:type="dxa"/>
          </w:tcPr>
          <w:p w14:paraId="43C91F57" w14:textId="77777777" w:rsidR="00EB08C6" w:rsidRPr="006B5AAB" w:rsidRDefault="00EB08C6" w:rsidP="00755B32">
            <w:r>
              <w:t>Adverse event</w:t>
            </w:r>
          </w:p>
        </w:tc>
      </w:tr>
      <w:tr w:rsidR="00EB08C6" w:rsidRPr="00FD119B" w14:paraId="0E2E03C2" w14:textId="77777777" w:rsidTr="00755B32">
        <w:tc>
          <w:tcPr>
            <w:tcW w:w="1799" w:type="dxa"/>
          </w:tcPr>
          <w:p w14:paraId="2256E5D4" w14:textId="77777777" w:rsidR="00EB08C6" w:rsidRDefault="00EB08C6" w:rsidP="00755B32">
            <w:r>
              <w:t>AESI</w:t>
            </w:r>
          </w:p>
        </w:tc>
        <w:tc>
          <w:tcPr>
            <w:tcW w:w="6695" w:type="dxa"/>
          </w:tcPr>
          <w:p w14:paraId="7ABBB57A" w14:textId="77777777" w:rsidR="00EB08C6" w:rsidRPr="006B5AAB" w:rsidRDefault="00EB08C6" w:rsidP="00755B32">
            <w:r>
              <w:t>Adverse event of special interest</w:t>
            </w:r>
          </w:p>
        </w:tc>
      </w:tr>
      <w:tr w:rsidR="007E5DA1" w:rsidRPr="00FD119B" w14:paraId="0D96E7E2" w14:textId="77777777" w:rsidTr="00755B32">
        <w:tc>
          <w:tcPr>
            <w:tcW w:w="1799" w:type="dxa"/>
          </w:tcPr>
          <w:p w14:paraId="75CE181C" w14:textId="7F0E4BA2" w:rsidR="007E5DA1" w:rsidRPr="007E5DA1" w:rsidRDefault="007E5DA1" w:rsidP="00755B32">
            <w:r w:rsidRPr="007E5DA1">
              <w:t>ARGPM</w:t>
            </w:r>
          </w:p>
        </w:tc>
        <w:tc>
          <w:tcPr>
            <w:tcW w:w="6695" w:type="dxa"/>
          </w:tcPr>
          <w:p w14:paraId="7E7FF2EA" w14:textId="7BD4D2E3" w:rsidR="007E5DA1" w:rsidRPr="007E5DA1" w:rsidRDefault="007E5DA1" w:rsidP="00755B32">
            <w:r w:rsidRPr="007E5DA1">
              <w:t>Australian Regulatory Guidelines for Prescription Medicines</w:t>
            </w:r>
          </w:p>
        </w:tc>
      </w:tr>
      <w:tr w:rsidR="00EB08C6" w:rsidRPr="00FD119B" w14:paraId="148ECF63" w14:textId="77777777" w:rsidTr="00755B32">
        <w:tc>
          <w:tcPr>
            <w:tcW w:w="1799" w:type="dxa"/>
          </w:tcPr>
          <w:p w14:paraId="1652D576" w14:textId="77777777" w:rsidR="00EB08C6" w:rsidRPr="00FD119B" w:rsidRDefault="00EB08C6" w:rsidP="00755B32">
            <w:r>
              <w:t>ARTG</w:t>
            </w:r>
          </w:p>
        </w:tc>
        <w:tc>
          <w:tcPr>
            <w:tcW w:w="6695" w:type="dxa"/>
          </w:tcPr>
          <w:p w14:paraId="02D3DB40" w14:textId="77777777" w:rsidR="00EB08C6" w:rsidRPr="00FD119B" w:rsidRDefault="00EB08C6" w:rsidP="00755B32">
            <w:r w:rsidRPr="00460036">
              <w:t>Australian Register of Therapeutic Goods</w:t>
            </w:r>
          </w:p>
        </w:tc>
      </w:tr>
      <w:tr w:rsidR="00EB08C6" w:rsidRPr="00FD119B" w14:paraId="3FAE088C" w14:textId="77777777" w:rsidTr="00755B32">
        <w:tc>
          <w:tcPr>
            <w:tcW w:w="1799" w:type="dxa"/>
          </w:tcPr>
          <w:p w14:paraId="45B6D817" w14:textId="77777777" w:rsidR="00EB08C6" w:rsidRDefault="00EB08C6" w:rsidP="00755B32">
            <w:r>
              <w:t>BMI</w:t>
            </w:r>
          </w:p>
        </w:tc>
        <w:tc>
          <w:tcPr>
            <w:tcW w:w="6695" w:type="dxa"/>
          </w:tcPr>
          <w:p w14:paraId="128CD402" w14:textId="77777777" w:rsidR="00EB08C6" w:rsidRPr="006B5AAB" w:rsidRDefault="00EB08C6" w:rsidP="00755B32">
            <w:r>
              <w:t>Body mass index</w:t>
            </w:r>
          </w:p>
        </w:tc>
      </w:tr>
      <w:tr w:rsidR="00EB08C6" w:rsidRPr="00FD119B" w14:paraId="2E021C61" w14:textId="77777777" w:rsidTr="00755B32">
        <w:tc>
          <w:tcPr>
            <w:tcW w:w="1799" w:type="dxa"/>
          </w:tcPr>
          <w:p w14:paraId="128AC911" w14:textId="77777777" w:rsidR="00EB08C6" w:rsidRDefault="00EB08C6" w:rsidP="00755B32">
            <w:r>
              <w:t>CDC</w:t>
            </w:r>
          </w:p>
        </w:tc>
        <w:tc>
          <w:tcPr>
            <w:tcW w:w="6695" w:type="dxa"/>
          </w:tcPr>
          <w:p w14:paraId="71503B5C" w14:textId="77777777" w:rsidR="00EB08C6" w:rsidRPr="00755E11" w:rsidRDefault="00EB08C6" w:rsidP="00755B32">
            <w:pPr>
              <w:rPr>
                <w:b/>
                <w:bCs/>
              </w:rPr>
            </w:pPr>
            <w:proofErr w:type="spellStart"/>
            <w:r w:rsidRPr="006B5AAB">
              <w:t>Centers</w:t>
            </w:r>
            <w:proofErr w:type="spellEnd"/>
            <w:r w:rsidRPr="006B5AAB">
              <w:t xml:space="preserve"> for Disease Control and Prevention</w:t>
            </w:r>
            <w:r>
              <w:t xml:space="preserve"> (United States of America)</w:t>
            </w:r>
          </w:p>
        </w:tc>
      </w:tr>
      <w:tr w:rsidR="00EB08C6" w:rsidRPr="00FD119B" w14:paraId="25800E11" w14:textId="77777777" w:rsidTr="00755B32">
        <w:tc>
          <w:tcPr>
            <w:tcW w:w="1799" w:type="dxa"/>
          </w:tcPr>
          <w:p w14:paraId="220774B4" w14:textId="77777777" w:rsidR="00EB08C6" w:rsidRDefault="00EB08C6" w:rsidP="00755B32">
            <w:r>
              <w:t>CI</w:t>
            </w:r>
          </w:p>
        </w:tc>
        <w:tc>
          <w:tcPr>
            <w:tcW w:w="6695" w:type="dxa"/>
          </w:tcPr>
          <w:p w14:paraId="1314F177" w14:textId="77777777" w:rsidR="00EB08C6" w:rsidRPr="006B5AAB" w:rsidRDefault="00EB08C6" w:rsidP="00755B32">
            <w:r>
              <w:t>Confidence interval</w:t>
            </w:r>
          </w:p>
        </w:tc>
      </w:tr>
      <w:tr w:rsidR="007E5DA1" w:rsidRPr="00FD119B" w14:paraId="04277F2A" w14:textId="77777777" w:rsidTr="00755B32">
        <w:tc>
          <w:tcPr>
            <w:tcW w:w="1799" w:type="dxa"/>
          </w:tcPr>
          <w:p w14:paraId="7BEC2234" w14:textId="749E2B49" w:rsidR="007E5DA1" w:rsidRPr="007E5DA1" w:rsidRDefault="007E5DA1" w:rsidP="00755B32">
            <w:r w:rsidRPr="007E5DA1">
              <w:t>CMI</w:t>
            </w:r>
          </w:p>
        </w:tc>
        <w:tc>
          <w:tcPr>
            <w:tcW w:w="6695" w:type="dxa"/>
          </w:tcPr>
          <w:p w14:paraId="2CE9106A" w14:textId="13C5FAA4" w:rsidR="007E5DA1" w:rsidRPr="007E5DA1" w:rsidRDefault="007E5DA1" w:rsidP="00755B32">
            <w:r w:rsidRPr="007E5DA1">
              <w:t>Consumer Medicines Information</w:t>
            </w:r>
          </w:p>
        </w:tc>
      </w:tr>
      <w:tr w:rsidR="00EB08C6" w:rsidRPr="00FD119B" w14:paraId="326A1B74" w14:textId="77777777" w:rsidTr="00755B32">
        <w:tc>
          <w:tcPr>
            <w:tcW w:w="1799" w:type="dxa"/>
          </w:tcPr>
          <w:p w14:paraId="3CA85F9E" w14:textId="77777777" w:rsidR="00EB08C6" w:rsidRPr="00FD119B" w:rsidRDefault="00EB08C6" w:rsidP="00755B32">
            <w:r>
              <w:t>COVID-19</w:t>
            </w:r>
          </w:p>
        </w:tc>
        <w:tc>
          <w:tcPr>
            <w:tcW w:w="6695" w:type="dxa"/>
          </w:tcPr>
          <w:p w14:paraId="22690824" w14:textId="77777777" w:rsidR="00EB08C6" w:rsidRPr="00FD119B" w:rsidRDefault="00EB08C6" w:rsidP="00755B32">
            <w:r w:rsidRPr="00765D5A">
              <w:rPr>
                <w:lang w:eastAsia="ja-JP"/>
              </w:rPr>
              <w:t>Coronavirus disease 2019</w:t>
            </w:r>
          </w:p>
        </w:tc>
      </w:tr>
      <w:tr w:rsidR="007E5DA1" w:rsidRPr="00FD119B" w14:paraId="607849A4" w14:textId="77777777" w:rsidTr="00755B32">
        <w:tc>
          <w:tcPr>
            <w:tcW w:w="1799" w:type="dxa"/>
          </w:tcPr>
          <w:p w14:paraId="02D058EF" w14:textId="264E019A" w:rsidR="007E5DA1" w:rsidRPr="007E5DA1" w:rsidRDefault="007E5DA1" w:rsidP="00755B32">
            <w:r w:rsidRPr="007E5DA1">
              <w:t>CPD</w:t>
            </w:r>
          </w:p>
        </w:tc>
        <w:tc>
          <w:tcPr>
            <w:tcW w:w="6695" w:type="dxa"/>
          </w:tcPr>
          <w:p w14:paraId="0DF08DB0" w14:textId="2130BA15" w:rsidR="007E5DA1" w:rsidRPr="007E5DA1" w:rsidRDefault="007E5DA1" w:rsidP="00755B32">
            <w:pPr>
              <w:rPr>
                <w:lang w:eastAsia="ja-JP"/>
              </w:rPr>
            </w:pPr>
            <w:r w:rsidRPr="007E5DA1">
              <w:t>Certified Product Details</w:t>
            </w:r>
          </w:p>
        </w:tc>
      </w:tr>
      <w:tr w:rsidR="00EB08C6" w:rsidRPr="00FD119B" w14:paraId="5FBCA72A" w14:textId="77777777" w:rsidTr="00755B32">
        <w:tc>
          <w:tcPr>
            <w:tcW w:w="1799" w:type="dxa"/>
          </w:tcPr>
          <w:p w14:paraId="2BAC0AD5" w14:textId="77777777" w:rsidR="00EB08C6" w:rsidRDefault="00EB08C6" w:rsidP="00755B32">
            <w:r>
              <w:t>CSR</w:t>
            </w:r>
          </w:p>
        </w:tc>
        <w:tc>
          <w:tcPr>
            <w:tcW w:w="6695" w:type="dxa"/>
          </w:tcPr>
          <w:p w14:paraId="0228511E" w14:textId="77777777" w:rsidR="00EB08C6" w:rsidRDefault="00EB08C6" w:rsidP="00755B32">
            <w:r>
              <w:t>Complete study report</w:t>
            </w:r>
          </w:p>
        </w:tc>
      </w:tr>
      <w:tr w:rsidR="00EB08C6" w:rsidRPr="00FD119B" w14:paraId="47F265DC" w14:textId="77777777" w:rsidTr="00755B32">
        <w:tc>
          <w:tcPr>
            <w:tcW w:w="1799" w:type="dxa"/>
          </w:tcPr>
          <w:p w14:paraId="6365EA19" w14:textId="77777777" w:rsidR="00EB08C6" w:rsidRDefault="00EB08C6" w:rsidP="00755B32">
            <w:r>
              <w:t>DMC</w:t>
            </w:r>
          </w:p>
        </w:tc>
        <w:tc>
          <w:tcPr>
            <w:tcW w:w="6695" w:type="dxa"/>
          </w:tcPr>
          <w:p w14:paraId="57D2AAE1" w14:textId="77777777" w:rsidR="00EB08C6" w:rsidRDefault="00EB08C6" w:rsidP="00755B32">
            <w:r>
              <w:t>Data monitoring committee</w:t>
            </w:r>
          </w:p>
        </w:tc>
      </w:tr>
      <w:tr w:rsidR="007E5DA1" w:rsidRPr="00FD119B" w14:paraId="7B747D12" w14:textId="77777777" w:rsidTr="00755B32">
        <w:tc>
          <w:tcPr>
            <w:tcW w:w="1799" w:type="dxa"/>
          </w:tcPr>
          <w:p w14:paraId="496EC34D" w14:textId="076BA6BD" w:rsidR="007E5DA1" w:rsidRDefault="007E5DA1" w:rsidP="00755B32">
            <w:r w:rsidRPr="007E5DA1">
              <w:t>DP</w:t>
            </w:r>
          </w:p>
        </w:tc>
        <w:tc>
          <w:tcPr>
            <w:tcW w:w="6695" w:type="dxa"/>
          </w:tcPr>
          <w:p w14:paraId="394732CC" w14:textId="2E0D767B" w:rsidR="007E5DA1" w:rsidRDefault="007E5DA1" w:rsidP="00755B32">
            <w:r>
              <w:t>D</w:t>
            </w:r>
            <w:r w:rsidRPr="007E5DA1">
              <w:t>rug product</w:t>
            </w:r>
          </w:p>
        </w:tc>
      </w:tr>
      <w:tr w:rsidR="007E5DA1" w:rsidRPr="00FD119B" w14:paraId="5B726A34" w14:textId="77777777" w:rsidTr="00755B32">
        <w:tc>
          <w:tcPr>
            <w:tcW w:w="1799" w:type="dxa"/>
          </w:tcPr>
          <w:p w14:paraId="7A59687E" w14:textId="3253E61F" w:rsidR="007E5DA1" w:rsidRDefault="007E5DA1" w:rsidP="00755B32">
            <w:r w:rsidRPr="007E5DA1">
              <w:t>DS</w:t>
            </w:r>
          </w:p>
        </w:tc>
        <w:tc>
          <w:tcPr>
            <w:tcW w:w="6695" w:type="dxa"/>
          </w:tcPr>
          <w:p w14:paraId="530AABEC" w14:textId="182A1DFA" w:rsidR="007E5DA1" w:rsidRDefault="007E5DA1" w:rsidP="00755B32">
            <w:r>
              <w:t>D</w:t>
            </w:r>
            <w:r w:rsidRPr="007E5DA1">
              <w:t>rug substance</w:t>
            </w:r>
          </w:p>
        </w:tc>
      </w:tr>
      <w:tr w:rsidR="00EB08C6" w:rsidRPr="00FD119B" w14:paraId="06ECEEF8" w14:textId="77777777" w:rsidTr="00755B32">
        <w:tc>
          <w:tcPr>
            <w:tcW w:w="1799" w:type="dxa"/>
          </w:tcPr>
          <w:p w14:paraId="393A86E2" w14:textId="77777777" w:rsidR="00EB08C6" w:rsidRPr="00FD119B" w:rsidRDefault="00EB08C6" w:rsidP="00755B32">
            <w:r>
              <w:t>EU</w:t>
            </w:r>
          </w:p>
        </w:tc>
        <w:tc>
          <w:tcPr>
            <w:tcW w:w="6695" w:type="dxa"/>
          </w:tcPr>
          <w:p w14:paraId="15555D67" w14:textId="77777777" w:rsidR="00EB08C6" w:rsidRPr="00FD119B" w:rsidRDefault="00EB08C6" w:rsidP="00755B32">
            <w:r>
              <w:t>European Union</w:t>
            </w:r>
          </w:p>
        </w:tc>
      </w:tr>
      <w:tr w:rsidR="00EB08C6" w:rsidRPr="00FD119B" w14:paraId="42109763" w14:textId="77777777" w:rsidTr="00755B32">
        <w:tc>
          <w:tcPr>
            <w:tcW w:w="1799" w:type="dxa"/>
          </w:tcPr>
          <w:p w14:paraId="4A985C90" w14:textId="77777777" w:rsidR="00EB08C6" w:rsidRDefault="00EB08C6" w:rsidP="00755B32">
            <w:r>
              <w:t>EUA</w:t>
            </w:r>
          </w:p>
        </w:tc>
        <w:tc>
          <w:tcPr>
            <w:tcW w:w="6695" w:type="dxa"/>
          </w:tcPr>
          <w:p w14:paraId="5223CA31" w14:textId="2AC20128" w:rsidR="00EB08C6" w:rsidRDefault="00EB08C6" w:rsidP="00755B32">
            <w:r w:rsidRPr="00765D5A">
              <w:t>Emergency Use Authori</w:t>
            </w:r>
            <w:r>
              <w:t>z</w:t>
            </w:r>
            <w:r w:rsidRPr="00765D5A">
              <w:t>ation</w:t>
            </w:r>
            <w:r w:rsidR="00755B32">
              <w:t xml:space="preserve"> (United States of America)</w:t>
            </w:r>
          </w:p>
        </w:tc>
      </w:tr>
      <w:tr w:rsidR="00EB08C6" w:rsidRPr="00FD119B" w14:paraId="18EBE7F2" w14:textId="77777777" w:rsidTr="00755B32">
        <w:tc>
          <w:tcPr>
            <w:tcW w:w="1799" w:type="dxa"/>
          </w:tcPr>
          <w:p w14:paraId="118C85C9" w14:textId="77777777" w:rsidR="00EB08C6" w:rsidRDefault="00EB08C6" w:rsidP="00755B32">
            <w:r>
              <w:t>FDA</w:t>
            </w:r>
          </w:p>
        </w:tc>
        <w:tc>
          <w:tcPr>
            <w:tcW w:w="6695" w:type="dxa"/>
          </w:tcPr>
          <w:p w14:paraId="56F53B2C" w14:textId="77777777" w:rsidR="00EB08C6" w:rsidRDefault="00EB08C6" w:rsidP="00755B32">
            <w:r>
              <w:t>Food and Drug Administration (United States of America)</w:t>
            </w:r>
          </w:p>
        </w:tc>
      </w:tr>
      <w:tr w:rsidR="007E5DA1" w:rsidRPr="00FD119B" w14:paraId="7DB44382" w14:textId="77777777" w:rsidTr="00755B32">
        <w:tc>
          <w:tcPr>
            <w:tcW w:w="1799" w:type="dxa"/>
          </w:tcPr>
          <w:p w14:paraId="15373657" w14:textId="5C89649F" w:rsidR="007E5DA1" w:rsidRPr="007E5DA1" w:rsidRDefault="007E5DA1" w:rsidP="00755B32">
            <w:r w:rsidRPr="007E5DA1">
              <w:t>GMP</w:t>
            </w:r>
          </w:p>
        </w:tc>
        <w:tc>
          <w:tcPr>
            <w:tcW w:w="6695" w:type="dxa"/>
          </w:tcPr>
          <w:p w14:paraId="022C6F3E" w14:textId="75D48FE6" w:rsidR="007E5DA1" w:rsidRPr="007E5DA1" w:rsidRDefault="007E5DA1" w:rsidP="00755B32">
            <w:r w:rsidRPr="007E5DA1">
              <w:t>Good Manufacturing Practice</w:t>
            </w:r>
          </w:p>
        </w:tc>
      </w:tr>
      <w:tr w:rsidR="007E5DA1" w:rsidRPr="00FD119B" w14:paraId="69D109C5" w14:textId="77777777" w:rsidTr="00755B32">
        <w:tc>
          <w:tcPr>
            <w:tcW w:w="1799" w:type="dxa"/>
          </w:tcPr>
          <w:p w14:paraId="4510C316" w14:textId="75E61A5D" w:rsidR="007E5DA1" w:rsidRPr="007E5DA1" w:rsidRDefault="007E5DA1" w:rsidP="00755B32">
            <w:r w:rsidRPr="007E5DA1">
              <w:t>GVP</w:t>
            </w:r>
          </w:p>
        </w:tc>
        <w:tc>
          <w:tcPr>
            <w:tcW w:w="6695" w:type="dxa"/>
          </w:tcPr>
          <w:p w14:paraId="2F18E9E0" w14:textId="524B106C" w:rsidR="007E5DA1" w:rsidRPr="007E5DA1" w:rsidRDefault="007E5DA1" w:rsidP="00755B32">
            <w:r w:rsidRPr="007E5DA1">
              <w:t>Good Pharmacovigilance Practices</w:t>
            </w:r>
          </w:p>
        </w:tc>
      </w:tr>
      <w:tr w:rsidR="007E5DA1" w:rsidRPr="00FD119B" w14:paraId="02EDF87C" w14:textId="77777777" w:rsidTr="00755B32">
        <w:tc>
          <w:tcPr>
            <w:tcW w:w="1799" w:type="dxa"/>
          </w:tcPr>
          <w:p w14:paraId="0C585B6A" w14:textId="7CEF88DA" w:rsidR="007E5DA1" w:rsidRPr="007E5DA1" w:rsidRDefault="007E5DA1" w:rsidP="00755B32">
            <w:r w:rsidRPr="007E5DA1">
              <w:t>ICH</w:t>
            </w:r>
          </w:p>
        </w:tc>
        <w:tc>
          <w:tcPr>
            <w:tcW w:w="6695" w:type="dxa"/>
          </w:tcPr>
          <w:p w14:paraId="34B79C25" w14:textId="319BC05B" w:rsidR="007E5DA1" w:rsidRPr="007E5DA1" w:rsidRDefault="007E5DA1" w:rsidP="00755B32">
            <w:r w:rsidRPr="007E5DA1">
              <w:t>International Council for Harmonisation</w:t>
            </w:r>
          </w:p>
        </w:tc>
      </w:tr>
      <w:tr w:rsidR="007E5DA1" w:rsidRPr="00FD119B" w14:paraId="2443E263" w14:textId="77777777" w:rsidTr="00755B32">
        <w:tc>
          <w:tcPr>
            <w:tcW w:w="1799" w:type="dxa"/>
          </w:tcPr>
          <w:p w14:paraId="6F6D4BA3" w14:textId="28E2FC82" w:rsidR="007E5DA1" w:rsidRPr="007E5DA1" w:rsidRDefault="007E5DA1" w:rsidP="00755B32">
            <w:r w:rsidRPr="007E5DA1">
              <w:t>OCABR</w:t>
            </w:r>
          </w:p>
        </w:tc>
        <w:tc>
          <w:tcPr>
            <w:tcW w:w="6695" w:type="dxa"/>
          </w:tcPr>
          <w:p w14:paraId="4EFB9304" w14:textId="54BF21BE" w:rsidR="007E5DA1" w:rsidRPr="007E5DA1" w:rsidRDefault="007E5DA1" w:rsidP="00755B32">
            <w:r w:rsidRPr="007E5DA1">
              <w:t>Official Control Authority Batch Release</w:t>
            </w:r>
          </w:p>
        </w:tc>
      </w:tr>
      <w:tr w:rsidR="00EB08C6" w:rsidRPr="00FD119B" w14:paraId="05A83AFD" w14:textId="77777777" w:rsidTr="00755B32">
        <w:tc>
          <w:tcPr>
            <w:tcW w:w="1799" w:type="dxa"/>
          </w:tcPr>
          <w:p w14:paraId="2D2DE40A" w14:textId="77777777" w:rsidR="00EB08C6" w:rsidRPr="00FD119B" w:rsidRDefault="00EB08C6" w:rsidP="00755B32">
            <w:r>
              <w:t>PI</w:t>
            </w:r>
          </w:p>
        </w:tc>
        <w:tc>
          <w:tcPr>
            <w:tcW w:w="6695" w:type="dxa"/>
          </w:tcPr>
          <w:p w14:paraId="54922527" w14:textId="77777777" w:rsidR="00EB08C6" w:rsidRPr="00FD119B" w:rsidRDefault="00EB08C6" w:rsidP="00755B32">
            <w:r>
              <w:t>Product Information</w:t>
            </w:r>
          </w:p>
        </w:tc>
      </w:tr>
      <w:tr w:rsidR="007E5DA1" w:rsidRPr="00FD119B" w14:paraId="397BB673" w14:textId="77777777" w:rsidTr="00755B32">
        <w:tc>
          <w:tcPr>
            <w:tcW w:w="1799" w:type="dxa"/>
          </w:tcPr>
          <w:p w14:paraId="002839F8" w14:textId="2BEF0ADC" w:rsidR="007E5DA1" w:rsidRPr="007E5DA1" w:rsidRDefault="007E5DA1" w:rsidP="00755B32">
            <w:r w:rsidRPr="007E5DA1">
              <w:t>PRM</w:t>
            </w:r>
          </w:p>
        </w:tc>
        <w:tc>
          <w:tcPr>
            <w:tcW w:w="6695" w:type="dxa"/>
          </w:tcPr>
          <w:p w14:paraId="224483A9" w14:textId="7704158C" w:rsidR="007E5DA1" w:rsidRPr="007E5DA1" w:rsidRDefault="007E5DA1" w:rsidP="00755B32">
            <w:r w:rsidRPr="007E5DA1">
              <w:t>Primary reference material</w:t>
            </w:r>
            <w:r>
              <w:t>(s)</w:t>
            </w:r>
          </w:p>
        </w:tc>
      </w:tr>
      <w:tr w:rsidR="007E5DA1" w:rsidRPr="00FD119B" w14:paraId="56283554" w14:textId="77777777" w:rsidTr="00755B32">
        <w:tc>
          <w:tcPr>
            <w:tcW w:w="1799" w:type="dxa"/>
          </w:tcPr>
          <w:p w14:paraId="1D0E7E00" w14:textId="59191F2A" w:rsidR="007E5DA1" w:rsidRPr="007E5DA1" w:rsidRDefault="007E5DA1" w:rsidP="00755B32">
            <w:r w:rsidRPr="007E5DA1">
              <w:lastRenderedPageBreak/>
              <w:t>PSURs</w:t>
            </w:r>
          </w:p>
        </w:tc>
        <w:tc>
          <w:tcPr>
            <w:tcW w:w="6695" w:type="dxa"/>
          </w:tcPr>
          <w:p w14:paraId="500475CE" w14:textId="7DDF3AF6" w:rsidR="007E5DA1" w:rsidRPr="007E5DA1" w:rsidRDefault="007E5DA1" w:rsidP="00755B32">
            <w:r w:rsidRPr="007E5DA1">
              <w:t>Periodic safety update reports</w:t>
            </w:r>
          </w:p>
        </w:tc>
      </w:tr>
      <w:tr w:rsidR="007C4836" w:rsidRPr="00FD119B" w14:paraId="0A5BC11A" w14:textId="77777777" w:rsidTr="00755B32">
        <w:tc>
          <w:tcPr>
            <w:tcW w:w="1799" w:type="dxa"/>
          </w:tcPr>
          <w:p w14:paraId="111C740A" w14:textId="6CBE3D26" w:rsidR="007C4836" w:rsidRDefault="007C4836" w:rsidP="00755B32">
            <w:r w:rsidRPr="007C4836">
              <w:t>QC</w:t>
            </w:r>
          </w:p>
        </w:tc>
        <w:tc>
          <w:tcPr>
            <w:tcW w:w="6695" w:type="dxa"/>
          </w:tcPr>
          <w:p w14:paraId="0B9C6858" w14:textId="0F36917F" w:rsidR="007C4836" w:rsidRDefault="007C4836" w:rsidP="00870080">
            <w:r>
              <w:t>Q</w:t>
            </w:r>
            <w:r w:rsidRPr="007C4836">
              <w:t>uality control</w:t>
            </w:r>
          </w:p>
        </w:tc>
      </w:tr>
      <w:tr w:rsidR="00EB08C6" w:rsidRPr="00FD119B" w14:paraId="5FD9BB86" w14:textId="77777777" w:rsidTr="00755B32">
        <w:tc>
          <w:tcPr>
            <w:tcW w:w="1799" w:type="dxa"/>
          </w:tcPr>
          <w:p w14:paraId="21EBAC04" w14:textId="77777777" w:rsidR="00EB08C6" w:rsidRPr="00FD119B" w:rsidRDefault="00EB08C6" w:rsidP="00755B32">
            <w:r>
              <w:t>RNA</w:t>
            </w:r>
          </w:p>
        </w:tc>
        <w:tc>
          <w:tcPr>
            <w:tcW w:w="6695" w:type="dxa"/>
          </w:tcPr>
          <w:p w14:paraId="6932E074" w14:textId="77777777" w:rsidR="00EB08C6" w:rsidRPr="00FD119B" w:rsidRDefault="00EB08C6" w:rsidP="00755B32">
            <w:r>
              <w:t>R</w:t>
            </w:r>
            <w:r w:rsidRPr="00765D5A">
              <w:t>ibonucleic acid</w:t>
            </w:r>
          </w:p>
        </w:tc>
      </w:tr>
      <w:tr w:rsidR="00EB08C6" w:rsidRPr="00FD119B" w14:paraId="77AA44DD" w14:textId="77777777" w:rsidTr="00755B32">
        <w:tc>
          <w:tcPr>
            <w:tcW w:w="1799" w:type="dxa"/>
          </w:tcPr>
          <w:p w14:paraId="3EFBE769" w14:textId="77777777" w:rsidR="00EB08C6" w:rsidRDefault="00EB08C6" w:rsidP="00755B32">
            <w:r>
              <w:t>RVE</w:t>
            </w:r>
          </w:p>
        </w:tc>
        <w:tc>
          <w:tcPr>
            <w:tcW w:w="6695" w:type="dxa"/>
          </w:tcPr>
          <w:p w14:paraId="60E977EA" w14:textId="77777777" w:rsidR="00EB08C6" w:rsidRPr="006B5AAB" w:rsidRDefault="00EB08C6" w:rsidP="00755B32">
            <w:r>
              <w:t>Relative vaccine efficacy</w:t>
            </w:r>
          </w:p>
        </w:tc>
      </w:tr>
      <w:tr w:rsidR="00EB08C6" w:rsidRPr="00FD119B" w14:paraId="4D5634C9" w14:textId="77777777" w:rsidTr="00755B32">
        <w:tc>
          <w:tcPr>
            <w:tcW w:w="1799" w:type="dxa"/>
          </w:tcPr>
          <w:p w14:paraId="5A20D1F6" w14:textId="77777777" w:rsidR="00EB08C6" w:rsidRDefault="00EB08C6" w:rsidP="00755B32">
            <w:r>
              <w:t>SAE</w:t>
            </w:r>
          </w:p>
        </w:tc>
        <w:tc>
          <w:tcPr>
            <w:tcW w:w="6695" w:type="dxa"/>
          </w:tcPr>
          <w:p w14:paraId="3823B7FD" w14:textId="77777777" w:rsidR="00EB08C6" w:rsidRDefault="00EB08C6" w:rsidP="00755B32">
            <w:r>
              <w:t>Serious adverse event</w:t>
            </w:r>
          </w:p>
        </w:tc>
      </w:tr>
      <w:tr w:rsidR="00EB08C6" w:rsidRPr="00FD119B" w14:paraId="3B7CCA62" w14:textId="77777777" w:rsidTr="00755B32">
        <w:tc>
          <w:tcPr>
            <w:tcW w:w="1799" w:type="dxa"/>
          </w:tcPr>
          <w:p w14:paraId="7F33CE9E" w14:textId="77777777" w:rsidR="00EB08C6" w:rsidRPr="00FD119B" w:rsidRDefault="00EB08C6" w:rsidP="00755B32">
            <w:r>
              <w:t>SAR-CoV-2</w:t>
            </w:r>
          </w:p>
        </w:tc>
        <w:tc>
          <w:tcPr>
            <w:tcW w:w="6695" w:type="dxa"/>
          </w:tcPr>
          <w:p w14:paraId="018A8E2B" w14:textId="77777777" w:rsidR="00EB08C6" w:rsidRPr="00FD119B" w:rsidRDefault="00EB08C6" w:rsidP="00755B32">
            <w:r>
              <w:rPr>
                <w:lang w:eastAsia="ja-JP"/>
              </w:rPr>
              <w:t>S</w:t>
            </w:r>
            <w:r w:rsidRPr="00765D5A">
              <w:rPr>
                <w:lang w:eastAsia="ja-JP"/>
              </w:rPr>
              <w:t>evere acute respiratory syndrome coronavirus 2</w:t>
            </w:r>
          </w:p>
        </w:tc>
      </w:tr>
      <w:tr w:rsidR="00EB08C6" w:rsidRPr="00FD119B" w14:paraId="75EB20AA" w14:textId="77777777" w:rsidTr="00755B32">
        <w:tc>
          <w:tcPr>
            <w:tcW w:w="1799" w:type="dxa"/>
          </w:tcPr>
          <w:p w14:paraId="3D6CE55F" w14:textId="77777777" w:rsidR="00EB08C6" w:rsidRPr="00FD119B" w:rsidRDefault="00EB08C6" w:rsidP="00755B32">
            <w:r>
              <w:t>TGA</w:t>
            </w:r>
          </w:p>
        </w:tc>
        <w:tc>
          <w:tcPr>
            <w:tcW w:w="6695" w:type="dxa"/>
          </w:tcPr>
          <w:p w14:paraId="15A855AA" w14:textId="436CED11" w:rsidR="00EB08C6" w:rsidRPr="00FD119B" w:rsidRDefault="00EB08C6" w:rsidP="00755B32">
            <w:r w:rsidRPr="00EB08C6">
              <w:t>Therapeutic Goods Administration</w:t>
            </w:r>
          </w:p>
        </w:tc>
      </w:tr>
      <w:tr w:rsidR="00EB08C6" w:rsidRPr="00FD119B" w14:paraId="2677B1F9" w14:textId="77777777" w:rsidTr="00755B32">
        <w:tc>
          <w:tcPr>
            <w:tcW w:w="1799" w:type="dxa"/>
          </w:tcPr>
          <w:p w14:paraId="5C040674" w14:textId="77777777" w:rsidR="00EB08C6" w:rsidRPr="00FD119B" w:rsidRDefault="00EB08C6" w:rsidP="00755B32">
            <w:r>
              <w:t>USA</w:t>
            </w:r>
          </w:p>
        </w:tc>
        <w:tc>
          <w:tcPr>
            <w:tcW w:w="6695" w:type="dxa"/>
          </w:tcPr>
          <w:p w14:paraId="21787D9D" w14:textId="77777777" w:rsidR="00EB08C6" w:rsidRPr="00FD119B" w:rsidRDefault="00EB08C6" w:rsidP="00755B32">
            <w:r>
              <w:t>United States of America</w:t>
            </w:r>
          </w:p>
        </w:tc>
      </w:tr>
      <w:tr w:rsidR="00EB08C6" w:rsidRPr="00FD119B" w14:paraId="73C33C4A" w14:textId="77777777" w:rsidTr="00755B32">
        <w:tc>
          <w:tcPr>
            <w:tcW w:w="1799" w:type="dxa"/>
          </w:tcPr>
          <w:p w14:paraId="58F3714D" w14:textId="77777777" w:rsidR="00EB08C6" w:rsidRPr="00FD119B" w:rsidRDefault="00EB08C6" w:rsidP="00755B32">
            <w:r>
              <w:t>WHO</w:t>
            </w:r>
          </w:p>
        </w:tc>
        <w:tc>
          <w:tcPr>
            <w:tcW w:w="6695" w:type="dxa"/>
          </w:tcPr>
          <w:p w14:paraId="0E4E7AA1" w14:textId="77777777" w:rsidR="00EB08C6" w:rsidRPr="00FD119B" w:rsidRDefault="00EB08C6" w:rsidP="00755B32">
            <w:r w:rsidRPr="00765D5A">
              <w:t>World Health Organization</w:t>
            </w:r>
          </w:p>
        </w:tc>
      </w:tr>
      <w:tr w:rsidR="007E5DA1" w:rsidRPr="00FD119B" w14:paraId="4DE91678" w14:textId="77777777" w:rsidTr="00755B32">
        <w:tc>
          <w:tcPr>
            <w:tcW w:w="1799" w:type="dxa"/>
          </w:tcPr>
          <w:p w14:paraId="3B190BAC" w14:textId="3BBF8608" w:rsidR="007E5DA1" w:rsidRPr="007E5DA1" w:rsidRDefault="007E5DA1" w:rsidP="00755B32">
            <w:r w:rsidRPr="007E5DA1">
              <w:t>WRM</w:t>
            </w:r>
          </w:p>
        </w:tc>
        <w:tc>
          <w:tcPr>
            <w:tcW w:w="6695" w:type="dxa"/>
          </w:tcPr>
          <w:p w14:paraId="4AE1A7A4" w14:textId="68A7C875" w:rsidR="007E5DA1" w:rsidRPr="007E5DA1" w:rsidRDefault="007E5DA1" w:rsidP="00755B32">
            <w:r w:rsidRPr="007E5DA1">
              <w:t>Working reference material</w:t>
            </w:r>
            <w:r>
              <w:t>(s)</w:t>
            </w:r>
          </w:p>
        </w:tc>
      </w:tr>
    </w:tbl>
    <w:p w14:paraId="682C34DC" w14:textId="77777777" w:rsidR="00FD119B" w:rsidRDefault="00FD119B" w:rsidP="00FD119B"/>
    <w:p w14:paraId="02F4C6A0"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9884B62" w14:textId="77777777" w:rsidR="008E7846" w:rsidRDefault="00F53C07" w:rsidP="008E7846">
      <w:pPr>
        <w:pStyle w:val="Heading2"/>
      </w:pPr>
      <w:bookmarkStart w:id="8" w:name="_Toc95207525"/>
      <w:r>
        <w:lastRenderedPageBreak/>
        <w:t>I.</w:t>
      </w:r>
      <w:r w:rsidR="008E7846">
        <w:t xml:space="preserve"> Introduction to product submission</w:t>
      </w:r>
      <w:bookmarkEnd w:id="0"/>
      <w:bookmarkEnd w:id="2"/>
      <w:bookmarkEnd w:id="8"/>
    </w:p>
    <w:p w14:paraId="6CC0B506" w14:textId="77777777" w:rsidR="008E7846" w:rsidRDefault="008E7846" w:rsidP="008E7846">
      <w:pPr>
        <w:pStyle w:val="Heading3"/>
        <w:rPr>
          <w:lang w:eastAsia="en-AU"/>
        </w:rPr>
      </w:pPr>
      <w:bookmarkStart w:id="9" w:name="_Toc247691502"/>
      <w:bookmarkStart w:id="10" w:name="_Toc314842483"/>
      <w:bookmarkStart w:id="11" w:name="_Toc95207526"/>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7AD7FC6F" w14:textId="77777777" w:rsidTr="003735BC">
        <w:tc>
          <w:tcPr>
            <w:tcW w:w="2907" w:type="dxa"/>
          </w:tcPr>
          <w:p w14:paraId="37ED8E3F"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2F76C7B3" w14:textId="60A9ACFE" w:rsidR="008E7846" w:rsidRPr="003D1E62" w:rsidRDefault="002B0917" w:rsidP="001B5C90">
            <w:bookmarkStart w:id="12" w:name="_Hlk95206176"/>
            <w:r w:rsidRPr="002B0917">
              <w:t>Major variation (change of dose regimen)</w:t>
            </w:r>
            <w:bookmarkEnd w:id="12"/>
          </w:p>
        </w:tc>
      </w:tr>
      <w:tr w:rsidR="00460036" w:rsidRPr="003D1E62" w14:paraId="73367F2C" w14:textId="77777777" w:rsidTr="003735BC">
        <w:tc>
          <w:tcPr>
            <w:tcW w:w="2907" w:type="dxa"/>
          </w:tcPr>
          <w:p w14:paraId="4AFC296E" w14:textId="7079CD6C" w:rsidR="00460036" w:rsidRPr="003D1E62" w:rsidRDefault="00460036" w:rsidP="003D1E62">
            <w:pPr>
              <w:rPr>
                <w:i/>
              </w:rPr>
            </w:pPr>
            <w:r w:rsidRPr="00460036">
              <w:rPr>
                <w:i/>
              </w:rPr>
              <w:t>Product name:</w:t>
            </w:r>
          </w:p>
        </w:tc>
        <w:tc>
          <w:tcPr>
            <w:tcW w:w="6307" w:type="dxa"/>
          </w:tcPr>
          <w:p w14:paraId="46CE4B95" w14:textId="2020722D" w:rsidR="00460036" w:rsidRPr="003D1E62" w:rsidRDefault="002B0917" w:rsidP="001B5C90">
            <w:r>
              <w:t>Comirnaty</w:t>
            </w:r>
          </w:p>
        </w:tc>
      </w:tr>
      <w:tr w:rsidR="00460036" w:rsidRPr="003D1E62" w14:paraId="2D3A1D97" w14:textId="77777777" w:rsidTr="003735BC">
        <w:tc>
          <w:tcPr>
            <w:tcW w:w="2907" w:type="dxa"/>
          </w:tcPr>
          <w:p w14:paraId="0CB9B858" w14:textId="6F27DF1A" w:rsidR="00460036" w:rsidRPr="003D1E62" w:rsidRDefault="00460036" w:rsidP="003D1E62">
            <w:pPr>
              <w:rPr>
                <w:i/>
              </w:rPr>
            </w:pPr>
            <w:r w:rsidRPr="00460036">
              <w:rPr>
                <w:i/>
              </w:rPr>
              <w:t>Active ingredient:</w:t>
            </w:r>
          </w:p>
        </w:tc>
        <w:tc>
          <w:tcPr>
            <w:tcW w:w="6307" w:type="dxa"/>
          </w:tcPr>
          <w:p w14:paraId="4BE1B719" w14:textId="277FA117" w:rsidR="00460036" w:rsidRPr="003D1E62" w:rsidRDefault="002B0917" w:rsidP="001B5C90">
            <w:proofErr w:type="spellStart"/>
            <w:r w:rsidRPr="001205AF">
              <w:t>Tozinameran</w:t>
            </w:r>
            <w:proofErr w:type="spellEnd"/>
          </w:p>
        </w:tc>
      </w:tr>
      <w:tr w:rsidR="008E7846" w:rsidRPr="003D1E62" w14:paraId="3CD8695E" w14:textId="77777777" w:rsidTr="003735BC">
        <w:tc>
          <w:tcPr>
            <w:tcW w:w="2907" w:type="dxa"/>
          </w:tcPr>
          <w:p w14:paraId="298DE5BA" w14:textId="77777777" w:rsidR="008E7846" w:rsidRPr="003D1E62" w:rsidRDefault="008E7846" w:rsidP="003D1E62">
            <w:r w:rsidRPr="003D1E62">
              <w:rPr>
                <w:i/>
              </w:rPr>
              <w:t>Decision</w:t>
            </w:r>
            <w:r w:rsidRPr="003D1E62">
              <w:t>:</w:t>
            </w:r>
          </w:p>
        </w:tc>
        <w:tc>
          <w:tcPr>
            <w:tcW w:w="6307" w:type="dxa"/>
          </w:tcPr>
          <w:p w14:paraId="43B2C911" w14:textId="535D21E4" w:rsidR="008E7846" w:rsidRPr="00331510" w:rsidRDefault="00460036" w:rsidP="00331510">
            <w:bookmarkStart w:id="13" w:name="_Hlk95206218"/>
            <w:r w:rsidRPr="00331510">
              <w:t>Approved for provisional registration</w:t>
            </w:r>
            <w:bookmarkEnd w:id="13"/>
          </w:p>
        </w:tc>
      </w:tr>
      <w:tr w:rsidR="008E7846" w:rsidRPr="003D1E62" w14:paraId="35BF8E38" w14:textId="77777777" w:rsidTr="003735BC">
        <w:tc>
          <w:tcPr>
            <w:tcW w:w="2907" w:type="dxa"/>
          </w:tcPr>
          <w:p w14:paraId="554F0CF8"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4B16D6B" w14:textId="54B2E1E3" w:rsidR="008E7846" w:rsidRPr="00C31B22" w:rsidRDefault="00331510" w:rsidP="00331510">
            <w:pPr>
              <w:rPr>
                <w:color w:val="000000" w:themeColor="text1"/>
              </w:rPr>
            </w:pPr>
            <w:r w:rsidRPr="00C31B22">
              <w:rPr>
                <w:color w:val="000000" w:themeColor="text1"/>
              </w:rPr>
              <w:t>27 January 2022</w:t>
            </w:r>
          </w:p>
        </w:tc>
      </w:tr>
      <w:tr w:rsidR="00ED2922" w:rsidRPr="003D1E62" w14:paraId="2934383D" w14:textId="77777777" w:rsidTr="003735BC">
        <w:tc>
          <w:tcPr>
            <w:tcW w:w="2907" w:type="dxa"/>
          </w:tcPr>
          <w:p w14:paraId="10BFC6D9" w14:textId="77777777" w:rsidR="00ED2922" w:rsidRPr="00441C3F" w:rsidRDefault="00ED2922" w:rsidP="001B5C90">
            <w:pPr>
              <w:rPr>
                <w:i/>
              </w:rPr>
            </w:pPr>
            <w:r w:rsidRPr="00441C3F">
              <w:rPr>
                <w:i/>
              </w:rPr>
              <w:t>Date of entry onto ARTG</w:t>
            </w:r>
            <w:r w:rsidR="00500337">
              <w:rPr>
                <w:i/>
              </w:rPr>
              <w:t>:</w:t>
            </w:r>
          </w:p>
        </w:tc>
        <w:tc>
          <w:tcPr>
            <w:tcW w:w="6307" w:type="dxa"/>
          </w:tcPr>
          <w:p w14:paraId="283C37C5" w14:textId="6CC8A33E" w:rsidR="00ED2922" w:rsidRPr="00C31B22" w:rsidRDefault="00C31B22" w:rsidP="00D153D8">
            <w:pPr>
              <w:rPr>
                <w:i/>
                <w:color w:val="000000" w:themeColor="text1"/>
              </w:rPr>
            </w:pPr>
            <w:r w:rsidRPr="00C31B22">
              <w:rPr>
                <w:color w:val="000000" w:themeColor="text1"/>
              </w:rPr>
              <w:t>2</w:t>
            </w:r>
            <w:r w:rsidR="00845DE7">
              <w:rPr>
                <w:color w:val="000000" w:themeColor="text1"/>
              </w:rPr>
              <w:t>8</w:t>
            </w:r>
            <w:r w:rsidRPr="00C31B22">
              <w:rPr>
                <w:color w:val="000000" w:themeColor="text1"/>
              </w:rPr>
              <w:t xml:space="preserve"> January 2022</w:t>
            </w:r>
          </w:p>
        </w:tc>
      </w:tr>
      <w:tr w:rsidR="00500337" w:rsidRPr="003D1E62" w14:paraId="0E9D632C" w14:textId="77777777" w:rsidTr="003735BC">
        <w:tc>
          <w:tcPr>
            <w:tcW w:w="2907" w:type="dxa"/>
          </w:tcPr>
          <w:p w14:paraId="535E546D" w14:textId="68683F13" w:rsidR="00500337" w:rsidRPr="00441C3F" w:rsidRDefault="00500337" w:rsidP="001B5C90">
            <w:pPr>
              <w:rPr>
                <w:i/>
              </w:rPr>
            </w:pPr>
            <w:r>
              <w:rPr>
                <w:i/>
              </w:rPr>
              <w:t>ARTG number:</w:t>
            </w:r>
          </w:p>
        </w:tc>
        <w:tc>
          <w:tcPr>
            <w:tcW w:w="6307" w:type="dxa"/>
          </w:tcPr>
          <w:p w14:paraId="64D9B263" w14:textId="5ED484A2" w:rsidR="00500337" w:rsidRPr="00441C3F" w:rsidRDefault="002B0917" w:rsidP="00EC463D">
            <w:r w:rsidRPr="00765D5A">
              <w:t>3</w:t>
            </w:r>
            <w:r w:rsidR="00EB2B45">
              <w:t>77110</w:t>
            </w:r>
          </w:p>
        </w:tc>
      </w:tr>
      <w:tr w:rsidR="003735BC" w:rsidRPr="003D1E62" w14:paraId="5B5000AB" w14:textId="77777777" w:rsidTr="003735BC">
        <w:tc>
          <w:tcPr>
            <w:tcW w:w="2907" w:type="dxa"/>
          </w:tcPr>
          <w:p w14:paraId="46F25558"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59C0D9F3" w14:textId="561ABEB8" w:rsidR="003735BC" w:rsidRDefault="003735BC" w:rsidP="003735BC">
            <w:r>
              <w:t>Yes</w:t>
            </w:r>
          </w:p>
          <w:p w14:paraId="24EE0C06" w14:textId="387F8AD9" w:rsidR="003735BC" w:rsidRPr="00487162" w:rsidRDefault="003735BC" w:rsidP="003735BC">
            <w:r>
              <w:t>As a provisionally registered product, this medicine will remain in the Black Triangle Scheme for the duration of its provisional registration</w:t>
            </w:r>
          </w:p>
        </w:tc>
      </w:tr>
      <w:tr w:rsidR="008E7846" w:rsidRPr="00487162" w14:paraId="6FCE202B" w14:textId="77777777" w:rsidTr="00BF1190">
        <w:tc>
          <w:tcPr>
            <w:tcW w:w="2907" w:type="dxa"/>
          </w:tcPr>
          <w:p w14:paraId="72C043B4"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437EE504" w14:textId="77777777" w:rsidR="002B0917" w:rsidRDefault="002B0917" w:rsidP="002B0917">
            <w:r>
              <w:t>Pfizer Australia Pty Ltd</w:t>
            </w:r>
          </w:p>
          <w:p w14:paraId="7624A2B7" w14:textId="77777777" w:rsidR="002B0917" w:rsidRDefault="002B0917" w:rsidP="002B0917">
            <w:r>
              <w:t>Level 17, 151 Clarence Street</w:t>
            </w:r>
          </w:p>
          <w:p w14:paraId="54F255B0" w14:textId="768345A1" w:rsidR="008E7846" w:rsidRPr="00487162" w:rsidRDefault="002B0917" w:rsidP="002B0917">
            <w:r>
              <w:t>Sydney NSW 2000</w:t>
            </w:r>
          </w:p>
        </w:tc>
      </w:tr>
      <w:tr w:rsidR="008E7846" w:rsidRPr="00487162" w14:paraId="5DA087D3" w14:textId="77777777" w:rsidTr="00BF1190">
        <w:tc>
          <w:tcPr>
            <w:tcW w:w="2907" w:type="dxa"/>
          </w:tcPr>
          <w:p w14:paraId="51B50CA7" w14:textId="69F86F22" w:rsidR="008E7846" w:rsidRPr="00487162" w:rsidRDefault="001B5C90" w:rsidP="00E45619">
            <w:pPr>
              <w:rPr>
                <w:i/>
              </w:rPr>
            </w:pPr>
            <w:r>
              <w:rPr>
                <w:i/>
              </w:rPr>
              <w:t>Dose form:</w:t>
            </w:r>
          </w:p>
        </w:tc>
        <w:tc>
          <w:tcPr>
            <w:tcW w:w="6307" w:type="dxa"/>
          </w:tcPr>
          <w:p w14:paraId="29B34666" w14:textId="60AB7872" w:rsidR="008E7846" w:rsidRPr="00487162" w:rsidRDefault="00EB2B45" w:rsidP="00E45619">
            <w:r>
              <w:t>S</w:t>
            </w:r>
            <w:r w:rsidR="004F5D17" w:rsidRPr="00765D5A">
              <w:t>uspension for injection</w:t>
            </w:r>
          </w:p>
        </w:tc>
      </w:tr>
      <w:tr w:rsidR="008E7846" w:rsidRPr="00487162" w14:paraId="35300F8A" w14:textId="77777777" w:rsidTr="00BF1190">
        <w:tc>
          <w:tcPr>
            <w:tcW w:w="2907" w:type="dxa"/>
          </w:tcPr>
          <w:p w14:paraId="7287A282" w14:textId="6007CE65" w:rsidR="008E7846" w:rsidRPr="00487162" w:rsidRDefault="00324E45" w:rsidP="00E45619">
            <w:pPr>
              <w:rPr>
                <w:i/>
              </w:rPr>
            </w:pPr>
            <w:r>
              <w:rPr>
                <w:i/>
              </w:rPr>
              <w:t>Strength:</w:t>
            </w:r>
          </w:p>
        </w:tc>
        <w:tc>
          <w:tcPr>
            <w:tcW w:w="6307" w:type="dxa"/>
          </w:tcPr>
          <w:p w14:paraId="587254E7" w14:textId="6E8A113C" w:rsidR="008E7846" w:rsidRPr="00487162" w:rsidRDefault="004F5D17" w:rsidP="00E45619">
            <w:r w:rsidRPr="00765D5A">
              <w:t>30 µg/0.3 mL</w:t>
            </w:r>
          </w:p>
        </w:tc>
      </w:tr>
      <w:tr w:rsidR="008E7846" w:rsidRPr="00487162" w14:paraId="5C656BEB" w14:textId="77777777" w:rsidTr="00BF1190">
        <w:tc>
          <w:tcPr>
            <w:tcW w:w="2907" w:type="dxa"/>
          </w:tcPr>
          <w:p w14:paraId="0FD0F102" w14:textId="0A14BF98" w:rsidR="008E7846" w:rsidRPr="00487162" w:rsidRDefault="008E7846" w:rsidP="00E45619">
            <w:pPr>
              <w:rPr>
                <w:i/>
              </w:rPr>
            </w:pPr>
            <w:r w:rsidRPr="00487162">
              <w:rPr>
                <w:i/>
              </w:rPr>
              <w:t>Containe</w:t>
            </w:r>
            <w:r w:rsidR="004F5D17">
              <w:rPr>
                <w:i/>
              </w:rPr>
              <w:t>r</w:t>
            </w:r>
            <w:r w:rsidRPr="00487162">
              <w:rPr>
                <w:i/>
              </w:rPr>
              <w:t>:</w:t>
            </w:r>
          </w:p>
        </w:tc>
        <w:tc>
          <w:tcPr>
            <w:tcW w:w="6307" w:type="dxa"/>
          </w:tcPr>
          <w:p w14:paraId="5DBAA554" w14:textId="4ED13426" w:rsidR="008E7846" w:rsidRPr="00487162" w:rsidRDefault="004F5D17" w:rsidP="00E45619">
            <w:r>
              <w:t>Multi</w:t>
            </w:r>
            <w:r w:rsidR="00734955">
              <w:t>-</w:t>
            </w:r>
            <w:r>
              <w:t>dose vial</w:t>
            </w:r>
          </w:p>
        </w:tc>
      </w:tr>
      <w:tr w:rsidR="008E7846" w:rsidRPr="00487162" w14:paraId="2B4066F8" w14:textId="77777777" w:rsidTr="00BF1190">
        <w:tc>
          <w:tcPr>
            <w:tcW w:w="2907" w:type="dxa"/>
          </w:tcPr>
          <w:p w14:paraId="39E9FF7F" w14:textId="28D1E689" w:rsidR="008E7846" w:rsidRPr="00487162" w:rsidRDefault="008E7846" w:rsidP="00E45619">
            <w:pPr>
              <w:rPr>
                <w:i/>
              </w:rPr>
            </w:pPr>
            <w:r w:rsidRPr="00487162">
              <w:rPr>
                <w:i/>
              </w:rPr>
              <w:t>Pack size:</w:t>
            </w:r>
          </w:p>
        </w:tc>
        <w:tc>
          <w:tcPr>
            <w:tcW w:w="6307" w:type="dxa"/>
          </w:tcPr>
          <w:p w14:paraId="60FB7EE8" w14:textId="02E60042" w:rsidR="008E7846" w:rsidRPr="00487162" w:rsidRDefault="004F5D17" w:rsidP="00E45619">
            <w:r>
              <w:t>195 vials</w:t>
            </w:r>
          </w:p>
        </w:tc>
      </w:tr>
      <w:tr w:rsidR="008E7846" w:rsidRPr="00487162" w14:paraId="73884FE8" w14:textId="77777777" w:rsidTr="00BF1190">
        <w:tc>
          <w:tcPr>
            <w:tcW w:w="2907" w:type="dxa"/>
          </w:tcPr>
          <w:p w14:paraId="60BB0604"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641CFDE" w14:textId="422F45CC" w:rsidR="003C6E44" w:rsidRPr="003C6E44" w:rsidRDefault="003C6E44" w:rsidP="003C6E44">
            <w:pPr>
              <w:rPr>
                <w:rFonts w:eastAsia="MS Mincho"/>
                <w:i/>
                <w:iCs/>
                <w:lang w:eastAsia="ja-JP"/>
              </w:rPr>
            </w:pPr>
            <w:r w:rsidRPr="003C6E44">
              <w:rPr>
                <w:rFonts w:eastAsia="MS Mincho"/>
                <w:i/>
                <w:iCs/>
                <w:lang w:eastAsia="ja-JP"/>
              </w:rPr>
              <w:t>Active immunisation to prevent coronavirus disease 2019 (COVID</w:t>
            </w:r>
            <w:r w:rsidR="00E11254">
              <w:rPr>
                <w:rFonts w:eastAsia="MS Mincho"/>
                <w:i/>
                <w:iCs/>
                <w:lang w:eastAsia="ja-JP"/>
              </w:rPr>
              <w:noBreakHyphen/>
            </w:r>
            <w:r w:rsidRPr="003C6E44">
              <w:rPr>
                <w:rFonts w:eastAsia="MS Mincho"/>
                <w:i/>
                <w:iCs/>
                <w:lang w:eastAsia="ja-JP"/>
              </w:rPr>
              <w:t>19) caused by SARS-CoV-2, in individuals 12 years of age and older.</w:t>
            </w:r>
          </w:p>
          <w:p w14:paraId="67B38404" w14:textId="77777777" w:rsidR="008E7846" w:rsidRPr="003C6E44" w:rsidRDefault="003C6E44" w:rsidP="003C6E44">
            <w:pPr>
              <w:rPr>
                <w:rFonts w:eastAsia="MS Mincho"/>
                <w:i/>
                <w:iCs/>
                <w:lang w:eastAsia="ja-JP"/>
              </w:rPr>
            </w:pPr>
            <w:r w:rsidRPr="003C6E44">
              <w:rPr>
                <w:rFonts w:eastAsia="MS Mincho"/>
                <w:i/>
                <w:iCs/>
                <w:lang w:eastAsia="ja-JP"/>
              </w:rPr>
              <w:t>The use of this vaccine should be in accordance with official recommendations.</w:t>
            </w:r>
          </w:p>
          <w:p w14:paraId="01E2C410" w14:textId="66314CBD" w:rsidR="003C6E44" w:rsidRPr="00487162" w:rsidRDefault="003C6E44" w:rsidP="003C6E44">
            <w:pPr>
              <w:rPr>
                <w:rFonts w:eastAsia="MS Mincho"/>
                <w:lang w:eastAsia="ja-JP"/>
              </w:rPr>
            </w:pPr>
            <w:r w:rsidRPr="003C6E44">
              <w:rPr>
                <w:rFonts w:eastAsia="MS Mincho"/>
                <w:i/>
                <w:iCs/>
                <w:lang w:eastAsia="ja-JP"/>
              </w:rPr>
              <w:t xml:space="preserve">The decision has been made on the basis of </w:t>
            </w:r>
            <w:proofErr w:type="gramStart"/>
            <w:r w:rsidRPr="003C6E44">
              <w:rPr>
                <w:rFonts w:eastAsia="MS Mincho"/>
                <w:i/>
                <w:iCs/>
                <w:lang w:eastAsia="ja-JP"/>
              </w:rPr>
              <w:t>short term</w:t>
            </w:r>
            <w:proofErr w:type="gramEnd"/>
            <w:r w:rsidRPr="003C6E44">
              <w:rPr>
                <w:rFonts w:eastAsia="MS Mincho"/>
                <w:i/>
                <w:iCs/>
                <w:lang w:eastAsia="ja-JP"/>
              </w:rPr>
              <w:t xml:space="preserve"> efficacy and safety data. Continued approval depends on the evidence of </w:t>
            </w:r>
            <w:proofErr w:type="gramStart"/>
            <w:r w:rsidRPr="003C6E44">
              <w:rPr>
                <w:rFonts w:eastAsia="MS Mincho"/>
                <w:i/>
                <w:iCs/>
                <w:lang w:eastAsia="ja-JP"/>
              </w:rPr>
              <w:t>longer term</w:t>
            </w:r>
            <w:proofErr w:type="gramEnd"/>
            <w:r w:rsidRPr="003C6E44">
              <w:rPr>
                <w:rFonts w:eastAsia="MS Mincho"/>
                <w:i/>
                <w:iCs/>
                <w:lang w:eastAsia="ja-JP"/>
              </w:rPr>
              <w:t xml:space="preserve"> efficacy and safety from ongoing clinical trials and post-market assessment.</w:t>
            </w:r>
          </w:p>
        </w:tc>
      </w:tr>
      <w:tr w:rsidR="008E7846" w:rsidRPr="00487162" w14:paraId="3717FD71" w14:textId="77777777" w:rsidTr="00BF1190">
        <w:tc>
          <w:tcPr>
            <w:tcW w:w="2907" w:type="dxa"/>
          </w:tcPr>
          <w:p w14:paraId="4F6E7D08" w14:textId="0CD4AA2B" w:rsidR="008E7846" w:rsidRPr="00487162" w:rsidRDefault="008E7846" w:rsidP="00E45619">
            <w:pPr>
              <w:rPr>
                <w:i/>
              </w:rPr>
            </w:pPr>
            <w:r w:rsidRPr="00487162">
              <w:rPr>
                <w:i/>
              </w:rPr>
              <w:t>Route of administration:</w:t>
            </w:r>
          </w:p>
        </w:tc>
        <w:tc>
          <w:tcPr>
            <w:tcW w:w="6307" w:type="dxa"/>
          </w:tcPr>
          <w:p w14:paraId="5CBF6F26" w14:textId="79BE4E8E" w:rsidR="008E7846" w:rsidRPr="00487162" w:rsidRDefault="004F5D17" w:rsidP="00E45619">
            <w:r w:rsidRPr="004F5D17">
              <w:t>Intramuscular</w:t>
            </w:r>
          </w:p>
        </w:tc>
      </w:tr>
      <w:tr w:rsidR="008E7846" w:rsidRPr="00487162" w14:paraId="78BF3B0F" w14:textId="77777777" w:rsidTr="00BF1190">
        <w:tc>
          <w:tcPr>
            <w:tcW w:w="2907" w:type="dxa"/>
          </w:tcPr>
          <w:p w14:paraId="2E629C76" w14:textId="77777777" w:rsidR="008E7846" w:rsidRPr="00487162" w:rsidRDefault="008E7846" w:rsidP="00E45619">
            <w:pPr>
              <w:rPr>
                <w:i/>
              </w:rPr>
            </w:pPr>
            <w:r w:rsidRPr="00487162">
              <w:rPr>
                <w:i/>
              </w:rPr>
              <w:lastRenderedPageBreak/>
              <w:t>Dosage:</w:t>
            </w:r>
          </w:p>
        </w:tc>
        <w:tc>
          <w:tcPr>
            <w:tcW w:w="6307" w:type="dxa"/>
          </w:tcPr>
          <w:p w14:paraId="14165F88" w14:textId="4768DF3B" w:rsidR="00331510" w:rsidRPr="00331510" w:rsidRDefault="00331510" w:rsidP="00331510">
            <w:pPr>
              <w:rPr>
                <w:i/>
                <w:iCs/>
              </w:rPr>
            </w:pPr>
            <w:r w:rsidRPr="00331510">
              <w:rPr>
                <w:i/>
                <w:iCs/>
              </w:rPr>
              <w:t>Individuals 12 years of age and older</w:t>
            </w:r>
          </w:p>
          <w:p w14:paraId="395B95C9" w14:textId="77777777" w:rsidR="00331510" w:rsidRPr="00331510" w:rsidRDefault="00331510" w:rsidP="00331510">
            <w:r w:rsidRPr="00331510">
              <w:t>Comirnaty is administered intramuscularly after dilution as a primary course of 2 doses at least 21 days apart. See dosing instructions below.</w:t>
            </w:r>
          </w:p>
          <w:p w14:paraId="098E0E66" w14:textId="77777777" w:rsidR="00331510" w:rsidRPr="00331510" w:rsidRDefault="00331510" w:rsidP="00331510">
            <w:r w:rsidRPr="00331510">
              <w:t>A booster dose of Comirnaty may be administered intramuscularly at least 6 months after the completion of a COVID-19 vaccine primary series in individuals 16 years of age and older.</w:t>
            </w:r>
          </w:p>
          <w:p w14:paraId="29CB1262" w14:textId="2D757620" w:rsidR="00331510" w:rsidRPr="00331510" w:rsidRDefault="00331510" w:rsidP="00331510">
            <w:r w:rsidRPr="00331510">
              <w:t>The decision when and for whom to implement a booster dose of Comirnaty should be made based on available vaccine safety and effectiveness data (see Sections 4.4 Special warnings and precautions for use and 5.1 Pharmacodynamic properties</w:t>
            </w:r>
            <w:r>
              <w:t xml:space="preserve"> of the Product Information</w:t>
            </w:r>
            <w:r w:rsidRPr="00331510">
              <w:t>), in accordance with official recommendations.</w:t>
            </w:r>
          </w:p>
          <w:p w14:paraId="6E8CFD56" w14:textId="17EDFC02" w:rsidR="00331510" w:rsidRPr="00331510" w:rsidRDefault="00331510" w:rsidP="00331510">
            <w:r w:rsidRPr="00331510">
              <w:t xml:space="preserve">There are limited data on the interchangeability of Comirnaty with other COVID-19 vaccines to complete the primary vaccination course or the booster dose. Individuals who have received </w:t>
            </w:r>
            <w:r>
              <w:t>one</w:t>
            </w:r>
            <w:r w:rsidRPr="00331510">
              <w:t xml:space="preserve"> dose of Comirnaty should preferably receive a second dose of Comirnaty to complete the primary vaccination course and for any additional doses.</w:t>
            </w:r>
          </w:p>
          <w:p w14:paraId="31DFADE0" w14:textId="77777777" w:rsidR="00331510" w:rsidRPr="00331510" w:rsidRDefault="00331510" w:rsidP="00331510">
            <w:pPr>
              <w:rPr>
                <w:i/>
                <w:iCs/>
              </w:rPr>
            </w:pPr>
            <w:r w:rsidRPr="00331510">
              <w:rPr>
                <w:i/>
                <w:iCs/>
              </w:rPr>
              <w:t>Severely immunocompromised aged 12 years and older</w:t>
            </w:r>
          </w:p>
          <w:p w14:paraId="6D1E37EC" w14:textId="65E02E47" w:rsidR="00331510" w:rsidRPr="00331510" w:rsidRDefault="00331510" w:rsidP="00331510">
            <w:r w:rsidRPr="00331510">
              <w:t>In accordance with official recommendations, a third dose may be given, as part of the primary series, at least 28 days after the second dose to individuals who are severely immunocompromised (see Section 4.4 Special warnings and precautions for use</w:t>
            </w:r>
            <w:r>
              <w:t xml:space="preserve"> of the Product Information</w:t>
            </w:r>
            <w:r w:rsidRPr="00331510">
              <w:t>).</w:t>
            </w:r>
          </w:p>
          <w:p w14:paraId="3B5458DD" w14:textId="77777777" w:rsidR="00331510" w:rsidRPr="00331510" w:rsidRDefault="00331510" w:rsidP="00331510">
            <w:pPr>
              <w:rPr>
                <w:i/>
                <w:iCs/>
              </w:rPr>
            </w:pPr>
            <w:r w:rsidRPr="00331510">
              <w:rPr>
                <w:i/>
                <w:iCs/>
              </w:rPr>
              <w:t>Elderly population</w:t>
            </w:r>
          </w:p>
          <w:p w14:paraId="78273B2F" w14:textId="598B131B" w:rsidR="00331510" w:rsidRPr="00331510" w:rsidRDefault="00331510" w:rsidP="003C6E44">
            <w:r w:rsidRPr="00331510">
              <w:t>No dosage adjustment is required in elderly individuals ≥ 65 years of age.</w:t>
            </w:r>
          </w:p>
          <w:p w14:paraId="1919402A" w14:textId="39E097AB" w:rsidR="00460036" w:rsidRPr="00331510" w:rsidRDefault="00460036" w:rsidP="003C6E44">
            <w:r w:rsidRPr="00331510">
              <w:t>For further information regarding dosage, refer to the Product Information.</w:t>
            </w:r>
          </w:p>
        </w:tc>
      </w:tr>
      <w:tr w:rsidR="00460036" w:rsidRPr="00487162" w14:paraId="18A8EA65" w14:textId="77777777" w:rsidTr="00BF1190">
        <w:tc>
          <w:tcPr>
            <w:tcW w:w="2907" w:type="dxa"/>
          </w:tcPr>
          <w:p w14:paraId="5B49AA4E" w14:textId="77777777" w:rsidR="00460036" w:rsidRPr="00487162" w:rsidRDefault="00460036" w:rsidP="00E45619">
            <w:pPr>
              <w:rPr>
                <w:i/>
              </w:rPr>
            </w:pPr>
            <w:r w:rsidRPr="00460036">
              <w:rPr>
                <w:i/>
              </w:rPr>
              <w:t>Pregnancy category</w:t>
            </w:r>
            <w:r>
              <w:rPr>
                <w:i/>
              </w:rPr>
              <w:t>:</w:t>
            </w:r>
          </w:p>
        </w:tc>
        <w:tc>
          <w:tcPr>
            <w:tcW w:w="6307" w:type="dxa"/>
          </w:tcPr>
          <w:p w14:paraId="581530A7" w14:textId="09CE597D" w:rsidR="004F5D17" w:rsidRPr="00765D5A" w:rsidRDefault="004F5D17" w:rsidP="004F5D17">
            <w:r w:rsidRPr="00765D5A">
              <w:t>B1</w:t>
            </w:r>
          </w:p>
          <w:p w14:paraId="3FF85A79" w14:textId="77777777" w:rsidR="004F5D17" w:rsidRPr="00765D5A" w:rsidRDefault="004F5D17" w:rsidP="004F5D17">
            <w:r w:rsidRPr="00765D5A">
              <w:t>Drugs which have been taken by only a limited number of pregnant women and women of childbearing age, without an increase in the frequency of malformation or other direct or indirect harmful effects on the human fetus having been observed.</w:t>
            </w:r>
          </w:p>
          <w:p w14:paraId="35B3ABB3" w14:textId="77777777" w:rsidR="004F5D17" w:rsidRPr="00765D5A" w:rsidRDefault="004F5D17" w:rsidP="004F5D17">
            <w:r w:rsidRPr="00765D5A">
              <w:t>Studies in animals have not shown evidence of an increased occurrence of fetal damage.</w:t>
            </w:r>
          </w:p>
          <w:p w14:paraId="38CFD847" w14:textId="48CEC067" w:rsidR="00460036" w:rsidRPr="00487162" w:rsidRDefault="004F5D17" w:rsidP="004F5D17">
            <w:r w:rsidRPr="00765D5A">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334ECED" w14:textId="77777777" w:rsidR="008E7846" w:rsidRDefault="008E7846" w:rsidP="008E7846">
      <w:pPr>
        <w:pStyle w:val="Heading3"/>
      </w:pPr>
      <w:bookmarkStart w:id="14" w:name="_Toc247691503"/>
      <w:bookmarkStart w:id="15" w:name="_Toc314842484"/>
      <w:bookmarkStart w:id="16" w:name="_Toc95207527"/>
      <w:r>
        <w:lastRenderedPageBreak/>
        <w:t>Product background</w:t>
      </w:r>
      <w:bookmarkEnd w:id="14"/>
      <w:bookmarkEnd w:id="15"/>
      <w:bookmarkEnd w:id="16"/>
    </w:p>
    <w:p w14:paraId="4071F778" w14:textId="70D29F74" w:rsidR="008E7846" w:rsidRDefault="004F5D17" w:rsidP="00940A89">
      <w:r w:rsidRPr="00765D5A">
        <w:t xml:space="preserve">This AusPAR describes the application by Pfizer Australia Pty Ltd (the sponsor) to register </w:t>
      </w:r>
      <w:proofErr w:type="spellStart"/>
      <w:r w:rsidRPr="00765D5A">
        <w:t>Comirnaty</w:t>
      </w:r>
      <w:proofErr w:type="spellEnd"/>
      <w:r w:rsidRPr="00765D5A">
        <w:t xml:space="preserve"> (</w:t>
      </w:r>
      <w:proofErr w:type="spellStart"/>
      <w:r w:rsidR="00DD1976">
        <w:t>t</w:t>
      </w:r>
      <w:r>
        <w:t>ozinameran</w:t>
      </w:r>
      <w:proofErr w:type="spellEnd"/>
      <w:r w:rsidRPr="00765D5A">
        <w:t>) 30 µg/0.3 mL concentrated suspension for injection for the following changes to the dosage regimen</w:t>
      </w:r>
      <w:r w:rsidR="00CF5DAD">
        <w:t>:</w:t>
      </w:r>
    </w:p>
    <w:p w14:paraId="1491BFF0" w14:textId="5B3C1E73" w:rsidR="004F5D17" w:rsidRPr="004F5D17" w:rsidRDefault="004F5D17" w:rsidP="004F5D17">
      <w:r w:rsidRPr="004F5D17">
        <w:t>Dosage update to include a booster dose</w:t>
      </w:r>
      <w:r w:rsidR="00DD1976">
        <w:t>:</w:t>
      </w:r>
    </w:p>
    <w:p w14:paraId="2D4A8CE2" w14:textId="5A08F744" w:rsidR="004F5D17" w:rsidRPr="004F5D17" w:rsidRDefault="004F5D17" w:rsidP="004F5D17">
      <w:pPr>
        <w:ind w:left="720"/>
        <w:rPr>
          <w:i/>
          <w:iCs/>
        </w:rPr>
      </w:pPr>
      <w:r w:rsidRPr="004F5D17">
        <w:rPr>
          <w:i/>
          <w:iCs/>
        </w:rPr>
        <w:t>A booster dose (third dose) of C</w:t>
      </w:r>
      <w:r w:rsidR="003C6E44">
        <w:rPr>
          <w:i/>
          <w:iCs/>
        </w:rPr>
        <w:t>omirnaty</w:t>
      </w:r>
      <w:r w:rsidRPr="004F5D17">
        <w:rPr>
          <w:i/>
          <w:iCs/>
        </w:rPr>
        <w:t xml:space="preserve"> may be administered intramuscularly approximately 6 months after the second dose in individuals 16 years of age and older.</w:t>
      </w:r>
    </w:p>
    <w:p w14:paraId="63EB1676" w14:textId="33BCDA60" w:rsidR="00A75E21" w:rsidRDefault="00A75E21" w:rsidP="00A75E21">
      <w:r w:rsidRPr="00765D5A">
        <w:rPr>
          <w:lang w:eastAsia="ja-JP"/>
        </w:rPr>
        <w:t>Coronavirus disease 2019 (</w:t>
      </w:r>
      <w:r w:rsidRPr="00765D5A">
        <w:t xml:space="preserve">COVID-19) is an infectious disease caused by </w:t>
      </w:r>
      <w:r w:rsidRPr="00765D5A">
        <w:rPr>
          <w:lang w:eastAsia="ja-JP"/>
        </w:rPr>
        <w:t>severe acute respiratory syndrome coronavirus 2 (</w:t>
      </w:r>
      <w:r w:rsidRPr="00765D5A">
        <w:t xml:space="preserve">SARS-CoV-2), a zoonotic virus that </w:t>
      </w:r>
      <w:r>
        <w:t xml:space="preserve">was </w:t>
      </w:r>
      <w:r w:rsidRPr="00765D5A">
        <w:t xml:space="preserve">first </w:t>
      </w:r>
      <w:r>
        <w:t>detected</w:t>
      </w:r>
      <w:r w:rsidRPr="00765D5A">
        <w:t xml:space="preserve"> as a human pathogen in China and has rapidly spread around the world by </w:t>
      </w:r>
      <w:proofErr w:type="gramStart"/>
      <w:r w:rsidRPr="00765D5A">
        <w:t>human to human</w:t>
      </w:r>
      <w:proofErr w:type="gramEnd"/>
      <w:r w:rsidRPr="00765D5A">
        <w:t xml:space="preserve"> transmission.</w:t>
      </w:r>
    </w:p>
    <w:p w14:paraId="46EC1558" w14:textId="0F3A1E50" w:rsidR="00A75E21" w:rsidRPr="00765D5A" w:rsidRDefault="00A75E21" w:rsidP="00A75E21">
      <w:r w:rsidRPr="00765D5A">
        <w:t xml:space="preserve">In December 2019, a pneumonia outbreak of unknown cause </w:t>
      </w:r>
      <w:r w:rsidR="00E11254">
        <w:t>was first described and i</w:t>
      </w:r>
      <w:r w:rsidRPr="00765D5A">
        <w:t xml:space="preserve">n January 2020, it became clear that a novel </w:t>
      </w:r>
      <w:r>
        <w:t>c</w:t>
      </w:r>
      <w:r w:rsidRPr="00765D5A">
        <w:t>oronavirus (named 2019</w:t>
      </w:r>
      <w:r w:rsidRPr="00765D5A">
        <w:noBreakHyphen/>
        <w:t>nCoV initially, later called SARS-CoV-2) was the underlying cause.</w:t>
      </w:r>
      <w:r w:rsidRPr="00765D5A">
        <w:rPr>
          <w:rStyle w:val="FootnoteReference"/>
          <w:lang w:eastAsia="ja-JP"/>
        </w:rPr>
        <w:footnoteReference w:id="2"/>
      </w:r>
      <w:r w:rsidRPr="00765D5A">
        <w:t xml:space="preserve"> In early January 2020, the genetic sequence of the 2019-nCoV became available to the World Health Organization (WHO) and </w:t>
      </w:r>
      <w:r>
        <w:t xml:space="preserve">the </w:t>
      </w:r>
      <w:r w:rsidRPr="00765D5A">
        <w:t>public, and the virus was categorised in the beta-coronavirus subfamily. By sequence analysis, the phylogenetic tree revealed a closer relationship to severe acute respiratory syndrome virus isolates than to other coronaviruses that infect humans, including the Middle East respiratory syndrome coronavirus</w:t>
      </w:r>
      <w:r w:rsidR="00E11254">
        <w:t xml:space="preserve"> (also known as MERS)</w:t>
      </w:r>
      <w:r w:rsidRPr="00765D5A">
        <w:t>.</w:t>
      </w:r>
    </w:p>
    <w:p w14:paraId="13D202BD" w14:textId="32CA4D6B" w:rsidR="00A75E21" w:rsidRPr="00765D5A" w:rsidRDefault="00E11254" w:rsidP="00A75E21">
      <w:r>
        <w:rPr>
          <w:lang w:eastAsia="ja-JP"/>
        </w:rPr>
        <w:t>SARS-CoV-</w:t>
      </w:r>
      <w:r w:rsidR="00A75E21" w:rsidRPr="00765D5A">
        <w:rPr>
          <w:lang w:eastAsia="ja-JP"/>
        </w:rPr>
        <w:t xml:space="preserve">2 </w:t>
      </w:r>
      <w:r w:rsidR="00A75E21">
        <w:t>infections and the resulting disease COVID-19 have spread globally, affecting a growing number of countries. On 11 March 2020 the WHO characteri</w:t>
      </w:r>
      <w:r w:rsidR="00114FD1">
        <w:t>s</w:t>
      </w:r>
      <w:r w:rsidR="00A75E21">
        <w:t>ed the COVID-19 outbreak as a pandemic.</w:t>
      </w:r>
      <w:r w:rsidR="00A75E21">
        <w:rPr>
          <w:rStyle w:val="FootnoteReference"/>
        </w:rPr>
        <w:footnoteReference w:id="3"/>
      </w:r>
      <w:r w:rsidR="00A75E21">
        <w:t xml:space="preserve"> Since that announcement, the transmission of SARS-CoV-2 and resultant cases of COVID-19 disease has occurred globally, with cases reported by </w:t>
      </w:r>
      <w:proofErr w:type="gramStart"/>
      <w:r w:rsidR="00A75E21">
        <w:t>the vast majority of</w:t>
      </w:r>
      <w:proofErr w:type="gramEnd"/>
      <w:r w:rsidR="00A75E21">
        <w:t xml:space="preserve"> </w:t>
      </w:r>
      <w:r w:rsidR="00A75E21" w:rsidRPr="00765D5A">
        <w:t xml:space="preserve">countries. As of </w:t>
      </w:r>
      <w:r w:rsidR="00A75E21">
        <w:t>12</w:t>
      </w:r>
      <w:r w:rsidR="00A75E21" w:rsidRPr="00765D5A">
        <w:t xml:space="preserve"> </w:t>
      </w:r>
      <w:r w:rsidR="00A75E21">
        <w:t>January</w:t>
      </w:r>
      <w:r w:rsidR="00A75E21" w:rsidRPr="00765D5A">
        <w:t xml:space="preserve"> 202</w:t>
      </w:r>
      <w:r w:rsidR="00A75E21">
        <w:t>2</w:t>
      </w:r>
      <w:r w:rsidR="00A75E21" w:rsidRPr="00765D5A">
        <w:t xml:space="preserve">, there have been over </w:t>
      </w:r>
      <w:r w:rsidR="00A75E21">
        <w:t>312</w:t>
      </w:r>
      <w:r w:rsidR="00A75E21" w:rsidRPr="00765D5A">
        <w:t xml:space="preserve"> million globally confirmed COVID-19 cases and over </w:t>
      </w:r>
      <w:r w:rsidR="00A75E21">
        <w:t>5.5</w:t>
      </w:r>
      <w:r w:rsidR="00A75E21" w:rsidRPr="00765D5A">
        <w:t xml:space="preserve"> million deaths, with over 190 countries/regions affected.</w:t>
      </w:r>
      <w:r w:rsidR="00A75E21" w:rsidRPr="00765D5A">
        <w:rPr>
          <w:rStyle w:val="FootnoteReference"/>
        </w:rPr>
        <w:footnoteReference w:id="4"/>
      </w:r>
      <w:r w:rsidR="00A75E21" w:rsidRPr="00765D5A">
        <w:t xml:space="preserve"> In Australia, as of </w:t>
      </w:r>
      <w:r w:rsidR="00A75E21">
        <w:t>12</w:t>
      </w:r>
      <w:r w:rsidR="00A75E21" w:rsidRPr="00765D5A">
        <w:t xml:space="preserve"> </w:t>
      </w:r>
      <w:r w:rsidR="00A75E21">
        <w:t>January</w:t>
      </w:r>
      <w:r w:rsidR="00A75E21" w:rsidRPr="00765D5A">
        <w:t xml:space="preserve"> 202</w:t>
      </w:r>
      <w:r w:rsidR="00A75E21">
        <w:t>2</w:t>
      </w:r>
      <w:r w:rsidR="00A75E21" w:rsidRPr="00765D5A">
        <w:t xml:space="preserve">, there have been over </w:t>
      </w:r>
      <w:r w:rsidR="00A75E21">
        <w:t>1.1 million</w:t>
      </w:r>
      <w:r w:rsidR="00A75E21" w:rsidRPr="00765D5A">
        <w:t xml:space="preserve"> confirmed COVID-19 cases and </w:t>
      </w:r>
      <w:r w:rsidR="00A75E21">
        <w:t>2465</w:t>
      </w:r>
      <w:r w:rsidR="00A75E21" w:rsidRPr="00765D5A">
        <w:t xml:space="preserve"> deaths.</w:t>
      </w:r>
      <w:r w:rsidR="00A75E21">
        <w:rPr>
          <w:rStyle w:val="FootnoteReference"/>
        </w:rPr>
        <w:footnoteReference w:id="5"/>
      </w:r>
    </w:p>
    <w:p w14:paraId="4F94B418" w14:textId="3AE5092B" w:rsidR="00A75E21" w:rsidRDefault="00A75E21" w:rsidP="00A75E21">
      <w:r>
        <w:t>The Omicron variant (B.1.1.529) of SARS-CoV-2 was designated by WHO as a variant of concern on 26 November 2021 and is</w:t>
      </w:r>
      <w:r w:rsidR="00E11254">
        <w:t xml:space="preserve"> currently</w:t>
      </w:r>
      <w:r>
        <w:t xml:space="preserve"> circulating in many countries worldwide including Australia.</w:t>
      </w:r>
      <w:r>
        <w:rPr>
          <w:rStyle w:val="FootnoteReference"/>
        </w:rPr>
        <w:footnoteReference w:id="6"/>
      </w:r>
    </w:p>
    <w:p w14:paraId="5CD64E12" w14:textId="4C3778CF" w:rsidR="001C488C" w:rsidRPr="00765D5A" w:rsidRDefault="001C488C" w:rsidP="001C488C">
      <w:r w:rsidRPr="00765D5A">
        <w:t xml:space="preserve">The Pfizer-BioNTech COVID-19 vaccine, Comirnaty, </w:t>
      </w:r>
      <w:r>
        <w:t xml:space="preserve">is </w:t>
      </w:r>
      <w:r w:rsidRPr="00765D5A">
        <w:t>comprise</w:t>
      </w:r>
      <w:r>
        <w:t>d of</w:t>
      </w:r>
      <w:r w:rsidRPr="00765D5A">
        <w:t xml:space="preserve"> nucleoside</w:t>
      </w:r>
      <w:r>
        <w:noBreakHyphen/>
      </w:r>
      <w:r w:rsidRPr="00765D5A">
        <w:t xml:space="preserve">modified mRNA encoding </w:t>
      </w:r>
      <w:r>
        <w:t xml:space="preserve">a mutated form of the </w:t>
      </w:r>
      <w:proofErr w:type="gramStart"/>
      <w:r>
        <w:t>full</w:t>
      </w:r>
      <w:r w:rsidR="00DD1976">
        <w:t xml:space="preserve"> </w:t>
      </w:r>
      <w:r>
        <w:t>length</w:t>
      </w:r>
      <w:proofErr w:type="gramEnd"/>
      <w:r w:rsidRPr="00765D5A">
        <w:t xml:space="preserve"> viral spike glycoprotein of SARS-CoV-2.</w:t>
      </w:r>
      <w:r w:rsidRPr="00765D5A">
        <w:rPr>
          <w:rStyle w:val="FootnoteReference"/>
        </w:rPr>
        <w:footnoteReference w:id="7"/>
      </w:r>
      <w:r w:rsidRPr="00765D5A">
        <w:t xml:space="preserve"> The ribonucleic acid (RNA) is encapsulated in lipid nanoparticles, which enables entry into host cells, expression of the spike glycoprotein, and elicitation of both antibody and cellular immune responses. The vaccine is supplied in a multidose clear glass 2 mL vial </w:t>
      </w:r>
      <w:r w:rsidRPr="00765D5A">
        <w:lastRenderedPageBreak/>
        <w:t xml:space="preserve">with a rubber stopper, stored in -60 to -90°C. The vials are packed in cartons containing 195 multidose </w:t>
      </w:r>
      <w:r w:rsidR="00ED014B" w:rsidRPr="00765D5A">
        <w:t>vials and</w:t>
      </w:r>
      <w:r w:rsidRPr="00765D5A">
        <w:t xml:space="preserve"> are intended for use over a short time window (calculated from its first use) due to its preservative free composition.</w:t>
      </w:r>
    </w:p>
    <w:p w14:paraId="17F40EE5" w14:textId="46930615" w:rsidR="003132DF" w:rsidRDefault="003132DF" w:rsidP="003132DF">
      <w:pPr>
        <w:pStyle w:val="ListBullet"/>
        <w:numPr>
          <w:ilvl w:val="0"/>
          <w:numId w:val="0"/>
        </w:numPr>
      </w:pPr>
      <w:proofErr w:type="spellStart"/>
      <w:r>
        <w:t>Comirnaty</w:t>
      </w:r>
      <w:proofErr w:type="spellEnd"/>
      <w:r w:rsidRPr="00AC5E9F">
        <w:t xml:space="preserve"> (</w:t>
      </w:r>
      <w:proofErr w:type="spellStart"/>
      <w:r>
        <w:rPr>
          <w:lang w:eastAsia="ja-JP"/>
        </w:rPr>
        <w:t>tozinameran</w:t>
      </w:r>
      <w:proofErr w:type="spellEnd"/>
      <w:r>
        <w:rPr>
          <w:lang w:eastAsia="ja-JP"/>
        </w:rPr>
        <w:t>), also known as</w:t>
      </w:r>
      <w:r w:rsidRPr="00DA05FB">
        <w:rPr>
          <w:lang w:eastAsia="ja-JP"/>
        </w:rPr>
        <w:t xml:space="preserve"> the Pfizer/BioNTech </w:t>
      </w:r>
      <w:r>
        <w:rPr>
          <w:lang w:eastAsia="ja-JP"/>
        </w:rPr>
        <w:t>COVID</w:t>
      </w:r>
      <w:r>
        <w:rPr>
          <w:lang w:eastAsia="ja-JP"/>
        </w:rPr>
        <w:noBreakHyphen/>
        <w:t xml:space="preserve">19 </w:t>
      </w:r>
      <w:r w:rsidRPr="00DA05FB">
        <w:rPr>
          <w:lang w:eastAsia="ja-JP"/>
        </w:rPr>
        <w:t>vaccine</w:t>
      </w:r>
      <w:r w:rsidRPr="00AC5E9F">
        <w:t xml:space="preserve"> was granted provisional registration</w:t>
      </w:r>
      <w:r w:rsidR="00906505">
        <w:t>;</w:t>
      </w:r>
      <w:bookmarkStart w:id="17" w:name="_Ref93308696"/>
      <w:r w:rsidR="00906505">
        <w:rPr>
          <w:rStyle w:val="FootnoteReference"/>
        </w:rPr>
        <w:footnoteReference w:id="8"/>
      </w:r>
      <w:bookmarkEnd w:id="17"/>
      <w:r>
        <w:t xml:space="preserve"> </w:t>
      </w:r>
      <w:r w:rsidRPr="00AC5E9F">
        <w:t>on 25 January 2021</w:t>
      </w:r>
      <w:r>
        <w:t xml:space="preserve"> </w:t>
      </w:r>
      <w:r w:rsidRPr="00DA05FB">
        <w:rPr>
          <w:lang w:eastAsia="ja-JP"/>
        </w:rPr>
        <w:t xml:space="preserve">for active immunisation to prevent </w:t>
      </w:r>
      <w:r>
        <w:rPr>
          <w:lang w:eastAsia="ja-JP"/>
        </w:rPr>
        <w:t>COVID</w:t>
      </w:r>
      <w:r>
        <w:rPr>
          <w:lang w:eastAsia="ja-JP"/>
        </w:rPr>
        <w:noBreakHyphen/>
        <w:t>19 caused by SARS</w:t>
      </w:r>
      <w:r>
        <w:rPr>
          <w:lang w:eastAsia="ja-JP"/>
        </w:rPr>
        <w:noBreakHyphen/>
        <w:t>CoV</w:t>
      </w:r>
      <w:r>
        <w:rPr>
          <w:lang w:eastAsia="ja-JP"/>
        </w:rPr>
        <w:noBreakHyphen/>
      </w:r>
      <w:r w:rsidRPr="00DA05FB">
        <w:rPr>
          <w:lang w:eastAsia="ja-JP"/>
        </w:rPr>
        <w:t>2, in individ</w:t>
      </w:r>
      <w:r>
        <w:rPr>
          <w:lang w:eastAsia="ja-JP"/>
        </w:rPr>
        <w:t>uals 16 years of age and older;</w:t>
      </w:r>
      <w:r>
        <w:rPr>
          <w:rStyle w:val="FootnoteReference"/>
          <w:lang w:eastAsia="ja-JP"/>
        </w:rPr>
        <w:footnoteReference w:id="9"/>
      </w:r>
      <w:r w:rsidRPr="00AC5E9F">
        <w:t xml:space="preserve">. The regimen is </w:t>
      </w:r>
      <w:r>
        <w:t>two</w:t>
      </w:r>
      <w:r w:rsidRPr="00AC5E9F">
        <w:t xml:space="preserve"> doses</w:t>
      </w:r>
      <w:r>
        <w:t>, three</w:t>
      </w:r>
      <w:r w:rsidRPr="00AC5E9F">
        <w:t xml:space="preserve"> weeks apart. Extension of indication to the age group of 12</w:t>
      </w:r>
      <w:r>
        <w:t xml:space="preserve"> to </w:t>
      </w:r>
      <w:r w:rsidRPr="00AC5E9F">
        <w:t xml:space="preserve">15 years </w:t>
      </w:r>
      <w:r>
        <w:t xml:space="preserve">and older </w:t>
      </w:r>
      <w:r w:rsidRPr="00AC5E9F">
        <w:t>was approved on 21 July 2021.</w:t>
      </w:r>
      <w:r>
        <w:rPr>
          <w:rStyle w:val="FootnoteReference"/>
        </w:rPr>
        <w:footnoteReference w:id="10"/>
      </w:r>
      <w:r w:rsidRPr="00AC5E9F">
        <w:t>Use in children 5</w:t>
      </w:r>
      <w:r>
        <w:t xml:space="preserve"> to </w:t>
      </w:r>
      <w:r w:rsidRPr="00AC5E9F">
        <w:t>11 years</w:t>
      </w:r>
      <w:r>
        <w:t xml:space="preserve"> and older</w:t>
      </w:r>
      <w:r w:rsidRPr="00AC5E9F">
        <w:t xml:space="preserve"> was approved on 3 December 2021.</w:t>
      </w:r>
      <w:bookmarkStart w:id="18" w:name="_Ref92971407"/>
      <w:r>
        <w:rPr>
          <w:rStyle w:val="FootnoteReference"/>
        </w:rPr>
        <w:footnoteReference w:id="11"/>
      </w:r>
      <w:bookmarkEnd w:id="18"/>
      <w:r>
        <w:t xml:space="preserve"> Change in dose regimen to include </w:t>
      </w:r>
      <w:r w:rsidR="00887011">
        <w:t>a booster dose in individual 18 years of age and older was approved on 26 October 2021.</w:t>
      </w:r>
      <w:r w:rsidR="00DD1976">
        <w:rPr>
          <w:rStyle w:val="FootnoteReference"/>
        </w:rPr>
        <w:footnoteReference w:id="12"/>
      </w:r>
    </w:p>
    <w:p w14:paraId="47E5FAE0" w14:textId="2AD800DB" w:rsidR="001C488C" w:rsidRDefault="001C488C" w:rsidP="00A75E21">
      <w:r w:rsidRPr="00765D5A">
        <w:t xml:space="preserve">In this submission the sponsor was seeking approval to amend Section 4.2 Dose and method of administration of the PI regarding the update to the dose regime with a booster dose </w:t>
      </w:r>
      <w:r w:rsidR="00292AA5">
        <w:t>in individual 1</w:t>
      </w:r>
      <w:r w:rsidR="00DD1976">
        <w:t>6</w:t>
      </w:r>
      <w:r w:rsidR="00292AA5">
        <w:t xml:space="preserve"> years of age and older in</w:t>
      </w:r>
      <w:r w:rsidRPr="00765D5A">
        <w:t xml:space="preserve"> Australian Register of Therapeutic Goods (ARTG)</w:t>
      </w:r>
      <w:r>
        <w:t>.</w:t>
      </w:r>
      <w:bookmarkStart w:id="19" w:name="_Ref86215035"/>
      <w:r w:rsidRPr="00765D5A">
        <w:rPr>
          <w:rStyle w:val="FootnoteReference"/>
        </w:rPr>
        <w:footnoteReference w:id="13"/>
      </w:r>
      <w:bookmarkEnd w:id="19"/>
    </w:p>
    <w:p w14:paraId="056018F2" w14:textId="77777777" w:rsidR="008E7846" w:rsidRPr="003F31A2" w:rsidRDefault="00386150" w:rsidP="008E7846">
      <w:pPr>
        <w:pStyle w:val="Heading3"/>
      </w:pPr>
      <w:bookmarkStart w:id="20" w:name="_Toc314842485"/>
      <w:bookmarkStart w:id="21" w:name="_Toc247691504"/>
      <w:bookmarkStart w:id="22" w:name="_Toc95207528"/>
      <w:r>
        <w:t>Regulatory s</w:t>
      </w:r>
      <w:r w:rsidR="008E7846">
        <w:t>tatus</w:t>
      </w:r>
      <w:bookmarkEnd w:id="20"/>
      <w:bookmarkEnd w:id="21"/>
      <w:bookmarkEnd w:id="22"/>
    </w:p>
    <w:p w14:paraId="03904519" w14:textId="360E147E" w:rsidR="00A863CE" w:rsidRPr="00765D5A" w:rsidRDefault="00A863CE" w:rsidP="00A863CE">
      <w:bookmarkStart w:id="23" w:name="_Toc247691505"/>
      <w:bookmarkStart w:id="24" w:name="_Toc314842486"/>
      <w:r w:rsidRPr="00765D5A">
        <w:t>The product received initial registration (provisional) on the ARTG</w:t>
      </w:r>
      <w:r>
        <w:t>,</w:t>
      </w:r>
      <w:r>
        <w:fldChar w:fldCharType="begin"/>
      </w:r>
      <w:r>
        <w:instrText xml:space="preserve"> NOTEREF _Ref86215035 \f \h </w:instrText>
      </w:r>
      <w:r>
        <w:fldChar w:fldCharType="separate"/>
      </w:r>
      <w:r w:rsidR="00A64E71" w:rsidRPr="00A64E71">
        <w:rPr>
          <w:rStyle w:val="FootnoteReference"/>
        </w:rPr>
        <w:t>13</w:t>
      </w:r>
      <w:r>
        <w:fldChar w:fldCharType="end"/>
      </w:r>
      <w:r w:rsidRPr="00765D5A">
        <w:t xml:space="preserve"> on 25 January 2021 for the prevention of COVID-19 in individuals 16 years of age and older. Subsequent applications have results in the approval for use in individuals </w:t>
      </w:r>
      <w:r w:rsidR="000E1827">
        <w:t xml:space="preserve">5 </w:t>
      </w:r>
      <w:r w:rsidRPr="00765D5A">
        <w:t>years of age and older.</w:t>
      </w:r>
      <w:r w:rsidR="000E1827">
        <w:fldChar w:fldCharType="begin"/>
      </w:r>
      <w:r w:rsidR="000E1827">
        <w:instrText xml:space="preserve"> NOTEREF _Ref92971407 \f \h </w:instrText>
      </w:r>
      <w:r w:rsidR="000E1827">
        <w:fldChar w:fldCharType="separate"/>
      </w:r>
      <w:r w:rsidR="00A64E71" w:rsidRPr="00A64E71">
        <w:rPr>
          <w:rStyle w:val="FootnoteReference"/>
        </w:rPr>
        <w:t>11</w:t>
      </w:r>
      <w:r w:rsidR="000E1827">
        <w:fldChar w:fldCharType="end"/>
      </w:r>
    </w:p>
    <w:p w14:paraId="50B77ACA" w14:textId="7E5D9781" w:rsidR="00A863CE" w:rsidRDefault="00A863CE" w:rsidP="00A863CE">
      <w:r w:rsidRPr="00765D5A">
        <w:t xml:space="preserve">As of </w:t>
      </w:r>
      <w:r w:rsidR="000E1827">
        <w:t>13 January 2022</w:t>
      </w:r>
      <w:r w:rsidRPr="00765D5A">
        <w:t>, the approved indications for Comirnaty were:</w:t>
      </w:r>
    </w:p>
    <w:p w14:paraId="39AB01C9" w14:textId="6167671C" w:rsidR="00EE61FB" w:rsidRPr="00765D5A" w:rsidRDefault="00EE61FB" w:rsidP="00EE61FB">
      <w:pPr>
        <w:ind w:left="720"/>
        <w:rPr>
          <w:i/>
          <w:iCs/>
        </w:rPr>
      </w:pPr>
      <w:proofErr w:type="spellStart"/>
      <w:r w:rsidRPr="00765D5A">
        <w:rPr>
          <w:i/>
          <w:iCs/>
        </w:rPr>
        <w:t>Comirnaty</w:t>
      </w:r>
      <w:proofErr w:type="spellEnd"/>
      <w:r w:rsidRPr="00765D5A">
        <w:rPr>
          <w:i/>
          <w:iCs/>
        </w:rPr>
        <w:t xml:space="preserve"> (</w:t>
      </w:r>
      <w:proofErr w:type="spellStart"/>
      <w:r>
        <w:rPr>
          <w:i/>
          <w:iCs/>
        </w:rPr>
        <w:t>tozinameran</w:t>
      </w:r>
      <w:proofErr w:type="spellEnd"/>
      <w:r>
        <w:rPr>
          <w:i/>
          <w:iCs/>
        </w:rPr>
        <w:t>)</w:t>
      </w:r>
      <w:r w:rsidRPr="00765D5A">
        <w:rPr>
          <w:i/>
          <w:iCs/>
        </w:rPr>
        <w:t xml:space="preserve"> COVID-19 vaccine has provisional approval for the indication below:</w:t>
      </w:r>
    </w:p>
    <w:p w14:paraId="70704DB0" w14:textId="2414315C" w:rsidR="00EE61FB" w:rsidRDefault="00EE61FB" w:rsidP="00EE61FB">
      <w:pPr>
        <w:ind w:left="720"/>
        <w:rPr>
          <w:i/>
          <w:iCs/>
        </w:rPr>
      </w:pPr>
      <w:r w:rsidRPr="00765D5A">
        <w:rPr>
          <w:i/>
          <w:iCs/>
        </w:rPr>
        <w:t xml:space="preserve">Active immunisation to prevent coronavirus disease 2019 (COVID-19) caused by SARS-CoV-2, in individuals </w:t>
      </w:r>
      <w:r>
        <w:rPr>
          <w:i/>
          <w:iCs/>
        </w:rPr>
        <w:t>5</w:t>
      </w:r>
      <w:r w:rsidRPr="00765D5A">
        <w:rPr>
          <w:i/>
          <w:iCs/>
        </w:rPr>
        <w:t xml:space="preserve"> years of age and older.</w:t>
      </w:r>
    </w:p>
    <w:p w14:paraId="0140ABCA" w14:textId="77777777" w:rsidR="00EE61FB" w:rsidRPr="00765D5A" w:rsidRDefault="00EE61FB" w:rsidP="00EE61FB">
      <w:pPr>
        <w:ind w:left="720"/>
        <w:rPr>
          <w:i/>
          <w:iCs/>
        </w:rPr>
      </w:pPr>
      <w:r w:rsidRPr="00765D5A">
        <w:rPr>
          <w:i/>
          <w:iCs/>
        </w:rPr>
        <w:t>A booster dose (third dose) of Comirnaty may be administered intramuscularly at least 6 months after the completion of a COVID-19 vaccine primary series in individuals 18 years of age and older.</w:t>
      </w:r>
    </w:p>
    <w:p w14:paraId="290B0ECB" w14:textId="77777777" w:rsidR="00EE61FB" w:rsidRPr="00765D5A" w:rsidRDefault="00EE61FB" w:rsidP="00EE61FB">
      <w:pPr>
        <w:ind w:left="720"/>
        <w:rPr>
          <w:i/>
          <w:iCs/>
        </w:rPr>
      </w:pPr>
      <w:r w:rsidRPr="00765D5A">
        <w:rPr>
          <w:i/>
          <w:iCs/>
        </w:rPr>
        <w:t xml:space="preserve">The decision when and for whom to implement a booster (third dose) of Comirnaty should be made based on available vaccine safety and effectiveness data (see Sections </w:t>
      </w:r>
      <w:r w:rsidRPr="00765D5A">
        <w:rPr>
          <w:i/>
          <w:iCs/>
        </w:rPr>
        <w:lastRenderedPageBreak/>
        <w:t>4.4 Special warnings and precautions for use and 5.1 Pharmacodynamic properties), in accordance with official recommendations.</w:t>
      </w:r>
    </w:p>
    <w:p w14:paraId="2843543F" w14:textId="77777777" w:rsidR="00EE61FB" w:rsidRPr="00765D5A" w:rsidRDefault="00EE61FB" w:rsidP="00EE61FB">
      <w:pPr>
        <w:ind w:left="720"/>
        <w:rPr>
          <w:i/>
          <w:iCs/>
        </w:rPr>
      </w:pPr>
      <w:r w:rsidRPr="00765D5A">
        <w:rPr>
          <w:i/>
          <w:iCs/>
        </w:rPr>
        <w:t>There are limited data on the interchangeability of Comirnaty with other COVID-19 vaccines to complete the primary vaccination course or the booster dose (third dose).</w:t>
      </w:r>
    </w:p>
    <w:p w14:paraId="3A03B357" w14:textId="77777777" w:rsidR="00EE61FB" w:rsidRPr="00765D5A" w:rsidRDefault="00EE61FB" w:rsidP="00EE61FB">
      <w:pPr>
        <w:ind w:left="720"/>
        <w:rPr>
          <w:i/>
          <w:iCs/>
        </w:rPr>
      </w:pPr>
      <w:r w:rsidRPr="00765D5A">
        <w:rPr>
          <w:i/>
          <w:iCs/>
        </w:rPr>
        <w:t>Individuals who have received 1 dose of Comirnaty should preferably receive a second dose of Comirnaty to complete the primary vaccination course and for any additional doses.</w:t>
      </w:r>
    </w:p>
    <w:p w14:paraId="1F6158B1" w14:textId="77777777" w:rsidR="00EE61FB" w:rsidRPr="00765D5A" w:rsidRDefault="00EE61FB" w:rsidP="00EE61FB">
      <w:pPr>
        <w:ind w:left="720"/>
        <w:rPr>
          <w:i/>
          <w:iCs/>
        </w:rPr>
      </w:pPr>
      <w:r w:rsidRPr="00765D5A">
        <w:rPr>
          <w:i/>
          <w:iCs/>
        </w:rPr>
        <w:t>The use of this vaccine should be in accordance with official recommendations.</w:t>
      </w:r>
    </w:p>
    <w:p w14:paraId="74944C99" w14:textId="77777777" w:rsidR="00EE61FB" w:rsidRPr="00765D5A" w:rsidRDefault="00EE61FB" w:rsidP="00EE61FB">
      <w:pPr>
        <w:ind w:left="720"/>
        <w:rPr>
          <w:i/>
          <w:iCs/>
        </w:rPr>
      </w:pPr>
      <w:r w:rsidRPr="00765D5A">
        <w:rPr>
          <w:i/>
          <w:iCs/>
        </w:rPr>
        <w:t xml:space="preserve">The decision has been made on the basis of </w:t>
      </w:r>
      <w:proofErr w:type="gramStart"/>
      <w:r w:rsidRPr="00765D5A">
        <w:rPr>
          <w:i/>
          <w:iCs/>
        </w:rPr>
        <w:t>short term</w:t>
      </w:r>
      <w:proofErr w:type="gramEnd"/>
      <w:r w:rsidRPr="00765D5A">
        <w:rPr>
          <w:i/>
          <w:iCs/>
        </w:rPr>
        <w:t xml:space="preserve"> efficacy and safety data. Continued approval depends on the evidence of </w:t>
      </w:r>
      <w:proofErr w:type="gramStart"/>
      <w:r w:rsidRPr="00765D5A">
        <w:rPr>
          <w:i/>
          <w:iCs/>
        </w:rPr>
        <w:t>longer term</w:t>
      </w:r>
      <w:proofErr w:type="gramEnd"/>
      <w:r w:rsidRPr="00765D5A">
        <w:rPr>
          <w:i/>
          <w:iCs/>
        </w:rPr>
        <w:t xml:space="preserve"> efficacy and safety from ongoing clinical trials and post-market assessment.</w:t>
      </w:r>
    </w:p>
    <w:p w14:paraId="75AD9D1F" w14:textId="1608D232" w:rsidR="0057446D" w:rsidRPr="0057446D" w:rsidRDefault="00EE61FB" w:rsidP="0057446D">
      <w:r w:rsidRPr="0057446D">
        <w:t>At the time the TGA considered this application, a similar application had been approved in the United States of America (USA) on 2</w:t>
      </w:r>
      <w:r w:rsidR="0057446D" w:rsidRPr="0057446D">
        <w:t>7</w:t>
      </w:r>
      <w:r w:rsidRPr="0057446D">
        <w:t xml:space="preserve"> </w:t>
      </w:r>
      <w:r w:rsidR="0057446D" w:rsidRPr="0057446D">
        <w:t>August 2021, European Union (EU) on 8</w:t>
      </w:r>
      <w:r w:rsidR="00E11254">
        <w:t> </w:t>
      </w:r>
      <w:r w:rsidR="0057446D" w:rsidRPr="0057446D">
        <w:t>October 2021, United Kingdom on 9 September 2021, Can</w:t>
      </w:r>
      <w:r w:rsidR="00906505">
        <w:t>a</w:t>
      </w:r>
      <w:r w:rsidR="0057446D" w:rsidRPr="0057446D">
        <w:t>da on 1 October 2021 and New Zealand on 8 November 2021.</w:t>
      </w:r>
    </w:p>
    <w:p w14:paraId="0DF69BE3" w14:textId="05A4C3A4" w:rsidR="00324E45" w:rsidRDefault="00324E45" w:rsidP="00324E45">
      <w:pPr>
        <w:pStyle w:val="TableTitle"/>
      </w:pPr>
      <w:r>
        <w:t xml:space="preserve">Table </w:t>
      </w:r>
      <w:r w:rsidR="00EF5616">
        <w:fldChar w:fldCharType="begin"/>
      </w:r>
      <w:r w:rsidR="00EF5616">
        <w:instrText xml:space="preserve"> SEQ Table \* ARABIC </w:instrText>
      </w:r>
      <w:r w:rsidR="00EF5616">
        <w:fldChar w:fldCharType="separate"/>
      </w:r>
      <w:r w:rsidR="00A64E71">
        <w:rPr>
          <w:noProof/>
        </w:rPr>
        <w:t>1</w:t>
      </w:r>
      <w:r w:rsidR="00EF5616">
        <w:rPr>
          <w:noProof/>
        </w:rPr>
        <w:fldChar w:fldCharType="end"/>
      </w:r>
      <w:r>
        <w:t>: International regulatory status</w:t>
      </w:r>
    </w:p>
    <w:tbl>
      <w:tblPr>
        <w:tblStyle w:val="TableTGAblue"/>
        <w:tblW w:w="5000" w:type="pct"/>
        <w:tblLook w:val="04A0" w:firstRow="1" w:lastRow="0" w:firstColumn="1" w:lastColumn="0" w:noHBand="0" w:noVBand="1"/>
      </w:tblPr>
      <w:tblGrid>
        <w:gridCol w:w="1261"/>
        <w:gridCol w:w="1561"/>
        <w:gridCol w:w="1658"/>
        <w:gridCol w:w="4014"/>
      </w:tblGrid>
      <w:tr w:rsidR="00E11254" w:rsidRPr="00765D5A" w14:paraId="4FC1E81E" w14:textId="77777777" w:rsidTr="00777771">
        <w:trPr>
          <w:cnfStyle w:val="100000000000" w:firstRow="1" w:lastRow="0" w:firstColumn="0" w:lastColumn="0" w:oddVBand="0" w:evenVBand="0" w:oddHBand="0" w:evenHBand="0" w:firstRowFirstColumn="0" w:firstRowLastColumn="0" w:lastRowFirstColumn="0" w:lastRowLastColumn="0"/>
        </w:trPr>
        <w:tc>
          <w:tcPr>
            <w:tcW w:w="665" w:type="pct"/>
            <w:tcBorders>
              <w:top w:val="single" w:sz="4" w:space="0" w:color="auto"/>
              <w:left w:val="single" w:sz="4" w:space="0" w:color="auto"/>
              <w:bottom w:val="single" w:sz="4" w:space="0" w:color="auto"/>
              <w:right w:val="single" w:sz="4" w:space="0" w:color="auto"/>
            </w:tcBorders>
          </w:tcPr>
          <w:p w14:paraId="13D7BDC9" w14:textId="77777777" w:rsidR="00EE61FB" w:rsidRPr="00765D5A" w:rsidRDefault="00EE61FB" w:rsidP="00E8719A">
            <w:pPr>
              <w:ind w:left="0" w:right="0"/>
            </w:pPr>
            <w:r w:rsidRPr="00765D5A">
              <w:t>Region</w:t>
            </w:r>
          </w:p>
        </w:tc>
        <w:tc>
          <w:tcPr>
            <w:tcW w:w="945" w:type="pct"/>
            <w:tcBorders>
              <w:top w:val="single" w:sz="4" w:space="0" w:color="auto"/>
              <w:left w:val="single" w:sz="4" w:space="0" w:color="auto"/>
              <w:bottom w:val="single" w:sz="4" w:space="0" w:color="auto"/>
              <w:right w:val="single" w:sz="4" w:space="0" w:color="auto"/>
            </w:tcBorders>
          </w:tcPr>
          <w:p w14:paraId="56987A4C" w14:textId="77777777" w:rsidR="00EE61FB" w:rsidRPr="00765D5A" w:rsidRDefault="00EE61FB" w:rsidP="00E8719A">
            <w:pPr>
              <w:ind w:left="0" w:right="0"/>
            </w:pPr>
            <w:r w:rsidRPr="00765D5A">
              <w:t>Submission date</w:t>
            </w:r>
          </w:p>
        </w:tc>
        <w:tc>
          <w:tcPr>
            <w:tcW w:w="1002" w:type="pct"/>
            <w:tcBorders>
              <w:top w:val="single" w:sz="4" w:space="0" w:color="auto"/>
              <w:left w:val="single" w:sz="4" w:space="0" w:color="auto"/>
              <w:bottom w:val="single" w:sz="4" w:space="0" w:color="auto"/>
              <w:right w:val="single" w:sz="4" w:space="0" w:color="auto"/>
            </w:tcBorders>
          </w:tcPr>
          <w:p w14:paraId="32989661" w14:textId="77777777" w:rsidR="00EE61FB" w:rsidRPr="00765D5A" w:rsidRDefault="00EE61FB" w:rsidP="00E8719A">
            <w:pPr>
              <w:ind w:left="0" w:right="0"/>
            </w:pPr>
            <w:r w:rsidRPr="00765D5A">
              <w:t>Status</w:t>
            </w:r>
          </w:p>
        </w:tc>
        <w:tc>
          <w:tcPr>
            <w:tcW w:w="2389" w:type="pct"/>
            <w:tcBorders>
              <w:top w:val="single" w:sz="4" w:space="0" w:color="auto"/>
              <w:left w:val="single" w:sz="4" w:space="0" w:color="auto"/>
              <w:bottom w:val="single" w:sz="4" w:space="0" w:color="auto"/>
              <w:right w:val="single" w:sz="4" w:space="0" w:color="auto"/>
            </w:tcBorders>
          </w:tcPr>
          <w:p w14:paraId="22CDE474" w14:textId="77777777" w:rsidR="00EE61FB" w:rsidRPr="00765D5A" w:rsidRDefault="00EE61FB" w:rsidP="00E8719A">
            <w:pPr>
              <w:ind w:left="0" w:right="0"/>
            </w:pPr>
            <w:r w:rsidRPr="00765D5A">
              <w:t>Approved indications</w:t>
            </w:r>
          </w:p>
        </w:tc>
      </w:tr>
      <w:tr w:rsidR="00E11254" w:rsidRPr="00765D5A" w14:paraId="5AD80A26" w14:textId="77777777" w:rsidTr="00777771">
        <w:tc>
          <w:tcPr>
            <w:tcW w:w="665" w:type="pct"/>
            <w:tcBorders>
              <w:top w:val="single" w:sz="4" w:space="0" w:color="auto"/>
            </w:tcBorders>
          </w:tcPr>
          <w:p w14:paraId="5CF2A6A8" w14:textId="77777777" w:rsidR="00EE61FB" w:rsidRPr="00DD70F0" w:rsidRDefault="00EE61FB" w:rsidP="00E8719A">
            <w:pPr>
              <w:ind w:left="0"/>
              <w:rPr>
                <w:sz w:val="21"/>
              </w:rPr>
            </w:pPr>
            <w:r w:rsidRPr="00DD70F0">
              <w:rPr>
                <w:sz w:val="21"/>
              </w:rPr>
              <w:t>United States of America</w:t>
            </w:r>
          </w:p>
        </w:tc>
        <w:tc>
          <w:tcPr>
            <w:tcW w:w="945" w:type="pct"/>
            <w:tcBorders>
              <w:top w:val="single" w:sz="4" w:space="0" w:color="auto"/>
            </w:tcBorders>
          </w:tcPr>
          <w:p w14:paraId="63F05A1D" w14:textId="77777777" w:rsidR="00EE61FB" w:rsidRPr="00DD70F0" w:rsidRDefault="00EE61FB" w:rsidP="00E8719A">
            <w:pPr>
              <w:ind w:left="0" w:right="0"/>
              <w:rPr>
                <w:sz w:val="21"/>
              </w:rPr>
            </w:pPr>
            <w:r w:rsidRPr="00DD70F0">
              <w:rPr>
                <w:sz w:val="21"/>
              </w:rPr>
              <w:t>27 August 2021</w:t>
            </w:r>
          </w:p>
        </w:tc>
        <w:tc>
          <w:tcPr>
            <w:tcW w:w="1002" w:type="pct"/>
            <w:tcBorders>
              <w:top w:val="single" w:sz="4" w:space="0" w:color="auto"/>
            </w:tcBorders>
          </w:tcPr>
          <w:p w14:paraId="11ECF277" w14:textId="5947FB28" w:rsidR="00EE61FB" w:rsidRPr="00DD70F0" w:rsidRDefault="00EE61FB" w:rsidP="00E8719A">
            <w:pPr>
              <w:ind w:left="0"/>
              <w:rPr>
                <w:sz w:val="21"/>
              </w:rPr>
            </w:pPr>
            <w:r w:rsidRPr="00DD70F0">
              <w:rPr>
                <w:sz w:val="21"/>
              </w:rPr>
              <w:t>Approved</w:t>
            </w:r>
            <w:r w:rsidR="0003586A" w:rsidRPr="00DD70F0">
              <w:rPr>
                <w:sz w:val="21"/>
              </w:rPr>
              <w:t xml:space="preserve">: </w:t>
            </w:r>
            <w:r w:rsidRPr="00DD70F0">
              <w:rPr>
                <w:sz w:val="21"/>
              </w:rPr>
              <w:t>Emergency Use Authorization</w:t>
            </w:r>
            <w:r w:rsidR="0003586A" w:rsidRPr="00DD70F0">
              <w:rPr>
                <w:sz w:val="21"/>
              </w:rPr>
              <w:t xml:space="preserve"> (EUA</w:t>
            </w:r>
            <w:r w:rsidRPr="00DD70F0">
              <w:rPr>
                <w:sz w:val="21"/>
              </w:rPr>
              <w:t>) on 22 September</w:t>
            </w:r>
            <w:r w:rsidR="00E11254" w:rsidRPr="00DD70F0">
              <w:rPr>
                <w:sz w:val="21"/>
              </w:rPr>
              <w:t xml:space="preserve"> </w:t>
            </w:r>
            <w:r w:rsidRPr="00DD70F0">
              <w:rPr>
                <w:sz w:val="21"/>
              </w:rPr>
              <w:t>2021</w:t>
            </w:r>
          </w:p>
          <w:p w14:paraId="16BDF7A2" w14:textId="7AA74B88" w:rsidR="00C03BFF" w:rsidRPr="00DD70F0" w:rsidRDefault="00C03BFF" w:rsidP="00E8719A">
            <w:pPr>
              <w:ind w:left="0"/>
              <w:rPr>
                <w:sz w:val="21"/>
              </w:rPr>
            </w:pPr>
            <w:r w:rsidRPr="00DD70F0">
              <w:rPr>
                <w:sz w:val="21"/>
              </w:rPr>
              <w:t xml:space="preserve">For 12 to 17 years old: </w:t>
            </w:r>
            <w:r w:rsidR="0003586A" w:rsidRPr="00DD70F0">
              <w:rPr>
                <w:sz w:val="21"/>
              </w:rPr>
              <w:t>EUA</w:t>
            </w:r>
            <w:r w:rsidRPr="00DD70F0">
              <w:rPr>
                <w:sz w:val="21"/>
              </w:rPr>
              <w:t xml:space="preserve"> amended on 3 January 2022</w:t>
            </w:r>
          </w:p>
        </w:tc>
        <w:tc>
          <w:tcPr>
            <w:tcW w:w="2389" w:type="pct"/>
            <w:tcBorders>
              <w:top w:val="single" w:sz="4" w:space="0" w:color="auto"/>
            </w:tcBorders>
          </w:tcPr>
          <w:p w14:paraId="384D5FBA" w14:textId="77777777" w:rsidR="00C03BFF" w:rsidRPr="00DD70F0" w:rsidRDefault="00C03BFF" w:rsidP="00C03BFF">
            <w:pPr>
              <w:ind w:left="0"/>
              <w:rPr>
                <w:i/>
                <w:sz w:val="21"/>
              </w:rPr>
            </w:pPr>
            <w:r w:rsidRPr="00DD70F0">
              <w:rPr>
                <w:i/>
                <w:sz w:val="21"/>
              </w:rPr>
              <w:t xml:space="preserve">A single Pfizer-BioNTech COVID-19 Vaccine booster dose (0.3 mL) may be administered intramuscularly at least 6 months after completing the primary series to individuals: </w:t>
            </w:r>
          </w:p>
          <w:p w14:paraId="36213DC5" w14:textId="59E6CEA9" w:rsidR="00C03BFF" w:rsidRPr="00DD70F0" w:rsidRDefault="00C03BFF" w:rsidP="00C03BFF">
            <w:pPr>
              <w:pStyle w:val="ListBullet"/>
              <w:rPr>
                <w:i/>
                <w:iCs/>
                <w:sz w:val="21"/>
              </w:rPr>
            </w:pPr>
            <w:r w:rsidRPr="00DD70F0">
              <w:rPr>
                <w:i/>
                <w:iCs/>
                <w:sz w:val="21"/>
              </w:rPr>
              <w:t xml:space="preserve">65 years of age and older </w:t>
            </w:r>
          </w:p>
          <w:p w14:paraId="4FE25948" w14:textId="55371532" w:rsidR="00C03BFF" w:rsidRPr="00DD70F0" w:rsidRDefault="00C03BFF" w:rsidP="00C03BFF">
            <w:pPr>
              <w:pStyle w:val="ListBullet"/>
              <w:rPr>
                <w:i/>
                <w:iCs/>
                <w:sz w:val="21"/>
              </w:rPr>
            </w:pPr>
            <w:r w:rsidRPr="00DD70F0">
              <w:rPr>
                <w:i/>
                <w:iCs/>
                <w:sz w:val="21"/>
              </w:rPr>
              <w:t xml:space="preserve">18 through 64 years of age at high risk of severe COVID-19 </w:t>
            </w:r>
          </w:p>
          <w:p w14:paraId="7B930966" w14:textId="349A8907" w:rsidR="00C03BFF" w:rsidRPr="00DD70F0" w:rsidRDefault="00C03BFF" w:rsidP="00C03BFF">
            <w:pPr>
              <w:pStyle w:val="ListBullet"/>
              <w:rPr>
                <w:i/>
                <w:iCs/>
                <w:sz w:val="21"/>
              </w:rPr>
            </w:pPr>
            <w:r w:rsidRPr="00DD70F0">
              <w:rPr>
                <w:i/>
                <w:iCs/>
                <w:sz w:val="21"/>
              </w:rPr>
              <w:t>18 through 64 years of age whose frequent institutional or occupational exposure to SARS CoV-2 puts them at high risk of serious complications of COVID-19 including severe COVID-19</w:t>
            </w:r>
          </w:p>
          <w:p w14:paraId="10D1C750" w14:textId="7929A15D" w:rsidR="00EE61FB" w:rsidRPr="00DD70F0" w:rsidRDefault="00C03BFF" w:rsidP="00C03BFF">
            <w:pPr>
              <w:ind w:left="0" w:right="0"/>
              <w:rPr>
                <w:iCs/>
                <w:sz w:val="21"/>
              </w:rPr>
            </w:pPr>
            <w:r w:rsidRPr="00DD70F0">
              <w:rPr>
                <w:iCs/>
                <w:sz w:val="21"/>
              </w:rPr>
              <w:t xml:space="preserve">The CDC updated its recommendations for the Pfizer and BioNTech COVID-19 vaccine booster to include children aged 12 to 17, citing rising infections in teens and young adults and an increase in </w:t>
            </w:r>
            <w:proofErr w:type="spellStart"/>
            <w:r w:rsidRPr="00DD70F0">
              <w:rPr>
                <w:iCs/>
                <w:sz w:val="21"/>
              </w:rPr>
              <w:t>pediatric</w:t>
            </w:r>
            <w:proofErr w:type="spellEnd"/>
            <w:r w:rsidRPr="00DD70F0">
              <w:rPr>
                <w:iCs/>
                <w:sz w:val="21"/>
              </w:rPr>
              <w:t xml:space="preserve"> hospitali</w:t>
            </w:r>
            <w:r w:rsidR="00906505" w:rsidRPr="00DD70F0">
              <w:rPr>
                <w:iCs/>
                <w:sz w:val="21"/>
              </w:rPr>
              <w:t>s</w:t>
            </w:r>
            <w:r w:rsidRPr="00DD70F0">
              <w:rPr>
                <w:iCs/>
                <w:sz w:val="21"/>
              </w:rPr>
              <w:t>ations. The authori</w:t>
            </w:r>
            <w:r w:rsidR="00906505" w:rsidRPr="00DD70F0">
              <w:rPr>
                <w:iCs/>
                <w:sz w:val="21"/>
              </w:rPr>
              <w:t>s</w:t>
            </w:r>
            <w:r w:rsidRPr="00DD70F0">
              <w:rPr>
                <w:iCs/>
                <w:sz w:val="21"/>
              </w:rPr>
              <w:t>ation includes recommendations for a booster dose at least five months after individuals received their second dose of the vaccine.</w:t>
            </w:r>
          </w:p>
        </w:tc>
      </w:tr>
      <w:tr w:rsidR="00E11254" w:rsidRPr="00765D5A" w14:paraId="3BBD0264" w14:textId="77777777" w:rsidTr="00777771">
        <w:tc>
          <w:tcPr>
            <w:tcW w:w="665" w:type="pct"/>
          </w:tcPr>
          <w:p w14:paraId="2D0A3596" w14:textId="77777777" w:rsidR="00EE61FB" w:rsidRPr="00DD70F0" w:rsidRDefault="00EE61FB" w:rsidP="00E8719A">
            <w:pPr>
              <w:ind w:left="0" w:right="0"/>
              <w:rPr>
                <w:sz w:val="21"/>
              </w:rPr>
            </w:pPr>
            <w:r w:rsidRPr="00DD70F0">
              <w:rPr>
                <w:sz w:val="21"/>
              </w:rPr>
              <w:t>Canada</w:t>
            </w:r>
          </w:p>
        </w:tc>
        <w:tc>
          <w:tcPr>
            <w:tcW w:w="945" w:type="pct"/>
          </w:tcPr>
          <w:p w14:paraId="7BB696E7" w14:textId="77777777" w:rsidR="00EE61FB" w:rsidRPr="00DD70F0" w:rsidRDefault="00EE61FB" w:rsidP="00E8719A">
            <w:pPr>
              <w:ind w:left="0" w:right="0"/>
              <w:rPr>
                <w:sz w:val="21"/>
              </w:rPr>
            </w:pPr>
            <w:r w:rsidRPr="00DD70F0">
              <w:rPr>
                <w:sz w:val="21"/>
              </w:rPr>
              <w:t>1 October 2021</w:t>
            </w:r>
          </w:p>
        </w:tc>
        <w:tc>
          <w:tcPr>
            <w:tcW w:w="1002" w:type="pct"/>
          </w:tcPr>
          <w:p w14:paraId="26C80CD6" w14:textId="41680EDB" w:rsidR="00EE61FB" w:rsidRPr="00DD70F0" w:rsidRDefault="00117692" w:rsidP="00E8719A">
            <w:pPr>
              <w:ind w:left="0" w:right="0"/>
              <w:rPr>
                <w:sz w:val="21"/>
              </w:rPr>
            </w:pPr>
            <w:r w:rsidRPr="00DD70F0">
              <w:rPr>
                <w:sz w:val="21"/>
              </w:rPr>
              <w:t>Booster dose approved: 1 October 2021</w:t>
            </w:r>
          </w:p>
        </w:tc>
        <w:tc>
          <w:tcPr>
            <w:tcW w:w="2389" w:type="pct"/>
          </w:tcPr>
          <w:p w14:paraId="63A13D64" w14:textId="5581149E" w:rsidR="00EE61FB" w:rsidRPr="00DD70F0" w:rsidRDefault="00117692" w:rsidP="00E8719A">
            <w:pPr>
              <w:ind w:left="0" w:right="0"/>
              <w:rPr>
                <w:i/>
                <w:iCs/>
                <w:sz w:val="21"/>
              </w:rPr>
            </w:pPr>
            <w:r w:rsidRPr="00DD70F0">
              <w:rPr>
                <w:i/>
                <w:iCs/>
                <w:sz w:val="21"/>
              </w:rPr>
              <w:t>A booster dose may be administered at least 6 months after completion of the primary series in individuals 18 years of age or older.</w:t>
            </w:r>
          </w:p>
        </w:tc>
      </w:tr>
      <w:tr w:rsidR="00E11254" w:rsidRPr="00765D5A" w14:paraId="7A1F00C9" w14:textId="77777777" w:rsidTr="00777771">
        <w:tc>
          <w:tcPr>
            <w:tcW w:w="665" w:type="pct"/>
          </w:tcPr>
          <w:p w14:paraId="5D1180BB" w14:textId="77777777" w:rsidR="00EE61FB" w:rsidRPr="00DD70F0" w:rsidRDefault="00EE61FB" w:rsidP="00E8719A">
            <w:pPr>
              <w:ind w:left="0"/>
              <w:rPr>
                <w:sz w:val="21"/>
              </w:rPr>
            </w:pPr>
            <w:r w:rsidRPr="00DD70F0">
              <w:rPr>
                <w:sz w:val="21"/>
              </w:rPr>
              <w:lastRenderedPageBreak/>
              <w:t>European Union</w:t>
            </w:r>
          </w:p>
        </w:tc>
        <w:tc>
          <w:tcPr>
            <w:tcW w:w="945" w:type="pct"/>
          </w:tcPr>
          <w:p w14:paraId="03846DF0" w14:textId="397B1921" w:rsidR="00EE61FB" w:rsidRPr="00DD70F0" w:rsidRDefault="00EE61FB" w:rsidP="00E8719A">
            <w:pPr>
              <w:ind w:left="0"/>
              <w:rPr>
                <w:sz w:val="21"/>
              </w:rPr>
            </w:pPr>
            <w:r w:rsidRPr="00DD70F0">
              <w:rPr>
                <w:sz w:val="21"/>
              </w:rPr>
              <w:t>2</w:t>
            </w:r>
            <w:r w:rsidR="00E11254">
              <w:rPr>
                <w:sz w:val="21"/>
              </w:rPr>
              <w:t xml:space="preserve"> </w:t>
            </w:r>
            <w:r w:rsidRPr="00DD70F0">
              <w:rPr>
                <w:sz w:val="21"/>
              </w:rPr>
              <w:t>September 2021</w:t>
            </w:r>
          </w:p>
        </w:tc>
        <w:tc>
          <w:tcPr>
            <w:tcW w:w="1002" w:type="pct"/>
          </w:tcPr>
          <w:p w14:paraId="0A7A482A" w14:textId="331F35E5" w:rsidR="00EE61FB" w:rsidRPr="00DD70F0" w:rsidRDefault="00117692" w:rsidP="00E8719A">
            <w:pPr>
              <w:ind w:left="0"/>
              <w:rPr>
                <w:sz w:val="21"/>
              </w:rPr>
            </w:pPr>
            <w:r w:rsidRPr="00DD70F0">
              <w:rPr>
                <w:sz w:val="21"/>
              </w:rPr>
              <w:t>Booster dose a</w:t>
            </w:r>
            <w:r w:rsidR="00EE61FB" w:rsidRPr="00DD70F0">
              <w:rPr>
                <w:sz w:val="21"/>
              </w:rPr>
              <w:t xml:space="preserve">pproved </w:t>
            </w:r>
            <w:r w:rsidRPr="00DD70F0">
              <w:rPr>
                <w:sz w:val="21"/>
              </w:rPr>
              <w:t>8</w:t>
            </w:r>
            <w:r w:rsidR="00EE61FB" w:rsidRPr="00DD70F0">
              <w:rPr>
                <w:sz w:val="21"/>
              </w:rPr>
              <w:t> October 2021</w:t>
            </w:r>
          </w:p>
        </w:tc>
        <w:tc>
          <w:tcPr>
            <w:tcW w:w="2389" w:type="pct"/>
          </w:tcPr>
          <w:p w14:paraId="102F1AAC" w14:textId="66CCF2CA" w:rsidR="00EE61FB" w:rsidRPr="00DD70F0" w:rsidRDefault="00117692" w:rsidP="00E8719A">
            <w:pPr>
              <w:ind w:left="0"/>
              <w:rPr>
                <w:i/>
                <w:iCs/>
                <w:sz w:val="21"/>
              </w:rPr>
            </w:pPr>
            <w:r w:rsidRPr="00DD70F0">
              <w:rPr>
                <w:i/>
                <w:iCs/>
                <w:sz w:val="21"/>
              </w:rPr>
              <w:t xml:space="preserve">A booster dose (third dose) of Comirnaty may be administered intramuscularly at least 6 months after the second dose in individuals 18 years of age and older. The decision when and for whom to implement a third dose of Comirnaty should be made based on available vaccine effectiveness data, </w:t>
            </w:r>
            <w:proofErr w:type="gramStart"/>
            <w:r w:rsidRPr="00DD70F0">
              <w:rPr>
                <w:i/>
                <w:iCs/>
                <w:sz w:val="21"/>
              </w:rPr>
              <w:t>taking into account</w:t>
            </w:r>
            <w:proofErr w:type="gramEnd"/>
            <w:r w:rsidRPr="00DD70F0">
              <w:rPr>
                <w:i/>
                <w:iCs/>
                <w:sz w:val="21"/>
              </w:rPr>
              <w:t xml:space="preserve"> limited safety data</w:t>
            </w:r>
            <w:r w:rsidR="00EE61FB" w:rsidRPr="00DD70F0">
              <w:rPr>
                <w:i/>
                <w:iCs/>
                <w:sz w:val="21"/>
              </w:rPr>
              <w:t>.</w:t>
            </w:r>
          </w:p>
        </w:tc>
      </w:tr>
      <w:tr w:rsidR="00E11254" w:rsidRPr="00765D5A" w14:paraId="7B31354E" w14:textId="77777777" w:rsidTr="00777771">
        <w:tc>
          <w:tcPr>
            <w:tcW w:w="665" w:type="pct"/>
          </w:tcPr>
          <w:p w14:paraId="7FE97E14" w14:textId="1839C664" w:rsidR="00EE61FB" w:rsidRPr="00DD70F0" w:rsidRDefault="00117692" w:rsidP="00E8719A">
            <w:pPr>
              <w:ind w:left="0"/>
              <w:rPr>
                <w:sz w:val="21"/>
              </w:rPr>
            </w:pPr>
            <w:r w:rsidRPr="00DD70F0">
              <w:rPr>
                <w:sz w:val="21"/>
              </w:rPr>
              <w:t>United Kingdom</w:t>
            </w:r>
          </w:p>
        </w:tc>
        <w:tc>
          <w:tcPr>
            <w:tcW w:w="945" w:type="pct"/>
          </w:tcPr>
          <w:p w14:paraId="3B96B09A" w14:textId="6D432BC8" w:rsidR="00EE61FB" w:rsidRPr="00DD70F0" w:rsidRDefault="00EE61FB" w:rsidP="00E8719A">
            <w:pPr>
              <w:ind w:left="0"/>
              <w:rPr>
                <w:sz w:val="21"/>
              </w:rPr>
            </w:pPr>
            <w:r w:rsidRPr="00DD70F0">
              <w:rPr>
                <w:sz w:val="21"/>
              </w:rPr>
              <w:t>2</w:t>
            </w:r>
            <w:r w:rsidR="0003586A" w:rsidRPr="00DD70F0">
              <w:rPr>
                <w:sz w:val="21"/>
              </w:rPr>
              <w:t>0</w:t>
            </w:r>
            <w:r w:rsidRPr="00DD70F0">
              <w:rPr>
                <w:sz w:val="21"/>
              </w:rPr>
              <w:t xml:space="preserve"> </w:t>
            </w:r>
            <w:r w:rsidR="0003586A" w:rsidRPr="00DD70F0">
              <w:rPr>
                <w:sz w:val="21"/>
              </w:rPr>
              <w:t>August</w:t>
            </w:r>
            <w:r w:rsidRPr="00DD70F0">
              <w:rPr>
                <w:sz w:val="21"/>
              </w:rPr>
              <w:t xml:space="preserve"> 2021</w:t>
            </w:r>
          </w:p>
        </w:tc>
        <w:tc>
          <w:tcPr>
            <w:tcW w:w="1002" w:type="pct"/>
          </w:tcPr>
          <w:p w14:paraId="1F01D266" w14:textId="2F1D4AD5" w:rsidR="00EE61FB" w:rsidRPr="00DD70F0" w:rsidRDefault="0003586A" w:rsidP="00E8719A">
            <w:pPr>
              <w:ind w:left="0"/>
              <w:rPr>
                <w:sz w:val="21"/>
              </w:rPr>
            </w:pPr>
            <w:r w:rsidRPr="00DD70F0">
              <w:rPr>
                <w:sz w:val="21"/>
              </w:rPr>
              <w:t>Approved temporary authorisation (Regulation 174) on 9 September 2021</w:t>
            </w:r>
          </w:p>
        </w:tc>
        <w:tc>
          <w:tcPr>
            <w:tcW w:w="2389" w:type="pct"/>
          </w:tcPr>
          <w:p w14:paraId="23F14D5A" w14:textId="53567C43" w:rsidR="00EE61FB" w:rsidRPr="00DD70F0" w:rsidRDefault="0061482D" w:rsidP="00E8719A">
            <w:pPr>
              <w:ind w:left="0"/>
              <w:rPr>
                <w:i/>
                <w:iCs/>
                <w:sz w:val="21"/>
              </w:rPr>
            </w:pPr>
            <w:r w:rsidRPr="00DD70F0">
              <w:rPr>
                <w:i/>
                <w:iCs/>
                <w:sz w:val="21"/>
              </w:rPr>
              <w:t>One dose of COVID-19 mRNA Vaccine BNT162b2 may be administered as a third dose at least 8 weeks after the second dose of an mRNA or adenovirus-vectored COVID-19 vaccine when the potential benefits outweigh any potential risks</w:t>
            </w:r>
          </w:p>
        </w:tc>
      </w:tr>
      <w:tr w:rsidR="00E11254" w:rsidRPr="00765D5A" w14:paraId="73634F2E" w14:textId="77777777" w:rsidTr="00777771">
        <w:tc>
          <w:tcPr>
            <w:tcW w:w="665" w:type="pct"/>
          </w:tcPr>
          <w:p w14:paraId="266B4599" w14:textId="091062B4" w:rsidR="0061482D" w:rsidRPr="00DD70F0" w:rsidRDefault="0061482D" w:rsidP="0061482D">
            <w:pPr>
              <w:ind w:left="0"/>
              <w:rPr>
                <w:sz w:val="21"/>
              </w:rPr>
            </w:pPr>
            <w:r w:rsidRPr="00DD70F0">
              <w:rPr>
                <w:sz w:val="21"/>
              </w:rPr>
              <w:t>New Zealand</w:t>
            </w:r>
          </w:p>
        </w:tc>
        <w:tc>
          <w:tcPr>
            <w:tcW w:w="945" w:type="pct"/>
          </w:tcPr>
          <w:p w14:paraId="7C59CA2E" w14:textId="2C647911" w:rsidR="0061482D" w:rsidRPr="00DD70F0" w:rsidRDefault="0061482D" w:rsidP="0061482D">
            <w:pPr>
              <w:ind w:left="0"/>
              <w:rPr>
                <w:sz w:val="21"/>
              </w:rPr>
            </w:pPr>
            <w:r w:rsidRPr="00DD70F0">
              <w:rPr>
                <w:sz w:val="21"/>
              </w:rPr>
              <w:t>20 October 2021</w:t>
            </w:r>
          </w:p>
        </w:tc>
        <w:tc>
          <w:tcPr>
            <w:tcW w:w="1002" w:type="pct"/>
          </w:tcPr>
          <w:p w14:paraId="02FEA0C2" w14:textId="77777777" w:rsidR="0061482D" w:rsidRPr="00DD70F0" w:rsidRDefault="0061482D" w:rsidP="0061482D">
            <w:pPr>
              <w:ind w:left="0"/>
              <w:rPr>
                <w:sz w:val="21"/>
              </w:rPr>
            </w:pPr>
            <w:r w:rsidRPr="00DD70F0">
              <w:rPr>
                <w:sz w:val="21"/>
              </w:rPr>
              <w:t>Booster dose:</w:t>
            </w:r>
          </w:p>
          <w:p w14:paraId="7F82E9DD" w14:textId="77777777" w:rsidR="0061482D" w:rsidRPr="00DD70F0" w:rsidRDefault="0061482D" w:rsidP="0061482D">
            <w:pPr>
              <w:ind w:left="0"/>
              <w:rPr>
                <w:sz w:val="21"/>
              </w:rPr>
            </w:pPr>
            <w:r w:rsidRPr="00DD70F0">
              <w:rPr>
                <w:sz w:val="21"/>
              </w:rPr>
              <w:t>Provisional consent</w:t>
            </w:r>
          </w:p>
          <w:p w14:paraId="1BAE517B" w14:textId="28EA3C88" w:rsidR="0061482D" w:rsidRPr="00DD70F0" w:rsidRDefault="0061482D" w:rsidP="0061482D">
            <w:pPr>
              <w:ind w:left="0"/>
              <w:rPr>
                <w:sz w:val="21"/>
              </w:rPr>
            </w:pPr>
            <w:r w:rsidRPr="00DD70F0">
              <w:rPr>
                <w:sz w:val="21"/>
              </w:rPr>
              <w:t>8 November 2021</w:t>
            </w:r>
          </w:p>
        </w:tc>
        <w:tc>
          <w:tcPr>
            <w:tcW w:w="2389" w:type="pct"/>
          </w:tcPr>
          <w:p w14:paraId="09789E73" w14:textId="18BC3769" w:rsidR="0061482D" w:rsidRPr="00DD70F0" w:rsidRDefault="0061482D" w:rsidP="0061482D">
            <w:pPr>
              <w:ind w:left="0"/>
              <w:rPr>
                <w:i/>
                <w:iCs/>
                <w:sz w:val="21"/>
              </w:rPr>
            </w:pPr>
            <w:r w:rsidRPr="00DD70F0">
              <w:rPr>
                <w:i/>
                <w:iCs/>
                <w:sz w:val="21"/>
              </w:rPr>
              <w:t>Extension of the dosing regimen to include use of a booster dose at least six months following completion of the primary course in individuals aged 18 years and older</w:t>
            </w:r>
          </w:p>
        </w:tc>
      </w:tr>
    </w:tbl>
    <w:p w14:paraId="1EED79DF" w14:textId="77777777" w:rsidR="008E7846" w:rsidRDefault="008E7846" w:rsidP="00940A89">
      <w:pPr>
        <w:pStyle w:val="Heading3"/>
      </w:pPr>
      <w:bookmarkStart w:id="25" w:name="_Toc95207529"/>
      <w:r>
        <w:t>Product Information</w:t>
      </w:r>
      <w:bookmarkEnd w:id="23"/>
      <w:bookmarkEnd w:id="24"/>
      <w:bookmarkEnd w:id="25"/>
    </w:p>
    <w:p w14:paraId="666CBFC8" w14:textId="1CF2301D" w:rsidR="00114FD1" w:rsidRDefault="006136D7" w:rsidP="00940A89">
      <w:bookmarkStart w:id="26" w:name="_Toc247691506"/>
      <w:bookmarkStart w:id="27"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4172AC40" w14:textId="77777777" w:rsidR="00500337" w:rsidRDefault="00500337" w:rsidP="00500337">
      <w:pPr>
        <w:pStyle w:val="Heading2"/>
      </w:pPr>
      <w:bookmarkStart w:id="28" w:name="_Toc504480011"/>
      <w:bookmarkStart w:id="29" w:name="_Toc95207530"/>
      <w:r>
        <w:t>II. Registration timeline</w:t>
      </w:r>
      <w:bookmarkEnd w:id="28"/>
      <w:bookmarkEnd w:id="29"/>
    </w:p>
    <w:p w14:paraId="6746E585" w14:textId="30983E94" w:rsidR="00500337" w:rsidRDefault="00500337" w:rsidP="00500337">
      <w:r>
        <w:t xml:space="preserve">The following table captures the key steps and dates for this </w:t>
      </w:r>
      <w:r w:rsidR="00114FD1">
        <w:t>application,</w:t>
      </w:r>
      <w:r>
        <w:t xml:space="preserve"> and which are detailed and discussed in this AusPAR.</w:t>
      </w:r>
    </w:p>
    <w:p w14:paraId="2101A3BF" w14:textId="02413A0F" w:rsidR="00500337" w:rsidRPr="00114FD1" w:rsidRDefault="00114FD1" w:rsidP="00114FD1">
      <w:pPr>
        <w:pStyle w:val="TableTitle"/>
      </w:pPr>
      <w:r w:rsidRPr="00114FD1">
        <w:t xml:space="preserve">Table </w:t>
      </w:r>
      <w:r w:rsidR="00EF5616">
        <w:fldChar w:fldCharType="begin"/>
      </w:r>
      <w:r w:rsidR="00EF5616">
        <w:instrText xml:space="preserve"> SEQ Table \* ARABIC </w:instrText>
      </w:r>
      <w:r w:rsidR="00EF5616">
        <w:fldChar w:fldCharType="separate"/>
      </w:r>
      <w:r w:rsidR="00A64E71">
        <w:rPr>
          <w:noProof/>
        </w:rPr>
        <w:t>2</w:t>
      </w:r>
      <w:r w:rsidR="00EF5616">
        <w:rPr>
          <w:noProof/>
        </w:rPr>
        <w:fldChar w:fldCharType="end"/>
      </w:r>
      <w:r w:rsidRPr="00114FD1">
        <w:t>: Timeline for Submission PM-2021-04582-1-2</w:t>
      </w:r>
    </w:p>
    <w:tbl>
      <w:tblPr>
        <w:tblStyle w:val="TableTGAblue"/>
        <w:tblW w:w="0" w:type="auto"/>
        <w:tblLook w:val="04A0" w:firstRow="1" w:lastRow="0" w:firstColumn="1" w:lastColumn="0" w:noHBand="0" w:noVBand="1"/>
      </w:tblPr>
      <w:tblGrid>
        <w:gridCol w:w="6232"/>
        <w:gridCol w:w="2262"/>
      </w:tblGrid>
      <w:tr w:rsidR="00EE61FB" w:rsidRPr="00765D5A" w14:paraId="5933AECB" w14:textId="77777777" w:rsidTr="00777771">
        <w:trPr>
          <w:cnfStyle w:val="100000000000" w:firstRow="1" w:lastRow="0" w:firstColumn="0" w:lastColumn="0" w:oddVBand="0" w:evenVBand="0" w:oddHBand="0" w:evenHBand="0" w:firstRowFirstColumn="0" w:firstRowLastColumn="0" w:lastRowFirstColumn="0" w:lastRowLastColumn="0"/>
          <w:cantSplit/>
        </w:trPr>
        <w:tc>
          <w:tcPr>
            <w:tcW w:w="6232" w:type="dxa"/>
            <w:tcBorders>
              <w:top w:val="single" w:sz="4" w:space="0" w:color="auto"/>
              <w:left w:val="single" w:sz="4" w:space="0" w:color="auto"/>
              <w:bottom w:val="single" w:sz="4" w:space="0" w:color="auto"/>
              <w:right w:val="single" w:sz="4" w:space="0" w:color="auto"/>
            </w:tcBorders>
          </w:tcPr>
          <w:p w14:paraId="346E8F5B" w14:textId="77777777" w:rsidR="00EE61FB" w:rsidRPr="00765D5A" w:rsidRDefault="00EE61FB" w:rsidP="00E8719A">
            <w:pPr>
              <w:ind w:left="0" w:right="0"/>
            </w:pPr>
            <w:bookmarkStart w:id="30" w:name="_Toc196046504"/>
            <w:bookmarkStart w:id="31" w:name="_Toc247691527"/>
            <w:bookmarkStart w:id="32" w:name="_Toc314842510"/>
            <w:bookmarkStart w:id="33" w:name="_Toc163441390"/>
            <w:bookmarkEnd w:id="1"/>
            <w:bookmarkEnd w:id="26"/>
            <w:bookmarkEnd w:id="27"/>
            <w:r w:rsidRPr="00765D5A">
              <w:t>Description</w:t>
            </w:r>
          </w:p>
        </w:tc>
        <w:tc>
          <w:tcPr>
            <w:tcW w:w="2262" w:type="dxa"/>
            <w:tcBorders>
              <w:top w:val="single" w:sz="4" w:space="0" w:color="auto"/>
              <w:left w:val="single" w:sz="4" w:space="0" w:color="auto"/>
              <w:bottom w:val="single" w:sz="4" w:space="0" w:color="auto"/>
              <w:right w:val="single" w:sz="4" w:space="0" w:color="auto"/>
            </w:tcBorders>
          </w:tcPr>
          <w:p w14:paraId="107E529B" w14:textId="77777777" w:rsidR="00EE61FB" w:rsidRPr="00765D5A" w:rsidRDefault="00EE61FB" w:rsidP="00E8719A">
            <w:pPr>
              <w:ind w:left="0" w:right="0"/>
            </w:pPr>
            <w:r w:rsidRPr="00765D5A">
              <w:t>Date</w:t>
            </w:r>
          </w:p>
        </w:tc>
      </w:tr>
      <w:tr w:rsidR="00EE61FB" w:rsidRPr="00765D5A" w14:paraId="5CBA4484" w14:textId="77777777" w:rsidTr="00777771">
        <w:tc>
          <w:tcPr>
            <w:tcW w:w="6232" w:type="dxa"/>
            <w:tcBorders>
              <w:top w:val="single" w:sz="4" w:space="0" w:color="auto"/>
            </w:tcBorders>
          </w:tcPr>
          <w:p w14:paraId="2EC57B36" w14:textId="5BB23CD6" w:rsidR="00EE61FB" w:rsidRPr="00765D5A" w:rsidRDefault="0061482D" w:rsidP="00E8719A">
            <w:pPr>
              <w:ind w:left="0" w:right="0"/>
            </w:pPr>
            <w:r>
              <w:t>Determination</w:t>
            </w:r>
            <w:r w:rsidR="00EE61FB" w:rsidRPr="00765D5A">
              <w:t xml:space="preserve"> (Provisional)</w:t>
            </w:r>
            <w:r w:rsidR="00114FD1">
              <w:t>;</w:t>
            </w:r>
            <w:r w:rsidR="00114FD1">
              <w:fldChar w:fldCharType="begin"/>
            </w:r>
            <w:r w:rsidR="00114FD1">
              <w:instrText xml:space="preserve"> NOTEREF _Ref93308696 \f \h </w:instrText>
            </w:r>
            <w:r w:rsidR="00114FD1">
              <w:fldChar w:fldCharType="separate"/>
            </w:r>
            <w:r w:rsidR="00A64E71" w:rsidRPr="00A64E71">
              <w:rPr>
                <w:rStyle w:val="FootnoteReference"/>
              </w:rPr>
              <w:t>8</w:t>
            </w:r>
            <w:r w:rsidR="00114FD1">
              <w:fldChar w:fldCharType="end"/>
            </w:r>
          </w:p>
        </w:tc>
        <w:tc>
          <w:tcPr>
            <w:tcW w:w="2262" w:type="dxa"/>
            <w:tcBorders>
              <w:top w:val="single" w:sz="4" w:space="0" w:color="auto"/>
            </w:tcBorders>
          </w:tcPr>
          <w:p w14:paraId="56AA4231" w14:textId="501D9435" w:rsidR="00A5211D" w:rsidRPr="00765D5A" w:rsidRDefault="00025DB7" w:rsidP="00E8719A">
            <w:pPr>
              <w:ind w:left="0" w:right="0"/>
            </w:pPr>
            <w:r w:rsidRPr="00025DB7">
              <w:t>Not applicable</w:t>
            </w:r>
          </w:p>
        </w:tc>
      </w:tr>
      <w:tr w:rsidR="00EE61FB" w:rsidRPr="00765D5A" w14:paraId="070C3933" w14:textId="77777777" w:rsidTr="00777771">
        <w:tc>
          <w:tcPr>
            <w:tcW w:w="6232" w:type="dxa"/>
          </w:tcPr>
          <w:p w14:paraId="70E35950" w14:textId="77777777" w:rsidR="00EE61FB" w:rsidRPr="00765D5A" w:rsidRDefault="00EE61FB" w:rsidP="00E8719A">
            <w:pPr>
              <w:ind w:left="0" w:right="0"/>
            </w:pPr>
            <w:r w:rsidRPr="00765D5A">
              <w:t>Submission dossier accepted and first round evaluation commenced</w:t>
            </w:r>
          </w:p>
        </w:tc>
        <w:tc>
          <w:tcPr>
            <w:tcW w:w="2262" w:type="dxa"/>
          </w:tcPr>
          <w:p w14:paraId="5CE63857" w14:textId="2FD60D8F" w:rsidR="00EE61FB" w:rsidRPr="00765D5A" w:rsidRDefault="00EE61FB" w:rsidP="00E8719A">
            <w:pPr>
              <w:ind w:left="0" w:right="0"/>
            </w:pPr>
            <w:r w:rsidRPr="00765D5A">
              <w:t>1</w:t>
            </w:r>
            <w:r w:rsidR="00025DB7">
              <w:t>5</w:t>
            </w:r>
            <w:r w:rsidRPr="00765D5A">
              <w:t xml:space="preserve"> October 2021</w:t>
            </w:r>
          </w:p>
        </w:tc>
      </w:tr>
      <w:tr w:rsidR="00EE61FB" w:rsidRPr="00765D5A" w14:paraId="7BE00ED1" w14:textId="77777777" w:rsidTr="00777771">
        <w:tc>
          <w:tcPr>
            <w:tcW w:w="6232" w:type="dxa"/>
          </w:tcPr>
          <w:p w14:paraId="7AFB19F6" w14:textId="77777777" w:rsidR="00EE61FB" w:rsidRPr="00765D5A" w:rsidRDefault="00EE61FB" w:rsidP="00E8719A">
            <w:pPr>
              <w:ind w:left="0" w:right="0"/>
            </w:pPr>
            <w:r w:rsidRPr="00765D5A">
              <w:t>Evaluation completed</w:t>
            </w:r>
          </w:p>
        </w:tc>
        <w:tc>
          <w:tcPr>
            <w:tcW w:w="2262" w:type="dxa"/>
          </w:tcPr>
          <w:p w14:paraId="0E1FFAAA" w14:textId="71317BD6" w:rsidR="00EE61FB" w:rsidRPr="00765D5A" w:rsidRDefault="00025DB7" w:rsidP="00E8719A">
            <w:pPr>
              <w:ind w:left="0" w:right="0"/>
            </w:pPr>
            <w:r w:rsidRPr="00025DB7">
              <w:t>5 January 2022</w:t>
            </w:r>
          </w:p>
        </w:tc>
      </w:tr>
      <w:tr w:rsidR="00EE61FB" w:rsidRPr="00765D5A" w14:paraId="1D6F01B1" w14:textId="77777777" w:rsidTr="00777771">
        <w:tc>
          <w:tcPr>
            <w:tcW w:w="6232" w:type="dxa"/>
          </w:tcPr>
          <w:p w14:paraId="5DA55791" w14:textId="77777777" w:rsidR="00EE61FB" w:rsidRPr="00765D5A" w:rsidRDefault="00EE61FB" w:rsidP="00E8719A">
            <w:pPr>
              <w:ind w:left="0" w:right="0"/>
              <w:rPr>
                <w:color w:val="000000"/>
              </w:rPr>
            </w:pPr>
            <w:r w:rsidRPr="00765D5A">
              <w:rPr>
                <w:color w:val="000000"/>
              </w:rPr>
              <w:t>Delegate’s Overall benefit-risk assessment and request for Advisory Committee advice</w:t>
            </w:r>
          </w:p>
        </w:tc>
        <w:tc>
          <w:tcPr>
            <w:tcW w:w="2262" w:type="dxa"/>
          </w:tcPr>
          <w:p w14:paraId="2B1D4865" w14:textId="09A437D1" w:rsidR="00EE61FB" w:rsidRPr="00765D5A" w:rsidRDefault="001E421B" w:rsidP="00E8719A">
            <w:pPr>
              <w:ind w:left="0" w:right="0"/>
            </w:pPr>
            <w:r>
              <w:t>5 January 2022</w:t>
            </w:r>
          </w:p>
        </w:tc>
      </w:tr>
      <w:tr w:rsidR="00EE61FB" w:rsidRPr="00765D5A" w14:paraId="3C5D83F8" w14:textId="77777777" w:rsidTr="00777771">
        <w:tc>
          <w:tcPr>
            <w:tcW w:w="6232" w:type="dxa"/>
          </w:tcPr>
          <w:p w14:paraId="46A0A337" w14:textId="77777777" w:rsidR="00EE61FB" w:rsidRPr="00765D5A" w:rsidRDefault="00EE61FB" w:rsidP="00E8719A">
            <w:pPr>
              <w:ind w:left="0" w:right="0"/>
            </w:pPr>
            <w:r w:rsidRPr="00765D5A">
              <w:lastRenderedPageBreak/>
              <w:t>Sponsor’s pre-Advisory Committee response</w:t>
            </w:r>
          </w:p>
        </w:tc>
        <w:tc>
          <w:tcPr>
            <w:tcW w:w="2262" w:type="dxa"/>
          </w:tcPr>
          <w:p w14:paraId="1BA24C80" w14:textId="1DAA3F53" w:rsidR="00EE61FB" w:rsidRPr="00765D5A" w:rsidRDefault="0061482D" w:rsidP="00E8719A">
            <w:pPr>
              <w:ind w:left="0" w:right="0"/>
            </w:pPr>
            <w:r>
              <w:t>10 January 2022</w:t>
            </w:r>
          </w:p>
        </w:tc>
      </w:tr>
      <w:tr w:rsidR="00EE61FB" w:rsidRPr="00765D5A" w14:paraId="235311B5" w14:textId="77777777" w:rsidTr="00777771">
        <w:tc>
          <w:tcPr>
            <w:tcW w:w="6232" w:type="dxa"/>
          </w:tcPr>
          <w:p w14:paraId="6A9CA725" w14:textId="77777777" w:rsidR="00EE61FB" w:rsidRPr="00765D5A" w:rsidRDefault="00EE61FB" w:rsidP="00E8719A">
            <w:pPr>
              <w:ind w:left="0" w:right="0"/>
            </w:pPr>
            <w:r w:rsidRPr="00765D5A">
              <w:t>Advisory Committee meeting</w:t>
            </w:r>
          </w:p>
        </w:tc>
        <w:tc>
          <w:tcPr>
            <w:tcW w:w="2262" w:type="dxa"/>
          </w:tcPr>
          <w:p w14:paraId="16C51F6B" w14:textId="590DF9EB" w:rsidR="00EE61FB" w:rsidRPr="00765D5A" w:rsidRDefault="001E421B" w:rsidP="00E8719A">
            <w:pPr>
              <w:ind w:left="0" w:right="0"/>
            </w:pPr>
            <w:r>
              <w:t>14 January 2022</w:t>
            </w:r>
          </w:p>
        </w:tc>
      </w:tr>
      <w:tr w:rsidR="00EE61FB" w:rsidRPr="00765D5A" w14:paraId="28AD8205" w14:textId="77777777" w:rsidTr="00777771">
        <w:tc>
          <w:tcPr>
            <w:tcW w:w="6232" w:type="dxa"/>
          </w:tcPr>
          <w:p w14:paraId="44DB0B52" w14:textId="77777777" w:rsidR="00EE61FB" w:rsidRPr="00765D5A" w:rsidRDefault="00EE61FB" w:rsidP="00E8719A">
            <w:pPr>
              <w:ind w:left="0" w:right="0"/>
            </w:pPr>
            <w:r w:rsidRPr="00765D5A">
              <w:t>Registration decision (Outcome)</w:t>
            </w:r>
          </w:p>
        </w:tc>
        <w:tc>
          <w:tcPr>
            <w:tcW w:w="2262" w:type="dxa"/>
          </w:tcPr>
          <w:p w14:paraId="224E15F8" w14:textId="63EDBFF8" w:rsidR="00EE61FB" w:rsidRPr="00765D5A" w:rsidRDefault="00025DB7" w:rsidP="00E8719A">
            <w:pPr>
              <w:ind w:left="0" w:right="0"/>
            </w:pPr>
            <w:r w:rsidRPr="00025DB7">
              <w:t>27 January 2022</w:t>
            </w:r>
          </w:p>
        </w:tc>
      </w:tr>
      <w:tr w:rsidR="00EE61FB" w:rsidRPr="00765D5A" w14:paraId="6E7F2DC7" w14:textId="77777777" w:rsidTr="00777771">
        <w:tc>
          <w:tcPr>
            <w:tcW w:w="6232" w:type="dxa"/>
          </w:tcPr>
          <w:p w14:paraId="2361B2C4" w14:textId="77777777" w:rsidR="00EE61FB" w:rsidRPr="00765D5A" w:rsidRDefault="00EE61FB" w:rsidP="00E8719A">
            <w:pPr>
              <w:ind w:left="0" w:right="0"/>
            </w:pPr>
            <w:r w:rsidRPr="00765D5A">
              <w:t>Completion of administrative activities and registration on the ARTG</w:t>
            </w:r>
          </w:p>
        </w:tc>
        <w:tc>
          <w:tcPr>
            <w:tcW w:w="2262" w:type="dxa"/>
          </w:tcPr>
          <w:p w14:paraId="7613BE79" w14:textId="685BDDB7" w:rsidR="00EE61FB" w:rsidRPr="00765D5A" w:rsidRDefault="00C31B22" w:rsidP="00E8719A">
            <w:pPr>
              <w:ind w:left="0" w:right="0"/>
            </w:pPr>
            <w:r w:rsidRPr="00C31B22">
              <w:t>2</w:t>
            </w:r>
            <w:r w:rsidR="00845DE7">
              <w:t>8</w:t>
            </w:r>
            <w:r w:rsidRPr="00C31B22">
              <w:t xml:space="preserve"> January 2022</w:t>
            </w:r>
          </w:p>
        </w:tc>
      </w:tr>
      <w:tr w:rsidR="00EE61FB" w:rsidRPr="00765D5A" w14:paraId="2FBF3F43" w14:textId="77777777" w:rsidTr="00777771">
        <w:tc>
          <w:tcPr>
            <w:tcW w:w="6232" w:type="dxa"/>
          </w:tcPr>
          <w:p w14:paraId="200C1505" w14:textId="77777777" w:rsidR="00EE61FB" w:rsidRPr="00765D5A" w:rsidRDefault="00EE61FB" w:rsidP="00E8719A">
            <w:pPr>
              <w:ind w:left="0" w:right="0"/>
            </w:pPr>
            <w:r w:rsidRPr="00765D5A">
              <w:t>Number of working days from submission dossier acceptance to registration decision*</w:t>
            </w:r>
          </w:p>
        </w:tc>
        <w:tc>
          <w:tcPr>
            <w:tcW w:w="2262" w:type="dxa"/>
          </w:tcPr>
          <w:p w14:paraId="0A8F1FAF" w14:textId="3D1BB3E2" w:rsidR="00EE61FB" w:rsidRPr="00765D5A" w:rsidRDefault="00025DB7" w:rsidP="00E8719A">
            <w:pPr>
              <w:ind w:left="0" w:right="0"/>
            </w:pPr>
            <w:r w:rsidRPr="00025DB7">
              <w:t>68</w:t>
            </w:r>
          </w:p>
        </w:tc>
      </w:tr>
    </w:tbl>
    <w:p w14:paraId="547A6DEE" w14:textId="03D6E8B0" w:rsidR="00EE61FB" w:rsidRDefault="00EE61FB" w:rsidP="00EE61FB">
      <w:pPr>
        <w:pStyle w:val="TableDescription"/>
      </w:pPr>
      <w:r w:rsidRPr="00765D5A">
        <w:t>*Statutory timeframe for standard applications is 255 working days</w:t>
      </w:r>
    </w:p>
    <w:p w14:paraId="7946A002" w14:textId="55AFCDE3" w:rsidR="008E7846" w:rsidRPr="00792A32" w:rsidRDefault="00456765" w:rsidP="008E7846">
      <w:pPr>
        <w:pStyle w:val="Heading2"/>
      </w:pPr>
      <w:bookmarkStart w:id="34" w:name="_Toc9520753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0"/>
      <w:bookmarkEnd w:id="31"/>
      <w:bookmarkEnd w:id="32"/>
      <w:bookmarkEnd w:id="34"/>
    </w:p>
    <w:p w14:paraId="2575686F" w14:textId="77777777" w:rsidR="00006FAB" w:rsidRDefault="00006FAB" w:rsidP="00006FAB">
      <w:bookmarkStart w:id="35" w:name="_Toc247691528"/>
      <w:r>
        <w:t>The submission was summarised in the following Delegate’s overview and recommendations.</w:t>
      </w:r>
    </w:p>
    <w:p w14:paraId="40B7AE08" w14:textId="05FA6D6D" w:rsidR="00006FAB" w:rsidRDefault="008E7846" w:rsidP="001E421B">
      <w:pPr>
        <w:pStyle w:val="Heading3"/>
      </w:pPr>
      <w:bookmarkStart w:id="36" w:name="_Toc314842511"/>
      <w:bookmarkStart w:id="37" w:name="_Toc95207532"/>
      <w:r>
        <w:t>Quality</w:t>
      </w:r>
      <w:bookmarkEnd w:id="35"/>
      <w:bookmarkEnd w:id="36"/>
      <w:bookmarkEnd w:id="37"/>
    </w:p>
    <w:p w14:paraId="619C3C73" w14:textId="77777777" w:rsidR="00E45619" w:rsidRDefault="00006FAB" w:rsidP="00006FAB">
      <w:r>
        <w:t>There was no requirement for a quality evaluation in a submission of this type.</w:t>
      </w:r>
    </w:p>
    <w:p w14:paraId="41C7F5EC" w14:textId="77777777" w:rsidR="008E7846" w:rsidRDefault="008E7846" w:rsidP="008E7846">
      <w:pPr>
        <w:pStyle w:val="Heading3"/>
      </w:pPr>
      <w:bookmarkStart w:id="38" w:name="_Toc314842512"/>
      <w:bookmarkStart w:id="39" w:name="_Toc95207533"/>
      <w:r>
        <w:t>Nonclinical</w:t>
      </w:r>
      <w:bookmarkEnd w:id="38"/>
      <w:bookmarkEnd w:id="39"/>
    </w:p>
    <w:p w14:paraId="225AFAA3" w14:textId="77777777" w:rsidR="008E7846" w:rsidRDefault="00006FAB" w:rsidP="00006FAB">
      <w:r>
        <w:t>There was no requirement for a nonclinical evaluation in a submission of this type.</w:t>
      </w:r>
    </w:p>
    <w:p w14:paraId="174E0FB1" w14:textId="7D0F8B33" w:rsidR="008E7846" w:rsidRDefault="008E7846" w:rsidP="008E7846">
      <w:pPr>
        <w:pStyle w:val="Heading3"/>
      </w:pPr>
      <w:bookmarkStart w:id="40" w:name="_Toc247691530"/>
      <w:bookmarkStart w:id="41" w:name="_Toc314842513"/>
      <w:bookmarkStart w:id="42" w:name="_Toc95207534"/>
      <w:r>
        <w:t>Clinical</w:t>
      </w:r>
      <w:bookmarkEnd w:id="40"/>
      <w:bookmarkEnd w:id="41"/>
      <w:bookmarkEnd w:id="42"/>
    </w:p>
    <w:p w14:paraId="124D0565" w14:textId="523EB3E7" w:rsidR="00FF4D1A" w:rsidRPr="00FF4D1A" w:rsidRDefault="001216AB">
      <w:pPr>
        <w:pStyle w:val="Heading4"/>
      </w:pPr>
      <w:r>
        <w:t>Efficacy</w:t>
      </w:r>
    </w:p>
    <w:p w14:paraId="28BCAFED" w14:textId="6DF6D4F3" w:rsidR="007B6132" w:rsidRDefault="00C158E5" w:rsidP="00B67015">
      <w:bookmarkStart w:id="43" w:name="_Toc314842514"/>
      <w:r w:rsidRPr="00C158E5">
        <w:t>The clinical dossier consisted of the clinical study report for Study</w:t>
      </w:r>
      <w:r>
        <w:t> </w:t>
      </w:r>
      <w:r w:rsidRPr="00C158E5">
        <w:t>C4591031</w:t>
      </w:r>
      <w:r>
        <w:t>.</w:t>
      </w:r>
    </w:p>
    <w:p w14:paraId="315465CA" w14:textId="501E7961" w:rsidR="00FF4D1A" w:rsidRDefault="00FF4D1A" w:rsidP="00DD70F0">
      <w:pPr>
        <w:pStyle w:val="Heading5"/>
      </w:pPr>
      <w:r>
        <w:t>Study C4591031</w:t>
      </w:r>
    </w:p>
    <w:p w14:paraId="3C235CCC" w14:textId="7D1B0700" w:rsidR="00FF4D1A" w:rsidRPr="00DD70F0" w:rsidRDefault="00FF4D1A" w:rsidP="00DD70F0">
      <w:pPr>
        <w:pStyle w:val="Heading6"/>
      </w:pPr>
      <w:r>
        <w:t>Study design</w:t>
      </w:r>
    </w:p>
    <w:p w14:paraId="6616A6B5" w14:textId="673D20D5" w:rsidR="00C158E5" w:rsidRDefault="00C158E5" w:rsidP="00B67015">
      <w:r>
        <w:t>Study</w:t>
      </w:r>
      <w:r w:rsidR="006B5AAB">
        <w:t> </w:t>
      </w:r>
      <w:r>
        <w:t xml:space="preserve">C4591031 is a Phase III randomised, placebo controlled, observer blind </w:t>
      </w:r>
      <w:proofErr w:type="spellStart"/>
      <w:r>
        <w:t>substudy</w:t>
      </w:r>
      <w:proofErr w:type="spellEnd"/>
      <w:r>
        <w:t xml:space="preserve"> to evaluate the safety, tolerability, and efficacy of a booster dose of Comirnaty. Study participants ≥</w:t>
      </w:r>
      <w:r w:rsidR="00B67015">
        <w:t> </w:t>
      </w:r>
      <w:r>
        <w:t>16 years of age from the pivotal Study C4591001 who completed a two dose of Comirnaty at least six months prior to randomisation were enrolled, and participants were randomised at a ratio of 1:1 to receive either Comirnaty or placebo. Randomisation was stratified by age, such that approximately 60% of participants enrolled would be ≥</w:t>
      </w:r>
      <w:r w:rsidR="00B67015">
        <w:t> </w:t>
      </w:r>
      <w:r>
        <w:t>16</w:t>
      </w:r>
      <w:r w:rsidR="00FF4D1A">
        <w:t> </w:t>
      </w:r>
      <w:r>
        <w:t>to 55 years of age and approximately 40% of participants &gt;</w:t>
      </w:r>
      <w:r w:rsidR="00B67015">
        <w:t> </w:t>
      </w:r>
      <w:r>
        <w:t>55</w:t>
      </w:r>
      <w:r w:rsidR="00B67015">
        <w:t> </w:t>
      </w:r>
      <w:r>
        <w:t>years of age. Approximately 10000 participants were to be randomised.</w:t>
      </w:r>
    </w:p>
    <w:p w14:paraId="0E065A8E" w14:textId="214BC99E" w:rsidR="00C158E5" w:rsidRDefault="00B67015" w:rsidP="00C158E5">
      <w:r>
        <w:t xml:space="preserve">The sponsor has provided </w:t>
      </w:r>
      <w:r w:rsidR="00FF7005">
        <w:t xml:space="preserve">the </w:t>
      </w:r>
      <w:r>
        <w:t>i</w:t>
      </w:r>
      <w:r w:rsidR="00C158E5">
        <w:t xml:space="preserve">nterim </w:t>
      </w:r>
      <w:r>
        <w:t>complete study report (CSR) v</w:t>
      </w:r>
      <w:r w:rsidR="00C158E5">
        <w:t>ersion 1</w:t>
      </w:r>
      <w:r w:rsidR="006B5AAB">
        <w:t xml:space="preserve"> </w:t>
      </w:r>
      <w:r w:rsidR="00C158E5">
        <w:t>(</w:t>
      </w:r>
      <w:r w:rsidR="006B5AAB">
        <w:t xml:space="preserve">dated </w:t>
      </w:r>
      <w:r w:rsidR="00C158E5">
        <w:t>18</w:t>
      </w:r>
      <w:r w:rsidR="00FF7005">
        <w:t> </w:t>
      </w:r>
      <w:r w:rsidR="00C158E5">
        <w:t xml:space="preserve">November 2021) to </w:t>
      </w:r>
      <w:r w:rsidR="006B5AAB" w:rsidRPr="006B5AAB">
        <w:t xml:space="preserve">Therapeutic Goods Administration </w:t>
      </w:r>
      <w:r w:rsidR="006B5AAB">
        <w:t>(</w:t>
      </w:r>
      <w:r w:rsidR="00C158E5">
        <w:t>TGA</w:t>
      </w:r>
      <w:r w:rsidR="006B5AAB">
        <w:t>)</w:t>
      </w:r>
      <w:r w:rsidR="00C158E5">
        <w:t>. This study was conducted 123 sites in Brazil (2</w:t>
      </w:r>
      <w:r w:rsidR="00FF7005">
        <w:t xml:space="preserve"> sites</w:t>
      </w:r>
      <w:r w:rsidR="00C158E5">
        <w:t>), South Africa (4</w:t>
      </w:r>
      <w:r w:rsidR="00FF7005">
        <w:t xml:space="preserve"> sites</w:t>
      </w:r>
      <w:r w:rsidR="00C158E5">
        <w:t>), and the US</w:t>
      </w:r>
      <w:r w:rsidR="00EB08C6">
        <w:t>A</w:t>
      </w:r>
      <w:r w:rsidR="00C158E5">
        <w:t xml:space="preserve"> (117</w:t>
      </w:r>
      <w:r w:rsidR="00FF7005">
        <w:t xml:space="preserve"> sites</w:t>
      </w:r>
      <w:r w:rsidR="00C158E5">
        <w:t xml:space="preserve">). The analyses presented are based on a study initiation of 1 July 2021 (first participant first visit) and a database </w:t>
      </w:r>
      <w:proofErr w:type="spellStart"/>
      <w:r w:rsidR="00C158E5">
        <w:t>cutoff</w:t>
      </w:r>
      <w:proofErr w:type="spellEnd"/>
      <w:r w:rsidR="00C158E5">
        <w:t xml:space="preserve"> date of 5</w:t>
      </w:r>
      <w:r w:rsidR="00FF7005">
        <w:t> </w:t>
      </w:r>
      <w:r w:rsidR="00C158E5">
        <w:t>October 2021.</w:t>
      </w:r>
    </w:p>
    <w:p w14:paraId="24CCA32C" w14:textId="213C640A" w:rsidR="00C158E5" w:rsidRDefault="00C158E5" w:rsidP="00C158E5">
      <w:r>
        <w:lastRenderedPageBreak/>
        <w:t>The study was designed with interim efficacy analyses carried out after all participants reach</w:t>
      </w:r>
      <w:r w:rsidR="00FF7005">
        <w:t>ed</w:t>
      </w:r>
      <w:r>
        <w:t xml:space="preserve"> </w:t>
      </w:r>
      <w:r w:rsidR="00FF7005">
        <w:t>two</w:t>
      </w:r>
      <w:r>
        <w:t xml:space="preserve"> months of blinded follow</w:t>
      </w:r>
      <w:r w:rsidR="00FF7005">
        <w:t xml:space="preserve"> </w:t>
      </w:r>
      <w:r>
        <w:t xml:space="preserve">up and every </w:t>
      </w:r>
      <w:r w:rsidR="00FF7005">
        <w:t>two</w:t>
      </w:r>
      <w:r>
        <w:t xml:space="preserve"> months afterwards; and efficacy and safety analyses would be conducted when all participants complete blinded follow</w:t>
      </w:r>
      <w:r w:rsidR="00FF7005">
        <w:t xml:space="preserve"> </w:t>
      </w:r>
      <w:r>
        <w:t>up (approximately 175 days after vaccination) and at the end of the study.</w:t>
      </w:r>
    </w:p>
    <w:p w14:paraId="1D2AE209" w14:textId="323FE3F8" w:rsidR="00C158E5" w:rsidRDefault="00C158E5" w:rsidP="003C1FF6">
      <w:r>
        <w:t>Planned data monitoring committee (DMC) review for the protocol pre</w:t>
      </w:r>
      <w:r w:rsidR="00FF7005">
        <w:t>-</w:t>
      </w:r>
      <w:r>
        <w:t>specified interim analysis of efficacy was conducted when all participants reached</w:t>
      </w:r>
      <w:r w:rsidR="00FF4D1A">
        <w:t xml:space="preserve"> the</w:t>
      </w:r>
      <w:r>
        <w:t xml:space="preserve"> </w:t>
      </w:r>
      <w:r w:rsidR="00FF7005">
        <w:t>two</w:t>
      </w:r>
      <w:r w:rsidR="00FF4D1A">
        <w:noBreakHyphen/>
      </w:r>
      <w:r>
        <w:t>month</w:t>
      </w:r>
      <w:r w:rsidR="00FF4D1A">
        <w:t xml:space="preserve"> timepoint</w:t>
      </w:r>
      <w:r>
        <w:t xml:space="preserve"> post</w:t>
      </w:r>
      <w:r w:rsidR="006B5AAB">
        <w:t xml:space="preserve"> </w:t>
      </w:r>
      <w:r>
        <w:t xml:space="preserve">booster, and the DMC recommended to unblind the study and continue unblinding of participants to allow placebo recipients the opportunity to receive a </w:t>
      </w:r>
      <w:r w:rsidR="00FF7005">
        <w:t>Comirnaty</w:t>
      </w:r>
      <w:r>
        <w:t xml:space="preserve"> booster dose.</w:t>
      </w:r>
    </w:p>
    <w:p w14:paraId="5ACA7521" w14:textId="7724530E" w:rsidR="00FF4D1A" w:rsidRDefault="00FF4D1A" w:rsidP="00DD70F0">
      <w:pPr>
        <w:pStyle w:val="Heading6"/>
      </w:pPr>
      <w:r>
        <w:t>Participant randomisation</w:t>
      </w:r>
    </w:p>
    <w:p w14:paraId="72C85C39" w14:textId="63D8DCA4" w:rsidR="00FF7005" w:rsidRDefault="00FF7005" w:rsidP="00FF7005">
      <w:r>
        <w:t>In total, 10</w:t>
      </w:r>
      <w:r w:rsidR="00FF4D1A">
        <w:t>,</w:t>
      </w:r>
      <w:r>
        <w:t>136 participants</w:t>
      </w:r>
      <w:r w:rsidR="00C45D33">
        <w:t xml:space="preserve"> </w:t>
      </w:r>
      <w:r>
        <w:t>were randomi</w:t>
      </w:r>
      <w:r w:rsidR="006B5AAB">
        <w:t>s</w:t>
      </w:r>
      <w:r>
        <w:t xml:space="preserve">ed, including 5088 participants to receive a booster dose of </w:t>
      </w:r>
      <w:r w:rsidR="003C1FF6">
        <w:t>Comirnaty</w:t>
      </w:r>
      <w:r>
        <w:t xml:space="preserve"> (30</w:t>
      </w:r>
      <w:r w:rsidR="00114FD1">
        <w:t> </w:t>
      </w:r>
      <w:r>
        <w:t>µg</w:t>
      </w:r>
      <w:r w:rsidR="00FF4D1A">
        <w:t xml:space="preserve"> </w:t>
      </w:r>
      <w:r>
        <w:t>and 5048 participants were randomi</w:t>
      </w:r>
      <w:r w:rsidR="006B5AAB">
        <w:t>s</w:t>
      </w:r>
      <w:r>
        <w:t xml:space="preserve">ed to </w:t>
      </w:r>
      <w:proofErr w:type="gramStart"/>
      <w:r>
        <w:t>placebo(</w:t>
      </w:r>
      <w:proofErr w:type="gramEnd"/>
      <w:r>
        <w:t>normal saline). Most randomi</w:t>
      </w:r>
      <w:r w:rsidR="003C1FF6">
        <w:t>s</w:t>
      </w:r>
      <w:r>
        <w:t xml:space="preserve">ed participants received a booster vaccination (99.9%) and </w:t>
      </w:r>
      <w:r w:rsidR="00FF4D1A">
        <w:t xml:space="preserve">most </w:t>
      </w:r>
      <w:r>
        <w:t xml:space="preserve">completed the </w:t>
      </w:r>
      <w:r w:rsidR="003C1FF6">
        <w:t>one</w:t>
      </w:r>
      <w:r w:rsidR="00FF4D1A">
        <w:noBreakHyphen/>
      </w:r>
      <w:r>
        <w:t>month telephone contact during the blinded follow</w:t>
      </w:r>
      <w:r w:rsidR="003C1FF6">
        <w:t xml:space="preserve"> </w:t>
      </w:r>
      <w:r>
        <w:t>up period (99.1%).</w:t>
      </w:r>
    </w:p>
    <w:p w14:paraId="22E9E12D" w14:textId="0348B39E" w:rsidR="00FF4D1A" w:rsidRDefault="00FF4D1A" w:rsidP="00DD70F0">
      <w:pPr>
        <w:pStyle w:val="Heading6"/>
      </w:pPr>
      <w:r>
        <w:t>Demographic characteristics</w:t>
      </w:r>
    </w:p>
    <w:p w14:paraId="0B86F0FE" w14:textId="1195766B" w:rsidR="00FF7005" w:rsidRDefault="00FF7005" w:rsidP="00FF7005">
      <w:r>
        <w:t xml:space="preserve">Demographic characteristics for all participants in the safety population were similar in the </w:t>
      </w:r>
      <w:r w:rsidR="003C1FF6">
        <w:t>Comirnaty</w:t>
      </w:r>
      <w:r>
        <w:t xml:space="preserve"> and placebo group. Overall, most participants were White (79%), with 9.2% Black or African American participants, 5.5% Asian participants, 4% </w:t>
      </w:r>
      <w:r w:rsidR="00FF4D1A">
        <w:t>M</w:t>
      </w:r>
      <w:r>
        <w:t>ultiracial participants, and other racial groups comprising &lt;</w:t>
      </w:r>
      <w:r w:rsidR="003C1FF6">
        <w:t> </w:t>
      </w:r>
      <w:r>
        <w:t>2%. There were 14.9% Hispanic/Latino participants. The median age at the time of study vaccination was 53 years, and 49.1% of participants were male. Most study participants (85.9%) were enrolled in the U</w:t>
      </w:r>
      <w:r w:rsidR="003C1FF6">
        <w:t xml:space="preserve">nited </w:t>
      </w:r>
      <w:r>
        <w:t>S</w:t>
      </w:r>
      <w:r w:rsidR="003C1FF6">
        <w:t>tates of America (USA)</w:t>
      </w:r>
      <w:r>
        <w:t>.</w:t>
      </w:r>
    </w:p>
    <w:p w14:paraId="52D80488" w14:textId="72A7B04D" w:rsidR="00FF7005" w:rsidRDefault="00FF7005" w:rsidP="00FF7005">
      <w:r>
        <w:t xml:space="preserve">545 participants (5.4%) had baseline positive status for evidence of prior infection with SARS-CoV-2, which was balanced across the </w:t>
      </w:r>
      <w:r w:rsidR="003C1FF6">
        <w:t>Comirnaty</w:t>
      </w:r>
      <w:r>
        <w:t xml:space="preserve"> and placebo groups. Baseline comorbidities were reported by 2390 participants (23.6%</w:t>
      </w:r>
      <w:r w:rsidR="003C1FF6">
        <w:t>) and</w:t>
      </w:r>
      <w:r>
        <w:t xml:space="preserve"> were balanced across </w:t>
      </w:r>
      <w:r w:rsidR="003C1FF6">
        <w:t>Comirnaty</w:t>
      </w:r>
      <w:r>
        <w:t xml:space="preserve"> and placebo groups.</w:t>
      </w:r>
    </w:p>
    <w:p w14:paraId="4432C174" w14:textId="2DEC9D7F" w:rsidR="00FF7005" w:rsidRDefault="00FF7005" w:rsidP="00FF7005">
      <w:r>
        <w:t>The younger age group (16 to 55 years of age) made up 55.5% of the safety population; this included 90 participants (0.9%) who were 16 to 17 years of age. The older age group (&gt;</w:t>
      </w:r>
      <w:r w:rsidR="003C1FF6">
        <w:t> </w:t>
      </w:r>
      <w:r>
        <w:t>55 years of age) made up 44.5% of the safety population; this included 2363</w:t>
      </w:r>
      <w:r w:rsidR="00FF4D1A">
        <w:t> </w:t>
      </w:r>
      <w:r>
        <w:t>participants (23.3%) who were ≥</w:t>
      </w:r>
      <w:r w:rsidR="003C1FF6">
        <w:t> </w:t>
      </w:r>
      <w:r>
        <w:t>65 years of age.</w:t>
      </w:r>
    </w:p>
    <w:p w14:paraId="1B22B693" w14:textId="186A3AC2" w:rsidR="001216AB" w:rsidRDefault="001216AB" w:rsidP="00DD70F0">
      <w:pPr>
        <w:pStyle w:val="Heading6"/>
      </w:pPr>
      <w:r>
        <w:t>Result</w:t>
      </w:r>
      <w:r w:rsidR="00FF4D1A">
        <w:t>s</w:t>
      </w:r>
    </w:p>
    <w:p w14:paraId="6A345621" w14:textId="4C4BFD1D" w:rsidR="00FF7005" w:rsidRDefault="00FF7005" w:rsidP="00FF7005">
      <w:r>
        <w:t xml:space="preserve">Efficacy was assessed throughout a participant’s involvement in the study through surveillance for potential cases of COVID-19, which included confirmed COVID-19 cases and confirmed severe COVID-19 cases as defined by the </w:t>
      </w:r>
      <w:r w:rsidR="006B5AAB">
        <w:t>Food and Drug Administration (</w:t>
      </w:r>
      <w:r>
        <w:t>FDA</w:t>
      </w:r>
      <w:r w:rsidR="006B5AAB">
        <w:t>) USA</w:t>
      </w:r>
      <w:r>
        <w:t xml:space="preserve"> and </w:t>
      </w:r>
      <w:proofErr w:type="spellStart"/>
      <w:r w:rsidR="006B5AAB" w:rsidRPr="006B5AAB">
        <w:t>Centers</w:t>
      </w:r>
      <w:proofErr w:type="spellEnd"/>
      <w:r w:rsidR="006B5AAB" w:rsidRPr="006B5AAB">
        <w:t xml:space="preserve"> for Disease Control and Prevention </w:t>
      </w:r>
      <w:r w:rsidR="006B5AAB">
        <w:t>(</w:t>
      </w:r>
      <w:r>
        <w:t>CDC</w:t>
      </w:r>
      <w:r w:rsidR="006B5AAB">
        <w:t>) USA</w:t>
      </w:r>
      <w:r>
        <w:t>.</w:t>
      </w:r>
      <w:bookmarkStart w:id="44" w:name="_Ref93063380"/>
      <w:r w:rsidR="00C72EB2">
        <w:rPr>
          <w:rStyle w:val="FootnoteReference"/>
        </w:rPr>
        <w:footnoteReference w:id="14"/>
      </w:r>
      <w:bookmarkEnd w:id="44"/>
      <w:r>
        <w:t xml:space="preserve"> The primary </w:t>
      </w:r>
      <w:proofErr w:type="spellStart"/>
      <w:r>
        <w:t>estimand</w:t>
      </w:r>
      <w:proofErr w:type="spellEnd"/>
      <w:r>
        <w:t xml:space="preserve"> defined for this </w:t>
      </w:r>
      <w:proofErr w:type="spellStart"/>
      <w:r>
        <w:t>substudy</w:t>
      </w:r>
      <w:proofErr w:type="spellEnd"/>
      <w:r>
        <w:t xml:space="preserve"> was relative vaccine efficacy (RVE) of the </w:t>
      </w:r>
      <w:r w:rsidR="00C72EB2">
        <w:t>Comirnaty</w:t>
      </w:r>
      <w:r>
        <w:t xml:space="preserve"> booster group to the non</w:t>
      </w:r>
      <w:r w:rsidR="00C72EB2">
        <w:t>-</w:t>
      </w:r>
      <w:r>
        <w:t xml:space="preserve">booster group (placebo); it was estimated in participants without prior evidence of SARS-CoV-2 infection before or during the vaccine or booster vaccine regimen, and those with or without prior evidence of SARS-CoV-2 infection. All participants had previously received the primary series of </w:t>
      </w:r>
      <w:proofErr w:type="spellStart"/>
      <w:r w:rsidR="00C72EB2">
        <w:t>Comirnaty</w:t>
      </w:r>
      <w:proofErr w:type="spellEnd"/>
      <w:r>
        <w:t xml:space="preserve"> 30 </w:t>
      </w:r>
      <w:proofErr w:type="spellStart"/>
      <w:r>
        <w:t>μg</w:t>
      </w:r>
      <w:proofErr w:type="spellEnd"/>
      <w:r>
        <w:t>, therefore RVE compares a third dose of active vaccine versus placebo. Subgroup analyses of RVE were conducted</w:t>
      </w:r>
      <w:r w:rsidR="00C72EB2">
        <w:t xml:space="preserve"> </w:t>
      </w:r>
      <w:r>
        <w:t xml:space="preserve">based on demographics (age group, sex, race, and ethnicity), country, dose interval between </w:t>
      </w:r>
      <w:r w:rsidR="00C72EB2">
        <w:t>second d</w:t>
      </w:r>
      <w:r>
        <w:t xml:space="preserve">ose and booster dose, baseline SARS-CoV-2 status, and risk </w:t>
      </w:r>
      <w:r>
        <w:lastRenderedPageBreak/>
        <w:t xml:space="preserve">status based on </w:t>
      </w:r>
      <w:proofErr w:type="spellStart"/>
      <w:r>
        <w:t>Charlson</w:t>
      </w:r>
      <w:proofErr w:type="spellEnd"/>
      <w:r>
        <w:t xml:space="preserve"> Comorbidity Index</w:t>
      </w:r>
      <w:r w:rsidR="00C72EB2">
        <w:t>;</w:t>
      </w:r>
      <w:r w:rsidR="00C72EB2">
        <w:rPr>
          <w:rStyle w:val="FootnoteReference"/>
        </w:rPr>
        <w:footnoteReference w:id="15"/>
      </w:r>
      <w:r>
        <w:t xml:space="preserve"> or a body mass index (BMI) ≥</w:t>
      </w:r>
      <w:r w:rsidR="00826088">
        <w:t> </w:t>
      </w:r>
      <w:r>
        <w:t>30 kg/m</w:t>
      </w:r>
      <w:r w:rsidRPr="00826088">
        <w:rPr>
          <w:vertAlign w:val="superscript"/>
        </w:rPr>
        <w:t>2</w:t>
      </w:r>
      <w:r>
        <w:t xml:space="preserve">. As all objectives were descriptive (counts, percentages, and the associated Clopper-Pearson </w:t>
      </w:r>
      <w:proofErr w:type="gramStart"/>
      <w:r w:rsidR="00826088">
        <w:t xml:space="preserve">two </w:t>
      </w:r>
      <w:r>
        <w:t>sided</w:t>
      </w:r>
      <w:proofErr w:type="gramEnd"/>
      <w:r>
        <w:t xml:space="preserve"> 95% </w:t>
      </w:r>
      <w:r w:rsidR="00826088">
        <w:t>confidence intervals (</w:t>
      </w:r>
      <w:r>
        <w:t>CI</w:t>
      </w:r>
      <w:r w:rsidR="00826088">
        <w:t>)</w:t>
      </w:r>
      <w:r>
        <w:t>), no hypothesis testing was applied.</w:t>
      </w:r>
    </w:p>
    <w:p w14:paraId="74D92BC4" w14:textId="5A322C60" w:rsidR="00FF7005" w:rsidRDefault="00FF7005" w:rsidP="00FF7005">
      <w:r>
        <w:t xml:space="preserve">For participants without evidence of infection prior to </w:t>
      </w:r>
      <w:r w:rsidR="00826088">
        <w:t>seven</w:t>
      </w:r>
      <w:r>
        <w:t xml:space="preserve"> days after booster vaccination in the evaluable efficacy population, the median duration of blinded follow</w:t>
      </w:r>
      <w:r w:rsidR="00826088">
        <w:t xml:space="preserve"> </w:t>
      </w:r>
      <w:r>
        <w:t xml:space="preserve">up after booster vaccination was 2.5 months as of the data </w:t>
      </w:r>
      <w:proofErr w:type="spellStart"/>
      <w:r>
        <w:t>cutoff</w:t>
      </w:r>
      <w:proofErr w:type="spellEnd"/>
      <w:r>
        <w:t xml:space="preserve"> date. Most participants (97%) had ≥</w:t>
      </w:r>
      <w:r w:rsidR="00826088">
        <w:t> </w:t>
      </w:r>
      <w:r>
        <w:t>2 to &lt;</w:t>
      </w:r>
      <w:r w:rsidR="00826088">
        <w:t> </w:t>
      </w:r>
      <w:r>
        <w:t>4 months of follow</w:t>
      </w:r>
      <w:r w:rsidR="00826088">
        <w:t xml:space="preserve"> </w:t>
      </w:r>
      <w:r>
        <w:t>up time after booster vaccination.</w:t>
      </w:r>
    </w:p>
    <w:p w14:paraId="4A71011A" w14:textId="448FE6AC" w:rsidR="00FF7005" w:rsidRDefault="00FF7005" w:rsidP="00FF7005">
      <w:r>
        <w:t xml:space="preserve">The median </w:t>
      </w:r>
      <w:proofErr w:type="gramStart"/>
      <w:r>
        <w:t>follow</w:t>
      </w:r>
      <w:proofErr w:type="gramEnd"/>
      <w:r w:rsidR="00826088">
        <w:t xml:space="preserve"> </w:t>
      </w:r>
      <w:r>
        <w:t xml:space="preserve">up time was similar to the safety population for this population and also for the evaluable efficacy population participants with or without evidence of infection prior to </w:t>
      </w:r>
      <w:r w:rsidR="00826088">
        <w:t>seven</w:t>
      </w:r>
      <w:r>
        <w:t xml:space="preserve"> days after booster vaccination.</w:t>
      </w:r>
    </w:p>
    <w:p w14:paraId="6C4428DF" w14:textId="40632C57" w:rsidR="00FF7005" w:rsidRDefault="00FF7005" w:rsidP="00FF7005">
      <w:r>
        <w:t xml:space="preserve">Among participants without evidence of infection prior to </w:t>
      </w:r>
      <w:r w:rsidR="00826088">
        <w:t>seven</w:t>
      </w:r>
      <w:r>
        <w:t xml:space="preserve"> days after booster vaccination in the evaluable efficacy population, based on the first COVID-19 occurrence from ≥</w:t>
      </w:r>
      <w:r w:rsidR="00826088">
        <w:t> </w:t>
      </w:r>
      <w:r>
        <w:t>7 days after booster vaccination to &lt;</w:t>
      </w:r>
      <w:r w:rsidR="00826088">
        <w:t> </w:t>
      </w:r>
      <w:r>
        <w:t>2 months after booster vaccination, the RVE was estimated as 95.6% (</w:t>
      </w:r>
      <w:proofErr w:type="gramStart"/>
      <w:r w:rsidR="00826088">
        <w:t xml:space="preserve">two </w:t>
      </w:r>
      <w:r>
        <w:t>sided</w:t>
      </w:r>
      <w:proofErr w:type="gramEnd"/>
      <w:r>
        <w:t xml:space="preserve"> 95% CI: 89.3%, 98.6%), based on </w:t>
      </w:r>
      <w:r w:rsidR="00826088">
        <w:t>five</w:t>
      </w:r>
      <w:r>
        <w:t xml:space="preserve"> cases in the </w:t>
      </w:r>
      <w:r w:rsidR="00826088">
        <w:t>Comirnaty</w:t>
      </w:r>
      <w:r>
        <w:t xml:space="preserve"> group and 109 cases in the placebo group.</w:t>
      </w:r>
    </w:p>
    <w:p w14:paraId="0DE0D878" w14:textId="14DA7DC9" w:rsidR="00FF7005" w:rsidRDefault="00FF7005" w:rsidP="00FF7005">
      <w:r>
        <w:t xml:space="preserve">Among participants with or without evidence of infection prior to </w:t>
      </w:r>
      <w:r w:rsidR="00826088">
        <w:t>seven</w:t>
      </w:r>
      <w:r>
        <w:t xml:space="preserve"> days after booster vaccination in the evaluable efficacy population, based on the first COVID-19 occurrence from ≥</w:t>
      </w:r>
      <w:r w:rsidR="00826088">
        <w:t> </w:t>
      </w:r>
      <w:r>
        <w:t>7 days after booster vaccination to &lt;</w:t>
      </w:r>
      <w:r w:rsidR="00826088">
        <w:t> </w:t>
      </w:r>
      <w:r>
        <w:t>2 months after booster vaccination, the estimated RVE was 94.7% (</w:t>
      </w:r>
      <w:proofErr w:type="gramStart"/>
      <w:r w:rsidR="00826088">
        <w:t xml:space="preserve">two </w:t>
      </w:r>
      <w:r>
        <w:t>sided</w:t>
      </w:r>
      <w:proofErr w:type="gramEnd"/>
      <w:r>
        <w:t xml:space="preserve"> 95% CI: 88.2%, 98.1%), based on </w:t>
      </w:r>
      <w:r w:rsidR="00826088">
        <w:t>six</w:t>
      </w:r>
      <w:r>
        <w:t xml:space="preserve"> cases in the </w:t>
      </w:r>
      <w:r w:rsidR="00EB08C6">
        <w:t>Comirnaty</w:t>
      </w:r>
      <w:r>
        <w:t xml:space="preserve"> group and 110 cases in the placebo group.</w:t>
      </w:r>
    </w:p>
    <w:p w14:paraId="05DD24FA" w14:textId="6B0B7C84" w:rsidR="00FF7005" w:rsidRDefault="00FF7005" w:rsidP="00FF7005">
      <w:r>
        <w:t xml:space="preserve">The RVE following booster vaccination was estimated from </w:t>
      </w:r>
      <w:r w:rsidR="00826088">
        <w:t>seven</w:t>
      </w:r>
      <w:r>
        <w:t xml:space="preserve"> days post</w:t>
      </w:r>
      <w:r w:rsidR="00826088">
        <w:t xml:space="preserve"> </w:t>
      </w:r>
      <w:r>
        <w:t xml:space="preserve">booster to the data </w:t>
      </w:r>
      <w:proofErr w:type="spellStart"/>
      <w:r>
        <w:t>cutoff</w:t>
      </w:r>
      <w:proofErr w:type="spellEnd"/>
      <w:r>
        <w:t xml:space="preserve"> date (5 October 2021) during the blinded placebo</w:t>
      </w:r>
      <w:r w:rsidR="00826088">
        <w:t xml:space="preserve"> </w:t>
      </w:r>
      <w:r>
        <w:t>controlled follow</w:t>
      </w:r>
      <w:r w:rsidR="00826088">
        <w:t xml:space="preserve"> </w:t>
      </w:r>
      <w:r>
        <w:t xml:space="preserve">up period. Cases in this RVE analyses accrued during a period of July to the October </w:t>
      </w:r>
      <w:proofErr w:type="spellStart"/>
      <w:r>
        <w:t>cutoff</w:t>
      </w:r>
      <w:proofErr w:type="spellEnd"/>
      <w:r>
        <w:t xml:space="preserve"> date, during a time that the highly transmissible </w:t>
      </w:r>
      <w:r w:rsidR="00826088">
        <w:t>Delta (</w:t>
      </w:r>
      <w:r>
        <w:t>B.1.617.2</w:t>
      </w:r>
      <w:r w:rsidR="00826088">
        <w:t>)</w:t>
      </w:r>
      <w:r>
        <w:t xml:space="preserve"> variant has been the predominant SARS-CoV-2 strain in circulation in the US</w:t>
      </w:r>
      <w:r w:rsidR="00826088">
        <w:t>A</w:t>
      </w:r>
      <w:r>
        <w:t xml:space="preserve"> and globally.</w:t>
      </w:r>
    </w:p>
    <w:p w14:paraId="0FE032D6" w14:textId="40A59F97" w:rsidR="00FF7005" w:rsidRDefault="00FF7005" w:rsidP="00FF7005">
      <w:r>
        <w:t xml:space="preserve">The RVE in the evaluable efficacy population without evidence of SARS-CoV-2 infection prior to </w:t>
      </w:r>
      <w:r w:rsidR="00826088">
        <w:t>seven</w:t>
      </w:r>
      <w:r>
        <w:t xml:space="preserve"> days post-booster was observed as 95.3% (</w:t>
      </w:r>
      <w:proofErr w:type="gramStart"/>
      <w:r w:rsidR="00826088">
        <w:t xml:space="preserve">two </w:t>
      </w:r>
      <w:r>
        <w:t>sided</w:t>
      </w:r>
      <w:proofErr w:type="gramEnd"/>
      <w:r>
        <w:t xml:space="preserve"> 95% CI: 89.5%, 98.3%), based on </w:t>
      </w:r>
      <w:r w:rsidR="00826088">
        <w:t>six</w:t>
      </w:r>
      <w:r>
        <w:t xml:space="preserve"> cases in the </w:t>
      </w:r>
      <w:r w:rsidR="00EB08C6">
        <w:t>Comirnaty</w:t>
      </w:r>
      <w:r>
        <w:t xml:space="preserve"> group and 123 cases in the placebo group</w:t>
      </w:r>
      <w:r w:rsidR="00CA4F03">
        <w:t xml:space="preserve"> (</w:t>
      </w:r>
      <w:r w:rsidR="00CA4F03">
        <w:fldChar w:fldCharType="begin"/>
      </w:r>
      <w:r w:rsidR="00CA4F03">
        <w:instrText xml:space="preserve"> REF _Ref92983706 \h </w:instrText>
      </w:r>
      <w:r w:rsidR="00CA4F03">
        <w:fldChar w:fldCharType="separate"/>
      </w:r>
      <w:r w:rsidR="00A64E71">
        <w:t xml:space="preserve">Table </w:t>
      </w:r>
      <w:r w:rsidR="00A64E71">
        <w:rPr>
          <w:noProof/>
        </w:rPr>
        <w:t>3</w:t>
      </w:r>
      <w:r w:rsidR="00CA4F03">
        <w:fldChar w:fldCharType="end"/>
      </w:r>
      <w:r w:rsidR="00CA4F03">
        <w:t>)</w:t>
      </w:r>
      <w:r>
        <w:t>.</w:t>
      </w:r>
    </w:p>
    <w:p w14:paraId="326C07BF" w14:textId="44A3E14F" w:rsidR="00CA4F03" w:rsidRDefault="00CA4F03" w:rsidP="00DD70F0">
      <w:pPr>
        <w:pStyle w:val="TableTitle"/>
        <w:keepLines/>
      </w:pPr>
      <w:bookmarkStart w:id="45" w:name="_Ref92983706"/>
      <w:r>
        <w:t xml:space="preserve">Table </w:t>
      </w:r>
      <w:r w:rsidR="00EF5616">
        <w:fldChar w:fldCharType="begin"/>
      </w:r>
      <w:r w:rsidR="00EF5616">
        <w:instrText xml:space="preserve"> SEQ Table \* ARABIC </w:instrText>
      </w:r>
      <w:r w:rsidR="00EF5616">
        <w:fldChar w:fldCharType="separate"/>
      </w:r>
      <w:r w:rsidR="00A64E71">
        <w:rPr>
          <w:noProof/>
        </w:rPr>
        <w:t>3</w:t>
      </w:r>
      <w:r w:rsidR="00EF5616">
        <w:rPr>
          <w:noProof/>
        </w:rPr>
        <w:fldChar w:fldCharType="end"/>
      </w:r>
      <w:bookmarkEnd w:id="45"/>
      <w:r>
        <w:t xml:space="preserve">: </w:t>
      </w:r>
      <w:r w:rsidR="00826088" w:rsidRPr="00C158E5">
        <w:t>Study</w:t>
      </w:r>
      <w:r w:rsidR="00826088">
        <w:t> </w:t>
      </w:r>
      <w:r w:rsidR="00826088" w:rsidRPr="00C158E5">
        <w:t>C4591031</w:t>
      </w:r>
      <w:r w:rsidR="00FF4D1A">
        <w:t xml:space="preserve"> </w:t>
      </w:r>
      <w:r>
        <w:t xml:space="preserve">Vaccine efficacy, first COVID-19 </w:t>
      </w:r>
      <w:r w:rsidR="00826088">
        <w:t>o</w:t>
      </w:r>
      <w:r>
        <w:t>ccurrence from seven days after booster vaccination, blinded follow up period, participant without evidence of infection prior to seven days after booster vaccination (evaluable efficacy population)</w:t>
      </w:r>
    </w:p>
    <w:p w14:paraId="55212A2B" w14:textId="2F8F4CC1" w:rsidR="00CA4F03" w:rsidRDefault="00CA4F03" w:rsidP="00CA4F03">
      <w:pPr>
        <w:rPr>
          <w:noProof/>
        </w:rPr>
      </w:pPr>
      <w:r w:rsidRPr="00CA4F03">
        <w:rPr>
          <w:noProof/>
          <w:lang w:val="en-GB" w:eastAsia="en-GB"/>
        </w:rPr>
        <w:drawing>
          <wp:inline distT="0" distB="0" distL="0" distR="0" wp14:anchorId="1D3210C3" wp14:editId="5D7D6319">
            <wp:extent cx="5070865" cy="1235123"/>
            <wp:effectExtent l="0" t="0" r="0" b="3175"/>
            <wp:docPr id="1" name="Picture 1" descr="Study C4591031.Vaccine efficacy, first COVID-19 occurrence from seven days after booster vaccination, blinded follow up period, participant without evidence of infection prior to seven days after booster vaccination (evaluable efficac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y C4591031.Vaccine efficacy, first COVID-19 occurrence from seven days after booster vaccination, blinded follow up period, participant without evidence of infection prior to seven days after booster vaccination (evaluable efficacy population)"/>
                    <pic:cNvPicPr/>
                  </pic:nvPicPr>
                  <pic:blipFill>
                    <a:blip r:embed="rId17"/>
                    <a:stretch>
                      <a:fillRect/>
                    </a:stretch>
                  </pic:blipFill>
                  <pic:spPr>
                    <a:xfrm>
                      <a:off x="0" y="0"/>
                      <a:ext cx="5093635" cy="1240669"/>
                    </a:xfrm>
                    <a:prstGeom prst="rect">
                      <a:avLst/>
                    </a:prstGeom>
                  </pic:spPr>
                </pic:pic>
              </a:graphicData>
            </a:graphic>
          </wp:inline>
        </w:drawing>
      </w:r>
    </w:p>
    <w:p w14:paraId="7F2E7D6F" w14:textId="5BA5861D" w:rsidR="00826088" w:rsidRDefault="00826088" w:rsidP="00826088">
      <w:pPr>
        <w:pStyle w:val="TableDescription"/>
        <w:rPr>
          <w:noProof/>
        </w:rPr>
      </w:pPr>
      <w:r>
        <w:rPr>
          <w:noProof/>
        </w:rPr>
        <w:t xml:space="preserve">Abbreviation: </w:t>
      </w:r>
      <w:r w:rsidR="00F33CE9">
        <w:rPr>
          <w:noProof/>
        </w:rPr>
        <w:t xml:space="preserve">BNT162b2 = Comirnaty; </w:t>
      </w:r>
      <w:r>
        <w:rPr>
          <w:noProof/>
        </w:rPr>
        <w:t>N-binding= SAR-CoV-2 nucleoprotein binding; NAAT = nucleic acid amplification test; RVE = relative vaccine efficacy of Comirnaty booster group relative to the placebo group (non booster); SARS-CoV-2 = severe acute respiratory syndrome coronavirus 2.</w:t>
      </w:r>
    </w:p>
    <w:p w14:paraId="654A9600" w14:textId="274AFB6A" w:rsidR="00826088" w:rsidRDefault="00826088" w:rsidP="00826088">
      <w:pPr>
        <w:pStyle w:val="TableDescription"/>
        <w:rPr>
          <w:noProof/>
        </w:rPr>
      </w:pPr>
      <w:r>
        <w:rPr>
          <w:noProof/>
        </w:rPr>
        <w:t xml:space="preserve">Note: Participants who had no serological or virological evidence (prior to 7 days after receipt of the booster vaccination) of past SARS-CoV-2 infection (that is N-binding antibody (serum) negative at Visit 1 </w:t>
      </w:r>
      <w:r>
        <w:rPr>
          <w:noProof/>
        </w:rPr>
        <w:lastRenderedPageBreak/>
        <w:t>and SARS-CoV-2 not detected by NAAT (nasal swab) at Visit 1, and had a negative NAAT (nasal swab) at any unscheduled visit prior to 7 days after booster vaccination) were included in the analysis</w:t>
      </w:r>
    </w:p>
    <w:p w14:paraId="029BDE50" w14:textId="7816E8EA" w:rsidR="00826088" w:rsidRDefault="00826088" w:rsidP="00826088">
      <w:pPr>
        <w:pStyle w:val="TableDescription"/>
        <w:rPr>
          <w:noProof/>
        </w:rPr>
      </w:pPr>
      <w:r w:rsidRPr="00F33CE9">
        <w:rPr>
          <w:noProof/>
          <w:vertAlign w:val="superscript"/>
        </w:rPr>
        <w:t>a</w:t>
      </w:r>
      <w:r>
        <w:rPr>
          <w:noProof/>
        </w:rPr>
        <w:t xml:space="preserve"> N = numberof participants in the specified group</w:t>
      </w:r>
    </w:p>
    <w:p w14:paraId="238943A7" w14:textId="5115C0A2" w:rsidR="00826088" w:rsidRDefault="00826088" w:rsidP="00826088">
      <w:pPr>
        <w:pStyle w:val="TableDescription"/>
        <w:rPr>
          <w:noProof/>
        </w:rPr>
      </w:pPr>
      <w:r w:rsidRPr="00F33CE9">
        <w:rPr>
          <w:noProof/>
          <w:vertAlign w:val="superscript"/>
        </w:rPr>
        <w:t>b</w:t>
      </w:r>
      <w:r>
        <w:rPr>
          <w:noProof/>
        </w:rPr>
        <w:t xml:space="preserve"> n1 = Number of participants meeting the endpoint definition</w:t>
      </w:r>
    </w:p>
    <w:p w14:paraId="4555B3D2" w14:textId="4E1846B0" w:rsidR="00826088" w:rsidRDefault="00826088" w:rsidP="00826088">
      <w:pPr>
        <w:pStyle w:val="TableDescription"/>
        <w:rPr>
          <w:noProof/>
        </w:rPr>
      </w:pPr>
      <w:r w:rsidRPr="00F33CE9">
        <w:rPr>
          <w:noProof/>
          <w:vertAlign w:val="superscript"/>
        </w:rPr>
        <w:t>c</w:t>
      </w:r>
      <w:r>
        <w:rPr>
          <w:noProof/>
        </w:rPr>
        <w:t xml:space="preserve"> Total </w:t>
      </w:r>
      <w:r w:rsidR="00F33CE9">
        <w:rPr>
          <w:noProof/>
        </w:rPr>
        <w:t>surveillance time in 1000 person-years for the given endpoint across all participants within each group at risk for endpoint. Time period for COVID-19 case accrual is from 7 days after the booster vaccination to the end of the surveillance period.</w:t>
      </w:r>
    </w:p>
    <w:p w14:paraId="145CAF6C" w14:textId="360E7B0A" w:rsidR="00F33CE9" w:rsidRDefault="00F33CE9" w:rsidP="00826088">
      <w:pPr>
        <w:pStyle w:val="TableDescription"/>
        <w:rPr>
          <w:noProof/>
        </w:rPr>
      </w:pPr>
      <w:r w:rsidRPr="00F33CE9">
        <w:rPr>
          <w:noProof/>
          <w:vertAlign w:val="superscript"/>
        </w:rPr>
        <w:t>d</w:t>
      </w:r>
      <w:r>
        <w:rPr>
          <w:noProof/>
        </w:rPr>
        <w:t xml:space="preserve"> n2 = Number of participants at risk for the endpoint</w:t>
      </w:r>
    </w:p>
    <w:p w14:paraId="6492FC7B" w14:textId="4730A0A2" w:rsidR="00F33CE9" w:rsidRPr="00CA4F03" w:rsidRDefault="00F33CE9" w:rsidP="00826088">
      <w:pPr>
        <w:pStyle w:val="TableDescription"/>
        <w:rPr>
          <w:noProof/>
        </w:rPr>
      </w:pPr>
      <w:r w:rsidRPr="00F33CE9">
        <w:rPr>
          <w:noProof/>
          <w:vertAlign w:val="superscript"/>
        </w:rPr>
        <w:t>e</w:t>
      </w:r>
      <w:r>
        <w:rPr>
          <w:noProof/>
        </w:rPr>
        <w:t xml:space="preserve"> two sided CI for RVE is derived based on the Clopper and Pearson method adjusted for surveillance time.</w:t>
      </w:r>
    </w:p>
    <w:p w14:paraId="270AEF12" w14:textId="0B116295" w:rsidR="00FF7005" w:rsidRDefault="00FF7005" w:rsidP="00FF7005">
      <w:r>
        <w:t>The RVE in the all-available efficacy (mITT) population from booster vaccination onwards was 89.8% (</w:t>
      </w:r>
      <w:proofErr w:type="gramStart"/>
      <w:r w:rsidR="00F33CE9">
        <w:t xml:space="preserve">two </w:t>
      </w:r>
      <w:r>
        <w:t>sided</w:t>
      </w:r>
      <w:proofErr w:type="gramEnd"/>
      <w:r>
        <w:t xml:space="preserve"> 95% CI: 82.6%, 94.4%), based on 15 cases in the </w:t>
      </w:r>
      <w:r w:rsidR="00F33CE9">
        <w:t>Comirnaty</w:t>
      </w:r>
      <w:r>
        <w:t xml:space="preserve"> group and 141 cases in the placebo group reported after booster vaccination</w:t>
      </w:r>
      <w:r w:rsidR="000362E2">
        <w:t xml:space="preserve"> (</w:t>
      </w:r>
      <w:r w:rsidR="000362E2">
        <w:fldChar w:fldCharType="begin"/>
      </w:r>
      <w:r w:rsidR="000362E2">
        <w:instrText xml:space="preserve"> REF _Ref92983978 \h </w:instrText>
      </w:r>
      <w:r w:rsidR="000362E2">
        <w:fldChar w:fldCharType="separate"/>
      </w:r>
      <w:r w:rsidR="00A64E71" w:rsidRPr="00F33CE9">
        <w:t xml:space="preserve">Table </w:t>
      </w:r>
      <w:r w:rsidR="00A64E71">
        <w:rPr>
          <w:noProof/>
        </w:rPr>
        <w:t>4</w:t>
      </w:r>
      <w:r w:rsidR="000362E2">
        <w:fldChar w:fldCharType="end"/>
      </w:r>
      <w:r w:rsidR="000362E2">
        <w:t>)</w:t>
      </w:r>
      <w:r>
        <w:t>.</w:t>
      </w:r>
    </w:p>
    <w:p w14:paraId="7BB84106" w14:textId="02B42225" w:rsidR="000362E2" w:rsidRDefault="000362E2" w:rsidP="00F33CE9">
      <w:pPr>
        <w:pStyle w:val="TableTitle"/>
      </w:pPr>
      <w:bookmarkStart w:id="46" w:name="_Ref92983978"/>
      <w:r w:rsidRPr="00F33CE9">
        <w:t xml:space="preserve">Table </w:t>
      </w:r>
      <w:r w:rsidR="00EF5616">
        <w:fldChar w:fldCharType="begin"/>
      </w:r>
      <w:r w:rsidR="00EF5616">
        <w:instrText xml:space="preserve"> SEQ Table \* ARABIC </w:instrText>
      </w:r>
      <w:r w:rsidR="00EF5616">
        <w:fldChar w:fldCharType="separate"/>
      </w:r>
      <w:r w:rsidR="00A64E71">
        <w:rPr>
          <w:noProof/>
        </w:rPr>
        <w:t>4</w:t>
      </w:r>
      <w:r w:rsidR="00EF5616">
        <w:rPr>
          <w:noProof/>
        </w:rPr>
        <w:fldChar w:fldCharType="end"/>
      </w:r>
      <w:bookmarkEnd w:id="46"/>
      <w:r w:rsidRPr="00F33CE9">
        <w:t>:</w:t>
      </w:r>
      <w:r>
        <w:t xml:space="preserve"> </w:t>
      </w:r>
      <w:r w:rsidR="009C2DD5" w:rsidRPr="00C158E5">
        <w:t>Study</w:t>
      </w:r>
      <w:r w:rsidR="009C2DD5">
        <w:t> </w:t>
      </w:r>
      <w:r w:rsidR="009C2DD5" w:rsidRPr="00C158E5">
        <w:t>C4591031</w:t>
      </w:r>
      <w:r w:rsidR="009C2DD5">
        <w:t xml:space="preserve"> </w:t>
      </w:r>
      <w:r>
        <w:t>Vaccine efficacy</w:t>
      </w:r>
      <w:r w:rsidR="009C2DD5">
        <w:t>, f</w:t>
      </w:r>
      <w:r>
        <w:t xml:space="preserve">irst COVID-19 </w:t>
      </w:r>
      <w:r w:rsidR="009C2DD5">
        <w:t>o</w:t>
      </w:r>
      <w:r>
        <w:t>ccurrence after booster vaccination, blinded follow up period (all available efficacy population)</w:t>
      </w:r>
    </w:p>
    <w:p w14:paraId="63CDD4C2" w14:textId="2307CB98" w:rsidR="000362E2" w:rsidRDefault="000362E2" w:rsidP="000362E2">
      <w:r w:rsidRPr="000362E2">
        <w:rPr>
          <w:noProof/>
          <w:lang w:val="en-GB" w:eastAsia="en-GB"/>
        </w:rPr>
        <w:drawing>
          <wp:inline distT="0" distB="0" distL="0" distR="0" wp14:anchorId="7C0C5C8A" wp14:editId="6B4457D1">
            <wp:extent cx="4686300" cy="1883391"/>
            <wp:effectExtent l="0" t="0" r="0" b="3175"/>
            <wp:docPr id="6" name="Picture 6" descr="Study C4591031 Vaccine efficacy, first COVID-19 occurrence after booster vaccination, blinded follow up period (all available efficac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udy C4591031 Vaccine efficacy, first COVID-19 occurrence after booster vaccination, blinded follow up period (all available efficacy population)"/>
                    <pic:cNvPicPr/>
                  </pic:nvPicPr>
                  <pic:blipFill rotWithShape="1">
                    <a:blip r:embed="rId18"/>
                    <a:srcRect b="31502"/>
                    <a:stretch/>
                  </pic:blipFill>
                  <pic:spPr bwMode="auto">
                    <a:xfrm>
                      <a:off x="0" y="0"/>
                      <a:ext cx="4686541" cy="1883488"/>
                    </a:xfrm>
                    <a:prstGeom prst="rect">
                      <a:avLst/>
                    </a:prstGeom>
                    <a:ln>
                      <a:noFill/>
                    </a:ln>
                    <a:extLst>
                      <a:ext uri="{53640926-AAD7-44D8-BBD7-CCE9431645EC}">
                        <a14:shadowObscured xmlns:a14="http://schemas.microsoft.com/office/drawing/2010/main"/>
                      </a:ext>
                    </a:extLst>
                  </pic:spPr>
                </pic:pic>
              </a:graphicData>
            </a:graphic>
          </wp:inline>
        </w:drawing>
      </w:r>
    </w:p>
    <w:p w14:paraId="7D1A3C50" w14:textId="2AAF6A53" w:rsidR="00F33CE9" w:rsidRDefault="00F33CE9" w:rsidP="00F33CE9">
      <w:pPr>
        <w:pStyle w:val="TableDescription"/>
      </w:pPr>
      <w:r>
        <w:t>Abbreviation: BNT1622b = Comirnaty; RVE = relative vaccine efficacy of the Comirnaty booster group relative to the placebo group (</w:t>
      </w:r>
      <w:proofErr w:type="spellStart"/>
      <w:r>
        <w:t>non booster</w:t>
      </w:r>
      <w:proofErr w:type="spellEnd"/>
      <w:r>
        <w:t>).</w:t>
      </w:r>
    </w:p>
    <w:p w14:paraId="268EBD3B" w14:textId="3CA9CC45" w:rsidR="00F33CE9" w:rsidRDefault="00F33CE9" w:rsidP="00F33CE9">
      <w:pPr>
        <w:pStyle w:val="TableDescription"/>
      </w:pPr>
      <w:r w:rsidRPr="009C2DD5">
        <w:rPr>
          <w:vertAlign w:val="superscript"/>
        </w:rPr>
        <w:t>a</w:t>
      </w:r>
      <w:r>
        <w:t xml:space="preserve"> N = </w:t>
      </w:r>
      <w:r w:rsidR="009C2DD5">
        <w:t>number of participants in specified group</w:t>
      </w:r>
    </w:p>
    <w:p w14:paraId="590E3F7E" w14:textId="3953E51F" w:rsidR="009C2DD5" w:rsidRDefault="009C2DD5" w:rsidP="00F33CE9">
      <w:pPr>
        <w:pStyle w:val="TableDescription"/>
      </w:pPr>
      <w:r w:rsidRPr="009C2DD5">
        <w:rPr>
          <w:vertAlign w:val="superscript"/>
        </w:rPr>
        <w:t>b</w:t>
      </w:r>
      <w:r>
        <w:t xml:space="preserve"> n1 = number of participants meeting the endpoint function</w:t>
      </w:r>
    </w:p>
    <w:p w14:paraId="6289A1B6" w14:textId="096EE16B" w:rsidR="009C2DD5" w:rsidRDefault="009C2DD5" w:rsidP="00F33CE9">
      <w:pPr>
        <w:pStyle w:val="TableDescription"/>
      </w:pPr>
      <w:r w:rsidRPr="009C2DD5">
        <w:rPr>
          <w:vertAlign w:val="superscript"/>
        </w:rPr>
        <w:t>c</w:t>
      </w:r>
      <w:r>
        <w:t xml:space="preserve"> Total surveillance time in 1000 person-years for the given endpoint across all participants within each group at risk for the endpoint. Time period for COVID-19 case accrual is from the booster vaccination to the end of the surveillance period for the overall row and from the start to the end of the range stated for each time interval.</w:t>
      </w:r>
    </w:p>
    <w:p w14:paraId="7DCA8448" w14:textId="5AA8A9A6" w:rsidR="009C2DD5" w:rsidRDefault="009C2DD5" w:rsidP="00F33CE9">
      <w:pPr>
        <w:pStyle w:val="TableDescription"/>
      </w:pPr>
      <w:r w:rsidRPr="009C2DD5">
        <w:rPr>
          <w:vertAlign w:val="superscript"/>
        </w:rPr>
        <w:t>d</w:t>
      </w:r>
      <w:r>
        <w:t xml:space="preserve"> n2 = Number of participants at risk for the endpoint.</w:t>
      </w:r>
    </w:p>
    <w:p w14:paraId="13811A0D" w14:textId="292BEC04" w:rsidR="009C2DD5" w:rsidRPr="000362E2" w:rsidRDefault="009C2DD5" w:rsidP="00F33CE9">
      <w:pPr>
        <w:pStyle w:val="TableDescription"/>
      </w:pPr>
      <w:r w:rsidRPr="009C2DD5">
        <w:rPr>
          <w:vertAlign w:val="superscript"/>
        </w:rPr>
        <w:t>e</w:t>
      </w:r>
      <w:r>
        <w:t xml:space="preserve"> </w:t>
      </w:r>
      <w:proofErr w:type="gramStart"/>
      <w:r>
        <w:t>Two sided</w:t>
      </w:r>
      <w:proofErr w:type="gramEnd"/>
      <w:r>
        <w:t xml:space="preserve"> CI for RVE is derived based on the Clopper and Pearson method adjusted for surveillance time.</w:t>
      </w:r>
    </w:p>
    <w:p w14:paraId="69824946" w14:textId="6C691751" w:rsidR="00FF7005" w:rsidRDefault="00FF7005" w:rsidP="00C03C8F">
      <w:r>
        <w:t xml:space="preserve">As of the data </w:t>
      </w:r>
      <w:proofErr w:type="spellStart"/>
      <w:r>
        <w:t>cutoff</w:t>
      </w:r>
      <w:proofErr w:type="spellEnd"/>
      <w:r>
        <w:t xml:space="preserve"> date, </w:t>
      </w:r>
      <w:r w:rsidR="009C2DD5">
        <w:t>two</w:t>
      </w:r>
      <w:r>
        <w:t xml:space="preserve"> cases were reported in </w:t>
      </w:r>
      <w:proofErr w:type="gramStart"/>
      <w:r>
        <w:t>the all</w:t>
      </w:r>
      <w:proofErr w:type="gramEnd"/>
      <w:r w:rsidR="009C2DD5">
        <w:t xml:space="preserve"> </w:t>
      </w:r>
      <w:r>
        <w:t>available efficacy population that met severe criteria per the FDA definition,</w:t>
      </w:r>
      <w:r w:rsidR="009C2DD5">
        <w:fldChar w:fldCharType="begin"/>
      </w:r>
      <w:r w:rsidR="009C2DD5">
        <w:instrText xml:space="preserve"> NOTEREF _Ref93063380 \f \h </w:instrText>
      </w:r>
      <w:r w:rsidR="009C2DD5">
        <w:fldChar w:fldCharType="separate"/>
      </w:r>
      <w:r w:rsidR="00A64E71" w:rsidRPr="00A64E71">
        <w:rPr>
          <w:rStyle w:val="FootnoteReference"/>
        </w:rPr>
        <w:t>14</w:t>
      </w:r>
      <w:r w:rsidR="009C2DD5">
        <w:fldChar w:fldCharType="end"/>
      </w:r>
      <w:r>
        <w:t xml:space="preserve"> both in the placebo group. Both cases met the severe criterion of ‘</w:t>
      </w:r>
      <w:r w:rsidRPr="009C2DD5">
        <w:rPr>
          <w:i/>
          <w:iCs/>
        </w:rPr>
        <w:t>clinical signs at rest indicative of severe systemic illness</w:t>
      </w:r>
      <w:r>
        <w:t>’ (oxygen saturation as measured by pulse oximetry) an occurred in participants who were baseline SARS-CoV-2 negative</w:t>
      </w:r>
      <w:r w:rsidR="00C03C8F">
        <w:t xml:space="preserve"> (</w:t>
      </w:r>
      <w:r w:rsidR="00C03C8F">
        <w:fldChar w:fldCharType="begin"/>
      </w:r>
      <w:r w:rsidR="00C03C8F">
        <w:instrText xml:space="preserve"> REF _Ref92984400 \h </w:instrText>
      </w:r>
      <w:r w:rsidR="00C03C8F">
        <w:fldChar w:fldCharType="separate"/>
      </w:r>
      <w:r w:rsidR="00A64E71" w:rsidRPr="009C2DD5">
        <w:t xml:space="preserve">Table </w:t>
      </w:r>
      <w:r w:rsidR="00A64E71">
        <w:rPr>
          <w:noProof/>
        </w:rPr>
        <w:t>5</w:t>
      </w:r>
      <w:r w:rsidR="00C03C8F">
        <w:fldChar w:fldCharType="end"/>
      </w:r>
      <w:r w:rsidR="00C03C8F">
        <w:t>)</w:t>
      </w:r>
      <w:r>
        <w:t>.</w:t>
      </w:r>
    </w:p>
    <w:p w14:paraId="1B36221A" w14:textId="0B2AA159" w:rsidR="000362E2" w:rsidRDefault="000362E2" w:rsidP="009C2DD5">
      <w:pPr>
        <w:pStyle w:val="TableTitle"/>
      </w:pPr>
      <w:bookmarkStart w:id="47" w:name="_Ref92984400"/>
      <w:r w:rsidRPr="009C2DD5">
        <w:lastRenderedPageBreak/>
        <w:t xml:space="preserve">Table </w:t>
      </w:r>
      <w:r w:rsidR="00EF5616">
        <w:fldChar w:fldCharType="begin"/>
      </w:r>
      <w:r w:rsidR="00EF5616">
        <w:instrText xml:space="preserve"> SEQ Table \* ARABIC </w:instrText>
      </w:r>
      <w:r w:rsidR="00EF5616">
        <w:fldChar w:fldCharType="separate"/>
      </w:r>
      <w:r w:rsidR="00A64E71">
        <w:rPr>
          <w:noProof/>
        </w:rPr>
        <w:t>5</w:t>
      </w:r>
      <w:r w:rsidR="00EF5616">
        <w:rPr>
          <w:noProof/>
        </w:rPr>
        <w:fldChar w:fldCharType="end"/>
      </w:r>
      <w:bookmarkEnd w:id="47"/>
      <w:r>
        <w:t>:</w:t>
      </w:r>
      <w:r w:rsidR="009C2DD5" w:rsidRPr="009C2DD5">
        <w:t xml:space="preserve"> </w:t>
      </w:r>
      <w:r w:rsidR="009C2DD5" w:rsidRPr="00C158E5">
        <w:t>Study</w:t>
      </w:r>
      <w:r w:rsidR="009C2DD5">
        <w:t> </w:t>
      </w:r>
      <w:r w:rsidR="009C2DD5" w:rsidRPr="00C158E5">
        <w:t>C4591031</w:t>
      </w:r>
      <w:r>
        <w:t xml:space="preserve"> Vaccine Efficacy, </w:t>
      </w:r>
      <w:r w:rsidR="009C2DD5">
        <w:t>f</w:t>
      </w:r>
      <w:r>
        <w:t>irst severe COVID-19 occurrence (based on FDA definition)</w:t>
      </w:r>
      <w:r w:rsidR="009C2DD5">
        <w:fldChar w:fldCharType="begin"/>
      </w:r>
      <w:r w:rsidR="009C2DD5">
        <w:instrText xml:space="preserve"> NOTEREF _Ref93063380 \f \h </w:instrText>
      </w:r>
      <w:r w:rsidR="009C2DD5">
        <w:fldChar w:fldCharType="separate"/>
      </w:r>
      <w:r w:rsidR="00A64E71" w:rsidRPr="00A64E71">
        <w:rPr>
          <w:rStyle w:val="FootnoteReference"/>
        </w:rPr>
        <w:t>14</w:t>
      </w:r>
      <w:r w:rsidR="009C2DD5">
        <w:fldChar w:fldCharType="end"/>
      </w:r>
      <w:r>
        <w:t xml:space="preserve"> after booster vaccination</w:t>
      </w:r>
      <w:r w:rsidR="009C2DD5">
        <w:t xml:space="preserve">, </w:t>
      </w:r>
      <w:r>
        <w:t>blinded follow up period (all available efficacy population)</w:t>
      </w:r>
    </w:p>
    <w:p w14:paraId="17322992" w14:textId="42B79FF6" w:rsidR="000362E2" w:rsidRDefault="000362E2" w:rsidP="000362E2">
      <w:r w:rsidRPr="000362E2">
        <w:rPr>
          <w:noProof/>
          <w:lang w:val="en-GB" w:eastAsia="en-GB"/>
        </w:rPr>
        <w:drawing>
          <wp:inline distT="0" distB="0" distL="0" distR="0" wp14:anchorId="3568B5D4" wp14:editId="659FD4BD">
            <wp:extent cx="4527783" cy="1422473"/>
            <wp:effectExtent l="0" t="0" r="6350" b="6350"/>
            <wp:docPr id="10" name="Picture 10" descr="Study C4591031 Vaccine Efficacy, first severe COVID-19 occurrence (based on FDA definition)14 after booster vaccination, blinded follow up period (all available efficac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udy C4591031 Vaccine Efficacy, first severe COVID-19 occurrence (based on FDA definition)14 after booster vaccination, blinded follow up period (all available efficacy population)"/>
                    <pic:cNvPicPr/>
                  </pic:nvPicPr>
                  <pic:blipFill>
                    <a:blip r:embed="rId19"/>
                    <a:stretch>
                      <a:fillRect/>
                    </a:stretch>
                  </pic:blipFill>
                  <pic:spPr>
                    <a:xfrm>
                      <a:off x="0" y="0"/>
                      <a:ext cx="4527783" cy="1422473"/>
                    </a:xfrm>
                    <a:prstGeom prst="rect">
                      <a:avLst/>
                    </a:prstGeom>
                  </pic:spPr>
                </pic:pic>
              </a:graphicData>
            </a:graphic>
          </wp:inline>
        </w:drawing>
      </w:r>
      <w:r w:rsidRPr="000362E2">
        <w:rPr>
          <w:noProof/>
          <w:lang w:val="en-GB" w:eastAsia="en-GB"/>
        </w:rPr>
        <w:drawing>
          <wp:inline distT="0" distB="0" distL="0" distR="0" wp14:anchorId="133A9532" wp14:editId="0C172ABE">
            <wp:extent cx="4616450" cy="218364"/>
            <wp:effectExtent l="0" t="0" r="0" b="0"/>
            <wp:docPr id="12" name="Picture 12" descr="Study C4591031 Vaccine Efficacy, first severe COVID-19 occurrence (based on FDA definition)14 after booster vaccination, blinded follow up period (all available efficac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udy C4591031 Vaccine Efficacy, first severe COVID-19 occurrence (based on FDA definition)14 after booster vaccination, blinded follow up period (all available efficacy population)"/>
                    <pic:cNvPicPr/>
                  </pic:nvPicPr>
                  <pic:blipFill rotWithShape="1">
                    <a:blip r:embed="rId20"/>
                    <a:srcRect b="81611"/>
                    <a:stretch/>
                  </pic:blipFill>
                  <pic:spPr bwMode="auto">
                    <a:xfrm>
                      <a:off x="0" y="0"/>
                      <a:ext cx="4616687" cy="218375"/>
                    </a:xfrm>
                    <a:prstGeom prst="rect">
                      <a:avLst/>
                    </a:prstGeom>
                    <a:ln>
                      <a:noFill/>
                    </a:ln>
                    <a:extLst>
                      <a:ext uri="{53640926-AAD7-44D8-BBD7-CCE9431645EC}">
                        <a14:shadowObscured xmlns:a14="http://schemas.microsoft.com/office/drawing/2010/main"/>
                      </a:ext>
                    </a:extLst>
                  </pic:spPr>
                </pic:pic>
              </a:graphicData>
            </a:graphic>
          </wp:inline>
        </w:drawing>
      </w:r>
    </w:p>
    <w:p w14:paraId="765DF9B3" w14:textId="7FD1CB0E" w:rsidR="009C2DD5" w:rsidRDefault="009C2DD5" w:rsidP="009C2DD5">
      <w:pPr>
        <w:pStyle w:val="TableDescription"/>
      </w:pPr>
      <w:r>
        <w:t>Abbreviation: BNT1622b = Comirnaty; NE = not estimable; RVE = relative vaccine efficacy of the Comirnaty booster group relative to the placebo group (</w:t>
      </w:r>
      <w:proofErr w:type="spellStart"/>
      <w:r>
        <w:t>non booster</w:t>
      </w:r>
      <w:proofErr w:type="spellEnd"/>
      <w:r>
        <w:t>).</w:t>
      </w:r>
    </w:p>
    <w:p w14:paraId="0E415186" w14:textId="77777777" w:rsidR="009C2DD5" w:rsidRDefault="009C2DD5" w:rsidP="009C2DD5">
      <w:pPr>
        <w:pStyle w:val="TableDescription"/>
      </w:pPr>
      <w:r w:rsidRPr="009C2DD5">
        <w:rPr>
          <w:vertAlign w:val="superscript"/>
        </w:rPr>
        <w:t>a</w:t>
      </w:r>
      <w:r>
        <w:t xml:space="preserve"> N = number of participants in specified group</w:t>
      </w:r>
    </w:p>
    <w:p w14:paraId="7AE14124" w14:textId="77777777" w:rsidR="009C2DD5" w:rsidRDefault="009C2DD5" w:rsidP="009C2DD5">
      <w:pPr>
        <w:pStyle w:val="TableDescription"/>
      </w:pPr>
      <w:r w:rsidRPr="009C2DD5">
        <w:rPr>
          <w:vertAlign w:val="superscript"/>
        </w:rPr>
        <w:t>b</w:t>
      </w:r>
      <w:r>
        <w:t xml:space="preserve"> n1 = number of participants meeting the endpoint function</w:t>
      </w:r>
    </w:p>
    <w:p w14:paraId="33173DCD" w14:textId="77777777" w:rsidR="009C2DD5" w:rsidRDefault="009C2DD5" w:rsidP="009C2DD5">
      <w:pPr>
        <w:pStyle w:val="TableDescription"/>
      </w:pPr>
      <w:r w:rsidRPr="009C2DD5">
        <w:rPr>
          <w:vertAlign w:val="superscript"/>
        </w:rPr>
        <w:t>c</w:t>
      </w:r>
      <w:r>
        <w:t xml:space="preserve"> Total surveillance time in 1000 person-years for the given endpoint across all participants within each group at risk for the endpoint. Time period for COVID-19 case accrual is from the booster vaccination to the end of the surveillance period for the overall row and from the start to the end of the range stated for each time interval.</w:t>
      </w:r>
    </w:p>
    <w:p w14:paraId="1DAAC248" w14:textId="77777777" w:rsidR="009C2DD5" w:rsidRDefault="009C2DD5" w:rsidP="009C2DD5">
      <w:pPr>
        <w:pStyle w:val="TableDescription"/>
      </w:pPr>
      <w:r w:rsidRPr="009C2DD5">
        <w:rPr>
          <w:vertAlign w:val="superscript"/>
        </w:rPr>
        <w:t>d</w:t>
      </w:r>
      <w:r>
        <w:t xml:space="preserve"> n2 = Number of participants at risk for the endpoint.</w:t>
      </w:r>
    </w:p>
    <w:p w14:paraId="19807736" w14:textId="0D702685" w:rsidR="009C2DD5" w:rsidRPr="000362E2" w:rsidRDefault="009C2DD5" w:rsidP="009C2DD5">
      <w:pPr>
        <w:pStyle w:val="TableDescription"/>
      </w:pPr>
      <w:r w:rsidRPr="009C2DD5">
        <w:rPr>
          <w:vertAlign w:val="superscript"/>
        </w:rPr>
        <w:t>e</w:t>
      </w:r>
      <w:r>
        <w:t xml:space="preserve"> </w:t>
      </w:r>
      <w:proofErr w:type="gramStart"/>
      <w:r>
        <w:t>Two sided</w:t>
      </w:r>
      <w:proofErr w:type="gramEnd"/>
      <w:r>
        <w:t xml:space="preserve"> CI for RVE is derived based on the Clopper and Pearson method adjusted for surveillance time.</w:t>
      </w:r>
    </w:p>
    <w:p w14:paraId="4641E410" w14:textId="4236E322" w:rsidR="00FF7005" w:rsidRDefault="00FF7005" w:rsidP="00FF7005">
      <w:r>
        <w:t>All ages analy</w:t>
      </w:r>
      <w:r w:rsidR="009C2DD5">
        <w:t>s</w:t>
      </w:r>
      <w:r>
        <w:t>ed showed similarly high observed RVE; all were estimated to be &gt;</w:t>
      </w:r>
      <w:r w:rsidR="009C2DD5">
        <w:t> </w:t>
      </w:r>
      <w:r>
        <w:t xml:space="preserve">90%. In the evaluable efficacy population without evidence of SARS-CoV-2 infection prior to </w:t>
      </w:r>
      <w:r w:rsidR="009C2DD5">
        <w:t>seven</w:t>
      </w:r>
      <w:r>
        <w:t xml:space="preserve"> days post</w:t>
      </w:r>
      <w:r w:rsidR="009C2DD5">
        <w:t xml:space="preserve"> </w:t>
      </w:r>
      <w:r>
        <w:t xml:space="preserve">booster for the 16 </w:t>
      </w:r>
      <w:r w:rsidR="000362E2">
        <w:t xml:space="preserve">to </w:t>
      </w:r>
      <w:r>
        <w:t xml:space="preserve">17 years of age subgroup, 0 cases were reported in the </w:t>
      </w:r>
      <w:r w:rsidR="009C2DD5">
        <w:t>Comirnaty</w:t>
      </w:r>
      <w:r>
        <w:t xml:space="preserve"> group (n</w:t>
      </w:r>
      <w:r w:rsidR="009C2DD5">
        <w:t xml:space="preserve"> </w:t>
      </w:r>
      <w:r>
        <w:t>=</w:t>
      </w:r>
      <w:r w:rsidR="009C2DD5">
        <w:t xml:space="preserve"> </w:t>
      </w:r>
      <w:r>
        <w:t>41) and 2 cases in the placebo group (n</w:t>
      </w:r>
      <w:r w:rsidR="009C2DD5">
        <w:t xml:space="preserve"> </w:t>
      </w:r>
      <w:r>
        <w:t>=</w:t>
      </w:r>
      <w:r w:rsidR="009C2DD5">
        <w:t xml:space="preserve"> </w:t>
      </w:r>
      <w:r>
        <w:t>37) for RVE 100% but with wide 95% CI (-348.6, 100).</w:t>
      </w:r>
    </w:p>
    <w:p w14:paraId="16C3D0FA" w14:textId="7C883E38" w:rsidR="001216AB" w:rsidRDefault="001216AB" w:rsidP="001216AB">
      <w:pPr>
        <w:pStyle w:val="Heading4"/>
      </w:pPr>
      <w:r>
        <w:t>Safety</w:t>
      </w:r>
    </w:p>
    <w:p w14:paraId="68D70749" w14:textId="661EC829" w:rsidR="00FF7005" w:rsidRDefault="00FF7005" w:rsidP="00FF7005">
      <w:r>
        <w:t>The safety population included a total of 10</w:t>
      </w:r>
      <w:r w:rsidR="00FF4D1A">
        <w:t>,</w:t>
      </w:r>
      <w:r>
        <w:t xml:space="preserve">125 participants: 5081 in the </w:t>
      </w:r>
      <w:r w:rsidR="00814693">
        <w:t>Comirnaty</w:t>
      </w:r>
      <w:r>
        <w:t xml:space="preserve"> group and 5044 in the placebo group. From booster vaccination to the data </w:t>
      </w:r>
      <w:proofErr w:type="spellStart"/>
      <w:r>
        <w:t>cutoff</w:t>
      </w:r>
      <w:proofErr w:type="spellEnd"/>
      <w:r>
        <w:t xml:space="preserve"> date, which represents up to at least </w:t>
      </w:r>
      <w:r w:rsidR="00814693">
        <w:t>two</w:t>
      </w:r>
      <w:r>
        <w:t xml:space="preserve"> months post</w:t>
      </w:r>
      <w:r w:rsidR="00814693">
        <w:t xml:space="preserve"> </w:t>
      </w:r>
      <w:r>
        <w:t>booster follow</w:t>
      </w:r>
      <w:r w:rsidR="00814693">
        <w:t xml:space="preserve"> </w:t>
      </w:r>
      <w:r>
        <w:t xml:space="preserve">up, a greater proportion of participants in the </w:t>
      </w:r>
      <w:proofErr w:type="spellStart"/>
      <w:r w:rsidR="00814693">
        <w:t>Cominaty</w:t>
      </w:r>
      <w:proofErr w:type="spellEnd"/>
      <w:r>
        <w:t xml:space="preserve"> group (25.2%) reported any </w:t>
      </w:r>
      <w:r w:rsidR="00DB18A0">
        <w:t>adverse events (</w:t>
      </w:r>
      <w:r>
        <w:t>AE</w:t>
      </w:r>
      <w:r w:rsidR="00DB18A0">
        <w:t>)</w:t>
      </w:r>
      <w:r>
        <w:t xml:space="preserve"> compared with the placebo group (6.8%). This was driven primarily by any AEs considered by the investigator as related to study intervention, reported by 23.4% of participants in the </w:t>
      </w:r>
      <w:r w:rsidR="00DB18A0">
        <w:t>Comirnaty</w:t>
      </w:r>
      <w:r>
        <w:t xml:space="preserve"> group and 4.2% of participants in the placebo group. Any severe or serious AEs were reported across the </w:t>
      </w:r>
      <w:r w:rsidR="00DB18A0">
        <w:t>Comirnaty</w:t>
      </w:r>
      <w:r>
        <w:t xml:space="preserve"> and placebo groups by ≤</w:t>
      </w:r>
      <w:r w:rsidR="00DB18A0">
        <w:t> </w:t>
      </w:r>
      <w:r>
        <w:t>0.8% and ≤</w:t>
      </w:r>
      <w:r w:rsidR="00DB18A0">
        <w:t> </w:t>
      </w:r>
      <w:r>
        <w:t>0.5%, respectively.</w:t>
      </w:r>
    </w:p>
    <w:p w14:paraId="1C3F74AE" w14:textId="3F78D84A" w:rsidR="00FF7005" w:rsidRDefault="00FF7005" w:rsidP="00FF7005">
      <w:r>
        <w:t xml:space="preserve">The AE profile after booster vaccination reflected mostly reactogenicity events and did not suggest any clinically important short-term safety concerns for </w:t>
      </w:r>
      <w:r w:rsidR="00DB18A0">
        <w:t>Comirnaty</w:t>
      </w:r>
      <w:r>
        <w:t xml:space="preserve"> booster vaccination. Subgroup analyses did not suggest any specific safety concerns </w:t>
      </w:r>
      <w:proofErr w:type="gramStart"/>
      <w:r>
        <w:t>with regard to</w:t>
      </w:r>
      <w:proofErr w:type="gramEnd"/>
      <w:r>
        <w:t xml:space="preserve"> age, sex, race, ethnicity, country, baseline SARS-CoV-2 status, or </w:t>
      </w:r>
      <w:r w:rsidR="00DB18A0" w:rsidRPr="00DB18A0">
        <w:t>human immunodeficiency virus</w:t>
      </w:r>
      <w:r w:rsidR="00DB18A0">
        <w:t xml:space="preserve"> positive</w:t>
      </w:r>
      <w:r>
        <w:t xml:space="preserve"> status</w:t>
      </w:r>
      <w:r w:rsidR="00DB18A0">
        <w:t>. T</w:t>
      </w:r>
      <w:r>
        <w:t xml:space="preserve">here were few AEs of clinical interest corresponding to the CDC list of </w:t>
      </w:r>
      <w:r w:rsidR="00DB18A0" w:rsidRPr="00DB18A0">
        <w:t>adverse events of special interest</w:t>
      </w:r>
      <w:r w:rsidR="00DB18A0">
        <w:t xml:space="preserve"> (</w:t>
      </w:r>
      <w:r>
        <w:t>AESI</w:t>
      </w:r>
      <w:r w:rsidR="00DB18A0">
        <w:t xml:space="preserve">) </w:t>
      </w:r>
      <w:r>
        <w:t>reported in the booster safety population. Both lymphadenopathy (2.7% v</w:t>
      </w:r>
      <w:r w:rsidR="00DB18A0">
        <w:t>ersus</w:t>
      </w:r>
      <w:r>
        <w:t xml:space="preserve"> 0%) and rash (0.1% v</w:t>
      </w:r>
      <w:r w:rsidR="00DB18A0">
        <w:t>ersu</w:t>
      </w:r>
      <w:r>
        <w:t xml:space="preserve">s 0%) were more frequently reported after a booster dose of </w:t>
      </w:r>
      <w:r w:rsidR="00DB18A0">
        <w:t>Comirnaty</w:t>
      </w:r>
      <w:r>
        <w:t xml:space="preserve"> as compared with placebo, and </w:t>
      </w:r>
      <w:proofErr w:type="gramStart"/>
      <w:r>
        <w:t>both of these</w:t>
      </w:r>
      <w:proofErr w:type="gramEnd"/>
      <w:r>
        <w:t xml:space="preserve"> events are known to be adverse reactions of </w:t>
      </w:r>
      <w:r w:rsidR="00DB18A0">
        <w:t>Comirnaty</w:t>
      </w:r>
      <w:r>
        <w:t>. No cases of vaccine</w:t>
      </w:r>
      <w:r w:rsidR="00DB18A0">
        <w:t xml:space="preserve"> </w:t>
      </w:r>
      <w:r>
        <w:t xml:space="preserve">associated anaphylaxis, hypersensitivity, myocarditis/pericarditis, or Bell’s palsy were reported in </w:t>
      </w:r>
      <w:r w:rsidR="00DB18A0">
        <w:t>Comirnaty</w:t>
      </w:r>
      <w:r>
        <w:t xml:space="preserve"> recipients up to the data </w:t>
      </w:r>
      <w:proofErr w:type="spellStart"/>
      <w:r>
        <w:t>cutoff</w:t>
      </w:r>
      <w:proofErr w:type="spellEnd"/>
      <w:r>
        <w:t xml:space="preserve"> date.</w:t>
      </w:r>
    </w:p>
    <w:p w14:paraId="496C0609" w14:textId="575AB7AC" w:rsidR="00FF7005" w:rsidRDefault="00FF7005" w:rsidP="00FF7005">
      <w:r>
        <w:lastRenderedPageBreak/>
        <w:t xml:space="preserve">One participant in the placebo group died due to an unrelated </w:t>
      </w:r>
      <w:r w:rsidR="00CE4F8D">
        <w:t>serious adverse event (</w:t>
      </w:r>
      <w:r>
        <w:t>SAE</w:t>
      </w:r>
      <w:r w:rsidR="00CE4F8D">
        <w:t>)</w:t>
      </w:r>
      <w:r>
        <w:t xml:space="preserve"> of pulmonary embolism which occurred 52 days after receipt of booster vaccination (placebo).</w:t>
      </w:r>
    </w:p>
    <w:p w14:paraId="50306468" w14:textId="4E0A9BBE" w:rsidR="00FF7005" w:rsidRDefault="00FF7005" w:rsidP="00FF7005">
      <w:r>
        <w:t>One participant in the placebo group withdrew due to life</w:t>
      </w:r>
      <w:r w:rsidR="00CE4F8D">
        <w:t xml:space="preserve"> </w:t>
      </w:r>
      <w:r>
        <w:t>threatening SAE of metastatic cancer.</w:t>
      </w:r>
    </w:p>
    <w:p w14:paraId="258382CE" w14:textId="508C57A9" w:rsidR="00FF7005" w:rsidRDefault="00FF7005" w:rsidP="00FF7005">
      <w:r>
        <w:t xml:space="preserve">Overall, the safety results following at least </w:t>
      </w:r>
      <w:r w:rsidR="00CE4F8D">
        <w:t>two</w:t>
      </w:r>
      <w:r>
        <w:t xml:space="preserve"> months of follow</w:t>
      </w:r>
      <w:r w:rsidR="001165D1">
        <w:t xml:space="preserve"> </w:t>
      </w:r>
      <w:r>
        <w:t>up post</w:t>
      </w:r>
      <w:r w:rsidR="00CE4F8D">
        <w:t xml:space="preserve"> </w:t>
      </w:r>
      <w:r>
        <w:t xml:space="preserve">booster in the </w:t>
      </w:r>
      <w:r w:rsidR="00CE4F8D">
        <w:t>Comirnaty</w:t>
      </w:r>
      <w:r>
        <w:t xml:space="preserve"> and placebo booster groups showed no new safety concerns associated with booster dosing.</w:t>
      </w:r>
    </w:p>
    <w:p w14:paraId="5E632932" w14:textId="43663A47" w:rsidR="001216AB" w:rsidRDefault="001216AB" w:rsidP="001216AB">
      <w:pPr>
        <w:pStyle w:val="Heading5"/>
      </w:pPr>
      <w:bookmarkStart w:id="48" w:name="_Ref84859128"/>
      <w:bookmarkStart w:id="49" w:name="_Toc85131041"/>
      <w:r w:rsidRPr="00765D5A">
        <w:t>Post-marketing experience</w:t>
      </w:r>
      <w:bookmarkEnd w:id="48"/>
      <w:bookmarkEnd w:id="49"/>
    </w:p>
    <w:p w14:paraId="1D708B31" w14:textId="0F81D12A" w:rsidR="001216AB" w:rsidRDefault="001216AB" w:rsidP="001216AB">
      <w:r>
        <w:t>Data was extracted for the period from July 30 to October 10, 2021, from the Israel Ministry of Health database regarding 4</w:t>
      </w:r>
      <w:r w:rsidR="00FF4D1A">
        <w:t>,</w:t>
      </w:r>
      <w:r>
        <w:t>696</w:t>
      </w:r>
      <w:r w:rsidR="00FF4D1A">
        <w:t>,</w:t>
      </w:r>
      <w:r>
        <w:t xml:space="preserve">865 persons </w:t>
      </w:r>
      <w:r w:rsidR="00FF4D1A">
        <w:t xml:space="preserve">aged </w:t>
      </w:r>
      <w:r>
        <w:t xml:space="preserve">16 years or older who had received two doses of </w:t>
      </w:r>
      <w:r w:rsidR="00CE4F8D">
        <w:t>Comirnaty</w:t>
      </w:r>
      <w:r>
        <w:t xml:space="preserve"> at least </w:t>
      </w:r>
      <w:r w:rsidR="00CE4F8D">
        <w:t>five</w:t>
      </w:r>
      <w:r>
        <w:t xml:space="preserve"> months earlier.</w:t>
      </w:r>
    </w:p>
    <w:p w14:paraId="1E0DC38F" w14:textId="2301EFE3" w:rsidR="001216AB" w:rsidRPr="00C158E5" w:rsidRDefault="00EB08C6" w:rsidP="001216AB">
      <w:r>
        <w:t>Five</w:t>
      </w:r>
      <w:r w:rsidR="001216AB">
        <w:t xml:space="preserve"> age groups were analysed including a 16</w:t>
      </w:r>
      <w:r>
        <w:t xml:space="preserve"> to </w:t>
      </w:r>
      <w:r w:rsidR="001216AB">
        <w:t xml:space="preserve">29 years group. Across the age groups studied, rates of confirmed Covid-19 and severe illness were substantially lower among participants who received a booster dose of the </w:t>
      </w:r>
      <w:r>
        <w:t>Comirnaty</w:t>
      </w:r>
      <w:r w:rsidR="001216AB">
        <w:t xml:space="preserve"> vaccine than among those who did not.</w:t>
      </w:r>
      <w:r w:rsidR="00CE4F8D">
        <w:rPr>
          <w:rStyle w:val="FootnoteReference"/>
        </w:rPr>
        <w:footnoteReference w:id="16"/>
      </w:r>
    </w:p>
    <w:p w14:paraId="4F623C01" w14:textId="77777777" w:rsidR="008E7846" w:rsidRDefault="00386150" w:rsidP="007B6132">
      <w:pPr>
        <w:pStyle w:val="Heading3"/>
        <w:rPr>
          <w:lang w:eastAsia="en-AU"/>
        </w:rPr>
      </w:pPr>
      <w:bookmarkStart w:id="50" w:name="_Toc95207535"/>
      <w:r>
        <w:rPr>
          <w:lang w:eastAsia="en-AU"/>
        </w:rPr>
        <w:t>Risk m</w:t>
      </w:r>
      <w:r w:rsidR="008E7846">
        <w:rPr>
          <w:lang w:eastAsia="en-AU"/>
        </w:rPr>
        <w:t xml:space="preserve">anagement </w:t>
      </w:r>
      <w:r>
        <w:rPr>
          <w:lang w:eastAsia="en-AU"/>
        </w:rPr>
        <w:t>p</w:t>
      </w:r>
      <w:r w:rsidR="008E7846">
        <w:rPr>
          <w:lang w:eastAsia="en-AU"/>
        </w:rPr>
        <w:t>lan</w:t>
      </w:r>
      <w:bookmarkEnd w:id="43"/>
      <w:bookmarkEnd w:id="50"/>
    </w:p>
    <w:p w14:paraId="6083F82F" w14:textId="77777777" w:rsidR="008E7846" w:rsidRDefault="007D53B6" w:rsidP="007D53B6">
      <w:r>
        <w:t>There was no requirement for a risk management plan evaluation for a submission of this type.</w:t>
      </w:r>
      <w:r>
        <w:rPr>
          <w:rStyle w:val="FootnoteReference"/>
        </w:rPr>
        <w:footnoteReference w:id="17"/>
      </w:r>
    </w:p>
    <w:p w14:paraId="41D4FD23" w14:textId="77777777" w:rsidR="008E7846" w:rsidRDefault="00AA0ED0" w:rsidP="008E7846">
      <w:pPr>
        <w:pStyle w:val="Heading3"/>
      </w:pPr>
      <w:bookmarkStart w:id="51" w:name="_Toc247691531"/>
      <w:bookmarkStart w:id="52" w:name="_Toc314842515"/>
      <w:bookmarkStart w:id="53" w:name="_Toc196046505"/>
      <w:bookmarkStart w:id="54" w:name="_Toc196046949"/>
      <w:bookmarkStart w:id="55" w:name="_Toc95207536"/>
      <w:r>
        <w:t>Risk-benefit a</w:t>
      </w:r>
      <w:r w:rsidR="008E7846">
        <w:t>nalysis</w:t>
      </w:r>
      <w:bookmarkEnd w:id="51"/>
      <w:bookmarkEnd w:id="52"/>
      <w:bookmarkEnd w:id="55"/>
    </w:p>
    <w:p w14:paraId="23000E4B" w14:textId="77777777" w:rsidR="00D23139" w:rsidRDefault="007D53B6" w:rsidP="00D23139">
      <w:pPr>
        <w:pStyle w:val="Heading4"/>
      </w:pPr>
      <w:r>
        <w:t>Delegate’s considerations</w:t>
      </w:r>
    </w:p>
    <w:p w14:paraId="1D5F6E80" w14:textId="05052F7A" w:rsidR="001216AB" w:rsidRPr="001216AB" w:rsidRDefault="001216AB">
      <w:r w:rsidRPr="001216AB">
        <w:t xml:space="preserve">The </w:t>
      </w:r>
      <w:r w:rsidR="00CE4F8D">
        <w:t>s</w:t>
      </w:r>
      <w:r w:rsidRPr="001216AB">
        <w:t xml:space="preserve">ponsor has submitted immunogenicity and safety data of a third dose of </w:t>
      </w:r>
      <w:r w:rsidR="00CE4F8D">
        <w:t xml:space="preserve">Comirnaty </w:t>
      </w:r>
      <w:r w:rsidRPr="001216AB">
        <w:t>(30</w:t>
      </w:r>
      <w:r w:rsidR="00114FD1">
        <w:t> </w:t>
      </w:r>
      <w:r w:rsidR="00CE4F8D">
        <w:t>µ</w:t>
      </w:r>
      <w:r w:rsidRPr="001216AB">
        <w:t>g) given to a subset of US</w:t>
      </w:r>
      <w:r w:rsidR="00CE4F8D">
        <w:t>A</w:t>
      </w:r>
      <w:r w:rsidRPr="001216AB">
        <w:t xml:space="preserve"> participants in Phase </w:t>
      </w:r>
      <w:r w:rsidR="00CE4F8D">
        <w:t>III</w:t>
      </w:r>
      <w:r w:rsidRPr="001216AB">
        <w:t xml:space="preserve"> Study C4591001 who previously received two doses of </w:t>
      </w:r>
      <w:r w:rsidR="00CE4F8D">
        <w:t>Comi</w:t>
      </w:r>
      <w:r w:rsidR="0070618D">
        <w:t>rnaty</w:t>
      </w:r>
      <w:r w:rsidRPr="001216AB">
        <w:t xml:space="preserve"> (30</w:t>
      </w:r>
      <w:r w:rsidR="00114FD1">
        <w:t> </w:t>
      </w:r>
      <w:r w:rsidR="0070618D">
        <w:t>µ</w:t>
      </w:r>
      <w:r w:rsidRPr="001216AB">
        <w:t>g). This group is comprised of 306 adults 18 to 55</w:t>
      </w:r>
      <w:r w:rsidR="00FF4D1A">
        <w:t> </w:t>
      </w:r>
      <w:r w:rsidRPr="001216AB">
        <w:t xml:space="preserve">years of age who received a third dose of </w:t>
      </w:r>
      <w:proofErr w:type="spellStart"/>
      <w:r w:rsidR="0070618D">
        <w:t>Comirnaty</w:t>
      </w:r>
      <w:proofErr w:type="spellEnd"/>
      <w:r w:rsidRPr="001216AB">
        <w:t xml:space="preserve"> (30</w:t>
      </w:r>
      <w:r w:rsidR="00114FD1">
        <w:t> </w:t>
      </w:r>
      <w:proofErr w:type="spellStart"/>
      <w:r w:rsidRPr="001216AB">
        <w:t>μg</w:t>
      </w:r>
      <w:proofErr w:type="spellEnd"/>
      <w:r w:rsidRPr="001216AB">
        <w:t xml:space="preserve">) approximately </w:t>
      </w:r>
      <w:r w:rsidR="00FF4D1A">
        <w:t>6</w:t>
      </w:r>
      <w:r w:rsidR="001C375A">
        <w:t> </w:t>
      </w:r>
      <w:r w:rsidRPr="001216AB">
        <w:t>(</w:t>
      </w:r>
      <w:r w:rsidR="00FF4D1A">
        <w:t>range: </w:t>
      </w:r>
      <w:r w:rsidRPr="001216AB">
        <w:t xml:space="preserve">4.8 to 8) months after receipt of </w:t>
      </w:r>
      <w:r w:rsidR="0070618D">
        <w:t>second d</w:t>
      </w:r>
      <w:r w:rsidRPr="001216AB">
        <w:t xml:space="preserve">ose, with safety and immune response evaluations at </w:t>
      </w:r>
      <w:r w:rsidR="0070618D">
        <w:t>one</w:t>
      </w:r>
      <w:r w:rsidRPr="001216AB">
        <w:t xml:space="preserve"> month after </w:t>
      </w:r>
      <w:r w:rsidR="0070618D">
        <w:t>third d</w:t>
      </w:r>
      <w:r w:rsidRPr="001216AB">
        <w:t>ose.</w:t>
      </w:r>
    </w:p>
    <w:p w14:paraId="711EE5AF" w14:textId="32FB086E" w:rsidR="001216AB" w:rsidRPr="001216AB" w:rsidRDefault="001216AB" w:rsidP="001216AB">
      <w:r w:rsidRPr="001216AB">
        <w:t xml:space="preserve">There were no data on individuals aged &lt; 18 years in the initial submission. The </w:t>
      </w:r>
      <w:r w:rsidR="001C375A">
        <w:t>sponsor’s</w:t>
      </w:r>
      <w:r w:rsidR="001C375A" w:rsidRPr="001216AB">
        <w:t xml:space="preserve"> </w:t>
      </w:r>
      <w:r w:rsidRPr="001216AB">
        <w:t xml:space="preserve">report </w:t>
      </w:r>
      <w:proofErr w:type="gramStart"/>
      <w:r w:rsidRPr="001216AB">
        <w:t>states</w:t>
      </w:r>
      <w:proofErr w:type="gramEnd"/>
      <w:r w:rsidRPr="001216AB">
        <w:t xml:space="preserve"> </w:t>
      </w:r>
      <w:r w:rsidR="0070618D">
        <w:t>‘</w:t>
      </w:r>
      <w:r w:rsidRPr="0070618D">
        <w:rPr>
          <w:i/>
          <w:iCs/>
        </w:rPr>
        <w:t>the use of a booster dose in individuals 16 and 17 years of age is based on extrapolation of the safety and effectiveness demonstrated at least 18 to 55 years of age.</w:t>
      </w:r>
      <w:r w:rsidR="0070618D">
        <w:t>’</w:t>
      </w:r>
    </w:p>
    <w:p w14:paraId="495E6BD3" w14:textId="79DAC920" w:rsidR="001216AB" w:rsidRPr="001216AB" w:rsidRDefault="001216AB" w:rsidP="001216AB">
      <w:r w:rsidRPr="001216AB">
        <w:t xml:space="preserve">The </w:t>
      </w:r>
      <w:bookmarkStart w:id="56" w:name="_Hlk93065216"/>
      <w:r w:rsidRPr="001216AB">
        <w:t xml:space="preserve">Delegate </w:t>
      </w:r>
      <w:r w:rsidR="0070618D">
        <w:t xml:space="preserve">and clinical evaluator </w:t>
      </w:r>
      <w:bookmarkEnd w:id="56"/>
      <w:r w:rsidRPr="001216AB">
        <w:t xml:space="preserve">noted immune responses at </w:t>
      </w:r>
      <w:r w:rsidR="0070618D">
        <w:t>one</w:t>
      </w:r>
      <w:r w:rsidRPr="001216AB">
        <w:t xml:space="preserve"> month after </w:t>
      </w:r>
      <w:r w:rsidR="0070618D">
        <w:t>third d</w:t>
      </w:r>
      <w:r w:rsidRPr="001216AB">
        <w:t xml:space="preserve">ose were compared to immune responses </w:t>
      </w:r>
      <w:r w:rsidR="0070618D">
        <w:t>one</w:t>
      </w:r>
      <w:r w:rsidRPr="001216AB">
        <w:t xml:space="preserve"> month after </w:t>
      </w:r>
      <w:r w:rsidR="0070618D">
        <w:t>second d</w:t>
      </w:r>
      <w:r w:rsidRPr="001216AB">
        <w:t xml:space="preserve">ose. The </w:t>
      </w:r>
      <w:r w:rsidR="0070618D" w:rsidRPr="001216AB">
        <w:t xml:space="preserve">Delegate </w:t>
      </w:r>
      <w:r w:rsidR="0070618D">
        <w:t xml:space="preserve">and clinical evaluator </w:t>
      </w:r>
      <w:r w:rsidRPr="001216AB">
        <w:t xml:space="preserve">considered the interim data initially submitted has shown that a third dose of Comirnaty given </w:t>
      </w:r>
      <w:r w:rsidR="0070618D">
        <w:t>six</w:t>
      </w:r>
      <w:r w:rsidRPr="001216AB">
        <w:t xml:space="preserve"> months after the primary vaccination series restored waning neutralising</w:t>
      </w:r>
      <w:r w:rsidR="001C375A">
        <w:t xml:space="preserve"> antibody</w:t>
      </w:r>
      <w:r w:rsidRPr="001216AB">
        <w:t xml:space="preserve"> titres against wild type SARS-CoV-2 to significantly higher levels than seen following the primary vaccination course. The benefit risk profile of a third dose of Comirnaty in individuals aged 18 years and older appears positive, provided its implementation is guided by vaccine effectiveness data and considering limited safety data.</w:t>
      </w:r>
    </w:p>
    <w:p w14:paraId="465B643B" w14:textId="03EEA51D" w:rsidR="001216AB" w:rsidRPr="001216AB" w:rsidRDefault="001216AB" w:rsidP="001216AB">
      <w:r w:rsidRPr="001216AB">
        <w:lastRenderedPageBreak/>
        <w:t xml:space="preserve">An interim CSR </w:t>
      </w:r>
      <w:r w:rsidR="0070618D">
        <w:t>v</w:t>
      </w:r>
      <w:r w:rsidRPr="001216AB">
        <w:t>ersion 1 (</w:t>
      </w:r>
      <w:r w:rsidR="0070618D">
        <w:t xml:space="preserve">dated </w:t>
      </w:r>
      <w:r w:rsidRPr="001216AB">
        <w:t>18 November 2021) has recently become available for Study C459103</w:t>
      </w:r>
      <w:r w:rsidR="0070618D">
        <w:t xml:space="preserve">. </w:t>
      </w:r>
      <w:r w:rsidRPr="001216AB">
        <w:t xml:space="preserve">This report concludes relative efficacy in the boosted group showed that </w:t>
      </w:r>
      <w:proofErr w:type="spellStart"/>
      <w:r w:rsidR="0070618D">
        <w:t>Comirnaty</w:t>
      </w:r>
      <w:proofErr w:type="spellEnd"/>
      <w:r w:rsidRPr="001216AB">
        <w:t xml:space="preserve"> at 30 </w:t>
      </w:r>
      <w:proofErr w:type="spellStart"/>
      <w:r w:rsidRPr="001216AB">
        <w:t>μg</w:t>
      </w:r>
      <w:proofErr w:type="spellEnd"/>
      <w:r w:rsidRPr="001216AB">
        <w:t xml:space="preserve"> given ≥</w:t>
      </w:r>
      <w:r w:rsidR="0070618D">
        <w:t> </w:t>
      </w:r>
      <w:r w:rsidRPr="001216AB">
        <w:t xml:space="preserve">6 months after the primary </w:t>
      </w:r>
      <w:r w:rsidR="0070618D">
        <w:t xml:space="preserve">two </w:t>
      </w:r>
      <w:r w:rsidRPr="001216AB">
        <w:t>dose series provided strong protection against COVID-19 in participants 16 years of age and older. This was shown in participants irrespective of evidence of prior infection with SARS-CoV-2 and across various demographic subgroups.</w:t>
      </w:r>
    </w:p>
    <w:p w14:paraId="7AE89637" w14:textId="3FBC2D03" w:rsidR="001216AB" w:rsidRPr="001216AB" w:rsidRDefault="001216AB" w:rsidP="001216AB">
      <w:r w:rsidRPr="001216AB">
        <w:t>All ages analy</w:t>
      </w:r>
      <w:r w:rsidR="0070618D">
        <w:t>s</w:t>
      </w:r>
      <w:r w:rsidRPr="001216AB">
        <w:t>ed showed similarly high observed RVE; all were estimated to be &gt;</w:t>
      </w:r>
      <w:r w:rsidR="0070618D">
        <w:t> </w:t>
      </w:r>
      <w:r w:rsidRPr="001216AB">
        <w:t xml:space="preserve">90%. In the evaluable efficacy population without evidence of SARS-CoV-2 infection prior to </w:t>
      </w:r>
      <w:r w:rsidR="0070618D">
        <w:t>seven</w:t>
      </w:r>
      <w:r w:rsidRPr="001216AB">
        <w:t xml:space="preserve"> days post</w:t>
      </w:r>
      <w:r w:rsidR="0070618D">
        <w:t xml:space="preserve"> </w:t>
      </w:r>
      <w:r w:rsidRPr="001216AB">
        <w:t xml:space="preserve">booster for the 16 </w:t>
      </w:r>
      <w:r w:rsidR="0070618D">
        <w:t xml:space="preserve">to </w:t>
      </w:r>
      <w:r w:rsidRPr="001216AB">
        <w:t xml:space="preserve">17 years of age subgroup, </w:t>
      </w:r>
      <w:r w:rsidR="0070618D">
        <w:t>zero</w:t>
      </w:r>
      <w:r w:rsidRPr="001216AB">
        <w:t xml:space="preserve"> cases were reported in the </w:t>
      </w:r>
      <w:r w:rsidR="0070618D">
        <w:t>Comirnaty</w:t>
      </w:r>
      <w:r w:rsidRPr="001216AB">
        <w:t xml:space="preserve"> group (n</w:t>
      </w:r>
      <w:r w:rsidR="0070618D">
        <w:t xml:space="preserve"> </w:t>
      </w:r>
      <w:r w:rsidRPr="001216AB">
        <w:t>=</w:t>
      </w:r>
      <w:r w:rsidR="0070618D">
        <w:t xml:space="preserve"> </w:t>
      </w:r>
      <w:r w:rsidRPr="001216AB">
        <w:t xml:space="preserve">41) and </w:t>
      </w:r>
      <w:r w:rsidR="0070618D">
        <w:t>two</w:t>
      </w:r>
      <w:r w:rsidRPr="001216AB">
        <w:t xml:space="preserve"> cases in the placebo group (n</w:t>
      </w:r>
      <w:r w:rsidR="0070618D">
        <w:t xml:space="preserve"> </w:t>
      </w:r>
      <w:r w:rsidRPr="001216AB">
        <w:t>=</w:t>
      </w:r>
      <w:r w:rsidR="0070618D">
        <w:t xml:space="preserve"> </w:t>
      </w:r>
      <w:r w:rsidRPr="001216AB">
        <w:t>37) for RVE 100% but with wide 95% CI (-348.6, 100).</w:t>
      </w:r>
      <w:r w:rsidR="0070618D">
        <w:t xml:space="preserve"> </w:t>
      </w:r>
      <w:r w:rsidRPr="001216AB">
        <w:t>Severe cases were rare and only observed in the placebo group.</w:t>
      </w:r>
    </w:p>
    <w:p w14:paraId="47D7A388" w14:textId="7EA6790A" w:rsidR="001216AB" w:rsidRPr="001216AB" w:rsidRDefault="001216AB" w:rsidP="001216AB">
      <w:r w:rsidRPr="001216AB">
        <w:t xml:space="preserve">The tolerability and safety profile of </w:t>
      </w:r>
      <w:proofErr w:type="spellStart"/>
      <w:r w:rsidR="0070618D">
        <w:t>Comirnaty</w:t>
      </w:r>
      <w:proofErr w:type="spellEnd"/>
      <w:r w:rsidRPr="001216AB">
        <w:t xml:space="preserve"> 30 </w:t>
      </w:r>
      <w:proofErr w:type="spellStart"/>
      <w:r w:rsidRPr="001216AB">
        <w:t>μg</w:t>
      </w:r>
      <w:proofErr w:type="spellEnd"/>
      <w:r w:rsidRPr="001216AB">
        <w:t xml:space="preserve"> in participants ≥</w:t>
      </w:r>
      <w:r w:rsidR="0070618D">
        <w:t> </w:t>
      </w:r>
      <w:r w:rsidRPr="001216AB">
        <w:t xml:space="preserve">16 years of age at up to </w:t>
      </w:r>
      <w:r w:rsidR="0070618D">
        <w:t>two</w:t>
      </w:r>
      <w:r w:rsidRPr="001216AB">
        <w:t xml:space="preserve"> months after booster vaccination (to the data </w:t>
      </w:r>
      <w:proofErr w:type="spellStart"/>
      <w:r w:rsidRPr="001216AB">
        <w:t>cutoff</w:t>
      </w:r>
      <w:proofErr w:type="spellEnd"/>
      <w:r w:rsidRPr="001216AB">
        <w:t xml:space="preserve"> date) was acceptable and consistent with results previously reported.</w:t>
      </w:r>
    </w:p>
    <w:p w14:paraId="7BAFECC7" w14:textId="1B6FB214" w:rsidR="00D23139" w:rsidRDefault="00D23139" w:rsidP="001216AB">
      <w:pPr>
        <w:pStyle w:val="Heading4"/>
      </w:pPr>
      <w:r w:rsidRPr="00D23139">
        <w:t>Proposed action</w:t>
      </w:r>
    </w:p>
    <w:p w14:paraId="4DA6122B" w14:textId="77777777" w:rsidR="001C375A" w:rsidRDefault="001216AB" w:rsidP="001216AB">
      <w:r w:rsidRPr="004D1752">
        <w:t>The Delegate</w:t>
      </w:r>
      <w:r>
        <w:t xml:space="preserve"> considers the additional data available from the interim BioNTech/Pfizer CSR for </w:t>
      </w:r>
      <w:r w:rsidRPr="004D1752">
        <w:t xml:space="preserve">Study </w:t>
      </w:r>
      <w:bookmarkStart w:id="57" w:name="_Hlk92280905"/>
      <w:r w:rsidRPr="004D1752">
        <w:t>C459103</w:t>
      </w:r>
      <w:r>
        <w:t xml:space="preserve"> </w:t>
      </w:r>
      <w:bookmarkEnd w:id="57"/>
      <w:r>
        <w:t xml:space="preserve">provides adequate support </w:t>
      </w:r>
      <w:r w:rsidRPr="004D1752">
        <w:t xml:space="preserve">a </w:t>
      </w:r>
      <w:r w:rsidRPr="00DC5A58">
        <w:t xml:space="preserve">Dose and method of administration </w:t>
      </w:r>
      <w:r w:rsidRPr="004D1752">
        <w:t>statement</w:t>
      </w:r>
      <w:r w:rsidR="001C375A">
        <w:t>:</w:t>
      </w:r>
    </w:p>
    <w:p w14:paraId="6E713E2C" w14:textId="637F24C6" w:rsidR="001216AB" w:rsidRPr="004D1752" w:rsidRDefault="0070618D" w:rsidP="00DD70F0">
      <w:pPr>
        <w:ind w:left="720"/>
        <w:rPr>
          <w:i/>
        </w:rPr>
      </w:pPr>
      <w:r>
        <w:t>‘</w:t>
      </w:r>
      <w:r w:rsidR="001216AB" w:rsidRPr="0070618D">
        <w:rPr>
          <w:i/>
          <w:iCs/>
        </w:rPr>
        <w:t xml:space="preserve">A booster dose (third dose) of </w:t>
      </w:r>
      <w:r w:rsidR="003C6E44" w:rsidRPr="0070618D">
        <w:rPr>
          <w:i/>
          <w:iCs/>
        </w:rPr>
        <w:t>Comirnaty</w:t>
      </w:r>
      <w:r w:rsidR="001216AB" w:rsidRPr="0070618D">
        <w:rPr>
          <w:i/>
          <w:iCs/>
        </w:rPr>
        <w:t xml:space="preserve"> may be administered intramuscularly approximately 6 months after the second dose in individuals 16 years of age and older</w:t>
      </w:r>
      <w:r>
        <w:t>’</w:t>
      </w:r>
      <w:r w:rsidR="001216AB">
        <w:t>.</w:t>
      </w:r>
    </w:p>
    <w:p w14:paraId="7F1E682C"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8"/>
      </w:r>
    </w:p>
    <w:p w14:paraId="4C8F5685" w14:textId="0957185C" w:rsidR="00744121" w:rsidRDefault="00744121" w:rsidP="00744121">
      <w:pPr>
        <w:rPr>
          <w:bCs/>
        </w:rPr>
      </w:pPr>
      <w:bookmarkStart w:id="58" w:name="_Toc247691532"/>
      <w:bookmarkStart w:id="59" w:name="_Toc314842516"/>
      <w:bookmarkEnd w:id="33"/>
      <w:bookmarkEnd w:id="53"/>
      <w:bookmarkEnd w:id="54"/>
      <w:r w:rsidRPr="00456765">
        <w:rPr>
          <w:bCs/>
        </w:rPr>
        <w:t xml:space="preserve">The Advisory Committee on </w:t>
      </w:r>
      <w:r w:rsidR="001216AB">
        <w:rPr>
          <w:bCs/>
        </w:rPr>
        <w:t>Vaccines</w:t>
      </w:r>
      <w:r w:rsidRPr="00456765">
        <w:rPr>
          <w:bCs/>
        </w:rPr>
        <w:t xml:space="preserve"> (AC</w:t>
      </w:r>
      <w:r w:rsidR="001216AB">
        <w:rPr>
          <w:bCs/>
        </w:rPr>
        <w:t>V</w:t>
      </w:r>
      <w:r w:rsidRPr="00456765">
        <w:rPr>
          <w:bCs/>
        </w:rPr>
        <w:t>), having considered the evaluations and the Delegate’s overview, as well as the sponsor’s response to these documents, advised the following</w:t>
      </w:r>
      <w:r>
        <w:rPr>
          <w:bCs/>
        </w:rPr>
        <w:t>.</w:t>
      </w:r>
    </w:p>
    <w:p w14:paraId="31F713F2" w14:textId="77777777" w:rsidR="00744121" w:rsidRDefault="00744121" w:rsidP="00744121">
      <w:pPr>
        <w:pStyle w:val="Heading5"/>
      </w:pPr>
      <w:r>
        <w:t>Specific advice to the Delegate</w:t>
      </w:r>
    </w:p>
    <w:p w14:paraId="2F5267FD" w14:textId="77777777" w:rsidR="00DD70F0" w:rsidRDefault="00DD70F0" w:rsidP="00DD70F0">
      <w:pPr>
        <w:pStyle w:val="Numberbullet0"/>
        <w:numPr>
          <w:ilvl w:val="0"/>
          <w:numId w:val="8"/>
        </w:numPr>
        <w:rPr>
          <w:b/>
          <w:bCs/>
          <w:i/>
          <w:iCs/>
        </w:rPr>
      </w:pPr>
      <w:r w:rsidRPr="001216AB">
        <w:rPr>
          <w:b/>
          <w:bCs/>
          <w:i/>
          <w:iCs/>
        </w:rPr>
        <w:t xml:space="preserve">Does ACV agree that </w:t>
      </w:r>
      <w:r>
        <w:rPr>
          <w:b/>
          <w:bCs/>
          <w:i/>
          <w:iCs/>
        </w:rPr>
        <w:t>a</w:t>
      </w:r>
      <w:r w:rsidRPr="001216AB">
        <w:rPr>
          <w:b/>
          <w:bCs/>
          <w:i/>
          <w:iCs/>
        </w:rPr>
        <w:t xml:space="preserve"> booster dose (third dose) of </w:t>
      </w:r>
      <w:r>
        <w:rPr>
          <w:b/>
          <w:bCs/>
          <w:i/>
          <w:iCs/>
        </w:rPr>
        <w:t>Comirnaty</w:t>
      </w:r>
      <w:r w:rsidRPr="001216AB">
        <w:rPr>
          <w:b/>
          <w:bCs/>
          <w:i/>
          <w:iCs/>
        </w:rPr>
        <w:t xml:space="preserve"> may be administered in individuals 16 years of age and older?</w:t>
      </w:r>
    </w:p>
    <w:p w14:paraId="076C3259" w14:textId="77777777" w:rsidR="00DD70F0" w:rsidRDefault="00DD70F0" w:rsidP="00DD70F0">
      <w:r>
        <w:t>The ACV advised that there is sufficient evidence to support changes to the Product Information to include a booster dose (third dose) of Comirnaty for individuals 16 years of age and older given</w:t>
      </w:r>
      <w:r w:rsidRPr="31DBF0B1">
        <w:t xml:space="preserve"> ≥</w:t>
      </w:r>
      <w:r>
        <w:t> </w:t>
      </w:r>
      <w:r w:rsidRPr="31DBF0B1">
        <w:t>6 months after the primary 2-dose series</w:t>
      </w:r>
      <w:r>
        <w:t>. P</w:t>
      </w:r>
      <w:r w:rsidRPr="31DBF0B1">
        <w:t>rotection against COVID</w:t>
      </w:r>
      <w:r>
        <w:noBreakHyphen/>
      </w:r>
      <w:r w:rsidRPr="31DBF0B1">
        <w:t>19 in participants ≥</w:t>
      </w:r>
      <w:r>
        <w:t> </w:t>
      </w:r>
      <w:r w:rsidRPr="31DBF0B1">
        <w:t xml:space="preserve">16 years was shown irrespective of evidence of prior infection with SARS-CoV-2 and across various demographic subgroups. </w:t>
      </w:r>
    </w:p>
    <w:p w14:paraId="5CD44736" w14:textId="77777777" w:rsidR="00DD70F0" w:rsidRDefault="00DD70F0" w:rsidP="00DD70F0">
      <w:r>
        <w:lastRenderedPageBreak/>
        <w:t>The ACV were reassured that there were no significant differences between the 16 to 17 years age group and the 18+ years age group in the immunogenicity, reactogenicity or effectiveness of Comirnaty.</w:t>
      </w:r>
    </w:p>
    <w:p w14:paraId="56BCDC60" w14:textId="77777777" w:rsidR="00DD70F0" w:rsidRDefault="00DD70F0" w:rsidP="00DD70F0">
      <w:r w:rsidRPr="31DBF0B1">
        <w:t>The ACV was of the view that the safety data, although with limited numbers, showed the C</w:t>
      </w:r>
      <w:r>
        <w:t>omirnaty</w:t>
      </w:r>
      <w:r w:rsidRPr="31DBF0B1">
        <w:t xml:space="preserve"> booster </w:t>
      </w:r>
      <w:r>
        <w:t xml:space="preserve">was </w:t>
      </w:r>
      <w:r w:rsidRPr="31DBF0B1">
        <w:t xml:space="preserve">well tolerated, with similar frequencies and intensities of reactogenicity </w:t>
      </w:r>
      <w:r>
        <w:t>as experienced after</w:t>
      </w:r>
      <w:r w:rsidRPr="31DBF0B1">
        <w:t xml:space="preserve"> the second dose of the primary series.</w:t>
      </w:r>
    </w:p>
    <w:p w14:paraId="265F2F16" w14:textId="77777777" w:rsidR="00DD70F0" w:rsidRPr="001216AB" w:rsidRDefault="00DD70F0" w:rsidP="00DD70F0">
      <w:r>
        <w:t>The ACV noted that immunogenicity associated with a third dose against the Omicron (B.1.1.529) variant of interest was not available.</w:t>
      </w:r>
    </w:p>
    <w:p w14:paraId="2C9E1B29" w14:textId="77777777" w:rsidR="00DD70F0" w:rsidRDefault="00DD70F0" w:rsidP="00DD70F0">
      <w:pPr>
        <w:pStyle w:val="Numberbullet0"/>
        <w:numPr>
          <w:ilvl w:val="0"/>
          <w:numId w:val="8"/>
        </w:numPr>
        <w:rPr>
          <w:b/>
          <w:bCs/>
          <w:i/>
          <w:iCs/>
        </w:rPr>
      </w:pPr>
      <w:r w:rsidRPr="001216AB">
        <w:rPr>
          <w:b/>
          <w:bCs/>
          <w:i/>
          <w:iCs/>
        </w:rPr>
        <w:t xml:space="preserve">Does ACV consider the time of the booster dose might be shortened to 5 months </w:t>
      </w:r>
      <w:proofErr w:type="gramStart"/>
      <w:r w:rsidRPr="001216AB">
        <w:rPr>
          <w:b/>
          <w:bCs/>
          <w:i/>
          <w:iCs/>
        </w:rPr>
        <w:t>in light of</w:t>
      </w:r>
      <w:proofErr w:type="gramEnd"/>
      <w:r w:rsidRPr="001216AB">
        <w:rPr>
          <w:b/>
          <w:bCs/>
          <w:i/>
          <w:iCs/>
        </w:rPr>
        <w:t xml:space="preserve"> the recent NEJM publication?</w:t>
      </w:r>
    </w:p>
    <w:p w14:paraId="4884C843" w14:textId="77777777" w:rsidR="00DD70F0" w:rsidRDefault="00DD70F0" w:rsidP="00DD70F0">
      <w:r>
        <w:t>The ACV considered that the time interval from primary series to booster dose could be shortened to 5 months when warranted. However, the safety and efficacy of a time interval shorter than 5 months is not clear.</w:t>
      </w:r>
    </w:p>
    <w:p w14:paraId="2903A069" w14:textId="77777777" w:rsidR="00DD70F0" w:rsidRPr="001216AB" w:rsidRDefault="00DD70F0" w:rsidP="00DD70F0">
      <w:r>
        <w:t>The ACV discussed the potential risk of myocarditis, particularly within the 16 to 17 years old age group, who appear to be at the highest risk of myocarditis. The ACV was reassured by early data indicating that the rate of myocarditis appears lower after booster (third dose) compared to after the second dose. There continues to be a need to communicate the risk of myocarditis to vaccine recipients.</w:t>
      </w:r>
    </w:p>
    <w:p w14:paraId="0B2DAF78" w14:textId="77777777" w:rsidR="00DD70F0" w:rsidRDefault="00DD70F0" w:rsidP="00DD70F0">
      <w:pPr>
        <w:pStyle w:val="Numberbullet0"/>
        <w:numPr>
          <w:ilvl w:val="0"/>
          <w:numId w:val="8"/>
        </w:numPr>
        <w:rPr>
          <w:b/>
          <w:bCs/>
          <w:i/>
          <w:iCs/>
        </w:rPr>
      </w:pPr>
      <w:r w:rsidRPr="001216AB">
        <w:rPr>
          <w:b/>
          <w:bCs/>
          <w:i/>
          <w:iCs/>
        </w:rPr>
        <w:t>The Committee is also requested to provide advice on any other issues that it thinks may be relevant to this supplementary decision.</w:t>
      </w:r>
    </w:p>
    <w:p w14:paraId="72B14178" w14:textId="77777777" w:rsidR="00DD70F0" w:rsidRPr="006517D3" w:rsidRDefault="00DD70F0" w:rsidP="00DD70F0">
      <w:r>
        <w:t xml:space="preserve">The ACV noted that there is likely to be a minimum safe window between the second dose and the booster dose, but this is </w:t>
      </w:r>
      <w:proofErr w:type="gramStart"/>
      <w:r>
        <w:t>as yet</w:t>
      </w:r>
      <w:proofErr w:type="gramEnd"/>
      <w:r>
        <w:t xml:space="preserve"> undefined. The PI should include a statement such as:</w:t>
      </w:r>
    </w:p>
    <w:p w14:paraId="15297F40" w14:textId="77777777" w:rsidR="00DD70F0" w:rsidRDefault="00DD70F0" w:rsidP="00DD70F0">
      <w:pPr>
        <w:ind w:left="720"/>
      </w:pPr>
      <w:r w:rsidRPr="31DBF0B1">
        <w:t>‘Data support an interval of 5 months. Safety for shorter intervals has not been established.’</w:t>
      </w:r>
    </w:p>
    <w:p w14:paraId="74036807" w14:textId="77777777" w:rsidR="00DD70F0" w:rsidRDefault="00DD70F0" w:rsidP="00DD70F0">
      <w:r>
        <w:t>The ACV noted Buchan et al,</w:t>
      </w:r>
      <w:r>
        <w:rPr>
          <w:rStyle w:val="FootnoteReference"/>
        </w:rPr>
        <w:footnoteReference w:id="19"/>
      </w:r>
      <w:r>
        <w:t xml:space="preserve"> in a preprint paper, suggests that the reporting rates of myocarditis/pericarditis were higher when the interval between first and second doses was shorter (that is ≤ 30 days). This supported the view that the interval between </w:t>
      </w:r>
      <w:r w:rsidRPr="31DBF0B1">
        <w:t>dose</w:t>
      </w:r>
      <w:r>
        <w:t>s</w:t>
      </w:r>
      <w:r w:rsidRPr="31DBF0B1">
        <w:t xml:space="preserve"> is an important </w:t>
      </w:r>
      <w:r>
        <w:t xml:space="preserve">safety </w:t>
      </w:r>
      <w:r w:rsidRPr="31DBF0B1">
        <w:t>consideration</w:t>
      </w:r>
      <w:r>
        <w:t>.</w:t>
      </w:r>
    </w:p>
    <w:p w14:paraId="41BAD412" w14:textId="77777777" w:rsidR="00DD70F0" w:rsidRDefault="00DD70F0" w:rsidP="00DD70F0">
      <w:r w:rsidRPr="31DBF0B1">
        <w:t xml:space="preserve">The ACV advised that wording in the PI should </w:t>
      </w:r>
      <w:r>
        <w:t xml:space="preserve">clearly differentiate third dose as a booster dose from the </w:t>
      </w:r>
      <w:r w:rsidRPr="31DBF0B1">
        <w:t xml:space="preserve">three dose primary series </w:t>
      </w:r>
      <w:r>
        <w:t xml:space="preserve">for persons 12 years and over who are </w:t>
      </w:r>
      <w:r w:rsidRPr="31DBF0B1">
        <w:t>immunocompromised.</w:t>
      </w:r>
    </w:p>
    <w:p w14:paraId="37669660" w14:textId="77777777" w:rsidR="00DD70F0" w:rsidRDefault="00DD70F0" w:rsidP="00DD70F0">
      <w:r w:rsidRPr="3836BDC9">
        <w:t>The ACV supported alignment of terminology used within dosage directions (</w:t>
      </w:r>
      <w:proofErr w:type="gramStart"/>
      <w:r w:rsidRPr="3836BDC9">
        <w:t>e.g.</w:t>
      </w:r>
      <w:proofErr w:type="gramEnd"/>
      <w:r w:rsidRPr="3836BDC9">
        <w:t xml:space="preserve"> the use of ‘booster dose’ or ‘third dose’) across all COVID-19 vaccines.</w:t>
      </w:r>
    </w:p>
    <w:p w14:paraId="21539D4A" w14:textId="456F3AE1" w:rsidR="00DD70F0" w:rsidRPr="001216AB" w:rsidRDefault="00DD70F0" w:rsidP="00DD70F0">
      <w:r w:rsidRPr="00D17097">
        <w:t xml:space="preserve">The use and timing of </w:t>
      </w:r>
      <w:r>
        <w:t>Comirnaty</w:t>
      </w:r>
      <w:r w:rsidRPr="00D17097">
        <w:t xml:space="preserve"> booster in 16</w:t>
      </w:r>
      <w:r>
        <w:t xml:space="preserve"> to</w:t>
      </w:r>
      <w:r w:rsidRPr="00D17097">
        <w:t>17 year</w:t>
      </w:r>
      <w:r>
        <w:t>s</w:t>
      </w:r>
      <w:r w:rsidRPr="00D17097">
        <w:t xml:space="preserve"> old should be in accordance with official recommendations.</w:t>
      </w:r>
    </w:p>
    <w:p w14:paraId="1FC5E5CB" w14:textId="77777777" w:rsidR="00DD70F0" w:rsidRDefault="00DD70F0" w:rsidP="00DD70F0">
      <w:pPr>
        <w:pStyle w:val="Heading5"/>
      </w:pPr>
      <w:r>
        <w:t>Conclusion</w:t>
      </w:r>
    </w:p>
    <w:p w14:paraId="060D6249" w14:textId="77777777" w:rsidR="00DD70F0" w:rsidRDefault="00DD70F0" w:rsidP="00DD70F0">
      <w:r w:rsidRPr="007648E1">
        <w:t>The ACV recommended the approval of changes to the Product Information of Comirnaty to include a booster (third) dose for persons 1</w:t>
      </w:r>
      <w:r>
        <w:t>6</w:t>
      </w:r>
      <w:r w:rsidRPr="007648E1">
        <w:t xml:space="preserve"> years and older.</w:t>
      </w:r>
    </w:p>
    <w:p w14:paraId="4A802D36" w14:textId="77777777" w:rsidR="00DD70F0" w:rsidRPr="00F21D54" w:rsidRDefault="00DD70F0" w:rsidP="00DD70F0">
      <w:pPr>
        <w:autoSpaceDE w:val="0"/>
        <w:autoSpaceDN w:val="0"/>
        <w:adjustRightInd w:val="0"/>
        <w:spacing w:after="0"/>
        <w:rPr>
          <w:bCs/>
        </w:rPr>
      </w:pPr>
      <w:r w:rsidRPr="00D17097">
        <w:rPr>
          <w:bCs/>
        </w:rPr>
        <w:t xml:space="preserve">The use and timing of </w:t>
      </w:r>
      <w:r>
        <w:rPr>
          <w:bCs/>
        </w:rPr>
        <w:t>Comirnaty</w:t>
      </w:r>
      <w:r w:rsidRPr="00D17097">
        <w:rPr>
          <w:bCs/>
        </w:rPr>
        <w:t xml:space="preserve"> booster in 16</w:t>
      </w:r>
      <w:r>
        <w:rPr>
          <w:bCs/>
        </w:rPr>
        <w:t xml:space="preserve"> to </w:t>
      </w:r>
      <w:r w:rsidRPr="00D17097">
        <w:rPr>
          <w:bCs/>
        </w:rPr>
        <w:t>17 year</w:t>
      </w:r>
      <w:r>
        <w:rPr>
          <w:bCs/>
        </w:rPr>
        <w:t>s</w:t>
      </w:r>
      <w:r w:rsidRPr="00D17097">
        <w:rPr>
          <w:bCs/>
        </w:rPr>
        <w:t xml:space="preserve"> old should be in accordance with official recommendations.</w:t>
      </w:r>
    </w:p>
    <w:p w14:paraId="23FF27E9" w14:textId="77777777" w:rsidR="008E7846" w:rsidRPr="002E238E" w:rsidRDefault="008E7846" w:rsidP="008E7846">
      <w:pPr>
        <w:pStyle w:val="Heading3"/>
      </w:pPr>
      <w:bookmarkStart w:id="60" w:name="_Toc95207537"/>
      <w:r>
        <w:lastRenderedPageBreak/>
        <w:t>Outcome</w:t>
      </w:r>
      <w:bookmarkEnd w:id="58"/>
      <w:bookmarkEnd w:id="59"/>
      <w:bookmarkEnd w:id="60"/>
    </w:p>
    <w:p w14:paraId="0EAAD14A" w14:textId="27707581" w:rsidR="00744121" w:rsidRDefault="00744121" w:rsidP="00744121">
      <w:bookmarkStart w:id="61" w:name="_Toc247691533"/>
      <w:bookmarkStart w:id="62" w:name="_Toc314842517"/>
      <w:r>
        <w:t xml:space="preserve">Based on a review of quality, </w:t>
      </w:r>
      <w:proofErr w:type="gramStart"/>
      <w:r>
        <w:t>safety</w:t>
      </w:r>
      <w:proofErr w:type="gramEnd"/>
      <w:r>
        <w:t xml:space="preserve"> and efficacy, the TGA approved the registration of </w:t>
      </w:r>
      <w:proofErr w:type="spellStart"/>
      <w:r w:rsidR="00734955" w:rsidRPr="00734955">
        <w:t>Comirnaty</w:t>
      </w:r>
      <w:proofErr w:type="spellEnd"/>
      <w:r w:rsidR="00734955" w:rsidRPr="00734955">
        <w:t xml:space="preserve"> </w:t>
      </w:r>
      <w:r w:rsidRPr="00250271">
        <w:t>(</w:t>
      </w:r>
      <w:proofErr w:type="spellStart"/>
      <w:r w:rsidR="00734955" w:rsidRPr="00734955">
        <w:t>tozinameran</w:t>
      </w:r>
      <w:proofErr w:type="spellEnd"/>
      <w:r w:rsidRPr="00250271">
        <w:t xml:space="preserve">) </w:t>
      </w:r>
      <w:r w:rsidR="00734955" w:rsidRPr="00734955">
        <w:t>30 µg/0.3 mL</w:t>
      </w:r>
      <w:r w:rsidRPr="00250271">
        <w:t xml:space="preserve">, </w:t>
      </w:r>
      <w:r w:rsidR="00734955">
        <w:t>s</w:t>
      </w:r>
      <w:r w:rsidR="00734955" w:rsidRPr="00734955">
        <w:t>uspension for injection</w:t>
      </w:r>
      <w:r>
        <w:t xml:space="preserve">, </w:t>
      </w:r>
      <w:r w:rsidR="00734955">
        <w:t>m</w:t>
      </w:r>
      <w:r w:rsidR="00734955" w:rsidRPr="00734955">
        <w:t>ulti-dose vial</w:t>
      </w:r>
      <w:r>
        <w:t>,</w:t>
      </w:r>
      <w:r w:rsidR="00734955">
        <w:t xml:space="preserve"> </w:t>
      </w:r>
      <w:r w:rsidR="00734955" w:rsidRPr="00D7002A">
        <w:t>change in dose regimen to</w:t>
      </w:r>
      <w:r>
        <w:t>:</w:t>
      </w:r>
    </w:p>
    <w:p w14:paraId="2363A2A5" w14:textId="6FD80027" w:rsidR="00734955" w:rsidRPr="00331510" w:rsidRDefault="00331510" w:rsidP="00331510">
      <w:pPr>
        <w:ind w:left="720"/>
        <w:rPr>
          <w:b/>
          <w:bCs/>
          <w:i/>
          <w:iCs/>
        </w:rPr>
      </w:pPr>
      <w:r>
        <w:rPr>
          <w:b/>
          <w:bCs/>
          <w:i/>
          <w:iCs/>
        </w:rPr>
        <w:t>‘</w:t>
      </w:r>
      <w:r w:rsidR="00734955" w:rsidRPr="00331510">
        <w:rPr>
          <w:b/>
          <w:bCs/>
          <w:i/>
          <w:iCs/>
        </w:rPr>
        <w:t>Individuals 12 years of age and older</w:t>
      </w:r>
    </w:p>
    <w:p w14:paraId="3D0DB627" w14:textId="02656B40" w:rsidR="00734955" w:rsidRPr="00331510" w:rsidRDefault="00331510" w:rsidP="00331510">
      <w:pPr>
        <w:ind w:left="720"/>
        <w:rPr>
          <w:i/>
          <w:iCs/>
        </w:rPr>
      </w:pPr>
      <w:r w:rsidRPr="00331510">
        <w:rPr>
          <w:i/>
          <w:iCs/>
        </w:rPr>
        <w:t xml:space="preserve">Comirnaty </w:t>
      </w:r>
      <w:r w:rsidR="00734955" w:rsidRPr="00331510">
        <w:rPr>
          <w:i/>
          <w:iCs/>
        </w:rPr>
        <w:t>is administered intramuscularly after dilution as a primary course of 2 doses at least 21 days apart. See dosing instructions below.</w:t>
      </w:r>
    </w:p>
    <w:p w14:paraId="119380D3" w14:textId="573F7D5B" w:rsidR="00734955" w:rsidRPr="00331510" w:rsidRDefault="00734955" w:rsidP="00331510">
      <w:pPr>
        <w:ind w:left="720"/>
        <w:rPr>
          <w:i/>
          <w:iCs/>
        </w:rPr>
      </w:pPr>
      <w:r w:rsidRPr="00331510">
        <w:rPr>
          <w:i/>
          <w:iCs/>
        </w:rPr>
        <w:t xml:space="preserve">A booster dose of </w:t>
      </w:r>
      <w:r w:rsidR="00331510" w:rsidRPr="00331510">
        <w:rPr>
          <w:i/>
          <w:iCs/>
        </w:rPr>
        <w:t xml:space="preserve">Comirnaty </w:t>
      </w:r>
      <w:r w:rsidRPr="00331510">
        <w:rPr>
          <w:i/>
          <w:iCs/>
        </w:rPr>
        <w:t>may be administered intramuscularly at least 6 months after the completion of a COVID-19 vaccine primary series in individuals 16 years of age and older.</w:t>
      </w:r>
    </w:p>
    <w:p w14:paraId="01E87009" w14:textId="5190237B" w:rsidR="00734955" w:rsidRPr="00331510" w:rsidRDefault="00734955" w:rsidP="00331510">
      <w:pPr>
        <w:ind w:left="720"/>
        <w:rPr>
          <w:i/>
          <w:iCs/>
        </w:rPr>
      </w:pPr>
      <w:r w:rsidRPr="00331510">
        <w:rPr>
          <w:i/>
          <w:iCs/>
        </w:rPr>
        <w:t xml:space="preserve">The decision when and for whom to implement a booster dose of </w:t>
      </w:r>
      <w:r w:rsidR="00331510" w:rsidRPr="00331510">
        <w:rPr>
          <w:i/>
          <w:iCs/>
        </w:rPr>
        <w:t>Comirnaty</w:t>
      </w:r>
      <w:r w:rsidRPr="00331510">
        <w:rPr>
          <w:i/>
          <w:iCs/>
        </w:rPr>
        <w:t xml:space="preserve"> should be made based on available vaccine safety and effectiveness data (see </w:t>
      </w:r>
      <w:r w:rsidR="00331510">
        <w:rPr>
          <w:i/>
          <w:iCs/>
        </w:rPr>
        <w:t>S</w:t>
      </w:r>
      <w:r w:rsidRPr="00331510">
        <w:rPr>
          <w:i/>
          <w:iCs/>
        </w:rPr>
        <w:t>ections 4.4 Special warnings and precautions for use and 5.1 Pharmacodynamic properties), in accordance with official recommendations.</w:t>
      </w:r>
    </w:p>
    <w:p w14:paraId="70816BDD" w14:textId="66608E85" w:rsidR="00734955" w:rsidRPr="00331510" w:rsidRDefault="00734955" w:rsidP="00331510">
      <w:pPr>
        <w:ind w:left="720"/>
        <w:rPr>
          <w:i/>
          <w:iCs/>
        </w:rPr>
      </w:pPr>
      <w:r w:rsidRPr="00331510">
        <w:rPr>
          <w:i/>
          <w:iCs/>
        </w:rPr>
        <w:t xml:space="preserve">There are limited data on the interchangeability of </w:t>
      </w:r>
      <w:r w:rsidR="00331510" w:rsidRPr="00331510">
        <w:rPr>
          <w:i/>
          <w:iCs/>
        </w:rPr>
        <w:t xml:space="preserve">Comirnaty </w:t>
      </w:r>
      <w:r w:rsidRPr="00331510">
        <w:rPr>
          <w:i/>
          <w:iCs/>
        </w:rPr>
        <w:t xml:space="preserve">with other COVID-19 vaccines to complete the primary vaccination course or the booster dose. Individuals who have received 1 dose of </w:t>
      </w:r>
      <w:r w:rsidR="00331510" w:rsidRPr="00331510">
        <w:rPr>
          <w:i/>
          <w:iCs/>
        </w:rPr>
        <w:t xml:space="preserve">Comirnaty </w:t>
      </w:r>
      <w:r w:rsidRPr="00331510">
        <w:rPr>
          <w:i/>
          <w:iCs/>
        </w:rPr>
        <w:t xml:space="preserve">should preferably receive a second dose of </w:t>
      </w:r>
      <w:r w:rsidR="00331510" w:rsidRPr="00331510">
        <w:rPr>
          <w:i/>
          <w:iCs/>
        </w:rPr>
        <w:t xml:space="preserve">Comirnaty </w:t>
      </w:r>
      <w:r w:rsidRPr="00331510">
        <w:rPr>
          <w:i/>
          <w:iCs/>
        </w:rPr>
        <w:t>to complete the primary vaccination course and for any additional doses.</w:t>
      </w:r>
    </w:p>
    <w:p w14:paraId="3013FFBD" w14:textId="77777777" w:rsidR="00734955" w:rsidRPr="00331510" w:rsidRDefault="00734955" w:rsidP="00331510">
      <w:pPr>
        <w:ind w:left="720"/>
        <w:rPr>
          <w:b/>
          <w:bCs/>
          <w:i/>
          <w:iCs/>
        </w:rPr>
      </w:pPr>
      <w:r w:rsidRPr="00331510">
        <w:rPr>
          <w:b/>
          <w:bCs/>
          <w:i/>
          <w:iCs/>
        </w:rPr>
        <w:t>Severely immunocompromised aged 12 years and older</w:t>
      </w:r>
    </w:p>
    <w:p w14:paraId="7FD9A703" w14:textId="70FA8E92" w:rsidR="00734955" w:rsidRPr="00331510" w:rsidRDefault="00734955" w:rsidP="00331510">
      <w:pPr>
        <w:ind w:left="720"/>
        <w:rPr>
          <w:i/>
          <w:iCs/>
        </w:rPr>
      </w:pPr>
      <w:r w:rsidRPr="00331510">
        <w:rPr>
          <w:i/>
          <w:iCs/>
        </w:rPr>
        <w:t xml:space="preserve">In accordance with official recommendations, a third dose may be given, as part of the primary series, at least 28 days after the second dose to individuals who are severely immunocompromised (see </w:t>
      </w:r>
      <w:r w:rsidR="00331510">
        <w:rPr>
          <w:i/>
          <w:iCs/>
        </w:rPr>
        <w:t>S</w:t>
      </w:r>
      <w:r w:rsidRPr="00331510">
        <w:rPr>
          <w:i/>
          <w:iCs/>
        </w:rPr>
        <w:t>ection 4.4 Special warnings and precautions for use).</w:t>
      </w:r>
    </w:p>
    <w:p w14:paraId="5BE91A05" w14:textId="4D1F2965" w:rsidR="00734955" w:rsidRPr="00331510" w:rsidRDefault="00734955" w:rsidP="00331510">
      <w:pPr>
        <w:ind w:left="720"/>
        <w:rPr>
          <w:b/>
          <w:bCs/>
          <w:i/>
          <w:iCs/>
        </w:rPr>
      </w:pPr>
      <w:r w:rsidRPr="00331510">
        <w:rPr>
          <w:b/>
          <w:bCs/>
          <w:i/>
          <w:iCs/>
        </w:rPr>
        <w:t>Elderly population</w:t>
      </w:r>
    </w:p>
    <w:p w14:paraId="4A2BCDD6" w14:textId="6E581D76" w:rsidR="007D53B6" w:rsidRPr="00331510" w:rsidRDefault="00734955" w:rsidP="00331510">
      <w:pPr>
        <w:ind w:left="720"/>
        <w:rPr>
          <w:i/>
          <w:iCs/>
        </w:rPr>
      </w:pPr>
      <w:r w:rsidRPr="00331510">
        <w:rPr>
          <w:i/>
          <w:iCs/>
        </w:rPr>
        <w:t xml:space="preserve">No dosage adjustment is required in elderly individuals </w:t>
      </w:r>
      <w:r w:rsidR="00331510">
        <w:rPr>
          <w:i/>
          <w:iCs/>
        </w:rPr>
        <w:t>≥</w:t>
      </w:r>
      <w:r w:rsidRPr="00331510">
        <w:rPr>
          <w:i/>
          <w:iCs/>
        </w:rPr>
        <w:t xml:space="preserve"> 65 years of age.</w:t>
      </w:r>
      <w:r w:rsidR="00331510">
        <w:rPr>
          <w:i/>
          <w:iCs/>
        </w:rPr>
        <w:t>’</w:t>
      </w:r>
    </w:p>
    <w:p w14:paraId="76DAAD1B" w14:textId="77777777" w:rsidR="00D23139" w:rsidRPr="00C31B22" w:rsidRDefault="00D23139" w:rsidP="00D23139">
      <w:pPr>
        <w:pStyle w:val="Heading4"/>
      </w:pPr>
      <w:r w:rsidRPr="00C31B22">
        <w:t>Specific conditions of registration applying to these goods</w:t>
      </w:r>
    </w:p>
    <w:p w14:paraId="044A70C3" w14:textId="77777777" w:rsidR="007A61D4" w:rsidRPr="00C31B22" w:rsidRDefault="007A61D4" w:rsidP="007A61D4">
      <w:pPr>
        <w:pStyle w:val="ListBullet"/>
      </w:pPr>
      <w:r w:rsidRPr="00C31B22">
        <w:t>Comirnaty vaccine is to be included in the Black Triangle Scheme due to provisional approval. The PI and CMI [Consumer Medicines Information] for Comirnaty vaccine must include the black triangle symbol and mandatory accompanying text for the products entire period of provisional registration.</w:t>
      </w:r>
    </w:p>
    <w:p w14:paraId="24945F85" w14:textId="77777777" w:rsidR="007A61D4" w:rsidRPr="00C31B22" w:rsidRDefault="007A61D4" w:rsidP="007A61D4">
      <w:pPr>
        <w:pStyle w:val="ListBullet"/>
      </w:pPr>
      <w:r w:rsidRPr="00C31B22">
        <w:t>[Risk management plan]</w:t>
      </w:r>
    </w:p>
    <w:p w14:paraId="36D4AA8E" w14:textId="77777777" w:rsidR="007A61D4" w:rsidRPr="00C31B22" w:rsidRDefault="007A61D4" w:rsidP="007A61D4">
      <w:pPr>
        <w:pStyle w:val="ListBullet"/>
        <w:numPr>
          <w:ilvl w:val="0"/>
          <w:numId w:val="0"/>
        </w:numPr>
        <w:ind w:left="360"/>
      </w:pPr>
      <w:r w:rsidRPr="00C31B22">
        <w:t>The Comirnaty EU-risk management plan (RMP) (version 2.2, dated 15 July 2021, data lock point 13 March 2021 (Pfizer clinical database), 28 February 2021 (Pfizer safety database - 12 to15 [years]), 23 October 2020 (BioNTech clinical database - ≥ 16 [years]), 28 February 2021 (Pfizer safety database and post-authorisation exposure)), with Australian specific annex (version 0.3, dated 11 June 2021), included with Submission, PM-2021-04582-1-2, and any subsequent revisions, as agreed with the TGA will be implemented in Australia.</w:t>
      </w:r>
    </w:p>
    <w:p w14:paraId="179FC887" w14:textId="77777777" w:rsidR="007A61D4" w:rsidRPr="00C31B22" w:rsidRDefault="007A61D4" w:rsidP="007A61D4">
      <w:pPr>
        <w:pStyle w:val="ListBullet"/>
        <w:numPr>
          <w:ilvl w:val="0"/>
          <w:numId w:val="0"/>
        </w:numPr>
        <w:ind w:left="360"/>
      </w:pPr>
      <w:r w:rsidRPr="00C31B22">
        <w:t>An obligatory component of risk management plans is routine pharmacovigilance. Routine pharmacovigilance includes the submission of periodic safety update reports (PSURs).</w:t>
      </w:r>
    </w:p>
    <w:p w14:paraId="67DCACB2" w14:textId="77777777" w:rsidR="007A61D4" w:rsidRPr="00C31B22" w:rsidRDefault="007A61D4" w:rsidP="007A61D4">
      <w:pPr>
        <w:pStyle w:val="ListBullet"/>
        <w:numPr>
          <w:ilvl w:val="0"/>
          <w:numId w:val="0"/>
        </w:numPr>
        <w:ind w:left="360"/>
      </w:pPr>
      <w:r w:rsidRPr="00C31B22">
        <w:t xml:space="preserve">Unless agreed separately between the supplier who is the recipient of the approval and the TGA, the first report must be submitted to TGA no later than 15 calendar months after the date of the approval letter. The subsequent reports must be submitted no less frequently than annually from the date of the first submitted report until the period covered by such reports is not less than three years from the date of </w:t>
      </w:r>
      <w:r w:rsidRPr="00C31B22">
        <w:lastRenderedPageBreak/>
        <w:t>the approval letter, or the entire period of provisional registration, whichever is longer.</w:t>
      </w:r>
    </w:p>
    <w:p w14:paraId="17DA17B6" w14:textId="77777777" w:rsidR="007A61D4" w:rsidRPr="00C31B22" w:rsidRDefault="007A61D4" w:rsidP="007A61D4">
      <w:pPr>
        <w:pStyle w:val="ListBullet"/>
        <w:numPr>
          <w:ilvl w:val="0"/>
          <w:numId w:val="0"/>
        </w:numPr>
        <w:ind w:left="360"/>
      </w:pPr>
      <w:r w:rsidRPr="00C31B22">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24CC5BF0" w14:textId="77777777" w:rsidR="007A61D4" w:rsidRPr="00C31B22" w:rsidRDefault="007A61D4" w:rsidP="007A61D4">
      <w:pPr>
        <w:pStyle w:val="ListBullet"/>
        <w:numPr>
          <w:ilvl w:val="0"/>
          <w:numId w:val="0"/>
        </w:numPr>
        <w:ind w:left="360"/>
      </w:pPr>
      <w:r w:rsidRPr="00C31B22">
        <w:t>Additional to the routine submission of the routine PSURs, expedited monthly, Comirnaty safety summary reports (including safety data for patients in Australia) are to be provided for the first 6 months post registration, and thereafter at intervals specified by the TGA.</w:t>
      </w:r>
    </w:p>
    <w:p w14:paraId="40F38FFB" w14:textId="1ADABF54" w:rsidR="00681539" w:rsidRPr="00C31B22" w:rsidRDefault="007019C7" w:rsidP="00681539">
      <w:pPr>
        <w:pStyle w:val="ListBullet"/>
      </w:pPr>
      <w:r w:rsidRPr="00C31B22">
        <w:t>Clinical</w:t>
      </w:r>
    </w:p>
    <w:p w14:paraId="5AE765AD" w14:textId="6770DB3D" w:rsidR="00681539" w:rsidRPr="00C31B22" w:rsidRDefault="00681539" w:rsidP="00681539">
      <w:pPr>
        <w:pStyle w:val="ListBullet"/>
        <w:numPr>
          <w:ilvl w:val="0"/>
          <w:numId w:val="0"/>
        </w:numPr>
        <w:ind w:left="360"/>
      </w:pPr>
      <w:r w:rsidRPr="00C31B22">
        <w:t xml:space="preserve">Data </w:t>
      </w:r>
      <w:r w:rsidR="007019C7" w:rsidRPr="00C31B22">
        <w:t>relating to booster dose</w:t>
      </w:r>
    </w:p>
    <w:p w14:paraId="532ED208" w14:textId="20E4C132" w:rsidR="00681539" w:rsidRPr="00C31B22" w:rsidRDefault="00681539" w:rsidP="00681539">
      <w:pPr>
        <w:pStyle w:val="ListBullet2"/>
      </w:pPr>
      <w:r w:rsidRPr="00C31B22">
        <w:t>Submit the clinical study report of NCT04955626 study to</w:t>
      </w:r>
      <w:r w:rsidR="007019C7" w:rsidRPr="00C31B22">
        <w:t xml:space="preserve"> evaluate the safety and efficacy of a booster dose </w:t>
      </w:r>
      <w:r w:rsidRPr="00C31B22">
        <w:t xml:space="preserve">of BNT162b2 </w:t>
      </w:r>
      <w:r w:rsidR="007019C7" w:rsidRPr="00C31B22">
        <w:t xml:space="preserve">against </w:t>
      </w:r>
      <w:r w:rsidRPr="00C31B22">
        <w:t xml:space="preserve">COVID-19 in </w:t>
      </w:r>
      <w:r w:rsidR="007019C7" w:rsidRPr="00C31B22">
        <w:t xml:space="preserve">participants </w:t>
      </w:r>
      <w:r w:rsidRPr="00C31B22">
        <w:t>≥</w:t>
      </w:r>
      <w:r w:rsidR="007019C7" w:rsidRPr="00C31B22">
        <w:t xml:space="preserve"> </w:t>
      </w:r>
      <w:r w:rsidRPr="00C31B22">
        <w:t xml:space="preserve">16 </w:t>
      </w:r>
      <w:r w:rsidR="007019C7" w:rsidRPr="00C31B22">
        <w:t>years of age.</w:t>
      </w:r>
    </w:p>
    <w:p w14:paraId="463C5C11" w14:textId="39C7C6A2" w:rsidR="00681539" w:rsidRPr="00C31B22" w:rsidRDefault="00681539" w:rsidP="00681539">
      <w:pPr>
        <w:pStyle w:val="ListBullet"/>
      </w:pPr>
      <w:r w:rsidRPr="00C31B22">
        <w:t>Data relating to individuals 12</w:t>
      </w:r>
      <w:r w:rsidR="00870080" w:rsidRPr="00C31B22">
        <w:t xml:space="preserve"> to </w:t>
      </w:r>
      <w:r w:rsidRPr="00C31B22">
        <w:t>15 years old</w:t>
      </w:r>
    </w:p>
    <w:p w14:paraId="10480A14" w14:textId="2921157D" w:rsidR="00681539" w:rsidRPr="00C31B22" w:rsidRDefault="00681539" w:rsidP="00681539">
      <w:pPr>
        <w:pStyle w:val="ListBullet2"/>
      </w:pPr>
      <w:r w:rsidRPr="00C31B22">
        <w:t>Submit safety data for all adolescents 12 to 15 years of age in Study C4591001, 6</w:t>
      </w:r>
      <w:r w:rsidR="007019C7" w:rsidRPr="00C31B22">
        <w:t> </w:t>
      </w:r>
      <w:r w:rsidRPr="00C31B22">
        <w:t>months post Dose 2, when the data becomes available.</w:t>
      </w:r>
    </w:p>
    <w:p w14:paraId="5E797666" w14:textId="74B49EB4" w:rsidR="00681539" w:rsidRPr="00C31B22" w:rsidRDefault="00681539" w:rsidP="00681539">
      <w:pPr>
        <w:pStyle w:val="ListBullet2"/>
      </w:pPr>
      <w:r w:rsidRPr="00C31B22">
        <w:t>Submit study report of Study C4591001, including data up to 24 months after Dose</w:t>
      </w:r>
      <w:r w:rsidR="007019C7" w:rsidRPr="00C31B22">
        <w:t> </w:t>
      </w:r>
      <w:r w:rsidRPr="00C31B22">
        <w:t>2 in adolescents 12 to 15 years of age, when the data becomes available.</w:t>
      </w:r>
    </w:p>
    <w:p w14:paraId="3C1B1630" w14:textId="78EAB046" w:rsidR="00681539" w:rsidRPr="00C31B22" w:rsidRDefault="00681539" w:rsidP="00681539">
      <w:pPr>
        <w:pStyle w:val="ListBullet"/>
        <w:numPr>
          <w:ilvl w:val="0"/>
          <w:numId w:val="0"/>
        </w:numPr>
        <w:ind w:left="360"/>
      </w:pPr>
      <w:r w:rsidRPr="00C31B22">
        <w:t>Data relating to individuals 16 years and older</w:t>
      </w:r>
    </w:p>
    <w:p w14:paraId="48BDD1B4" w14:textId="3504F746" w:rsidR="00681539" w:rsidRPr="00C31B22" w:rsidRDefault="00681539" w:rsidP="00681539">
      <w:pPr>
        <w:pStyle w:val="ListBullet2"/>
      </w:pPr>
      <w:r w:rsidRPr="00C31B22">
        <w:t xml:space="preserve">Submit safety data in relation to follow-up at 6 months post-Dose 2 for all original </w:t>
      </w:r>
      <w:r w:rsidR="007019C7" w:rsidRPr="00C31B22">
        <w:t xml:space="preserve">Comirnaty </w:t>
      </w:r>
      <w:r w:rsidRPr="00C31B22">
        <w:t xml:space="preserve">recipients and at 6 months post-Dose 4 for original placebo recipients subsequently vaccinated with </w:t>
      </w:r>
      <w:r w:rsidR="007019C7" w:rsidRPr="00C31B22">
        <w:t xml:space="preserve">Comirnaty </w:t>
      </w:r>
      <w:r w:rsidRPr="00C31B22">
        <w:t>(</w:t>
      </w:r>
      <w:r w:rsidR="007019C7" w:rsidRPr="00C31B22">
        <w:t>[that is]</w:t>
      </w:r>
      <w:r w:rsidRPr="00C31B22">
        <w:t>, 6 months following their second dose), when the analysis is available.</w:t>
      </w:r>
    </w:p>
    <w:p w14:paraId="5FB8D3BB" w14:textId="38EF5CEC" w:rsidR="00681539" w:rsidRPr="00C31B22" w:rsidRDefault="00681539" w:rsidP="00681539">
      <w:pPr>
        <w:pStyle w:val="ListBullet2"/>
      </w:pPr>
      <w:r w:rsidRPr="00C31B22">
        <w:t>Submit final completed study report for Study C4591001, including data up to 24</w:t>
      </w:r>
      <w:r w:rsidR="007019C7" w:rsidRPr="00C31B22">
        <w:t> </w:t>
      </w:r>
      <w:r w:rsidRPr="00C31B22">
        <w:t>months after Dose</w:t>
      </w:r>
      <w:r w:rsidR="007019C7" w:rsidRPr="00C31B22">
        <w:t> </w:t>
      </w:r>
      <w:r w:rsidRPr="00C31B22">
        <w:t>2 for individuals 16 years and older, when the data becomes available.</w:t>
      </w:r>
    </w:p>
    <w:p w14:paraId="16D37FA2" w14:textId="6300E68B" w:rsidR="00681539" w:rsidRPr="00C31B22" w:rsidRDefault="00681539" w:rsidP="00681539">
      <w:pPr>
        <w:pStyle w:val="ListBullet2"/>
      </w:pPr>
      <w:r w:rsidRPr="00C31B22">
        <w:t>Submit final study reports for Study BNT162-01 once completed, including data on healthy subjects.</w:t>
      </w:r>
    </w:p>
    <w:p w14:paraId="6D554618" w14:textId="409D63CD" w:rsidR="00681539" w:rsidRPr="00C31B22" w:rsidRDefault="00681539" w:rsidP="00681539">
      <w:pPr>
        <w:pStyle w:val="ListBullet"/>
        <w:numPr>
          <w:ilvl w:val="0"/>
          <w:numId w:val="0"/>
        </w:numPr>
        <w:ind w:left="360"/>
      </w:pPr>
      <w:r w:rsidRPr="00C31B22">
        <w:t>When available, further data relating to vaccine efficacy against asymptomatic disease, vaccine efficacy in immunocompromised subjects, paediatric subjects, pregnant women, lactating mothers, and the information relating to post-market safety and effectiveness studies should be provided to the TGA, as separate submissions, to update the Product Information.</w:t>
      </w:r>
    </w:p>
    <w:p w14:paraId="7B6EFF80" w14:textId="312DC147" w:rsidR="00681539" w:rsidRPr="00C31B22" w:rsidRDefault="007019C7" w:rsidP="00681539">
      <w:pPr>
        <w:pStyle w:val="ListBullet"/>
      </w:pPr>
      <w:r w:rsidRPr="00C31B22">
        <w:t>Quality</w:t>
      </w:r>
    </w:p>
    <w:p w14:paraId="6C4CCA35" w14:textId="4E7A9A81" w:rsidR="00681539" w:rsidRPr="00C31B22" w:rsidRDefault="00681539" w:rsidP="00681539">
      <w:pPr>
        <w:pStyle w:val="ListBullet"/>
        <w:numPr>
          <w:ilvl w:val="0"/>
          <w:numId w:val="0"/>
        </w:numPr>
        <w:ind w:left="360"/>
      </w:pPr>
      <w:r w:rsidRPr="00C31B22">
        <w:t xml:space="preserve">Medicine </w:t>
      </w:r>
      <w:r w:rsidR="007019C7" w:rsidRPr="00C31B22">
        <w:t>l</w:t>
      </w:r>
      <w:r w:rsidRPr="00C31B22">
        <w:t>abels</w:t>
      </w:r>
    </w:p>
    <w:p w14:paraId="3EA987FF" w14:textId="43B8958A" w:rsidR="00681539" w:rsidRPr="00C31B22" w:rsidRDefault="00681539" w:rsidP="00681539">
      <w:pPr>
        <w:pStyle w:val="ListBullet2"/>
      </w:pPr>
      <w:r w:rsidRPr="00C31B22">
        <w:t xml:space="preserve">The </w:t>
      </w:r>
      <w:r w:rsidR="007019C7" w:rsidRPr="00C31B22">
        <w:t>medicines</w:t>
      </w:r>
      <w:r w:rsidRPr="00C31B22">
        <w:t xml:space="preserve"> must not be supplied with labels other than the labels that have been determined to be acceptable as part of the provisional registration of the Medicines under section 25, or, as relevant, any amended/additional labels subsequently approved under section 9D of the Act.</w:t>
      </w:r>
    </w:p>
    <w:p w14:paraId="5F18BE40" w14:textId="1B4D9D10" w:rsidR="00681539" w:rsidRPr="00C31B22" w:rsidRDefault="00681539" w:rsidP="00681539">
      <w:pPr>
        <w:pStyle w:val="ListBullet2"/>
      </w:pPr>
      <w:r w:rsidRPr="00C31B22">
        <w:t xml:space="preserve">The sponsor will develop Australian-specific labels for the products, that conform with all relevant Australian labelling requirements, and will take all reasonable steps to implement such labelling before the end of the provisional registration </w:t>
      </w:r>
      <w:r w:rsidRPr="00C31B22">
        <w:lastRenderedPageBreak/>
        <w:t>period referred to in subsection 29(3) of the Act (being the period of 2 years starting on the day specified in the ARTG certificate of registration) (noting that, consistent with paragraph 28(5)</w:t>
      </w:r>
      <w:r w:rsidR="007019C7" w:rsidRPr="00C31B22">
        <w:t xml:space="preserve"> </w:t>
      </w:r>
      <w:r w:rsidRPr="00C31B22">
        <w:t>(</w:t>
      </w:r>
      <w:proofErr w:type="spellStart"/>
      <w:r w:rsidRPr="00C31B22">
        <w:t>aaa</w:t>
      </w:r>
      <w:proofErr w:type="spellEnd"/>
      <w:r w:rsidRPr="00C31B22">
        <w:t>) of the Act, changes to such matters as labels that have been agreed to as part of an evaluation under section 25 of the Act may only occur following submission under section 9D of a 'variation' application and approval by the TGA).</w:t>
      </w:r>
    </w:p>
    <w:p w14:paraId="2EF633ED" w14:textId="22BF1D21" w:rsidR="00681539" w:rsidRPr="00C31B22" w:rsidRDefault="00681539" w:rsidP="00681539">
      <w:pPr>
        <w:pStyle w:val="ListBullet2"/>
      </w:pPr>
      <w:r w:rsidRPr="00C31B22">
        <w:t>The sponsor will provide information to the TGA on the proposed strategies and planned timelines for Australian dedicated supplies, as soon as possible, and no later than 24 January 2023.</w:t>
      </w:r>
    </w:p>
    <w:p w14:paraId="3632E922" w14:textId="0C9948C4" w:rsidR="00681539" w:rsidRPr="00C31B22" w:rsidRDefault="00681539" w:rsidP="007019C7">
      <w:pPr>
        <w:pStyle w:val="ListBullet"/>
      </w:pPr>
      <w:r w:rsidRPr="00C31B22">
        <w:t xml:space="preserve">Batch </w:t>
      </w:r>
      <w:r w:rsidR="007019C7" w:rsidRPr="00C31B22">
        <w:t>release testing and compliance</w:t>
      </w:r>
    </w:p>
    <w:p w14:paraId="4C18C9F4" w14:textId="3D8F26F9" w:rsidR="00681539" w:rsidRPr="00C31B22" w:rsidRDefault="00681539" w:rsidP="007019C7">
      <w:pPr>
        <w:pStyle w:val="ListBullet"/>
        <w:numPr>
          <w:ilvl w:val="0"/>
          <w:numId w:val="0"/>
        </w:numPr>
        <w:ind w:left="360"/>
      </w:pPr>
      <w:r w:rsidRPr="00C31B22">
        <w:t xml:space="preserve">It is a condition of registration that all independent manufacturing batches of </w:t>
      </w:r>
      <w:r w:rsidR="007019C7" w:rsidRPr="00C31B22">
        <w:t xml:space="preserve">Comirnaty </w:t>
      </w:r>
      <w:r w:rsidRPr="00C31B22">
        <w:t xml:space="preserve">(BNT162b2 </w:t>
      </w:r>
      <w:r w:rsidR="007019C7" w:rsidRPr="00C31B22">
        <w:t>(</w:t>
      </w:r>
      <w:r w:rsidRPr="00C31B22">
        <w:t>mRNA</w:t>
      </w:r>
      <w:r w:rsidR="007019C7" w:rsidRPr="00C31B22">
        <w:t>)</w:t>
      </w:r>
      <w:r w:rsidRPr="00C31B22">
        <w:t xml:space="preserve">) COVID-19 </w:t>
      </w:r>
      <w:r w:rsidR="007019C7" w:rsidRPr="00C31B22">
        <w:t xml:space="preserve">vaccine </w:t>
      </w:r>
      <w:r w:rsidRPr="00C31B22">
        <w:t xml:space="preserve">to be supplied in Australia are not released for supply by or on behalf of the </w:t>
      </w:r>
      <w:r w:rsidR="007019C7" w:rsidRPr="00C31B22">
        <w:t>s</w:t>
      </w:r>
      <w:r w:rsidRPr="00C31B22">
        <w:t>ponsor until samples and the manufacturer’s release data have been assessed by, and you have received notification acknowledging authorisation to release from, the Laboratories Branch, TGA.</w:t>
      </w:r>
    </w:p>
    <w:p w14:paraId="6CF5B812" w14:textId="4B653FC6" w:rsidR="00681539" w:rsidRPr="00C31B22" w:rsidRDefault="00681539" w:rsidP="007019C7">
      <w:pPr>
        <w:pStyle w:val="ListBullet"/>
        <w:numPr>
          <w:ilvl w:val="0"/>
          <w:numId w:val="0"/>
        </w:numPr>
        <w:ind w:left="360"/>
      </w:pPr>
      <w:r w:rsidRPr="00C31B22">
        <w:t xml:space="preserve">In complying with the above, the </w:t>
      </w:r>
      <w:r w:rsidR="007019C7" w:rsidRPr="00C31B22">
        <w:t xml:space="preserve">sponsor </w:t>
      </w:r>
      <w:r w:rsidRPr="00C31B22">
        <w:t>must supply the following for each independent batch of the products imported or proposed to be imported into Australia:</w:t>
      </w:r>
    </w:p>
    <w:p w14:paraId="70F9840A" w14:textId="3E5EA817" w:rsidR="00681539" w:rsidRPr="00C31B22" w:rsidRDefault="00681539" w:rsidP="007019C7">
      <w:pPr>
        <w:pStyle w:val="ListBullet2"/>
      </w:pPr>
      <w:r w:rsidRPr="00C31B22">
        <w:t xml:space="preserve">a </w:t>
      </w:r>
      <w:r w:rsidR="007019C7" w:rsidRPr="00C31B22">
        <w:t xml:space="preserve">completed request for release form, available </w:t>
      </w:r>
      <w:r w:rsidRPr="00C31B22">
        <w:t>from vaccines@health.gov.au; and</w:t>
      </w:r>
    </w:p>
    <w:p w14:paraId="788E79C4" w14:textId="22403665" w:rsidR="00681539" w:rsidRPr="00C31B22" w:rsidRDefault="00681539" w:rsidP="007019C7">
      <w:pPr>
        <w:pStyle w:val="ListBullet2"/>
      </w:pPr>
      <w:r w:rsidRPr="00C31B22">
        <w:t>complete summary protocols for manufacture and QC</w:t>
      </w:r>
      <w:r w:rsidR="007C4836" w:rsidRPr="00C31B22">
        <w:t xml:space="preserve"> [quality control]</w:t>
      </w:r>
      <w:r w:rsidRPr="00C31B22">
        <w:t>, including all steps in production in the agreed format; and</w:t>
      </w:r>
    </w:p>
    <w:p w14:paraId="219448E0" w14:textId="38A3F23E" w:rsidR="00681539" w:rsidRPr="00C31B22" w:rsidRDefault="00681539" w:rsidP="007019C7">
      <w:pPr>
        <w:pStyle w:val="ListBullet2"/>
      </w:pPr>
      <w:r w:rsidRPr="00C31B22">
        <w:t>if the manufacturing batch has been released in Europe or United Kingdom a copy of the EU Official Control Authority Batch Release (OCABR) certificate (or equivalent from the UK) must also be provided; and</w:t>
      </w:r>
    </w:p>
    <w:p w14:paraId="1B669C0F" w14:textId="4A068CCC" w:rsidR="00681539" w:rsidRPr="00C31B22" w:rsidRDefault="00681539" w:rsidP="007019C7">
      <w:pPr>
        <w:pStyle w:val="ListBullet2"/>
      </w:pPr>
      <w:r w:rsidRPr="00C31B22">
        <w:t>any reagents, reference material and standards required to undertake testing as requested by Laboratories Branch, TGA.</w:t>
      </w:r>
    </w:p>
    <w:p w14:paraId="585DE53C" w14:textId="1D3CA655" w:rsidR="00681539" w:rsidRPr="00C31B22" w:rsidRDefault="00681539" w:rsidP="007019C7">
      <w:pPr>
        <w:pStyle w:val="ListBullet"/>
        <w:numPr>
          <w:ilvl w:val="0"/>
          <w:numId w:val="0"/>
        </w:numPr>
        <w:ind w:left="360"/>
      </w:pPr>
      <w:r w:rsidRPr="00C31B22">
        <w:t xml:space="preserve">The shipments (including reagents) to TGA are the responsibility of the Australian </w:t>
      </w:r>
      <w:r w:rsidR="00870080" w:rsidRPr="00C31B22">
        <w:t xml:space="preserve">sponsor/agent who </w:t>
      </w:r>
      <w:r w:rsidRPr="00C31B22">
        <w:t>will be required to facilitate the import and customs clearance process.</w:t>
      </w:r>
    </w:p>
    <w:p w14:paraId="25301826" w14:textId="54824D69" w:rsidR="00681539" w:rsidRPr="00C31B22" w:rsidRDefault="00681539" w:rsidP="007019C7">
      <w:pPr>
        <w:pStyle w:val="ListBullet"/>
      </w:pPr>
      <w:r w:rsidRPr="00C31B22">
        <w:t>Certified Product Details</w:t>
      </w:r>
    </w:p>
    <w:p w14:paraId="0B48CF64" w14:textId="2B163E5A" w:rsidR="00681539" w:rsidRPr="00C31B22" w:rsidRDefault="00681539" w:rsidP="007019C7">
      <w:pPr>
        <w:pStyle w:val="ListBullet"/>
        <w:numPr>
          <w:ilvl w:val="0"/>
          <w:numId w:val="0"/>
        </w:numPr>
        <w:ind w:left="360"/>
      </w:pPr>
      <w:r w:rsidRPr="00C31B22">
        <w:t xml:space="preserve">An electronic copy of the Certified Product Details (CPD) as described in Guidance 7: Certified Product Details of the Australian Regulatory Guidelines for Prescription Medicines (ARGPM) </w:t>
      </w:r>
      <w:hyperlink r:id="rId21" w:history="1">
        <w:r w:rsidRPr="00C31B22">
          <w:rPr>
            <w:rStyle w:val="Hyperlink"/>
          </w:rPr>
          <w:t>https://www.tga.gov.au/guidance-7-certified-product-details</w:t>
        </w:r>
      </w:hyperlink>
      <w:r w:rsidRPr="00C31B22">
        <w:t xml:space="preserve"> should be provided upon registration of the therapeutic good. In addition, an updated CPD, for the above products incorporating the approved changes is to be provided within one month of the date of approval letter. A template for preparation of CPD for biological prescription medicines and Vaccines can be obtained from the TGA website </w:t>
      </w:r>
      <w:hyperlink r:id="rId22" w:history="1">
        <w:r w:rsidRPr="00C31B22">
          <w:rPr>
            <w:rStyle w:val="Hyperlink"/>
          </w:rPr>
          <w:t>https://www.tga.gov.au/form/certified-product-details-cpd-biologicalprescriptionmedicines</w:t>
        </w:r>
      </w:hyperlink>
      <w:r w:rsidRPr="00C31B22">
        <w:t>.</w:t>
      </w:r>
    </w:p>
    <w:p w14:paraId="7A047C95" w14:textId="40FF70E7" w:rsidR="00681539" w:rsidRPr="00C31B22" w:rsidRDefault="00681539" w:rsidP="007019C7">
      <w:pPr>
        <w:pStyle w:val="ListBullet"/>
        <w:numPr>
          <w:ilvl w:val="0"/>
          <w:numId w:val="0"/>
        </w:numPr>
        <w:ind w:left="360"/>
      </w:pPr>
      <w:r w:rsidRPr="00C31B22">
        <w:t xml:space="preserve">The CPD should be sent as a single bookmarked PDF document to </w:t>
      </w:r>
      <w:r w:rsidR="00870080" w:rsidRPr="00C31B22">
        <w:t>v</w:t>
      </w:r>
      <w:r w:rsidRPr="00C31B22">
        <w:t>accines@health.gov.au as soon as possible after registration/approval of the product or any subsequent changes as indicated above.</w:t>
      </w:r>
    </w:p>
    <w:p w14:paraId="192C4B94" w14:textId="3AA94066" w:rsidR="00681539" w:rsidRPr="00C31B22" w:rsidRDefault="00681539" w:rsidP="007019C7">
      <w:pPr>
        <w:pStyle w:val="ListBullet"/>
      </w:pPr>
      <w:r w:rsidRPr="00C31B22">
        <w:t>Post approval commitments</w:t>
      </w:r>
    </w:p>
    <w:p w14:paraId="4578FFA4" w14:textId="1C082038" w:rsidR="007019C7" w:rsidRPr="00C31B22" w:rsidRDefault="00681539" w:rsidP="007019C7">
      <w:pPr>
        <w:pStyle w:val="ListBullet"/>
        <w:numPr>
          <w:ilvl w:val="0"/>
          <w:numId w:val="0"/>
        </w:numPr>
        <w:ind w:left="360"/>
        <w:rPr>
          <w:b/>
          <w:bCs/>
        </w:rPr>
      </w:pPr>
      <w:r w:rsidRPr="00C31B22">
        <w:rPr>
          <w:b/>
          <w:bCs/>
        </w:rPr>
        <w:t>Section 3.2.S.2.1 and 3.2.P.3.1 Manufacturers/Section 3.2.A.1</w:t>
      </w:r>
    </w:p>
    <w:p w14:paraId="1000BE4A" w14:textId="0CBAAE39" w:rsidR="00681539" w:rsidRPr="00C31B22" w:rsidRDefault="00681539" w:rsidP="007019C7">
      <w:pPr>
        <w:pStyle w:val="ListBullet"/>
        <w:numPr>
          <w:ilvl w:val="0"/>
          <w:numId w:val="0"/>
        </w:numPr>
        <w:ind w:left="360"/>
      </w:pPr>
      <w:r w:rsidRPr="00C31B22">
        <w:t xml:space="preserve">The </w:t>
      </w:r>
      <w:r w:rsidR="00870080" w:rsidRPr="00C31B22">
        <w:t>sponsor has submitted the list of manufacturing sites along with the responsibilities in the production of</w:t>
      </w:r>
      <w:r w:rsidRPr="00C31B22">
        <w:t xml:space="preserve"> the </w:t>
      </w:r>
      <w:r w:rsidR="00870080" w:rsidRPr="00C31B22">
        <w:t xml:space="preserve">Comirnaty </w:t>
      </w:r>
      <w:r w:rsidRPr="00C31B22">
        <w:t xml:space="preserve">(BNT162b2 </w:t>
      </w:r>
      <w:r w:rsidR="00870080" w:rsidRPr="00C31B22">
        <w:t>(</w:t>
      </w:r>
      <w:r w:rsidRPr="00C31B22">
        <w:t xml:space="preserve">mRNA) COVID-19 </w:t>
      </w:r>
      <w:r w:rsidR="00870080" w:rsidRPr="00C31B22">
        <w:t xml:space="preserve">vaccine drug substance </w:t>
      </w:r>
      <w:r w:rsidRPr="00C31B22">
        <w:t xml:space="preserve">(DS) and </w:t>
      </w:r>
      <w:r w:rsidR="00870080" w:rsidRPr="00C31B22">
        <w:t xml:space="preserve">drug product </w:t>
      </w:r>
      <w:r w:rsidRPr="00C31B22">
        <w:t>(DP) and specified functions.</w:t>
      </w:r>
    </w:p>
    <w:p w14:paraId="2201B3FD" w14:textId="7F85AA76" w:rsidR="00681539" w:rsidRPr="00C31B22" w:rsidRDefault="00681539" w:rsidP="007019C7">
      <w:pPr>
        <w:pStyle w:val="ListBullet"/>
        <w:numPr>
          <w:ilvl w:val="0"/>
          <w:numId w:val="0"/>
        </w:numPr>
        <w:ind w:left="360"/>
      </w:pPr>
      <w:r w:rsidRPr="00C31B22">
        <w:lastRenderedPageBreak/>
        <w:t xml:space="preserve">The </w:t>
      </w:r>
      <w:r w:rsidR="00870080" w:rsidRPr="00C31B22">
        <w:t>s</w:t>
      </w:r>
      <w:r w:rsidRPr="00C31B22">
        <w:t>ponsor must maintain the validity of all manufacturer GMP</w:t>
      </w:r>
      <w:r w:rsidR="007E5DA1" w:rsidRPr="00C31B22">
        <w:t xml:space="preserve"> [Good Manufacturing Practice] c</w:t>
      </w:r>
      <w:r w:rsidRPr="00C31B22">
        <w:t xml:space="preserve">learances for the duration of product supply to Australia and comply with any conditions of GMP </w:t>
      </w:r>
      <w:r w:rsidR="00870080" w:rsidRPr="00C31B22">
        <w:t>clearance</w:t>
      </w:r>
      <w:r w:rsidRPr="00C31B22">
        <w:t>.</w:t>
      </w:r>
    </w:p>
    <w:p w14:paraId="3662C5BB" w14:textId="2AABCDEF" w:rsidR="00681539" w:rsidRPr="00C31B22" w:rsidRDefault="00681539" w:rsidP="007019C7">
      <w:pPr>
        <w:pStyle w:val="ListBullet"/>
        <w:numPr>
          <w:ilvl w:val="0"/>
          <w:numId w:val="0"/>
        </w:numPr>
        <w:ind w:left="360"/>
        <w:rPr>
          <w:b/>
          <w:bCs/>
        </w:rPr>
      </w:pPr>
      <w:r w:rsidRPr="00C31B22">
        <w:rPr>
          <w:b/>
          <w:bCs/>
        </w:rPr>
        <w:t>Section 3.2.S.5 Reference standards or materials</w:t>
      </w:r>
    </w:p>
    <w:p w14:paraId="06486217" w14:textId="050B35E6" w:rsidR="00681539" w:rsidRPr="00C31B22" w:rsidRDefault="00681539" w:rsidP="007019C7">
      <w:pPr>
        <w:pStyle w:val="ListBullet"/>
        <w:numPr>
          <w:ilvl w:val="0"/>
          <w:numId w:val="0"/>
        </w:numPr>
        <w:ind w:left="360"/>
      </w:pPr>
      <w:r w:rsidRPr="00C31B22">
        <w:t xml:space="preserve">The </w:t>
      </w:r>
      <w:r w:rsidR="00870080" w:rsidRPr="00C31B22">
        <w:t xml:space="preserve">sponsor </w:t>
      </w:r>
      <w:r w:rsidRPr="00C31B22">
        <w:t>must:</w:t>
      </w:r>
    </w:p>
    <w:p w14:paraId="53C833C4" w14:textId="6A2EA999" w:rsidR="00681539" w:rsidRPr="00C31B22" w:rsidRDefault="00681539" w:rsidP="007019C7">
      <w:pPr>
        <w:pStyle w:val="ListBullet2"/>
      </w:pPr>
      <w:r w:rsidRPr="00C31B22">
        <w:t>Supply the data for the PRM</w:t>
      </w:r>
      <w:r w:rsidR="007E5DA1" w:rsidRPr="00C31B22">
        <w:t xml:space="preserve"> [primary reference materials]</w:t>
      </w:r>
      <w:r w:rsidRPr="00C31B22">
        <w:t xml:space="preserve"> and WRM</w:t>
      </w:r>
      <w:r w:rsidR="007E5DA1" w:rsidRPr="00C31B22">
        <w:t xml:space="preserve"> [working reference materials]</w:t>
      </w:r>
      <w:r w:rsidRPr="00C31B22">
        <w:t xml:space="preserve"> once generated and </w:t>
      </w:r>
      <w:r w:rsidR="00870080" w:rsidRPr="00C31B22">
        <w:t xml:space="preserve">the certificates of analysis of reference standards made available </w:t>
      </w:r>
      <w:r w:rsidRPr="00C31B22">
        <w:t>upon request.</w:t>
      </w:r>
    </w:p>
    <w:p w14:paraId="5F732606" w14:textId="76C3B326" w:rsidR="00681539" w:rsidRPr="00C31B22" w:rsidRDefault="00681539" w:rsidP="007019C7">
      <w:pPr>
        <w:pStyle w:val="ListBullet2"/>
      </w:pPr>
      <w:r w:rsidRPr="00C31B22">
        <w:t>Submit additional stability data (for a duration of 1</w:t>
      </w:r>
      <w:r w:rsidR="00870080" w:rsidRPr="00C31B22">
        <w:t xml:space="preserve"> to </w:t>
      </w:r>
      <w:r w:rsidRPr="00C31B22">
        <w:t>6 months and 12</w:t>
      </w:r>
      <w:r w:rsidR="00870080" w:rsidRPr="00C31B22">
        <w:t xml:space="preserve"> to </w:t>
      </w:r>
      <w:r w:rsidRPr="00C31B22">
        <w:t>60 months) for reference standards and materials as soon as it becomes available.</w:t>
      </w:r>
    </w:p>
    <w:p w14:paraId="4781CD4F" w14:textId="5A9BC529" w:rsidR="00681539" w:rsidRPr="00C31B22" w:rsidRDefault="00681539" w:rsidP="007019C7">
      <w:pPr>
        <w:pStyle w:val="ListBullet2"/>
      </w:pPr>
      <w:r w:rsidRPr="00C31B22">
        <w:t>Provide a protocol for the establishment of replacement reference standards (WRMs) including acceptance criteria and verification data.</w:t>
      </w:r>
    </w:p>
    <w:p w14:paraId="59AE22B8" w14:textId="623CF412" w:rsidR="00681539" w:rsidRPr="00C31B22" w:rsidRDefault="00681539" w:rsidP="007019C7">
      <w:pPr>
        <w:pStyle w:val="ListBullet2"/>
      </w:pPr>
      <w:r w:rsidRPr="00C31B22">
        <w:t>Notify the TGA of any change to the source of the lipid reference materials.</w:t>
      </w:r>
    </w:p>
    <w:p w14:paraId="0876D094" w14:textId="24429DC8" w:rsidR="00681539" w:rsidRPr="00C31B22" w:rsidRDefault="00681539" w:rsidP="007019C7">
      <w:pPr>
        <w:pStyle w:val="ListBullet"/>
        <w:numPr>
          <w:ilvl w:val="0"/>
          <w:numId w:val="0"/>
        </w:numPr>
        <w:ind w:left="360"/>
        <w:rPr>
          <w:b/>
          <w:bCs/>
        </w:rPr>
      </w:pPr>
      <w:r w:rsidRPr="00C31B22">
        <w:rPr>
          <w:b/>
          <w:bCs/>
        </w:rPr>
        <w:t>Section 3.2.S.7.2 Post-approval stability protocol</w:t>
      </w:r>
    </w:p>
    <w:p w14:paraId="247B9399" w14:textId="613F342A" w:rsidR="00681539" w:rsidRPr="00C31B22" w:rsidRDefault="00681539" w:rsidP="007019C7">
      <w:pPr>
        <w:pStyle w:val="ListBullet"/>
        <w:numPr>
          <w:ilvl w:val="0"/>
          <w:numId w:val="0"/>
        </w:numPr>
        <w:ind w:left="360"/>
      </w:pPr>
      <w:r w:rsidRPr="00C31B22">
        <w:t>Upon completion of the ICH</w:t>
      </w:r>
      <w:r w:rsidR="007E5DA1" w:rsidRPr="00C31B22">
        <w:t xml:space="preserve"> [International Council for Harmonisation]</w:t>
      </w:r>
      <w:r w:rsidRPr="00C31B22">
        <w:t xml:space="preserve"> stability protocols, a minimum of 1 batch of BNT162b2 DS manufactured will be rolled in the commercial stability program at the </w:t>
      </w:r>
      <w:proofErr w:type="gramStart"/>
      <w:r w:rsidRPr="00C31B22">
        <w:t>long term</w:t>
      </w:r>
      <w:proofErr w:type="gramEnd"/>
      <w:r w:rsidRPr="00C31B22">
        <w:t xml:space="preserve"> storage conditions of -20</w:t>
      </w:r>
      <w:r w:rsidR="00870080" w:rsidRPr="00C31B22">
        <w:t xml:space="preserve"> </w:t>
      </w:r>
      <w:r w:rsidRPr="00C31B22">
        <w:t>±</w:t>
      </w:r>
      <w:r w:rsidR="00870080" w:rsidRPr="00C31B22">
        <w:t xml:space="preserve"> </w:t>
      </w:r>
      <w:r w:rsidRPr="00C31B22">
        <w:t>5°C for each year that DS is manufactured.</w:t>
      </w:r>
      <w:r w:rsidR="007019C7" w:rsidRPr="00C31B22">
        <w:t xml:space="preserve"> </w:t>
      </w:r>
      <w:r w:rsidRPr="00C31B22">
        <w:t xml:space="preserve">Additionally, a minimum of one batch will be placed in the commercial stability program at the </w:t>
      </w:r>
      <w:proofErr w:type="gramStart"/>
      <w:r w:rsidRPr="00C31B22">
        <w:t>long term</w:t>
      </w:r>
      <w:proofErr w:type="gramEnd"/>
      <w:r w:rsidRPr="00C31B22">
        <w:t xml:space="preserve"> storage condition of -90 to -60°C each year of DP manufacture.</w:t>
      </w:r>
    </w:p>
    <w:p w14:paraId="0D1F2020" w14:textId="21903C8F" w:rsidR="00681539" w:rsidRPr="00C31B22" w:rsidRDefault="00681539" w:rsidP="007019C7">
      <w:pPr>
        <w:pStyle w:val="ListBullet"/>
        <w:numPr>
          <w:ilvl w:val="0"/>
          <w:numId w:val="0"/>
        </w:numPr>
        <w:ind w:left="360"/>
      </w:pPr>
      <w:r w:rsidRPr="00C31B22">
        <w:t>Additional stability data (long term, accelerated and thermal stress study data for a duration of ≥</w:t>
      </w:r>
      <w:r w:rsidR="00870080" w:rsidRPr="00C31B22">
        <w:t xml:space="preserve"> </w:t>
      </w:r>
      <w:r w:rsidRPr="00C31B22">
        <w:t>6 months for a minimum of 2</w:t>
      </w:r>
      <w:r w:rsidR="00A64E71" w:rsidRPr="00C31B22">
        <w:t xml:space="preserve"> to </w:t>
      </w:r>
      <w:r w:rsidRPr="00C31B22">
        <w:t>3 clinical or commercial batches) must be submitted to the TGA as it becomes available. Once additional data have been submitted to the TGA for evaluation, an extended shelf life and/or change in storage conditions for the DS and/or DP may be considered.</w:t>
      </w:r>
    </w:p>
    <w:p w14:paraId="32B1CA78" w14:textId="1256F556" w:rsidR="00681539" w:rsidRPr="00C31B22" w:rsidRDefault="00681539" w:rsidP="007019C7">
      <w:pPr>
        <w:pStyle w:val="ListBullet"/>
        <w:numPr>
          <w:ilvl w:val="0"/>
          <w:numId w:val="0"/>
        </w:numPr>
        <w:ind w:left="360"/>
      </w:pPr>
      <w:r w:rsidRPr="00C31B22">
        <w:t>Data and updated protocols for the currently ongoing thermal cycling studies must be submitted once available.</w:t>
      </w:r>
    </w:p>
    <w:p w14:paraId="4E9CEF83" w14:textId="24499ABC" w:rsidR="00681539" w:rsidRPr="00C31B22" w:rsidRDefault="00681539" w:rsidP="007019C7">
      <w:pPr>
        <w:pStyle w:val="ListBullet"/>
        <w:numPr>
          <w:ilvl w:val="0"/>
          <w:numId w:val="0"/>
        </w:numPr>
        <w:ind w:left="360"/>
      </w:pPr>
      <w:r w:rsidRPr="00C31B22">
        <w:t>Any out of specification stability results for DS and/or DP should be submitted to the TGA as soon as they are generated.</w:t>
      </w:r>
    </w:p>
    <w:p w14:paraId="2A2CDBD8" w14:textId="14E40BDC" w:rsidR="00681539" w:rsidRPr="00C31B22" w:rsidRDefault="00681539" w:rsidP="007019C7">
      <w:pPr>
        <w:pStyle w:val="ListBullet"/>
        <w:numPr>
          <w:ilvl w:val="0"/>
          <w:numId w:val="0"/>
        </w:numPr>
        <w:ind w:left="360"/>
      </w:pPr>
      <w:r w:rsidRPr="00C31B22">
        <w:t xml:space="preserve">The </w:t>
      </w:r>
      <w:r w:rsidR="00870080" w:rsidRPr="00C31B22">
        <w:t>s</w:t>
      </w:r>
      <w:r w:rsidRPr="00C31B22">
        <w:t>ponsor must inform the TGA of any temperature deviation during shipment and not supply product that has been exposed to a temperature excursion outside of the approved storage conditions of -90°C to -60°C.</w:t>
      </w:r>
    </w:p>
    <w:p w14:paraId="15FABF25" w14:textId="30A0CF6F" w:rsidR="00681539" w:rsidRPr="00C31B22" w:rsidRDefault="00681539" w:rsidP="007019C7">
      <w:pPr>
        <w:pStyle w:val="ListBullet"/>
        <w:numPr>
          <w:ilvl w:val="0"/>
          <w:numId w:val="0"/>
        </w:numPr>
        <w:ind w:left="360"/>
        <w:rPr>
          <w:b/>
          <w:bCs/>
        </w:rPr>
      </w:pPr>
      <w:r w:rsidRPr="00C31B22">
        <w:rPr>
          <w:b/>
          <w:bCs/>
        </w:rPr>
        <w:t>Section 3.2.S.4.3 and 3.2.P.5.4 Batch analysis</w:t>
      </w:r>
    </w:p>
    <w:p w14:paraId="4F83A178" w14:textId="3D295B3B" w:rsidR="00681539" w:rsidRPr="00C31B22" w:rsidRDefault="00681539" w:rsidP="007019C7">
      <w:pPr>
        <w:pStyle w:val="ListBullet"/>
        <w:numPr>
          <w:ilvl w:val="0"/>
          <w:numId w:val="0"/>
        </w:numPr>
        <w:ind w:left="360"/>
      </w:pPr>
      <w:r w:rsidRPr="00C31B22">
        <w:t xml:space="preserve">The </w:t>
      </w:r>
      <w:r w:rsidR="00870080" w:rsidRPr="00C31B22">
        <w:t>s</w:t>
      </w:r>
      <w:r w:rsidRPr="00C31B22">
        <w:t>ponsor must provide to the TGA:</w:t>
      </w:r>
    </w:p>
    <w:p w14:paraId="2B75DE20" w14:textId="267DB37B" w:rsidR="00681539" w:rsidRPr="00C31B22" w:rsidRDefault="00681539" w:rsidP="007019C7">
      <w:pPr>
        <w:pStyle w:val="ListBullet2"/>
      </w:pPr>
      <w:r w:rsidRPr="00C31B22">
        <w:t>a quality risk assessment or investigation report to explain the reason for the deviation in trend (</w:t>
      </w:r>
      <w:r w:rsidR="00870080" w:rsidRPr="00C31B22">
        <w:t xml:space="preserve">[approximately] </w:t>
      </w:r>
      <w:proofErr w:type="gramStart"/>
      <w:r w:rsidRPr="00C31B22">
        <w:t>10 fold</w:t>
      </w:r>
      <w:proofErr w:type="gramEnd"/>
      <w:r w:rsidRPr="00C31B22">
        <w:t xml:space="preserve"> increase increase) observed for the final 3 batches of commercial scale material manufactured at Pfizer, Andover (20Y513C501 20Y513C601 20Y513C701). Any remediation work that may have been implemented should be outlined.</w:t>
      </w:r>
    </w:p>
    <w:p w14:paraId="63D74744" w14:textId="77777777" w:rsidR="00681539" w:rsidRPr="00C31B22" w:rsidRDefault="00681539" w:rsidP="007019C7">
      <w:pPr>
        <w:pStyle w:val="ListBullet"/>
        <w:numPr>
          <w:ilvl w:val="0"/>
          <w:numId w:val="0"/>
        </w:numPr>
        <w:ind w:left="360"/>
        <w:rPr>
          <w:b/>
          <w:bCs/>
        </w:rPr>
      </w:pPr>
      <w:r w:rsidRPr="00C31B22">
        <w:rPr>
          <w:b/>
          <w:bCs/>
        </w:rPr>
        <w:t>Commercial scale batches</w:t>
      </w:r>
    </w:p>
    <w:p w14:paraId="54D5ED25" w14:textId="1DDA641C" w:rsidR="00681539" w:rsidRPr="00C31B22" w:rsidRDefault="00681539" w:rsidP="007019C7">
      <w:pPr>
        <w:pStyle w:val="ListBullet"/>
        <w:numPr>
          <w:ilvl w:val="0"/>
          <w:numId w:val="0"/>
        </w:numPr>
        <w:ind w:left="360"/>
      </w:pPr>
      <w:r w:rsidRPr="00C31B22">
        <w:t xml:space="preserve">The </w:t>
      </w:r>
      <w:r w:rsidR="00870080" w:rsidRPr="00C31B22">
        <w:t>s</w:t>
      </w:r>
      <w:r w:rsidRPr="00C31B22">
        <w:t>ponsor must:</w:t>
      </w:r>
    </w:p>
    <w:p w14:paraId="21A6AF30" w14:textId="2730C68F" w:rsidR="00681539" w:rsidRPr="00C31B22" w:rsidRDefault="00681539" w:rsidP="007019C7">
      <w:pPr>
        <w:pStyle w:val="ListBullet2"/>
      </w:pPr>
      <w:r w:rsidRPr="00C31B22">
        <w:t>Perform testing of future process-validation batches of the commercial scale finished product according to the comparability testing protocol/plan and provide results for assessment by the TGA when available.</w:t>
      </w:r>
    </w:p>
    <w:p w14:paraId="2524E9D2" w14:textId="77777777" w:rsidR="008E7846" w:rsidRDefault="00A80B5B" w:rsidP="00D23139">
      <w:pPr>
        <w:pStyle w:val="Heading2"/>
      </w:pPr>
      <w:bookmarkStart w:id="63" w:name="_Toc95207538"/>
      <w:r>
        <w:lastRenderedPageBreak/>
        <w:t xml:space="preserve">Attachment 1. </w:t>
      </w:r>
      <w:r w:rsidR="008E7846">
        <w:t xml:space="preserve">Product </w:t>
      </w:r>
      <w:r w:rsidR="00AA0ED0">
        <w:t>I</w:t>
      </w:r>
      <w:r w:rsidR="008E7846">
        <w:t>nformation</w:t>
      </w:r>
      <w:bookmarkEnd w:id="61"/>
      <w:bookmarkEnd w:id="62"/>
      <w:bookmarkEnd w:id="63"/>
    </w:p>
    <w:p w14:paraId="142AD543" w14:textId="43950BCE" w:rsidR="00C80137" w:rsidRDefault="006136D7" w:rsidP="00C80137">
      <w:pPr>
        <w:rPr>
          <w:color w:val="000000"/>
          <w:lang w:eastAsia="en-AU"/>
        </w:rPr>
      </w:pPr>
      <w:r w:rsidRPr="002B3624">
        <w:t xml:space="preserve">The </w:t>
      </w:r>
      <w:r>
        <w:t>PI</w:t>
      </w:r>
      <w:r w:rsidRPr="002B3624">
        <w:t xml:space="preserve"> for </w:t>
      </w:r>
      <w:r w:rsidR="00823D54">
        <w:t>Comirnaty</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3" w:history="1">
        <w:r w:rsidR="007C6B9B" w:rsidRPr="007C6B9B">
          <w:rPr>
            <w:rStyle w:val="Hyperlink"/>
          </w:rPr>
          <w:t>https://www.tga.gov.au/product-information-pi</w:t>
        </w:r>
      </w:hyperlink>
      <w:r w:rsidR="007C6B9B" w:rsidRPr="007C6B9B">
        <w:t>&gt;.</w:t>
      </w:r>
    </w:p>
    <w:p w14:paraId="3A8F6F83" w14:textId="1F2ED8F9" w:rsidR="00744121" w:rsidRDefault="008E7846" w:rsidP="00823D54">
      <w:pPr>
        <w:autoSpaceDE w:val="0"/>
        <w:autoSpaceDN w:val="0"/>
        <w:adjustRightInd w:val="0"/>
        <w:spacing w:after="0"/>
        <w:rPr>
          <w:lang w:eastAsia="ja-JP"/>
        </w:rPr>
      </w:pPr>
      <w:r w:rsidRPr="00C80137">
        <w:rPr>
          <w:b/>
        </w:rPr>
        <w:br w:type="page"/>
      </w:r>
    </w:p>
    <w:p w14:paraId="2BB5D21A" w14:textId="77777777"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6871BE3" w14:textId="77777777" w:rsidTr="00A05FA4">
        <w:trPr>
          <w:trHeight w:hRule="exact" w:val="704"/>
        </w:trPr>
        <w:tc>
          <w:tcPr>
            <w:tcW w:w="9175" w:type="dxa"/>
          </w:tcPr>
          <w:p w14:paraId="7949FD4B" w14:textId="77777777" w:rsidR="001C32CD" w:rsidRPr="00487162" w:rsidRDefault="001C32CD" w:rsidP="00A05FA4">
            <w:pPr>
              <w:pStyle w:val="TGASignoff"/>
            </w:pPr>
            <w:r w:rsidRPr="00487162">
              <w:lastRenderedPageBreak/>
              <w:t>Therapeutic Goods Administration</w:t>
            </w:r>
          </w:p>
        </w:tc>
      </w:tr>
      <w:tr w:rsidR="001C32CD" w:rsidRPr="004C239D" w14:paraId="2504F8F7" w14:textId="77777777" w:rsidTr="00A05FA4">
        <w:trPr>
          <w:trHeight w:val="1221"/>
        </w:trPr>
        <w:tc>
          <w:tcPr>
            <w:tcW w:w="9175" w:type="dxa"/>
            <w:tcMar>
              <w:top w:w="28" w:type="dxa"/>
            </w:tcMar>
          </w:tcPr>
          <w:p w14:paraId="28458DD6" w14:textId="77777777" w:rsidR="001C32CD" w:rsidRPr="00487162" w:rsidRDefault="001C32CD" w:rsidP="00A05FA4">
            <w:pPr>
              <w:pStyle w:val="Address"/>
            </w:pPr>
            <w:r w:rsidRPr="00487162">
              <w:t>PO Box 100 Woden ACT 2606 Australia</w:t>
            </w:r>
          </w:p>
          <w:p w14:paraId="0F5F1154" w14:textId="47F2B20E"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4D287B09" w14:textId="44A5A338" w:rsidR="001C32CD" w:rsidRPr="004C239D" w:rsidRDefault="00EF5616"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4ACFD666"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A94C0" w14:textId="77777777" w:rsidR="00734955" w:rsidRDefault="00734955" w:rsidP="00C40A36">
      <w:pPr>
        <w:spacing w:after="0"/>
      </w:pPr>
      <w:r>
        <w:separator/>
      </w:r>
    </w:p>
  </w:endnote>
  <w:endnote w:type="continuationSeparator" w:id="0">
    <w:p w14:paraId="70238787" w14:textId="77777777" w:rsidR="00734955" w:rsidRDefault="0073495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8A483" w14:textId="77777777" w:rsidR="00777771" w:rsidRDefault="00777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34955" w:rsidRPr="00487162" w14:paraId="3C31A20B" w14:textId="77777777" w:rsidTr="00DB750B">
      <w:trPr>
        <w:trHeight w:val="269"/>
      </w:trPr>
      <w:tc>
        <w:tcPr>
          <w:tcW w:w="7371" w:type="dxa"/>
          <w:tcMar>
            <w:top w:w="142" w:type="dxa"/>
            <w:bottom w:w="0" w:type="dxa"/>
          </w:tcMar>
        </w:tcPr>
        <w:p w14:paraId="2DD1ED75" w14:textId="7EE9302E" w:rsidR="00734955" w:rsidRPr="00487162" w:rsidRDefault="00734955" w:rsidP="00460036">
          <w:pPr>
            <w:pStyle w:val="Footer"/>
          </w:pPr>
          <w:r w:rsidRPr="00487162">
            <w:t>AusPA</w:t>
          </w:r>
          <w:r>
            <w:t xml:space="preserve">R - </w:t>
          </w:r>
          <w:proofErr w:type="spellStart"/>
          <w:r w:rsidRPr="001977C4">
            <w:t>C</w:t>
          </w:r>
          <w:r>
            <w:t>omirnaty</w:t>
          </w:r>
          <w:proofErr w:type="spellEnd"/>
          <w:r w:rsidRPr="001977C4">
            <w:t xml:space="preserve"> - </w:t>
          </w:r>
          <w:proofErr w:type="spellStart"/>
          <w:r>
            <w:t>t</w:t>
          </w:r>
          <w:r w:rsidRPr="001205AF">
            <w:t>ozinameran</w:t>
          </w:r>
          <w:proofErr w:type="spellEnd"/>
          <w:r w:rsidRPr="001205AF">
            <w:t xml:space="preserve"> </w:t>
          </w:r>
          <w:r w:rsidRPr="001977C4">
            <w:t>- Pfizer Australia Pty Ltd - PM-2021-04582-1-2</w:t>
          </w:r>
          <w:r>
            <w:br/>
            <w:t>FINAL</w:t>
          </w:r>
          <w:r w:rsidRPr="00487162">
            <w:t xml:space="preserve"> </w:t>
          </w:r>
          <w:r w:rsidR="00025DB7">
            <w:t>28 January 2022</w:t>
          </w:r>
        </w:p>
      </w:tc>
      <w:tc>
        <w:tcPr>
          <w:tcW w:w="1490" w:type="dxa"/>
          <w:tcMar>
            <w:top w:w="142" w:type="dxa"/>
            <w:bottom w:w="0" w:type="dxa"/>
          </w:tcMar>
        </w:tcPr>
        <w:p w14:paraId="698F5EB8" w14:textId="603A6FF9" w:rsidR="00734955" w:rsidRPr="00487162" w:rsidRDefault="00734955" w:rsidP="00DB750B">
          <w:pPr>
            <w:pStyle w:val="Footer"/>
            <w:jc w:val="right"/>
          </w:pPr>
          <w:r w:rsidRPr="00487162">
            <w:t xml:space="preserve">Page </w:t>
          </w:r>
          <w:r>
            <w:fldChar w:fldCharType="begin"/>
          </w:r>
          <w:r>
            <w:instrText xml:space="preserve"> PAGE  \* Arabic </w:instrText>
          </w:r>
          <w:r>
            <w:fldChar w:fldCharType="separate"/>
          </w:r>
          <w:r>
            <w:rPr>
              <w:noProof/>
            </w:rPr>
            <w:t>18</w:t>
          </w:r>
          <w:r>
            <w:fldChar w:fldCharType="end"/>
          </w:r>
          <w:r w:rsidRPr="00487162">
            <w:t xml:space="preserve"> of </w:t>
          </w:r>
          <w:r w:rsidR="00EF5616">
            <w:fldChar w:fldCharType="begin"/>
          </w:r>
          <w:r w:rsidR="00EF5616">
            <w:instrText xml:space="preserve"> NUMPAGES  \* Arabic </w:instrText>
          </w:r>
          <w:r w:rsidR="00EF5616">
            <w:fldChar w:fldCharType="separate"/>
          </w:r>
          <w:r>
            <w:rPr>
              <w:noProof/>
            </w:rPr>
            <w:t>19</w:t>
          </w:r>
          <w:r w:rsidR="00EF5616">
            <w:rPr>
              <w:noProof/>
            </w:rPr>
            <w:fldChar w:fldCharType="end"/>
          </w:r>
        </w:p>
      </w:tc>
    </w:tr>
  </w:tbl>
  <w:p w14:paraId="57225ABC" w14:textId="77777777" w:rsidR="00734955" w:rsidRDefault="00734955"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43B08" w14:textId="77777777" w:rsidR="00777771" w:rsidRDefault="00777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34955" w:rsidRPr="00487162" w14:paraId="3FB45755" w14:textId="77777777" w:rsidTr="00E45619">
      <w:trPr>
        <w:trHeight w:val="269"/>
      </w:trPr>
      <w:tc>
        <w:tcPr>
          <w:tcW w:w="4519" w:type="dxa"/>
          <w:tcBorders>
            <w:top w:val="single" w:sz="4" w:space="0" w:color="auto"/>
          </w:tcBorders>
          <w:tcMar>
            <w:top w:w="142" w:type="dxa"/>
            <w:bottom w:w="0" w:type="dxa"/>
          </w:tcMar>
        </w:tcPr>
        <w:p w14:paraId="2DD96620" w14:textId="77777777" w:rsidR="00734955" w:rsidRPr="00487162" w:rsidRDefault="00734955" w:rsidP="00FE1DEE">
          <w:pPr>
            <w:pStyle w:val="Footer"/>
          </w:pPr>
          <w:r w:rsidRPr="00487162">
            <w:t>Document title, Part #, Section # - Section title</w:t>
          </w:r>
        </w:p>
        <w:p w14:paraId="082FA66E" w14:textId="77777777" w:rsidR="00734955" w:rsidRPr="00487162" w:rsidRDefault="00734955" w:rsidP="00FE1DEE">
          <w:pPr>
            <w:pStyle w:val="Footer"/>
          </w:pPr>
          <w:r w:rsidRPr="00487162">
            <w:t>V1.0 October 2010</w:t>
          </w:r>
        </w:p>
      </w:tc>
      <w:tc>
        <w:tcPr>
          <w:tcW w:w="4342" w:type="dxa"/>
          <w:tcBorders>
            <w:top w:val="single" w:sz="4" w:space="0" w:color="auto"/>
          </w:tcBorders>
          <w:tcMar>
            <w:top w:w="142" w:type="dxa"/>
            <w:bottom w:w="0" w:type="dxa"/>
          </w:tcMar>
        </w:tcPr>
        <w:p w14:paraId="27108468" w14:textId="77777777" w:rsidR="00734955" w:rsidRPr="00487162" w:rsidRDefault="0073495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EF5616">
            <w:fldChar w:fldCharType="begin"/>
          </w:r>
          <w:r w:rsidR="00EF5616">
            <w:instrText xml:space="preserve"> NUMPAGES  </w:instrText>
          </w:r>
          <w:r w:rsidR="00EF5616">
            <w:fldChar w:fldCharType="separate"/>
          </w:r>
          <w:r>
            <w:rPr>
              <w:noProof/>
            </w:rPr>
            <w:t>21</w:t>
          </w:r>
          <w:r w:rsidR="00EF5616">
            <w:rPr>
              <w:noProof/>
            </w:rPr>
            <w:fldChar w:fldCharType="end"/>
          </w:r>
        </w:p>
      </w:tc>
    </w:tr>
  </w:tbl>
  <w:p w14:paraId="048731A6" w14:textId="77777777" w:rsidR="00734955" w:rsidRDefault="007349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0CF3" w14:textId="77777777" w:rsidR="00734955" w:rsidRPr="001C32CD" w:rsidRDefault="00734955"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34955" w14:paraId="48113456" w14:textId="77777777" w:rsidTr="0010601F">
      <w:trPr>
        <w:trHeight w:val="108"/>
      </w:trPr>
      <w:tc>
        <w:tcPr>
          <w:tcW w:w="8875" w:type="dxa"/>
          <w:gridSpan w:val="2"/>
          <w:tcBorders>
            <w:bottom w:val="single" w:sz="4" w:space="0" w:color="auto"/>
          </w:tcBorders>
          <w:tcMar>
            <w:right w:w="284" w:type="dxa"/>
          </w:tcMar>
        </w:tcPr>
        <w:p w14:paraId="7B02B070" w14:textId="77777777" w:rsidR="00734955" w:rsidRDefault="00734955" w:rsidP="006E08B3">
          <w:pPr>
            <w:pStyle w:val="Heading3"/>
          </w:pPr>
          <w:r>
            <w:t>Copyright</w:t>
          </w:r>
        </w:p>
        <w:p w14:paraId="3137B43F" w14:textId="77777777" w:rsidR="00734955" w:rsidRDefault="00734955" w:rsidP="006E08B3">
          <w:r>
            <w:rPr>
              <w:rFonts w:cs="Arial"/>
            </w:rPr>
            <w:t>©</w:t>
          </w:r>
          <w:r>
            <w:t xml:space="preserve"> Commonwealth of Australia [add year]</w:t>
          </w:r>
        </w:p>
        <w:p w14:paraId="410A9C98" w14:textId="77777777" w:rsidR="00734955" w:rsidRDefault="00734955" w:rsidP="006E08B3"/>
        <w:p w14:paraId="4F26468A" w14:textId="77777777" w:rsidR="00734955" w:rsidRDefault="0073495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0A6CF560" w14:textId="77777777" w:rsidR="00734955" w:rsidRDefault="00734955" w:rsidP="006E08B3"/>
        <w:p w14:paraId="110E242B" w14:textId="77777777" w:rsidR="00734955" w:rsidRDefault="00734955" w:rsidP="006E08B3">
          <w:pPr>
            <w:pStyle w:val="Heading3"/>
          </w:pPr>
          <w:r>
            <w:t>Confidentiality</w:t>
          </w:r>
        </w:p>
        <w:p w14:paraId="668E3340" w14:textId="77777777" w:rsidR="00734955" w:rsidRDefault="0073495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8510FD7" w14:textId="77777777" w:rsidR="00734955" w:rsidRDefault="00734955" w:rsidP="006E08B3"/>
        <w:p w14:paraId="58D99308" w14:textId="77777777" w:rsidR="00734955" w:rsidRDefault="00734955" w:rsidP="006E08B3">
          <w:r>
            <w:t>For submission made by individuals, all personal details, other than your name, will be removed from your submission before it is published on the TGA’s Internet site.</w:t>
          </w:r>
        </w:p>
        <w:p w14:paraId="2DEA7159" w14:textId="77777777" w:rsidR="00734955" w:rsidRDefault="00734955" w:rsidP="006E08B3"/>
        <w:p w14:paraId="160B3C33" w14:textId="77777777" w:rsidR="00734955" w:rsidRDefault="0073495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34955" w14:paraId="196680F5" w14:textId="77777777" w:rsidTr="0010601F">
      <w:trPr>
        <w:trHeight w:val="417"/>
      </w:trPr>
      <w:tc>
        <w:tcPr>
          <w:tcW w:w="4519" w:type="dxa"/>
          <w:tcBorders>
            <w:top w:val="single" w:sz="4" w:space="0" w:color="auto"/>
          </w:tcBorders>
          <w:tcMar>
            <w:top w:w="142" w:type="dxa"/>
            <w:bottom w:w="0" w:type="dxa"/>
          </w:tcMar>
        </w:tcPr>
        <w:p w14:paraId="5711AFD7" w14:textId="77777777" w:rsidR="00734955" w:rsidRDefault="00734955" w:rsidP="006E08B3">
          <w:r>
            <w:t>Document title, Part #, Section # - Section title</w:t>
          </w:r>
        </w:p>
        <w:p w14:paraId="5C93BAD2" w14:textId="77777777" w:rsidR="00734955" w:rsidRDefault="00734955" w:rsidP="006E08B3">
          <w:r>
            <w:t>V1.0 October 2010</w:t>
          </w:r>
        </w:p>
      </w:tc>
      <w:tc>
        <w:tcPr>
          <w:tcW w:w="4356" w:type="dxa"/>
          <w:tcBorders>
            <w:top w:val="single" w:sz="4" w:space="0" w:color="auto"/>
          </w:tcBorders>
          <w:tcMar>
            <w:top w:w="142" w:type="dxa"/>
            <w:bottom w:w="0" w:type="dxa"/>
          </w:tcMar>
        </w:tcPr>
        <w:p w14:paraId="2A7303D3" w14:textId="77777777" w:rsidR="00734955" w:rsidRDefault="0073495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EF5616">
            <w:fldChar w:fldCharType="begin"/>
          </w:r>
          <w:r w:rsidR="00EF5616">
            <w:instrText xml:space="preserve"> NUMPAGES  \* Arabic </w:instrText>
          </w:r>
          <w:r w:rsidR="00EF5616">
            <w:fldChar w:fldCharType="separate"/>
          </w:r>
          <w:r>
            <w:rPr>
              <w:noProof/>
            </w:rPr>
            <w:t>21</w:t>
          </w:r>
          <w:r w:rsidR="00EF5616">
            <w:rPr>
              <w:noProof/>
            </w:rPr>
            <w:fldChar w:fldCharType="end"/>
          </w:r>
          <w:r>
            <w:t xml:space="preserve">  </w:t>
          </w:r>
        </w:p>
      </w:tc>
    </w:tr>
  </w:tbl>
  <w:p w14:paraId="0C6DFF8A" w14:textId="77777777" w:rsidR="00734955" w:rsidRDefault="00734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CB78A" w14:textId="77777777" w:rsidR="00734955" w:rsidRDefault="00734955" w:rsidP="00C40A36">
      <w:pPr>
        <w:spacing w:after="0"/>
      </w:pPr>
      <w:r>
        <w:separator/>
      </w:r>
    </w:p>
  </w:footnote>
  <w:footnote w:type="continuationSeparator" w:id="0">
    <w:p w14:paraId="40EAAC50" w14:textId="77777777" w:rsidR="00734955" w:rsidRDefault="00734955" w:rsidP="00C40A36">
      <w:pPr>
        <w:spacing w:after="0"/>
      </w:pPr>
      <w:r>
        <w:continuationSeparator/>
      </w:r>
    </w:p>
  </w:footnote>
  <w:footnote w:id="1">
    <w:p w14:paraId="06B6A15F" w14:textId="77777777" w:rsidR="00734955" w:rsidRDefault="00734955">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69FBBA04" w14:textId="77777777" w:rsidR="00734955" w:rsidRDefault="00734955" w:rsidP="00A75E21">
      <w:pPr>
        <w:pStyle w:val="FootnoteText"/>
      </w:pPr>
      <w:r>
        <w:rPr>
          <w:rStyle w:val="FootnoteReference"/>
        </w:rPr>
        <w:footnoteRef/>
      </w:r>
      <w:r>
        <w:t xml:space="preserve"> Zhu, N. </w:t>
      </w:r>
      <w:r w:rsidRPr="00153388">
        <w:t>et al. A Novel Coronavirus from Patients with Pneumonia in China, 2019</w:t>
      </w:r>
      <w:r>
        <w:t>,</w:t>
      </w:r>
      <w:r w:rsidRPr="00153388">
        <w:t xml:space="preserve"> </w:t>
      </w:r>
      <w:r w:rsidRPr="00AA00FD">
        <w:rPr>
          <w:i/>
          <w:iCs/>
        </w:rPr>
        <w:t>N. Engl. J. Med</w:t>
      </w:r>
      <w:r>
        <w:t>,</w:t>
      </w:r>
      <w:r w:rsidRPr="00153388">
        <w:rPr>
          <w:i/>
          <w:iCs/>
        </w:rPr>
        <w:t xml:space="preserve"> </w:t>
      </w:r>
      <w:r w:rsidRPr="00153388">
        <w:t>2020;</w:t>
      </w:r>
      <w:r>
        <w:t xml:space="preserve"> </w:t>
      </w:r>
      <w:r w:rsidRPr="00153388">
        <w:t>382(8):</w:t>
      </w:r>
      <w:r>
        <w:t xml:space="preserve"> 727-733.</w:t>
      </w:r>
    </w:p>
  </w:footnote>
  <w:footnote w:id="3">
    <w:p w14:paraId="2E1CC720" w14:textId="515D8E76" w:rsidR="00734955" w:rsidRDefault="00734955">
      <w:pPr>
        <w:pStyle w:val="FootnoteText"/>
      </w:pPr>
      <w:r>
        <w:rPr>
          <w:rStyle w:val="FootnoteReference"/>
        </w:rPr>
        <w:footnoteRef/>
      </w:r>
      <w:r>
        <w:t xml:space="preserve"> </w:t>
      </w:r>
      <w:r w:rsidRPr="00A75E21">
        <w:t>World Health Organization (WHO; 2020) WHO Director-General Speeches: WHO Director-General's Opening Remarks at the Media Briefing on COVID-19 - 11 March 2020. Accessed 28 October 2021. Available from the WHO website.</w:t>
      </w:r>
    </w:p>
  </w:footnote>
  <w:footnote w:id="4">
    <w:p w14:paraId="28467B62" w14:textId="40A4C4E7" w:rsidR="00734955" w:rsidRDefault="00734955" w:rsidP="00A75E21">
      <w:pPr>
        <w:pStyle w:val="FootnoteText"/>
      </w:pPr>
      <w:r w:rsidRPr="0044577A">
        <w:rPr>
          <w:rStyle w:val="FootnoteReference"/>
          <w:color w:val="000000" w:themeColor="text1"/>
        </w:rPr>
        <w:footnoteRef/>
      </w:r>
      <w:r w:rsidRPr="0044577A">
        <w:rPr>
          <w:color w:val="000000" w:themeColor="text1"/>
        </w:rPr>
        <w:t xml:space="preserve"> World Health Organization</w:t>
      </w:r>
      <w:r>
        <w:rPr>
          <w:color w:val="000000" w:themeColor="text1"/>
        </w:rPr>
        <w:t xml:space="preserve"> (WHO)</w:t>
      </w:r>
      <w:r w:rsidRPr="0044577A">
        <w:rPr>
          <w:color w:val="000000" w:themeColor="text1"/>
        </w:rPr>
        <w:t xml:space="preserve">, Coronavirus Disease (COVID-19) Dashboard. Accessed </w:t>
      </w:r>
      <w:r>
        <w:rPr>
          <w:color w:val="000000" w:themeColor="text1"/>
        </w:rPr>
        <w:t>12 January</w:t>
      </w:r>
      <w:r w:rsidRPr="0044577A">
        <w:rPr>
          <w:color w:val="000000" w:themeColor="text1"/>
        </w:rPr>
        <w:t xml:space="preserve"> 202</w:t>
      </w:r>
      <w:r>
        <w:rPr>
          <w:color w:val="000000" w:themeColor="text1"/>
        </w:rPr>
        <w:t>2</w:t>
      </w:r>
      <w:r w:rsidRPr="0044577A">
        <w:rPr>
          <w:color w:val="000000" w:themeColor="text1"/>
        </w:rPr>
        <w:t xml:space="preserve">. </w:t>
      </w:r>
      <w:r>
        <w:t>Available from the WHO website.</w:t>
      </w:r>
    </w:p>
  </w:footnote>
  <w:footnote w:id="5">
    <w:p w14:paraId="32F816B9" w14:textId="337CE422" w:rsidR="00734955" w:rsidRDefault="00734955" w:rsidP="00A75E21">
      <w:pPr>
        <w:pStyle w:val="FootnoteText"/>
      </w:pPr>
      <w:r>
        <w:rPr>
          <w:rStyle w:val="FootnoteReference"/>
        </w:rPr>
        <w:footnoteRef/>
      </w:r>
      <w:r>
        <w:t xml:space="preserve"> Australian Government, Department of Health (last updated 28 October 2021) Coronavirus (COVID-19) Case Numbers and Statistics. </w:t>
      </w:r>
      <w:r w:rsidRPr="0044577A">
        <w:rPr>
          <w:color w:val="000000" w:themeColor="text1"/>
        </w:rPr>
        <w:t xml:space="preserve">Accessed </w:t>
      </w:r>
      <w:r>
        <w:t>12 January 2022.</w:t>
      </w:r>
    </w:p>
    <w:p w14:paraId="728C92EB" w14:textId="77777777" w:rsidR="00734955" w:rsidRPr="00822288" w:rsidRDefault="00734955" w:rsidP="00A75E21">
      <w:pPr>
        <w:pStyle w:val="FootnoteText"/>
        <w:rPr>
          <w:lang w:val="en-US"/>
        </w:rPr>
      </w:pPr>
      <w:r>
        <w:t>Available at: </w:t>
      </w:r>
      <w:hyperlink r:id="rId1" w:history="1">
        <w:r w:rsidRPr="00C14804">
          <w:rPr>
            <w:rStyle w:val="Hyperlink"/>
          </w:rPr>
          <w:t>https://www.health.gov.au/news/health-alerts/novel-coronavirus-2019-ncov-health-alert/coronavirus-covid-19-case-numbers-and-statistics</w:t>
        </w:r>
      </w:hyperlink>
      <w:r>
        <w:t>.</w:t>
      </w:r>
    </w:p>
  </w:footnote>
  <w:footnote w:id="6">
    <w:p w14:paraId="218BF426" w14:textId="0F59AEE7" w:rsidR="00734955" w:rsidRDefault="00734955">
      <w:pPr>
        <w:pStyle w:val="FootnoteText"/>
      </w:pPr>
      <w:r>
        <w:rPr>
          <w:rStyle w:val="FootnoteReference"/>
        </w:rPr>
        <w:footnoteRef/>
      </w:r>
      <w:r>
        <w:t xml:space="preserve"> </w:t>
      </w:r>
      <w:r w:rsidRPr="00A75E21">
        <w:t>World Health Organization</w:t>
      </w:r>
      <w:r>
        <w:t xml:space="preserve"> (WHO) media release on classification of Omicron (B.1.1.529): SARS-CoV-2 Variant of Concern.</w:t>
      </w:r>
      <w:r w:rsidRPr="00A75E21">
        <w:t xml:space="preserve"> Accessed </w:t>
      </w:r>
      <w:r>
        <w:t>12 January 2022</w:t>
      </w:r>
      <w:r w:rsidRPr="00A75E21">
        <w:t>. Available</w:t>
      </w:r>
      <w:r>
        <w:t xml:space="preserve"> at: </w:t>
      </w:r>
      <w:hyperlink r:id="rId2" w:history="1">
        <w:r w:rsidRPr="00AE707E">
          <w:rPr>
            <w:rStyle w:val="Hyperlink"/>
          </w:rPr>
          <w:t>https://www.who.int/news/item/26-11-2021-classification-of-omicron-(b.1.1.529)-sars-cov-2-variant-of-concern</w:t>
        </w:r>
      </w:hyperlink>
    </w:p>
  </w:footnote>
  <w:footnote w:id="7">
    <w:p w14:paraId="10284976" w14:textId="77777777" w:rsidR="00734955" w:rsidRDefault="00734955" w:rsidP="001C488C">
      <w:pPr>
        <w:pStyle w:val="FootnoteText"/>
      </w:pPr>
      <w:r>
        <w:rPr>
          <w:rStyle w:val="FootnoteReference"/>
        </w:rPr>
        <w:footnoteRef/>
      </w:r>
      <w:r>
        <w:t xml:space="preserve"> Further information regarding mRNA technology in vaccines can be found at </w:t>
      </w:r>
      <w:hyperlink r:id="rId3" w:history="1">
        <w:r w:rsidRPr="004F699A">
          <w:rPr>
            <w:rStyle w:val="Hyperlink"/>
          </w:rPr>
          <w:t>https://www.phgfoundation.org/documents/rna-vaccines-an-introduction-briefing-note.pdf</w:t>
        </w:r>
      </w:hyperlink>
      <w:r>
        <w:t>.</w:t>
      </w:r>
    </w:p>
  </w:footnote>
  <w:footnote w:id="8">
    <w:p w14:paraId="756DF9D4" w14:textId="77777777" w:rsidR="00734955" w:rsidRDefault="00734955" w:rsidP="00906505">
      <w:pPr>
        <w:pStyle w:val="FootnoteText"/>
      </w:pPr>
      <w:r>
        <w:rPr>
          <w:rStyle w:val="FootnoteReference"/>
        </w:rPr>
        <w:footnoteRef/>
      </w:r>
      <w:r>
        <w:t xml:space="preserve"> As part of the </w:t>
      </w:r>
      <w:r w:rsidRPr="009E2D55">
        <w:rPr>
          <w:b/>
          <w:bCs/>
        </w:rPr>
        <w:t>provisional approval pathway</w:t>
      </w:r>
      <w:r>
        <w:t>, the provisional registration process will allow certain medicines to be provisionally registered in the Australian Register of Therapeutic Goods (ARTG) for a limited duration. These medicines are registered on the basis of preliminary clinical data, where there is the potential for a substantial benefit to Australian patients. The TGA will re-assess risks related to the absence of evidence through data provided at a later stage, as part of the confirmatory data. Confirmatory data should confirm the relationship between outcomes predicted by the surrogate endpoint, or other preliminary data, and the clinical benefit as demonstrated by direct clinical outcomes.</w:t>
      </w:r>
    </w:p>
    <w:p w14:paraId="115D1C16" w14:textId="3BFFBE3D" w:rsidR="00734955" w:rsidRDefault="00734955">
      <w:pPr>
        <w:pStyle w:val="FootnoteText"/>
      </w:pPr>
      <w:r>
        <w:t>The sponsor may apply to transition to full registration at any time up until the provisional registration lapse date, once they have completed the obligations outlined for the provisional registration period and complete confirmatory data on safety and efficacy are available</w:t>
      </w:r>
    </w:p>
  </w:footnote>
  <w:footnote w:id="9">
    <w:p w14:paraId="5B8A7ECE" w14:textId="77777777" w:rsidR="00734955" w:rsidRPr="00F051A1" w:rsidRDefault="00734955" w:rsidP="003132DF">
      <w:pPr>
        <w:pStyle w:val="FootnoteText"/>
        <w:rPr>
          <w:lang w:val="en-US"/>
        </w:rPr>
      </w:pPr>
      <w:r>
        <w:rPr>
          <w:rStyle w:val="FootnoteReference"/>
        </w:rPr>
        <w:footnoteRef/>
      </w:r>
      <w:r>
        <w:t xml:space="preserve"> AusPAR for Comirnaty </w:t>
      </w:r>
      <w:r w:rsidRPr="00F051A1">
        <w:t>BNT162b2</w:t>
      </w:r>
      <w:r>
        <w:t xml:space="preserve"> (mRNA) Pfizer Australia Pty Ltd </w:t>
      </w:r>
      <w:r>
        <w:rPr>
          <w:color w:val="000000"/>
        </w:rPr>
        <w:t>PM-2020-05461-1-2</w:t>
      </w:r>
      <w:r>
        <w:t xml:space="preserve"> available at: </w:t>
      </w:r>
      <w:r w:rsidRPr="00F051A1">
        <w:t>https://www.tga.gov.au/auspar/auspar-bnt162b2-mrna-comirnaty</w:t>
      </w:r>
    </w:p>
  </w:footnote>
  <w:footnote w:id="10">
    <w:p w14:paraId="6B2F887D" w14:textId="77777777" w:rsidR="00734955" w:rsidRDefault="00734955" w:rsidP="003132DF">
      <w:pPr>
        <w:pStyle w:val="FootnoteText"/>
      </w:pPr>
      <w:r>
        <w:rPr>
          <w:rStyle w:val="FootnoteReference"/>
        </w:rPr>
        <w:footnoteRef/>
      </w:r>
      <w:r>
        <w:t xml:space="preserve"> AusPAR for Comirnaty </w:t>
      </w:r>
      <w:r w:rsidRPr="00F051A1">
        <w:t>BNT162b2</w:t>
      </w:r>
      <w:r>
        <w:t xml:space="preserve"> (mRNA) Pfizer Australia Pty Ltd </w:t>
      </w:r>
      <w:r w:rsidRPr="009E0824">
        <w:t xml:space="preserve">PM-2021-02187-1-2 </w:t>
      </w:r>
      <w:r>
        <w:t>available at: </w:t>
      </w:r>
      <w:r w:rsidRPr="00C056AB">
        <w:t>https://www.tga.gov.au/auspar/auspar-bnt162b2-mrna</w:t>
      </w:r>
    </w:p>
  </w:footnote>
  <w:footnote w:id="11">
    <w:p w14:paraId="19941395" w14:textId="77777777" w:rsidR="00734955" w:rsidRDefault="00734955" w:rsidP="003132DF">
      <w:pPr>
        <w:pStyle w:val="FootnoteText"/>
      </w:pPr>
      <w:r>
        <w:rPr>
          <w:rStyle w:val="FootnoteReference"/>
        </w:rPr>
        <w:footnoteRef/>
      </w:r>
      <w:r>
        <w:t xml:space="preserve"> AusPAR for Comirnaty </w:t>
      </w:r>
      <w:r w:rsidRPr="00F051A1">
        <w:t>BNT162b2</w:t>
      </w:r>
      <w:r>
        <w:t xml:space="preserve"> (mRNA) Pfizer Australia Pty Ltd PM-2021-05012-1-2 </w:t>
      </w:r>
    </w:p>
    <w:p w14:paraId="60BFEB75" w14:textId="77777777" w:rsidR="00734955" w:rsidRDefault="00734955" w:rsidP="003132DF">
      <w:pPr>
        <w:pStyle w:val="FootnoteText"/>
      </w:pPr>
      <w:r>
        <w:t xml:space="preserve">available at: </w:t>
      </w:r>
      <w:r w:rsidRPr="005F1CE7">
        <w:t>https://www.tga.gov.au/auspar/auspar-tozinameran-mrna-covid-19-vaccine</w:t>
      </w:r>
    </w:p>
  </w:footnote>
  <w:footnote w:id="12">
    <w:p w14:paraId="5068C3DB" w14:textId="5B293093" w:rsidR="00734955" w:rsidRDefault="00734955">
      <w:pPr>
        <w:pStyle w:val="FootnoteText"/>
      </w:pPr>
      <w:r>
        <w:rPr>
          <w:rStyle w:val="FootnoteReference"/>
        </w:rPr>
        <w:footnoteRef/>
      </w:r>
      <w:r>
        <w:t xml:space="preserve"> AusPAR for Comirnaty </w:t>
      </w:r>
      <w:r w:rsidRPr="00F051A1">
        <w:t>BNT162b2</w:t>
      </w:r>
      <w:r>
        <w:t xml:space="preserve"> (mRNA) Pfizer Australia Pty Ltd PM-2021-04582-1-2</w:t>
      </w:r>
    </w:p>
    <w:p w14:paraId="592E7A00" w14:textId="4F415A06" w:rsidR="00734955" w:rsidRDefault="00734955">
      <w:pPr>
        <w:pStyle w:val="FootnoteText"/>
      </w:pPr>
      <w:r>
        <w:t xml:space="preserve">Available at: </w:t>
      </w:r>
      <w:r w:rsidRPr="00DD1976">
        <w:t>https://www.tga.gov.au/sites/default/files/auspar-bnt162b2-mrna-211029.pdf</w:t>
      </w:r>
    </w:p>
  </w:footnote>
  <w:footnote w:id="13">
    <w:p w14:paraId="7496E34B" w14:textId="77777777" w:rsidR="00734955" w:rsidRDefault="00734955" w:rsidP="001C488C">
      <w:pPr>
        <w:pStyle w:val="FootnoteText"/>
      </w:pPr>
      <w:r>
        <w:rPr>
          <w:rStyle w:val="FootnoteReference"/>
        </w:rPr>
        <w:footnoteRef/>
      </w:r>
      <w:r>
        <w:t xml:space="preserve"> </w:t>
      </w:r>
      <w:r w:rsidRPr="00182967">
        <w:t xml:space="preserve">Therapeutic goods must be entered in the </w:t>
      </w:r>
      <w:r w:rsidRPr="00182967">
        <w:rPr>
          <w:b/>
          <w:bCs/>
        </w:rPr>
        <w:t>Australian Register of Therapeutic Goods (ARTG)</w:t>
      </w:r>
      <w:r w:rsidRPr="00182967">
        <w:t xml:space="preserve"> before they can be lawfully supplied in or exported from Australia, unless exempt from being entered in the ARTG, or otherwise authorised by the TGA. For further information visit: </w:t>
      </w:r>
      <w:hyperlink r:id="rId4" w:history="1">
        <w:r w:rsidRPr="00E41D62">
          <w:rPr>
            <w:rStyle w:val="Hyperlink"/>
          </w:rPr>
          <w:t>https://www.tga.gov.au/australian-register-therapeutic-goods</w:t>
        </w:r>
      </w:hyperlink>
      <w:r w:rsidRPr="00182967">
        <w:t>.</w:t>
      </w:r>
    </w:p>
  </w:footnote>
  <w:footnote w:id="14">
    <w:p w14:paraId="38653440" w14:textId="729BEBB0" w:rsidR="00734955" w:rsidRDefault="00734955">
      <w:pPr>
        <w:pStyle w:val="FootnoteText"/>
      </w:pPr>
      <w:r>
        <w:rPr>
          <w:rStyle w:val="FootnoteReference"/>
        </w:rPr>
        <w:footnoteRef/>
      </w:r>
      <w:r>
        <w:t xml:space="preserve"> </w:t>
      </w:r>
      <w:r>
        <w:rPr>
          <w:lang w:eastAsia="ja-JP"/>
        </w:rPr>
        <w:t xml:space="preserve">The definitions employed to categorise mild, moderate and severe COVID-19 disease were based on those proposed by the US FDA in their ‘COVID-19: developing drugs and biological produces for treatment or prevention: guidance for industry’. Available at </w:t>
      </w:r>
      <w:hyperlink r:id="rId5" w:history="1">
        <w:r w:rsidRPr="00F91C87">
          <w:rPr>
            <w:rStyle w:val="Hyperlink"/>
            <w:lang w:eastAsia="ja-JP"/>
          </w:rPr>
          <w:t>https://www.fda.gov/regulatory-information/search-fda-guidance-documents/covid-19-developing-drugs-and-biological-products-treatment-or-prevention</w:t>
        </w:r>
      </w:hyperlink>
      <w:r>
        <w:rPr>
          <w:lang w:eastAsia="ja-JP"/>
        </w:rPr>
        <w:t xml:space="preserve"> </w:t>
      </w:r>
    </w:p>
  </w:footnote>
  <w:footnote w:id="15">
    <w:p w14:paraId="4217AAB3" w14:textId="5DCF96CD" w:rsidR="00734955" w:rsidRDefault="00734955">
      <w:pPr>
        <w:pStyle w:val="FootnoteText"/>
      </w:pPr>
      <w:r>
        <w:rPr>
          <w:rStyle w:val="FootnoteReference"/>
        </w:rPr>
        <w:footnoteRef/>
      </w:r>
      <w:r>
        <w:t xml:space="preserve"> Charlson Comorbidity Index is a </w:t>
      </w:r>
      <w:r w:rsidRPr="00C72EB2">
        <w:t>weighted index to predict risk of death within 1 year of hospitali</w:t>
      </w:r>
      <w:r>
        <w:t>s</w:t>
      </w:r>
      <w:r w:rsidRPr="00C72EB2">
        <w:t>ation for patients with specific comorbid conditions. Nineteen conditions were included in the index. Each condition was assigned a weight from 1 to 6, based on the estimated 1</w:t>
      </w:r>
      <w:r>
        <w:t xml:space="preserve"> </w:t>
      </w:r>
      <w:r w:rsidRPr="00C72EB2">
        <w:t>year mortality hazard ratio from a Cox proportional hazards model. These weights were summed to produce the Charlson comorbidity score.</w:t>
      </w:r>
    </w:p>
  </w:footnote>
  <w:footnote w:id="16">
    <w:p w14:paraId="63F8D4CC" w14:textId="57789DFF" w:rsidR="00734955" w:rsidRDefault="00734955">
      <w:pPr>
        <w:pStyle w:val="FootnoteText"/>
      </w:pPr>
      <w:r>
        <w:rPr>
          <w:rStyle w:val="FootnoteReference"/>
        </w:rPr>
        <w:footnoteRef/>
      </w:r>
      <w:r>
        <w:t xml:space="preserve"> </w:t>
      </w:r>
      <w:r w:rsidRPr="00CE4F8D">
        <w:t>Bar‑On YM, et al</w:t>
      </w:r>
      <w:r>
        <w:t xml:space="preserve">. </w:t>
      </w:r>
      <w:r w:rsidRPr="00CE4F8D">
        <w:t>Protection against Covid-19 by BNT162b2 Booster across Age Groups.</w:t>
      </w:r>
      <w:r>
        <w:t xml:space="preserve"> (2021)</w:t>
      </w:r>
      <w:r w:rsidRPr="00CE4F8D">
        <w:t xml:space="preserve"> </w:t>
      </w:r>
      <w:r w:rsidRPr="00CE4F8D">
        <w:rPr>
          <w:i/>
          <w:iCs/>
        </w:rPr>
        <w:t>N Engl J Med</w:t>
      </w:r>
      <w:r>
        <w:t xml:space="preserve">; </w:t>
      </w:r>
      <w:r w:rsidRPr="00CE4F8D">
        <w:t>385:2421-30.</w:t>
      </w:r>
    </w:p>
  </w:footnote>
  <w:footnote w:id="17">
    <w:p w14:paraId="4104D929" w14:textId="77777777" w:rsidR="00734955" w:rsidRDefault="00734955">
      <w:pPr>
        <w:pStyle w:val="FootnoteText"/>
      </w:pPr>
      <w:r>
        <w:rPr>
          <w:rStyle w:val="FootnoteReference"/>
        </w:rPr>
        <w:footnoteRef/>
      </w:r>
      <w:r>
        <w:t xml:space="preserve"> </w:t>
      </w:r>
      <w:r w:rsidRPr="007D53B6">
        <w:t>The sponsor must still comply with routine product vigilance and risk minimisation requirements.</w:t>
      </w:r>
    </w:p>
  </w:footnote>
  <w:footnote w:id="18">
    <w:p w14:paraId="5B2F6102" w14:textId="77777777" w:rsidR="00734955" w:rsidRDefault="00734955" w:rsidP="001216AB">
      <w:pPr>
        <w:pStyle w:val="FootnoteText"/>
      </w:pPr>
      <w:r>
        <w:rPr>
          <w:rStyle w:val="FootnoteReference"/>
        </w:rPr>
        <w:footnoteRef/>
      </w:r>
      <w:r>
        <w:t xml:space="preserve"> The </w:t>
      </w:r>
      <w:r w:rsidRPr="001216AB">
        <w:rPr>
          <w:b/>
          <w:bCs/>
        </w:rPr>
        <w:t>Advisory Committee on Vaccines</w:t>
      </w:r>
      <w:r>
        <w:t xml:space="preserve"> (ACV) provides independent medical and scientific advice to the Minister for Health and the Therapeutic Goods Administration (TGA) on issues relating to the safety, quality and efficacy of vaccines supplied in Australia including issues relating to pre-market assessment, post-market monitoring and safe use in national immunisation programs.</w:t>
      </w:r>
    </w:p>
    <w:p w14:paraId="43A965BD" w14:textId="77777777" w:rsidR="00734955" w:rsidRDefault="00734955" w:rsidP="001216AB">
      <w:pPr>
        <w:pStyle w:val="FootnoteText"/>
      </w:pPr>
      <w:r>
        <w:t>The Committee is established under Regulation 39F of the Therapeutic Goods Regulations 1990 and the members are appointed by the Minister for Health.</w:t>
      </w:r>
    </w:p>
    <w:p w14:paraId="54B0DF99" w14:textId="77777777" w:rsidR="00734955" w:rsidRDefault="00734955" w:rsidP="001216AB">
      <w:pPr>
        <w:pStyle w:val="FootnoteText"/>
      </w:pPr>
      <w:r>
        <w:t>The ACV was established in January 2017, following consolidation of previous functions of the Advisory Committee on the Safety of Vaccines (ACSOV) and the pre-market functions for vaccines of the Advisory Committee on Prescription Medicines (ACPM).</w:t>
      </w:r>
    </w:p>
    <w:p w14:paraId="720BC56B" w14:textId="207EC58E" w:rsidR="00734955" w:rsidRPr="00456765" w:rsidRDefault="00734955" w:rsidP="001216AB">
      <w:pPr>
        <w:pStyle w:val="FootnoteText"/>
        <w:rPr>
          <w:lang w:val="en-US"/>
        </w:rPr>
      </w:pPr>
      <w:r>
        <w:t>Membership comprises professionals with expertise in specific scientific, medical or clinical fields, or consumer health issues.</w:t>
      </w:r>
    </w:p>
  </w:footnote>
  <w:footnote w:id="19">
    <w:p w14:paraId="32534E47" w14:textId="77777777" w:rsidR="00734955" w:rsidRDefault="00734955" w:rsidP="00DD70F0">
      <w:pPr>
        <w:pStyle w:val="FootnoteText"/>
      </w:pPr>
      <w:r>
        <w:rPr>
          <w:rStyle w:val="FootnoteReference"/>
        </w:rPr>
        <w:footnoteRef/>
      </w:r>
      <w:r>
        <w:t xml:space="preserve"> </w:t>
      </w:r>
      <w:r w:rsidRPr="00F53572">
        <w:t>Buchan</w:t>
      </w:r>
      <w:r>
        <w:t xml:space="preserve">, </w:t>
      </w:r>
      <w:r w:rsidRPr="00F53572">
        <w:t xml:space="preserve">et al. Epidemiology of myocarditis and pericarditis following mRNA vaccines in Ontario, Canada: by vaccine product, schedule and interval. </w:t>
      </w:r>
      <w:r>
        <w:t xml:space="preserve">Pre-print. </w:t>
      </w:r>
      <w:r w:rsidRPr="00F53572">
        <w:rPr>
          <w:i/>
          <w:iCs/>
        </w:rPr>
        <w:t>medRxiv</w:t>
      </w:r>
      <w:r w:rsidRPr="00F53572">
        <w:t>; posted 5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0799" w14:textId="77777777" w:rsidR="00777771" w:rsidRDefault="00777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1E378" w14:textId="77777777" w:rsidR="00734955" w:rsidRDefault="00734955"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70A95" w14:textId="77777777" w:rsidR="00734955" w:rsidRDefault="00734955">
    <w:pPr>
      <w:rPr>
        <w:noProof/>
        <w:lang w:eastAsia="en-AU"/>
      </w:rPr>
    </w:pPr>
    <w:r w:rsidRPr="00347824">
      <w:rPr>
        <w:noProof/>
        <w:lang w:val="en-GB" w:eastAsia="en-GB"/>
      </w:rPr>
      <w:drawing>
        <wp:anchor distT="0" distB="0" distL="114300" distR="114300" simplePos="0" relativeHeight="251659264" behindDoc="1" locked="0" layoutInCell="1" allowOverlap="1" wp14:anchorId="19A7F122" wp14:editId="5ADA608B">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AFDEF37" w14:textId="77777777" w:rsidR="00734955" w:rsidRDefault="00734955"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6B10A" w14:textId="77777777" w:rsidR="00734955" w:rsidRDefault="007349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AD7E0" w14:textId="77777777" w:rsidR="00734955" w:rsidRDefault="0073495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E2F7A" w14:textId="77777777" w:rsidR="00734955" w:rsidRDefault="00734955">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0473" w14:textId="77777777" w:rsidR="00734955" w:rsidRDefault="007349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16A0" w14:textId="77777777" w:rsidR="00734955" w:rsidRDefault="00734955"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3AB7" w14:textId="77777777" w:rsidR="00734955" w:rsidRDefault="00734955" w:rsidP="006E08B3">
    <w:r>
      <w:t>Therapeutic Goods Administration</w:t>
    </w:r>
  </w:p>
  <w:p w14:paraId="33195207" w14:textId="77777777" w:rsidR="00734955" w:rsidRDefault="00734955"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C20E1518"/>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0BE2EDB"/>
    <w:multiLevelType w:val="hybridMultilevel"/>
    <w:tmpl w:val="6FC2D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2"/>
  </w:num>
  <w:num w:numId="29">
    <w:abstractNumId w:val="6"/>
  </w:num>
  <w:num w:numId="30">
    <w:abstractNumId w:val="9"/>
  </w:num>
  <w:num w:numId="31">
    <w:abstractNumId w:val="4"/>
  </w:num>
  <w:num w:numId="32">
    <w:abstractNumId w:val="1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C4"/>
    <w:rsid w:val="00002031"/>
    <w:rsid w:val="00004734"/>
    <w:rsid w:val="00006B22"/>
    <w:rsid w:val="00006FAB"/>
    <w:rsid w:val="0001276A"/>
    <w:rsid w:val="000246AE"/>
    <w:rsid w:val="00025C67"/>
    <w:rsid w:val="00025DB7"/>
    <w:rsid w:val="0003586A"/>
    <w:rsid w:val="000362E2"/>
    <w:rsid w:val="00044772"/>
    <w:rsid w:val="00044893"/>
    <w:rsid w:val="0004541C"/>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1827"/>
    <w:rsid w:val="000E6196"/>
    <w:rsid w:val="000F4869"/>
    <w:rsid w:val="000F5B42"/>
    <w:rsid w:val="000F6E6F"/>
    <w:rsid w:val="0010601F"/>
    <w:rsid w:val="0010788A"/>
    <w:rsid w:val="00107A31"/>
    <w:rsid w:val="00110EA5"/>
    <w:rsid w:val="00112F56"/>
    <w:rsid w:val="00114FD1"/>
    <w:rsid w:val="001165D1"/>
    <w:rsid w:val="00117692"/>
    <w:rsid w:val="001205AF"/>
    <w:rsid w:val="001216AB"/>
    <w:rsid w:val="00122C2E"/>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977C4"/>
    <w:rsid w:val="001A03AF"/>
    <w:rsid w:val="001A2158"/>
    <w:rsid w:val="001A525F"/>
    <w:rsid w:val="001B09F9"/>
    <w:rsid w:val="001B5C90"/>
    <w:rsid w:val="001B6448"/>
    <w:rsid w:val="001C32CD"/>
    <w:rsid w:val="001C375A"/>
    <w:rsid w:val="001C488C"/>
    <w:rsid w:val="001D2984"/>
    <w:rsid w:val="001E07CF"/>
    <w:rsid w:val="001E421B"/>
    <w:rsid w:val="001E59F1"/>
    <w:rsid w:val="001F2CEE"/>
    <w:rsid w:val="001F49EB"/>
    <w:rsid w:val="001F6CBA"/>
    <w:rsid w:val="00201D4E"/>
    <w:rsid w:val="002076C9"/>
    <w:rsid w:val="00220B8A"/>
    <w:rsid w:val="002257F3"/>
    <w:rsid w:val="00233456"/>
    <w:rsid w:val="002339A5"/>
    <w:rsid w:val="00250271"/>
    <w:rsid w:val="00257848"/>
    <w:rsid w:val="002578E8"/>
    <w:rsid w:val="0027084A"/>
    <w:rsid w:val="00280265"/>
    <w:rsid w:val="00286434"/>
    <w:rsid w:val="00286C59"/>
    <w:rsid w:val="00291957"/>
    <w:rsid w:val="00292AA5"/>
    <w:rsid w:val="002942D1"/>
    <w:rsid w:val="0029501A"/>
    <w:rsid w:val="002A3721"/>
    <w:rsid w:val="002A66C5"/>
    <w:rsid w:val="002B0917"/>
    <w:rsid w:val="002B1638"/>
    <w:rsid w:val="002B3624"/>
    <w:rsid w:val="002D0952"/>
    <w:rsid w:val="002E40B3"/>
    <w:rsid w:val="002E4C9A"/>
    <w:rsid w:val="002F11F8"/>
    <w:rsid w:val="002F3F56"/>
    <w:rsid w:val="002F44B5"/>
    <w:rsid w:val="002F5122"/>
    <w:rsid w:val="00311AC0"/>
    <w:rsid w:val="003132DF"/>
    <w:rsid w:val="003176FC"/>
    <w:rsid w:val="00324E45"/>
    <w:rsid w:val="0032583B"/>
    <w:rsid w:val="00327883"/>
    <w:rsid w:val="00331510"/>
    <w:rsid w:val="00335504"/>
    <w:rsid w:val="00340C18"/>
    <w:rsid w:val="003442FD"/>
    <w:rsid w:val="00347824"/>
    <w:rsid w:val="00350567"/>
    <w:rsid w:val="003521E8"/>
    <w:rsid w:val="00370CE3"/>
    <w:rsid w:val="003728F3"/>
    <w:rsid w:val="003735BC"/>
    <w:rsid w:val="0037496E"/>
    <w:rsid w:val="00383221"/>
    <w:rsid w:val="00386150"/>
    <w:rsid w:val="0038706F"/>
    <w:rsid w:val="003874CE"/>
    <w:rsid w:val="00390900"/>
    <w:rsid w:val="003A7F6C"/>
    <w:rsid w:val="003B4D60"/>
    <w:rsid w:val="003B7E39"/>
    <w:rsid w:val="003C1FF6"/>
    <w:rsid w:val="003C58DC"/>
    <w:rsid w:val="003C6E44"/>
    <w:rsid w:val="003D1E62"/>
    <w:rsid w:val="003E0B99"/>
    <w:rsid w:val="003E2486"/>
    <w:rsid w:val="003E3208"/>
    <w:rsid w:val="003F0B04"/>
    <w:rsid w:val="0040134E"/>
    <w:rsid w:val="004334C7"/>
    <w:rsid w:val="00440A2D"/>
    <w:rsid w:val="00441C3F"/>
    <w:rsid w:val="00444D1A"/>
    <w:rsid w:val="0045186A"/>
    <w:rsid w:val="004564A7"/>
    <w:rsid w:val="00456765"/>
    <w:rsid w:val="00460036"/>
    <w:rsid w:val="004617BF"/>
    <w:rsid w:val="00463658"/>
    <w:rsid w:val="004637A0"/>
    <w:rsid w:val="004722CC"/>
    <w:rsid w:val="00490483"/>
    <w:rsid w:val="004936E4"/>
    <w:rsid w:val="00494E60"/>
    <w:rsid w:val="00497487"/>
    <w:rsid w:val="004A2771"/>
    <w:rsid w:val="004A6189"/>
    <w:rsid w:val="004A7390"/>
    <w:rsid w:val="004B7B76"/>
    <w:rsid w:val="004C239D"/>
    <w:rsid w:val="004C2DCA"/>
    <w:rsid w:val="004C4FBE"/>
    <w:rsid w:val="004C61D2"/>
    <w:rsid w:val="004F0C4A"/>
    <w:rsid w:val="004F0F38"/>
    <w:rsid w:val="004F47D6"/>
    <w:rsid w:val="004F5D17"/>
    <w:rsid w:val="00500337"/>
    <w:rsid w:val="00501921"/>
    <w:rsid w:val="005252B2"/>
    <w:rsid w:val="00530354"/>
    <w:rsid w:val="0053625B"/>
    <w:rsid w:val="005434C6"/>
    <w:rsid w:val="00543B39"/>
    <w:rsid w:val="00546154"/>
    <w:rsid w:val="00550096"/>
    <w:rsid w:val="00555280"/>
    <w:rsid w:val="00557FF9"/>
    <w:rsid w:val="00562327"/>
    <w:rsid w:val="005711D5"/>
    <w:rsid w:val="0057446D"/>
    <w:rsid w:val="00576378"/>
    <w:rsid w:val="00577130"/>
    <w:rsid w:val="00577945"/>
    <w:rsid w:val="00577E38"/>
    <w:rsid w:val="00585322"/>
    <w:rsid w:val="005857C6"/>
    <w:rsid w:val="00592F6E"/>
    <w:rsid w:val="00593AD1"/>
    <w:rsid w:val="005A68B6"/>
    <w:rsid w:val="005C5570"/>
    <w:rsid w:val="005C5B66"/>
    <w:rsid w:val="005C79A4"/>
    <w:rsid w:val="005D5442"/>
    <w:rsid w:val="005F72E1"/>
    <w:rsid w:val="00603F32"/>
    <w:rsid w:val="00605AD4"/>
    <w:rsid w:val="006136D7"/>
    <w:rsid w:val="0061482D"/>
    <w:rsid w:val="00625A6E"/>
    <w:rsid w:val="00632398"/>
    <w:rsid w:val="00640FC3"/>
    <w:rsid w:val="00642020"/>
    <w:rsid w:val="006430EE"/>
    <w:rsid w:val="0065337B"/>
    <w:rsid w:val="0065419D"/>
    <w:rsid w:val="006603BC"/>
    <w:rsid w:val="006604D8"/>
    <w:rsid w:val="00664A5B"/>
    <w:rsid w:val="0066735C"/>
    <w:rsid w:val="006763D2"/>
    <w:rsid w:val="00680C08"/>
    <w:rsid w:val="00680D5F"/>
    <w:rsid w:val="00681539"/>
    <w:rsid w:val="006916A0"/>
    <w:rsid w:val="006931B1"/>
    <w:rsid w:val="006A15C0"/>
    <w:rsid w:val="006A58A8"/>
    <w:rsid w:val="006B5AAB"/>
    <w:rsid w:val="006C3E2A"/>
    <w:rsid w:val="006C642F"/>
    <w:rsid w:val="006D03E5"/>
    <w:rsid w:val="006D5D3E"/>
    <w:rsid w:val="006E08B3"/>
    <w:rsid w:val="006F17AC"/>
    <w:rsid w:val="006F1FF2"/>
    <w:rsid w:val="006F25B8"/>
    <w:rsid w:val="006F572E"/>
    <w:rsid w:val="007019C7"/>
    <w:rsid w:val="007021D6"/>
    <w:rsid w:val="007046D6"/>
    <w:rsid w:val="00705DB0"/>
    <w:rsid w:val="0070618D"/>
    <w:rsid w:val="00722B57"/>
    <w:rsid w:val="00730F8A"/>
    <w:rsid w:val="00734955"/>
    <w:rsid w:val="00735A8C"/>
    <w:rsid w:val="0074253D"/>
    <w:rsid w:val="00744121"/>
    <w:rsid w:val="0074429B"/>
    <w:rsid w:val="00755B32"/>
    <w:rsid w:val="007615BC"/>
    <w:rsid w:val="00762F05"/>
    <w:rsid w:val="007652FF"/>
    <w:rsid w:val="00770CAC"/>
    <w:rsid w:val="00770EF1"/>
    <w:rsid w:val="00773EF7"/>
    <w:rsid w:val="00774E1D"/>
    <w:rsid w:val="007765D8"/>
    <w:rsid w:val="0077675A"/>
    <w:rsid w:val="00777771"/>
    <w:rsid w:val="00780355"/>
    <w:rsid w:val="007819FD"/>
    <w:rsid w:val="00785717"/>
    <w:rsid w:val="00785721"/>
    <w:rsid w:val="00793A59"/>
    <w:rsid w:val="007A46F5"/>
    <w:rsid w:val="007A61D4"/>
    <w:rsid w:val="007A6505"/>
    <w:rsid w:val="007B6132"/>
    <w:rsid w:val="007B6E9F"/>
    <w:rsid w:val="007C1216"/>
    <w:rsid w:val="007C1AF7"/>
    <w:rsid w:val="007C4836"/>
    <w:rsid w:val="007C6B9B"/>
    <w:rsid w:val="007D53B6"/>
    <w:rsid w:val="007E5DA1"/>
    <w:rsid w:val="00805D27"/>
    <w:rsid w:val="00806DCB"/>
    <w:rsid w:val="00814693"/>
    <w:rsid w:val="00821776"/>
    <w:rsid w:val="00823D54"/>
    <w:rsid w:val="00826088"/>
    <w:rsid w:val="008321F5"/>
    <w:rsid w:val="00832369"/>
    <w:rsid w:val="00834660"/>
    <w:rsid w:val="00836BC2"/>
    <w:rsid w:val="00845DE7"/>
    <w:rsid w:val="0085156D"/>
    <w:rsid w:val="00852B28"/>
    <w:rsid w:val="0085641B"/>
    <w:rsid w:val="00857136"/>
    <w:rsid w:val="00870080"/>
    <w:rsid w:val="00875A6B"/>
    <w:rsid w:val="0087698F"/>
    <w:rsid w:val="00885B11"/>
    <w:rsid w:val="00886D15"/>
    <w:rsid w:val="00887011"/>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2A21"/>
    <w:rsid w:val="00906505"/>
    <w:rsid w:val="0091523F"/>
    <w:rsid w:val="00920330"/>
    <w:rsid w:val="009219D7"/>
    <w:rsid w:val="00922D53"/>
    <w:rsid w:val="00923B70"/>
    <w:rsid w:val="00924482"/>
    <w:rsid w:val="00930237"/>
    <w:rsid w:val="00937C17"/>
    <w:rsid w:val="00940A89"/>
    <w:rsid w:val="00941F77"/>
    <w:rsid w:val="00946EA5"/>
    <w:rsid w:val="00960520"/>
    <w:rsid w:val="00963C08"/>
    <w:rsid w:val="009752A5"/>
    <w:rsid w:val="0098585A"/>
    <w:rsid w:val="009A4CED"/>
    <w:rsid w:val="009A690D"/>
    <w:rsid w:val="009B1D12"/>
    <w:rsid w:val="009B416B"/>
    <w:rsid w:val="009C2DD5"/>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211D"/>
    <w:rsid w:val="00A60BAD"/>
    <w:rsid w:val="00A64E71"/>
    <w:rsid w:val="00A75E21"/>
    <w:rsid w:val="00A77F87"/>
    <w:rsid w:val="00A80B5B"/>
    <w:rsid w:val="00A84E36"/>
    <w:rsid w:val="00A863CE"/>
    <w:rsid w:val="00A964D1"/>
    <w:rsid w:val="00AA0ED0"/>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67015"/>
    <w:rsid w:val="00B76B91"/>
    <w:rsid w:val="00B77EB1"/>
    <w:rsid w:val="00B811C6"/>
    <w:rsid w:val="00B855B0"/>
    <w:rsid w:val="00B92E08"/>
    <w:rsid w:val="00BA6D19"/>
    <w:rsid w:val="00BC622A"/>
    <w:rsid w:val="00BD1F85"/>
    <w:rsid w:val="00BE0A78"/>
    <w:rsid w:val="00BE79F0"/>
    <w:rsid w:val="00BF046D"/>
    <w:rsid w:val="00BF1190"/>
    <w:rsid w:val="00BF3774"/>
    <w:rsid w:val="00BF5D04"/>
    <w:rsid w:val="00C009AA"/>
    <w:rsid w:val="00C03BFF"/>
    <w:rsid w:val="00C03C8F"/>
    <w:rsid w:val="00C1164D"/>
    <w:rsid w:val="00C158E5"/>
    <w:rsid w:val="00C16861"/>
    <w:rsid w:val="00C31B22"/>
    <w:rsid w:val="00C346AB"/>
    <w:rsid w:val="00C404A6"/>
    <w:rsid w:val="00C40A36"/>
    <w:rsid w:val="00C44419"/>
    <w:rsid w:val="00C45D33"/>
    <w:rsid w:val="00C45E7B"/>
    <w:rsid w:val="00C471B1"/>
    <w:rsid w:val="00C525A2"/>
    <w:rsid w:val="00C52E24"/>
    <w:rsid w:val="00C6316B"/>
    <w:rsid w:val="00C634A9"/>
    <w:rsid w:val="00C64586"/>
    <w:rsid w:val="00C70A36"/>
    <w:rsid w:val="00C70D53"/>
    <w:rsid w:val="00C72EB2"/>
    <w:rsid w:val="00C73D0B"/>
    <w:rsid w:val="00C74F5C"/>
    <w:rsid w:val="00C75526"/>
    <w:rsid w:val="00C772FF"/>
    <w:rsid w:val="00C80137"/>
    <w:rsid w:val="00C801AF"/>
    <w:rsid w:val="00C80256"/>
    <w:rsid w:val="00C94CD4"/>
    <w:rsid w:val="00C9747E"/>
    <w:rsid w:val="00CA4F03"/>
    <w:rsid w:val="00CB6BC0"/>
    <w:rsid w:val="00CC1B7C"/>
    <w:rsid w:val="00CC727F"/>
    <w:rsid w:val="00CE4F8D"/>
    <w:rsid w:val="00CF15C3"/>
    <w:rsid w:val="00CF2B6F"/>
    <w:rsid w:val="00CF2F3E"/>
    <w:rsid w:val="00CF58B6"/>
    <w:rsid w:val="00CF5DAD"/>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55D4"/>
    <w:rsid w:val="00D902C9"/>
    <w:rsid w:val="00D93466"/>
    <w:rsid w:val="00DA1124"/>
    <w:rsid w:val="00DA64CB"/>
    <w:rsid w:val="00DB06B8"/>
    <w:rsid w:val="00DB18A0"/>
    <w:rsid w:val="00DB6124"/>
    <w:rsid w:val="00DB750B"/>
    <w:rsid w:val="00DB75B7"/>
    <w:rsid w:val="00DC0A2F"/>
    <w:rsid w:val="00DC1948"/>
    <w:rsid w:val="00DC6E02"/>
    <w:rsid w:val="00DD1976"/>
    <w:rsid w:val="00DD28CD"/>
    <w:rsid w:val="00DD70F0"/>
    <w:rsid w:val="00DE02AE"/>
    <w:rsid w:val="00DE39D1"/>
    <w:rsid w:val="00DF1D7F"/>
    <w:rsid w:val="00DF4BE4"/>
    <w:rsid w:val="00E02382"/>
    <w:rsid w:val="00E02FB4"/>
    <w:rsid w:val="00E11254"/>
    <w:rsid w:val="00E13FC7"/>
    <w:rsid w:val="00E20571"/>
    <w:rsid w:val="00E235F7"/>
    <w:rsid w:val="00E23659"/>
    <w:rsid w:val="00E239D4"/>
    <w:rsid w:val="00E26130"/>
    <w:rsid w:val="00E33D42"/>
    <w:rsid w:val="00E40B22"/>
    <w:rsid w:val="00E44ED1"/>
    <w:rsid w:val="00E45619"/>
    <w:rsid w:val="00E4588F"/>
    <w:rsid w:val="00E46C3F"/>
    <w:rsid w:val="00E46DA3"/>
    <w:rsid w:val="00E51BB1"/>
    <w:rsid w:val="00E55CB0"/>
    <w:rsid w:val="00E624A5"/>
    <w:rsid w:val="00E64BA4"/>
    <w:rsid w:val="00E7344E"/>
    <w:rsid w:val="00E82665"/>
    <w:rsid w:val="00E8719A"/>
    <w:rsid w:val="00E97169"/>
    <w:rsid w:val="00EA7C67"/>
    <w:rsid w:val="00EB0798"/>
    <w:rsid w:val="00EB08C6"/>
    <w:rsid w:val="00EB2B45"/>
    <w:rsid w:val="00EB40AD"/>
    <w:rsid w:val="00EB586E"/>
    <w:rsid w:val="00EB5FC8"/>
    <w:rsid w:val="00EC463D"/>
    <w:rsid w:val="00EC7A85"/>
    <w:rsid w:val="00ED014B"/>
    <w:rsid w:val="00ED2922"/>
    <w:rsid w:val="00ED3CAD"/>
    <w:rsid w:val="00ED5A41"/>
    <w:rsid w:val="00EE1DE8"/>
    <w:rsid w:val="00EE27C2"/>
    <w:rsid w:val="00EE61FB"/>
    <w:rsid w:val="00EF4BAD"/>
    <w:rsid w:val="00EF5616"/>
    <w:rsid w:val="00EF59DC"/>
    <w:rsid w:val="00F033EC"/>
    <w:rsid w:val="00F04F68"/>
    <w:rsid w:val="00F12670"/>
    <w:rsid w:val="00F14B27"/>
    <w:rsid w:val="00F3148D"/>
    <w:rsid w:val="00F325C5"/>
    <w:rsid w:val="00F32FE0"/>
    <w:rsid w:val="00F33CE9"/>
    <w:rsid w:val="00F35298"/>
    <w:rsid w:val="00F47333"/>
    <w:rsid w:val="00F47E37"/>
    <w:rsid w:val="00F53C07"/>
    <w:rsid w:val="00F54B65"/>
    <w:rsid w:val="00F63DBF"/>
    <w:rsid w:val="00F640B6"/>
    <w:rsid w:val="00F66DF2"/>
    <w:rsid w:val="00F80E40"/>
    <w:rsid w:val="00F848D9"/>
    <w:rsid w:val="00FA5069"/>
    <w:rsid w:val="00FA5B82"/>
    <w:rsid w:val="00FA639E"/>
    <w:rsid w:val="00FB369D"/>
    <w:rsid w:val="00FC1FCA"/>
    <w:rsid w:val="00FC25E4"/>
    <w:rsid w:val="00FC4EF7"/>
    <w:rsid w:val="00FD0824"/>
    <w:rsid w:val="00FD119B"/>
    <w:rsid w:val="00FD1EDC"/>
    <w:rsid w:val="00FE1DEE"/>
    <w:rsid w:val="00FF2126"/>
    <w:rsid w:val="00FF4D1A"/>
    <w:rsid w:val="00FF5755"/>
    <w:rsid w:val="00FF69BE"/>
    <w:rsid w:val="00FF7005"/>
    <w:rsid w:val="00FF7976"/>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DA476A"/>
  <w15:docId w15:val="{112D3BFD-67A8-4640-9CF7-2F033F4F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77771"/>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UnresolvedMention1">
    <w:name w:val="Unresolved Mention1"/>
    <w:basedOn w:val="DefaultParagraphFont"/>
    <w:uiPriority w:val="99"/>
    <w:semiHidden/>
    <w:unhideWhenUsed/>
    <w:rsid w:val="00FB369D"/>
    <w:rPr>
      <w:color w:val="605E5C"/>
      <w:shd w:val="clear" w:color="auto" w:fill="E1DFDD"/>
    </w:rPr>
  </w:style>
  <w:style w:type="paragraph" w:styleId="ListParagraph">
    <w:name w:val="List Paragraph"/>
    <w:basedOn w:val="Normal"/>
    <w:uiPriority w:val="34"/>
    <w:rsid w:val="001216AB"/>
    <w:pPr>
      <w:adjustRightInd w:val="0"/>
      <w:snapToGrid w:val="0"/>
      <w:spacing w:before="180" w:after="180"/>
      <w:ind w:left="720"/>
      <w:contextualSpacing/>
    </w:pPr>
    <w:rPr>
      <w:rFonts w:eastAsia="MS Mincho"/>
      <w:szCs w:val="20"/>
      <w:lang w:eastAsia="ja-JP"/>
    </w:rPr>
  </w:style>
  <w:style w:type="character" w:styleId="UnresolvedMention">
    <w:name w:val="Unresolved Mention"/>
    <w:basedOn w:val="DefaultParagraphFont"/>
    <w:uiPriority w:val="99"/>
    <w:semiHidden/>
    <w:unhideWhenUsed/>
    <w:rsid w:val="00681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tga.gov.au/guidance-7-certified-product-detail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https://www.tga.gov.au/form/certified-product-details-cpd-biologicalprescriptionmedicines" TargetMode="Externa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hgfoundation.org/documents/rna-vaccines-an-introduction-briefing-note.pdf" TargetMode="External"/><Relationship Id="rId2" Type="http://schemas.openxmlformats.org/officeDocument/2006/relationships/hyperlink" Target="https://www.who.int/news/item/26-11-2021-classification-of-omicron-(b.1.1.529)-sars-cov-2-variant-of-concern" TargetMode="External"/><Relationship Id="rId1" Type="http://schemas.openxmlformats.org/officeDocument/2006/relationships/hyperlink" Target="https://www.health.gov.au/news/health-alerts/novel-coronavirus-2019-ncov-health-alert/coronavirus-covid-19-case-numbers-and-statistics" TargetMode="External"/><Relationship Id="rId5" Type="http://schemas.openxmlformats.org/officeDocument/2006/relationships/hyperlink" Target="https://www.fda.gov/regulatory-information/search-fda-guidance-documents/covid-19-developing-drugs-and-biological-products-treatment-or-prevention" TargetMode="External"/><Relationship Id="rId4" Type="http://schemas.openxmlformats.org/officeDocument/2006/relationships/hyperlink" Target="https://www.tga.gov.au/australian-register-therapeutic-good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15676\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20F8-D983-41E2-9A7A-87E1E21F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TotalTime>
  <Pages>25</Pages>
  <Words>7747</Words>
  <Characters>44162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Tozinameran</dc:title>
  <dc:subject>prescription medicines</dc:subject>
  <dc:creator>Therapeutic Goods Administration</dc:creator>
  <cp:keywords/>
  <cp:lastPrinted>2019-08-14T04:30:00Z</cp:lastPrinted>
  <dcterms:created xsi:type="dcterms:W3CDTF">2022-02-07T23:11:00Z</dcterms:created>
  <dcterms:modified xsi:type="dcterms:W3CDTF">2022-02-07T23:12:00Z</dcterms:modified>
  <cp:category/>
</cp:coreProperties>
</file>